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before="100" w:beforeAutospacing="1" w:after="100" w:afterAutospacing="1" w:line="360" w:lineRule="auto"/>
        <w:rPr>
          <w:rFonts w:hint="default" w:ascii="黑体" w:hAnsi="黑体" w:eastAsia="黑体"/>
          <w:bCs/>
          <w:sz w:val="32"/>
          <w:szCs w:val="32"/>
          <w:lang w:val="en"/>
        </w:rPr>
      </w:pPr>
      <w:bookmarkStart w:id="60" w:name="_GoBack"/>
      <w:bookmarkEnd w:id="60"/>
      <w:bookmarkStart w:id="0" w:name="_Hlk25338558"/>
      <w:r>
        <w:rPr>
          <w:rFonts w:hint="eastAsia" w:ascii="黑体" w:hAnsi="黑体" w:eastAsia="黑体"/>
          <w:bCs/>
          <w:sz w:val="32"/>
          <w:szCs w:val="32"/>
        </w:rPr>
        <w:t>附件</w:t>
      </w:r>
      <w:r>
        <w:rPr>
          <w:rFonts w:hint="eastAsia" w:ascii="黑体" w:hAnsi="黑体" w:eastAsia="黑体"/>
          <w:bCs/>
          <w:sz w:val="32"/>
          <w:szCs w:val="32"/>
          <w:lang w:val="en-US" w:eastAsia="zh-CN"/>
        </w:rPr>
        <w:t>1-</w:t>
      </w:r>
      <w:r>
        <w:rPr>
          <w:rFonts w:hint="default" w:ascii="黑体" w:hAnsi="黑体" w:eastAsia="黑体"/>
          <w:bCs/>
          <w:sz w:val="32"/>
          <w:szCs w:val="32"/>
          <w:lang w:val="en"/>
        </w:rPr>
        <w:t>2</w:t>
      </w:r>
    </w:p>
    <w:p>
      <w:pPr>
        <w:widowControl/>
        <w:spacing w:before="100" w:beforeAutospacing="1" w:after="100" w:afterAutospacing="1" w:line="360" w:lineRule="auto"/>
        <w:jc w:val="center"/>
        <w:rPr>
          <w:rFonts w:hint="eastAsia" w:asciiTheme="majorEastAsia" w:hAnsiTheme="majorEastAsia" w:eastAsiaTheme="majorEastAsia"/>
          <w:b/>
          <w:sz w:val="32"/>
          <w:szCs w:val="32"/>
        </w:rPr>
      </w:pPr>
    </w:p>
    <w:p>
      <w:pPr>
        <w:widowControl/>
        <w:spacing w:before="100" w:beforeAutospacing="1" w:after="100" w:afterAutospacing="1" w:line="360" w:lineRule="auto"/>
        <w:jc w:val="center"/>
        <w:rPr>
          <w:rFonts w:hint="eastAsia" w:ascii="方正小标宋_GBK" w:hAnsi="方正小标宋_GBK" w:eastAsia="方正小标宋_GBK" w:cs="方正小标宋_GBK"/>
          <w:bCs/>
          <w:sz w:val="44"/>
          <w:szCs w:val="44"/>
        </w:rPr>
      </w:pPr>
      <w:r>
        <w:rPr>
          <w:rFonts w:hint="eastAsia" w:ascii="方正小标宋_GBK" w:hAnsi="方正小标宋_GBK" w:eastAsia="方正小标宋_GBK" w:cs="方正小标宋_GBK"/>
          <w:bCs/>
          <w:sz w:val="44"/>
          <w:szCs w:val="44"/>
        </w:rPr>
        <w:t>深圳市住房和建设系统行政处罚裁量权基准</w:t>
      </w:r>
    </w:p>
    <w:p>
      <w:pPr>
        <w:widowControl/>
        <w:jc w:val="center"/>
        <w:rPr>
          <w:rFonts w:hint="eastAsia" w:ascii="楷体_GB2312" w:hAnsi="楷体_GB2312" w:eastAsia="楷体_GB2312" w:cs="楷体_GB2312"/>
          <w:sz w:val="36"/>
          <w:szCs w:val="36"/>
        </w:rPr>
      </w:pPr>
      <w:bookmarkStart w:id="1" w:name="_Hlk24822300"/>
      <w:r>
        <w:rPr>
          <w:rFonts w:hint="eastAsia" w:ascii="楷体_GB2312" w:hAnsi="楷体_GB2312" w:eastAsia="楷体_GB2312" w:cs="楷体_GB2312"/>
          <w:sz w:val="36"/>
          <w:szCs w:val="36"/>
        </w:rPr>
        <w:t>（202</w:t>
      </w:r>
      <w:r>
        <w:rPr>
          <w:rFonts w:ascii="楷体_GB2312" w:hAnsi="楷体_GB2312" w:eastAsia="楷体_GB2312" w:cs="楷体_GB2312"/>
          <w:sz w:val="36"/>
          <w:szCs w:val="36"/>
        </w:rPr>
        <w:t>5</w:t>
      </w:r>
      <w:r>
        <w:rPr>
          <w:rFonts w:hint="eastAsia" w:ascii="楷体_GB2312" w:hAnsi="楷体_GB2312" w:eastAsia="楷体_GB2312" w:cs="楷体_GB2312"/>
          <w:sz w:val="36"/>
          <w:szCs w:val="36"/>
        </w:rPr>
        <w:t>年版）</w:t>
      </w:r>
    </w:p>
    <w:p>
      <w:pPr>
        <w:widowControl/>
        <w:jc w:val="center"/>
        <w:rPr>
          <w:b/>
          <w:bCs/>
          <w:sz w:val="40"/>
          <w:szCs w:val="40"/>
        </w:rPr>
      </w:pPr>
    </w:p>
    <w:p>
      <w:pPr>
        <w:widowControl/>
        <w:jc w:val="center"/>
        <w:rPr>
          <w:b/>
          <w:bCs/>
          <w:sz w:val="40"/>
          <w:szCs w:val="40"/>
        </w:rPr>
      </w:pPr>
    </w:p>
    <w:p>
      <w:pPr>
        <w:widowControl/>
        <w:jc w:val="center"/>
        <w:rPr>
          <w:b/>
          <w:bCs/>
          <w:sz w:val="40"/>
          <w:szCs w:val="40"/>
        </w:rPr>
      </w:pPr>
    </w:p>
    <w:p>
      <w:pPr>
        <w:widowControl/>
        <w:rPr>
          <w:rFonts w:hint="eastAsia" w:ascii="宋体" w:hAnsi="宋体" w:eastAsia="宋体" w:cs="宋体"/>
          <w:b/>
          <w:bCs/>
          <w:sz w:val="32"/>
          <w:szCs w:val="32"/>
        </w:rPr>
      </w:pPr>
    </w:p>
    <w:p>
      <w:pPr>
        <w:widowControl/>
        <w:jc w:val="center"/>
        <w:rPr>
          <w:rFonts w:hint="eastAsia" w:asciiTheme="majorEastAsia" w:hAnsiTheme="majorEastAsia" w:eastAsiaTheme="majorEastAsia" w:cstheme="majorEastAsia"/>
          <w:b/>
          <w:bCs/>
          <w:sz w:val="36"/>
          <w:szCs w:val="36"/>
        </w:rPr>
      </w:pPr>
      <w:r>
        <w:rPr>
          <w:rFonts w:hint="eastAsia" w:asciiTheme="majorEastAsia" w:hAnsiTheme="majorEastAsia" w:eastAsiaTheme="majorEastAsia" w:cstheme="majorEastAsia"/>
          <w:b/>
          <w:bCs/>
          <w:sz w:val="36"/>
          <w:szCs w:val="36"/>
        </w:rPr>
        <w:t>202</w:t>
      </w:r>
      <w:r>
        <w:rPr>
          <w:rFonts w:asciiTheme="majorEastAsia" w:hAnsiTheme="majorEastAsia" w:eastAsiaTheme="majorEastAsia" w:cstheme="majorEastAsia"/>
          <w:b/>
          <w:bCs/>
          <w:sz w:val="36"/>
          <w:szCs w:val="36"/>
        </w:rPr>
        <w:t>5</w:t>
      </w:r>
      <w:r>
        <w:rPr>
          <w:rFonts w:hint="eastAsia" w:asciiTheme="majorEastAsia" w:hAnsiTheme="majorEastAsia" w:eastAsiaTheme="majorEastAsia" w:cstheme="majorEastAsia"/>
          <w:b/>
          <w:bCs/>
          <w:sz w:val="36"/>
          <w:szCs w:val="36"/>
        </w:rPr>
        <w:t>年</w:t>
      </w:r>
      <w:r>
        <w:rPr>
          <w:rFonts w:hint="default" w:asciiTheme="majorEastAsia" w:hAnsiTheme="majorEastAsia" w:eastAsiaTheme="majorEastAsia" w:cstheme="majorEastAsia"/>
          <w:b/>
          <w:bCs/>
          <w:sz w:val="36"/>
          <w:szCs w:val="36"/>
          <w:lang w:val="en"/>
        </w:rPr>
        <w:t>6</w:t>
      </w:r>
      <w:r>
        <w:rPr>
          <w:rFonts w:hint="eastAsia" w:asciiTheme="majorEastAsia" w:hAnsiTheme="majorEastAsia" w:eastAsiaTheme="majorEastAsia" w:cstheme="majorEastAsia"/>
          <w:b/>
          <w:bCs/>
          <w:sz w:val="36"/>
          <w:szCs w:val="36"/>
        </w:rPr>
        <w:t>月</w:t>
      </w:r>
      <w:r>
        <w:rPr>
          <w:rFonts w:hint="default" w:asciiTheme="majorEastAsia" w:hAnsiTheme="majorEastAsia" w:eastAsiaTheme="majorEastAsia" w:cstheme="majorEastAsia"/>
          <w:b/>
          <w:bCs/>
          <w:sz w:val="36"/>
          <w:szCs w:val="36"/>
          <w:lang w:val="en"/>
        </w:rPr>
        <w:t>10</w:t>
      </w:r>
      <w:r>
        <w:rPr>
          <w:rFonts w:hint="eastAsia" w:asciiTheme="majorEastAsia" w:hAnsiTheme="majorEastAsia" w:eastAsiaTheme="majorEastAsia" w:cstheme="majorEastAsia"/>
          <w:b/>
          <w:bCs/>
          <w:sz w:val="36"/>
          <w:szCs w:val="36"/>
        </w:rPr>
        <w:t>日起施行</w:t>
      </w:r>
    </w:p>
    <w:p>
      <w:pPr>
        <w:widowControl/>
        <w:jc w:val="center"/>
        <w:rPr>
          <w:rFonts w:hint="eastAsia" w:asciiTheme="majorEastAsia" w:hAnsiTheme="majorEastAsia" w:eastAsiaTheme="majorEastAsia" w:cstheme="majorEastAsia"/>
          <w:b/>
          <w:bCs/>
          <w:sz w:val="36"/>
          <w:szCs w:val="36"/>
        </w:rPr>
      </w:pPr>
      <w:r>
        <w:rPr>
          <w:rFonts w:hint="eastAsia" w:asciiTheme="majorEastAsia" w:hAnsiTheme="majorEastAsia" w:eastAsiaTheme="majorEastAsia" w:cstheme="majorEastAsia"/>
          <w:b/>
          <w:bCs/>
          <w:sz w:val="36"/>
          <w:szCs w:val="36"/>
        </w:rPr>
        <w:t>深圳市住房和建设局</w:t>
      </w:r>
    </w:p>
    <w:p>
      <w:pPr>
        <w:spacing w:before="312" w:beforeLines="100" w:line="560" w:lineRule="exact"/>
        <w:jc w:val="center"/>
        <w:rPr>
          <w:b/>
          <w:bCs/>
          <w:sz w:val="32"/>
          <w:szCs w:val="32"/>
        </w:rPr>
      </w:pPr>
    </w:p>
    <w:p>
      <w:pPr>
        <w:spacing w:before="312" w:beforeLines="100" w:line="560" w:lineRule="exact"/>
        <w:jc w:val="center"/>
        <w:rPr>
          <w:rFonts w:hint="eastAsia" w:ascii="方正小标宋_GBK" w:hAnsi="方正小标宋_GBK" w:eastAsia="方正小标宋_GBK" w:cs="方正小标宋_GBK"/>
          <w:sz w:val="32"/>
          <w:szCs w:val="32"/>
        </w:rPr>
      </w:pPr>
      <w:r>
        <w:rPr>
          <w:rFonts w:hint="eastAsia" w:ascii="方正小标宋_GBK" w:hAnsi="方正小标宋_GBK" w:eastAsia="方正小标宋_GBK" w:cs="方正小标宋_GBK"/>
          <w:sz w:val="32"/>
          <w:szCs w:val="32"/>
        </w:rPr>
        <w:t>深圳市住房和建设系统行政处罚裁量权基准（202</w:t>
      </w:r>
      <w:r>
        <w:rPr>
          <w:rFonts w:ascii="方正小标宋_GBK" w:hAnsi="方正小标宋_GBK" w:eastAsia="方正小标宋_GBK" w:cs="方正小标宋_GBK"/>
          <w:sz w:val="32"/>
          <w:szCs w:val="32"/>
        </w:rPr>
        <w:t>5</w:t>
      </w:r>
      <w:r>
        <w:rPr>
          <w:rFonts w:hint="eastAsia" w:ascii="方正小标宋_GBK" w:hAnsi="方正小标宋_GBK" w:eastAsia="方正小标宋_GBK" w:cs="方正小标宋_GBK"/>
          <w:sz w:val="32"/>
          <w:szCs w:val="32"/>
        </w:rPr>
        <w:t>年版）</w:t>
      </w:r>
    </w:p>
    <w:p>
      <w:pPr>
        <w:spacing w:after="100" w:afterAutospacing="1" w:line="560" w:lineRule="exact"/>
        <w:jc w:val="center"/>
        <w:rPr>
          <w:rFonts w:hint="eastAsia" w:ascii="方正小标宋_GBK" w:hAnsi="方正小标宋_GBK" w:eastAsia="方正小标宋_GBK" w:cs="方正小标宋_GBK"/>
          <w:sz w:val="32"/>
          <w:szCs w:val="32"/>
        </w:rPr>
      </w:pPr>
      <w:r>
        <w:rPr>
          <w:rFonts w:hint="eastAsia" w:ascii="方正小标宋_GBK" w:hAnsi="方正小标宋_GBK" w:eastAsia="方正小标宋_GBK" w:cs="方正小标宋_GBK"/>
          <w:sz w:val="32"/>
          <w:szCs w:val="32"/>
        </w:rPr>
        <w:t>法律法规规章依据目录</w:t>
      </w:r>
    </w:p>
    <w:p>
      <w:pPr>
        <w:spacing w:line="560" w:lineRule="exact"/>
        <w:ind w:firstLine="480" w:firstLineChars="200"/>
        <w:rPr>
          <w:rFonts w:hint="eastAsia" w:ascii="楷体_GB2312" w:hAnsi="楷体_GB2312" w:eastAsia="楷体_GB2312" w:cs="楷体_GB2312"/>
          <w:sz w:val="24"/>
          <w:szCs w:val="24"/>
        </w:rPr>
      </w:pPr>
      <w:r>
        <w:rPr>
          <w:rFonts w:hint="eastAsia" w:ascii="楷体_GB2312" w:hAnsi="楷体_GB2312" w:eastAsia="楷体_GB2312" w:cs="楷体_GB2312"/>
          <w:sz w:val="24"/>
          <w:szCs w:val="24"/>
        </w:rPr>
        <w:t>（截至2025年4月底，我市住房和建设领域需制定行政处罚裁量权基准的法律、法规、规章共2</w:t>
      </w:r>
      <w:r>
        <w:rPr>
          <w:rFonts w:ascii="楷体_GB2312" w:hAnsi="楷体_GB2312" w:eastAsia="楷体_GB2312" w:cs="楷体_GB2312"/>
          <w:sz w:val="24"/>
          <w:szCs w:val="24"/>
        </w:rPr>
        <w:t>3</w:t>
      </w:r>
      <w:r>
        <w:rPr>
          <w:rFonts w:hint="eastAsia" w:ascii="楷体_GB2312" w:hAnsi="楷体_GB2312" w:eastAsia="楷体_GB2312" w:cs="楷体_GB2312"/>
          <w:sz w:val="24"/>
          <w:szCs w:val="24"/>
        </w:rPr>
        <w:t>部，基准表格共2</w:t>
      </w:r>
      <w:r>
        <w:rPr>
          <w:rFonts w:ascii="楷体_GB2312" w:hAnsi="楷体_GB2312" w:eastAsia="楷体_GB2312" w:cs="楷体_GB2312"/>
          <w:sz w:val="24"/>
          <w:szCs w:val="24"/>
        </w:rPr>
        <w:t>6</w:t>
      </w:r>
      <w:r>
        <w:rPr>
          <w:rFonts w:hint="eastAsia" w:ascii="楷体_GB2312" w:hAnsi="楷体_GB2312" w:eastAsia="楷体_GB2312" w:cs="楷体_GB2312"/>
          <w:sz w:val="24"/>
          <w:szCs w:val="24"/>
        </w:rPr>
        <w:t>4个）</w:t>
      </w:r>
    </w:p>
    <w:p>
      <w:pPr>
        <w:jc w:val="center"/>
        <w:rPr>
          <w:sz w:val="24"/>
          <w:szCs w:val="24"/>
        </w:rPr>
      </w:pPr>
    </w:p>
    <w:bookmarkEnd w:id="0"/>
    <w:bookmarkEnd w:id="1"/>
    <w:tbl>
      <w:tblPr>
        <w:tblStyle w:val="12"/>
        <w:tblW w:w="1016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8"/>
        <w:gridCol w:w="7027"/>
        <w:gridCol w:w="1073"/>
        <w:gridCol w:w="11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8" w:type="dxa"/>
          </w:tcPr>
          <w:p>
            <w:pPr>
              <w:spacing w:line="560" w:lineRule="exact"/>
              <w:jc w:val="center"/>
              <w:rPr>
                <w:rFonts w:eastAsia="宋体" w:cs="Times New Roman"/>
                <w:b/>
                <w:bCs/>
                <w:sz w:val="28"/>
                <w:szCs w:val="28"/>
              </w:rPr>
            </w:pPr>
            <w:bookmarkStart w:id="2" w:name="_Hlk24822360"/>
            <w:r>
              <w:rPr>
                <w:rFonts w:hint="eastAsia" w:eastAsia="宋体" w:cs="Times New Roman"/>
                <w:b/>
                <w:bCs/>
                <w:sz w:val="28"/>
                <w:szCs w:val="28"/>
              </w:rPr>
              <w:t>序号</w:t>
            </w:r>
          </w:p>
        </w:tc>
        <w:tc>
          <w:tcPr>
            <w:tcW w:w="7027" w:type="dxa"/>
          </w:tcPr>
          <w:p>
            <w:pPr>
              <w:spacing w:line="560" w:lineRule="exact"/>
              <w:jc w:val="center"/>
              <w:rPr>
                <w:rFonts w:eastAsia="宋体" w:cs="Times New Roman"/>
                <w:b/>
                <w:bCs/>
                <w:sz w:val="28"/>
                <w:szCs w:val="28"/>
              </w:rPr>
            </w:pPr>
            <w:r>
              <w:rPr>
                <w:rFonts w:hint="eastAsia" w:eastAsia="宋体" w:cs="Times New Roman"/>
                <w:b/>
                <w:bCs/>
                <w:sz w:val="28"/>
                <w:szCs w:val="28"/>
              </w:rPr>
              <w:t>法律、法规、规章名称</w:t>
            </w:r>
          </w:p>
        </w:tc>
        <w:tc>
          <w:tcPr>
            <w:tcW w:w="1073" w:type="dxa"/>
          </w:tcPr>
          <w:p>
            <w:pPr>
              <w:spacing w:line="560" w:lineRule="exact"/>
              <w:jc w:val="center"/>
              <w:rPr>
                <w:rFonts w:eastAsia="宋体" w:cs="Times New Roman"/>
                <w:b/>
                <w:bCs/>
                <w:sz w:val="28"/>
                <w:szCs w:val="28"/>
              </w:rPr>
            </w:pPr>
            <w:r>
              <w:rPr>
                <w:rFonts w:hint="eastAsia" w:eastAsia="宋体" w:cs="Times New Roman"/>
                <w:b/>
                <w:bCs/>
                <w:sz w:val="28"/>
                <w:szCs w:val="28"/>
              </w:rPr>
              <w:t>表格数</w:t>
            </w:r>
          </w:p>
        </w:tc>
        <w:tc>
          <w:tcPr>
            <w:tcW w:w="1185" w:type="dxa"/>
          </w:tcPr>
          <w:p>
            <w:pPr>
              <w:spacing w:line="560" w:lineRule="exact"/>
              <w:jc w:val="center"/>
              <w:rPr>
                <w:rFonts w:eastAsia="宋体" w:cs="Times New Roman"/>
                <w:b/>
                <w:bCs/>
                <w:sz w:val="28"/>
                <w:szCs w:val="28"/>
              </w:rPr>
            </w:pPr>
            <w:r>
              <w:rPr>
                <w:rFonts w:hint="eastAsia" w:eastAsia="宋体" w:cs="Times New Roman"/>
                <w:b/>
                <w:bCs/>
                <w:sz w:val="28"/>
                <w:szCs w:val="28"/>
              </w:rPr>
              <w:t>页码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63" w:type="dxa"/>
            <w:gridSpan w:val="4"/>
          </w:tcPr>
          <w:p>
            <w:pPr>
              <w:spacing w:line="560" w:lineRule="exact"/>
              <w:jc w:val="center"/>
              <w:rPr>
                <w:rFonts w:eastAsia="宋体" w:cs="Times New Roman"/>
                <w:b/>
                <w:bCs/>
                <w:sz w:val="28"/>
                <w:szCs w:val="28"/>
              </w:rPr>
            </w:pPr>
            <w:r>
              <w:rPr>
                <w:rFonts w:hint="eastAsia" w:eastAsia="宋体" w:cs="Times New Roman"/>
                <w:b/>
                <w:bCs/>
                <w:sz w:val="28"/>
                <w:szCs w:val="28"/>
              </w:rPr>
              <w:t xml:space="preserve">第一部分 </w:t>
            </w:r>
            <w:r>
              <w:rPr>
                <w:rFonts w:eastAsia="宋体" w:cs="Times New Roman"/>
                <w:b/>
                <w:bCs/>
                <w:sz w:val="28"/>
                <w:szCs w:val="28"/>
              </w:rPr>
              <w:t xml:space="preserve"> </w:t>
            </w:r>
            <w:r>
              <w:rPr>
                <w:rFonts w:hint="eastAsia" w:eastAsia="宋体" w:cs="Times New Roman"/>
                <w:b/>
                <w:bCs/>
                <w:sz w:val="28"/>
                <w:szCs w:val="28"/>
              </w:rPr>
              <w:t>工程建设与建筑业类</w:t>
            </w:r>
          </w:p>
        </w:tc>
      </w:tr>
      <w:bookmarkEnd w:id="2"/>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8" w:type="dxa"/>
          </w:tcPr>
          <w:p>
            <w:pPr>
              <w:spacing w:line="56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101</w:t>
            </w:r>
          </w:p>
        </w:tc>
        <w:tc>
          <w:tcPr>
            <w:tcW w:w="7027" w:type="dxa"/>
          </w:tcPr>
          <w:p>
            <w:pPr>
              <w:spacing w:line="560" w:lineRule="exact"/>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中华人民共和国安全生产法</w:t>
            </w:r>
          </w:p>
        </w:tc>
        <w:tc>
          <w:tcPr>
            <w:tcW w:w="1073" w:type="dxa"/>
          </w:tcPr>
          <w:p>
            <w:pPr>
              <w:spacing w:line="560" w:lineRule="exact"/>
              <w:jc w:val="center"/>
              <w:rPr>
                <w:rFonts w:hint="eastAsia" w:ascii="仿宋_GB2312" w:hAnsi="仿宋_GB2312" w:eastAsia="仿宋_GB2312" w:cs="仿宋_GB2312"/>
                <w:sz w:val="24"/>
                <w:szCs w:val="24"/>
              </w:rPr>
            </w:pPr>
            <w:r>
              <w:rPr>
                <w:rFonts w:hint="eastAsia" w:ascii="仿宋_GB2312" w:eastAsia="仿宋_GB2312"/>
                <w:sz w:val="24"/>
                <w:szCs w:val="24"/>
              </w:rPr>
              <w:t>33</w:t>
            </w:r>
          </w:p>
        </w:tc>
        <w:tc>
          <w:tcPr>
            <w:tcW w:w="1185" w:type="dxa"/>
          </w:tcPr>
          <w:p>
            <w:pPr>
              <w:spacing w:line="560" w:lineRule="exact"/>
              <w:jc w:val="center"/>
              <w:rPr>
                <w:rFonts w:hint="eastAsia" w:ascii="仿宋_GB2312" w:hAnsi="仿宋_GB2312" w:eastAsia="仿宋_GB2312" w:cs="仿宋_GB2312"/>
                <w:sz w:val="24"/>
                <w:szCs w:val="24"/>
                <w:lang w:val="en"/>
              </w:rPr>
            </w:pPr>
            <w:r>
              <w:rPr>
                <w:rFonts w:hint="eastAsia" w:ascii="仿宋_GB2312" w:eastAsia="仿宋_GB2312"/>
                <w:sz w:val="24"/>
                <w:szCs w:val="24"/>
              </w:rPr>
              <w:t>P1-33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878" w:type="dxa"/>
          </w:tcPr>
          <w:p>
            <w:pPr>
              <w:spacing w:line="56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102</w:t>
            </w:r>
          </w:p>
        </w:tc>
        <w:tc>
          <w:tcPr>
            <w:tcW w:w="7027" w:type="dxa"/>
          </w:tcPr>
          <w:p>
            <w:pPr>
              <w:spacing w:line="560" w:lineRule="exact"/>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中华人民共和国固体废物污染环境防治法</w:t>
            </w:r>
          </w:p>
        </w:tc>
        <w:tc>
          <w:tcPr>
            <w:tcW w:w="1073" w:type="dxa"/>
          </w:tcPr>
          <w:p>
            <w:pPr>
              <w:spacing w:line="560" w:lineRule="exact"/>
              <w:jc w:val="center"/>
              <w:rPr>
                <w:rFonts w:hint="eastAsia" w:ascii="仿宋_GB2312" w:hAnsi="仿宋_GB2312" w:eastAsia="仿宋_GB2312" w:cs="仿宋_GB2312"/>
                <w:sz w:val="24"/>
                <w:szCs w:val="24"/>
                <w:lang w:val="en"/>
              </w:rPr>
            </w:pPr>
            <w:r>
              <w:rPr>
                <w:rFonts w:hint="eastAsia" w:ascii="仿宋_GB2312" w:eastAsia="仿宋_GB2312"/>
                <w:sz w:val="24"/>
                <w:szCs w:val="24"/>
              </w:rPr>
              <w:t>1</w:t>
            </w:r>
          </w:p>
        </w:tc>
        <w:tc>
          <w:tcPr>
            <w:tcW w:w="1185" w:type="dxa"/>
          </w:tcPr>
          <w:p>
            <w:pPr>
              <w:spacing w:line="560" w:lineRule="exact"/>
              <w:jc w:val="center"/>
              <w:rPr>
                <w:rFonts w:hint="eastAsia" w:ascii="仿宋_GB2312" w:hAnsi="仿宋_GB2312" w:eastAsia="仿宋_GB2312" w:cs="仿宋_GB2312"/>
                <w:sz w:val="24"/>
                <w:szCs w:val="24"/>
                <w:lang w:val="en"/>
              </w:rPr>
            </w:pPr>
            <w:r>
              <w:rPr>
                <w:rFonts w:hint="eastAsia" w:ascii="仿宋_GB2312" w:eastAsia="仿宋_GB2312"/>
                <w:sz w:val="24"/>
                <w:szCs w:val="24"/>
              </w:rPr>
              <w:t>P34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8" w:type="dxa"/>
          </w:tcPr>
          <w:p>
            <w:pPr>
              <w:spacing w:line="56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103</w:t>
            </w:r>
          </w:p>
        </w:tc>
        <w:tc>
          <w:tcPr>
            <w:tcW w:w="7027" w:type="dxa"/>
          </w:tcPr>
          <w:p>
            <w:pPr>
              <w:spacing w:line="560" w:lineRule="exact"/>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建设工程抗震管理条例</w:t>
            </w:r>
          </w:p>
        </w:tc>
        <w:tc>
          <w:tcPr>
            <w:tcW w:w="1073" w:type="dxa"/>
          </w:tcPr>
          <w:p>
            <w:pPr>
              <w:spacing w:line="560" w:lineRule="exact"/>
              <w:jc w:val="center"/>
              <w:rPr>
                <w:rFonts w:hint="eastAsia" w:ascii="仿宋_GB2312" w:hAnsi="仿宋_GB2312" w:eastAsia="仿宋_GB2312" w:cs="仿宋_GB2312"/>
                <w:sz w:val="24"/>
                <w:szCs w:val="24"/>
                <w:lang w:val="en"/>
              </w:rPr>
            </w:pPr>
            <w:r>
              <w:rPr>
                <w:rFonts w:hint="eastAsia" w:ascii="仿宋_GB2312" w:eastAsia="仿宋_GB2312"/>
                <w:sz w:val="24"/>
                <w:szCs w:val="24"/>
              </w:rPr>
              <w:t>13</w:t>
            </w:r>
          </w:p>
        </w:tc>
        <w:tc>
          <w:tcPr>
            <w:tcW w:w="1185" w:type="dxa"/>
          </w:tcPr>
          <w:p>
            <w:pPr>
              <w:spacing w:line="560" w:lineRule="exact"/>
              <w:jc w:val="center"/>
              <w:rPr>
                <w:rFonts w:hint="eastAsia" w:ascii="仿宋_GB2312" w:hAnsi="仿宋_GB2312" w:eastAsia="仿宋_GB2312" w:cs="仿宋_GB2312"/>
                <w:sz w:val="24"/>
                <w:szCs w:val="24"/>
                <w:lang w:val="en"/>
              </w:rPr>
            </w:pPr>
            <w:r>
              <w:rPr>
                <w:rFonts w:hint="eastAsia" w:ascii="仿宋_GB2312" w:eastAsia="仿宋_GB2312"/>
                <w:sz w:val="24"/>
                <w:szCs w:val="24"/>
              </w:rPr>
              <w:t>P35-51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8" w:type="dxa"/>
          </w:tcPr>
          <w:p>
            <w:pPr>
              <w:spacing w:line="56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104</w:t>
            </w:r>
          </w:p>
        </w:tc>
        <w:tc>
          <w:tcPr>
            <w:tcW w:w="7027" w:type="dxa"/>
          </w:tcPr>
          <w:p>
            <w:pPr>
              <w:spacing w:line="560" w:lineRule="exact"/>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住宅室内装饰装修管理办法</w:t>
            </w:r>
          </w:p>
        </w:tc>
        <w:tc>
          <w:tcPr>
            <w:tcW w:w="1073" w:type="dxa"/>
          </w:tcPr>
          <w:p>
            <w:pPr>
              <w:spacing w:line="560" w:lineRule="exact"/>
              <w:jc w:val="center"/>
              <w:rPr>
                <w:rFonts w:hint="eastAsia" w:ascii="仿宋_GB2312" w:hAnsi="仿宋_GB2312" w:eastAsia="仿宋_GB2312" w:cs="仿宋_GB2312"/>
                <w:sz w:val="24"/>
                <w:szCs w:val="24"/>
                <w:lang w:val="en"/>
              </w:rPr>
            </w:pPr>
            <w:r>
              <w:rPr>
                <w:rFonts w:hint="eastAsia" w:ascii="仿宋_GB2312" w:eastAsia="仿宋_GB2312"/>
                <w:sz w:val="24"/>
                <w:szCs w:val="24"/>
              </w:rPr>
              <w:t>8</w:t>
            </w:r>
          </w:p>
        </w:tc>
        <w:tc>
          <w:tcPr>
            <w:tcW w:w="1185" w:type="dxa"/>
          </w:tcPr>
          <w:p>
            <w:pPr>
              <w:spacing w:line="560" w:lineRule="exact"/>
              <w:jc w:val="center"/>
              <w:rPr>
                <w:rFonts w:hint="eastAsia" w:ascii="仿宋_GB2312" w:hAnsi="仿宋_GB2312" w:eastAsia="仿宋_GB2312" w:cs="仿宋_GB2312"/>
                <w:sz w:val="24"/>
                <w:szCs w:val="24"/>
                <w:lang w:val="en"/>
              </w:rPr>
            </w:pPr>
            <w:r>
              <w:rPr>
                <w:rFonts w:hint="eastAsia" w:ascii="仿宋_GB2312" w:eastAsia="仿宋_GB2312"/>
                <w:sz w:val="24"/>
                <w:szCs w:val="24"/>
              </w:rPr>
              <w:t>P52-59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8" w:type="dxa"/>
          </w:tcPr>
          <w:p>
            <w:pPr>
              <w:spacing w:line="56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105</w:t>
            </w:r>
          </w:p>
        </w:tc>
        <w:tc>
          <w:tcPr>
            <w:tcW w:w="7027" w:type="dxa"/>
          </w:tcPr>
          <w:p>
            <w:pPr>
              <w:spacing w:line="560" w:lineRule="exact"/>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建筑工程五方责任主体项目负责人质量终身责任追究暂行办法</w:t>
            </w:r>
          </w:p>
        </w:tc>
        <w:tc>
          <w:tcPr>
            <w:tcW w:w="1073" w:type="dxa"/>
          </w:tcPr>
          <w:p>
            <w:pPr>
              <w:spacing w:line="560" w:lineRule="exact"/>
              <w:jc w:val="center"/>
              <w:rPr>
                <w:rFonts w:hint="eastAsia" w:ascii="仿宋_GB2312" w:hAnsi="仿宋_GB2312" w:eastAsia="仿宋_GB2312" w:cs="仿宋_GB2312"/>
                <w:sz w:val="24"/>
                <w:szCs w:val="24"/>
              </w:rPr>
            </w:pPr>
            <w:r>
              <w:rPr>
                <w:rFonts w:hint="eastAsia" w:ascii="仿宋_GB2312" w:eastAsia="仿宋_GB2312"/>
                <w:sz w:val="24"/>
                <w:szCs w:val="24"/>
              </w:rPr>
              <w:t>1</w:t>
            </w:r>
          </w:p>
        </w:tc>
        <w:tc>
          <w:tcPr>
            <w:tcW w:w="1185" w:type="dxa"/>
          </w:tcPr>
          <w:p>
            <w:pPr>
              <w:spacing w:line="560" w:lineRule="exact"/>
              <w:jc w:val="center"/>
              <w:rPr>
                <w:rFonts w:hint="eastAsia" w:ascii="仿宋_GB2312" w:hAnsi="仿宋_GB2312" w:eastAsia="仿宋_GB2312" w:cs="仿宋_GB2312"/>
                <w:sz w:val="24"/>
                <w:szCs w:val="24"/>
              </w:rPr>
            </w:pPr>
            <w:r>
              <w:rPr>
                <w:rFonts w:hint="eastAsia" w:ascii="仿宋_GB2312" w:eastAsia="仿宋_GB2312"/>
                <w:sz w:val="24"/>
                <w:szCs w:val="24"/>
              </w:rPr>
              <w:t>P60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878" w:type="dxa"/>
          </w:tcPr>
          <w:p>
            <w:pPr>
              <w:spacing w:line="56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106</w:t>
            </w:r>
          </w:p>
        </w:tc>
        <w:tc>
          <w:tcPr>
            <w:tcW w:w="7027" w:type="dxa"/>
          </w:tcPr>
          <w:p>
            <w:pPr>
              <w:spacing w:line="560" w:lineRule="exact"/>
              <w:jc w:val="left"/>
              <w:rPr>
                <w:rFonts w:hint="eastAsia" w:ascii="仿宋_GB2312" w:hAnsi="仿宋_GB2312" w:eastAsia="仿宋_GB2312" w:cs="仿宋_GB2312"/>
                <w:b/>
                <w:bCs/>
                <w:sz w:val="24"/>
                <w:szCs w:val="24"/>
              </w:rPr>
            </w:pPr>
            <w:r>
              <w:rPr>
                <w:rFonts w:hint="eastAsia" w:ascii="仿宋_GB2312" w:hAnsi="仿宋_GB2312" w:eastAsia="仿宋_GB2312" w:cs="仿宋_GB2312"/>
                <w:sz w:val="24"/>
                <w:szCs w:val="24"/>
              </w:rPr>
              <w:t>深圳经济特区建设工程施工招标投标条例</w:t>
            </w:r>
          </w:p>
        </w:tc>
        <w:tc>
          <w:tcPr>
            <w:tcW w:w="1073" w:type="dxa"/>
          </w:tcPr>
          <w:p>
            <w:pPr>
              <w:spacing w:line="560" w:lineRule="exact"/>
              <w:jc w:val="center"/>
              <w:rPr>
                <w:rFonts w:hint="eastAsia" w:ascii="仿宋_GB2312" w:hAnsi="仿宋_GB2312" w:eastAsia="仿宋_GB2312" w:cs="仿宋_GB2312"/>
                <w:sz w:val="24"/>
                <w:szCs w:val="24"/>
                <w:lang w:val="en"/>
              </w:rPr>
            </w:pPr>
            <w:r>
              <w:rPr>
                <w:rFonts w:hint="eastAsia" w:ascii="仿宋_GB2312" w:eastAsia="仿宋_GB2312"/>
                <w:sz w:val="24"/>
                <w:szCs w:val="24"/>
              </w:rPr>
              <w:t>19</w:t>
            </w:r>
          </w:p>
        </w:tc>
        <w:tc>
          <w:tcPr>
            <w:tcW w:w="1185" w:type="dxa"/>
          </w:tcPr>
          <w:p>
            <w:pPr>
              <w:spacing w:line="560" w:lineRule="exact"/>
              <w:jc w:val="center"/>
              <w:rPr>
                <w:rFonts w:hint="eastAsia" w:ascii="仿宋_GB2312" w:hAnsi="仿宋_GB2312" w:eastAsia="仿宋_GB2312" w:cs="仿宋_GB2312"/>
                <w:sz w:val="24"/>
                <w:szCs w:val="24"/>
                <w:lang w:val="en"/>
              </w:rPr>
            </w:pPr>
            <w:r>
              <w:rPr>
                <w:rFonts w:hint="eastAsia" w:ascii="仿宋_GB2312" w:eastAsia="仿宋_GB2312"/>
                <w:sz w:val="24"/>
                <w:szCs w:val="24"/>
              </w:rPr>
              <w:t>P61-79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8" w:type="dxa"/>
          </w:tcPr>
          <w:p>
            <w:pPr>
              <w:spacing w:line="56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107</w:t>
            </w:r>
          </w:p>
        </w:tc>
        <w:tc>
          <w:tcPr>
            <w:tcW w:w="7027" w:type="dxa"/>
          </w:tcPr>
          <w:p>
            <w:pPr>
              <w:spacing w:line="560" w:lineRule="exact"/>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深圳经济特区建设工程施工安全条例</w:t>
            </w:r>
          </w:p>
        </w:tc>
        <w:tc>
          <w:tcPr>
            <w:tcW w:w="1073" w:type="dxa"/>
          </w:tcPr>
          <w:p>
            <w:pPr>
              <w:spacing w:line="560" w:lineRule="exact"/>
              <w:jc w:val="center"/>
              <w:rPr>
                <w:rFonts w:hint="eastAsia" w:ascii="仿宋_GB2312" w:hAnsi="仿宋_GB2312" w:eastAsia="仿宋_GB2312" w:cs="仿宋_GB2312"/>
                <w:sz w:val="24"/>
                <w:szCs w:val="24"/>
                <w:lang w:val="en"/>
              </w:rPr>
            </w:pPr>
            <w:r>
              <w:rPr>
                <w:rFonts w:hint="eastAsia" w:ascii="仿宋_GB2312" w:eastAsia="仿宋_GB2312"/>
                <w:sz w:val="24"/>
                <w:szCs w:val="24"/>
              </w:rPr>
              <w:t>13</w:t>
            </w:r>
          </w:p>
        </w:tc>
        <w:tc>
          <w:tcPr>
            <w:tcW w:w="1185" w:type="dxa"/>
          </w:tcPr>
          <w:p>
            <w:pPr>
              <w:spacing w:line="560" w:lineRule="exact"/>
              <w:jc w:val="center"/>
              <w:rPr>
                <w:rFonts w:hint="eastAsia" w:ascii="仿宋_GB2312" w:hAnsi="仿宋_GB2312" w:eastAsia="仿宋_GB2312" w:cs="仿宋_GB2312"/>
                <w:sz w:val="24"/>
                <w:szCs w:val="24"/>
              </w:rPr>
            </w:pPr>
            <w:r>
              <w:rPr>
                <w:rFonts w:hint="eastAsia" w:ascii="仿宋_GB2312" w:eastAsia="仿宋_GB2312"/>
                <w:sz w:val="24"/>
                <w:szCs w:val="24"/>
              </w:rPr>
              <w:t>P80-92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8" w:type="dxa"/>
          </w:tcPr>
          <w:p>
            <w:pPr>
              <w:spacing w:line="56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108</w:t>
            </w:r>
          </w:p>
        </w:tc>
        <w:tc>
          <w:tcPr>
            <w:tcW w:w="7027" w:type="dxa"/>
          </w:tcPr>
          <w:p>
            <w:pPr>
              <w:spacing w:line="560" w:lineRule="exact"/>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深圳经济特区建设工程监理条例</w:t>
            </w:r>
          </w:p>
        </w:tc>
        <w:tc>
          <w:tcPr>
            <w:tcW w:w="1073" w:type="dxa"/>
          </w:tcPr>
          <w:p>
            <w:pPr>
              <w:spacing w:line="560" w:lineRule="exact"/>
              <w:jc w:val="center"/>
              <w:rPr>
                <w:rFonts w:hint="eastAsia" w:ascii="仿宋_GB2312" w:hAnsi="仿宋_GB2312" w:eastAsia="仿宋_GB2312" w:cs="仿宋_GB2312"/>
                <w:sz w:val="24"/>
                <w:szCs w:val="24"/>
                <w:lang w:val="en"/>
              </w:rPr>
            </w:pPr>
            <w:r>
              <w:rPr>
                <w:rFonts w:hint="eastAsia" w:ascii="仿宋_GB2312" w:eastAsia="仿宋_GB2312"/>
                <w:sz w:val="24"/>
                <w:szCs w:val="24"/>
              </w:rPr>
              <w:t>14</w:t>
            </w:r>
          </w:p>
        </w:tc>
        <w:tc>
          <w:tcPr>
            <w:tcW w:w="1185" w:type="dxa"/>
          </w:tcPr>
          <w:p>
            <w:pPr>
              <w:spacing w:line="560" w:lineRule="exact"/>
              <w:jc w:val="center"/>
              <w:rPr>
                <w:rFonts w:hint="eastAsia" w:ascii="仿宋_GB2312" w:hAnsi="仿宋_GB2312" w:eastAsia="仿宋_GB2312" w:cs="仿宋_GB2312"/>
                <w:sz w:val="24"/>
                <w:szCs w:val="24"/>
              </w:rPr>
            </w:pPr>
            <w:r>
              <w:rPr>
                <w:rFonts w:hint="eastAsia" w:ascii="仿宋_GB2312" w:eastAsia="仿宋_GB2312"/>
                <w:sz w:val="24"/>
                <w:szCs w:val="24"/>
              </w:rPr>
              <w:t>P93-106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8" w:type="dxa"/>
          </w:tcPr>
          <w:p>
            <w:pPr>
              <w:spacing w:line="56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w:t>
            </w:r>
            <w:r>
              <w:rPr>
                <w:rFonts w:ascii="仿宋_GB2312" w:hAnsi="仿宋_GB2312" w:eastAsia="仿宋_GB2312" w:cs="仿宋_GB2312"/>
                <w:sz w:val="24"/>
                <w:szCs w:val="24"/>
              </w:rPr>
              <w:t>09</w:t>
            </w:r>
          </w:p>
        </w:tc>
        <w:tc>
          <w:tcPr>
            <w:tcW w:w="7027" w:type="dxa"/>
          </w:tcPr>
          <w:p>
            <w:pPr>
              <w:spacing w:line="560" w:lineRule="exact"/>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深圳经济特区市容和环境卫生管理条例</w:t>
            </w:r>
          </w:p>
        </w:tc>
        <w:tc>
          <w:tcPr>
            <w:tcW w:w="1073" w:type="dxa"/>
          </w:tcPr>
          <w:p>
            <w:pPr>
              <w:spacing w:line="560" w:lineRule="exact"/>
              <w:jc w:val="center"/>
              <w:rPr>
                <w:rFonts w:hint="eastAsia" w:ascii="仿宋_GB2312" w:hAnsi="仿宋_GB2312" w:eastAsia="仿宋_GB2312" w:cs="仿宋_GB2312"/>
                <w:sz w:val="24"/>
                <w:szCs w:val="24"/>
                <w:lang w:val="en"/>
              </w:rPr>
            </w:pPr>
            <w:r>
              <w:rPr>
                <w:rFonts w:hint="eastAsia" w:ascii="仿宋_GB2312" w:eastAsia="仿宋_GB2312"/>
                <w:sz w:val="24"/>
                <w:szCs w:val="24"/>
              </w:rPr>
              <w:t>1</w:t>
            </w:r>
          </w:p>
        </w:tc>
        <w:tc>
          <w:tcPr>
            <w:tcW w:w="1185" w:type="dxa"/>
          </w:tcPr>
          <w:p>
            <w:pPr>
              <w:spacing w:line="560" w:lineRule="exact"/>
              <w:jc w:val="center"/>
              <w:rPr>
                <w:rFonts w:hint="eastAsia" w:ascii="仿宋_GB2312" w:hAnsi="仿宋_GB2312" w:eastAsia="仿宋_GB2312" w:cs="仿宋_GB2312"/>
                <w:sz w:val="24"/>
                <w:szCs w:val="24"/>
              </w:rPr>
            </w:pPr>
            <w:r>
              <w:rPr>
                <w:rFonts w:hint="eastAsia" w:ascii="仿宋_GB2312" w:eastAsia="仿宋_GB2312"/>
                <w:sz w:val="24"/>
                <w:szCs w:val="24"/>
              </w:rPr>
              <w:t>P107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878" w:type="dxa"/>
          </w:tcPr>
          <w:p>
            <w:pPr>
              <w:spacing w:line="560" w:lineRule="exact"/>
              <w:jc w:val="center"/>
              <w:rPr>
                <w:rFonts w:hint="eastAsia" w:ascii="仿宋_GB2312" w:hAnsi="仿宋_GB2312" w:eastAsia="仿宋_GB2312" w:cs="仿宋_GB2312"/>
                <w:sz w:val="24"/>
                <w:szCs w:val="24"/>
                <w:lang w:val="en"/>
              </w:rPr>
            </w:pPr>
            <w:r>
              <w:rPr>
                <w:rFonts w:hint="eastAsia" w:ascii="仿宋_GB2312" w:hAnsi="仿宋_GB2312" w:eastAsia="仿宋_GB2312" w:cs="仿宋_GB2312"/>
                <w:sz w:val="24"/>
                <w:szCs w:val="24"/>
              </w:rPr>
              <w:t>11</w:t>
            </w:r>
            <w:r>
              <w:rPr>
                <w:rFonts w:ascii="仿宋_GB2312" w:hAnsi="仿宋_GB2312" w:eastAsia="仿宋_GB2312" w:cs="仿宋_GB2312"/>
                <w:sz w:val="24"/>
                <w:szCs w:val="24"/>
              </w:rPr>
              <w:t>0</w:t>
            </w:r>
          </w:p>
        </w:tc>
        <w:tc>
          <w:tcPr>
            <w:tcW w:w="7027" w:type="dxa"/>
          </w:tcPr>
          <w:p>
            <w:pPr>
              <w:spacing w:line="560" w:lineRule="exact"/>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深圳经济特区消防条例</w:t>
            </w:r>
          </w:p>
        </w:tc>
        <w:tc>
          <w:tcPr>
            <w:tcW w:w="1073" w:type="dxa"/>
          </w:tcPr>
          <w:p>
            <w:pPr>
              <w:spacing w:line="560" w:lineRule="exact"/>
              <w:jc w:val="center"/>
              <w:rPr>
                <w:rFonts w:hint="eastAsia" w:ascii="仿宋_GB2312" w:hAnsi="仿宋_GB2312" w:eastAsia="仿宋_GB2312" w:cs="仿宋_GB2312"/>
                <w:sz w:val="24"/>
                <w:szCs w:val="24"/>
                <w:lang w:val="en"/>
              </w:rPr>
            </w:pPr>
            <w:r>
              <w:rPr>
                <w:rFonts w:hint="eastAsia" w:ascii="仿宋_GB2312" w:eastAsia="仿宋_GB2312"/>
                <w:sz w:val="24"/>
                <w:szCs w:val="24"/>
              </w:rPr>
              <w:t>8</w:t>
            </w:r>
          </w:p>
        </w:tc>
        <w:tc>
          <w:tcPr>
            <w:tcW w:w="1185" w:type="dxa"/>
          </w:tcPr>
          <w:p>
            <w:pPr>
              <w:spacing w:line="560" w:lineRule="exact"/>
              <w:jc w:val="center"/>
              <w:rPr>
                <w:rFonts w:hint="eastAsia" w:ascii="仿宋_GB2312" w:hAnsi="仿宋_GB2312" w:eastAsia="仿宋_GB2312" w:cs="仿宋_GB2312"/>
                <w:sz w:val="24"/>
                <w:szCs w:val="24"/>
              </w:rPr>
            </w:pPr>
            <w:r>
              <w:rPr>
                <w:rFonts w:hint="eastAsia" w:ascii="仿宋_GB2312" w:eastAsia="仿宋_GB2312"/>
                <w:sz w:val="24"/>
                <w:szCs w:val="24"/>
              </w:rPr>
              <w:t>P108-115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jc w:val="center"/>
        </w:trPr>
        <w:tc>
          <w:tcPr>
            <w:tcW w:w="878" w:type="dxa"/>
          </w:tcPr>
          <w:p>
            <w:pPr>
              <w:spacing w:line="560" w:lineRule="exact"/>
              <w:jc w:val="center"/>
              <w:rPr>
                <w:rFonts w:hint="eastAsia" w:ascii="仿宋_GB2312" w:hAnsi="仿宋_GB2312" w:eastAsia="仿宋_GB2312" w:cs="仿宋_GB2312"/>
                <w:sz w:val="24"/>
                <w:szCs w:val="24"/>
                <w:lang w:val="en"/>
              </w:rPr>
            </w:pPr>
            <w:r>
              <w:rPr>
                <w:rFonts w:hint="eastAsia" w:ascii="仿宋_GB2312" w:hAnsi="仿宋_GB2312" w:eastAsia="仿宋_GB2312" w:cs="仿宋_GB2312"/>
                <w:sz w:val="24"/>
                <w:szCs w:val="24"/>
              </w:rPr>
              <w:t>11</w:t>
            </w:r>
            <w:r>
              <w:rPr>
                <w:rFonts w:ascii="仿宋_GB2312" w:hAnsi="仿宋_GB2312" w:eastAsia="仿宋_GB2312" w:cs="仿宋_GB2312"/>
                <w:sz w:val="24"/>
                <w:szCs w:val="24"/>
              </w:rPr>
              <w:t>1</w:t>
            </w:r>
          </w:p>
        </w:tc>
        <w:tc>
          <w:tcPr>
            <w:tcW w:w="7027" w:type="dxa"/>
          </w:tcPr>
          <w:p>
            <w:pPr>
              <w:spacing w:line="560" w:lineRule="exact"/>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深圳市建设工程质量管理条例</w:t>
            </w:r>
          </w:p>
        </w:tc>
        <w:tc>
          <w:tcPr>
            <w:tcW w:w="1073" w:type="dxa"/>
          </w:tcPr>
          <w:p>
            <w:pPr>
              <w:spacing w:line="560" w:lineRule="exact"/>
              <w:jc w:val="center"/>
              <w:rPr>
                <w:rFonts w:hint="eastAsia" w:ascii="仿宋_GB2312" w:hAnsi="仿宋_GB2312" w:eastAsia="仿宋_GB2312" w:cs="仿宋_GB2312"/>
                <w:sz w:val="24"/>
                <w:szCs w:val="24"/>
              </w:rPr>
            </w:pPr>
            <w:r>
              <w:rPr>
                <w:rFonts w:hint="eastAsia" w:ascii="仿宋_GB2312" w:eastAsia="仿宋_GB2312"/>
                <w:sz w:val="24"/>
                <w:szCs w:val="24"/>
              </w:rPr>
              <w:t>11</w:t>
            </w:r>
          </w:p>
        </w:tc>
        <w:tc>
          <w:tcPr>
            <w:tcW w:w="1185" w:type="dxa"/>
          </w:tcPr>
          <w:p>
            <w:pPr>
              <w:spacing w:line="560" w:lineRule="exact"/>
              <w:jc w:val="center"/>
              <w:rPr>
                <w:rFonts w:hint="eastAsia" w:ascii="仿宋_GB2312" w:hAnsi="仿宋_GB2312" w:eastAsia="仿宋_GB2312" w:cs="仿宋_GB2312"/>
                <w:sz w:val="24"/>
                <w:szCs w:val="24"/>
              </w:rPr>
            </w:pPr>
            <w:r>
              <w:rPr>
                <w:rFonts w:hint="eastAsia" w:ascii="仿宋_GB2312" w:eastAsia="仿宋_GB2312"/>
                <w:sz w:val="24"/>
                <w:szCs w:val="24"/>
              </w:rPr>
              <w:t>P116-126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jc w:val="center"/>
        </w:trPr>
        <w:tc>
          <w:tcPr>
            <w:tcW w:w="878" w:type="dxa"/>
          </w:tcPr>
          <w:p>
            <w:pPr>
              <w:spacing w:line="56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11</w:t>
            </w:r>
            <w:r>
              <w:rPr>
                <w:rFonts w:ascii="仿宋_GB2312" w:hAnsi="仿宋_GB2312" w:eastAsia="仿宋_GB2312" w:cs="仿宋_GB2312"/>
                <w:sz w:val="24"/>
                <w:szCs w:val="24"/>
              </w:rPr>
              <w:t>2</w:t>
            </w:r>
          </w:p>
        </w:tc>
        <w:tc>
          <w:tcPr>
            <w:tcW w:w="7027" w:type="dxa"/>
          </w:tcPr>
          <w:p>
            <w:pPr>
              <w:spacing w:line="560" w:lineRule="exact"/>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深圳经济特区城市燃气管理条例</w:t>
            </w:r>
          </w:p>
        </w:tc>
        <w:tc>
          <w:tcPr>
            <w:tcW w:w="1073" w:type="dxa"/>
          </w:tcPr>
          <w:p>
            <w:pPr>
              <w:spacing w:line="560" w:lineRule="exact"/>
              <w:jc w:val="center"/>
              <w:rPr>
                <w:rFonts w:hint="eastAsia" w:ascii="仿宋_GB2312" w:hAnsi="仿宋_GB2312" w:eastAsia="仿宋_GB2312" w:cs="仿宋_GB2312"/>
                <w:sz w:val="24"/>
                <w:szCs w:val="24"/>
              </w:rPr>
            </w:pPr>
            <w:r>
              <w:rPr>
                <w:rFonts w:hint="eastAsia" w:ascii="仿宋_GB2312" w:eastAsia="仿宋_GB2312"/>
                <w:sz w:val="24"/>
                <w:szCs w:val="24"/>
              </w:rPr>
              <w:t>41</w:t>
            </w:r>
          </w:p>
        </w:tc>
        <w:tc>
          <w:tcPr>
            <w:tcW w:w="1185" w:type="dxa"/>
          </w:tcPr>
          <w:p>
            <w:pPr>
              <w:spacing w:line="560" w:lineRule="exact"/>
              <w:jc w:val="center"/>
              <w:rPr>
                <w:rFonts w:hint="eastAsia" w:ascii="仿宋_GB2312" w:hAnsi="仿宋_GB2312" w:eastAsia="仿宋_GB2312" w:cs="仿宋_GB2312"/>
                <w:sz w:val="24"/>
                <w:szCs w:val="24"/>
              </w:rPr>
            </w:pPr>
            <w:r>
              <w:rPr>
                <w:rFonts w:hint="eastAsia" w:ascii="仿宋_GB2312" w:eastAsia="仿宋_GB2312"/>
                <w:sz w:val="24"/>
                <w:szCs w:val="24"/>
              </w:rPr>
              <w:t>P127-167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jc w:val="center"/>
        </w:trPr>
        <w:tc>
          <w:tcPr>
            <w:tcW w:w="878" w:type="dxa"/>
          </w:tcPr>
          <w:p>
            <w:pPr>
              <w:spacing w:line="560" w:lineRule="exact"/>
              <w:jc w:val="center"/>
              <w:rPr>
                <w:rFonts w:hint="eastAsia" w:ascii="仿宋_GB2312" w:hAnsi="仿宋_GB2312" w:eastAsia="仿宋_GB2312" w:cs="仿宋_GB2312"/>
                <w:sz w:val="24"/>
                <w:szCs w:val="24"/>
                <w:lang w:val="en"/>
              </w:rPr>
            </w:pPr>
            <w:r>
              <w:rPr>
                <w:rFonts w:hint="eastAsia" w:ascii="仿宋_GB2312" w:hAnsi="仿宋_GB2312" w:eastAsia="仿宋_GB2312" w:cs="仿宋_GB2312"/>
                <w:sz w:val="24"/>
                <w:szCs w:val="24"/>
              </w:rPr>
              <w:t>11</w:t>
            </w:r>
            <w:r>
              <w:rPr>
                <w:rFonts w:ascii="仿宋_GB2312" w:hAnsi="仿宋_GB2312" w:eastAsia="仿宋_GB2312" w:cs="仿宋_GB2312"/>
                <w:sz w:val="24"/>
                <w:szCs w:val="24"/>
              </w:rPr>
              <w:t>3</w:t>
            </w:r>
          </w:p>
        </w:tc>
        <w:tc>
          <w:tcPr>
            <w:tcW w:w="7027" w:type="dxa"/>
          </w:tcPr>
          <w:p>
            <w:pPr>
              <w:spacing w:line="560" w:lineRule="exact"/>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深圳市建筑废弃物减排与利用条例</w:t>
            </w:r>
          </w:p>
        </w:tc>
        <w:tc>
          <w:tcPr>
            <w:tcW w:w="1073" w:type="dxa"/>
          </w:tcPr>
          <w:p>
            <w:pPr>
              <w:spacing w:line="560" w:lineRule="exact"/>
              <w:jc w:val="center"/>
              <w:rPr>
                <w:rFonts w:hint="eastAsia" w:ascii="仿宋_GB2312" w:hAnsi="仿宋_GB2312" w:eastAsia="仿宋_GB2312" w:cs="仿宋_GB2312"/>
                <w:sz w:val="24"/>
                <w:szCs w:val="24"/>
                <w:lang w:val="en"/>
              </w:rPr>
            </w:pPr>
            <w:r>
              <w:rPr>
                <w:rFonts w:hint="eastAsia" w:ascii="仿宋_GB2312" w:eastAsia="仿宋_GB2312"/>
                <w:sz w:val="24"/>
                <w:szCs w:val="24"/>
              </w:rPr>
              <w:t>1</w:t>
            </w:r>
          </w:p>
        </w:tc>
        <w:tc>
          <w:tcPr>
            <w:tcW w:w="1185" w:type="dxa"/>
          </w:tcPr>
          <w:p>
            <w:pPr>
              <w:spacing w:line="560" w:lineRule="exact"/>
              <w:jc w:val="center"/>
              <w:rPr>
                <w:rFonts w:hint="eastAsia" w:ascii="仿宋_GB2312" w:hAnsi="仿宋_GB2312" w:eastAsia="仿宋_GB2312" w:cs="仿宋_GB2312"/>
                <w:sz w:val="24"/>
                <w:szCs w:val="24"/>
              </w:rPr>
            </w:pPr>
            <w:r>
              <w:rPr>
                <w:rFonts w:hint="eastAsia" w:ascii="仿宋_GB2312" w:eastAsia="仿宋_GB2312"/>
                <w:sz w:val="24"/>
                <w:szCs w:val="24"/>
              </w:rPr>
              <w:t>P168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jc w:val="center"/>
        </w:trPr>
        <w:tc>
          <w:tcPr>
            <w:tcW w:w="878" w:type="dxa"/>
          </w:tcPr>
          <w:p>
            <w:pPr>
              <w:spacing w:line="560" w:lineRule="exact"/>
              <w:jc w:val="center"/>
              <w:rPr>
                <w:rFonts w:hint="eastAsia" w:ascii="仿宋_GB2312" w:hAnsi="仿宋_GB2312" w:eastAsia="仿宋_GB2312" w:cs="仿宋_GB2312"/>
                <w:sz w:val="24"/>
                <w:szCs w:val="24"/>
                <w:lang w:val="en"/>
              </w:rPr>
            </w:pPr>
            <w:r>
              <w:rPr>
                <w:rFonts w:hint="eastAsia" w:ascii="仿宋_GB2312" w:hAnsi="仿宋_GB2312" w:eastAsia="仿宋_GB2312" w:cs="仿宋_GB2312"/>
                <w:sz w:val="24"/>
                <w:szCs w:val="24"/>
              </w:rPr>
              <w:t>11</w:t>
            </w:r>
            <w:r>
              <w:rPr>
                <w:rFonts w:ascii="仿宋_GB2312" w:hAnsi="仿宋_GB2312" w:eastAsia="仿宋_GB2312" w:cs="仿宋_GB2312"/>
                <w:sz w:val="24"/>
                <w:szCs w:val="24"/>
              </w:rPr>
              <w:t>4</w:t>
            </w:r>
          </w:p>
        </w:tc>
        <w:tc>
          <w:tcPr>
            <w:tcW w:w="7027" w:type="dxa"/>
          </w:tcPr>
          <w:p>
            <w:pPr>
              <w:spacing w:line="560" w:lineRule="exact"/>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深圳市建筑废弃物管理办法</w:t>
            </w:r>
          </w:p>
        </w:tc>
        <w:tc>
          <w:tcPr>
            <w:tcW w:w="1073" w:type="dxa"/>
          </w:tcPr>
          <w:p>
            <w:pPr>
              <w:spacing w:line="560" w:lineRule="exact"/>
              <w:jc w:val="center"/>
              <w:rPr>
                <w:rFonts w:hint="eastAsia" w:ascii="仿宋_GB2312" w:hAnsi="仿宋_GB2312" w:eastAsia="仿宋_GB2312" w:cs="仿宋_GB2312"/>
                <w:sz w:val="24"/>
                <w:szCs w:val="24"/>
              </w:rPr>
            </w:pPr>
            <w:r>
              <w:rPr>
                <w:rFonts w:hint="eastAsia" w:ascii="仿宋_GB2312" w:eastAsia="仿宋_GB2312"/>
                <w:sz w:val="24"/>
                <w:szCs w:val="24"/>
              </w:rPr>
              <w:t>10</w:t>
            </w:r>
          </w:p>
        </w:tc>
        <w:tc>
          <w:tcPr>
            <w:tcW w:w="1185" w:type="dxa"/>
          </w:tcPr>
          <w:p>
            <w:pPr>
              <w:spacing w:line="560" w:lineRule="exact"/>
              <w:jc w:val="center"/>
              <w:rPr>
                <w:rFonts w:hint="eastAsia" w:ascii="仿宋_GB2312" w:hAnsi="仿宋_GB2312" w:eastAsia="仿宋_GB2312" w:cs="仿宋_GB2312"/>
                <w:sz w:val="24"/>
                <w:szCs w:val="24"/>
              </w:rPr>
            </w:pPr>
            <w:r>
              <w:rPr>
                <w:rFonts w:hint="eastAsia" w:ascii="仿宋_GB2312" w:eastAsia="仿宋_GB2312"/>
                <w:sz w:val="24"/>
                <w:szCs w:val="24"/>
              </w:rPr>
              <w:t>P169-178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jc w:val="center"/>
        </w:trPr>
        <w:tc>
          <w:tcPr>
            <w:tcW w:w="878" w:type="dxa"/>
          </w:tcPr>
          <w:p>
            <w:pPr>
              <w:spacing w:line="560" w:lineRule="exact"/>
              <w:jc w:val="center"/>
              <w:rPr>
                <w:rFonts w:hint="eastAsia" w:ascii="仿宋_GB2312" w:hAnsi="仿宋_GB2312" w:eastAsia="仿宋_GB2312" w:cs="仿宋_GB2312"/>
                <w:sz w:val="24"/>
                <w:szCs w:val="24"/>
                <w:lang w:val="en"/>
              </w:rPr>
            </w:pPr>
            <w:r>
              <w:rPr>
                <w:rFonts w:hint="eastAsia" w:ascii="仿宋_GB2312" w:hAnsi="仿宋_GB2312" w:eastAsia="仿宋_GB2312" w:cs="仿宋_GB2312"/>
                <w:sz w:val="24"/>
                <w:szCs w:val="24"/>
                <w:lang w:val="en"/>
              </w:rPr>
              <w:t>11</w:t>
            </w:r>
            <w:r>
              <w:rPr>
                <w:rFonts w:ascii="仿宋_GB2312" w:hAnsi="仿宋_GB2312" w:eastAsia="仿宋_GB2312" w:cs="仿宋_GB2312"/>
                <w:sz w:val="24"/>
                <w:szCs w:val="24"/>
              </w:rPr>
              <w:t>5</w:t>
            </w:r>
          </w:p>
        </w:tc>
        <w:tc>
          <w:tcPr>
            <w:tcW w:w="7027" w:type="dxa"/>
          </w:tcPr>
          <w:p>
            <w:pPr>
              <w:spacing w:line="560" w:lineRule="exact"/>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深圳市制止建设工程转包、违法分包及挂靠规定</w:t>
            </w:r>
          </w:p>
        </w:tc>
        <w:tc>
          <w:tcPr>
            <w:tcW w:w="1073" w:type="dxa"/>
          </w:tcPr>
          <w:p>
            <w:pPr>
              <w:spacing w:line="560" w:lineRule="exact"/>
              <w:jc w:val="center"/>
              <w:rPr>
                <w:rFonts w:hint="eastAsia" w:ascii="仿宋_GB2312" w:hAnsi="仿宋_GB2312" w:eastAsia="仿宋_GB2312" w:cs="仿宋_GB2312"/>
                <w:sz w:val="24"/>
                <w:szCs w:val="24"/>
              </w:rPr>
            </w:pPr>
            <w:r>
              <w:rPr>
                <w:rFonts w:hint="eastAsia" w:ascii="仿宋_GB2312" w:eastAsia="仿宋_GB2312"/>
                <w:sz w:val="24"/>
                <w:szCs w:val="24"/>
              </w:rPr>
              <w:t>5</w:t>
            </w:r>
          </w:p>
        </w:tc>
        <w:tc>
          <w:tcPr>
            <w:tcW w:w="1185" w:type="dxa"/>
          </w:tcPr>
          <w:p>
            <w:pPr>
              <w:spacing w:line="560" w:lineRule="exact"/>
              <w:jc w:val="center"/>
              <w:rPr>
                <w:rFonts w:hint="eastAsia" w:ascii="仿宋_GB2312" w:hAnsi="仿宋_GB2312" w:eastAsia="仿宋_GB2312" w:cs="仿宋_GB2312"/>
                <w:sz w:val="24"/>
                <w:szCs w:val="24"/>
              </w:rPr>
            </w:pPr>
            <w:r>
              <w:rPr>
                <w:rFonts w:hint="eastAsia" w:ascii="仿宋_GB2312" w:eastAsia="仿宋_GB2312"/>
                <w:sz w:val="24"/>
                <w:szCs w:val="24"/>
              </w:rPr>
              <w:t>P179-183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jc w:val="center"/>
        </w:trPr>
        <w:tc>
          <w:tcPr>
            <w:tcW w:w="878" w:type="dxa"/>
          </w:tcPr>
          <w:p>
            <w:pPr>
              <w:spacing w:line="560" w:lineRule="exact"/>
              <w:jc w:val="center"/>
              <w:rPr>
                <w:rFonts w:hint="eastAsia" w:ascii="仿宋_GB2312" w:hAnsi="仿宋_GB2312" w:eastAsia="仿宋_GB2312" w:cs="仿宋_GB2312"/>
                <w:sz w:val="24"/>
                <w:szCs w:val="24"/>
                <w:lang w:val="en"/>
              </w:rPr>
            </w:pPr>
            <w:r>
              <w:rPr>
                <w:rFonts w:hint="eastAsia" w:ascii="仿宋_GB2312" w:hAnsi="仿宋_GB2312" w:eastAsia="仿宋_GB2312" w:cs="仿宋_GB2312"/>
                <w:sz w:val="24"/>
                <w:szCs w:val="24"/>
                <w:lang w:val="en"/>
              </w:rPr>
              <w:t>11</w:t>
            </w:r>
            <w:r>
              <w:rPr>
                <w:rFonts w:ascii="仿宋_GB2312" w:hAnsi="仿宋_GB2312" w:eastAsia="仿宋_GB2312" w:cs="仿宋_GB2312"/>
                <w:sz w:val="24"/>
                <w:szCs w:val="24"/>
              </w:rPr>
              <w:t>6</w:t>
            </w:r>
          </w:p>
        </w:tc>
        <w:tc>
          <w:tcPr>
            <w:tcW w:w="7027" w:type="dxa"/>
          </w:tcPr>
          <w:p>
            <w:pPr>
              <w:spacing w:line="560" w:lineRule="exact"/>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深圳市建设工程造价管理规定</w:t>
            </w:r>
          </w:p>
        </w:tc>
        <w:tc>
          <w:tcPr>
            <w:tcW w:w="1073" w:type="dxa"/>
          </w:tcPr>
          <w:p>
            <w:pPr>
              <w:spacing w:line="560" w:lineRule="exact"/>
              <w:jc w:val="center"/>
              <w:rPr>
                <w:rFonts w:hint="eastAsia" w:ascii="仿宋_GB2312" w:hAnsi="仿宋_GB2312" w:eastAsia="仿宋_GB2312" w:cs="仿宋_GB2312"/>
                <w:sz w:val="24"/>
                <w:szCs w:val="24"/>
              </w:rPr>
            </w:pPr>
            <w:r>
              <w:rPr>
                <w:rFonts w:hint="eastAsia" w:ascii="仿宋_GB2312" w:eastAsia="仿宋_GB2312"/>
                <w:sz w:val="24"/>
                <w:szCs w:val="24"/>
              </w:rPr>
              <w:t>3</w:t>
            </w:r>
          </w:p>
        </w:tc>
        <w:tc>
          <w:tcPr>
            <w:tcW w:w="1185" w:type="dxa"/>
          </w:tcPr>
          <w:p>
            <w:pPr>
              <w:spacing w:line="560" w:lineRule="exact"/>
              <w:jc w:val="center"/>
              <w:rPr>
                <w:rFonts w:hint="eastAsia" w:ascii="仿宋_GB2312" w:hAnsi="仿宋_GB2312" w:eastAsia="仿宋_GB2312" w:cs="仿宋_GB2312"/>
                <w:sz w:val="24"/>
                <w:szCs w:val="24"/>
              </w:rPr>
            </w:pPr>
            <w:r>
              <w:rPr>
                <w:rFonts w:hint="eastAsia" w:ascii="仿宋_GB2312" w:eastAsia="仿宋_GB2312"/>
                <w:sz w:val="24"/>
                <w:szCs w:val="24"/>
              </w:rPr>
              <w:t>P184-186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jc w:val="center"/>
        </w:trPr>
        <w:tc>
          <w:tcPr>
            <w:tcW w:w="878" w:type="dxa"/>
          </w:tcPr>
          <w:p>
            <w:pPr>
              <w:spacing w:line="560" w:lineRule="exact"/>
              <w:jc w:val="center"/>
              <w:rPr>
                <w:rFonts w:hint="eastAsia" w:ascii="仿宋_GB2312" w:hAnsi="仿宋_GB2312" w:eastAsia="仿宋_GB2312" w:cs="仿宋_GB2312"/>
                <w:sz w:val="24"/>
                <w:szCs w:val="24"/>
                <w:lang w:val="en"/>
              </w:rPr>
            </w:pPr>
            <w:r>
              <w:rPr>
                <w:rFonts w:hint="eastAsia" w:ascii="仿宋_GB2312" w:hAnsi="仿宋_GB2312" w:eastAsia="仿宋_GB2312" w:cs="仿宋_GB2312"/>
                <w:sz w:val="24"/>
                <w:szCs w:val="24"/>
              </w:rPr>
              <w:t>11</w:t>
            </w:r>
            <w:r>
              <w:rPr>
                <w:rFonts w:ascii="仿宋_GB2312" w:hAnsi="仿宋_GB2312" w:eastAsia="仿宋_GB2312" w:cs="仿宋_GB2312"/>
                <w:sz w:val="24"/>
                <w:szCs w:val="24"/>
              </w:rPr>
              <w:t>7</w:t>
            </w:r>
          </w:p>
        </w:tc>
        <w:tc>
          <w:tcPr>
            <w:tcW w:w="7027" w:type="dxa"/>
          </w:tcPr>
          <w:p>
            <w:pPr>
              <w:spacing w:line="560" w:lineRule="exact"/>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深圳市预拌混凝土和预拌砂浆管理规定</w:t>
            </w:r>
          </w:p>
        </w:tc>
        <w:tc>
          <w:tcPr>
            <w:tcW w:w="1073" w:type="dxa"/>
          </w:tcPr>
          <w:p>
            <w:pPr>
              <w:spacing w:line="560" w:lineRule="exact"/>
              <w:jc w:val="center"/>
              <w:rPr>
                <w:rFonts w:hint="eastAsia" w:ascii="仿宋_GB2312" w:hAnsi="仿宋_GB2312" w:eastAsia="仿宋_GB2312" w:cs="仿宋_GB2312"/>
                <w:sz w:val="24"/>
                <w:szCs w:val="24"/>
              </w:rPr>
            </w:pPr>
            <w:r>
              <w:rPr>
                <w:rFonts w:hint="eastAsia" w:ascii="仿宋_GB2312" w:eastAsia="仿宋_GB2312"/>
                <w:sz w:val="24"/>
                <w:szCs w:val="24"/>
              </w:rPr>
              <w:t>10</w:t>
            </w:r>
          </w:p>
        </w:tc>
        <w:tc>
          <w:tcPr>
            <w:tcW w:w="1185" w:type="dxa"/>
          </w:tcPr>
          <w:p>
            <w:pPr>
              <w:spacing w:line="560" w:lineRule="exact"/>
              <w:jc w:val="center"/>
              <w:rPr>
                <w:rFonts w:hint="eastAsia" w:ascii="仿宋_GB2312" w:hAnsi="仿宋_GB2312" w:eastAsia="仿宋_GB2312" w:cs="仿宋_GB2312"/>
                <w:sz w:val="24"/>
                <w:szCs w:val="24"/>
              </w:rPr>
            </w:pPr>
            <w:r>
              <w:rPr>
                <w:rFonts w:hint="eastAsia" w:ascii="仿宋_GB2312" w:eastAsia="仿宋_GB2312"/>
                <w:sz w:val="24"/>
                <w:szCs w:val="24"/>
              </w:rPr>
              <w:t>P187-196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jc w:val="center"/>
        </w:trPr>
        <w:tc>
          <w:tcPr>
            <w:tcW w:w="10163" w:type="dxa"/>
            <w:gridSpan w:val="4"/>
          </w:tcPr>
          <w:p>
            <w:pPr>
              <w:spacing w:line="560" w:lineRule="exact"/>
              <w:jc w:val="center"/>
              <w:rPr>
                <w:rFonts w:eastAsia="宋体" w:cs="Times New Roman"/>
                <w:b/>
                <w:bCs/>
                <w:sz w:val="28"/>
                <w:szCs w:val="28"/>
              </w:rPr>
            </w:pPr>
            <w:r>
              <w:rPr>
                <w:rFonts w:hint="eastAsia" w:eastAsia="宋体" w:cs="Times New Roman"/>
                <w:b/>
                <w:bCs/>
                <w:sz w:val="28"/>
                <w:szCs w:val="28"/>
              </w:rPr>
              <w:t xml:space="preserve">第二部分 </w:t>
            </w:r>
            <w:r>
              <w:rPr>
                <w:rFonts w:eastAsia="宋体" w:cs="Times New Roman"/>
                <w:b/>
                <w:bCs/>
                <w:sz w:val="28"/>
                <w:szCs w:val="28"/>
              </w:rPr>
              <w:t xml:space="preserve"> </w:t>
            </w:r>
            <w:r>
              <w:rPr>
                <w:rFonts w:hint="eastAsia" w:eastAsia="宋体" w:cs="Times New Roman"/>
                <w:b/>
                <w:bCs/>
                <w:sz w:val="28"/>
                <w:szCs w:val="28"/>
              </w:rPr>
              <w:t>房地产与住房保障类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jc w:val="center"/>
        </w:trPr>
        <w:tc>
          <w:tcPr>
            <w:tcW w:w="878" w:type="dxa"/>
          </w:tcPr>
          <w:p>
            <w:pPr>
              <w:spacing w:line="56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201</w:t>
            </w:r>
          </w:p>
        </w:tc>
        <w:tc>
          <w:tcPr>
            <w:tcW w:w="7027" w:type="dxa"/>
          </w:tcPr>
          <w:p>
            <w:pPr>
              <w:spacing w:line="560" w:lineRule="exact"/>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商品房销售管理办法</w:t>
            </w:r>
          </w:p>
        </w:tc>
        <w:tc>
          <w:tcPr>
            <w:tcW w:w="1073" w:type="dxa"/>
          </w:tcPr>
          <w:p>
            <w:pPr>
              <w:spacing w:line="560" w:lineRule="exact"/>
              <w:jc w:val="center"/>
              <w:rPr>
                <w:rFonts w:hint="eastAsia" w:ascii="仿宋_GB2312" w:hAnsi="仿宋_GB2312" w:eastAsia="仿宋_GB2312" w:cs="仿宋_GB2312"/>
                <w:sz w:val="24"/>
                <w:szCs w:val="24"/>
              </w:rPr>
            </w:pPr>
            <w:r>
              <w:rPr>
                <w:rFonts w:hint="eastAsia" w:ascii="仿宋_GB2312" w:eastAsia="仿宋_GB2312"/>
                <w:sz w:val="24"/>
                <w:szCs w:val="24"/>
              </w:rPr>
              <w:t>13</w:t>
            </w:r>
          </w:p>
        </w:tc>
        <w:tc>
          <w:tcPr>
            <w:tcW w:w="1185" w:type="dxa"/>
          </w:tcPr>
          <w:p>
            <w:pPr>
              <w:spacing w:line="560" w:lineRule="exact"/>
              <w:jc w:val="center"/>
              <w:rPr>
                <w:rFonts w:hint="eastAsia" w:ascii="仿宋_GB2312" w:hAnsi="仿宋_GB2312" w:eastAsia="仿宋_GB2312" w:cs="仿宋_GB2312"/>
                <w:sz w:val="24"/>
                <w:szCs w:val="24"/>
              </w:rPr>
            </w:pPr>
            <w:r>
              <w:rPr>
                <w:rFonts w:hint="eastAsia" w:ascii="仿宋_GB2312" w:eastAsia="仿宋_GB2312"/>
                <w:sz w:val="24"/>
                <w:szCs w:val="24"/>
              </w:rPr>
              <w:t>P198-210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jc w:val="center"/>
        </w:trPr>
        <w:tc>
          <w:tcPr>
            <w:tcW w:w="878" w:type="dxa"/>
          </w:tcPr>
          <w:p>
            <w:pPr>
              <w:spacing w:line="56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202</w:t>
            </w:r>
          </w:p>
        </w:tc>
        <w:tc>
          <w:tcPr>
            <w:tcW w:w="7027" w:type="dxa"/>
          </w:tcPr>
          <w:p>
            <w:pPr>
              <w:spacing w:line="560" w:lineRule="exact"/>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深圳经济特区房地产转让条例</w:t>
            </w:r>
          </w:p>
        </w:tc>
        <w:tc>
          <w:tcPr>
            <w:tcW w:w="1073" w:type="dxa"/>
          </w:tcPr>
          <w:p>
            <w:pPr>
              <w:spacing w:line="560" w:lineRule="exact"/>
              <w:jc w:val="center"/>
              <w:rPr>
                <w:rFonts w:hint="eastAsia" w:ascii="仿宋_GB2312" w:hAnsi="仿宋_GB2312" w:eastAsia="仿宋_GB2312" w:cs="仿宋_GB2312"/>
                <w:sz w:val="24"/>
                <w:szCs w:val="24"/>
              </w:rPr>
            </w:pPr>
            <w:r>
              <w:rPr>
                <w:rFonts w:hint="eastAsia" w:ascii="仿宋_GB2312" w:eastAsia="仿宋_GB2312"/>
                <w:sz w:val="24"/>
                <w:szCs w:val="24"/>
              </w:rPr>
              <w:t>1</w:t>
            </w:r>
          </w:p>
        </w:tc>
        <w:tc>
          <w:tcPr>
            <w:tcW w:w="1185" w:type="dxa"/>
          </w:tcPr>
          <w:p>
            <w:pPr>
              <w:spacing w:line="560" w:lineRule="exact"/>
              <w:jc w:val="center"/>
              <w:rPr>
                <w:rFonts w:hint="eastAsia" w:ascii="仿宋_GB2312" w:hAnsi="仿宋_GB2312" w:eastAsia="仿宋_GB2312" w:cs="仿宋_GB2312"/>
                <w:sz w:val="24"/>
                <w:szCs w:val="24"/>
              </w:rPr>
            </w:pPr>
            <w:r>
              <w:rPr>
                <w:rFonts w:hint="eastAsia" w:ascii="仿宋_GB2312" w:eastAsia="仿宋_GB2312"/>
                <w:sz w:val="24"/>
                <w:szCs w:val="24"/>
              </w:rPr>
              <w:t>P211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jc w:val="center"/>
        </w:trPr>
        <w:tc>
          <w:tcPr>
            <w:tcW w:w="878" w:type="dxa"/>
          </w:tcPr>
          <w:p>
            <w:pPr>
              <w:spacing w:line="56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203</w:t>
            </w:r>
          </w:p>
        </w:tc>
        <w:tc>
          <w:tcPr>
            <w:tcW w:w="7027" w:type="dxa"/>
          </w:tcPr>
          <w:p>
            <w:pPr>
              <w:spacing w:line="560" w:lineRule="exact"/>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深圳经济特区物业管理条例</w:t>
            </w:r>
          </w:p>
        </w:tc>
        <w:tc>
          <w:tcPr>
            <w:tcW w:w="1073" w:type="dxa"/>
          </w:tcPr>
          <w:p>
            <w:pPr>
              <w:spacing w:line="560" w:lineRule="exact"/>
              <w:jc w:val="center"/>
              <w:rPr>
                <w:rFonts w:hint="eastAsia" w:ascii="仿宋_GB2312" w:hAnsi="仿宋_GB2312" w:eastAsia="仿宋_GB2312" w:cs="仿宋_GB2312"/>
                <w:sz w:val="24"/>
                <w:szCs w:val="24"/>
              </w:rPr>
            </w:pPr>
            <w:r>
              <w:rPr>
                <w:rFonts w:hint="eastAsia" w:ascii="仿宋_GB2312" w:eastAsia="仿宋_GB2312"/>
                <w:sz w:val="24"/>
                <w:szCs w:val="24"/>
              </w:rPr>
              <w:t>35</w:t>
            </w:r>
          </w:p>
        </w:tc>
        <w:tc>
          <w:tcPr>
            <w:tcW w:w="1185" w:type="dxa"/>
          </w:tcPr>
          <w:p>
            <w:pPr>
              <w:spacing w:line="560" w:lineRule="exact"/>
              <w:jc w:val="center"/>
              <w:rPr>
                <w:rFonts w:hint="eastAsia" w:ascii="仿宋_GB2312" w:hAnsi="仿宋_GB2312" w:eastAsia="仿宋_GB2312" w:cs="仿宋_GB2312"/>
                <w:sz w:val="24"/>
                <w:szCs w:val="24"/>
              </w:rPr>
            </w:pPr>
            <w:r>
              <w:rPr>
                <w:rFonts w:hint="eastAsia" w:ascii="仿宋_GB2312" w:eastAsia="仿宋_GB2312"/>
                <w:sz w:val="24"/>
                <w:szCs w:val="24"/>
              </w:rPr>
              <w:t>P212-246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jc w:val="center"/>
        </w:trPr>
        <w:tc>
          <w:tcPr>
            <w:tcW w:w="878" w:type="dxa"/>
          </w:tcPr>
          <w:p>
            <w:pPr>
              <w:spacing w:line="56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204</w:t>
            </w:r>
          </w:p>
        </w:tc>
        <w:tc>
          <w:tcPr>
            <w:tcW w:w="7027" w:type="dxa"/>
          </w:tcPr>
          <w:p>
            <w:pPr>
              <w:spacing w:line="560" w:lineRule="exact"/>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深圳经济特区城市更新条例</w:t>
            </w:r>
          </w:p>
        </w:tc>
        <w:tc>
          <w:tcPr>
            <w:tcW w:w="1073" w:type="dxa"/>
          </w:tcPr>
          <w:p>
            <w:pPr>
              <w:spacing w:line="560" w:lineRule="exact"/>
              <w:jc w:val="center"/>
              <w:rPr>
                <w:rFonts w:hint="eastAsia" w:ascii="仿宋_GB2312" w:hAnsi="仿宋_GB2312" w:eastAsia="仿宋_GB2312" w:cs="仿宋_GB2312"/>
                <w:sz w:val="24"/>
                <w:szCs w:val="24"/>
              </w:rPr>
            </w:pPr>
            <w:r>
              <w:rPr>
                <w:rFonts w:hint="eastAsia" w:ascii="仿宋_GB2312" w:eastAsia="仿宋_GB2312"/>
                <w:sz w:val="24"/>
                <w:szCs w:val="24"/>
              </w:rPr>
              <w:t>3</w:t>
            </w:r>
          </w:p>
        </w:tc>
        <w:tc>
          <w:tcPr>
            <w:tcW w:w="1185" w:type="dxa"/>
          </w:tcPr>
          <w:p>
            <w:pPr>
              <w:spacing w:line="560" w:lineRule="exact"/>
              <w:jc w:val="center"/>
              <w:rPr>
                <w:rFonts w:hint="eastAsia" w:ascii="仿宋_GB2312" w:hAnsi="仿宋_GB2312" w:eastAsia="仿宋_GB2312" w:cs="仿宋_GB2312"/>
                <w:sz w:val="24"/>
                <w:szCs w:val="24"/>
              </w:rPr>
            </w:pPr>
            <w:r>
              <w:rPr>
                <w:rFonts w:hint="eastAsia" w:ascii="仿宋_GB2312" w:eastAsia="仿宋_GB2312"/>
                <w:sz w:val="24"/>
                <w:szCs w:val="24"/>
              </w:rPr>
              <w:t>P247-249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jc w:val="center"/>
        </w:trPr>
        <w:tc>
          <w:tcPr>
            <w:tcW w:w="878" w:type="dxa"/>
          </w:tcPr>
          <w:p>
            <w:pPr>
              <w:spacing w:line="56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205</w:t>
            </w:r>
          </w:p>
        </w:tc>
        <w:tc>
          <w:tcPr>
            <w:tcW w:w="7027" w:type="dxa"/>
          </w:tcPr>
          <w:p>
            <w:pPr>
              <w:spacing w:line="560" w:lineRule="exact"/>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深圳市房屋安全管理办法</w:t>
            </w:r>
          </w:p>
        </w:tc>
        <w:tc>
          <w:tcPr>
            <w:tcW w:w="1073" w:type="dxa"/>
          </w:tcPr>
          <w:p>
            <w:pPr>
              <w:spacing w:line="560" w:lineRule="exact"/>
              <w:jc w:val="center"/>
              <w:rPr>
                <w:rFonts w:hint="eastAsia" w:ascii="仿宋_GB2312" w:hAnsi="仿宋_GB2312" w:eastAsia="仿宋_GB2312" w:cs="仿宋_GB2312"/>
                <w:sz w:val="24"/>
                <w:szCs w:val="24"/>
              </w:rPr>
            </w:pPr>
            <w:r>
              <w:rPr>
                <w:rFonts w:hint="eastAsia" w:ascii="仿宋_GB2312" w:eastAsia="仿宋_GB2312"/>
                <w:sz w:val="24"/>
                <w:szCs w:val="24"/>
              </w:rPr>
              <w:t>14</w:t>
            </w:r>
          </w:p>
        </w:tc>
        <w:tc>
          <w:tcPr>
            <w:tcW w:w="1185" w:type="dxa"/>
          </w:tcPr>
          <w:p>
            <w:pPr>
              <w:tabs>
                <w:tab w:val="left" w:pos="376"/>
              </w:tabs>
              <w:spacing w:line="560" w:lineRule="exact"/>
              <w:jc w:val="center"/>
              <w:rPr>
                <w:rFonts w:hint="eastAsia" w:ascii="仿宋_GB2312" w:hAnsi="仿宋_GB2312" w:eastAsia="仿宋_GB2312" w:cs="仿宋_GB2312"/>
                <w:sz w:val="24"/>
                <w:szCs w:val="24"/>
              </w:rPr>
            </w:pPr>
            <w:r>
              <w:rPr>
                <w:rFonts w:hint="eastAsia" w:ascii="仿宋_GB2312" w:eastAsia="仿宋_GB2312"/>
                <w:sz w:val="24"/>
                <w:szCs w:val="24"/>
              </w:rPr>
              <w:t>P250-263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878" w:type="dxa"/>
          </w:tcPr>
          <w:p>
            <w:pPr>
              <w:spacing w:line="56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206</w:t>
            </w:r>
          </w:p>
        </w:tc>
        <w:tc>
          <w:tcPr>
            <w:tcW w:w="7027" w:type="dxa"/>
          </w:tcPr>
          <w:p>
            <w:pPr>
              <w:spacing w:line="560" w:lineRule="exact"/>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深圳市国家机关事业单位住房制度改革若干规定</w:t>
            </w:r>
          </w:p>
        </w:tc>
        <w:tc>
          <w:tcPr>
            <w:tcW w:w="1073" w:type="dxa"/>
          </w:tcPr>
          <w:p>
            <w:pPr>
              <w:spacing w:line="560" w:lineRule="exact"/>
              <w:jc w:val="center"/>
              <w:rPr>
                <w:rFonts w:hint="eastAsia" w:ascii="仿宋_GB2312" w:hAnsi="仿宋_GB2312" w:eastAsia="仿宋_GB2312" w:cs="仿宋_GB2312"/>
                <w:sz w:val="24"/>
                <w:szCs w:val="24"/>
              </w:rPr>
            </w:pPr>
            <w:r>
              <w:rPr>
                <w:rFonts w:hint="eastAsia" w:ascii="仿宋_GB2312" w:eastAsia="仿宋_GB2312"/>
                <w:sz w:val="24"/>
                <w:szCs w:val="24"/>
              </w:rPr>
              <w:t>6</w:t>
            </w:r>
          </w:p>
        </w:tc>
        <w:tc>
          <w:tcPr>
            <w:tcW w:w="1185" w:type="dxa"/>
          </w:tcPr>
          <w:p>
            <w:pPr>
              <w:spacing w:line="560" w:lineRule="exact"/>
              <w:jc w:val="center"/>
              <w:rPr>
                <w:rFonts w:hint="eastAsia" w:ascii="仿宋_GB2312" w:hAnsi="仿宋_GB2312" w:eastAsia="仿宋_GB2312" w:cs="仿宋_GB2312"/>
                <w:sz w:val="24"/>
                <w:szCs w:val="24"/>
              </w:rPr>
            </w:pPr>
            <w:r>
              <w:rPr>
                <w:rFonts w:hint="eastAsia" w:ascii="仿宋_GB2312" w:eastAsia="仿宋_GB2312"/>
                <w:sz w:val="24"/>
                <w:szCs w:val="24"/>
              </w:rPr>
              <w:t>P264-269</w:t>
            </w:r>
          </w:p>
        </w:tc>
      </w:tr>
    </w:tbl>
    <w:p/>
    <w:p>
      <w:pPr>
        <w:widowControl/>
        <w:spacing w:line="560" w:lineRule="exact"/>
        <w:jc w:val="left"/>
        <w:rPr>
          <w:b/>
          <w:bCs/>
          <w:sz w:val="84"/>
          <w:szCs w:val="84"/>
        </w:rPr>
      </w:pPr>
    </w:p>
    <w:p>
      <w:pPr>
        <w:widowControl/>
        <w:spacing w:line="560" w:lineRule="exact"/>
        <w:jc w:val="left"/>
        <w:rPr>
          <w:b/>
          <w:bCs/>
          <w:sz w:val="84"/>
          <w:szCs w:val="84"/>
        </w:rPr>
        <w:sectPr>
          <w:pgSz w:w="16838" w:h="11906" w:orient="landscape"/>
          <w:pgMar w:top="1800" w:right="1440" w:bottom="1800" w:left="1440" w:header="851" w:footer="992" w:gutter="0"/>
          <w:pgNumType w:fmt="numberInDash" w:start="1"/>
          <w:cols w:space="425" w:num="1"/>
          <w:docGrid w:type="lines" w:linePitch="312" w:charSpace="0"/>
        </w:sectPr>
      </w:pPr>
    </w:p>
    <w:p>
      <w:pPr>
        <w:widowControl/>
        <w:jc w:val="left"/>
        <w:rPr>
          <w:b/>
          <w:bCs/>
          <w:sz w:val="84"/>
          <w:szCs w:val="84"/>
        </w:rPr>
      </w:pPr>
    </w:p>
    <w:p>
      <w:pPr>
        <w:widowControl/>
        <w:jc w:val="left"/>
        <w:rPr>
          <w:b/>
          <w:bCs/>
          <w:sz w:val="84"/>
          <w:szCs w:val="84"/>
        </w:rPr>
      </w:pPr>
    </w:p>
    <w:p>
      <w:pPr>
        <w:widowControl/>
        <w:jc w:val="left"/>
        <w:rPr>
          <w:b/>
          <w:bCs/>
          <w:sz w:val="84"/>
          <w:szCs w:val="84"/>
        </w:rPr>
      </w:pPr>
    </w:p>
    <w:p>
      <w:pPr>
        <w:widowControl/>
        <w:jc w:val="center"/>
        <w:rPr>
          <w:b/>
          <w:bCs/>
          <w:sz w:val="52"/>
          <w:szCs w:val="52"/>
        </w:rPr>
      </w:pPr>
      <w:r>
        <w:rPr>
          <w:rFonts w:hint="eastAsia"/>
          <w:b/>
          <w:bCs/>
          <w:sz w:val="52"/>
          <w:szCs w:val="52"/>
        </w:rPr>
        <w:t xml:space="preserve">第一部分 </w:t>
      </w:r>
      <w:r>
        <w:rPr>
          <w:b/>
          <w:bCs/>
          <w:sz w:val="52"/>
          <w:szCs w:val="52"/>
        </w:rPr>
        <w:t xml:space="preserve"> </w:t>
      </w:r>
      <w:r>
        <w:rPr>
          <w:rFonts w:hint="eastAsia"/>
          <w:b/>
          <w:bCs/>
          <w:sz w:val="52"/>
          <w:szCs w:val="52"/>
        </w:rPr>
        <w:t>工程建设与建筑业类</w:t>
      </w:r>
    </w:p>
    <w:p>
      <w:pPr>
        <w:widowControl/>
        <w:jc w:val="left"/>
        <w:rPr>
          <w:b/>
          <w:sz w:val="84"/>
          <w:szCs w:val="84"/>
        </w:rPr>
      </w:pPr>
    </w:p>
    <w:p>
      <w:pPr>
        <w:rPr>
          <w:b/>
          <w:sz w:val="32"/>
          <w:szCs w:val="32"/>
        </w:rPr>
        <w:sectPr>
          <w:footerReference r:id="rId3" w:type="default"/>
          <w:pgSz w:w="16838" w:h="11906" w:orient="landscape"/>
          <w:pgMar w:top="1800" w:right="1440" w:bottom="1800" w:left="1440" w:header="851" w:footer="992" w:gutter="0"/>
          <w:pgNumType w:fmt="numberInDash" w:start="1"/>
          <w:cols w:space="425" w:num="1"/>
          <w:docGrid w:type="lines" w:linePitch="312" w:charSpace="0"/>
        </w:sectPr>
      </w:pPr>
    </w:p>
    <w:p>
      <w:pPr>
        <w:outlineLvl w:val="0"/>
        <w:rPr>
          <w:rStyle w:val="32"/>
          <w:rFonts w:hint="eastAsia" w:asciiTheme="minorEastAsia" w:hAnsiTheme="minorEastAsia" w:eastAsiaTheme="minorEastAsia" w:cstheme="minorEastAsia"/>
          <w:b w:val="0"/>
          <w:bCs/>
          <w:color w:val="000000"/>
        </w:rPr>
      </w:pPr>
      <w:bookmarkStart w:id="3" w:name="_Toc21917"/>
      <w:bookmarkStart w:id="4" w:name="_Toc5460"/>
      <w:bookmarkStart w:id="5" w:name="_Toc22976"/>
      <w:bookmarkStart w:id="6" w:name="_Toc11391"/>
      <w:bookmarkStart w:id="7" w:name="_Toc4571"/>
      <w:bookmarkStart w:id="8" w:name="_Toc416"/>
      <w:bookmarkStart w:id="9" w:name="_Toc13442"/>
      <w:bookmarkStart w:id="10" w:name="_Toc17537"/>
      <w:bookmarkStart w:id="11" w:name="_Toc32490"/>
      <w:bookmarkStart w:id="12" w:name="_Toc608"/>
      <w:bookmarkStart w:id="13" w:name="_Toc28033"/>
      <w:bookmarkStart w:id="14" w:name="_Toc21193"/>
      <w:r>
        <w:rPr>
          <w:rStyle w:val="32"/>
          <w:rFonts w:hint="eastAsia" w:asciiTheme="minorEastAsia" w:hAnsiTheme="minorEastAsia" w:eastAsiaTheme="minorEastAsia" w:cstheme="minorEastAsia"/>
          <w:b w:val="0"/>
          <w:bCs/>
          <w:color w:val="000000"/>
        </w:rPr>
        <w:t>《中华人民共和国安全生产法》</w:t>
      </w:r>
      <w:bookmarkEnd w:id="3"/>
      <w:bookmarkEnd w:id="4"/>
      <w:bookmarkEnd w:id="5"/>
      <w:bookmarkEnd w:id="6"/>
      <w:bookmarkEnd w:id="7"/>
      <w:bookmarkEnd w:id="8"/>
      <w:bookmarkEnd w:id="9"/>
      <w:bookmarkEnd w:id="10"/>
      <w:bookmarkEnd w:id="11"/>
      <w:bookmarkEnd w:id="12"/>
      <w:bookmarkEnd w:id="13"/>
      <w:bookmarkEnd w:id="14"/>
    </w:p>
    <w:tbl>
      <w:tblPr>
        <w:tblStyle w:val="11"/>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3"/>
        <w:gridCol w:w="1230"/>
        <w:gridCol w:w="1923"/>
        <w:gridCol w:w="1924"/>
        <w:gridCol w:w="1659"/>
        <w:gridCol w:w="1432"/>
        <w:gridCol w:w="2518"/>
        <w:gridCol w:w="29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blHeader/>
          <w:jc w:val="center"/>
        </w:trPr>
        <w:tc>
          <w:tcPr>
            <w:tcW w:w="307"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序号</w:t>
            </w:r>
          </w:p>
        </w:tc>
        <w:tc>
          <w:tcPr>
            <w:tcW w:w="422"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660"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660"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56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491"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864"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1021" w:type="pct"/>
            <w:vAlign w:val="center"/>
          </w:tcPr>
          <w:p>
            <w:pPr>
              <w:jc w:val="center"/>
              <w:rPr>
                <w:rFonts w:hint="eastAsia" w:ascii="仿宋_GB2312" w:hAnsi="仿宋_GB2312" w:eastAsia="仿宋_GB2312" w:cs="仿宋_GB2312"/>
                <w:bCs/>
                <w:color w:val="000000"/>
                <w:szCs w:val="21"/>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1" w:hRule="atLeast"/>
          <w:jc w:val="center"/>
        </w:trPr>
        <w:tc>
          <w:tcPr>
            <w:tcW w:w="307" w:type="pct"/>
            <w:vMerge w:val="restart"/>
            <w:vAlign w:val="center"/>
          </w:tcPr>
          <w:p>
            <w:pPr>
              <w:widowControl/>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rPr>
              <w:t>101.1</w:t>
            </w:r>
          </w:p>
        </w:tc>
        <w:tc>
          <w:tcPr>
            <w:tcW w:w="422"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承担安全评价、认证、检测、检验职责的机构出具失实报告的</w:t>
            </w:r>
          </w:p>
        </w:tc>
        <w:tc>
          <w:tcPr>
            <w:tcW w:w="660"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第七十二条第一款：“承担安全评价、认证、检测、检验职责的机构应当具备国家规定的资质条件，并对其作出的安全评价、认证、检测、检验结果的合法性、真实性负责。资质条件由国务院应急管理部门会同国务院有关部门制定。”</w:t>
            </w:r>
          </w:p>
        </w:tc>
        <w:tc>
          <w:tcPr>
            <w:tcW w:w="660"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第九十二条第一款</w:t>
            </w:r>
            <w:bookmarkStart w:id="15" w:name="No255_Z6T89K1"/>
            <w:bookmarkEnd w:id="15"/>
            <w:r>
              <w:rPr>
                <w:rFonts w:hint="eastAsia" w:ascii="仿宋_GB2312" w:hAnsi="仿宋_GB2312" w:eastAsia="仿宋_GB2312" w:cs="仿宋_GB2312"/>
                <w:bCs/>
                <w:color w:val="000000"/>
                <w:szCs w:val="21"/>
              </w:rPr>
              <w:t>：“承担安全评价、认证、检测、检验职责的机构出具失实报告的，责令停业整顿，并处三万元以上十万元以下的罚款；给他人造成损害的，依法承担赔偿责任。”</w:t>
            </w:r>
          </w:p>
        </w:tc>
        <w:tc>
          <w:tcPr>
            <w:tcW w:w="569" w:type="pct"/>
            <w:vMerge w:val="restar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rPr>
              <w:t>责令停产停业；罚款</w:t>
            </w:r>
          </w:p>
        </w:tc>
        <w:tc>
          <w:tcPr>
            <w:tcW w:w="491"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rPr>
              <w:t>从轻</w:t>
            </w:r>
          </w:p>
        </w:tc>
        <w:tc>
          <w:tcPr>
            <w:tcW w:w="864" w:type="pct"/>
            <w:vAlign w:val="center"/>
          </w:tcPr>
          <w:p>
            <w:pPr>
              <w:jc w:val="left"/>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rPr>
              <w:t>未造成危害后果或造成轻微危害后果的</w:t>
            </w:r>
          </w:p>
        </w:tc>
        <w:tc>
          <w:tcPr>
            <w:tcW w:w="1021"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责令停业整顿，并处三万元以上、低于六万五千元的罚款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1" w:hRule="atLeast"/>
          <w:jc w:val="center"/>
        </w:trPr>
        <w:tc>
          <w:tcPr>
            <w:tcW w:w="307" w:type="pct"/>
            <w:vMerge w:val="continue"/>
            <w:vAlign w:val="center"/>
          </w:tcPr>
          <w:p>
            <w:pPr>
              <w:rPr>
                <w:rFonts w:hint="eastAsia" w:ascii="仿宋_GB2312" w:hAnsi="仿宋_GB2312" w:eastAsia="仿宋_GB2312" w:cs="仿宋_GB2312"/>
                <w:bCs/>
                <w:color w:val="000000"/>
                <w:szCs w:val="21"/>
              </w:rPr>
            </w:pPr>
          </w:p>
        </w:tc>
        <w:tc>
          <w:tcPr>
            <w:tcW w:w="422" w:type="pct"/>
            <w:vMerge w:val="continue"/>
            <w:vAlign w:val="center"/>
          </w:tcPr>
          <w:p>
            <w:pPr>
              <w:rPr>
                <w:rFonts w:hint="eastAsia" w:ascii="仿宋_GB2312" w:hAnsi="仿宋_GB2312" w:eastAsia="仿宋_GB2312" w:cs="仿宋_GB2312"/>
                <w:bCs/>
                <w:color w:val="000000"/>
                <w:szCs w:val="21"/>
              </w:rPr>
            </w:pPr>
          </w:p>
        </w:tc>
        <w:tc>
          <w:tcPr>
            <w:tcW w:w="660" w:type="pct"/>
            <w:vMerge w:val="continue"/>
            <w:vAlign w:val="center"/>
          </w:tcPr>
          <w:p>
            <w:pPr>
              <w:rPr>
                <w:rFonts w:hint="eastAsia" w:ascii="仿宋_GB2312" w:hAnsi="仿宋_GB2312" w:eastAsia="仿宋_GB2312" w:cs="仿宋_GB2312"/>
                <w:bCs/>
                <w:color w:val="000000"/>
                <w:szCs w:val="21"/>
              </w:rPr>
            </w:pPr>
          </w:p>
        </w:tc>
        <w:tc>
          <w:tcPr>
            <w:tcW w:w="660" w:type="pct"/>
            <w:vMerge w:val="continue"/>
            <w:vAlign w:val="center"/>
          </w:tcPr>
          <w:p>
            <w:pPr>
              <w:rPr>
                <w:rFonts w:hint="eastAsia" w:ascii="仿宋_GB2312" w:hAnsi="仿宋_GB2312" w:eastAsia="仿宋_GB2312" w:cs="仿宋_GB2312"/>
                <w:bCs/>
                <w:color w:val="000000"/>
                <w:szCs w:val="21"/>
              </w:rPr>
            </w:pPr>
          </w:p>
        </w:tc>
        <w:tc>
          <w:tcPr>
            <w:tcW w:w="569" w:type="pct"/>
            <w:vMerge w:val="continue"/>
            <w:vAlign w:val="center"/>
          </w:tcPr>
          <w:p>
            <w:pPr>
              <w:jc w:val="center"/>
              <w:rPr>
                <w:rFonts w:hint="eastAsia" w:ascii="仿宋_GB2312" w:hAnsi="仿宋_GB2312" w:eastAsia="仿宋_GB2312" w:cs="仿宋_GB2312"/>
                <w:bCs/>
                <w:color w:val="000000"/>
                <w:kern w:val="0"/>
                <w:szCs w:val="21"/>
              </w:rPr>
            </w:pPr>
          </w:p>
        </w:tc>
        <w:tc>
          <w:tcPr>
            <w:tcW w:w="491"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rPr>
              <w:t>一般</w:t>
            </w:r>
          </w:p>
        </w:tc>
        <w:tc>
          <w:tcPr>
            <w:tcW w:w="864" w:type="pct"/>
            <w:vAlign w:val="center"/>
          </w:tcPr>
          <w:p>
            <w:pPr>
              <w:jc w:val="left"/>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rPr>
              <w:t>造成一般危害后果的</w:t>
            </w:r>
          </w:p>
        </w:tc>
        <w:tc>
          <w:tcPr>
            <w:tcW w:w="1021"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责令停业整顿，并处六万五千元的罚款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1" w:hRule="atLeast"/>
          <w:jc w:val="center"/>
        </w:trPr>
        <w:tc>
          <w:tcPr>
            <w:tcW w:w="307" w:type="pct"/>
            <w:vMerge w:val="continue"/>
            <w:vAlign w:val="center"/>
          </w:tcPr>
          <w:p>
            <w:pPr>
              <w:rPr>
                <w:rFonts w:hint="eastAsia" w:ascii="仿宋_GB2312" w:hAnsi="仿宋_GB2312" w:eastAsia="仿宋_GB2312" w:cs="仿宋_GB2312"/>
                <w:bCs/>
                <w:color w:val="000000"/>
                <w:szCs w:val="21"/>
              </w:rPr>
            </w:pPr>
          </w:p>
        </w:tc>
        <w:tc>
          <w:tcPr>
            <w:tcW w:w="422" w:type="pct"/>
            <w:vMerge w:val="continue"/>
            <w:vAlign w:val="center"/>
          </w:tcPr>
          <w:p>
            <w:pPr>
              <w:rPr>
                <w:rFonts w:hint="eastAsia" w:ascii="仿宋_GB2312" w:hAnsi="仿宋_GB2312" w:eastAsia="仿宋_GB2312" w:cs="仿宋_GB2312"/>
                <w:bCs/>
                <w:color w:val="000000"/>
                <w:szCs w:val="21"/>
              </w:rPr>
            </w:pPr>
          </w:p>
        </w:tc>
        <w:tc>
          <w:tcPr>
            <w:tcW w:w="660" w:type="pct"/>
            <w:vMerge w:val="continue"/>
            <w:vAlign w:val="center"/>
          </w:tcPr>
          <w:p>
            <w:pPr>
              <w:rPr>
                <w:rFonts w:hint="eastAsia" w:ascii="仿宋_GB2312" w:hAnsi="仿宋_GB2312" w:eastAsia="仿宋_GB2312" w:cs="仿宋_GB2312"/>
                <w:bCs/>
                <w:color w:val="000000"/>
                <w:szCs w:val="21"/>
              </w:rPr>
            </w:pPr>
          </w:p>
        </w:tc>
        <w:tc>
          <w:tcPr>
            <w:tcW w:w="660" w:type="pct"/>
            <w:vMerge w:val="continue"/>
            <w:vAlign w:val="center"/>
          </w:tcPr>
          <w:p>
            <w:pPr>
              <w:rPr>
                <w:rFonts w:hint="eastAsia" w:ascii="仿宋_GB2312" w:hAnsi="仿宋_GB2312" w:eastAsia="仿宋_GB2312" w:cs="仿宋_GB2312"/>
                <w:bCs/>
                <w:color w:val="000000"/>
                <w:szCs w:val="21"/>
              </w:rPr>
            </w:pPr>
          </w:p>
        </w:tc>
        <w:tc>
          <w:tcPr>
            <w:tcW w:w="569" w:type="pct"/>
            <w:vMerge w:val="continue"/>
            <w:vAlign w:val="center"/>
          </w:tcPr>
          <w:p>
            <w:pPr>
              <w:jc w:val="center"/>
              <w:rPr>
                <w:rFonts w:hint="eastAsia" w:ascii="仿宋_GB2312" w:hAnsi="仿宋_GB2312" w:eastAsia="仿宋_GB2312" w:cs="仿宋_GB2312"/>
                <w:bCs/>
                <w:color w:val="000000"/>
                <w:kern w:val="0"/>
                <w:szCs w:val="21"/>
              </w:rPr>
            </w:pPr>
          </w:p>
        </w:tc>
        <w:tc>
          <w:tcPr>
            <w:tcW w:w="491"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rPr>
              <w:t>从重</w:t>
            </w:r>
          </w:p>
        </w:tc>
        <w:tc>
          <w:tcPr>
            <w:tcW w:w="864" w:type="pct"/>
            <w:vAlign w:val="center"/>
          </w:tcPr>
          <w:p>
            <w:pPr>
              <w:jc w:val="left"/>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rPr>
              <w:t>造成生产安全事故的，或造成其他严重后果的</w:t>
            </w:r>
          </w:p>
        </w:tc>
        <w:tc>
          <w:tcPr>
            <w:tcW w:w="1021"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责令停业整顿，并处超过六万五千元、十万元以下的罚款</w:t>
            </w:r>
          </w:p>
        </w:tc>
      </w:tr>
    </w:tbl>
    <w:p>
      <w:pPr>
        <w:outlineLvl w:val="0"/>
        <w:rPr>
          <w:rFonts w:hint="eastAsia" w:cs="宋体" w:asciiTheme="minorEastAsia" w:hAnsiTheme="minorEastAsia"/>
          <w:bCs/>
          <w:color w:val="000000"/>
        </w:rPr>
      </w:pPr>
    </w:p>
    <w:p>
      <w:pPr>
        <w:outlineLvl w:val="0"/>
        <w:rPr>
          <w:rFonts w:hint="eastAsia" w:cs="宋体" w:asciiTheme="minorEastAsia" w:hAnsiTheme="minorEastAsia"/>
          <w:bCs/>
          <w:color w:val="000000"/>
        </w:rPr>
      </w:pPr>
    </w:p>
    <w:p>
      <w:pPr>
        <w:outlineLvl w:val="0"/>
        <w:rPr>
          <w:rFonts w:hint="eastAsia" w:cs="宋体" w:asciiTheme="minorEastAsia" w:hAnsiTheme="minorEastAsia"/>
          <w:bCs/>
          <w:color w:val="000000"/>
        </w:rPr>
      </w:pPr>
    </w:p>
    <w:p>
      <w:pPr>
        <w:outlineLvl w:val="0"/>
        <w:rPr>
          <w:rStyle w:val="32"/>
          <w:rFonts w:hint="eastAsia" w:asciiTheme="minorEastAsia" w:hAnsiTheme="minorEastAsia" w:eastAsiaTheme="minorEastAsia" w:cstheme="minorEastAsia"/>
          <w:b w:val="0"/>
          <w:bCs/>
          <w:color w:val="000000"/>
        </w:rPr>
      </w:pPr>
      <w:r>
        <w:rPr>
          <w:rStyle w:val="32"/>
          <w:rFonts w:hint="eastAsia" w:asciiTheme="minorEastAsia" w:hAnsiTheme="minorEastAsia" w:eastAsiaTheme="minorEastAsia" w:cstheme="minorEastAsia"/>
          <w:b w:val="0"/>
          <w:bCs/>
          <w:color w:val="000000"/>
        </w:rPr>
        <w:t>《中华人民共和国安全生产法》</w:t>
      </w:r>
    </w:p>
    <w:tbl>
      <w:tblPr>
        <w:tblStyle w:val="11"/>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8"/>
        <w:gridCol w:w="1212"/>
        <w:gridCol w:w="1203"/>
        <w:gridCol w:w="2542"/>
        <w:gridCol w:w="1301"/>
        <w:gridCol w:w="1245"/>
        <w:gridCol w:w="1924"/>
        <w:gridCol w:w="43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blHeader/>
          <w:jc w:val="center"/>
        </w:trPr>
        <w:tc>
          <w:tcPr>
            <w:tcW w:w="274"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序号</w:t>
            </w:r>
          </w:p>
        </w:tc>
        <w:tc>
          <w:tcPr>
            <w:tcW w:w="416"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413"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872"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447"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428"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660"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1486" w:type="pct"/>
            <w:vAlign w:val="center"/>
          </w:tcPr>
          <w:p>
            <w:pPr>
              <w:jc w:val="center"/>
              <w:rPr>
                <w:rFonts w:hint="eastAsia" w:ascii="仿宋_GB2312" w:hAnsi="仿宋_GB2312" w:eastAsia="仿宋_GB2312" w:cs="仿宋_GB2312"/>
                <w:bCs/>
                <w:color w:val="000000"/>
                <w:szCs w:val="21"/>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0" w:hRule="atLeast"/>
          <w:jc w:val="center"/>
        </w:trPr>
        <w:tc>
          <w:tcPr>
            <w:tcW w:w="274" w:type="pct"/>
            <w:vMerge w:val="restart"/>
            <w:vAlign w:val="center"/>
          </w:tcPr>
          <w:p>
            <w:pPr>
              <w:widowControl/>
              <w:rPr>
                <w:rFonts w:hint="eastAsia" w:ascii="仿宋_GB2312" w:hAnsi="仿宋_GB2312" w:eastAsia="仿宋_GB2312" w:cs="仿宋_GB2312"/>
                <w:bCs/>
                <w:color w:val="000000"/>
                <w:kern w:val="0"/>
                <w:sz w:val="18"/>
                <w:szCs w:val="18"/>
              </w:rPr>
            </w:pPr>
            <w:r>
              <w:rPr>
                <w:rFonts w:hint="eastAsia" w:ascii="仿宋_GB2312" w:hAnsi="仿宋_GB2312" w:eastAsia="仿宋_GB2312" w:cs="仿宋_GB2312"/>
                <w:bCs/>
                <w:color w:val="000000"/>
                <w:kern w:val="0"/>
                <w:sz w:val="18"/>
                <w:szCs w:val="18"/>
              </w:rPr>
              <w:t>101.2</w:t>
            </w:r>
          </w:p>
        </w:tc>
        <w:tc>
          <w:tcPr>
            <w:tcW w:w="416" w:type="pct"/>
            <w:vMerge w:val="restart"/>
            <w:vAlign w:val="center"/>
          </w:tcPr>
          <w:p>
            <w:pPr>
              <w:rPr>
                <w:rFonts w:hint="eastAsia" w:ascii="仿宋_GB2312" w:hAnsi="仿宋_GB2312" w:eastAsia="仿宋_GB2312" w:cs="仿宋_GB2312"/>
                <w:bCs/>
                <w:color w:val="000000"/>
                <w:sz w:val="18"/>
                <w:szCs w:val="18"/>
              </w:rPr>
            </w:pPr>
            <w:r>
              <w:rPr>
                <w:rFonts w:hint="eastAsia" w:ascii="仿宋_GB2312" w:hAnsi="仿宋_GB2312" w:eastAsia="仿宋_GB2312" w:cs="仿宋_GB2312"/>
                <w:bCs/>
                <w:color w:val="000000"/>
                <w:sz w:val="18"/>
                <w:szCs w:val="18"/>
              </w:rPr>
              <w:t>承担安全评价、认证、检测、检验职责的机构租借资质、挂靠、出具虚假报告的</w:t>
            </w:r>
          </w:p>
        </w:tc>
        <w:tc>
          <w:tcPr>
            <w:tcW w:w="413" w:type="pct"/>
            <w:vMerge w:val="restart"/>
            <w:vAlign w:val="center"/>
          </w:tcPr>
          <w:p>
            <w:pPr>
              <w:rPr>
                <w:rFonts w:hint="eastAsia" w:ascii="仿宋_GB2312" w:hAnsi="仿宋_GB2312" w:eastAsia="仿宋_GB2312" w:cs="仿宋_GB2312"/>
                <w:bCs/>
                <w:color w:val="000000"/>
                <w:sz w:val="18"/>
                <w:szCs w:val="18"/>
              </w:rPr>
            </w:pPr>
            <w:r>
              <w:rPr>
                <w:rFonts w:hint="eastAsia" w:ascii="仿宋_GB2312" w:hAnsi="仿宋_GB2312" w:eastAsia="仿宋_GB2312" w:cs="仿宋_GB2312"/>
                <w:bCs/>
                <w:color w:val="000000"/>
                <w:sz w:val="18"/>
                <w:szCs w:val="18"/>
              </w:rPr>
              <w:t>第七十二条第二款</w:t>
            </w:r>
            <w:r>
              <w:rPr>
                <w:rFonts w:hint="eastAsia" w:ascii="仿宋_GB2312" w:hAnsi="仿宋_GB2312" w:eastAsia="仿宋_GB2312" w:cs="仿宋_GB2312"/>
                <w:bCs/>
                <w:color w:val="000000"/>
                <w:szCs w:val="21"/>
              </w:rPr>
              <w:t>：“</w:t>
            </w:r>
            <w:r>
              <w:rPr>
                <w:rFonts w:hint="eastAsia" w:ascii="仿宋_GB2312" w:hAnsi="仿宋_GB2312" w:eastAsia="仿宋_GB2312" w:cs="仿宋_GB2312"/>
                <w:bCs/>
                <w:color w:val="000000"/>
                <w:sz w:val="18"/>
                <w:szCs w:val="18"/>
              </w:rPr>
              <w:t>承担安全评价、认证、检测、检验职责的机构应当建立并实施服务公开和报告公开制度，不得租借资质、挂靠、出具虚假报告。”</w:t>
            </w:r>
          </w:p>
        </w:tc>
        <w:tc>
          <w:tcPr>
            <w:tcW w:w="872" w:type="pct"/>
            <w:vMerge w:val="restart"/>
            <w:vAlign w:val="center"/>
          </w:tcPr>
          <w:p>
            <w:pPr>
              <w:rPr>
                <w:rFonts w:hint="eastAsia" w:ascii="仿宋_GB2312" w:hAnsi="仿宋_GB2312" w:eastAsia="仿宋_GB2312" w:cs="仿宋_GB2312"/>
                <w:bCs/>
                <w:color w:val="000000"/>
                <w:sz w:val="18"/>
                <w:szCs w:val="18"/>
              </w:rPr>
            </w:pPr>
            <w:r>
              <w:rPr>
                <w:rFonts w:hint="eastAsia" w:ascii="仿宋_GB2312" w:hAnsi="仿宋_GB2312" w:eastAsia="仿宋_GB2312" w:cs="仿宋_GB2312"/>
                <w:bCs/>
                <w:color w:val="000000"/>
                <w:sz w:val="18"/>
                <w:szCs w:val="18"/>
              </w:rPr>
              <w:t>第九十二条第二款、第三款</w:t>
            </w:r>
            <w:r>
              <w:rPr>
                <w:rFonts w:hint="eastAsia" w:ascii="仿宋_GB2312" w:hAnsi="仿宋_GB2312" w:eastAsia="仿宋_GB2312" w:cs="仿宋_GB2312"/>
                <w:bCs/>
                <w:color w:val="000000"/>
                <w:szCs w:val="21"/>
              </w:rPr>
              <w:t>：“</w:t>
            </w:r>
            <w:r>
              <w:rPr>
                <w:rFonts w:hint="eastAsia" w:ascii="仿宋_GB2312" w:hAnsi="仿宋_GB2312" w:eastAsia="仿宋_GB2312" w:cs="仿宋_GB2312"/>
                <w:bCs/>
                <w:color w:val="000000"/>
                <w:sz w:val="18"/>
                <w:szCs w:val="18"/>
              </w:rPr>
              <w:t>承担安全评价、认证、检测、检验职责的机构租借资质、挂靠、出具虚假报告的，没收违法所得；违法所得在十万元以上的，并处违法所得二倍以上五倍以下的罚款，没有违法所得或者违法所得不足十万元的，单处或者并处十万元以上二十万元以下的罚款；对其直接负责的主管人员和其他直接责任人员处五万元以上十万元以下的罚款；给他人造成损害的，与生产经营单位承担连带赔偿责任；构成犯罪的，依照刑法有关规定追究刑事责任。</w:t>
            </w:r>
          </w:p>
          <w:p>
            <w:pPr>
              <w:ind w:firstLine="360" w:firstLineChars="200"/>
              <w:rPr>
                <w:rFonts w:hint="eastAsia" w:ascii="仿宋_GB2312" w:hAnsi="仿宋_GB2312" w:eastAsia="仿宋_GB2312" w:cs="仿宋_GB2312"/>
                <w:bCs/>
                <w:color w:val="000000"/>
                <w:sz w:val="18"/>
                <w:szCs w:val="18"/>
              </w:rPr>
            </w:pPr>
            <w:r>
              <w:rPr>
                <w:rFonts w:hint="eastAsia" w:ascii="仿宋_GB2312" w:hAnsi="仿宋_GB2312" w:eastAsia="仿宋_GB2312" w:cs="仿宋_GB2312"/>
                <w:bCs/>
                <w:color w:val="000000"/>
                <w:sz w:val="18"/>
                <w:szCs w:val="18"/>
              </w:rPr>
              <w:t>对有前款违法行为的机构及其直接责任人员，吊销其相应资质和资格，五年内不得从事安全评价、认证、检测、检验等工作；情节严重的，实行终身行业和职业禁入。”</w:t>
            </w:r>
            <w:r>
              <w:fldChar w:fldCharType="begin"/>
            </w:r>
            <w:r>
              <w:instrText xml:space="preserve"> HYPERLINK "https://www.pkulaw.com/chl/javascript:void(0);" </w:instrText>
            </w:r>
            <w:r>
              <w:fldChar w:fldCharType="separate"/>
            </w:r>
            <w:r>
              <w:fldChar w:fldCharType="end"/>
            </w:r>
          </w:p>
        </w:tc>
        <w:tc>
          <w:tcPr>
            <w:tcW w:w="447" w:type="pct"/>
            <w:vMerge w:val="restart"/>
            <w:vAlign w:val="center"/>
          </w:tcPr>
          <w:p>
            <w:pPr>
              <w:rPr>
                <w:rFonts w:hint="eastAsia" w:ascii="仿宋_GB2312" w:hAnsi="仿宋_GB2312" w:eastAsia="仿宋_GB2312" w:cs="仿宋_GB2312"/>
                <w:bCs/>
                <w:color w:val="000000"/>
                <w:sz w:val="18"/>
                <w:szCs w:val="18"/>
              </w:rPr>
            </w:pPr>
            <w:r>
              <w:rPr>
                <w:rFonts w:hint="eastAsia" w:ascii="仿宋_GB2312" w:hAnsi="仿宋_GB2312" w:eastAsia="仿宋_GB2312" w:cs="仿宋_GB2312"/>
                <w:bCs/>
                <w:color w:val="000000"/>
                <w:sz w:val="18"/>
                <w:szCs w:val="18"/>
              </w:rPr>
              <w:t>没收违法所得；罚款；吊销许可证件；限制从业</w:t>
            </w:r>
          </w:p>
        </w:tc>
        <w:tc>
          <w:tcPr>
            <w:tcW w:w="428" w:type="pct"/>
            <w:vMerge w:val="restart"/>
            <w:vAlign w:val="center"/>
          </w:tcPr>
          <w:p>
            <w:pPr>
              <w:jc w:val="center"/>
              <w:rPr>
                <w:rFonts w:hint="eastAsia" w:ascii="仿宋_GB2312" w:hAnsi="仿宋_GB2312" w:eastAsia="仿宋_GB2312" w:cs="仿宋_GB2312"/>
                <w:bCs/>
                <w:color w:val="000000"/>
                <w:sz w:val="18"/>
                <w:szCs w:val="18"/>
              </w:rPr>
            </w:pPr>
            <w:r>
              <w:rPr>
                <w:rFonts w:hint="eastAsia" w:ascii="仿宋_GB2312" w:hAnsi="仿宋_GB2312" w:eastAsia="仿宋_GB2312" w:cs="仿宋_GB2312"/>
                <w:bCs/>
                <w:color w:val="000000"/>
                <w:sz w:val="18"/>
                <w:szCs w:val="18"/>
              </w:rPr>
              <w:t>从轻</w:t>
            </w:r>
          </w:p>
        </w:tc>
        <w:tc>
          <w:tcPr>
            <w:tcW w:w="660" w:type="pct"/>
            <w:vMerge w:val="restart"/>
            <w:vAlign w:val="center"/>
          </w:tcPr>
          <w:p>
            <w:pPr>
              <w:rPr>
                <w:rFonts w:hint="eastAsia" w:ascii="仿宋_GB2312" w:hAnsi="仿宋_GB2312" w:eastAsia="仿宋_GB2312" w:cs="仿宋_GB2312"/>
                <w:bCs/>
                <w:color w:val="000000"/>
                <w:sz w:val="18"/>
                <w:szCs w:val="18"/>
              </w:rPr>
            </w:pPr>
            <w:r>
              <w:rPr>
                <w:rFonts w:hint="eastAsia" w:ascii="仿宋_GB2312" w:hAnsi="仿宋_GB2312" w:eastAsia="仿宋_GB2312" w:cs="仿宋_GB2312"/>
                <w:bCs/>
                <w:color w:val="000000"/>
                <w:sz w:val="18"/>
                <w:szCs w:val="18"/>
              </w:rPr>
              <w:t>未造成危害后果或造成轻微危害后果的</w:t>
            </w:r>
          </w:p>
        </w:tc>
        <w:tc>
          <w:tcPr>
            <w:tcW w:w="1486" w:type="pct"/>
            <w:vAlign w:val="center"/>
          </w:tcPr>
          <w:p>
            <w:pPr>
              <w:rPr>
                <w:rFonts w:hint="eastAsia" w:ascii="仿宋_GB2312" w:hAnsi="仿宋_GB2312" w:eastAsia="仿宋_GB2312" w:cs="仿宋_GB2312"/>
                <w:bCs/>
                <w:color w:val="000000"/>
                <w:sz w:val="18"/>
                <w:szCs w:val="18"/>
              </w:rPr>
            </w:pPr>
            <w:r>
              <w:rPr>
                <w:rFonts w:hint="eastAsia" w:ascii="仿宋_GB2312" w:hAnsi="仿宋_GB2312" w:eastAsia="仿宋_GB2312" w:cs="仿宋_GB2312"/>
                <w:b/>
                <w:color w:val="000000"/>
                <w:sz w:val="18"/>
                <w:szCs w:val="18"/>
              </w:rPr>
              <w:t>违法所得在十万元以上的</w:t>
            </w:r>
          </w:p>
          <w:p>
            <w:pPr>
              <w:rPr>
                <w:rFonts w:hint="eastAsia" w:ascii="仿宋_GB2312" w:hAnsi="仿宋_GB2312" w:eastAsia="仿宋_GB2312" w:cs="仿宋_GB2312"/>
                <w:bCs/>
                <w:color w:val="000000"/>
                <w:sz w:val="18"/>
                <w:szCs w:val="18"/>
              </w:rPr>
            </w:pPr>
            <w:r>
              <w:rPr>
                <w:rFonts w:hint="eastAsia" w:ascii="仿宋_GB2312" w:hAnsi="仿宋_GB2312" w:eastAsia="仿宋_GB2312" w:cs="仿宋_GB2312"/>
                <w:bCs/>
                <w:color w:val="000000"/>
                <w:sz w:val="18"/>
                <w:szCs w:val="18"/>
              </w:rPr>
              <w:t>机构：没收违法所得，并处违法所得二倍以上、低于三点五倍的罚款；</w:t>
            </w:r>
          </w:p>
          <w:p>
            <w:pPr>
              <w:rPr>
                <w:rFonts w:hint="eastAsia" w:ascii="仿宋_GB2312" w:hAnsi="仿宋_GB2312" w:eastAsia="仿宋_GB2312" w:cs="仿宋_GB2312"/>
                <w:bCs/>
                <w:color w:val="000000"/>
                <w:sz w:val="18"/>
                <w:szCs w:val="18"/>
              </w:rPr>
            </w:pPr>
            <w:r>
              <w:rPr>
                <w:rFonts w:hint="eastAsia" w:ascii="仿宋_GB2312" w:hAnsi="仿宋_GB2312" w:eastAsia="仿宋_GB2312" w:cs="仿宋_GB2312"/>
                <w:bCs/>
                <w:color w:val="000000"/>
                <w:sz w:val="18"/>
                <w:szCs w:val="18"/>
              </w:rPr>
              <w:t>直接负责的主管人员和其他直接责任人员：处五万元以上、低于七万五千元的罚款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0" w:hRule="atLeast"/>
          <w:jc w:val="center"/>
        </w:trPr>
        <w:tc>
          <w:tcPr>
            <w:tcW w:w="274" w:type="pct"/>
            <w:vMerge w:val="continue"/>
            <w:vAlign w:val="center"/>
          </w:tcPr>
          <w:p>
            <w:pPr>
              <w:widowControl/>
              <w:rPr>
                <w:rFonts w:hint="eastAsia" w:ascii="仿宋_GB2312" w:hAnsi="仿宋_GB2312" w:eastAsia="仿宋_GB2312" w:cs="仿宋_GB2312"/>
                <w:bCs/>
                <w:color w:val="000000"/>
                <w:kern w:val="0"/>
                <w:sz w:val="16"/>
                <w:szCs w:val="16"/>
              </w:rPr>
            </w:pPr>
          </w:p>
        </w:tc>
        <w:tc>
          <w:tcPr>
            <w:tcW w:w="416" w:type="pct"/>
            <w:vMerge w:val="continue"/>
            <w:vAlign w:val="center"/>
          </w:tcPr>
          <w:p>
            <w:pPr>
              <w:rPr>
                <w:rFonts w:hint="eastAsia" w:ascii="仿宋_GB2312" w:hAnsi="仿宋_GB2312" w:eastAsia="仿宋_GB2312" w:cs="仿宋_GB2312"/>
                <w:bCs/>
                <w:color w:val="000000"/>
                <w:sz w:val="16"/>
                <w:szCs w:val="16"/>
              </w:rPr>
            </w:pPr>
          </w:p>
        </w:tc>
        <w:tc>
          <w:tcPr>
            <w:tcW w:w="413" w:type="pct"/>
            <w:vMerge w:val="continue"/>
            <w:vAlign w:val="center"/>
          </w:tcPr>
          <w:p>
            <w:pPr>
              <w:rPr>
                <w:rFonts w:hint="eastAsia" w:ascii="仿宋_GB2312" w:hAnsi="仿宋_GB2312" w:eastAsia="仿宋_GB2312" w:cs="仿宋_GB2312"/>
                <w:bCs/>
                <w:color w:val="000000"/>
                <w:sz w:val="16"/>
                <w:szCs w:val="16"/>
              </w:rPr>
            </w:pPr>
          </w:p>
        </w:tc>
        <w:tc>
          <w:tcPr>
            <w:tcW w:w="872" w:type="pct"/>
            <w:vMerge w:val="continue"/>
            <w:vAlign w:val="center"/>
          </w:tcPr>
          <w:p>
            <w:pPr>
              <w:ind w:firstLine="320" w:firstLineChars="200"/>
              <w:rPr>
                <w:rFonts w:hint="eastAsia" w:ascii="仿宋_GB2312" w:hAnsi="仿宋_GB2312" w:eastAsia="仿宋_GB2312" w:cs="仿宋_GB2312"/>
                <w:bCs/>
                <w:color w:val="000000"/>
                <w:sz w:val="16"/>
                <w:szCs w:val="16"/>
              </w:rPr>
            </w:pPr>
          </w:p>
        </w:tc>
        <w:tc>
          <w:tcPr>
            <w:tcW w:w="447" w:type="pct"/>
            <w:vMerge w:val="continue"/>
            <w:vAlign w:val="center"/>
          </w:tcPr>
          <w:p>
            <w:pPr>
              <w:rPr>
                <w:rFonts w:hint="eastAsia" w:ascii="仿宋_GB2312" w:hAnsi="仿宋_GB2312" w:eastAsia="仿宋_GB2312" w:cs="仿宋_GB2312"/>
                <w:bCs/>
                <w:color w:val="000000"/>
                <w:sz w:val="16"/>
                <w:szCs w:val="16"/>
              </w:rPr>
            </w:pPr>
          </w:p>
        </w:tc>
        <w:tc>
          <w:tcPr>
            <w:tcW w:w="428" w:type="pct"/>
            <w:vMerge w:val="continue"/>
            <w:vAlign w:val="center"/>
          </w:tcPr>
          <w:p>
            <w:pPr>
              <w:jc w:val="center"/>
              <w:rPr>
                <w:rFonts w:hint="eastAsia" w:ascii="仿宋_GB2312" w:hAnsi="仿宋_GB2312" w:eastAsia="仿宋_GB2312" w:cs="仿宋_GB2312"/>
                <w:bCs/>
                <w:color w:val="000000"/>
                <w:sz w:val="18"/>
                <w:szCs w:val="18"/>
              </w:rPr>
            </w:pPr>
          </w:p>
        </w:tc>
        <w:tc>
          <w:tcPr>
            <w:tcW w:w="660" w:type="pct"/>
            <w:vMerge w:val="continue"/>
            <w:vAlign w:val="center"/>
          </w:tcPr>
          <w:p>
            <w:pPr>
              <w:rPr>
                <w:rFonts w:hint="eastAsia" w:ascii="仿宋_GB2312" w:hAnsi="仿宋_GB2312" w:eastAsia="仿宋_GB2312" w:cs="仿宋_GB2312"/>
                <w:bCs/>
                <w:color w:val="000000"/>
                <w:sz w:val="18"/>
                <w:szCs w:val="18"/>
              </w:rPr>
            </w:pPr>
          </w:p>
        </w:tc>
        <w:tc>
          <w:tcPr>
            <w:tcW w:w="1486" w:type="pct"/>
            <w:vAlign w:val="center"/>
          </w:tcPr>
          <w:p>
            <w:pPr>
              <w:rPr>
                <w:rFonts w:hint="eastAsia" w:ascii="仿宋_GB2312" w:hAnsi="仿宋_GB2312" w:eastAsia="仿宋_GB2312" w:cs="仿宋_GB2312"/>
                <w:b/>
                <w:color w:val="000000"/>
                <w:sz w:val="18"/>
                <w:szCs w:val="18"/>
              </w:rPr>
            </w:pPr>
            <w:r>
              <w:rPr>
                <w:rFonts w:hint="eastAsia" w:ascii="仿宋_GB2312" w:hAnsi="仿宋_GB2312" w:eastAsia="仿宋_GB2312" w:cs="仿宋_GB2312"/>
                <w:b/>
                <w:color w:val="000000"/>
                <w:sz w:val="18"/>
                <w:szCs w:val="18"/>
              </w:rPr>
              <w:t>没有违法所得或者违法所得不足十万元的</w:t>
            </w:r>
          </w:p>
          <w:p>
            <w:pPr>
              <w:rPr>
                <w:rFonts w:hint="eastAsia" w:ascii="仿宋_GB2312" w:hAnsi="仿宋_GB2312" w:eastAsia="仿宋_GB2312" w:cs="仿宋_GB2312"/>
                <w:bCs/>
                <w:color w:val="000000"/>
                <w:sz w:val="18"/>
                <w:szCs w:val="18"/>
              </w:rPr>
            </w:pPr>
            <w:r>
              <w:rPr>
                <w:rFonts w:hint="eastAsia" w:ascii="仿宋_GB2312" w:hAnsi="仿宋_GB2312" w:eastAsia="仿宋_GB2312" w:cs="仿宋_GB2312"/>
                <w:bCs/>
                <w:color w:val="000000"/>
                <w:sz w:val="18"/>
                <w:szCs w:val="18"/>
              </w:rPr>
              <w:t>机构：</w:t>
            </w:r>
            <w:r>
              <w:rPr>
                <w:rFonts w:hint="eastAsia" w:ascii="仿宋_GB2312" w:hAnsi="仿宋_GB2312" w:eastAsia="仿宋_GB2312" w:cs="仿宋_GB2312"/>
                <w:b w:val="0"/>
                <w:bCs/>
                <w:color w:val="000000"/>
                <w:sz w:val="18"/>
                <w:szCs w:val="18"/>
              </w:rPr>
              <w:t>没有违法所得的，</w:t>
            </w:r>
            <w:r>
              <w:rPr>
                <w:rFonts w:hint="eastAsia" w:ascii="仿宋_GB2312" w:hAnsi="仿宋_GB2312" w:eastAsia="仿宋_GB2312" w:cs="仿宋_GB2312"/>
                <w:bCs/>
                <w:color w:val="000000"/>
                <w:sz w:val="18"/>
                <w:szCs w:val="18"/>
              </w:rPr>
              <w:t>处十万元以上、低于十五万元的罚款；</w:t>
            </w:r>
            <w:r>
              <w:rPr>
                <w:rFonts w:hint="eastAsia" w:ascii="仿宋_GB2312" w:hAnsi="仿宋_GB2312" w:eastAsia="仿宋_GB2312" w:cs="仿宋_GB2312"/>
                <w:b w:val="0"/>
                <w:bCs/>
                <w:color w:val="000000"/>
                <w:sz w:val="18"/>
                <w:szCs w:val="18"/>
              </w:rPr>
              <w:t>违法所得不足十万元的，没收违法所得，并处十万元以上、低于十五万元的罚款；</w:t>
            </w:r>
          </w:p>
          <w:p>
            <w:pPr>
              <w:rPr>
                <w:rFonts w:hint="eastAsia" w:ascii="仿宋_GB2312" w:hAnsi="仿宋_GB2312" w:eastAsia="仿宋_GB2312" w:cs="仿宋_GB2312"/>
                <w:bCs/>
                <w:color w:val="000000"/>
                <w:sz w:val="18"/>
                <w:szCs w:val="18"/>
              </w:rPr>
            </w:pPr>
            <w:r>
              <w:rPr>
                <w:rFonts w:hint="eastAsia" w:ascii="仿宋_GB2312" w:hAnsi="仿宋_GB2312" w:eastAsia="仿宋_GB2312" w:cs="仿宋_GB2312"/>
                <w:bCs/>
                <w:color w:val="000000"/>
                <w:sz w:val="18"/>
                <w:szCs w:val="18"/>
              </w:rPr>
              <w:t>直接负责的主管人员和其他直接责任人员：处五万元以上、低于七万五千元的罚款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0" w:hRule="atLeast"/>
          <w:jc w:val="center"/>
        </w:trPr>
        <w:tc>
          <w:tcPr>
            <w:tcW w:w="274" w:type="pct"/>
            <w:vMerge w:val="continue"/>
            <w:vAlign w:val="center"/>
          </w:tcPr>
          <w:p>
            <w:pPr>
              <w:rPr>
                <w:rFonts w:hint="eastAsia" w:ascii="仿宋_GB2312" w:hAnsi="仿宋_GB2312" w:eastAsia="仿宋_GB2312" w:cs="仿宋_GB2312"/>
                <w:bCs/>
                <w:color w:val="000000"/>
                <w:sz w:val="16"/>
                <w:szCs w:val="16"/>
              </w:rPr>
            </w:pPr>
          </w:p>
        </w:tc>
        <w:tc>
          <w:tcPr>
            <w:tcW w:w="416" w:type="pct"/>
            <w:vMerge w:val="continue"/>
            <w:vAlign w:val="center"/>
          </w:tcPr>
          <w:p>
            <w:pPr>
              <w:rPr>
                <w:rFonts w:hint="eastAsia" w:ascii="仿宋_GB2312" w:hAnsi="仿宋_GB2312" w:eastAsia="仿宋_GB2312" w:cs="仿宋_GB2312"/>
                <w:bCs/>
                <w:color w:val="000000"/>
                <w:sz w:val="16"/>
                <w:szCs w:val="16"/>
              </w:rPr>
            </w:pPr>
          </w:p>
        </w:tc>
        <w:tc>
          <w:tcPr>
            <w:tcW w:w="413" w:type="pct"/>
            <w:vMerge w:val="continue"/>
            <w:vAlign w:val="center"/>
          </w:tcPr>
          <w:p>
            <w:pPr>
              <w:rPr>
                <w:rFonts w:hint="eastAsia" w:ascii="仿宋_GB2312" w:hAnsi="仿宋_GB2312" w:eastAsia="仿宋_GB2312" w:cs="仿宋_GB2312"/>
                <w:bCs/>
                <w:color w:val="000000"/>
                <w:sz w:val="16"/>
                <w:szCs w:val="16"/>
              </w:rPr>
            </w:pPr>
          </w:p>
        </w:tc>
        <w:tc>
          <w:tcPr>
            <w:tcW w:w="872" w:type="pct"/>
            <w:vMerge w:val="continue"/>
            <w:vAlign w:val="center"/>
          </w:tcPr>
          <w:p>
            <w:pPr>
              <w:rPr>
                <w:rFonts w:hint="eastAsia" w:ascii="仿宋_GB2312" w:hAnsi="仿宋_GB2312" w:eastAsia="仿宋_GB2312" w:cs="仿宋_GB2312"/>
                <w:bCs/>
                <w:color w:val="000000"/>
                <w:sz w:val="16"/>
                <w:szCs w:val="16"/>
              </w:rPr>
            </w:pPr>
          </w:p>
        </w:tc>
        <w:tc>
          <w:tcPr>
            <w:tcW w:w="447" w:type="pct"/>
            <w:vMerge w:val="continue"/>
            <w:vAlign w:val="center"/>
          </w:tcPr>
          <w:p>
            <w:pPr>
              <w:ind w:firstLine="320" w:firstLineChars="200"/>
              <w:rPr>
                <w:rFonts w:hint="eastAsia" w:ascii="仿宋_GB2312" w:hAnsi="仿宋_GB2312" w:eastAsia="仿宋_GB2312" w:cs="仿宋_GB2312"/>
                <w:bCs/>
                <w:color w:val="000000"/>
                <w:sz w:val="16"/>
                <w:szCs w:val="16"/>
              </w:rPr>
            </w:pPr>
          </w:p>
        </w:tc>
        <w:tc>
          <w:tcPr>
            <w:tcW w:w="428" w:type="pct"/>
            <w:vMerge w:val="restart"/>
            <w:vAlign w:val="center"/>
          </w:tcPr>
          <w:p>
            <w:pPr>
              <w:jc w:val="center"/>
              <w:rPr>
                <w:rFonts w:hint="eastAsia" w:ascii="仿宋_GB2312" w:hAnsi="仿宋_GB2312" w:eastAsia="仿宋_GB2312" w:cs="仿宋_GB2312"/>
                <w:bCs/>
                <w:color w:val="000000"/>
                <w:sz w:val="18"/>
                <w:szCs w:val="18"/>
              </w:rPr>
            </w:pPr>
            <w:r>
              <w:rPr>
                <w:rFonts w:hint="eastAsia" w:ascii="仿宋_GB2312" w:hAnsi="仿宋_GB2312" w:eastAsia="仿宋_GB2312" w:cs="仿宋_GB2312"/>
                <w:bCs/>
                <w:color w:val="000000"/>
                <w:sz w:val="18"/>
                <w:szCs w:val="18"/>
              </w:rPr>
              <w:t>一般</w:t>
            </w:r>
          </w:p>
        </w:tc>
        <w:tc>
          <w:tcPr>
            <w:tcW w:w="660" w:type="pct"/>
            <w:vMerge w:val="restart"/>
            <w:vAlign w:val="center"/>
          </w:tcPr>
          <w:p>
            <w:pPr>
              <w:rPr>
                <w:rFonts w:hint="eastAsia" w:ascii="仿宋_GB2312" w:hAnsi="仿宋_GB2312" w:eastAsia="仿宋_GB2312" w:cs="仿宋_GB2312"/>
                <w:bCs/>
                <w:color w:val="000000"/>
                <w:sz w:val="18"/>
                <w:szCs w:val="18"/>
              </w:rPr>
            </w:pPr>
            <w:r>
              <w:rPr>
                <w:rFonts w:hint="eastAsia" w:ascii="仿宋_GB2312" w:hAnsi="仿宋_GB2312" w:eastAsia="仿宋_GB2312" w:cs="仿宋_GB2312"/>
                <w:bCs/>
                <w:color w:val="000000"/>
                <w:sz w:val="18"/>
                <w:szCs w:val="18"/>
              </w:rPr>
              <w:t>造成一般危害后果的</w:t>
            </w:r>
          </w:p>
        </w:tc>
        <w:tc>
          <w:tcPr>
            <w:tcW w:w="1486" w:type="pct"/>
            <w:vAlign w:val="center"/>
          </w:tcPr>
          <w:p>
            <w:pPr>
              <w:rPr>
                <w:rFonts w:hint="eastAsia" w:ascii="仿宋_GB2312" w:hAnsi="仿宋_GB2312" w:eastAsia="仿宋_GB2312" w:cs="仿宋_GB2312"/>
                <w:b/>
                <w:color w:val="000000"/>
                <w:sz w:val="18"/>
                <w:szCs w:val="18"/>
              </w:rPr>
            </w:pPr>
            <w:r>
              <w:rPr>
                <w:rFonts w:hint="eastAsia" w:ascii="仿宋_GB2312" w:hAnsi="仿宋_GB2312" w:eastAsia="仿宋_GB2312" w:cs="仿宋_GB2312"/>
                <w:b/>
                <w:color w:val="000000"/>
                <w:sz w:val="18"/>
                <w:szCs w:val="18"/>
              </w:rPr>
              <w:t>违法所得在十万元以上的</w:t>
            </w:r>
          </w:p>
          <w:p>
            <w:pPr>
              <w:rPr>
                <w:rFonts w:hint="eastAsia" w:ascii="仿宋_GB2312" w:hAnsi="仿宋_GB2312" w:eastAsia="仿宋_GB2312" w:cs="仿宋_GB2312"/>
                <w:bCs/>
                <w:color w:val="000000"/>
                <w:sz w:val="18"/>
                <w:szCs w:val="18"/>
              </w:rPr>
            </w:pPr>
            <w:r>
              <w:rPr>
                <w:rFonts w:hint="eastAsia" w:ascii="仿宋_GB2312" w:hAnsi="仿宋_GB2312" w:eastAsia="仿宋_GB2312" w:cs="仿宋_GB2312"/>
                <w:bCs/>
                <w:color w:val="000000"/>
                <w:sz w:val="18"/>
                <w:szCs w:val="18"/>
              </w:rPr>
              <w:t>机构：没收违法所得，并处违法所得三点五倍的罚款；</w:t>
            </w:r>
          </w:p>
          <w:p>
            <w:pPr>
              <w:rPr>
                <w:rFonts w:hint="eastAsia" w:ascii="仿宋_GB2312" w:hAnsi="仿宋_GB2312" w:eastAsia="仿宋_GB2312" w:cs="仿宋_GB2312"/>
                <w:bCs/>
                <w:color w:val="000000"/>
                <w:sz w:val="18"/>
                <w:szCs w:val="18"/>
              </w:rPr>
            </w:pPr>
            <w:r>
              <w:rPr>
                <w:rFonts w:hint="eastAsia" w:ascii="仿宋_GB2312" w:hAnsi="仿宋_GB2312" w:eastAsia="仿宋_GB2312" w:cs="仿宋_GB2312"/>
                <w:bCs/>
                <w:color w:val="000000"/>
                <w:sz w:val="18"/>
                <w:szCs w:val="18"/>
              </w:rPr>
              <w:t>直接负责的主管人员和其他直接责任人员：处七万五千元的罚款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0" w:hRule="atLeast"/>
          <w:jc w:val="center"/>
        </w:trPr>
        <w:tc>
          <w:tcPr>
            <w:tcW w:w="274" w:type="pct"/>
            <w:vMerge w:val="continue"/>
            <w:vAlign w:val="center"/>
          </w:tcPr>
          <w:p>
            <w:pPr>
              <w:rPr>
                <w:rFonts w:hint="eastAsia" w:ascii="仿宋_GB2312" w:hAnsi="仿宋_GB2312" w:eastAsia="仿宋_GB2312" w:cs="仿宋_GB2312"/>
                <w:bCs/>
                <w:color w:val="000000"/>
                <w:sz w:val="16"/>
                <w:szCs w:val="16"/>
              </w:rPr>
            </w:pPr>
          </w:p>
        </w:tc>
        <w:tc>
          <w:tcPr>
            <w:tcW w:w="416" w:type="pct"/>
            <w:vMerge w:val="continue"/>
            <w:vAlign w:val="center"/>
          </w:tcPr>
          <w:p>
            <w:pPr>
              <w:rPr>
                <w:rFonts w:hint="eastAsia" w:ascii="仿宋_GB2312" w:hAnsi="仿宋_GB2312" w:eastAsia="仿宋_GB2312" w:cs="仿宋_GB2312"/>
                <w:bCs/>
                <w:color w:val="000000"/>
                <w:sz w:val="16"/>
                <w:szCs w:val="16"/>
              </w:rPr>
            </w:pPr>
          </w:p>
        </w:tc>
        <w:tc>
          <w:tcPr>
            <w:tcW w:w="413" w:type="pct"/>
            <w:vMerge w:val="continue"/>
            <w:vAlign w:val="center"/>
          </w:tcPr>
          <w:p>
            <w:pPr>
              <w:rPr>
                <w:rFonts w:hint="eastAsia" w:ascii="仿宋_GB2312" w:hAnsi="仿宋_GB2312" w:eastAsia="仿宋_GB2312" w:cs="仿宋_GB2312"/>
                <w:bCs/>
                <w:color w:val="000000"/>
                <w:sz w:val="16"/>
                <w:szCs w:val="16"/>
              </w:rPr>
            </w:pPr>
          </w:p>
        </w:tc>
        <w:tc>
          <w:tcPr>
            <w:tcW w:w="872" w:type="pct"/>
            <w:vMerge w:val="continue"/>
            <w:vAlign w:val="center"/>
          </w:tcPr>
          <w:p>
            <w:pPr>
              <w:rPr>
                <w:rFonts w:hint="eastAsia" w:ascii="仿宋_GB2312" w:hAnsi="仿宋_GB2312" w:eastAsia="仿宋_GB2312" w:cs="仿宋_GB2312"/>
                <w:bCs/>
                <w:color w:val="000000"/>
                <w:sz w:val="16"/>
                <w:szCs w:val="16"/>
              </w:rPr>
            </w:pPr>
          </w:p>
        </w:tc>
        <w:tc>
          <w:tcPr>
            <w:tcW w:w="447" w:type="pct"/>
            <w:vMerge w:val="continue"/>
            <w:vAlign w:val="center"/>
          </w:tcPr>
          <w:p>
            <w:pPr>
              <w:ind w:firstLine="320" w:firstLineChars="200"/>
              <w:rPr>
                <w:rFonts w:hint="eastAsia" w:ascii="仿宋_GB2312" w:hAnsi="仿宋_GB2312" w:eastAsia="仿宋_GB2312" w:cs="仿宋_GB2312"/>
                <w:bCs/>
                <w:color w:val="000000"/>
                <w:sz w:val="16"/>
                <w:szCs w:val="16"/>
              </w:rPr>
            </w:pPr>
          </w:p>
        </w:tc>
        <w:tc>
          <w:tcPr>
            <w:tcW w:w="428" w:type="pct"/>
            <w:vMerge w:val="continue"/>
            <w:vAlign w:val="center"/>
          </w:tcPr>
          <w:p>
            <w:pPr>
              <w:jc w:val="center"/>
              <w:rPr>
                <w:rFonts w:hint="eastAsia" w:ascii="仿宋_GB2312" w:hAnsi="仿宋_GB2312" w:eastAsia="仿宋_GB2312" w:cs="仿宋_GB2312"/>
                <w:bCs/>
                <w:color w:val="000000"/>
                <w:sz w:val="18"/>
                <w:szCs w:val="18"/>
              </w:rPr>
            </w:pPr>
          </w:p>
        </w:tc>
        <w:tc>
          <w:tcPr>
            <w:tcW w:w="660" w:type="pct"/>
            <w:vMerge w:val="continue"/>
            <w:vAlign w:val="center"/>
          </w:tcPr>
          <w:p>
            <w:pPr>
              <w:rPr>
                <w:rFonts w:hint="eastAsia" w:ascii="仿宋_GB2312" w:hAnsi="仿宋_GB2312" w:eastAsia="仿宋_GB2312" w:cs="仿宋_GB2312"/>
                <w:bCs/>
                <w:color w:val="000000"/>
                <w:sz w:val="18"/>
                <w:szCs w:val="18"/>
              </w:rPr>
            </w:pPr>
          </w:p>
        </w:tc>
        <w:tc>
          <w:tcPr>
            <w:tcW w:w="1486" w:type="pct"/>
            <w:vAlign w:val="center"/>
          </w:tcPr>
          <w:p>
            <w:pPr>
              <w:rPr>
                <w:rFonts w:hint="eastAsia" w:ascii="仿宋_GB2312" w:hAnsi="仿宋_GB2312" w:eastAsia="仿宋_GB2312" w:cs="仿宋_GB2312"/>
                <w:b/>
                <w:color w:val="000000"/>
                <w:sz w:val="18"/>
                <w:szCs w:val="18"/>
              </w:rPr>
            </w:pPr>
            <w:r>
              <w:rPr>
                <w:rFonts w:hint="eastAsia" w:ascii="仿宋_GB2312" w:hAnsi="仿宋_GB2312" w:eastAsia="仿宋_GB2312" w:cs="仿宋_GB2312"/>
                <w:b/>
                <w:color w:val="000000"/>
                <w:sz w:val="18"/>
                <w:szCs w:val="18"/>
              </w:rPr>
              <w:t>没有违法所得或者违法所得不足十万元的</w:t>
            </w:r>
          </w:p>
          <w:p>
            <w:pPr>
              <w:rPr>
                <w:rFonts w:hint="eastAsia" w:ascii="仿宋_GB2312" w:hAnsi="仿宋_GB2312" w:eastAsia="仿宋_GB2312" w:cs="仿宋_GB2312"/>
                <w:b/>
                <w:bCs w:val="0"/>
                <w:color w:val="000000"/>
                <w:sz w:val="18"/>
                <w:szCs w:val="18"/>
              </w:rPr>
            </w:pPr>
            <w:r>
              <w:rPr>
                <w:rFonts w:hint="eastAsia" w:ascii="仿宋_GB2312" w:hAnsi="仿宋_GB2312" w:eastAsia="仿宋_GB2312" w:cs="仿宋_GB2312"/>
                <w:bCs/>
                <w:color w:val="000000"/>
                <w:sz w:val="18"/>
                <w:szCs w:val="18"/>
              </w:rPr>
              <w:t>机构：</w:t>
            </w:r>
            <w:r>
              <w:rPr>
                <w:rFonts w:hint="eastAsia" w:ascii="仿宋_GB2312" w:hAnsi="仿宋_GB2312" w:eastAsia="仿宋_GB2312" w:cs="仿宋_GB2312"/>
                <w:b w:val="0"/>
                <w:bCs/>
                <w:color w:val="000000"/>
                <w:sz w:val="18"/>
                <w:szCs w:val="18"/>
              </w:rPr>
              <w:t>没有违法所得的，</w:t>
            </w:r>
            <w:r>
              <w:rPr>
                <w:rFonts w:hint="eastAsia" w:ascii="仿宋_GB2312" w:hAnsi="仿宋_GB2312" w:eastAsia="仿宋_GB2312" w:cs="仿宋_GB2312"/>
                <w:bCs/>
                <w:color w:val="000000"/>
                <w:sz w:val="18"/>
                <w:szCs w:val="18"/>
                <w:highlight w:val="none"/>
              </w:rPr>
              <w:t>处</w:t>
            </w:r>
            <w:r>
              <w:rPr>
                <w:rFonts w:hint="eastAsia" w:ascii="仿宋_GB2312" w:hAnsi="仿宋_GB2312" w:eastAsia="仿宋_GB2312" w:cs="仿宋_GB2312"/>
                <w:bCs/>
                <w:color w:val="000000"/>
                <w:sz w:val="18"/>
                <w:szCs w:val="18"/>
              </w:rPr>
              <w:t>十五万元的罚款；</w:t>
            </w:r>
            <w:r>
              <w:rPr>
                <w:rFonts w:hint="eastAsia" w:ascii="仿宋_GB2312" w:hAnsi="仿宋_GB2312" w:eastAsia="仿宋_GB2312" w:cs="仿宋_GB2312"/>
                <w:b w:val="0"/>
                <w:bCs/>
                <w:color w:val="000000"/>
                <w:sz w:val="18"/>
                <w:szCs w:val="18"/>
              </w:rPr>
              <w:t>违法所得不足十万元的，没收违法所得，并</w:t>
            </w:r>
            <w:r>
              <w:rPr>
                <w:rFonts w:hint="eastAsia" w:ascii="仿宋_GB2312" w:hAnsi="仿宋_GB2312" w:eastAsia="仿宋_GB2312" w:cs="仿宋_GB2312"/>
                <w:bCs/>
                <w:color w:val="000000"/>
                <w:sz w:val="18"/>
                <w:szCs w:val="18"/>
                <w:highlight w:val="none"/>
              </w:rPr>
              <w:t>处</w:t>
            </w:r>
            <w:r>
              <w:rPr>
                <w:rFonts w:hint="eastAsia" w:ascii="仿宋_GB2312" w:hAnsi="仿宋_GB2312" w:eastAsia="仿宋_GB2312" w:cs="仿宋_GB2312"/>
                <w:bCs/>
                <w:color w:val="000000"/>
                <w:sz w:val="18"/>
                <w:szCs w:val="18"/>
              </w:rPr>
              <w:t>十五万元的罚款；</w:t>
            </w:r>
          </w:p>
          <w:p>
            <w:pPr>
              <w:rPr>
                <w:rFonts w:hint="eastAsia" w:ascii="仿宋_GB2312" w:hAnsi="仿宋_GB2312" w:eastAsia="仿宋_GB2312" w:cs="仿宋_GB2312"/>
                <w:bCs/>
                <w:color w:val="000000"/>
                <w:sz w:val="18"/>
                <w:szCs w:val="18"/>
              </w:rPr>
            </w:pPr>
            <w:r>
              <w:rPr>
                <w:rFonts w:hint="eastAsia" w:ascii="仿宋_GB2312" w:hAnsi="仿宋_GB2312" w:eastAsia="仿宋_GB2312" w:cs="仿宋_GB2312"/>
                <w:bCs/>
                <w:color w:val="000000"/>
                <w:sz w:val="18"/>
                <w:szCs w:val="18"/>
              </w:rPr>
              <w:t>直接负责的主管人员和其他直接责任人员：处七万五千元的罚款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0" w:hRule="atLeast"/>
          <w:jc w:val="center"/>
        </w:trPr>
        <w:tc>
          <w:tcPr>
            <w:tcW w:w="274" w:type="pct"/>
            <w:vMerge w:val="continue"/>
            <w:vAlign w:val="center"/>
          </w:tcPr>
          <w:p>
            <w:pPr>
              <w:rPr>
                <w:rFonts w:hint="eastAsia" w:ascii="仿宋_GB2312" w:hAnsi="仿宋_GB2312" w:eastAsia="仿宋_GB2312" w:cs="仿宋_GB2312"/>
                <w:bCs/>
                <w:color w:val="000000"/>
                <w:sz w:val="16"/>
                <w:szCs w:val="16"/>
              </w:rPr>
            </w:pPr>
          </w:p>
        </w:tc>
        <w:tc>
          <w:tcPr>
            <w:tcW w:w="416" w:type="pct"/>
            <w:vMerge w:val="continue"/>
            <w:vAlign w:val="center"/>
          </w:tcPr>
          <w:p>
            <w:pPr>
              <w:rPr>
                <w:rFonts w:hint="eastAsia" w:ascii="仿宋_GB2312" w:hAnsi="仿宋_GB2312" w:eastAsia="仿宋_GB2312" w:cs="仿宋_GB2312"/>
                <w:bCs/>
                <w:color w:val="000000"/>
                <w:sz w:val="16"/>
                <w:szCs w:val="16"/>
              </w:rPr>
            </w:pPr>
          </w:p>
        </w:tc>
        <w:tc>
          <w:tcPr>
            <w:tcW w:w="413" w:type="pct"/>
            <w:vMerge w:val="continue"/>
            <w:vAlign w:val="center"/>
          </w:tcPr>
          <w:p>
            <w:pPr>
              <w:rPr>
                <w:rFonts w:hint="eastAsia" w:ascii="仿宋_GB2312" w:hAnsi="仿宋_GB2312" w:eastAsia="仿宋_GB2312" w:cs="仿宋_GB2312"/>
                <w:bCs/>
                <w:color w:val="000000"/>
                <w:sz w:val="16"/>
                <w:szCs w:val="16"/>
              </w:rPr>
            </w:pPr>
          </w:p>
        </w:tc>
        <w:tc>
          <w:tcPr>
            <w:tcW w:w="872" w:type="pct"/>
            <w:vMerge w:val="continue"/>
            <w:vAlign w:val="center"/>
          </w:tcPr>
          <w:p>
            <w:pPr>
              <w:rPr>
                <w:rFonts w:hint="eastAsia" w:ascii="仿宋_GB2312" w:hAnsi="仿宋_GB2312" w:eastAsia="仿宋_GB2312" w:cs="仿宋_GB2312"/>
                <w:bCs/>
                <w:color w:val="000000"/>
                <w:sz w:val="16"/>
                <w:szCs w:val="16"/>
              </w:rPr>
            </w:pPr>
          </w:p>
        </w:tc>
        <w:tc>
          <w:tcPr>
            <w:tcW w:w="447" w:type="pct"/>
            <w:vMerge w:val="continue"/>
            <w:vAlign w:val="center"/>
          </w:tcPr>
          <w:p>
            <w:pPr>
              <w:ind w:firstLine="320" w:firstLineChars="200"/>
              <w:rPr>
                <w:rFonts w:hint="eastAsia" w:ascii="仿宋_GB2312" w:hAnsi="仿宋_GB2312" w:eastAsia="仿宋_GB2312" w:cs="仿宋_GB2312"/>
                <w:bCs/>
                <w:color w:val="000000"/>
                <w:sz w:val="16"/>
                <w:szCs w:val="16"/>
              </w:rPr>
            </w:pPr>
          </w:p>
        </w:tc>
        <w:tc>
          <w:tcPr>
            <w:tcW w:w="428" w:type="pct"/>
            <w:vMerge w:val="restart"/>
            <w:vAlign w:val="center"/>
          </w:tcPr>
          <w:p>
            <w:pPr>
              <w:jc w:val="center"/>
              <w:rPr>
                <w:rFonts w:hint="eastAsia" w:ascii="仿宋_GB2312" w:hAnsi="仿宋_GB2312" w:eastAsia="仿宋_GB2312" w:cs="仿宋_GB2312"/>
                <w:bCs/>
                <w:color w:val="000000"/>
                <w:sz w:val="18"/>
                <w:szCs w:val="18"/>
              </w:rPr>
            </w:pPr>
            <w:r>
              <w:rPr>
                <w:rFonts w:hint="eastAsia" w:ascii="仿宋_GB2312" w:hAnsi="仿宋_GB2312" w:eastAsia="仿宋_GB2312" w:cs="仿宋_GB2312"/>
                <w:bCs/>
                <w:color w:val="000000"/>
                <w:sz w:val="18"/>
                <w:szCs w:val="18"/>
              </w:rPr>
              <w:t>从重</w:t>
            </w:r>
          </w:p>
        </w:tc>
        <w:tc>
          <w:tcPr>
            <w:tcW w:w="660" w:type="pct"/>
            <w:vMerge w:val="restart"/>
            <w:vAlign w:val="center"/>
          </w:tcPr>
          <w:p>
            <w:pPr>
              <w:rPr>
                <w:rFonts w:hint="eastAsia" w:ascii="仿宋_GB2312" w:hAnsi="仿宋_GB2312" w:eastAsia="仿宋_GB2312" w:cs="仿宋_GB2312"/>
                <w:bCs/>
                <w:color w:val="000000"/>
                <w:sz w:val="18"/>
                <w:szCs w:val="18"/>
              </w:rPr>
            </w:pPr>
            <w:r>
              <w:rPr>
                <w:rFonts w:hint="eastAsia" w:ascii="仿宋_GB2312" w:hAnsi="仿宋_GB2312" w:eastAsia="仿宋_GB2312" w:cs="仿宋_GB2312"/>
                <w:bCs/>
                <w:color w:val="000000"/>
                <w:sz w:val="18"/>
                <w:szCs w:val="18"/>
              </w:rPr>
              <w:t>造成生产安全事故的，或造成其他严重后果的</w:t>
            </w:r>
          </w:p>
        </w:tc>
        <w:tc>
          <w:tcPr>
            <w:tcW w:w="1486" w:type="pct"/>
            <w:vAlign w:val="center"/>
          </w:tcPr>
          <w:p>
            <w:pPr>
              <w:rPr>
                <w:rFonts w:hint="eastAsia" w:ascii="仿宋_GB2312" w:hAnsi="仿宋_GB2312" w:eastAsia="仿宋_GB2312" w:cs="仿宋_GB2312"/>
                <w:bCs/>
                <w:color w:val="000000"/>
                <w:sz w:val="18"/>
                <w:szCs w:val="18"/>
              </w:rPr>
            </w:pPr>
            <w:r>
              <w:rPr>
                <w:rFonts w:hint="eastAsia" w:ascii="仿宋_GB2312" w:hAnsi="仿宋_GB2312" w:eastAsia="仿宋_GB2312" w:cs="仿宋_GB2312"/>
                <w:b/>
                <w:color w:val="000000"/>
                <w:sz w:val="18"/>
                <w:szCs w:val="18"/>
              </w:rPr>
              <w:t>违法所得在十万元以上的</w:t>
            </w:r>
          </w:p>
          <w:p>
            <w:pPr>
              <w:rPr>
                <w:rFonts w:hint="eastAsia" w:ascii="仿宋_GB2312" w:hAnsi="仿宋_GB2312" w:eastAsia="仿宋_GB2312" w:cs="仿宋_GB2312"/>
                <w:bCs/>
                <w:color w:val="000000"/>
                <w:sz w:val="18"/>
                <w:szCs w:val="18"/>
              </w:rPr>
            </w:pPr>
            <w:r>
              <w:rPr>
                <w:rFonts w:hint="eastAsia" w:ascii="仿宋_GB2312" w:hAnsi="仿宋_GB2312" w:eastAsia="仿宋_GB2312" w:cs="仿宋_GB2312"/>
                <w:bCs/>
                <w:color w:val="000000"/>
                <w:sz w:val="18"/>
                <w:szCs w:val="18"/>
              </w:rPr>
              <w:t>机构：没收违法所得，并处违法所得超过三点五倍、五倍以下的罚款；</w:t>
            </w:r>
          </w:p>
          <w:p>
            <w:pPr>
              <w:rPr>
                <w:rFonts w:hint="eastAsia" w:ascii="仿宋_GB2312" w:hAnsi="仿宋_GB2312" w:eastAsia="仿宋_GB2312" w:cs="仿宋_GB2312"/>
                <w:bCs/>
                <w:color w:val="000000"/>
                <w:sz w:val="18"/>
                <w:szCs w:val="18"/>
              </w:rPr>
            </w:pPr>
            <w:r>
              <w:rPr>
                <w:rFonts w:hint="eastAsia" w:ascii="仿宋_GB2312" w:hAnsi="仿宋_GB2312" w:eastAsia="仿宋_GB2312" w:cs="仿宋_GB2312"/>
                <w:bCs/>
                <w:color w:val="000000"/>
                <w:sz w:val="18"/>
                <w:szCs w:val="18"/>
              </w:rPr>
              <w:t>直接负责的主管人员和其他直接责任人员：处超过七万五千元、十万元以下的罚款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0" w:hRule="atLeast"/>
          <w:jc w:val="center"/>
        </w:trPr>
        <w:tc>
          <w:tcPr>
            <w:tcW w:w="274" w:type="pct"/>
            <w:vMerge w:val="continue"/>
            <w:vAlign w:val="center"/>
          </w:tcPr>
          <w:p>
            <w:pPr>
              <w:rPr>
                <w:rFonts w:hint="eastAsia" w:ascii="仿宋_GB2312" w:hAnsi="仿宋_GB2312" w:eastAsia="仿宋_GB2312" w:cs="仿宋_GB2312"/>
                <w:bCs/>
                <w:color w:val="000000"/>
                <w:sz w:val="16"/>
                <w:szCs w:val="16"/>
              </w:rPr>
            </w:pPr>
          </w:p>
        </w:tc>
        <w:tc>
          <w:tcPr>
            <w:tcW w:w="416" w:type="pct"/>
            <w:vMerge w:val="continue"/>
            <w:vAlign w:val="center"/>
          </w:tcPr>
          <w:p>
            <w:pPr>
              <w:rPr>
                <w:rFonts w:hint="eastAsia" w:ascii="仿宋_GB2312" w:hAnsi="仿宋_GB2312" w:eastAsia="仿宋_GB2312" w:cs="仿宋_GB2312"/>
                <w:bCs/>
                <w:color w:val="000000"/>
                <w:sz w:val="16"/>
                <w:szCs w:val="16"/>
              </w:rPr>
            </w:pPr>
          </w:p>
        </w:tc>
        <w:tc>
          <w:tcPr>
            <w:tcW w:w="413" w:type="pct"/>
            <w:vMerge w:val="continue"/>
            <w:vAlign w:val="center"/>
          </w:tcPr>
          <w:p>
            <w:pPr>
              <w:rPr>
                <w:rFonts w:hint="eastAsia" w:ascii="仿宋_GB2312" w:hAnsi="仿宋_GB2312" w:eastAsia="仿宋_GB2312" w:cs="仿宋_GB2312"/>
                <w:bCs/>
                <w:color w:val="000000"/>
                <w:sz w:val="16"/>
                <w:szCs w:val="16"/>
              </w:rPr>
            </w:pPr>
          </w:p>
        </w:tc>
        <w:tc>
          <w:tcPr>
            <w:tcW w:w="872" w:type="pct"/>
            <w:vMerge w:val="continue"/>
            <w:vAlign w:val="center"/>
          </w:tcPr>
          <w:p>
            <w:pPr>
              <w:rPr>
                <w:rFonts w:hint="eastAsia" w:ascii="仿宋_GB2312" w:hAnsi="仿宋_GB2312" w:eastAsia="仿宋_GB2312" w:cs="仿宋_GB2312"/>
                <w:bCs/>
                <w:color w:val="000000"/>
                <w:sz w:val="16"/>
                <w:szCs w:val="16"/>
              </w:rPr>
            </w:pPr>
          </w:p>
        </w:tc>
        <w:tc>
          <w:tcPr>
            <w:tcW w:w="447" w:type="pct"/>
            <w:vMerge w:val="continue"/>
            <w:vAlign w:val="center"/>
          </w:tcPr>
          <w:p>
            <w:pPr>
              <w:ind w:firstLine="320" w:firstLineChars="200"/>
              <w:rPr>
                <w:rFonts w:hint="eastAsia" w:ascii="仿宋_GB2312" w:hAnsi="仿宋_GB2312" w:eastAsia="仿宋_GB2312" w:cs="仿宋_GB2312"/>
                <w:bCs/>
                <w:color w:val="000000"/>
                <w:sz w:val="16"/>
                <w:szCs w:val="16"/>
              </w:rPr>
            </w:pPr>
          </w:p>
        </w:tc>
        <w:tc>
          <w:tcPr>
            <w:tcW w:w="428" w:type="pct"/>
            <w:vMerge w:val="continue"/>
            <w:vAlign w:val="center"/>
          </w:tcPr>
          <w:p>
            <w:pPr>
              <w:jc w:val="center"/>
              <w:rPr>
                <w:rFonts w:hint="eastAsia" w:ascii="仿宋_GB2312" w:hAnsi="仿宋_GB2312" w:eastAsia="仿宋_GB2312" w:cs="仿宋_GB2312"/>
                <w:bCs/>
                <w:color w:val="000000"/>
                <w:sz w:val="18"/>
                <w:szCs w:val="18"/>
              </w:rPr>
            </w:pPr>
          </w:p>
        </w:tc>
        <w:tc>
          <w:tcPr>
            <w:tcW w:w="660" w:type="pct"/>
            <w:vMerge w:val="continue"/>
            <w:vAlign w:val="center"/>
          </w:tcPr>
          <w:p>
            <w:pPr>
              <w:rPr>
                <w:rFonts w:hint="eastAsia" w:ascii="仿宋_GB2312" w:hAnsi="仿宋_GB2312" w:eastAsia="仿宋_GB2312" w:cs="仿宋_GB2312"/>
                <w:bCs/>
                <w:color w:val="000000"/>
                <w:sz w:val="18"/>
                <w:szCs w:val="18"/>
              </w:rPr>
            </w:pPr>
          </w:p>
        </w:tc>
        <w:tc>
          <w:tcPr>
            <w:tcW w:w="1486" w:type="pct"/>
            <w:vAlign w:val="center"/>
          </w:tcPr>
          <w:p>
            <w:pPr>
              <w:rPr>
                <w:rFonts w:hint="eastAsia" w:ascii="仿宋_GB2312" w:hAnsi="仿宋_GB2312" w:eastAsia="仿宋_GB2312" w:cs="仿宋_GB2312"/>
                <w:b/>
                <w:color w:val="000000"/>
                <w:sz w:val="18"/>
                <w:szCs w:val="18"/>
              </w:rPr>
            </w:pPr>
            <w:r>
              <w:rPr>
                <w:rFonts w:hint="eastAsia" w:ascii="仿宋_GB2312" w:hAnsi="仿宋_GB2312" w:eastAsia="仿宋_GB2312" w:cs="仿宋_GB2312"/>
                <w:b/>
                <w:color w:val="000000"/>
                <w:sz w:val="18"/>
                <w:szCs w:val="18"/>
              </w:rPr>
              <w:t>没有违法所得或者违法所得不足十万元的</w:t>
            </w:r>
          </w:p>
          <w:p>
            <w:pPr>
              <w:rPr>
                <w:rFonts w:hint="eastAsia" w:ascii="仿宋_GB2312" w:hAnsi="仿宋_GB2312" w:eastAsia="仿宋_GB2312" w:cs="仿宋_GB2312"/>
                <w:bCs/>
                <w:color w:val="000000"/>
                <w:sz w:val="18"/>
                <w:szCs w:val="18"/>
              </w:rPr>
            </w:pPr>
            <w:r>
              <w:rPr>
                <w:rFonts w:hint="eastAsia" w:ascii="仿宋_GB2312" w:hAnsi="仿宋_GB2312" w:eastAsia="仿宋_GB2312" w:cs="仿宋_GB2312"/>
                <w:bCs/>
                <w:color w:val="000000"/>
                <w:sz w:val="18"/>
                <w:szCs w:val="18"/>
              </w:rPr>
              <w:t>机构：</w:t>
            </w:r>
            <w:r>
              <w:rPr>
                <w:rFonts w:hint="eastAsia" w:ascii="仿宋_GB2312" w:hAnsi="仿宋_GB2312" w:eastAsia="仿宋_GB2312" w:cs="仿宋_GB2312"/>
                <w:b w:val="0"/>
                <w:bCs/>
                <w:color w:val="000000"/>
                <w:sz w:val="18"/>
                <w:szCs w:val="18"/>
              </w:rPr>
              <w:t>没有违法所得的，</w:t>
            </w:r>
            <w:r>
              <w:rPr>
                <w:rFonts w:hint="eastAsia" w:ascii="仿宋_GB2312" w:hAnsi="仿宋_GB2312" w:eastAsia="仿宋_GB2312" w:cs="仿宋_GB2312"/>
                <w:bCs/>
                <w:color w:val="000000"/>
                <w:sz w:val="18"/>
                <w:szCs w:val="18"/>
              </w:rPr>
              <w:t>处超过十五万元、二十万元以下的罚款；</w:t>
            </w:r>
            <w:r>
              <w:rPr>
                <w:rFonts w:hint="eastAsia" w:ascii="仿宋_GB2312" w:hAnsi="仿宋_GB2312" w:eastAsia="仿宋_GB2312" w:cs="仿宋_GB2312"/>
                <w:b w:val="0"/>
                <w:bCs/>
                <w:color w:val="000000"/>
                <w:sz w:val="18"/>
                <w:szCs w:val="18"/>
              </w:rPr>
              <w:t>违法所得不足十万元的，没收违法所得，并</w:t>
            </w:r>
            <w:r>
              <w:rPr>
                <w:rFonts w:hint="eastAsia" w:ascii="仿宋_GB2312" w:hAnsi="仿宋_GB2312" w:eastAsia="仿宋_GB2312" w:cs="仿宋_GB2312"/>
                <w:bCs/>
                <w:color w:val="000000"/>
                <w:sz w:val="18"/>
                <w:szCs w:val="18"/>
              </w:rPr>
              <w:t>处超过十五万元、二十万元以下的罚款；情节严重的，实行终身行业和职业禁入；</w:t>
            </w:r>
          </w:p>
          <w:p>
            <w:pPr>
              <w:rPr>
                <w:rFonts w:hint="eastAsia" w:ascii="仿宋_GB2312" w:hAnsi="仿宋_GB2312" w:eastAsia="仿宋_GB2312" w:cs="仿宋_GB2312"/>
                <w:bCs/>
                <w:color w:val="000000"/>
                <w:sz w:val="18"/>
                <w:szCs w:val="18"/>
              </w:rPr>
            </w:pPr>
            <w:r>
              <w:rPr>
                <w:rFonts w:hint="eastAsia" w:ascii="仿宋_GB2312" w:hAnsi="仿宋_GB2312" w:eastAsia="仿宋_GB2312" w:cs="仿宋_GB2312"/>
                <w:bCs/>
                <w:color w:val="000000"/>
                <w:sz w:val="18"/>
                <w:szCs w:val="18"/>
              </w:rPr>
              <w:t>直接负责的主管人员和其他直接责任人员：处超过七万五千元、十万元以下的罚款，情节严重的，实行终身行业和职业禁入</w:t>
            </w:r>
          </w:p>
        </w:tc>
      </w:tr>
    </w:tbl>
    <w:p>
      <w:pPr>
        <w:rPr>
          <w:rStyle w:val="32"/>
          <w:rFonts w:hint="eastAsia" w:cs="宋体" w:asciiTheme="minorEastAsia" w:hAnsiTheme="minorEastAsia"/>
          <w:bCs/>
          <w:color w:val="000000"/>
        </w:rPr>
        <w:sectPr>
          <w:footerReference r:id="rId4" w:type="default"/>
          <w:pgSz w:w="16838" w:h="11906" w:orient="landscape"/>
          <w:pgMar w:top="1134" w:right="1247" w:bottom="1134" w:left="1247" w:header="851" w:footer="851" w:gutter="0"/>
          <w:pgNumType w:fmt="numberInDash" w:start="1"/>
          <w:cols w:space="720" w:num="1"/>
          <w:docGrid w:linePitch="312" w:charSpace="0"/>
        </w:sectPr>
      </w:pPr>
    </w:p>
    <w:p>
      <w:pPr>
        <w:rPr>
          <w:rFonts w:hint="eastAsia" w:cs="宋体" w:asciiTheme="minorEastAsia" w:hAnsiTheme="minorEastAsia"/>
          <w:bCs/>
          <w:color w:val="000000"/>
          <w:sz w:val="32"/>
          <w:szCs w:val="32"/>
        </w:rPr>
      </w:pPr>
      <w:bookmarkStart w:id="16" w:name="_Toc13149"/>
      <w:bookmarkStart w:id="17" w:name="_Toc4170"/>
      <w:bookmarkStart w:id="18" w:name="_Toc30126"/>
      <w:bookmarkStart w:id="19" w:name="_Toc10700"/>
      <w:bookmarkStart w:id="20" w:name="_Toc26641"/>
      <w:bookmarkStart w:id="21" w:name="_Toc15561"/>
      <w:bookmarkStart w:id="22" w:name="_Toc5313"/>
      <w:bookmarkStart w:id="23" w:name="_Toc19597"/>
      <w:bookmarkStart w:id="24" w:name="_Toc2028"/>
      <w:bookmarkStart w:id="25" w:name="_Toc11374"/>
      <w:bookmarkStart w:id="26" w:name="_Toc11382"/>
      <w:bookmarkStart w:id="27" w:name="_Toc19824"/>
      <w:r>
        <w:rPr>
          <w:rFonts w:hint="eastAsia" w:cs="宋体" w:asciiTheme="minorEastAsia" w:hAnsiTheme="minorEastAsia"/>
          <w:bCs/>
          <w:color w:val="000000"/>
          <w:sz w:val="32"/>
          <w:szCs w:val="32"/>
        </w:rPr>
        <w:t>《中华人民共和国安全生产法》</w:t>
      </w:r>
      <w:bookmarkEnd w:id="16"/>
      <w:bookmarkEnd w:id="17"/>
      <w:bookmarkEnd w:id="18"/>
      <w:bookmarkEnd w:id="19"/>
      <w:bookmarkEnd w:id="20"/>
      <w:bookmarkEnd w:id="21"/>
      <w:bookmarkEnd w:id="22"/>
      <w:bookmarkEnd w:id="23"/>
      <w:bookmarkEnd w:id="24"/>
      <w:bookmarkEnd w:id="25"/>
      <w:bookmarkEnd w:id="26"/>
      <w:bookmarkEnd w:id="27"/>
    </w:p>
    <w:tbl>
      <w:tblPr>
        <w:tblStyle w:val="11"/>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9"/>
        <w:gridCol w:w="1400"/>
        <w:gridCol w:w="1959"/>
        <w:gridCol w:w="3173"/>
        <w:gridCol w:w="1205"/>
        <w:gridCol w:w="1205"/>
        <w:gridCol w:w="2116"/>
        <w:gridCol w:w="256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1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序号</w:t>
            </w:r>
          </w:p>
        </w:tc>
        <w:tc>
          <w:tcPr>
            <w:tcW w:w="481"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672"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108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414"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414"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726"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881" w:type="pct"/>
            <w:vAlign w:val="center"/>
          </w:tcPr>
          <w:p>
            <w:pPr>
              <w:jc w:val="center"/>
              <w:rPr>
                <w:rFonts w:hint="eastAsia" w:ascii="仿宋_GB2312" w:hAnsi="仿宋_GB2312" w:eastAsia="仿宋_GB2312" w:cs="仿宋_GB2312"/>
                <w:bCs/>
                <w:color w:val="000000"/>
                <w:szCs w:val="21"/>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1" w:hRule="atLeast"/>
          <w:jc w:val="center"/>
        </w:trPr>
        <w:tc>
          <w:tcPr>
            <w:tcW w:w="319" w:type="pct"/>
            <w:vMerge w:val="restart"/>
            <w:vAlign w:val="center"/>
          </w:tcPr>
          <w:p>
            <w:pPr>
              <w:widowControl/>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Cs/>
                <w:color w:val="000000"/>
                <w:kern w:val="0"/>
                <w:szCs w:val="21"/>
                <w:lang w:val="en"/>
              </w:rPr>
              <w:t>101.3</w:t>
            </w:r>
          </w:p>
        </w:tc>
        <w:tc>
          <w:tcPr>
            <w:tcW w:w="481"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生产经营单位的决策机构、主要负责人或者个人经营的投资人不依照本法规定保证安全生产所必需的资金投入，致使生产经营单位不具备安全生产条件的</w:t>
            </w:r>
          </w:p>
        </w:tc>
        <w:tc>
          <w:tcPr>
            <w:tcW w:w="672"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第二十一条第（四）项：“生产经营单位的主要负责人对本单位安全生产工作负有下列职责:</w:t>
            </w:r>
          </w:p>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 xml:space="preserve">（四）保证本单位安全生产投入的有效实施。” </w:t>
            </w:r>
          </w:p>
        </w:tc>
        <w:tc>
          <w:tcPr>
            <w:tcW w:w="1089"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第九十三条：“生产经营单位的决策机构、主要负责人或者个人经营的投资人不依照本法规定保证安全生产所必需的资金投入，致使生产经营单位不具备安全生产条件的，责令限期改正，提供必需的资金；逾期未改正的，责令生产经营单位停产停业整顿。</w:t>
            </w:r>
          </w:p>
          <w:p>
            <w:pPr>
              <w:widowControl/>
              <w:ind w:firstLine="420" w:firstLineChars="200"/>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szCs w:val="21"/>
              </w:rPr>
              <w:t>有前款违法行为，导致发生生产安全事故的，对生产经营单位的主要负责人给予撤职处分，对个人经营的投资人处二万元以上二十万元以下的罚款；构成犯罪的，依照刑法有关规定追究刑事责任。”　</w:t>
            </w:r>
          </w:p>
        </w:tc>
        <w:tc>
          <w:tcPr>
            <w:tcW w:w="414" w:type="pct"/>
            <w:vMerge w:val="restart"/>
            <w:vAlign w:val="center"/>
          </w:tcPr>
          <w:p>
            <w:pPr>
              <w:jc w:val="left"/>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责令停产停业；罚款</w:t>
            </w:r>
          </w:p>
        </w:tc>
        <w:tc>
          <w:tcPr>
            <w:tcW w:w="414" w:type="pct"/>
            <w:vAlign w:val="center"/>
          </w:tcPr>
          <w:p>
            <w:pPr>
              <w:jc w:val="cente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从轻</w:t>
            </w:r>
          </w:p>
        </w:tc>
        <w:tc>
          <w:tcPr>
            <w:tcW w:w="726"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rPr>
              <w:t>导致发生</w:t>
            </w:r>
            <w:r>
              <w:rPr>
                <w:rFonts w:hint="eastAsia" w:ascii="仿宋_GB2312" w:hAnsi="仿宋_GB2312" w:eastAsia="仿宋_GB2312" w:cs="仿宋_GB2312"/>
                <w:bCs/>
                <w:color w:val="000000"/>
                <w:szCs w:val="21"/>
              </w:rPr>
              <w:t>一般生产安全事故的</w:t>
            </w:r>
          </w:p>
        </w:tc>
        <w:tc>
          <w:tcPr>
            <w:tcW w:w="881"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对生产经营单位的主要负责人给予撤职处分，对个人经营的投资人处二万元以上、低于十一万元的罚款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1" w:hRule="atLeast"/>
          <w:jc w:val="center"/>
        </w:trPr>
        <w:tc>
          <w:tcPr>
            <w:tcW w:w="319" w:type="pct"/>
            <w:vMerge w:val="continue"/>
            <w:vAlign w:val="center"/>
          </w:tcPr>
          <w:p>
            <w:pPr>
              <w:rPr>
                <w:rFonts w:hint="eastAsia" w:ascii="仿宋_GB2312" w:hAnsi="仿宋_GB2312" w:eastAsia="仿宋_GB2312" w:cs="仿宋_GB2312"/>
                <w:bCs/>
                <w:color w:val="000000"/>
                <w:szCs w:val="21"/>
              </w:rPr>
            </w:pPr>
          </w:p>
        </w:tc>
        <w:tc>
          <w:tcPr>
            <w:tcW w:w="481" w:type="pct"/>
            <w:vMerge w:val="continue"/>
            <w:vAlign w:val="center"/>
          </w:tcPr>
          <w:p>
            <w:pPr>
              <w:rPr>
                <w:rFonts w:hint="eastAsia" w:ascii="仿宋_GB2312" w:hAnsi="仿宋_GB2312" w:eastAsia="仿宋_GB2312" w:cs="仿宋_GB2312"/>
                <w:bCs/>
                <w:color w:val="000000"/>
                <w:szCs w:val="21"/>
              </w:rPr>
            </w:pPr>
          </w:p>
        </w:tc>
        <w:tc>
          <w:tcPr>
            <w:tcW w:w="672" w:type="pct"/>
            <w:vMerge w:val="continue"/>
            <w:vAlign w:val="center"/>
          </w:tcPr>
          <w:p>
            <w:pPr>
              <w:rPr>
                <w:rFonts w:hint="eastAsia" w:ascii="仿宋_GB2312" w:hAnsi="仿宋_GB2312" w:eastAsia="仿宋_GB2312" w:cs="仿宋_GB2312"/>
                <w:bCs/>
                <w:color w:val="000000"/>
                <w:szCs w:val="21"/>
              </w:rPr>
            </w:pPr>
          </w:p>
        </w:tc>
        <w:tc>
          <w:tcPr>
            <w:tcW w:w="1089"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414" w:type="pct"/>
            <w:vMerge w:val="continue"/>
            <w:vAlign w:val="center"/>
          </w:tcPr>
          <w:p>
            <w:pPr>
              <w:jc w:val="center"/>
              <w:rPr>
                <w:rFonts w:hint="eastAsia" w:ascii="仿宋_GB2312" w:hAnsi="仿宋_GB2312" w:eastAsia="仿宋_GB2312" w:cs="仿宋_GB2312"/>
                <w:bCs/>
                <w:color w:val="000000"/>
                <w:szCs w:val="21"/>
              </w:rPr>
            </w:pPr>
          </w:p>
        </w:tc>
        <w:tc>
          <w:tcPr>
            <w:tcW w:w="414" w:type="pct"/>
            <w:vAlign w:val="center"/>
          </w:tcPr>
          <w:p>
            <w:pPr>
              <w:jc w:val="cente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一般</w:t>
            </w:r>
          </w:p>
        </w:tc>
        <w:tc>
          <w:tcPr>
            <w:tcW w:w="726" w:type="pc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rPr>
              <w:t>导致发生</w:t>
            </w:r>
            <w:r>
              <w:rPr>
                <w:rFonts w:hint="eastAsia" w:ascii="仿宋_GB2312" w:hAnsi="仿宋_GB2312" w:eastAsia="仿宋_GB2312" w:cs="仿宋_GB2312"/>
                <w:bCs/>
                <w:color w:val="000000"/>
                <w:szCs w:val="21"/>
              </w:rPr>
              <w:t>较大生产安全事故的</w:t>
            </w:r>
          </w:p>
        </w:tc>
        <w:tc>
          <w:tcPr>
            <w:tcW w:w="881"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对生产经营单位的主要负责人给予撤职处分，对个人经营的投资人处十一万元的罚款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1" w:hRule="atLeast"/>
          <w:jc w:val="center"/>
        </w:trPr>
        <w:tc>
          <w:tcPr>
            <w:tcW w:w="319" w:type="pct"/>
            <w:vMerge w:val="continue"/>
            <w:vAlign w:val="center"/>
          </w:tcPr>
          <w:p>
            <w:pPr>
              <w:rPr>
                <w:rFonts w:hint="eastAsia" w:ascii="仿宋_GB2312" w:hAnsi="仿宋_GB2312" w:eastAsia="仿宋_GB2312" w:cs="仿宋_GB2312"/>
                <w:bCs/>
                <w:color w:val="000000"/>
                <w:szCs w:val="21"/>
              </w:rPr>
            </w:pPr>
          </w:p>
        </w:tc>
        <w:tc>
          <w:tcPr>
            <w:tcW w:w="481" w:type="pct"/>
            <w:vMerge w:val="continue"/>
            <w:vAlign w:val="center"/>
          </w:tcPr>
          <w:p>
            <w:pPr>
              <w:rPr>
                <w:rFonts w:hint="eastAsia" w:ascii="仿宋_GB2312" w:hAnsi="仿宋_GB2312" w:eastAsia="仿宋_GB2312" w:cs="仿宋_GB2312"/>
                <w:bCs/>
                <w:color w:val="000000"/>
                <w:szCs w:val="21"/>
              </w:rPr>
            </w:pPr>
          </w:p>
        </w:tc>
        <w:tc>
          <w:tcPr>
            <w:tcW w:w="672" w:type="pct"/>
            <w:vMerge w:val="continue"/>
            <w:vAlign w:val="center"/>
          </w:tcPr>
          <w:p>
            <w:pPr>
              <w:rPr>
                <w:rFonts w:hint="eastAsia" w:ascii="仿宋_GB2312" w:hAnsi="仿宋_GB2312" w:eastAsia="仿宋_GB2312" w:cs="仿宋_GB2312"/>
                <w:bCs/>
                <w:color w:val="000000"/>
                <w:szCs w:val="21"/>
              </w:rPr>
            </w:pPr>
          </w:p>
        </w:tc>
        <w:tc>
          <w:tcPr>
            <w:tcW w:w="1089"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414" w:type="pct"/>
            <w:vMerge w:val="continue"/>
            <w:vAlign w:val="center"/>
          </w:tcPr>
          <w:p>
            <w:pPr>
              <w:jc w:val="center"/>
              <w:rPr>
                <w:rFonts w:hint="eastAsia" w:ascii="仿宋_GB2312" w:hAnsi="仿宋_GB2312" w:eastAsia="仿宋_GB2312" w:cs="仿宋_GB2312"/>
                <w:bCs/>
                <w:color w:val="000000"/>
                <w:szCs w:val="21"/>
              </w:rPr>
            </w:pPr>
          </w:p>
        </w:tc>
        <w:tc>
          <w:tcPr>
            <w:tcW w:w="414" w:type="pct"/>
            <w:vAlign w:val="center"/>
          </w:tcPr>
          <w:p>
            <w:pPr>
              <w:jc w:val="cente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从重</w:t>
            </w:r>
          </w:p>
        </w:tc>
        <w:tc>
          <w:tcPr>
            <w:tcW w:w="726"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rPr>
              <w:t>导致发生</w:t>
            </w:r>
            <w:r>
              <w:rPr>
                <w:rFonts w:hint="eastAsia" w:ascii="仿宋_GB2312" w:hAnsi="仿宋_GB2312" w:eastAsia="仿宋_GB2312" w:cs="仿宋_GB2312"/>
                <w:bCs/>
                <w:color w:val="000000"/>
                <w:szCs w:val="21"/>
              </w:rPr>
              <w:t>重大及以上生产安全事故的</w:t>
            </w:r>
          </w:p>
        </w:tc>
        <w:tc>
          <w:tcPr>
            <w:tcW w:w="881"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对生产经营单位的主要负责人给予撤职处分，对个人经营的投资人处超过十一万元、二十万元以下的罚款</w:t>
            </w:r>
          </w:p>
        </w:tc>
      </w:tr>
    </w:tbl>
    <w:p>
      <w:pPr>
        <w:outlineLvl w:val="0"/>
        <w:rPr>
          <w:rFonts w:hint="eastAsia" w:cs="宋体" w:asciiTheme="minorEastAsia" w:hAnsiTheme="minorEastAsia"/>
          <w:bCs/>
          <w:color w:val="000000"/>
          <w:sz w:val="28"/>
          <w:szCs w:val="24"/>
        </w:rPr>
        <w:sectPr>
          <w:pgSz w:w="16838" w:h="11906" w:orient="landscape"/>
          <w:pgMar w:top="1134" w:right="1247" w:bottom="1134" w:left="1247" w:header="851" w:footer="851" w:gutter="0"/>
          <w:pgNumType w:fmt="numberInDash"/>
          <w:cols w:space="720" w:num="1"/>
          <w:docGrid w:linePitch="312" w:charSpace="0"/>
        </w:sectPr>
      </w:pPr>
    </w:p>
    <w:p>
      <w:pPr>
        <w:rPr>
          <w:rFonts w:hint="eastAsia" w:cs="宋体" w:asciiTheme="minorEastAsia" w:hAnsiTheme="minorEastAsia"/>
          <w:bCs/>
          <w:color w:val="000000"/>
          <w:sz w:val="32"/>
          <w:szCs w:val="32"/>
        </w:rPr>
      </w:pPr>
      <w:bookmarkStart w:id="28" w:name="_Toc13918"/>
      <w:bookmarkStart w:id="29" w:name="_Toc20373"/>
      <w:bookmarkStart w:id="30" w:name="_Toc27327"/>
      <w:bookmarkStart w:id="31" w:name="_Toc21003"/>
      <w:bookmarkStart w:id="32" w:name="_Toc13341"/>
      <w:bookmarkStart w:id="33" w:name="_Toc11479"/>
      <w:bookmarkStart w:id="34" w:name="_Toc13834"/>
      <w:bookmarkStart w:id="35" w:name="_Toc18660"/>
      <w:bookmarkStart w:id="36" w:name="_Toc29593"/>
      <w:bookmarkStart w:id="37" w:name="_Toc14783"/>
      <w:bookmarkStart w:id="38" w:name="_Toc23279"/>
      <w:bookmarkStart w:id="39" w:name="_Toc2660"/>
      <w:r>
        <w:rPr>
          <w:rFonts w:hint="eastAsia" w:cs="宋体" w:asciiTheme="minorEastAsia" w:hAnsiTheme="minorEastAsia"/>
          <w:bCs/>
          <w:color w:val="000000"/>
          <w:sz w:val="32"/>
          <w:szCs w:val="32"/>
        </w:rPr>
        <w:t>《中华人民共和国安全生产法》</w:t>
      </w:r>
      <w:bookmarkEnd w:id="28"/>
      <w:bookmarkEnd w:id="29"/>
      <w:bookmarkEnd w:id="30"/>
      <w:bookmarkEnd w:id="31"/>
      <w:bookmarkEnd w:id="32"/>
      <w:bookmarkEnd w:id="33"/>
      <w:bookmarkEnd w:id="34"/>
      <w:bookmarkEnd w:id="35"/>
      <w:bookmarkEnd w:id="36"/>
      <w:bookmarkEnd w:id="37"/>
      <w:bookmarkEnd w:id="38"/>
      <w:bookmarkEnd w:id="39"/>
    </w:p>
    <w:tbl>
      <w:tblPr>
        <w:tblStyle w:val="11"/>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3"/>
        <w:gridCol w:w="1165"/>
        <w:gridCol w:w="3390"/>
        <w:gridCol w:w="1709"/>
        <w:gridCol w:w="1264"/>
        <w:gridCol w:w="1318"/>
        <w:gridCol w:w="1630"/>
        <w:gridCol w:w="31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17"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序号</w:t>
            </w:r>
          </w:p>
        </w:tc>
        <w:tc>
          <w:tcPr>
            <w:tcW w:w="400"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1163"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586"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434"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453"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55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1083"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7" w:hRule="atLeast"/>
          <w:jc w:val="center"/>
        </w:trPr>
        <w:tc>
          <w:tcPr>
            <w:tcW w:w="317" w:type="pct"/>
            <w:vMerge w:val="restart"/>
            <w:vAlign w:val="center"/>
          </w:tcPr>
          <w:p>
            <w:pPr>
              <w:widowControl/>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Cs/>
                <w:color w:val="000000"/>
                <w:kern w:val="0"/>
                <w:szCs w:val="21"/>
                <w:lang w:val="en"/>
              </w:rPr>
              <w:t>101.4</w:t>
            </w:r>
          </w:p>
        </w:tc>
        <w:tc>
          <w:tcPr>
            <w:tcW w:w="400"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rPr>
              <w:t>生产经营单位的主要负责人未履行本法规定的安全生产管理职责的</w:t>
            </w:r>
          </w:p>
        </w:tc>
        <w:tc>
          <w:tcPr>
            <w:tcW w:w="1163"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第二十一条：“生产经营单位的主要负责人对本单位安全生产工作负有下列职责:</w:t>
            </w:r>
          </w:p>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（一）建立健全并落实本单位全员安全生产责任制，加强安全生产标准化建设；</w:t>
            </w:r>
          </w:p>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（二）组织制定并实施本单位安全生产规章制度和操作规程；</w:t>
            </w:r>
          </w:p>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（三）组织制定并实施本单位安全生产教育和培训计划；</w:t>
            </w:r>
          </w:p>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（四）保证本单位安全生产投入的有效实施；</w:t>
            </w:r>
          </w:p>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（五）组织建立并落实安全风险分级管控和隐患排查治理双重预防工作机制，督促、检查本单位的安全生产工作，及时消除生产安全事故隐患；</w:t>
            </w:r>
          </w:p>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（六）组织制定并实施本单位的生产安全事故应急救援预案；</w:t>
            </w:r>
          </w:p>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（七）及时、如实报告生产安全事故。”</w:t>
            </w:r>
          </w:p>
        </w:tc>
        <w:tc>
          <w:tcPr>
            <w:tcW w:w="586"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第九十四条</w:t>
            </w:r>
            <w:bookmarkStart w:id="40" w:name="No261_Z6T91K1"/>
            <w:bookmarkEnd w:id="40"/>
            <w:r>
              <w:rPr>
                <w:rFonts w:hint="eastAsia" w:ascii="仿宋_GB2312" w:hAnsi="仿宋_GB2312" w:eastAsia="仿宋_GB2312" w:cs="仿宋_GB2312"/>
                <w:bCs/>
                <w:color w:val="000000"/>
              </w:rPr>
              <w:t>第一款：“生产经营单位的主要负责人未履行本法规定的安全生产管理职责的，责令限期改正，处二万元以上五万元以下的罚款；逾期未改正的，处五万元以上十万元以下的罚款，责令生产经营单位停产停业整顿。”</w:t>
            </w:r>
          </w:p>
          <w:p>
            <w:pPr>
              <w:widowControl/>
              <w:ind w:firstLine="420" w:firstLineChars="200"/>
              <w:rPr>
                <w:rFonts w:hint="eastAsia" w:ascii="仿宋_GB2312" w:hAnsi="仿宋_GB2312" w:eastAsia="仿宋_GB2312" w:cs="仿宋_GB2312"/>
                <w:bCs/>
                <w:color w:val="000000"/>
                <w:kern w:val="0"/>
                <w:szCs w:val="21"/>
              </w:rPr>
            </w:pPr>
          </w:p>
        </w:tc>
        <w:tc>
          <w:tcPr>
            <w:tcW w:w="434" w:type="pct"/>
            <w:vMerge w:val="restart"/>
            <w:vAlign w:val="center"/>
          </w:tcPr>
          <w:p>
            <w:pPr>
              <w:jc w:val="left"/>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罚款；责令停产停业</w:t>
            </w:r>
          </w:p>
        </w:tc>
        <w:tc>
          <w:tcPr>
            <w:tcW w:w="453"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从轻</w:t>
            </w:r>
          </w:p>
        </w:tc>
        <w:tc>
          <w:tcPr>
            <w:tcW w:w="559" w:type="pct"/>
            <w:vMerge w:val="restar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rPr>
              <w:t>有1项职责未履行的</w:t>
            </w:r>
          </w:p>
        </w:tc>
        <w:tc>
          <w:tcPr>
            <w:tcW w:w="1083"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rPr>
              <w:t>生产经营单位的主要负责人：责令限期改正，处二万元以上、低于三万五千元的罚款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4" w:hRule="atLeast"/>
          <w:jc w:val="center"/>
        </w:trPr>
        <w:tc>
          <w:tcPr>
            <w:tcW w:w="317" w:type="pct"/>
            <w:vMerge w:val="continue"/>
            <w:vAlign w:val="center"/>
          </w:tcPr>
          <w:p>
            <w:pPr>
              <w:widowControl/>
              <w:jc w:val="center"/>
              <w:rPr>
                <w:rFonts w:hint="eastAsia" w:ascii="仿宋_GB2312" w:hAnsi="仿宋_GB2312" w:eastAsia="仿宋_GB2312" w:cs="仿宋_GB2312"/>
                <w:bCs/>
                <w:color w:val="000000"/>
                <w:kern w:val="0"/>
                <w:szCs w:val="21"/>
                <w:lang w:val="en"/>
              </w:rPr>
            </w:pPr>
          </w:p>
        </w:tc>
        <w:tc>
          <w:tcPr>
            <w:tcW w:w="400" w:type="pct"/>
            <w:vMerge w:val="continue"/>
            <w:vAlign w:val="center"/>
          </w:tcPr>
          <w:p>
            <w:pPr>
              <w:rPr>
                <w:rFonts w:hint="eastAsia" w:ascii="仿宋_GB2312" w:hAnsi="仿宋_GB2312" w:eastAsia="仿宋_GB2312" w:cs="仿宋_GB2312"/>
                <w:bCs/>
                <w:color w:val="000000"/>
              </w:rPr>
            </w:pPr>
          </w:p>
        </w:tc>
        <w:tc>
          <w:tcPr>
            <w:tcW w:w="1163" w:type="pct"/>
            <w:vMerge w:val="continue"/>
            <w:vAlign w:val="center"/>
          </w:tcPr>
          <w:p>
            <w:pPr>
              <w:rPr>
                <w:rFonts w:hint="eastAsia" w:ascii="仿宋_GB2312" w:hAnsi="仿宋_GB2312" w:eastAsia="仿宋_GB2312" w:cs="仿宋_GB2312"/>
                <w:bCs/>
                <w:color w:val="000000"/>
              </w:rPr>
            </w:pPr>
          </w:p>
        </w:tc>
        <w:tc>
          <w:tcPr>
            <w:tcW w:w="586" w:type="pct"/>
            <w:vMerge w:val="continue"/>
            <w:vAlign w:val="center"/>
          </w:tcPr>
          <w:p>
            <w:pPr>
              <w:widowControl/>
              <w:ind w:firstLine="420" w:firstLineChars="200"/>
              <w:rPr>
                <w:rFonts w:hint="eastAsia" w:ascii="仿宋_GB2312" w:hAnsi="仿宋_GB2312" w:eastAsia="仿宋_GB2312" w:cs="仿宋_GB2312"/>
                <w:bCs/>
                <w:color w:val="000000"/>
                <w:kern w:val="0"/>
                <w:szCs w:val="21"/>
              </w:rPr>
            </w:pPr>
          </w:p>
        </w:tc>
        <w:tc>
          <w:tcPr>
            <w:tcW w:w="434" w:type="pct"/>
            <w:vMerge w:val="continue"/>
            <w:vAlign w:val="center"/>
          </w:tcPr>
          <w:p>
            <w:pPr>
              <w:jc w:val="left"/>
              <w:rPr>
                <w:rFonts w:hint="eastAsia" w:ascii="仿宋_GB2312" w:hAnsi="仿宋_GB2312" w:eastAsia="仿宋_GB2312" w:cs="仿宋_GB2312"/>
                <w:bCs/>
                <w:color w:val="000000"/>
              </w:rPr>
            </w:pPr>
          </w:p>
        </w:tc>
        <w:tc>
          <w:tcPr>
            <w:tcW w:w="453" w:type="pct"/>
            <w:vMerge w:val="continue"/>
            <w:vAlign w:val="center"/>
          </w:tcPr>
          <w:p>
            <w:pPr>
              <w:jc w:val="center"/>
              <w:rPr>
                <w:rFonts w:hint="eastAsia" w:ascii="仿宋_GB2312" w:hAnsi="仿宋_GB2312" w:eastAsia="仿宋_GB2312" w:cs="仿宋_GB2312"/>
                <w:bCs/>
                <w:color w:val="000000"/>
              </w:rPr>
            </w:pPr>
          </w:p>
        </w:tc>
        <w:tc>
          <w:tcPr>
            <w:tcW w:w="559" w:type="pct"/>
            <w:vMerge w:val="continue"/>
            <w:vAlign w:val="center"/>
          </w:tcPr>
          <w:p>
            <w:pPr>
              <w:rPr>
                <w:rFonts w:hint="eastAsia" w:ascii="仿宋_GB2312" w:hAnsi="仿宋_GB2312" w:eastAsia="仿宋_GB2312" w:cs="仿宋_GB2312"/>
                <w:bCs/>
                <w:color w:val="000000"/>
                <w:kern w:val="0"/>
                <w:szCs w:val="21"/>
              </w:rPr>
            </w:pPr>
          </w:p>
        </w:tc>
        <w:tc>
          <w:tcPr>
            <w:tcW w:w="1083"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，对生产经营单位的主要负责人处五万元以上、低于七万五千元的罚款，责令生产经营单位停产停业整顿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6" w:hRule="atLeast"/>
          <w:jc w:val="center"/>
        </w:trPr>
        <w:tc>
          <w:tcPr>
            <w:tcW w:w="317" w:type="pct"/>
            <w:vMerge w:val="continue"/>
            <w:vAlign w:val="center"/>
          </w:tcPr>
          <w:p>
            <w:pPr>
              <w:rPr>
                <w:rFonts w:hint="eastAsia" w:ascii="仿宋_GB2312" w:hAnsi="仿宋_GB2312" w:eastAsia="仿宋_GB2312" w:cs="仿宋_GB2312"/>
                <w:bCs/>
                <w:color w:val="000000"/>
              </w:rPr>
            </w:pPr>
          </w:p>
        </w:tc>
        <w:tc>
          <w:tcPr>
            <w:tcW w:w="400" w:type="pct"/>
            <w:vMerge w:val="continue"/>
            <w:vAlign w:val="center"/>
          </w:tcPr>
          <w:p>
            <w:pPr>
              <w:rPr>
                <w:rFonts w:hint="eastAsia" w:ascii="仿宋_GB2312" w:hAnsi="仿宋_GB2312" w:eastAsia="仿宋_GB2312" w:cs="仿宋_GB2312"/>
                <w:bCs/>
                <w:color w:val="000000"/>
              </w:rPr>
            </w:pPr>
          </w:p>
        </w:tc>
        <w:tc>
          <w:tcPr>
            <w:tcW w:w="1163" w:type="pct"/>
            <w:vMerge w:val="continue"/>
            <w:vAlign w:val="center"/>
          </w:tcPr>
          <w:p>
            <w:pPr>
              <w:rPr>
                <w:rFonts w:hint="eastAsia" w:ascii="仿宋_GB2312" w:hAnsi="仿宋_GB2312" w:eastAsia="仿宋_GB2312" w:cs="仿宋_GB2312"/>
                <w:bCs/>
                <w:color w:val="000000"/>
              </w:rPr>
            </w:pPr>
          </w:p>
        </w:tc>
        <w:tc>
          <w:tcPr>
            <w:tcW w:w="586"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434" w:type="pct"/>
            <w:vMerge w:val="continue"/>
            <w:vAlign w:val="center"/>
          </w:tcPr>
          <w:p>
            <w:pPr>
              <w:jc w:val="center"/>
              <w:rPr>
                <w:rFonts w:hint="eastAsia" w:ascii="仿宋_GB2312" w:hAnsi="仿宋_GB2312" w:eastAsia="仿宋_GB2312" w:cs="仿宋_GB2312"/>
                <w:bCs/>
                <w:color w:val="000000"/>
              </w:rPr>
            </w:pPr>
          </w:p>
        </w:tc>
        <w:tc>
          <w:tcPr>
            <w:tcW w:w="453"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一般</w:t>
            </w:r>
          </w:p>
        </w:tc>
        <w:tc>
          <w:tcPr>
            <w:tcW w:w="559" w:type="pct"/>
            <w:vMerge w:val="restar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rPr>
              <w:t>有2项职责未履行的</w:t>
            </w:r>
          </w:p>
        </w:tc>
        <w:tc>
          <w:tcPr>
            <w:tcW w:w="1083"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生产经营单位的主要负责人：责令限期改正，处三万五千元的罚款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5" w:hRule="atLeast"/>
          <w:jc w:val="center"/>
        </w:trPr>
        <w:tc>
          <w:tcPr>
            <w:tcW w:w="317" w:type="pct"/>
            <w:vMerge w:val="continue"/>
            <w:vAlign w:val="center"/>
          </w:tcPr>
          <w:p>
            <w:pPr>
              <w:rPr>
                <w:rFonts w:hint="eastAsia" w:ascii="仿宋_GB2312" w:hAnsi="仿宋_GB2312" w:eastAsia="仿宋_GB2312" w:cs="仿宋_GB2312"/>
                <w:bCs/>
                <w:color w:val="000000"/>
              </w:rPr>
            </w:pPr>
          </w:p>
        </w:tc>
        <w:tc>
          <w:tcPr>
            <w:tcW w:w="400" w:type="pct"/>
            <w:vMerge w:val="continue"/>
            <w:vAlign w:val="center"/>
          </w:tcPr>
          <w:p>
            <w:pPr>
              <w:rPr>
                <w:rFonts w:hint="eastAsia" w:ascii="仿宋_GB2312" w:hAnsi="仿宋_GB2312" w:eastAsia="仿宋_GB2312" w:cs="仿宋_GB2312"/>
                <w:bCs/>
                <w:color w:val="000000"/>
              </w:rPr>
            </w:pPr>
          </w:p>
        </w:tc>
        <w:tc>
          <w:tcPr>
            <w:tcW w:w="1163" w:type="pct"/>
            <w:vMerge w:val="continue"/>
            <w:vAlign w:val="center"/>
          </w:tcPr>
          <w:p>
            <w:pPr>
              <w:rPr>
                <w:rFonts w:hint="eastAsia" w:ascii="仿宋_GB2312" w:hAnsi="仿宋_GB2312" w:eastAsia="仿宋_GB2312" w:cs="仿宋_GB2312"/>
                <w:bCs/>
                <w:color w:val="000000"/>
              </w:rPr>
            </w:pPr>
          </w:p>
        </w:tc>
        <w:tc>
          <w:tcPr>
            <w:tcW w:w="586"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434" w:type="pct"/>
            <w:vMerge w:val="continue"/>
            <w:vAlign w:val="center"/>
          </w:tcPr>
          <w:p>
            <w:pPr>
              <w:jc w:val="center"/>
              <w:rPr>
                <w:rFonts w:hint="eastAsia" w:ascii="仿宋_GB2312" w:hAnsi="仿宋_GB2312" w:eastAsia="仿宋_GB2312" w:cs="仿宋_GB2312"/>
                <w:bCs/>
                <w:color w:val="000000"/>
              </w:rPr>
            </w:pPr>
          </w:p>
        </w:tc>
        <w:tc>
          <w:tcPr>
            <w:tcW w:w="453" w:type="pct"/>
            <w:vMerge w:val="continue"/>
            <w:vAlign w:val="center"/>
          </w:tcPr>
          <w:p>
            <w:pPr>
              <w:jc w:val="center"/>
              <w:rPr>
                <w:rFonts w:hint="eastAsia" w:ascii="仿宋_GB2312" w:hAnsi="仿宋_GB2312" w:eastAsia="仿宋_GB2312" w:cs="仿宋_GB2312"/>
                <w:bCs/>
                <w:color w:val="000000"/>
              </w:rPr>
            </w:pPr>
          </w:p>
        </w:tc>
        <w:tc>
          <w:tcPr>
            <w:tcW w:w="559" w:type="pct"/>
            <w:vMerge w:val="continue"/>
            <w:vAlign w:val="center"/>
          </w:tcPr>
          <w:p>
            <w:pPr>
              <w:rPr>
                <w:rFonts w:hint="eastAsia" w:ascii="仿宋_GB2312" w:hAnsi="仿宋_GB2312" w:eastAsia="仿宋_GB2312" w:cs="仿宋_GB2312"/>
                <w:bCs/>
                <w:color w:val="000000"/>
                <w:kern w:val="0"/>
                <w:szCs w:val="21"/>
              </w:rPr>
            </w:pPr>
          </w:p>
        </w:tc>
        <w:tc>
          <w:tcPr>
            <w:tcW w:w="1083"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，对生产经营单位的主要负责人处七万五千元的罚款，责令生产经营单位停产停业整顿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8" w:hRule="atLeast"/>
          <w:jc w:val="center"/>
        </w:trPr>
        <w:tc>
          <w:tcPr>
            <w:tcW w:w="317" w:type="pct"/>
            <w:vMerge w:val="continue"/>
            <w:vAlign w:val="center"/>
          </w:tcPr>
          <w:p>
            <w:pPr>
              <w:rPr>
                <w:rFonts w:hint="eastAsia" w:ascii="仿宋_GB2312" w:hAnsi="仿宋_GB2312" w:eastAsia="仿宋_GB2312" w:cs="仿宋_GB2312"/>
                <w:bCs/>
                <w:color w:val="000000"/>
              </w:rPr>
            </w:pPr>
          </w:p>
        </w:tc>
        <w:tc>
          <w:tcPr>
            <w:tcW w:w="400" w:type="pct"/>
            <w:vMerge w:val="continue"/>
            <w:vAlign w:val="center"/>
          </w:tcPr>
          <w:p>
            <w:pPr>
              <w:rPr>
                <w:rFonts w:hint="eastAsia" w:ascii="仿宋_GB2312" w:hAnsi="仿宋_GB2312" w:eastAsia="仿宋_GB2312" w:cs="仿宋_GB2312"/>
                <w:bCs/>
                <w:color w:val="000000"/>
              </w:rPr>
            </w:pPr>
          </w:p>
        </w:tc>
        <w:tc>
          <w:tcPr>
            <w:tcW w:w="1163" w:type="pct"/>
            <w:vMerge w:val="continue"/>
            <w:vAlign w:val="center"/>
          </w:tcPr>
          <w:p>
            <w:pPr>
              <w:rPr>
                <w:rFonts w:hint="eastAsia" w:ascii="仿宋_GB2312" w:hAnsi="仿宋_GB2312" w:eastAsia="仿宋_GB2312" w:cs="仿宋_GB2312"/>
                <w:bCs/>
                <w:color w:val="000000"/>
              </w:rPr>
            </w:pPr>
          </w:p>
        </w:tc>
        <w:tc>
          <w:tcPr>
            <w:tcW w:w="586"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434" w:type="pct"/>
            <w:vMerge w:val="continue"/>
            <w:vAlign w:val="center"/>
          </w:tcPr>
          <w:p>
            <w:pPr>
              <w:jc w:val="center"/>
              <w:rPr>
                <w:rFonts w:hint="eastAsia" w:ascii="仿宋_GB2312" w:hAnsi="仿宋_GB2312" w:eastAsia="仿宋_GB2312" w:cs="仿宋_GB2312"/>
                <w:bCs/>
                <w:color w:val="000000"/>
              </w:rPr>
            </w:pPr>
          </w:p>
        </w:tc>
        <w:tc>
          <w:tcPr>
            <w:tcW w:w="453"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从重</w:t>
            </w:r>
          </w:p>
          <w:p>
            <w:pPr>
              <w:jc w:val="center"/>
              <w:rPr>
                <w:rFonts w:hint="eastAsia" w:ascii="仿宋_GB2312" w:hAnsi="仿宋_GB2312" w:eastAsia="仿宋_GB2312" w:cs="仿宋_GB2312"/>
                <w:bCs/>
                <w:color w:val="000000"/>
              </w:rPr>
            </w:pPr>
          </w:p>
        </w:tc>
        <w:tc>
          <w:tcPr>
            <w:tcW w:w="559" w:type="pct"/>
            <w:vMerge w:val="restar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rPr>
              <w:t>有3项以上职责未履行的</w:t>
            </w:r>
          </w:p>
        </w:tc>
        <w:tc>
          <w:tcPr>
            <w:tcW w:w="1083"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生产经营单位的主要负责人：责令限期改正，处超过三万五千元、五万元以下的罚款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3" w:hRule="atLeast"/>
          <w:jc w:val="center"/>
        </w:trPr>
        <w:tc>
          <w:tcPr>
            <w:tcW w:w="317" w:type="pct"/>
            <w:vMerge w:val="continue"/>
            <w:vAlign w:val="center"/>
          </w:tcPr>
          <w:p>
            <w:pPr>
              <w:rPr>
                <w:rFonts w:hint="eastAsia" w:ascii="仿宋_GB2312" w:hAnsi="仿宋_GB2312" w:eastAsia="仿宋_GB2312" w:cs="仿宋_GB2312"/>
                <w:bCs/>
                <w:color w:val="000000"/>
              </w:rPr>
            </w:pPr>
          </w:p>
        </w:tc>
        <w:tc>
          <w:tcPr>
            <w:tcW w:w="400" w:type="pct"/>
            <w:vMerge w:val="continue"/>
            <w:vAlign w:val="center"/>
          </w:tcPr>
          <w:p>
            <w:pPr>
              <w:rPr>
                <w:rFonts w:hint="eastAsia" w:ascii="仿宋_GB2312" w:hAnsi="仿宋_GB2312" w:eastAsia="仿宋_GB2312" w:cs="仿宋_GB2312"/>
                <w:bCs/>
                <w:color w:val="000000"/>
              </w:rPr>
            </w:pPr>
          </w:p>
        </w:tc>
        <w:tc>
          <w:tcPr>
            <w:tcW w:w="1163" w:type="pct"/>
            <w:vMerge w:val="continue"/>
            <w:vAlign w:val="center"/>
          </w:tcPr>
          <w:p>
            <w:pPr>
              <w:rPr>
                <w:rFonts w:hint="eastAsia" w:ascii="仿宋_GB2312" w:hAnsi="仿宋_GB2312" w:eastAsia="仿宋_GB2312" w:cs="仿宋_GB2312"/>
                <w:bCs/>
                <w:color w:val="000000"/>
              </w:rPr>
            </w:pPr>
          </w:p>
        </w:tc>
        <w:tc>
          <w:tcPr>
            <w:tcW w:w="586"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434" w:type="pct"/>
            <w:vMerge w:val="continue"/>
            <w:vAlign w:val="center"/>
          </w:tcPr>
          <w:p>
            <w:pPr>
              <w:jc w:val="center"/>
              <w:rPr>
                <w:rFonts w:hint="eastAsia" w:ascii="仿宋_GB2312" w:hAnsi="仿宋_GB2312" w:eastAsia="仿宋_GB2312" w:cs="仿宋_GB2312"/>
                <w:bCs/>
                <w:color w:val="000000"/>
              </w:rPr>
            </w:pPr>
          </w:p>
        </w:tc>
        <w:tc>
          <w:tcPr>
            <w:tcW w:w="453" w:type="pct"/>
            <w:vMerge w:val="continue"/>
            <w:vAlign w:val="center"/>
          </w:tcPr>
          <w:p>
            <w:pPr>
              <w:jc w:val="center"/>
              <w:rPr>
                <w:rFonts w:hint="eastAsia" w:ascii="仿宋_GB2312" w:hAnsi="仿宋_GB2312" w:eastAsia="仿宋_GB2312" w:cs="仿宋_GB2312"/>
                <w:bCs/>
                <w:color w:val="000000"/>
              </w:rPr>
            </w:pPr>
          </w:p>
        </w:tc>
        <w:tc>
          <w:tcPr>
            <w:tcW w:w="559" w:type="pct"/>
            <w:vMerge w:val="continue"/>
            <w:vAlign w:val="center"/>
          </w:tcPr>
          <w:p>
            <w:pPr>
              <w:rPr>
                <w:rFonts w:hint="eastAsia" w:ascii="仿宋_GB2312" w:hAnsi="仿宋_GB2312" w:eastAsia="仿宋_GB2312" w:cs="仿宋_GB2312"/>
                <w:bCs/>
                <w:color w:val="000000"/>
                <w:kern w:val="0"/>
                <w:szCs w:val="21"/>
              </w:rPr>
            </w:pPr>
          </w:p>
        </w:tc>
        <w:tc>
          <w:tcPr>
            <w:tcW w:w="1083"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，对生产经营单位的主要负责人处超过七万五千元、十万元以下的罚款，责令生产经营单位停产停业整顿</w:t>
            </w:r>
          </w:p>
        </w:tc>
      </w:tr>
    </w:tbl>
    <w:p>
      <w:pPr>
        <w:outlineLvl w:val="0"/>
        <w:rPr>
          <w:rStyle w:val="32"/>
          <w:rFonts w:hint="eastAsia" w:cs="宋体" w:asciiTheme="minorEastAsia" w:hAnsiTheme="minorEastAsia" w:eastAsiaTheme="minorEastAsia"/>
          <w:b w:val="0"/>
          <w:bCs/>
          <w:color w:val="000000"/>
          <w:szCs w:val="21"/>
        </w:rPr>
        <w:sectPr>
          <w:pgSz w:w="16838" w:h="11906" w:orient="landscape"/>
          <w:pgMar w:top="1134" w:right="1247" w:bottom="1134" w:left="1247" w:header="851" w:footer="851" w:gutter="0"/>
          <w:pgNumType w:fmt="numberInDash"/>
          <w:cols w:space="720" w:num="1"/>
          <w:docGrid w:linePitch="312" w:charSpace="0"/>
        </w:sectPr>
      </w:pPr>
    </w:p>
    <w:p>
      <w:pPr>
        <w:rPr>
          <w:rFonts w:hint="eastAsia" w:cs="宋体" w:asciiTheme="minorEastAsia" w:hAnsiTheme="minorEastAsia"/>
          <w:bCs/>
          <w:color w:val="000000"/>
          <w:sz w:val="32"/>
          <w:szCs w:val="32"/>
        </w:rPr>
      </w:pPr>
      <w:bookmarkStart w:id="41" w:name="_Toc12604"/>
      <w:bookmarkStart w:id="42" w:name="_Toc1045"/>
      <w:bookmarkStart w:id="43" w:name="_Toc17855"/>
      <w:bookmarkStart w:id="44" w:name="_Toc14658"/>
      <w:bookmarkStart w:id="45" w:name="_Toc10545"/>
      <w:bookmarkStart w:id="46" w:name="_Toc1052"/>
      <w:bookmarkStart w:id="47" w:name="_Toc388"/>
      <w:bookmarkStart w:id="48" w:name="_Toc23037"/>
      <w:bookmarkStart w:id="49" w:name="_Toc2587"/>
      <w:bookmarkStart w:id="50" w:name="_Toc12434"/>
      <w:bookmarkStart w:id="51" w:name="_Toc5180"/>
      <w:bookmarkStart w:id="52" w:name="_Toc17539"/>
      <w:r>
        <w:rPr>
          <w:rFonts w:hint="eastAsia" w:cs="宋体" w:asciiTheme="minorEastAsia" w:hAnsiTheme="minorEastAsia"/>
          <w:bCs/>
          <w:color w:val="000000"/>
          <w:sz w:val="32"/>
          <w:szCs w:val="32"/>
        </w:rPr>
        <w:t>《中华人民共和国安全生产法》</w:t>
      </w:r>
    </w:p>
    <w:tbl>
      <w:tblPr>
        <w:tblStyle w:val="11"/>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6"/>
        <w:gridCol w:w="1302"/>
        <w:gridCol w:w="3648"/>
        <w:gridCol w:w="1828"/>
        <w:gridCol w:w="1202"/>
        <w:gridCol w:w="1179"/>
        <w:gridCol w:w="1590"/>
        <w:gridCol w:w="287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18"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序号</w:t>
            </w:r>
          </w:p>
        </w:tc>
        <w:tc>
          <w:tcPr>
            <w:tcW w:w="447"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1252"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628"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413"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405"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546"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988"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0" w:hRule="atLeast"/>
          <w:jc w:val="center"/>
        </w:trPr>
        <w:tc>
          <w:tcPr>
            <w:tcW w:w="318" w:type="pct"/>
            <w:vMerge w:val="restart"/>
            <w:vAlign w:val="center"/>
          </w:tcPr>
          <w:p>
            <w:pPr>
              <w:widowControl/>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Cs/>
                <w:color w:val="000000"/>
                <w:kern w:val="0"/>
                <w:szCs w:val="21"/>
                <w:lang w:val="en"/>
              </w:rPr>
              <w:t>101.5</w:t>
            </w:r>
          </w:p>
        </w:tc>
        <w:tc>
          <w:tcPr>
            <w:tcW w:w="447"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rPr>
              <w:t>生产经营单位的其他负责人和安全生产管理人员未履行本法规定的安全生产管理职责的</w:t>
            </w:r>
          </w:p>
        </w:tc>
        <w:tc>
          <w:tcPr>
            <w:tcW w:w="1252"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第二十五条：“生产经营单位的安全生产管理机构以及安全生产管理人员履行下列职责：</w:t>
            </w:r>
          </w:p>
          <w:p>
            <w:pPr>
              <w:numPr>
                <w:ilvl w:val="0"/>
                <w:numId w:val="1"/>
              </w:num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组织或者参与拟订本单位安全生产规章制度、操作规程和生产安全事故应急救援预案；</w:t>
            </w:r>
          </w:p>
          <w:p>
            <w:pPr>
              <w:numPr>
                <w:ilvl w:val="0"/>
                <w:numId w:val="1"/>
              </w:num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组织或者参与本单位安全生产教育和培训，如实记录安全生产教育和培训情况；</w:t>
            </w:r>
          </w:p>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（三）组织开展危险源辨识和评估，督促落实本单位重大危险源的安全管理措施；</w:t>
            </w:r>
          </w:p>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（四）组织或者参与本单位应急救援演练；</w:t>
            </w:r>
          </w:p>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（五）检查本单位的安全生产状况，及时排查生产安全事故隐患，提出改进安全生产管理的建议；</w:t>
            </w:r>
          </w:p>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（六）制止和纠正违章指挥、强令冒险作业、违反操作规程的行为；</w:t>
            </w:r>
          </w:p>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（七）督促落实本单位安全生产整改措施。</w:t>
            </w:r>
          </w:p>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生产经营单位可以设置专职安全生产分管负责人，协助本单位主要负责人履行安全生产管理职责。”</w:t>
            </w:r>
          </w:p>
        </w:tc>
        <w:tc>
          <w:tcPr>
            <w:tcW w:w="628" w:type="pct"/>
            <w:vMerge w:val="restar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rPr>
              <w:t>第九十六条：“生产经营单位的其他负责人和安全生产管理人员未履行本法规定的安全生产管理职责的，责令限期改正，处一万元以上三万元以下的罚款；导致发生生产安全事故的，暂停或者吊销其与安全生产有关的资格，并处上一年年收入百分之二十以上百分之五十以下的罚款；构成犯罪的，依照刑法有关规定追究刑事责任。”</w:t>
            </w:r>
          </w:p>
        </w:tc>
        <w:tc>
          <w:tcPr>
            <w:tcW w:w="413" w:type="pct"/>
            <w:vMerge w:val="restart"/>
            <w:vAlign w:val="center"/>
          </w:tcPr>
          <w:p>
            <w:pPr>
              <w:jc w:val="left"/>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罚款；暂扣许可证件；吊销许可证件</w:t>
            </w:r>
          </w:p>
        </w:tc>
        <w:tc>
          <w:tcPr>
            <w:tcW w:w="405"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从轻</w:t>
            </w:r>
          </w:p>
        </w:tc>
        <w:tc>
          <w:tcPr>
            <w:tcW w:w="546" w:type="pct"/>
            <w:vMerge w:val="restar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rPr>
              <w:t>有1项职责未履行的</w:t>
            </w:r>
          </w:p>
        </w:tc>
        <w:tc>
          <w:tcPr>
            <w:tcW w:w="988"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责令限期改正，处一万元以上、低于二万元的罚款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47" w:hRule="atLeast"/>
          <w:jc w:val="center"/>
        </w:trPr>
        <w:tc>
          <w:tcPr>
            <w:tcW w:w="318" w:type="pct"/>
            <w:vMerge w:val="continue"/>
            <w:vAlign w:val="center"/>
          </w:tcPr>
          <w:p>
            <w:pPr>
              <w:widowControl/>
              <w:jc w:val="center"/>
              <w:rPr>
                <w:rFonts w:hint="eastAsia" w:ascii="仿宋_GB2312" w:hAnsi="仿宋_GB2312" w:eastAsia="仿宋_GB2312" w:cs="仿宋_GB2312"/>
                <w:bCs/>
                <w:color w:val="000000"/>
                <w:kern w:val="0"/>
                <w:szCs w:val="21"/>
                <w:lang w:val="en"/>
              </w:rPr>
            </w:pPr>
          </w:p>
        </w:tc>
        <w:tc>
          <w:tcPr>
            <w:tcW w:w="447" w:type="pct"/>
            <w:vMerge w:val="continue"/>
            <w:vAlign w:val="center"/>
          </w:tcPr>
          <w:p>
            <w:pPr>
              <w:rPr>
                <w:rFonts w:hint="eastAsia" w:ascii="仿宋_GB2312" w:hAnsi="仿宋_GB2312" w:eastAsia="仿宋_GB2312" w:cs="仿宋_GB2312"/>
                <w:bCs/>
                <w:color w:val="000000"/>
              </w:rPr>
            </w:pPr>
          </w:p>
        </w:tc>
        <w:tc>
          <w:tcPr>
            <w:tcW w:w="1252" w:type="pct"/>
            <w:vMerge w:val="continue"/>
            <w:vAlign w:val="center"/>
          </w:tcPr>
          <w:p>
            <w:pPr>
              <w:rPr>
                <w:rFonts w:hint="eastAsia" w:ascii="仿宋_GB2312" w:hAnsi="仿宋_GB2312" w:eastAsia="仿宋_GB2312" w:cs="仿宋_GB2312"/>
                <w:bCs/>
                <w:color w:val="000000"/>
              </w:rPr>
            </w:pPr>
          </w:p>
        </w:tc>
        <w:tc>
          <w:tcPr>
            <w:tcW w:w="628" w:type="pct"/>
            <w:vMerge w:val="continue"/>
            <w:vAlign w:val="center"/>
          </w:tcPr>
          <w:p>
            <w:pPr>
              <w:rPr>
                <w:rFonts w:hint="eastAsia" w:ascii="仿宋_GB2312" w:hAnsi="仿宋_GB2312" w:eastAsia="仿宋_GB2312" w:cs="仿宋_GB2312"/>
                <w:bCs/>
                <w:color w:val="000000"/>
              </w:rPr>
            </w:pPr>
          </w:p>
        </w:tc>
        <w:tc>
          <w:tcPr>
            <w:tcW w:w="413" w:type="pct"/>
            <w:vMerge w:val="continue"/>
            <w:vAlign w:val="center"/>
          </w:tcPr>
          <w:p>
            <w:pPr>
              <w:jc w:val="left"/>
              <w:rPr>
                <w:rFonts w:hint="eastAsia" w:ascii="仿宋_GB2312" w:hAnsi="仿宋_GB2312" w:eastAsia="仿宋_GB2312" w:cs="仿宋_GB2312"/>
                <w:bCs/>
                <w:color w:val="000000"/>
              </w:rPr>
            </w:pPr>
          </w:p>
        </w:tc>
        <w:tc>
          <w:tcPr>
            <w:tcW w:w="405" w:type="pct"/>
            <w:vMerge w:val="continue"/>
            <w:vAlign w:val="center"/>
          </w:tcPr>
          <w:p>
            <w:pPr>
              <w:jc w:val="center"/>
              <w:rPr>
                <w:rFonts w:hint="eastAsia" w:ascii="仿宋_GB2312" w:hAnsi="仿宋_GB2312" w:eastAsia="仿宋_GB2312" w:cs="仿宋_GB2312"/>
                <w:bCs/>
                <w:color w:val="000000"/>
              </w:rPr>
            </w:pPr>
          </w:p>
        </w:tc>
        <w:tc>
          <w:tcPr>
            <w:tcW w:w="546" w:type="pct"/>
            <w:vMerge w:val="continue"/>
            <w:vAlign w:val="center"/>
          </w:tcPr>
          <w:p>
            <w:pPr>
              <w:rPr>
                <w:rFonts w:hint="eastAsia" w:ascii="仿宋_GB2312" w:hAnsi="仿宋_GB2312" w:eastAsia="仿宋_GB2312" w:cs="仿宋_GB2312"/>
                <w:bCs/>
                <w:color w:val="000000"/>
                <w:kern w:val="0"/>
                <w:szCs w:val="21"/>
              </w:rPr>
            </w:pPr>
          </w:p>
        </w:tc>
        <w:tc>
          <w:tcPr>
            <w:tcW w:w="988"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导致发生生产安全事故的</w:t>
            </w:r>
            <w:r>
              <w:rPr>
                <w:rFonts w:hint="eastAsia" w:ascii="仿宋_GB2312" w:hAnsi="仿宋_GB2312" w:eastAsia="仿宋_GB2312" w:cs="仿宋_GB2312"/>
                <w:bCs/>
                <w:color w:val="000000"/>
              </w:rPr>
              <w:t>，暂停或者吊销其与安全生产有关的资格，并处上一年年收入百分之二十以上、低于百分之三十五的罚款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4" w:hRule="atLeast"/>
          <w:jc w:val="center"/>
        </w:trPr>
        <w:tc>
          <w:tcPr>
            <w:tcW w:w="318" w:type="pct"/>
            <w:vMerge w:val="continue"/>
            <w:vAlign w:val="center"/>
          </w:tcPr>
          <w:p>
            <w:pPr>
              <w:rPr>
                <w:rFonts w:hint="eastAsia" w:ascii="仿宋_GB2312" w:hAnsi="仿宋_GB2312" w:eastAsia="仿宋_GB2312" w:cs="仿宋_GB2312"/>
                <w:bCs/>
                <w:color w:val="000000"/>
              </w:rPr>
            </w:pPr>
          </w:p>
        </w:tc>
        <w:tc>
          <w:tcPr>
            <w:tcW w:w="447" w:type="pct"/>
            <w:vMerge w:val="continue"/>
            <w:vAlign w:val="center"/>
          </w:tcPr>
          <w:p>
            <w:pPr>
              <w:rPr>
                <w:rFonts w:hint="eastAsia" w:ascii="仿宋_GB2312" w:hAnsi="仿宋_GB2312" w:eastAsia="仿宋_GB2312" w:cs="仿宋_GB2312"/>
                <w:bCs/>
                <w:color w:val="000000"/>
              </w:rPr>
            </w:pPr>
          </w:p>
        </w:tc>
        <w:tc>
          <w:tcPr>
            <w:tcW w:w="1252" w:type="pct"/>
            <w:vMerge w:val="continue"/>
            <w:vAlign w:val="center"/>
          </w:tcPr>
          <w:p>
            <w:pPr>
              <w:rPr>
                <w:rFonts w:hint="eastAsia" w:ascii="仿宋_GB2312" w:hAnsi="仿宋_GB2312" w:eastAsia="仿宋_GB2312" w:cs="仿宋_GB2312"/>
                <w:bCs/>
                <w:color w:val="000000"/>
              </w:rPr>
            </w:pPr>
          </w:p>
        </w:tc>
        <w:tc>
          <w:tcPr>
            <w:tcW w:w="628"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413" w:type="pct"/>
            <w:vMerge w:val="continue"/>
            <w:vAlign w:val="center"/>
          </w:tcPr>
          <w:p>
            <w:pPr>
              <w:jc w:val="center"/>
              <w:rPr>
                <w:rFonts w:hint="eastAsia" w:ascii="仿宋_GB2312" w:hAnsi="仿宋_GB2312" w:eastAsia="仿宋_GB2312" w:cs="仿宋_GB2312"/>
                <w:bCs/>
                <w:color w:val="000000"/>
              </w:rPr>
            </w:pPr>
          </w:p>
        </w:tc>
        <w:tc>
          <w:tcPr>
            <w:tcW w:w="405"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一般</w:t>
            </w:r>
          </w:p>
        </w:tc>
        <w:tc>
          <w:tcPr>
            <w:tcW w:w="546"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kern w:val="0"/>
                <w:szCs w:val="21"/>
              </w:rPr>
              <w:t>有2项职责未履行的</w:t>
            </w:r>
          </w:p>
        </w:tc>
        <w:tc>
          <w:tcPr>
            <w:tcW w:w="988"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责令限期改正，处二万元的罚款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7" w:hRule="atLeast"/>
          <w:jc w:val="center"/>
        </w:trPr>
        <w:tc>
          <w:tcPr>
            <w:tcW w:w="318" w:type="pct"/>
            <w:vMerge w:val="continue"/>
            <w:vAlign w:val="center"/>
          </w:tcPr>
          <w:p>
            <w:pPr>
              <w:rPr>
                <w:rFonts w:hint="eastAsia" w:ascii="仿宋_GB2312" w:hAnsi="仿宋_GB2312" w:eastAsia="仿宋_GB2312" w:cs="仿宋_GB2312"/>
                <w:bCs/>
                <w:color w:val="000000"/>
              </w:rPr>
            </w:pPr>
          </w:p>
        </w:tc>
        <w:tc>
          <w:tcPr>
            <w:tcW w:w="447" w:type="pct"/>
            <w:vMerge w:val="continue"/>
            <w:vAlign w:val="center"/>
          </w:tcPr>
          <w:p>
            <w:pPr>
              <w:rPr>
                <w:rFonts w:hint="eastAsia" w:ascii="仿宋_GB2312" w:hAnsi="仿宋_GB2312" w:eastAsia="仿宋_GB2312" w:cs="仿宋_GB2312"/>
                <w:bCs/>
                <w:color w:val="000000"/>
              </w:rPr>
            </w:pPr>
          </w:p>
        </w:tc>
        <w:tc>
          <w:tcPr>
            <w:tcW w:w="1252" w:type="pct"/>
            <w:vMerge w:val="continue"/>
            <w:vAlign w:val="center"/>
          </w:tcPr>
          <w:p>
            <w:pPr>
              <w:rPr>
                <w:rFonts w:hint="eastAsia" w:ascii="仿宋_GB2312" w:hAnsi="仿宋_GB2312" w:eastAsia="仿宋_GB2312" w:cs="仿宋_GB2312"/>
                <w:bCs/>
                <w:color w:val="000000"/>
              </w:rPr>
            </w:pPr>
          </w:p>
        </w:tc>
        <w:tc>
          <w:tcPr>
            <w:tcW w:w="628"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413" w:type="pct"/>
            <w:vMerge w:val="continue"/>
            <w:vAlign w:val="center"/>
          </w:tcPr>
          <w:p>
            <w:pPr>
              <w:jc w:val="center"/>
              <w:rPr>
                <w:rFonts w:hint="eastAsia" w:ascii="仿宋_GB2312" w:hAnsi="仿宋_GB2312" w:eastAsia="仿宋_GB2312" w:cs="仿宋_GB2312"/>
                <w:bCs/>
                <w:color w:val="000000"/>
              </w:rPr>
            </w:pPr>
          </w:p>
        </w:tc>
        <w:tc>
          <w:tcPr>
            <w:tcW w:w="405" w:type="pct"/>
            <w:vMerge w:val="continue"/>
            <w:vAlign w:val="center"/>
          </w:tcPr>
          <w:p>
            <w:pPr>
              <w:jc w:val="center"/>
              <w:rPr>
                <w:rFonts w:hint="eastAsia" w:ascii="仿宋_GB2312" w:hAnsi="仿宋_GB2312" w:eastAsia="仿宋_GB2312" w:cs="仿宋_GB2312"/>
                <w:bCs/>
                <w:color w:val="000000"/>
              </w:rPr>
            </w:pPr>
          </w:p>
        </w:tc>
        <w:tc>
          <w:tcPr>
            <w:tcW w:w="546" w:type="pct"/>
            <w:vMerge w:val="continue"/>
            <w:vAlign w:val="center"/>
          </w:tcPr>
          <w:p>
            <w:pPr>
              <w:rPr>
                <w:rFonts w:hint="eastAsia" w:ascii="仿宋_GB2312" w:hAnsi="仿宋_GB2312" w:eastAsia="仿宋_GB2312" w:cs="仿宋_GB2312"/>
                <w:bCs/>
                <w:color w:val="000000"/>
                <w:kern w:val="0"/>
                <w:szCs w:val="21"/>
              </w:rPr>
            </w:pPr>
          </w:p>
        </w:tc>
        <w:tc>
          <w:tcPr>
            <w:tcW w:w="988"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导致发生生产安全事故的</w:t>
            </w:r>
            <w:r>
              <w:rPr>
                <w:rFonts w:hint="eastAsia" w:ascii="仿宋_GB2312" w:hAnsi="仿宋_GB2312" w:eastAsia="仿宋_GB2312" w:cs="仿宋_GB2312"/>
                <w:bCs/>
                <w:color w:val="000000"/>
              </w:rPr>
              <w:t>，暂停或者吊销其与安全生产有关的资格，并处上一年年收入百分之三十五的罚款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7" w:hRule="atLeast"/>
          <w:jc w:val="center"/>
        </w:trPr>
        <w:tc>
          <w:tcPr>
            <w:tcW w:w="318" w:type="pct"/>
            <w:vMerge w:val="continue"/>
            <w:vAlign w:val="center"/>
          </w:tcPr>
          <w:p>
            <w:pPr>
              <w:rPr>
                <w:rFonts w:hint="eastAsia" w:ascii="仿宋_GB2312" w:hAnsi="仿宋_GB2312" w:eastAsia="仿宋_GB2312" w:cs="仿宋_GB2312"/>
                <w:bCs/>
                <w:color w:val="000000"/>
              </w:rPr>
            </w:pPr>
          </w:p>
        </w:tc>
        <w:tc>
          <w:tcPr>
            <w:tcW w:w="447" w:type="pct"/>
            <w:vMerge w:val="continue"/>
            <w:vAlign w:val="center"/>
          </w:tcPr>
          <w:p>
            <w:pPr>
              <w:rPr>
                <w:rFonts w:hint="eastAsia" w:ascii="仿宋_GB2312" w:hAnsi="仿宋_GB2312" w:eastAsia="仿宋_GB2312" w:cs="仿宋_GB2312"/>
                <w:bCs/>
                <w:color w:val="000000"/>
              </w:rPr>
            </w:pPr>
          </w:p>
        </w:tc>
        <w:tc>
          <w:tcPr>
            <w:tcW w:w="1252" w:type="pct"/>
            <w:vMerge w:val="continue"/>
            <w:vAlign w:val="center"/>
          </w:tcPr>
          <w:p>
            <w:pPr>
              <w:rPr>
                <w:rFonts w:hint="eastAsia" w:ascii="仿宋_GB2312" w:hAnsi="仿宋_GB2312" w:eastAsia="仿宋_GB2312" w:cs="仿宋_GB2312"/>
                <w:bCs/>
                <w:color w:val="000000"/>
              </w:rPr>
            </w:pPr>
          </w:p>
        </w:tc>
        <w:tc>
          <w:tcPr>
            <w:tcW w:w="628"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413" w:type="pct"/>
            <w:vMerge w:val="continue"/>
            <w:vAlign w:val="center"/>
          </w:tcPr>
          <w:p>
            <w:pPr>
              <w:jc w:val="center"/>
              <w:rPr>
                <w:rFonts w:hint="eastAsia" w:ascii="仿宋_GB2312" w:hAnsi="仿宋_GB2312" w:eastAsia="仿宋_GB2312" w:cs="仿宋_GB2312"/>
                <w:bCs/>
                <w:color w:val="000000"/>
              </w:rPr>
            </w:pPr>
          </w:p>
        </w:tc>
        <w:tc>
          <w:tcPr>
            <w:tcW w:w="405"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从重</w:t>
            </w:r>
          </w:p>
        </w:tc>
        <w:tc>
          <w:tcPr>
            <w:tcW w:w="546"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kern w:val="0"/>
                <w:szCs w:val="21"/>
              </w:rPr>
              <w:t>有3项以上职责未履行的</w:t>
            </w:r>
          </w:p>
        </w:tc>
        <w:tc>
          <w:tcPr>
            <w:tcW w:w="988"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责令限期改正，处超过二万元、三万元以下的罚款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14" w:hRule="atLeast"/>
          <w:jc w:val="center"/>
        </w:trPr>
        <w:tc>
          <w:tcPr>
            <w:tcW w:w="318" w:type="pct"/>
            <w:vMerge w:val="continue"/>
            <w:vAlign w:val="center"/>
          </w:tcPr>
          <w:p>
            <w:pPr>
              <w:rPr>
                <w:rFonts w:hint="eastAsia" w:ascii="仿宋_GB2312" w:hAnsi="仿宋_GB2312" w:eastAsia="仿宋_GB2312" w:cs="仿宋_GB2312"/>
                <w:bCs/>
                <w:color w:val="000000"/>
              </w:rPr>
            </w:pPr>
          </w:p>
        </w:tc>
        <w:tc>
          <w:tcPr>
            <w:tcW w:w="447" w:type="pct"/>
            <w:vMerge w:val="continue"/>
            <w:vAlign w:val="center"/>
          </w:tcPr>
          <w:p>
            <w:pPr>
              <w:rPr>
                <w:rFonts w:hint="eastAsia" w:ascii="仿宋_GB2312" w:hAnsi="仿宋_GB2312" w:eastAsia="仿宋_GB2312" w:cs="仿宋_GB2312"/>
                <w:bCs/>
                <w:color w:val="000000"/>
              </w:rPr>
            </w:pPr>
          </w:p>
        </w:tc>
        <w:tc>
          <w:tcPr>
            <w:tcW w:w="1252" w:type="pct"/>
            <w:vMerge w:val="continue"/>
            <w:vAlign w:val="center"/>
          </w:tcPr>
          <w:p>
            <w:pPr>
              <w:rPr>
                <w:rFonts w:hint="eastAsia" w:ascii="仿宋_GB2312" w:hAnsi="仿宋_GB2312" w:eastAsia="仿宋_GB2312" w:cs="仿宋_GB2312"/>
                <w:bCs/>
                <w:color w:val="000000"/>
              </w:rPr>
            </w:pPr>
          </w:p>
        </w:tc>
        <w:tc>
          <w:tcPr>
            <w:tcW w:w="628"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413" w:type="pct"/>
            <w:vMerge w:val="continue"/>
            <w:vAlign w:val="center"/>
          </w:tcPr>
          <w:p>
            <w:pPr>
              <w:jc w:val="center"/>
              <w:rPr>
                <w:rFonts w:hint="eastAsia" w:ascii="仿宋_GB2312" w:hAnsi="仿宋_GB2312" w:eastAsia="仿宋_GB2312" w:cs="仿宋_GB2312"/>
                <w:bCs/>
                <w:color w:val="000000"/>
              </w:rPr>
            </w:pPr>
          </w:p>
        </w:tc>
        <w:tc>
          <w:tcPr>
            <w:tcW w:w="405" w:type="pct"/>
            <w:vMerge w:val="continue"/>
            <w:vAlign w:val="center"/>
          </w:tcPr>
          <w:p>
            <w:pPr>
              <w:jc w:val="center"/>
              <w:rPr>
                <w:rFonts w:hint="eastAsia" w:ascii="仿宋_GB2312" w:hAnsi="仿宋_GB2312" w:eastAsia="仿宋_GB2312" w:cs="仿宋_GB2312"/>
                <w:bCs/>
                <w:color w:val="000000"/>
              </w:rPr>
            </w:pPr>
          </w:p>
        </w:tc>
        <w:tc>
          <w:tcPr>
            <w:tcW w:w="546" w:type="pct"/>
            <w:vMerge w:val="continue"/>
            <w:vAlign w:val="center"/>
          </w:tcPr>
          <w:p>
            <w:pPr>
              <w:rPr>
                <w:rFonts w:hint="eastAsia" w:ascii="仿宋_GB2312" w:hAnsi="仿宋_GB2312" w:eastAsia="仿宋_GB2312" w:cs="仿宋_GB2312"/>
                <w:bCs/>
                <w:color w:val="000000"/>
                <w:kern w:val="0"/>
                <w:szCs w:val="21"/>
              </w:rPr>
            </w:pPr>
          </w:p>
        </w:tc>
        <w:tc>
          <w:tcPr>
            <w:tcW w:w="988"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导致发生生产安全事故的</w:t>
            </w:r>
            <w:r>
              <w:rPr>
                <w:rFonts w:hint="eastAsia" w:ascii="仿宋_GB2312" w:hAnsi="仿宋_GB2312" w:eastAsia="仿宋_GB2312" w:cs="仿宋_GB2312"/>
                <w:bCs/>
                <w:color w:val="000000"/>
              </w:rPr>
              <w:t>，暂停或者吊销其与安全生产有关的资格，并处上一年年收入超过百分之三十五、百分之五十以下的罚款</w:t>
            </w:r>
          </w:p>
        </w:tc>
      </w:tr>
    </w:tbl>
    <w:p>
      <w:pPr>
        <w:rPr>
          <w:rFonts w:hint="eastAsia" w:cs="宋体" w:asciiTheme="minorEastAsia" w:hAnsiTheme="minorEastAsia"/>
          <w:b/>
          <w:color w:val="000000"/>
          <w:sz w:val="32"/>
          <w:szCs w:val="32"/>
        </w:rPr>
      </w:pPr>
    </w:p>
    <w:p>
      <w:pPr>
        <w:pStyle w:val="2"/>
      </w:pPr>
    </w:p>
    <w:p>
      <w:pPr>
        <w:rPr>
          <w:rFonts w:hint="eastAsia" w:cs="宋体" w:asciiTheme="minorEastAsia" w:hAnsiTheme="minorEastAsia"/>
          <w:bCs/>
          <w:color w:val="000000"/>
          <w:sz w:val="32"/>
          <w:szCs w:val="32"/>
        </w:rPr>
      </w:pPr>
      <w:r>
        <w:rPr>
          <w:rFonts w:hint="eastAsia" w:cs="宋体" w:asciiTheme="minorEastAsia" w:hAnsiTheme="minorEastAsia"/>
          <w:bCs/>
          <w:color w:val="000000"/>
          <w:sz w:val="32"/>
          <w:szCs w:val="32"/>
        </w:rPr>
        <w:t>《中华人民共和国安全生产法》</w:t>
      </w:r>
    </w:p>
    <w:tbl>
      <w:tblPr>
        <w:tblStyle w:val="11"/>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04"/>
        <w:gridCol w:w="1381"/>
        <w:gridCol w:w="2488"/>
        <w:gridCol w:w="2328"/>
        <w:gridCol w:w="1159"/>
        <w:gridCol w:w="1159"/>
        <w:gridCol w:w="1888"/>
        <w:gridCol w:w="334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76"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序号</w:t>
            </w:r>
          </w:p>
        </w:tc>
        <w:tc>
          <w:tcPr>
            <w:tcW w:w="474"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854"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79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398"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398"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648"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1149"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8" w:hRule="atLeast"/>
          <w:jc w:val="center"/>
        </w:trPr>
        <w:tc>
          <w:tcPr>
            <w:tcW w:w="276" w:type="pct"/>
            <w:vMerge w:val="restart"/>
            <w:vAlign w:val="center"/>
          </w:tcPr>
          <w:p>
            <w:pPr>
              <w:widowControl/>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Cs/>
                <w:color w:val="000000"/>
                <w:kern w:val="0"/>
                <w:szCs w:val="21"/>
                <w:lang w:val="en"/>
              </w:rPr>
              <w:t>101.6</w:t>
            </w:r>
          </w:p>
        </w:tc>
        <w:tc>
          <w:tcPr>
            <w:tcW w:w="474"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rPr>
              <w:t>生产经营单位未按照规定设置安全生产管理机构或者配备安全生产管理人员、注册安全工程师的</w:t>
            </w:r>
          </w:p>
        </w:tc>
        <w:tc>
          <w:tcPr>
            <w:tcW w:w="854"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第二十四条：“矿山、金属冶炼、建筑施工、运输单位和危险物品的生产、经营、储存、装卸单位，应当设置安全生产管理机构或者配备专职安全生产管理人员。</w:t>
            </w:r>
          </w:p>
          <w:p>
            <w:pPr>
              <w:ind w:firstLine="420" w:firstLineChars="200"/>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前款规定以外的其他生产经营单位，从业人员超过一百人的，应当设置安全生产管理机构或者配备专职安全生产管理人员；从业人员在一百人以下的，应当配备专职或者兼职的安全生产管理人员。”</w:t>
            </w:r>
          </w:p>
        </w:tc>
        <w:tc>
          <w:tcPr>
            <w:tcW w:w="799"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第九十七条第（一）项：“生产经营单位有下列行为之一的，责令限期改正，处十万元以下的罚款；逾期未改正的，责令停产停业整顿，并处十万元以上二十万元以下的罚款，对其直接负责的主管人员和其他直接责任人员处二万元以上五万元以下的罚款：（一）未按照规定设置安全生产管理机构或者配备安全生产管理人员、注册安全工程师的。”</w:t>
            </w:r>
          </w:p>
        </w:tc>
        <w:tc>
          <w:tcPr>
            <w:tcW w:w="398" w:type="pct"/>
            <w:vMerge w:val="restart"/>
            <w:vAlign w:val="center"/>
          </w:tcPr>
          <w:p>
            <w:pPr>
              <w:jc w:val="left"/>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罚款；责令停产停业</w:t>
            </w:r>
          </w:p>
        </w:tc>
        <w:tc>
          <w:tcPr>
            <w:tcW w:w="398"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从轻</w:t>
            </w:r>
          </w:p>
        </w:tc>
        <w:tc>
          <w:tcPr>
            <w:tcW w:w="648" w:type="pct"/>
            <w:vMerge w:val="restar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rPr>
              <w:t>未造成危害后果或造成轻微危害后果的</w:t>
            </w:r>
          </w:p>
        </w:tc>
        <w:tc>
          <w:tcPr>
            <w:tcW w:w="1149"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rPr>
              <w:t>生产经营单位：责令限期改正，处二万元的罚款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43" w:hRule="atLeast"/>
          <w:jc w:val="center"/>
        </w:trPr>
        <w:tc>
          <w:tcPr>
            <w:tcW w:w="276" w:type="pct"/>
            <w:vMerge w:val="continue"/>
            <w:vAlign w:val="center"/>
          </w:tcPr>
          <w:p>
            <w:pPr>
              <w:widowControl/>
              <w:jc w:val="center"/>
              <w:rPr>
                <w:rFonts w:hint="eastAsia" w:ascii="仿宋_GB2312" w:hAnsi="仿宋_GB2312" w:eastAsia="仿宋_GB2312" w:cs="仿宋_GB2312"/>
                <w:bCs/>
                <w:color w:val="000000"/>
                <w:kern w:val="0"/>
                <w:szCs w:val="21"/>
                <w:lang w:val="en"/>
              </w:rPr>
            </w:pPr>
          </w:p>
        </w:tc>
        <w:tc>
          <w:tcPr>
            <w:tcW w:w="474" w:type="pct"/>
            <w:vMerge w:val="continue"/>
            <w:vAlign w:val="center"/>
          </w:tcPr>
          <w:p>
            <w:pPr>
              <w:rPr>
                <w:rFonts w:hint="eastAsia" w:ascii="仿宋_GB2312" w:hAnsi="仿宋_GB2312" w:eastAsia="仿宋_GB2312" w:cs="仿宋_GB2312"/>
                <w:bCs/>
                <w:color w:val="000000"/>
              </w:rPr>
            </w:pPr>
          </w:p>
        </w:tc>
        <w:tc>
          <w:tcPr>
            <w:tcW w:w="854" w:type="pct"/>
            <w:vMerge w:val="continue"/>
            <w:vAlign w:val="center"/>
          </w:tcPr>
          <w:p>
            <w:pPr>
              <w:ind w:firstLine="420" w:firstLineChars="200"/>
              <w:rPr>
                <w:rFonts w:hint="eastAsia" w:ascii="仿宋_GB2312" w:hAnsi="仿宋_GB2312" w:eastAsia="仿宋_GB2312" w:cs="仿宋_GB2312"/>
                <w:bCs/>
                <w:color w:val="000000"/>
              </w:rPr>
            </w:pPr>
          </w:p>
        </w:tc>
        <w:tc>
          <w:tcPr>
            <w:tcW w:w="799" w:type="pct"/>
            <w:vMerge w:val="continue"/>
            <w:vAlign w:val="center"/>
          </w:tcPr>
          <w:p>
            <w:pPr>
              <w:rPr>
                <w:rFonts w:hint="eastAsia" w:ascii="仿宋_GB2312" w:hAnsi="仿宋_GB2312" w:eastAsia="仿宋_GB2312" w:cs="仿宋_GB2312"/>
                <w:bCs/>
                <w:color w:val="000000"/>
              </w:rPr>
            </w:pPr>
          </w:p>
        </w:tc>
        <w:tc>
          <w:tcPr>
            <w:tcW w:w="398" w:type="pct"/>
            <w:vMerge w:val="continue"/>
            <w:vAlign w:val="center"/>
          </w:tcPr>
          <w:p>
            <w:pPr>
              <w:jc w:val="left"/>
              <w:rPr>
                <w:rFonts w:hint="eastAsia" w:ascii="仿宋_GB2312" w:hAnsi="仿宋_GB2312" w:eastAsia="仿宋_GB2312" w:cs="仿宋_GB2312"/>
                <w:bCs/>
                <w:color w:val="000000"/>
              </w:rPr>
            </w:pPr>
          </w:p>
        </w:tc>
        <w:tc>
          <w:tcPr>
            <w:tcW w:w="398" w:type="pct"/>
            <w:vMerge w:val="continue"/>
            <w:vAlign w:val="center"/>
          </w:tcPr>
          <w:p>
            <w:pPr>
              <w:jc w:val="center"/>
              <w:rPr>
                <w:rFonts w:hint="eastAsia" w:ascii="仿宋_GB2312" w:hAnsi="仿宋_GB2312" w:eastAsia="仿宋_GB2312" w:cs="仿宋_GB2312"/>
                <w:bCs/>
                <w:color w:val="000000"/>
              </w:rPr>
            </w:pPr>
          </w:p>
        </w:tc>
        <w:tc>
          <w:tcPr>
            <w:tcW w:w="648" w:type="pct"/>
            <w:vMerge w:val="continue"/>
            <w:vAlign w:val="center"/>
          </w:tcPr>
          <w:p>
            <w:pPr>
              <w:rPr>
                <w:rFonts w:hint="eastAsia" w:ascii="仿宋_GB2312" w:hAnsi="仿宋_GB2312" w:eastAsia="仿宋_GB2312" w:cs="仿宋_GB2312"/>
                <w:bCs/>
                <w:color w:val="000000"/>
                <w:kern w:val="0"/>
                <w:szCs w:val="21"/>
              </w:rPr>
            </w:pPr>
          </w:p>
        </w:tc>
        <w:tc>
          <w:tcPr>
            <w:tcW w:w="1149"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，责令生产经营单位停产停业整顿，并处十万元以上、低于十五万元的罚款，对其直接负责的主管人员和其他直接责任人员处二万元以上、低于三万五千元的罚款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276" w:type="pct"/>
            <w:vMerge w:val="continue"/>
            <w:vAlign w:val="center"/>
          </w:tcPr>
          <w:p>
            <w:pPr>
              <w:rPr>
                <w:rFonts w:hint="eastAsia" w:ascii="仿宋_GB2312" w:hAnsi="仿宋_GB2312" w:eastAsia="仿宋_GB2312" w:cs="仿宋_GB2312"/>
                <w:bCs/>
                <w:color w:val="000000"/>
              </w:rPr>
            </w:pPr>
          </w:p>
        </w:tc>
        <w:tc>
          <w:tcPr>
            <w:tcW w:w="474" w:type="pct"/>
            <w:vMerge w:val="continue"/>
            <w:vAlign w:val="center"/>
          </w:tcPr>
          <w:p>
            <w:pPr>
              <w:rPr>
                <w:rFonts w:hint="eastAsia" w:ascii="仿宋_GB2312" w:hAnsi="仿宋_GB2312" w:eastAsia="仿宋_GB2312" w:cs="仿宋_GB2312"/>
                <w:bCs/>
                <w:color w:val="000000"/>
              </w:rPr>
            </w:pPr>
          </w:p>
        </w:tc>
        <w:tc>
          <w:tcPr>
            <w:tcW w:w="854" w:type="pct"/>
            <w:vMerge w:val="continue"/>
            <w:vAlign w:val="center"/>
          </w:tcPr>
          <w:p>
            <w:pPr>
              <w:rPr>
                <w:rFonts w:hint="eastAsia" w:ascii="仿宋_GB2312" w:hAnsi="仿宋_GB2312" w:eastAsia="仿宋_GB2312" w:cs="仿宋_GB2312"/>
                <w:bCs/>
                <w:color w:val="000000"/>
              </w:rPr>
            </w:pPr>
          </w:p>
        </w:tc>
        <w:tc>
          <w:tcPr>
            <w:tcW w:w="799"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8" w:type="pct"/>
            <w:vMerge w:val="continue"/>
            <w:vAlign w:val="center"/>
          </w:tcPr>
          <w:p>
            <w:pPr>
              <w:jc w:val="center"/>
              <w:rPr>
                <w:rFonts w:hint="eastAsia" w:ascii="仿宋_GB2312" w:hAnsi="仿宋_GB2312" w:eastAsia="仿宋_GB2312" w:cs="仿宋_GB2312"/>
                <w:bCs/>
                <w:color w:val="000000"/>
              </w:rPr>
            </w:pPr>
          </w:p>
        </w:tc>
        <w:tc>
          <w:tcPr>
            <w:tcW w:w="398"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一般</w:t>
            </w:r>
          </w:p>
        </w:tc>
        <w:tc>
          <w:tcPr>
            <w:tcW w:w="648"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kern w:val="0"/>
                <w:szCs w:val="21"/>
              </w:rPr>
              <w:t>造成一般危害后果的</w:t>
            </w:r>
          </w:p>
        </w:tc>
        <w:tc>
          <w:tcPr>
            <w:tcW w:w="1149"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生产经营单位：责令限期改正，处五万元的罚款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8" w:hRule="atLeast"/>
          <w:jc w:val="center"/>
        </w:trPr>
        <w:tc>
          <w:tcPr>
            <w:tcW w:w="276" w:type="pct"/>
            <w:vMerge w:val="continue"/>
            <w:vAlign w:val="center"/>
          </w:tcPr>
          <w:p>
            <w:pPr>
              <w:rPr>
                <w:rFonts w:hint="eastAsia" w:ascii="仿宋_GB2312" w:hAnsi="仿宋_GB2312" w:eastAsia="仿宋_GB2312" w:cs="仿宋_GB2312"/>
                <w:bCs/>
                <w:color w:val="000000"/>
              </w:rPr>
            </w:pPr>
          </w:p>
        </w:tc>
        <w:tc>
          <w:tcPr>
            <w:tcW w:w="474" w:type="pct"/>
            <w:vMerge w:val="continue"/>
            <w:vAlign w:val="center"/>
          </w:tcPr>
          <w:p>
            <w:pPr>
              <w:rPr>
                <w:rFonts w:hint="eastAsia" w:ascii="仿宋_GB2312" w:hAnsi="仿宋_GB2312" w:eastAsia="仿宋_GB2312" w:cs="仿宋_GB2312"/>
                <w:bCs/>
                <w:color w:val="000000"/>
              </w:rPr>
            </w:pPr>
          </w:p>
        </w:tc>
        <w:tc>
          <w:tcPr>
            <w:tcW w:w="854" w:type="pct"/>
            <w:vMerge w:val="continue"/>
            <w:vAlign w:val="center"/>
          </w:tcPr>
          <w:p>
            <w:pPr>
              <w:rPr>
                <w:rFonts w:hint="eastAsia" w:ascii="仿宋_GB2312" w:hAnsi="仿宋_GB2312" w:eastAsia="仿宋_GB2312" w:cs="仿宋_GB2312"/>
                <w:bCs/>
                <w:color w:val="000000"/>
              </w:rPr>
            </w:pPr>
          </w:p>
        </w:tc>
        <w:tc>
          <w:tcPr>
            <w:tcW w:w="799"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8" w:type="pct"/>
            <w:vMerge w:val="continue"/>
            <w:vAlign w:val="center"/>
          </w:tcPr>
          <w:p>
            <w:pPr>
              <w:jc w:val="center"/>
              <w:rPr>
                <w:rFonts w:hint="eastAsia" w:ascii="仿宋_GB2312" w:hAnsi="仿宋_GB2312" w:eastAsia="仿宋_GB2312" w:cs="仿宋_GB2312"/>
                <w:bCs/>
                <w:color w:val="000000"/>
              </w:rPr>
            </w:pPr>
          </w:p>
        </w:tc>
        <w:tc>
          <w:tcPr>
            <w:tcW w:w="398" w:type="pct"/>
            <w:vMerge w:val="continue"/>
            <w:vAlign w:val="center"/>
          </w:tcPr>
          <w:p>
            <w:pPr>
              <w:jc w:val="center"/>
              <w:rPr>
                <w:rFonts w:hint="eastAsia" w:ascii="仿宋_GB2312" w:hAnsi="仿宋_GB2312" w:eastAsia="仿宋_GB2312" w:cs="仿宋_GB2312"/>
                <w:bCs/>
                <w:color w:val="000000"/>
              </w:rPr>
            </w:pPr>
          </w:p>
        </w:tc>
        <w:tc>
          <w:tcPr>
            <w:tcW w:w="648" w:type="pct"/>
            <w:vMerge w:val="continue"/>
            <w:vAlign w:val="center"/>
          </w:tcPr>
          <w:p>
            <w:pPr>
              <w:rPr>
                <w:rFonts w:hint="eastAsia" w:ascii="仿宋_GB2312" w:hAnsi="仿宋_GB2312" w:eastAsia="仿宋_GB2312" w:cs="仿宋_GB2312"/>
                <w:bCs/>
                <w:color w:val="000000"/>
                <w:kern w:val="0"/>
                <w:szCs w:val="21"/>
              </w:rPr>
            </w:pPr>
          </w:p>
        </w:tc>
        <w:tc>
          <w:tcPr>
            <w:tcW w:w="1149"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，责令生产经营单位停产停业整顿，并处十五万元的罚款，对其直接负责的主管人员和其他直接责任人员处三万五千元的罚款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7" w:hRule="atLeast"/>
          <w:jc w:val="center"/>
        </w:trPr>
        <w:tc>
          <w:tcPr>
            <w:tcW w:w="276" w:type="pct"/>
            <w:vMerge w:val="continue"/>
            <w:vAlign w:val="center"/>
          </w:tcPr>
          <w:p>
            <w:pPr>
              <w:rPr>
                <w:rFonts w:hint="eastAsia" w:ascii="仿宋_GB2312" w:hAnsi="仿宋_GB2312" w:eastAsia="仿宋_GB2312" w:cs="仿宋_GB2312"/>
                <w:bCs/>
                <w:color w:val="000000"/>
              </w:rPr>
            </w:pPr>
          </w:p>
        </w:tc>
        <w:tc>
          <w:tcPr>
            <w:tcW w:w="474" w:type="pct"/>
            <w:vMerge w:val="continue"/>
            <w:vAlign w:val="center"/>
          </w:tcPr>
          <w:p>
            <w:pPr>
              <w:rPr>
                <w:rFonts w:hint="eastAsia" w:ascii="仿宋_GB2312" w:hAnsi="仿宋_GB2312" w:eastAsia="仿宋_GB2312" w:cs="仿宋_GB2312"/>
                <w:bCs/>
                <w:color w:val="000000"/>
              </w:rPr>
            </w:pPr>
          </w:p>
        </w:tc>
        <w:tc>
          <w:tcPr>
            <w:tcW w:w="854" w:type="pct"/>
            <w:vMerge w:val="continue"/>
            <w:vAlign w:val="center"/>
          </w:tcPr>
          <w:p>
            <w:pPr>
              <w:rPr>
                <w:rFonts w:hint="eastAsia" w:ascii="仿宋_GB2312" w:hAnsi="仿宋_GB2312" w:eastAsia="仿宋_GB2312" w:cs="仿宋_GB2312"/>
                <w:bCs/>
                <w:color w:val="000000"/>
              </w:rPr>
            </w:pPr>
          </w:p>
        </w:tc>
        <w:tc>
          <w:tcPr>
            <w:tcW w:w="799"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8" w:type="pct"/>
            <w:vMerge w:val="continue"/>
            <w:vAlign w:val="center"/>
          </w:tcPr>
          <w:p>
            <w:pPr>
              <w:jc w:val="center"/>
              <w:rPr>
                <w:rFonts w:hint="eastAsia" w:ascii="仿宋_GB2312" w:hAnsi="仿宋_GB2312" w:eastAsia="仿宋_GB2312" w:cs="仿宋_GB2312"/>
                <w:bCs/>
                <w:color w:val="000000"/>
              </w:rPr>
            </w:pPr>
          </w:p>
        </w:tc>
        <w:tc>
          <w:tcPr>
            <w:tcW w:w="398"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从重</w:t>
            </w:r>
          </w:p>
        </w:tc>
        <w:tc>
          <w:tcPr>
            <w:tcW w:w="648" w:type="pct"/>
            <w:vMerge w:val="restar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rPr>
              <w:t>造成生产安全事故的，或造成其他严重后果的</w:t>
            </w:r>
          </w:p>
        </w:tc>
        <w:tc>
          <w:tcPr>
            <w:tcW w:w="1149"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生产经营单位：责令限期改正，处十万元的罚款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44" w:hRule="atLeast"/>
          <w:jc w:val="center"/>
        </w:trPr>
        <w:tc>
          <w:tcPr>
            <w:tcW w:w="276" w:type="pct"/>
            <w:vMerge w:val="continue"/>
            <w:vAlign w:val="center"/>
          </w:tcPr>
          <w:p>
            <w:pPr>
              <w:rPr>
                <w:rFonts w:hint="eastAsia" w:ascii="仿宋_GB2312" w:hAnsi="仿宋_GB2312" w:eastAsia="仿宋_GB2312" w:cs="仿宋_GB2312"/>
                <w:bCs/>
                <w:color w:val="000000"/>
              </w:rPr>
            </w:pPr>
          </w:p>
        </w:tc>
        <w:tc>
          <w:tcPr>
            <w:tcW w:w="474" w:type="pct"/>
            <w:vMerge w:val="continue"/>
            <w:vAlign w:val="center"/>
          </w:tcPr>
          <w:p>
            <w:pPr>
              <w:rPr>
                <w:rFonts w:hint="eastAsia" w:ascii="仿宋_GB2312" w:hAnsi="仿宋_GB2312" w:eastAsia="仿宋_GB2312" w:cs="仿宋_GB2312"/>
                <w:bCs/>
                <w:color w:val="000000"/>
              </w:rPr>
            </w:pPr>
          </w:p>
        </w:tc>
        <w:tc>
          <w:tcPr>
            <w:tcW w:w="854" w:type="pct"/>
            <w:vMerge w:val="continue"/>
            <w:vAlign w:val="center"/>
          </w:tcPr>
          <w:p>
            <w:pPr>
              <w:rPr>
                <w:rFonts w:hint="eastAsia" w:ascii="仿宋_GB2312" w:hAnsi="仿宋_GB2312" w:eastAsia="仿宋_GB2312" w:cs="仿宋_GB2312"/>
                <w:bCs/>
                <w:color w:val="000000"/>
              </w:rPr>
            </w:pPr>
          </w:p>
        </w:tc>
        <w:tc>
          <w:tcPr>
            <w:tcW w:w="799"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8" w:type="pct"/>
            <w:vMerge w:val="continue"/>
            <w:vAlign w:val="center"/>
          </w:tcPr>
          <w:p>
            <w:pPr>
              <w:jc w:val="center"/>
              <w:rPr>
                <w:rFonts w:hint="eastAsia" w:ascii="仿宋_GB2312" w:hAnsi="仿宋_GB2312" w:eastAsia="仿宋_GB2312" w:cs="仿宋_GB2312"/>
                <w:bCs/>
                <w:color w:val="000000"/>
              </w:rPr>
            </w:pPr>
          </w:p>
        </w:tc>
        <w:tc>
          <w:tcPr>
            <w:tcW w:w="398" w:type="pct"/>
            <w:vMerge w:val="continue"/>
            <w:vAlign w:val="center"/>
          </w:tcPr>
          <w:p>
            <w:pPr>
              <w:jc w:val="center"/>
              <w:rPr>
                <w:rFonts w:hint="eastAsia" w:ascii="仿宋_GB2312" w:hAnsi="仿宋_GB2312" w:eastAsia="仿宋_GB2312" w:cs="仿宋_GB2312"/>
                <w:bCs/>
                <w:color w:val="000000"/>
              </w:rPr>
            </w:pPr>
          </w:p>
        </w:tc>
        <w:tc>
          <w:tcPr>
            <w:tcW w:w="648" w:type="pct"/>
            <w:vMerge w:val="continue"/>
            <w:vAlign w:val="center"/>
          </w:tcPr>
          <w:p>
            <w:pPr>
              <w:rPr>
                <w:rFonts w:hint="eastAsia" w:ascii="仿宋_GB2312" w:hAnsi="仿宋_GB2312" w:eastAsia="仿宋_GB2312" w:cs="仿宋_GB2312"/>
                <w:bCs/>
                <w:color w:val="000000"/>
                <w:kern w:val="0"/>
                <w:szCs w:val="21"/>
              </w:rPr>
            </w:pPr>
          </w:p>
        </w:tc>
        <w:tc>
          <w:tcPr>
            <w:tcW w:w="1149"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，责令生产经营单位停产停业整顿，并处超过十五万元、二十万元以下的罚款，对其直接负责的主管人员和其他直接责任人员处超过三万五千元、五万元以下的罚款</w:t>
            </w:r>
          </w:p>
        </w:tc>
      </w:tr>
    </w:tbl>
    <w:p>
      <w:pPr>
        <w:rPr>
          <w:rFonts w:hint="eastAsia" w:cs="宋体" w:asciiTheme="minorEastAsia" w:hAnsiTheme="minorEastAsia"/>
          <w:bCs/>
          <w:color w:val="000000"/>
        </w:rPr>
      </w:pPr>
    </w:p>
    <w:p>
      <w:pPr>
        <w:rPr>
          <w:rFonts w:hint="eastAsia" w:cs="宋体" w:asciiTheme="minorEastAsia" w:hAnsiTheme="minorEastAsia"/>
          <w:bCs/>
          <w:color w:val="000000"/>
          <w:sz w:val="32"/>
          <w:szCs w:val="32"/>
        </w:rPr>
      </w:pPr>
      <w:r>
        <w:rPr>
          <w:rFonts w:hint="eastAsia" w:cs="宋体" w:asciiTheme="minorEastAsia" w:hAnsiTheme="minorEastAsia"/>
          <w:bCs/>
          <w:color w:val="000000"/>
          <w:sz w:val="32"/>
          <w:szCs w:val="32"/>
        </w:rPr>
        <w:t>《中华人民共和国安全生产法》</w:t>
      </w:r>
    </w:p>
    <w:tbl>
      <w:tblPr>
        <w:tblStyle w:val="11"/>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2"/>
        <w:gridCol w:w="1246"/>
        <w:gridCol w:w="1896"/>
        <w:gridCol w:w="2920"/>
        <w:gridCol w:w="1161"/>
        <w:gridCol w:w="1161"/>
        <w:gridCol w:w="1621"/>
        <w:gridCol w:w="36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23"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序号</w:t>
            </w:r>
          </w:p>
        </w:tc>
        <w:tc>
          <w:tcPr>
            <w:tcW w:w="428"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650"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1002"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39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39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557"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1238"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323" w:type="pct"/>
            <w:vMerge w:val="restart"/>
            <w:vAlign w:val="center"/>
          </w:tcPr>
          <w:p>
            <w:pPr>
              <w:widowControl/>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Cs/>
                <w:color w:val="000000"/>
                <w:kern w:val="0"/>
                <w:szCs w:val="21"/>
                <w:lang w:val="en"/>
              </w:rPr>
              <w:t>101.7</w:t>
            </w:r>
          </w:p>
        </w:tc>
        <w:tc>
          <w:tcPr>
            <w:tcW w:w="428"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rPr>
              <w:t>危险物品的生产、经营、储存、装卸单位以及矿山、金属冶炼、建筑施工、运输单位的主要负责人和安全生产管理人员未按照规定经考核合格的</w:t>
            </w:r>
          </w:p>
        </w:tc>
        <w:tc>
          <w:tcPr>
            <w:tcW w:w="650"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第二十七条第二款：“危险物品的生产、经营、储存、装卸单位以及矿山、金属冶炼、建筑施工、运输单位的主要负责人和安全生产管理人员，应当由主管的负有安全生产监督管理职责的部门对其安全生产知识和管理能力考核合格。考核不得收费。”</w:t>
            </w:r>
          </w:p>
        </w:tc>
        <w:tc>
          <w:tcPr>
            <w:tcW w:w="1002" w:type="pct"/>
            <w:vMerge w:val="restart"/>
            <w:vAlign w:val="center"/>
          </w:tcPr>
          <w:p>
            <w:pPr>
              <w:widowControl/>
              <w:rPr>
                <w:rFonts w:hint="eastAsia" w:ascii="仿宋_GB2312" w:hAnsi="仿宋_GB2312" w:eastAsia="仿宋_GB2312" w:cs="仿宋_GB2312"/>
                <w:bCs/>
                <w:color w:val="000000"/>
              </w:rPr>
            </w:pPr>
            <w:r>
              <w:rPr>
                <w:rFonts w:hint="eastAsia" w:ascii="仿宋_GB2312" w:hAnsi="仿宋_GB2312" w:eastAsia="仿宋_GB2312" w:cs="仿宋_GB2312"/>
                <w:bCs/>
                <w:color w:val="000000"/>
                <w:szCs w:val="21"/>
              </w:rPr>
              <w:t>第九十七条第（二）项：“生产经营单位有下列行为之一的，责令限期改正，处十万元以下的罚款；逾期未改正的，责令停产停业整顿，并处十万元以上二十万元以下的罚款，对其直接负责的主管人员和其他直接责任人员处二万元以上五万元以下的罚款：（二）危险物品的生产、经营、储存、装卸单位以及矿山、金属冶炼、建筑施工、运输单位的主要负责人和安全生产管理人员未按照规定经考核合格的。”</w:t>
            </w:r>
          </w:p>
        </w:tc>
        <w:tc>
          <w:tcPr>
            <w:tcW w:w="399" w:type="pct"/>
            <w:vMerge w:val="restart"/>
            <w:vAlign w:val="center"/>
          </w:tcPr>
          <w:p>
            <w:pPr>
              <w:jc w:val="left"/>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罚款；责令停产停业</w:t>
            </w: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从轻</w:t>
            </w:r>
          </w:p>
        </w:tc>
        <w:tc>
          <w:tcPr>
            <w:tcW w:w="557" w:type="pct"/>
            <w:vMerge w:val="restar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rPr>
              <w:t>生产经营单位的</w:t>
            </w:r>
            <w:r>
              <w:rPr>
                <w:rFonts w:hint="eastAsia" w:ascii="仿宋_GB2312" w:hAnsi="仿宋_GB2312" w:eastAsia="仿宋_GB2312" w:cs="仿宋_GB2312"/>
                <w:b/>
                <w:color w:val="000000"/>
              </w:rPr>
              <w:t>安全生产管理人员</w:t>
            </w:r>
            <w:r>
              <w:rPr>
                <w:rFonts w:hint="eastAsia" w:ascii="仿宋_GB2312" w:hAnsi="仿宋_GB2312" w:eastAsia="仿宋_GB2312" w:cs="仿宋_GB2312"/>
                <w:bCs/>
                <w:color w:val="000000"/>
              </w:rPr>
              <w:t>未按照规定经考核合格的</w:t>
            </w:r>
          </w:p>
        </w:tc>
        <w:tc>
          <w:tcPr>
            <w:tcW w:w="1238"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rPr>
              <w:t>生产经营单位：</w:t>
            </w:r>
            <w:r>
              <w:rPr>
                <w:rFonts w:hint="eastAsia" w:ascii="仿宋_GB2312" w:hAnsi="仿宋_GB2312" w:eastAsia="仿宋_GB2312" w:cs="仿宋_GB2312"/>
                <w:bCs/>
                <w:color w:val="000000"/>
                <w:szCs w:val="21"/>
              </w:rPr>
              <w:t>责令限期改正，</w:t>
            </w:r>
            <w:r>
              <w:rPr>
                <w:rFonts w:hint="eastAsia" w:ascii="仿宋_GB2312" w:hAnsi="仿宋_GB2312" w:eastAsia="仿宋_GB2312" w:cs="仿宋_GB2312"/>
                <w:bCs/>
                <w:color w:val="000000"/>
              </w:rPr>
              <w:t>处二万元的罚款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93" w:hRule="atLeast"/>
          <w:jc w:val="center"/>
        </w:trPr>
        <w:tc>
          <w:tcPr>
            <w:tcW w:w="323" w:type="pct"/>
            <w:vMerge w:val="continue"/>
            <w:vAlign w:val="center"/>
          </w:tcPr>
          <w:p>
            <w:pPr>
              <w:widowControl/>
              <w:jc w:val="center"/>
              <w:rPr>
                <w:rFonts w:hint="eastAsia" w:ascii="仿宋_GB2312" w:hAnsi="仿宋_GB2312" w:eastAsia="仿宋_GB2312" w:cs="仿宋_GB2312"/>
                <w:bCs/>
                <w:color w:val="000000"/>
                <w:kern w:val="0"/>
                <w:szCs w:val="21"/>
                <w:lang w:val="en"/>
              </w:rPr>
            </w:pPr>
          </w:p>
        </w:tc>
        <w:tc>
          <w:tcPr>
            <w:tcW w:w="428" w:type="pct"/>
            <w:vMerge w:val="continue"/>
            <w:vAlign w:val="center"/>
          </w:tcPr>
          <w:p>
            <w:pPr>
              <w:rPr>
                <w:rFonts w:hint="eastAsia" w:ascii="仿宋_GB2312" w:hAnsi="仿宋_GB2312" w:eastAsia="仿宋_GB2312" w:cs="仿宋_GB2312"/>
                <w:bCs/>
                <w:color w:val="000000"/>
              </w:rPr>
            </w:pPr>
          </w:p>
        </w:tc>
        <w:tc>
          <w:tcPr>
            <w:tcW w:w="650" w:type="pct"/>
            <w:vMerge w:val="continue"/>
            <w:vAlign w:val="center"/>
          </w:tcPr>
          <w:p>
            <w:pPr>
              <w:rPr>
                <w:rFonts w:hint="eastAsia" w:ascii="仿宋_GB2312" w:hAnsi="仿宋_GB2312" w:eastAsia="仿宋_GB2312" w:cs="仿宋_GB2312"/>
                <w:bCs/>
                <w:color w:val="000000"/>
              </w:rPr>
            </w:pPr>
          </w:p>
        </w:tc>
        <w:tc>
          <w:tcPr>
            <w:tcW w:w="1002" w:type="pct"/>
            <w:vMerge w:val="continue"/>
            <w:vAlign w:val="center"/>
          </w:tcPr>
          <w:p>
            <w:pPr>
              <w:widowControl/>
              <w:rPr>
                <w:rFonts w:hint="eastAsia" w:ascii="仿宋_GB2312" w:hAnsi="仿宋_GB2312" w:eastAsia="仿宋_GB2312" w:cs="仿宋_GB2312"/>
                <w:bCs/>
                <w:color w:val="000000"/>
                <w:szCs w:val="21"/>
              </w:rPr>
            </w:pPr>
          </w:p>
        </w:tc>
        <w:tc>
          <w:tcPr>
            <w:tcW w:w="399" w:type="pct"/>
            <w:vMerge w:val="continue"/>
            <w:vAlign w:val="center"/>
          </w:tcPr>
          <w:p>
            <w:pPr>
              <w:jc w:val="left"/>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557" w:type="pct"/>
            <w:vMerge w:val="continue"/>
            <w:vAlign w:val="center"/>
          </w:tcPr>
          <w:p>
            <w:pPr>
              <w:rPr>
                <w:rFonts w:hint="eastAsia" w:ascii="仿宋_GB2312" w:hAnsi="仿宋_GB2312" w:eastAsia="仿宋_GB2312" w:cs="仿宋_GB2312"/>
                <w:bCs/>
                <w:color w:val="000000"/>
              </w:rPr>
            </w:pPr>
          </w:p>
        </w:tc>
        <w:tc>
          <w:tcPr>
            <w:tcW w:w="1238"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，责令生产经营单位停产停业整顿，并处十万元以上、低于十五万元的罚款，对其直接负责的主管人员和其他直接责任人员处二万元以上、低于三万五千元的罚款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2" w:hRule="atLeast"/>
          <w:jc w:val="center"/>
        </w:trPr>
        <w:tc>
          <w:tcPr>
            <w:tcW w:w="323" w:type="pct"/>
            <w:vMerge w:val="continue"/>
            <w:vAlign w:val="center"/>
          </w:tcPr>
          <w:p>
            <w:pPr>
              <w:rPr>
                <w:rFonts w:hint="eastAsia" w:ascii="仿宋_GB2312" w:hAnsi="仿宋_GB2312" w:eastAsia="仿宋_GB2312" w:cs="仿宋_GB2312"/>
                <w:bCs/>
                <w:color w:val="000000"/>
              </w:rPr>
            </w:pPr>
          </w:p>
        </w:tc>
        <w:tc>
          <w:tcPr>
            <w:tcW w:w="428" w:type="pct"/>
            <w:vMerge w:val="continue"/>
            <w:vAlign w:val="center"/>
          </w:tcPr>
          <w:p>
            <w:pPr>
              <w:rPr>
                <w:rFonts w:hint="eastAsia" w:ascii="仿宋_GB2312" w:hAnsi="仿宋_GB2312" w:eastAsia="仿宋_GB2312" w:cs="仿宋_GB2312"/>
                <w:bCs/>
                <w:color w:val="000000"/>
              </w:rPr>
            </w:pPr>
          </w:p>
        </w:tc>
        <w:tc>
          <w:tcPr>
            <w:tcW w:w="650" w:type="pct"/>
            <w:vMerge w:val="continue"/>
            <w:vAlign w:val="center"/>
          </w:tcPr>
          <w:p>
            <w:pPr>
              <w:rPr>
                <w:rFonts w:hint="eastAsia" w:ascii="仿宋_GB2312" w:hAnsi="仿宋_GB2312" w:eastAsia="仿宋_GB2312" w:cs="仿宋_GB2312"/>
                <w:bCs/>
                <w:color w:val="000000"/>
              </w:rPr>
            </w:pPr>
          </w:p>
        </w:tc>
        <w:tc>
          <w:tcPr>
            <w:tcW w:w="1002"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一般</w:t>
            </w:r>
          </w:p>
        </w:tc>
        <w:tc>
          <w:tcPr>
            <w:tcW w:w="557"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生产经营单位的</w:t>
            </w:r>
            <w:r>
              <w:rPr>
                <w:rFonts w:hint="eastAsia" w:ascii="仿宋_GB2312" w:hAnsi="仿宋_GB2312" w:eastAsia="仿宋_GB2312" w:cs="仿宋_GB2312"/>
                <w:b/>
                <w:color w:val="000000"/>
              </w:rPr>
              <w:t>主要负责人</w:t>
            </w:r>
            <w:r>
              <w:rPr>
                <w:rFonts w:hint="eastAsia" w:ascii="仿宋_GB2312" w:hAnsi="仿宋_GB2312" w:eastAsia="仿宋_GB2312" w:cs="仿宋_GB2312"/>
                <w:bCs/>
                <w:color w:val="000000"/>
              </w:rPr>
              <w:t>未按照规定经考核合格的</w:t>
            </w:r>
          </w:p>
        </w:tc>
        <w:tc>
          <w:tcPr>
            <w:tcW w:w="1238"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生产经营单位：责令限期改正，处五万元的罚款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9" w:hRule="atLeast"/>
          <w:jc w:val="center"/>
        </w:trPr>
        <w:tc>
          <w:tcPr>
            <w:tcW w:w="323" w:type="pct"/>
            <w:vMerge w:val="continue"/>
            <w:vAlign w:val="center"/>
          </w:tcPr>
          <w:p>
            <w:pPr>
              <w:rPr>
                <w:rFonts w:hint="eastAsia" w:ascii="仿宋_GB2312" w:hAnsi="仿宋_GB2312" w:eastAsia="仿宋_GB2312" w:cs="仿宋_GB2312"/>
                <w:bCs/>
                <w:color w:val="000000"/>
              </w:rPr>
            </w:pPr>
          </w:p>
        </w:tc>
        <w:tc>
          <w:tcPr>
            <w:tcW w:w="428" w:type="pct"/>
            <w:vMerge w:val="continue"/>
            <w:vAlign w:val="center"/>
          </w:tcPr>
          <w:p>
            <w:pPr>
              <w:rPr>
                <w:rFonts w:hint="eastAsia" w:ascii="仿宋_GB2312" w:hAnsi="仿宋_GB2312" w:eastAsia="仿宋_GB2312" w:cs="仿宋_GB2312"/>
                <w:bCs/>
                <w:color w:val="000000"/>
              </w:rPr>
            </w:pPr>
          </w:p>
        </w:tc>
        <w:tc>
          <w:tcPr>
            <w:tcW w:w="650" w:type="pct"/>
            <w:vMerge w:val="continue"/>
            <w:vAlign w:val="center"/>
          </w:tcPr>
          <w:p>
            <w:pPr>
              <w:rPr>
                <w:rFonts w:hint="eastAsia" w:ascii="仿宋_GB2312" w:hAnsi="仿宋_GB2312" w:eastAsia="仿宋_GB2312" w:cs="仿宋_GB2312"/>
                <w:bCs/>
                <w:color w:val="000000"/>
              </w:rPr>
            </w:pPr>
          </w:p>
        </w:tc>
        <w:tc>
          <w:tcPr>
            <w:tcW w:w="1002"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557" w:type="pct"/>
            <w:vMerge w:val="continue"/>
            <w:vAlign w:val="center"/>
          </w:tcPr>
          <w:p>
            <w:pPr>
              <w:rPr>
                <w:rFonts w:hint="eastAsia" w:ascii="仿宋_GB2312" w:hAnsi="仿宋_GB2312" w:eastAsia="仿宋_GB2312" w:cs="仿宋_GB2312"/>
                <w:bCs/>
                <w:color w:val="000000"/>
              </w:rPr>
            </w:pPr>
          </w:p>
        </w:tc>
        <w:tc>
          <w:tcPr>
            <w:tcW w:w="1238"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，责令生产经营单位停产停业整顿，并处十五万元的罚款，对其直接负责的主管人员和其他直接责任人员处三万五千元的罚款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9" w:hRule="atLeast"/>
          <w:jc w:val="center"/>
        </w:trPr>
        <w:tc>
          <w:tcPr>
            <w:tcW w:w="323" w:type="pct"/>
            <w:vMerge w:val="continue"/>
            <w:vAlign w:val="center"/>
          </w:tcPr>
          <w:p>
            <w:pPr>
              <w:rPr>
                <w:rFonts w:hint="eastAsia" w:ascii="仿宋_GB2312" w:hAnsi="仿宋_GB2312" w:eastAsia="仿宋_GB2312" w:cs="仿宋_GB2312"/>
                <w:bCs/>
                <w:color w:val="000000"/>
              </w:rPr>
            </w:pPr>
          </w:p>
        </w:tc>
        <w:tc>
          <w:tcPr>
            <w:tcW w:w="428" w:type="pct"/>
            <w:vMerge w:val="continue"/>
            <w:vAlign w:val="center"/>
          </w:tcPr>
          <w:p>
            <w:pPr>
              <w:rPr>
                <w:rFonts w:hint="eastAsia" w:ascii="仿宋_GB2312" w:hAnsi="仿宋_GB2312" w:eastAsia="仿宋_GB2312" w:cs="仿宋_GB2312"/>
                <w:bCs/>
                <w:color w:val="000000"/>
              </w:rPr>
            </w:pPr>
          </w:p>
        </w:tc>
        <w:tc>
          <w:tcPr>
            <w:tcW w:w="650" w:type="pct"/>
            <w:vMerge w:val="continue"/>
            <w:vAlign w:val="center"/>
          </w:tcPr>
          <w:p>
            <w:pPr>
              <w:rPr>
                <w:rFonts w:hint="eastAsia" w:ascii="仿宋_GB2312" w:hAnsi="仿宋_GB2312" w:eastAsia="仿宋_GB2312" w:cs="仿宋_GB2312"/>
                <w:bCs/>
                <w:color w:val="000000"/>
              </w:rPr>
            </w:pPr>
          </w:p>
        </w:tc>
        <w:tc>
          <w:tcPr>
            <w:tcW w:w="1002"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从重</w:t>
            </w:r>
          </w:p>
        </w:tc>
        <w:tc>
          <w:tcPr>
            <w:tcW w:w="557"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生产经营单位的</w:t>
            </w:r>
            <w:r>
              <w:rPr>
                <w:rFonts w:hint="eastAsia" w:ascii="仿宋_GB2312" w:hAnsi="仿宋_GB2312" w:eastAsia="仿宋_GB2312" w:cs="仿宋_GB2312"/>
                <w:b/>
                <w:color w:val="000000"/>
              </w:rPr>
              <w:t>主要负责人和安全生产管理人员</w:t>
            </w:r>
            <w:r>
              <w:rPr>
                <w:rFonts w:hint="eastAsia" w:ascii="仿宋_GB2312" w:hAnsi="仿宋_GB2312" w:eastAsia="仿宋_GB2312" w:cs="仿宋_GB2312"/>
                <w:bCs/>
                <w:color w:val="000000"/>
              </w:rPr>
              <w:t>均未按照规定经考核合格的</w:t>
            </w:r>
          </w:p>
        </w:tc>
        <w:tc>
          <w:tcPr>
            <w:tcW w:w="1238"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生产经营单位：责令限期改正，处十万元的罚款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2" w:hRule="atLeast"/>
          <w:jc w:val="center"/>
        </w:trPr>
        <w:tc>
          <w:tcPr>
            <w:tcW w:w="323" w:type="pct"/>
            <w:vMerge w:val="continue"/>
            <w:vAlign w:val="center"/>
          </w:tcPr>
          <w:p>
            <w:pPr>
              <w:rPr>
                <w:rFonts w:hint="eastAsia" w:ascii="仿宋_GB2312" w:hAnsi="仿宋_GB2312" w:eastAsia="仿宋_GB2312" w:cs="仿宋_GB2312"/>
                <w:bCs/>
                <w:color w:val="000000"/>
              </w:rPr>
            </w:pPr>
          </w:p>
        </w:tc>
        <w:tc>
          <w:tcPr>
            <w:tcW w:w="428" w:type="pct"/>
            <w:vMerge w:val="continue"/>
            <w:vAlign w:val="center"/>
          </w:tcPr>
          <w:p>
            <w:pPr>
              <w:rPr>
                <w:rFonts w:hint="eastAsia" w:ascii="仿宋_GB2312" w:hAnsi="仿宋_GB2312" w:eastAsia="仿宋_GB2312" w:cs="仿宋_GB2312"/>
                <w:bCs/>
                <w:color w:val="000000"/>
              </w:rPr>
            </w:pPr>
          </w:p>
        </w:tc>
        <w:tc>
          <w:tcPr>
            <w:tcW w:w="650" w:type="pct"/>
            <w:vMerge w:val="continue"/>
            <w:vAlign w:val="center"/>
          </w:tcPr>
          <w:p>
            <w:pPr>
              <w:rPr>
                <w:rFonts w:hint="eastAsia" w:ascii="仿宋_GB2312" w:hAnsi="仿宋_GB2312" w:eastAsia="仿宋_GB2312" w:cs="仿宋_GB2312"/>
                <w:bCs/>
                <w:color w:val="000000"/>
              </w:rPr>
            </w:pPr>
          </w:p>
        </w:tc>
        <w:tc>
          <w:tcPr>
            <w:tcW w:w="1002"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557" w:type="pct"/>
            <w:vMerge w:val="continue"/>
            <w:vAlign w:val="center"/>
          </w:tcPr>
          <w:p>
            <w:pPr>
              <w:rPr>
                <w:rFonts w:hint="eastAsia" w:ascii="仿宋_GB2312" w:hAnsi="仿宋_GB2312" w:eastAsia="仿宋_GB2312" w:cs="仿宋_GB2312"/>
                <w:bCs/>
                <w:color w:val="000000"/>
              </w:rPr>
            </w:pPr>
          </w:p>
        </w:tc>
        <w:tc>
          <w:tcPr>
            <w:tcW w:w="1238"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，责令生产经营单位停产停业整顿，并处超过十五万元、</w:t>
            </w:r>
            <w:r>
              <w:rPr>
                <w:rFonts w:hint="eastAsia" w:ascii="仿宋_GB2312" w:hAnsi="仿宋_GB2312" w:eastAsia="仿宋_GB2312" w:cs="仿宋_GB2312"/>
                <w:bCs/>
                <w:color w:val="000000"/>
                <w:szCs w:val="21"/>
              </w:rPr>
              <w:t>二十万元以下</w:t>
            </w:r>
            <w:r>
              <w:rPr>
                <w:rFonts w:hint="eastAsia" w:ascii="仿宋_GB2312" w:hAnsi="仿宋_GB2312" w:eastAsia="仿宋_GB2312" w:cs="仿宋_GB2312"/>
                <w:bCs/>
                <w:color w:val="000000"/>
              </w:rPr>
              <w:t>的罚款，对其直接负责的主管人员和其他直接责任人员处超过三万五千元、</w:t>
            </w:r>
            <w:r>
              <w:rPr>
                <w:rFonts w:hint="eastAsia" w:ascii="仿宋_GB2312" w:hAnsi="仿宋_GB2312" w:eastAsia="仿宋_GB2312" w:cs="仿宋_GB2312"/>
                <w:bCs/>
                <w:color w:val="000000"/>
                <w:szCs w:val="21"/>
              </w:rPr>
              <w:t>五万元以下</w:t>
            </w:r>
            <w:r>
              <w:rPr>
                <w:rFonts w:hint="eastAsia" w:ascii="仿宋_GB2312" w:hAnsi="仿宋_GB2312" w:eastAsia="仿宋_GB2312" w:cs="仿宋_GB2312"/>
                <w:bCs/>
                <w:color w:val="000000"/>
              </w:rPr>
              <w:t>的罚款</w:t>
            </w:r>
          </w:p>
        </w:tc>
      </w:tr>
    </w:tbl>
    <w:p/>
    <w:p>
      <w:pPr>
        <w:rPr>
          <w:rFonts w:hint="eastAsia" w:cs="宋体" w:asciiTheme="minorEastAsia" w:hAnsiTheme="minorEastAsia"/>
          <w:b/>
          <w:color w:val="000000"/>
          <w:sz w:val="32"/>
          <w:szCs w:val="32"/>
        </w:rPr>
      </w:pPr>
    </w:p>
    <w:p>
      <w:pPr>
        <w:rPr>
          <w:rFonts w:hint="eastAsia" w:cs="宋体" w:asciiTheme="minorEastAsia" w:hAnsiTheme="minorEastAsia"/>
          <w:bCs/>
          <w:color w:val="000000"/>
          <w:sz w:val="32"/>
          <w:szCs w:val="32"/>
        </w:rPr>
      </w:pPr>
      <w:r>
        <w:rPr>
          <w:rFonts w:hint="eastAsia" w:cs="宋体" w:asciiTheme="minorEastAsia" w:hAnsiTheme="minorEastAsia"/>
          <w:bCs/>
          <w:color w:val="000000"/>
          <w:sz w:val="32"/>
          <w:szCs w:val="32"/>
        </w:rPr>
        <w:t>《中华人民共和国安全生产法》</w:t>
      </w:r>
    </w:p>
    <w:tbl>
      <w:tblPr>
        <w:tblStyle w:val="11"/>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8"/>
        <w:gridCol w:w="1232"/>
        <w:gridCol w:w="3951"/>
        <w:gridCol w:w="1468"/>
        <w:gridCol w:w="1195"/>
        <w:gridCol w:w="1194"/>
        <w:gridCol w:w="1217"/>
        <w:gridCol w:w="34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01"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序号</w:t>
            </w:r>
          </w:p>
        </w:tc>
        <w:tc>
          <w:tcPr>
            <w:tcW w:w="423"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1356"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504"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410"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410"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418"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1174"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6" w:hRule="atLeast"/>
          <w:jc w:val="center"/>
        </w:trPr>
        <w:tc>
          <w:tcPr>
            <w:tcW w:w="301" w:type="pct"/>
            <w:vMerge w:val="restart"/>
            <w:vAlign w:val="center"/>
          </w:tcPr>
          <w:p>
            <w:pPr>
              <w:widowControl/>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Cs/>
                <w:color w:val="000000"/>
                <w:kern w:val="0"/>
                <w:szCs w:val="21"/>
                <w:lang w:val="en"/>
              </w:rPr>
              <w:t>101.8</w:t>
            </w:r>
          </w:p>
        </w:tc>
        <w:tc>
          <w:tcPr>
            <w:tcW w:w="423"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rPr>
              <w:t>生产经营单位未按照规定对从业人员、被派遣劳动者、实习学生进行安全生产教育和培训，或者未按照规定如实告知有关的安全生产事项的</w:t>
            </w:r>
          </w:p>
        </w:tc>
        <w:tc>
          <w:tcPr>
            <w:tcW w:w="1356" w:type="pct"/>
            <w:vMerge w:val="restart"/>
            <w:vAlign w:val="center"/>
          </w:tcPr>
          <w:p>
            <w:pPr>
              <w:rPr>
                <w:rFonts w:hint="eastAsia" w:ascii="仿宋_GB2312" w:hAnsi="仿宋_GB2312" w:eastAsia="仿宋_GB2312" w:cs="仿宋_GB2312"/>
                <w:bCs/>
                <w:color w:val="000000"/>
                <w:sz w:val="18"/>
                <w:szCs w:val="20"/>
              </w:rPr>
            </w:pPr>
            <w:r>
              <w:rPr>
                <w:rFonts w:hint="eastAsia" w:ascii="仿宋_GB2312" w:hAnsi="仿宋_GB2312" w:eastAsia="仿宋_GB2312" w:cs="仿宋_GB2312"/>
                <w:bCs/>
                <w:color w:val="000000"/>
                <w:sz w:val="18"/>
                <w:szCs w:val="20"/>
              </w:rPr>
              <w:t>第二十八条第一款至第三款：“生产经营单位应当对从业人员进行安全生产教育和培训，保证从业人员具备必要的安全生产知识，熟悉有关的安全生产规章制度和安全操作规程，掌握本岗位的安全操作技能，了解事故应急处理措施，知悉自身在安全生产方面的权利和义务。未经安全生产教育和培训合格的从业人员，不得上岗作业。</w:t>
            </w:r>
          </w:p>
          <w:p>
            <w:pPr>
              <w:ind w:firstLine="360" w:firstLineChars="200"/>
              <w:rPr>
                <w:rFonts w:hint="eastAsia" w:ascii="仿宋_GB2312" w:hAnsi="仿宋_GB2312" w:eastAsia="仿宋_GB2312" w:cs="仿宋_GB2312"/>
                <w:bCs/>
                <w:color w:val="000000"/>
                <w:sz w:val="18"/>
                <w:szCs w:val="20"/>
              </w:rPr>
            </w:pPr>
            <w:r>
              <w:rPr>
                <w:rFonts w:hint="eastAsia" w:ascii="仿宋_GB2312" w:hAnsi="仿宋_GB2312" w:eastAsia="仿宋_GB2312" w:cs="仿宋_GB2312"/>
                <w:bCs/>
                <w:color w:val="000000"/>
                <w:sz w:val="18"/>
                <w:szCs w:val="20"/>
              </w:rPr>
              <w:t>生产经营单位使用被派遣劳动者的，应当将被派遣劳动者纳入本单位从业人员统一管理，对被派遣劳动者进行岗位安全操作规程和安全操作技能的教育和培训。劳务派遣单位应当对被派遣劳动者进行必要的安全生产教育和培训。</w:t>
            </w:r>
          </w:p>
          <w:p>
            <w:pPr>
              <w:ind w:firstLine="360" w:firstLineChars="200"/>
              <w:rPr>
                <w:rFonts w:hint="eastAsia" w:ascii="仿宋_GB2312" w:hAnsi="仿宋_GB2312" w:eastAsia="仿宋_GB2312" w:cs="仿宋_GB2312"/>
                <w:bCs/>
                <w:color w:val="000000"/>
                <w:sz w:val="18"/>
                <w:szCs w:val="20"/>
              </w:rPr>
            </w:pPr>
            <w:r>
              <w:rPr>
                <w:rFonts w:hint="eastAsia" w:ascii="仿宋_GB2312" w:hAnsi="仿宋_GB2312" w:eastAsia="仿宋_GB2312" w:cs="仿宋_GB2312"/>
                <w:bCs/>
                <w:color w:val="000000"/>
                <w:sz w:val="18"/>
                <w:szCs w:val="20"/>
              </w:rPr>
              <w:t>生产经营单位接受中等职业学校、高等学校学生实习的，应当对实习学生进行相应的安全生产教育和培训，提供必要的劳动防护用品。学校应当协助生产经营单位对实习学生进行安全生产教育和培训。”</w:t>
            </w:r>
          </w:p>
          <w:p>
            <w:pPr>
              <w:rPr>
                <w:rFonts w:hint="eastAsia" w:ascii="仿宋_GB2312" w:hAnsi="仿宋_GB2312" w:eastAsia="仿宋_GB2312" w:cs="仿宋_GB2312"/>
                <w:bCs/>
                <w:color w:val="000000"/>
                <w:sz w:val="18"/>
                <w:szCs w:val="20"/>
              </w:rPr>
            </w:pPr>
          </w:p>
          <w:p>
            <w:pPr>
              <w:rPr>
                <w:rFonts w:hint="eastAsia" w:ascii="仿宋_GB2312" w:hAnsi="仿宋_GB2312" w:eastAsia="仿宋_GB2312" w:cs="仿宋_GB2312"/>
                <w:bCs/>
                <w:color w:val="000000"/>
                <w:sz w:val="18"/>
                <w:szCs w:val="20"/>
              </w:rPr>
            </w:pPr>
            <w:r>
              <w:rPr>
                <w:rFonts w:hint="eastAsia" w:ascii="仿宋_GB2312" w:hAnsi="仿宋_GB2312" w:eastAsia="仿宋_GB2312" w:cs="仿宋_GB2312"/>
                <w:bCs/>
                <w:color w:val="000000"/>
                <w:sz w:val="18"/>
                <w:szCs w:val="20"/>
              </w:rPr>
              <w:t>第二十九条：“生产经营单位采用新工艺、新技术、新材料或者使用新设备，必须了解、掌握其安全技术特性，采取有效的安全防护措施，并对从业人员进行专门的安全生产教育和培训。”</w:t>
            </w:r>
          </w:p>
          <w:p>
            <w:pPr>
              <w:rPr>
                <w:rFonts w:hint="eastAsia" w:ascii="仿宋_GB2312" w:hAnsi="仿宋_GB2312" w:eastAsia="仿宋_GB2312" w:cs="仿宋_GB2312"/>
                <w:bCs/>
                <w:color w:val="000000"/>
                <w:sz w:val="18"/>
                <w:szCs w:val="20"/>
              </w:rPr>
            </w:pPr>
          </w:p>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sz w:val="18"/>
                <w:szCs w:val="20"/>
              </w:rPr>
              <w:t>第四十四条第一款：“生产经营单位应当教育和督促从业人员严格执行本单位的安全生产规章制度和安全操作规程；并向从业人员如实告知作业场所和工作岗位存在的危险因素、防范措施以及事故应急措施。”</w:t>
            </w:r>
          </w:p>
        </w:tc>
        <w:tc>
          <w:tcPr>
            <w:tcW w:w="504" w:type="pct"/>
            <w:vMerge w:val="restart"/>
            <w:vAlign w:val="center"/>
          </w:tcPr>
          <w:p>
            <w:pPr>
              <w:widowControl/>
              <w:rPr>
                <w:rFonts w:hint="eastAsia" w:ascii="仿宋_GB2312" w:hAnsi="仿宋_GB2312" w:eastAsia="仿宋_GB2312" w:cs="仿宋_GB2312"/>
                <w:bCs/>
                <w:color w:val="000000"/>
              </w:rPr>
            </w:pPr>
            <w:r>
              <w:rPr>
                <w:rFonts w:hint="eastAsia" w:ascii="仿宋_GB2312" w:hAnsi="仿宋_GB2312" w:eastAsia="仿宋_GB2312" w:cs="仿宋_GB2312"/>
                <w:bCs/>
                <w:color w:val="000000"/>
                <w:sz w:val="18"/>
                <w:szCs w:val="18"/>
              </w:rPr>
              <w:t>第九十七条第（三）项：“生产经营单位有下列行为之一的，责令限期改正，处十万元以下的罚款；逾期未改正的，责令停产停业整顿，并处十万元以上二十万元以下的罚款，对其直接负责的主管人员和其他直接责任人员处二万元以上五万元以下的罚款：（三）未按照规定对从业人员、被派遣劳动者、实习学生进行安全生产教育和培训，或者未按照规定如实告知有关的安全生产事项的。”</w:t>
            </w:r>
          </w:p>
        </w:tc>
        <w:tc>
          <w:tcPr>
            <w:tcW w:w="410" w:type="pct"/>
            <w:vMerge w:val="restart"/>
            <w:vAlign w:val="center"/>
          </w:tcPr>
          <w:p>
            <w:pPr>
              <w:jc w:val="left"/>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罚款；责令停产停业</w:t>
            </w:r>
          </w:p>
        </w:tc>
        <w:tc>
          <w:tcPr>
            <w:tcW w:w="410"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从轻</w:t>
            </w:r>
          </w:p>
        </w:tc>
        <w:tc>
          <w:tcPr>
            <w:tcW w:w="418" w:type="pct"/>
            <w:vMerge w:val="restar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rPr>
              <w:t>未造成危害后果或造成轻微危害后果的</w:t>
            </w:r>
          </w:p>
        </w:tc>
        <w:tc>
          <w:tcPr>
            <w:tcW w:w="1174"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rPr>
              <w:t>生产经营单位：</w:t>
            </w:r>
            <w:r>
              <w:rPr>
                <w:rFonts w:hint="eastAsia" w:ascii="仿宋_GB2312" w:hAnsi="仿宋_GB2312" w:eastAsia="仿宋_GB2312" w:cs="仿宋_GB2312"/>
                <w:bCs/>
                <w:color w:val="000000"/>
                <w:szCs w:val="21"/>
              </w:rPr>
              <w:t>责令限期改正，</w:t>
            </w:r>
            <w:r>
              <w:rPr>
                <w:rFonts w:hint="eastAsia" w:ascii="仿宋_GB2312" w:hAnsi="仿宋_GB2312" w:eastAsia="仿宋_GB2312" w:cs="仿宋_GB2312"/>
                <w:bCs/>
                <w:color w:val="000000"/>
              </w:rPr>
              <w:t>处二万元的罚款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74" w:hRule="atLeast"/>
          <w:jc w:val="center"/>
        </w:trPr>
        <w:tc>
          <w:tcPr>
            <w:tcW w:w="301" w:type="pct"/>
            <w:vMerge w:val="continue"/>
            <w:vAlign w:val="center"/>
          </w:tcPr>
          <w:p>
            <w:pPr>
              <w:widowControl/>
              <w:jc w:val="center"/>
              <w:rPr>
                <w:rFonts w:hint="eastAsia" w:ascii="仿宋_GB2312" w:hAnsi="仿宋_GB2312" w:eastAsia="仿宋_GB2312" w:cs="仿宋_GB2312"/>
                <w:bCs/>
                <w:color w:val="000000"/>
                <w:kern w:val="0"/>
                <w:szCs w:val="21"/>
                <w:lang w:val="en"/>
              </w:rPr>
            </w:pPr>
          </w:p>
        </w:tc>
        <w:tc>
          <w:tcPr>
            <w:tcW w:w="423" w:type="pct"/>
            <w:vMerge w:val="continue"/>
            <w:vAlign w:val="center"/>
          </w:tcPr>
          <w:p>
            <w:pPr>
              <w:rPr>
                <w:rFonts w:hint="eastAsia" w:ascii="仿宋_GB2312" w:hAnsi="仿宋_GB2312" w:eastAsia="仿宋_GB2312" w:cs="仿宋_GB2312"/>
                <w:bCs/>
                <w:color w:val="000000"/>
              </w:rPr>
            </w:pPr>
          </w:p>
        </w:tc>
        <w:tc>
          <w:tcPr>
            <w:tcW w:w="1356" w:type="pct"/>
            <w:vMerge w:val="continue"/>
            <w:vAlign w:val="center"/>
          </w:tcPr>
          <w:p>
            <w:pPr>
              <w:rPr>
                <w:rFonts w:hint="eastAsia" w:ascii="仿宋_GB2312" w:hAnsi="仿宋_GB2312" w:eastAsia="仿宋_GB2312" w:cs="仿宋_GB2312"/>
                <w:bCs/>
                <w:color w:val="000000"/>
                <w:sz w:val="18"/>
                <w:szCs w:val="20"/>
              </w:rPr>
            </w:pPr>
          </w:p>
        </w:tc>
        <w:tc>
          <w:tcPr>
            <w:tcW w:w="504" w:type="pct"/>
            <w:vMerge w:val="continue"/>
            <w:vAlign w:val="center"/>
          </w:tcPr>
          <w:p>
            <w:pPr>
              <w:widowControl/>
              <w:rPr>
                <w:rFonts w:hint="eastAsia" w:ascii="仿宋_GB2312" w:hAnsi="仿宋_GB2312" w:eastAsia="仿宋_GB2312" w:cs="仿宋_GB2312"/>
                <w:bCs/>
                <w:color w:val="000000"/>
                <w:sz w:val="18"/>
                <w:szCs w:val="18"/>
              </w:rPr>
            </w:pPr>
          </w:p>
        </w:tc>
        <w:tc>
          <w:tcPr>
            <w:tcW w:w="410" w:type="pct"/>
            <w:vMerge w:val="continue"/>
            <w:vAlign w:val="center"/>
          </w:tcPr>
          <w:p>
            <w:pPr>
              <w:jc w:val="left"/>
              <w:rPr>
                <w:rFonts w:hint="eastAsia" w:ascii="仿宋_GB2312" w:hAnsi="仿宋_GB2312" w:eastAsia="仿宋_GB2312" w:cs="仿宋_GB2312"/>
                <w:bCs/>
                <w:color w:val="000000"/>
              </w:rPr>
            </w:pPr>
          </w:p>
        </w:tc>
        <w:tc>
          <w:tcPr>
            <w:tcW w:w="410" w:type="pct"/>
            <w:vMerge w:val="continue"/>
            <w:vAlign w:val="center"/>
          </w:tcPr>
          <w:p>
            <w:pPr>
              <w:jc w:val="center"/>
              <w:rPr>
                <w:rFonts w:hint="eastAsia" w:ascii="仿宋_GB2312" w:hAnsi="仿宋_GB2312" w:eastAsia="仿宋_GB2312" w:cs="仿宋_GB2312"/>
                <w:bCs/>
                <w:color w:val="000000"/>
                <w:lang w:bidi="ar"/>
              </w:rPr>
            </w:pPr>
          </w:p>
        </w:tc>
        <w:tc>
          <w:tcPr>
            <w:tcW w:w="418" w:type="pct"/>
            <w:vMerge w:val="continue"/>
            <w:vAlign w:val="center"/>
          </w:tcPr>
          <w:p>
            <w:pPr>
              <w:rPr>
                <w:rFonts w:hint="eastAsia" w:ascii="仿宋_GB2312" w:hAnsi="仿宋_GB2312" w:eastAsia="仿宋_GB2312" w:cs="仿宋_GB2312"/>
                <w:b/>
                <w:color w:val="000000"/>
                <w:kern w:val="0"/>
                <w:szCs w:val="21"/>
              </w:rPr>
            </w:pPr>
          </w:p>
        </w:tc>
        <w:tc>
          <w:tcPr>
            <w:tcW w:w="1174"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，责令生产经营单位停产停业整顿，并处十万元以上、低于十五万元的罚款，对其直接负责的主管人员和其他直接责任人员处二万元以上、低于三万五千元的罚款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6" w:hRule="atLeast"/>
          <w:jc w:val="center"/>
        </w:trPr>
        <w:tc>
          <w:tcPr>
            <w:tcW w:w="301" w:type="pct"/>
            <w:vMerge w:val="continue"/>
            <w:vAlign w:val="center"/>
          </w:tcPr>
          <w:p>
            <w:pPr>
              <w:rPr>
                <w:rFonts w:hint="eastAsia" w:ascii="仿宋_GB2312" w:hAnsi="仿宋_GB2312" w:eastAsia="仿宋_GB2312" w:cs="仿宋_GB2312"/>
                <w:bCs/>
                <w:color w:val="000000"/>
              </w:rPr>
            </w:pPr>
          </w:p>
        </w:tc>
        <w:tc>
          <w:tcPr>
            <w:tcW w:w="423" w:type="pct"/>
            <w:vMerge w:val="continue"/>
            <w:vAlign w:val="center"/>
          </w:tcPr>
          <w:p>
            <w:pPr>
              <w:rPr>
                <w:rFonts w:hint="eastAsia" w:ascii="仿宋_GB2312" w:hAnsi="仿宋_GB2312" w:eastAsia="仿宋_GB2312" w:cs="仿宋_GB2312"/>
                <w:bCs/>
                <w:color w:val="000000"/>
              </w:rPr>
            </w:pPr>
          </w:p>
        </w:tc>
        <w:tc>
          <w:tcPr>
            <w:tcW w:w="1356" w:type="pct"/>
            <w:vMerge w:val="continue"/>
            <w:vAlign w:val="center"/>
          </w:tcPr>
          <w:p>
            <w:pPr>
              <w:rPr>
                <w:rFonts w:hint="eastAsia" w:ascii="仿宋_GB2312" w:hAnsi="仿宋_GB2312" w:eastAsia="仿宋_GB2312" w:cs="仿宋_GB2312"/>
                <w:bCs/>
                <w:color w:val="000000"/>
              </w:rPr>
            </w:pPr>
          </w:p>
        </w:tc>
        <w:tc>
          <w:tcPr>
            <w:tcW w:w="504"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410" w:type="pct"/>
            <w:vMerge w:val="continue"/>
            <w:vAlign w:val="center"/>
          </w:tcPr>
          <w:p>
            <w:pPr>
              <w:jc w:val="center"/>
              <w:rPr>
                <w:rFonts w:hint="eastAsia" w:ascii="仿宋_GB2312" w:hAnsi="仿宋_GB2312" w:eastAsia="仿宋_GB2312" w:cs="仿宋_GB2312"/>
                <w:bCs/>
                <w:color w:val="000000"/>
              </w:rPr>
            </w:pPr>
          </w:p>
        </w:tc>
        <w:tc>
          <w:tcPr>
            <w:tcW w:w="410"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一般</w:t>
            </w:r>
          </w:p>
        </w:tc>
        <w:tc>
          <w:tcPr>
            <w:tcW w:w="418"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kern w:val="0"/>
                <w:szCs w:val="21"/>
              </w:rPr>
              <w:t>造成一般危害后果的</w:t>
            </w:r>
          </w:p>
        </w:tc>
        <w:tc>
          <w:tcPr>
            <w:tcW w:w="1174"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生产经营单位：责令限期改正，处五万元的罚款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1" w:hRule="atLeast"/>
          <w:jc w:val="center"/>
        </w:trPr>
        <w:tc>
          <w:tcPr>
            <w:tcW w:w="301" w:type="pct"/>
            <w:vMerge w:val="continue"/>
            <w:vAlign w:val="center"/>
          </w:tcPr>
          <w:p>
            <w:pPr>
              <w:rPr>
                <w:rFonts w:hint="eastAsia" w:ascii="仿宋_GB2312" w:hAnsi="仿宋_GB2312" w:eastAsia="仿宋_GB2312" w:cs="仿宋_GB2312"/>
                <w:bCs/>
                <w:color w:val="000000"/>
              </w:rPr>
            </w:pPr>
          </w:p>
        </w:tc>
        <w:tc>
          <w:tcPr>
            <w:tcW w:w="423" w:type="pct"/>
            <w:vMerge w:val="continue"/>
            <w:vAlign w:val="center"/>
          </w:tcPr>
          <w:p>
            <w:pPr>
              <w:rPr>
                <w:rFonts w:hint="eastAsia" w:ascii="仿宋_GB2312" w:hAnsi="仿宋_GB2312" w:eastAsia="仿宋_GB2312" w:cs="仿宋_GB2312"/>
                <w:bCs/>
                <w:color w:val="000000"/>
              </w:rPr>
            </w:pPr>
          </w:p>
        </w:tc>
        <w:tc>
          <w:tcPr>
            <w:tcW w:w="1356" w:type="pct"/>
            <w:vMerge w:val="continue"/>
            <w:vAlign w:val="center"/>
          </w:tcPr>
          <w:p>
            <w:pPr>
              <w:rPr>
                <w:rFonts w:hint="eastAsia" w:ascii="仿宋_GB2312" w:hAnsi="仿宋_GB2312" w:eastAsia="仿宋_GB2312" w:cs="仿宋_GB2312"/>
                <w:bCs/>
                <w:color w:val="000000"/>
              </w:rPr>
            </w:pPr>
          </w:p>
        </w:tc>
        <w:tc>
          <w:tcPr>
            <w:tcW w:w="504"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410" w:type="pct"/>
            <w:vMerge w:val="continue"/>
            <w:vAlign w:val="center"/>
          </w:tcPr>
          <w:p>
            <w:pPr>
              <w:jc w:val="center"/>
              <w:rPr>
                <w:rFonts w:hint="eastAsia" w:ascii="仿宋_GB2312" w:hAnsi="仿宋_GB2312" w:eastAsia="仿宋_GB2312" w:cs="仿宋_GB2312"/>
                <w:bCs/>
                <w:color w:val="000000"/>
              </w:rPr>
            </w:pPr>
          </w:p>
        </w:tc>
        <w:tc>
          <w:tcPr>
            <w:tcW w:w="410" w:type="pct"/>
            <w:vMerge w:val="continue"/>
            <w:vAlign w:val="center"/>
          </w:tcPr>
          <w:p>
            <w:pPr>
              <w:jc w:val="center"/>
              <w:rPr>
                <w:rFonts w:hint="eastAsia" w:ascii="仿宋_GB2312" w:hAnsi="仿宋_GB2312" w:eastAsia="仿宋_GB2312" w:cs="仿宋_GB2312"/>
                <w:bCs/>
                <w:color w:val="000000"/>
                <w:lang w:bidi="ar"/>
              </w:rPr>
            </w:pPr>
          </w:p>
        </w:tc>
        <w:tc>
          <w:tcPr>
            <w:tcW w:w="418" w:type="pct"/>
            <w:vMerge w:val="continue"/>
            <w:vAlign w:val="center"/>
          </w:tcPr>
          <w:p>
            <w:pPr>
              <w:rPr>
                <w:rFonts w:hint="eastAsia" w:ascii="仿宋_GB2312" w:hAnsi="仿宋_GB2312" w:eastAsia="仿宋_GB2312" w:cs="仿宋_GB2312"/>
                <w:b/>
                <w:color w:val="000000"/>
                <w:kern w:val="0"/>
                <w:szCs w:val="21"/>
                <w:lang w:bidi="ar"/>
              </w:rPr>
            </w:pPr>
          </w:p>
        </w:tc>
        <w:tc>
          <w:tcPr>
            <w:tcW w:w="1174"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，责令生产经营单位停产停业整顿，并处十五万元的罚款，对其直接负责的主管人员和其他直接责任人员处三万五千元的罚款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4" w:hRule="atLeast"/>
          <w:jc w:val="center"/>
        </w:trPr>
        <w:tc>
          <w:tcPr>
            <w:tcW w:w="301" w:type="pct"/>
            <w:vMerge w:val="continue"/>
            <w:vAlign w:val="center"/>
          </w:tcPr>
          <w:p>
            <w:pPr>
              <w:rPr>
                <w:rFonts w:hint="eastAsia" w:ascii="仿宋_GB2312" w:hAnsi="仿宋_GB2312" w:eastAsia="仿宋_GB2312" w:cs="仿宋_GB2312"/>
                <w:bCs/>
                <w:color w:val="000000"/>
              </w:rPr>
            </w:pPr>
          </w:p>
        </w:tc>
        <w:tc>
          <w:tcPr>
            <w:tcW w:w="423" w:type="pct"/>
            <w:vMerge w:val="continue"/>
            <w:vAlign w:val="center"/>
          </w:tcPr>
          <w:p>
            <w:pPr>
              <w:rPr>
                <w:rFonts w:hint="eastAsia" w:ascii="仿宋_GB2312" w:hAnsi="仿宋_GB2312" w:eastAsia="仿宋_GB2312" w:cs="仿宋_GB2312"/>
                <w:bCs/>
                <w:color w:val="000000"/>
              </w:rPr>
            </w:pPr>
          </w:p>
        </w:tc>
        <w:tc>
          <w:tcPr>
            <w:tcW w:w="1356" w:type="pct"/>
            <w:vMerge w:val="continue"/>
            <w:vAlign w:val="center"/>
          </w:tcPr>
          <w:p>
            <w:pPr>
              <w:rPr>
                <w:rFonts w:hint="eastAsia" w:ascii="仿宋_GB2312" w:hAnsi="仿宋_GB2312" w:eastAsia="仿宋_GB2312" w:cs="仿宋_GB2312"/>
                <w:bCs/>
                <w:color w:val="000000"/>
              </w:rPr>
            </w:pPr>
          </w:p>
        </w:tc>
        <w:tc>
          <w:tcPr>
            <w:tcW w:w="504"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410" w:type="pct"/>
            <w:vMerge w:val="continue"/>
            <w:vAlign w:val="center"/>
          </w:tcPr>
          <w:p>
            <w:pPr>
              <w:jc w:val="center"/>
              <w:rPr>
                <w:rFonts w:hint="eastAsia" w:ascii="仿宋_GB2312" w:hAnsi="仿宋_GB2312" w:eastAsia="仿宋_GB2312" w:cs="仿宋_GB2312"/>
                <w:bCs/>
                <w:color w:val="000000"/>
              </w:rPr>
            </w:pPr>
          </w:p>
        </w:tc>
        <w:tc>
          <w:tcPr>
            <w:tcW w:w="410"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从重</w:t>
            </w:r>
          </w:p>
        </w:tc>
        <w:tc>
          <w:tcPr>
            <w:tcW w:w="418"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kern w:val="0"/>
                <w:szCs w:val="21"/>
              </w:rPr>
              <w:t>造成生产安全事故的，或造成其他严重后果的</w:t>
            </w:r>
          </w:p>
        </w:tc>
        <w:tc>
          <w:tcPr>
            <w:tcW w:w="1174"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生产经营单位：责令限期改正，处十万元的罚款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75" w:hRule="atLeast"/>
          <w:jc w:val="center"/>
        </w:trPr>
        <w:tc>
          <w:tcPr>
            <w:tcW w:w="301" w:type="pct"/>
            <w:vMerge w:val="continue"/>
            <w:vAlign w:val="center"/>
          </w:tcPr>
          <w:p>
            <w:pPr>
              <w:rPr>
                <w:rFonts w:hint="eastAsia" w:ascii="仿宋_GB2312" w:hAnsi="仿宋_GB2312" w:eastAsia="仿宋_GB2312" w:cs="仿宋_GB2312"/>
                <w:bCs/>
                <w:color w:val="000000"/>
              </w:rPr>
            </w:pPr>
          </w:p>
        </w:tc>
        <w:tc>
          <w:tcPr>
            <w:tcW w:w="423" w:type="pct"/>
            <w:vMerge w:val="continue"/>
            <w:vAlign w:val="center"/>
          </w:tcPr>
          <w:p>
            <w:pPr>
              <w:rPr>
                <w:rFonts w:hint="eastAsia" w:ascii="仿宋_GB2312" w:hAnsi="仿宋_GB2312" w:eastAsia="仿宋_GB2312" w:cs="仿宋_GB2312"/>
                <w:bCs/>
                <w:color w:val="000000"/>
              </w:rPr>
            </w:pPr>
          </w:p>
        </w:tc>
        <w:tc>
          <w:tcPr>
            <w:tcW w:w="1356" w:type="pct"/>
            <w:vMerge w:val="continue"/>
            <w:vAlign w:val="center"/>
          </w:tcPr>
          <w:p>
            <w:pPr>
              <w:rPr>
                <w:rFonts w:hint="eastAsia" w:ascii="仿宋_GB2312" w:hAnsi="仿宋_GB2312" w:eastAsia="仿宋_GB2312" w:cs="仿宋_GB2312"/>
                <w:bCs/>
                <w:color w:val="000000"/>
              </w:rPr>
            </w:pPr>
          </w:p>
        </w:tc>
        <w:tc>
          <w:tcPr>
            <w:tcW w:w="504"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410" w:type="pct"/>
            <w:vMerge w:val="continue"/>
            <w:vAlign w:val="center"/>
          </w:tcPr>
          <w:p>
            <w:pPr>
              <w:jc w:val="center"/>
              <w:rPr>
                <w:rFonts w:hint="eastAsia" w:ascii="仿宋_GB2312" w:hAnsi="仿宋_GB2312" w:eastAsia="仿宋_GB2312" w:cs="仿宋_GB2312"/>
                <w:bCs/>
                <w:color w:val="000000"/>
              </w:rPr>
            </w:pPr>
          </w:p>
        </w:tc>
        <w:tc>
          <w:tcPr>
            <w:tcW w:w="410" w:type="pct"/>
            <w:vMerge w:val="continue"/>
            <w:vAlign w:val="center"/>
          </w:tcPr>
          <w:p>
            <w:pPr>
              <w:jc w:val="center"/>
              <w:rPr>
                <w:rFonts w:hint="eastAsia" w:ascii="仿宋_GB2312" w:hAnsi="仿宋_GB2312" w:eastAsia="仿宋_GB2312" w:cs="仿宋_GB2312"/>
                <w:bCs/>
                <w:color w:val="000000"/>
                <w:lang w:bidi="ar"/>
              </w:rPr>
            </w:pPr>
          </w:p>
        </w:tc>
        <w:tc>
          <w:tcPr>
            <w:tcW w:w="418" w:type="pct"/>
            <w:vMerge w:val="continue"/>
            <w:vAlign w:val="center"/>
          </w:tcPr>
          <w:p>
            <w:pPr>
              <w:rPr>
                <w:rFonts w:hint="eastAsia" w:ascii="仿宋_GB2312" w:hAnsi="仿宋_GB2312" w:eastAsia="仿宋_GB2312" w:cs="仿宋_GB2312"/>
                <w:b/>
                <w:color w:val="000000"/>
                <w:lang w:bidi="ar"/>
              </w:rPr>
            </w:pPr>
          </w:p>
        </w:tc>
        <w:tc>
          <w:tcPr>
            <w:tcW w:w="1174"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，责令生产经营单位停产停业整顿，并处超过十五万元、</w:t>
            </w:r>
            <w:r>
              <w:rPr>
                <w:rFonts w:hint="eastAsia" w:ascii="仿宋_GB2312" w:hAnsi="仿宋_GB2312" w:eastAsia="仿宋_GB2312" w:cs="仿宋_GB2312"/>
                <w:bCs/>
                <w:color w:val="000000"/>
                <w:szCs w:val="21"/>
              </w:rPr>
              <w:t>二十万元以下</w:t>
            </w:r>
            <w:r>
              <w:rPr>
                <w:rFonts w:hint="eastAsia" w:ascii="仿宋_GB2312" w:hAnsi="仿宋_GB2312" w:eastAsia="仿宋_GB2312" w:cs="仿宋_GB2312"/>
                <w:bCs/>
                <w:color w:val="000000"/>
              </w:rPr>
              <w:t>的罚款，对其直接负责的主管人员和其他直接责任人员处超过三万五千元、</w:t>
            </w:r>
            <w:r>
              <w:rPr>
                <w:rFonts w:hint="eastAsia" w:ascii="仿宋_GB2312" w:hAnsi="仿宋_GB2312" w:eastAsia="仿宋_GB2312" w:cs="仿宋_GB2312"/>
                <w:bCs/>
                <w:color w:val="000000"/>
                <w:szCs w:val="21"/>
              </w:rPr>
              <w:t>五万元以下</w:t>
            </w:r>
            <w:r>
              <w:rPr>
                <w:rFonts w:hint="eastAsia" w:ascii="仿宋_GB2312" w:hAnsi="仿宋_GB2312" w:eastAsia="仿宋_GB2312" w:cs="仿宋_GB2312"/>
                <w:bCs/>
                <w:color w:val="000000"/>
              </w:rPr>
              <w:t>的罚款</w:t>
            </w:r>
          </w:p>
        </w:tc>
      </w:tr>
    </w:tbl>
    <w:p/>
    <w:p>
      <w:pPr>
        <w:rPr>
          <w:rFonts w:hint="eastAsia" w:cs="宋体" w:asciiTheme="minorEastAsia" w:hAnsiTheme="minorEastAsia"/>
          <w:bCs/>
          <w:color w:val="000000"/>
          <w:sz w:val="32"/>
          <w:szCs w:val="32"/>
        </w:rPr>
      </w:pPr>
    </w:p>
    <w:p>
      <w:pPr>
        <w:rPr>
          <w:rFonts w:hint="eastAsia" w:cs="宋体" w:asciiTheme="minorEastAsia" w:hAnsiTheme="minorEastAsia"/>
          <w:bCs/>
          <w:color w:val="000000"/>
          <w:sz w:val="32"/>
          <w:szCs w:val="32"/>
        </w:rPr>
      </w:pPr>
      <w:r>
        <w:rPr>
          <w:rFonts w:hint="eastAsia" w:cs="宋体" w:asciiTheme="minorEastAsia" w:hAnsiTheme="minorEastAsia"/>
          <w:bCs/>
          <w:color w:val="000000"/>
          <w:sz w:val="32"/>
          <w:szCs w:val="32"/>
        </w:rPr>
        <w:t>《中华人民共和国安全生产法》</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8"/>
        <w:gridCol w:w="1314"/>
        <w:gridCol w:w="1308"/>
        <w:gridCol w:w="1762"/>
        <w:gridCol w:w="1168"/>
        <w:gridCol w:w="1064"/>
        <w:gridCol w:w="2407"/>
        <w:gridCol w:w="46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01"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序号</w:t>
            </w:r>
          </w:p>
        </w:tc>
        <w:tc>
          <w:tcPr>
            <w:tcW w:w="451"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449"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605"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401"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365"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826"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1599"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301" w:type="pct"/>
            <w:vMerge w:val="restart"/>
            <w:vAlign w:val="center"/>
          </w:tcPr>
          <w:p>
            <w:pPr>
              <w:widowControl/>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Cs/>
                <w:color w:val="000000"/>
                <w:kern w:val="0"/>
                <w:szCs w:val="21"/>
                <w:lang w:val="en"/>
              </w:rPr>
              <w:t>101.9</w:t>
            </w:r>
          </w:p>
        </w:tc>
        <w:tc>
          <w:tcPr>
            <w:tcW w:w="451"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rPr>
              <w:t>生产经营单位未如实记录安全生产教育和培训情况的</w:t>
            </w:r>
          </w:p>
        </w:tc>
        <w:tc>
          <w:tcPr>
            <w:tcW w:w="449"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第二十八条第四款：“生产经营单位应当建立安全生产教育和培训档案，如实记录安全生产教育和培训的时间、内容、参加人员及考核结果等情况。”</w:t>
            </w:r>
          </w:p>
        </w:tc>
        <w:tc>
          <w:tcPr>
            <w:tcW w:w="605" w:type="pct"/>
            <w:vMerge w:val="restart"/>
            <w:vAlign w:val="center"/>
          </w:tcPr>
          <w:p>
            <w:pPr>
              <w:widowControl/>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第九十七条第（四）项：“生产经营单位有下列行为之一的，责令限期改正，处十万元以下的罚款；逾期未改正的，责令停产停业整顿，并处十万元以上二十万元以下的罚款，对其直接负责的主管人员和其他直接责任人员处二万元以上五万元以下的罚款：（四）未如实记录安全生产教育和培训情况的。”</w:t>
            </w:r>
          </w:p>
        </w:tc>
        <w:tc>
          <w:tcPr>
            <w:tcW w:w="401" w:type="pct"/>
            <w:vMerge w:val="restart"/>
            <w:vAlign w:val="center"/>
          </w:tcPr>
          <w:p>
            <w:pPr>
              <w:jc w:val="left"/>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罚款；责令停产停业</w:t>
            </w:r>
          </w:p>
        </w:tc>
        <w:tc>
          <w:tcPr>
            <w:tcW w:w="365"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从轻</w:t>
            </w:r>
          </w:p>
        </w:tc>
        <w:tc>
          <w:tcPr>
            <w:tcW w:w="826" w:type="pct"/>
            <w:vMerge w:val="restar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rPr>
              <w:t>未造成危害后果或造成轻微危害后果的</w:t>
            </w:r>
          </w:p>
        </w:tc>
        <w:tc>
          <w:tcPr>
            <w:tcW w:w="1599"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rPr>
              <w:t>生产经营单位：</w:t>
            </w:r>
            <w:r>
              <w:rPr>
                <w:rFonts w:hint="eastAsia" w:ascii="仿宋_GB2312" w:hAnsi="仿宋_GB2312" w:eastAsia="仿宋_GB2312" w:cs="仿宋_GB2312"/>
                <w:bCs/>
                <w:color w:val="000000"/>
                <w:szCs w:val="21"/>
              </w:rPr>
              <w:t>责令限期改正，</w:t>
            </w:r>
            <w:r>
              <w:rPr>
                <w:rFonts w:hint="eastAsia" w:ascii="仿宋_GB2312" w:hAnsi="仿宋_GB2312" w:eastAsia="仿宋_GB2312" w:cs="仿宋_GB2312"/>
                <w:bCs/>
                <w:color w:val="000000"/>
              </w:rPr>
              <w:t>处二万元的罚款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301" w:type="pct"/>
            <w:vMerge w:val="continue"/>
            <w:vAlign w:val="center"/>
          </w:tcPr>
          <w:p>
            <w:pPr>
              <w:widowControl/>
              <w:jc w:val="center"/>
              <w:rPr>
                <w:rFonts w:hint="eastAsia" w:ascii="仿宋_GB2312" w:hAnsi="仿宋_GB2312" w:eastAsia="仿宋_GB2312" w:cs="仿宋_GB2312"/>
                <w:bCs/>
                <w:color w:val="000000"/>
                <w:kern w:val="0"/>
                <w:szCs w:val="21"/>
                <w:lang w:val="en"/>
              </w:rPr>
            </w:pPr>
          </w:p>
        </w:tc>
        <w:tc>
          <w:tcPr>
            <w:tcW w:w="451" w:type="pct"/>
            <w:vMerge w:val="continue"/>
            <w:vAlign w:val="center"/>
          </w:tcPr>
          <w:p>
            <w:pPr>
              <w:rPr>
                <w:rFonts w:hint="eastAsia" w:ascii="仿宋_GB2312" w:hAnsi="仿宋_GB2312" w:eastAsia="仿宋_GB2312" w:cs="仿宋_GB2312"/>
                <w:bCs/>
                <w:color w:val="000000"/>
              </w:rPr>
            </w:pPr>
          </w:p>
        </w:tc>
        <w:tc>
          <w:tcPr>
            <w:tcW w:w="449" w:type="pct"/>
            <w:vMerge w:val="continue"/>
            <w:vAlign w:val="center"/>
          </w:tcPr>
          <w:p>
            <w:pPr>
              <w:rPr>
                <w:rFonts w:hint="eastAsia" w:ascii="仿宋_GB2312" w:hAnsi="仿宋_GB2312" w:eastAsia="仿宋_GB2312" w:cs="仿宋_GB2312"/>
                <w:bCs/>
                <w:color w:val="000000"/>
              </w:rPr>
            </w:pPr>
          </w:p>
        </w:tc>
        <w:tc>
          <w:tcPr>
            <w:tcW w:w="605" w:type="pct"/>
            <w:vMerge w:val="continue"/>
            <w:vAlign w:val="center"/>
          </w:tcPr>
          <w:p>
            <w:pPr>
              <w:widowControl/>
              <w:rPr>
                <w:rFonts w:hint="eastAsia" w:ascii="仿宋_GB2312" w:hAnsi="仿宋_GB2312" w:eastAsia="仿宋_GB2312" w:cs="仿宋_GB2312"/>
                <w:bCs/>
                <w:color w:val="000000"/>
              </w:rPr>
            </w:pPr>
          </w:p>
        </w:tc>
        <w:tc>
          <w:tcPr>
            <w:tcW w:w="401" w:type="pct"/>
            <w:vMerge w:val="continue"/>
            <w:vAlign w:val="center"/>
          </w:tcPr>
          <w:p>
            <w:pPr>
              <w:jc w:val="left"/>
              <w:rPr>
                <w:rFonts w:hint="eastAsia" w:ascii="仿宋_GB2312" w:hAnsi="仿宋_GB2312" w:eastAsia="仿宋_GB2312" w:cs="仿宋_GB2312"/>
                <w:bCs/>
                <w:color w:val="000000"/>
              </w:rPr>
            </w:pPr>
          </w:p>
        </w:tc>
        <w:tc>
          <w:tcPr>
            <w:tcW w:w="365" w:type="pct"/>
            <w:vMerge w:val="continue"/>
            <w:vAlign w:val="center"/>
          </w:tcPr>
          <w:p>
            <w:pPr>
              <w:jc w:val="center"/>
              <w:rPr>
                <w:rFonts w:hint="eastAsia" w:ascii="仿宋_GB2312" w:hAnsi="仿宋_GB2312" w:eastAsia="仿宋_GB2312" w:cs="仿宋_GB2312"/>
                <w:bCs/>
                <w:color w:val="000000"/>
              </w:rPr>
            </w:pPr>
          </w:p>
        </w:tc>
        <w:tc>
          <w:tcPr>
            <w:tcW w:w="826" w:type="pct"/>
            <w:vMerge w:val="continue"/>
            <w:vAlign w:val="center"/>
          </w:tcPr>
          <w:p>
            <w:pPr>
              <w:rPr>
                <w:rFonts w:hint="eastAsia" w:ascii="仿宋_GB2312" w:hAnsi="仿宋_GB2312" w:eastAsia="仿宋_GB2312" w:cs="仿宋_GB2312"/>
                <w:b/>
                <w:color w:val="000000"/>
                <w:kern w:val="0"/>
                <w:szCs w:val="21"/>
              </w:rPr>
            </w:pPr>
          </w:p>
        </w:tc>
        <w:tc>
          <w:tcPr>
            <w:tcW w:w="1599"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，责令生产经营单位停产停业整顿，并处十万元以上、低于十五万元的罚款，对其直接负责的主管人员和其他直接责任人员处二万元以上、低于三万五千元的罚款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301" w:type="pct"/>
            <w:vMerge w:val="continue"/>
            <w:vAlign w:val="center"/>
          </w:tcPr>
          <w:p>
            <w:pPr>
              <w:rPr>
                <w:rFonts w:hint="eastAsia" w:ascii="仿宋_GB2312" w:hAnsi="仿宋_GB2312" w:eastAsia="仿宋_GB2312" w:cs="仿宋_GB2312"/>
                <w:bCs/>
                <w:color w:val="000000"/>
              </w:rPr>
            </w:pPr>
          </w:p>
        </w:tc>
        <w:tc>
          <w:tcPr>
            <w:tcW w:w="451" w:type="pct"/>
            <w:vMerge w:val="continue"/>
            <w:vAlign w:val="center"/>
          </w:tcPr>
          <w:p>
            <w:pPr>
              <w:rPr>
                <w:rFonts w:hint="eastAsia" w:ascii="仿宋_GB2312" w:hAnsi="仿宋_GB2312" w:eastAsia="仿宋_GB2312" w:cs="仿宋_GB2312"/>
                <w:bCs/>
                <w:color w:val="000000"/>
              </w:rPr>
            </w:pPr>
          </w:p>
        </w:tc>
        <w:tc>
          <w:tcPr>
            <w:tcW w:w="449" w:type="pct"/>
            <w:vMerge w:val="continue"/>
            <w:vAlign w:val="center"/>
          </w:tcPr>
          <w:p>
            <w:pPr>
              <w:rPr>
                <w:rFonts w:hint="eastAsia" w:ascii="仿宋_GB2312" w:hAnsi="仿宋_GB2312" w:eastAsia="仿宋_GB2312" w:cs="仿宋_GB2312"/>
                <w:bCs/>
                <w:color w:val="000000"/>
              </w:rPr>
            </w:pPr>
          </w:p>
        </w:tc>
        <w:tc>
          <w:tcPr>
            <w:tcW w:w="605"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401" w:type="pct"/>
            <w:vMerge w:val="continue"/>
            <w:vAlign w:val="center"/>
          </w:tcPr>
          <w:p>
            <w:pPr>
              <w:jc w:val="center"/>
              <w:rPr>
                <w:rFonts w:hint="eastAsia" w:ascii="仿宋_GB2312" w:hAnsi="仿宋_GB2312" w:eastAsia="仿宋_GB2312" w:cs="仿宋_GB2312"/>
                <w:bCs/>
                <w:color w:val="000000"/>
              </w:rPr>
            </w:pPr>
          </w:p>
        </w:tc>
        <w:tc>
          <w:tcPr>
            <w:tcW w:w="365"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一般</w:t>
            </w:r>
          </w:p>
        </w:tc>
        <w:tc>
          <w:tcPr>
            <w:tcW w:w="826"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kern w:val="0"/>
                <w:szCs w:val="21"/>
              </w:rPr>
              <w:t>造成一般危害后果的</w:t>
            </w:r>
          </w:p>
        </w:tc>
        <w:tc>
          <w:tcPr>
            <w:tcW w:w="1599"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生产经营单位：责令限期改正，处五万元的罚款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301" w:type="pct"/>
            <w:vMerge w:val="continue"/>
            <w:vAlign w:val="center"/>
          </w:tcPr>
          <w:p>
            <w:pPr>
              <w:rPr>
                <w:rFonts w:hint="eastAsia" w:ascii="仿宋_GB2312" w:hAnsi="仿宋_GB2312" w:eastAsia="仿宋_GB2312" w:cs="仿宋_GB2312"/>
                <w:bCs/>
                <w:color w:val="000000"/>
              </w:rPr>
            </w:pPr>
          </w:p>
        </w:tc>
        <w:tc>
          <w:tcPr>
            <w:tcW w:w="451" w:type="pct"/>
            <w:vMerge w:val="continue"/>
            <w:vAlign w:val="center"/>
          </w:tcPr>
          <w:p>
            <w:pPr>
              <w:rPr>
                <w:rFonts w:hint="eastAsia" w:ascii="仿宋_GB2312" w:hAnsi="仿宋_GB2312" w:eastAsia="仿宋_GB2312" w:cs="仿宋_GB2312"/>
                <w:bCs/>
                <w:color w:val="000000"/>
              </w:rPr>
            </w:pPr>
          </w:p>
        </w:tc>
        <w:tc>
          <w:tcPr>
            <w:tcW w:w="449" w:type="pct"/>
            <w:vMerge w:val="continue"/>
            <w:vAlign w:val="center"/>
          </w:tcPr>
          <w:p>
            <w:pPr>
              <w:rPr>
                <w:rFonts w:hint="eastAsia" w:ascii="仿宋_GB2312" w:hAnsi="仿宋_GB2312" w:eastAsia="仿宋_GB2312" w:cs="仿宋_GB2312"/>
                <w:bCs/>
                <w:color w:val="000000"/>
              </w:rPr>
            </w:pPr>
          </w:p>
        </w:tc>
        <w:tc>
          <w:tcPr>
            <w:tcW w:w="605"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401" w:type="pct"/>
            <w:vMerge w:val="continue"/>
            <w:vAlign w:val="center"/>
          </w:tcPr>
          <w:p>
            <w:pPr>
              <w:jc w:val="center"/>
              <w:rPr>
                <w:rFonts w:hint="eastAsia" w:ascii="仿宋_GB2312" w:hAnsi="仿宋_GB2312" w:eastAsia="仿宋_GB2312" w:cs="仿宋_GB2312"/>
                <w:bCs/>
                <w:color w:val="000000"/>
              </w:rPr>
            </w:pPr>
          </w:p>
        </w:tc>
        <w:tc>
          <w:tcPr>
            <w:tcW w:w="365" w:type="pct"/>
            <w:vMerge w:val="continue"/>
            <w:vAlign w:val="center"/>
          </w:tcPr>
          <w:p>
            <w:pPr>
              <w:jc w:val="center"/>
              <w:rPr>
                <w:rFonts w:hint="eastAsia" w:ascii="仿宋_GB2312" w:hAnsi="仿宋_GB2312" w:eastAsia="仿宋_GB2312" w:cs="仿宋_GB2312"/>
                <w:bCs/>
                <w:color w:val="000000"/>
              </w:rPr>
            </w:pPr>
          </w:p>
        </w:tc>
        <w:tc>
          <w:tcPr>
            <w:tcW w:w="826" w:type="pct"/>
            <w:vMerge w:val="continue"/>
            <w:vAlign w:val="center"/>
          </w:tcPr>
          <w:p>
            <w:pPr>
              <w:rPr>
                <w:rFonts w:hint="eastAsia" w:ascii="仿宋_GB2312" w:hAnsi="仿宋_GB2312" w:eastAsia="仿宋_GB2312" w:cs="仿宋_GB2312"/>
                <w:b/>
                <w:color w:val="000000"/>
                <w:kern w:val="0"/>
                <w:szCs w:val="21"/>
              </w:rPr>
            </w:pPr>
          </w:p>
        </w:tc>
        <w:tc>
          <w:tcPr>
            <w:tcW w:w="1599"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，责令生产经营单位停产停业整顿，并处十五万元的罚款，对其直接负责的主管人员和其他直接责任人员处三万五千元的罚款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301" w:type="pct"/>
            <w:vMerge w:val="continue"/>
            <w:vAlign w:val="center"/>
          </w:tcPr>
          <w:p>
            <w:pPr>
              <w:rPr>
                <w:rFonts w:hint="eastAsia" w:ascii="仿宋_GB2312" w:hAnsi="仿宋_GB2312" w:eastAsia="仿宋_GB2312" w:cs="仿宋_GB2312"/>
                <w:bCs/>
                <w:color w:val="000000"/>
              </w:rPr>
            </w:pPr>
          </w:p>
        </w:tc>
        <w:tc>
          <w:tcPr>
            <w:tcW w:w="451" w:type="pct"/>
            <w:vMerge w:val="continue"/>
            <w:vAlign w:val="center"/>
          </w:tcPr>
          <w:p>
            <w:pPr>
              <w:rPr>
                <w:rFonts w:hint="eastAsia" w:ascii="仿宋_GB2312" w:hAnsi="仿宋_GB2312" w:eastAsia="仿宋_GB2312" w:cs="仿宋_GB2312"/>
                <w:bCs/>
                <w:color w:val="000000"/>
              </w:rPr>
            </w:pPr>
          </w:p>
        </w:tc>
        <w:tc>
          <w:tcPr>
            <w:tcW w:w="449" w:type="pct"/>
            <w:vMerge w:val="continue"/>
            <w:vAlign w:val="center"/>
          </w:tcPr>
          <w:p>
            <w:pPr>
              <w:rPr>
                <w:rFonts w:hint="eastAsia" w:ascii="仿宋_GB2312" w:hAnsi="仿宋_GB2312" w:eastAsia="仿宋_GB2312" w:cs="仿宋_GB2312"/>
                <w:bCs/>
                <w:color w:val="000000"/>
              </w:rPr>
            </w:pPr>
          </w:p>
        </w:tc>
        <w:tc>
          <w:tcPr>
            <w:tcW w:w="605"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401" w:type="pct"/>
            <w:vMerge w:val="continue"/>
            <w:vAlign w:val="center"/>
          </w:tcPr>
          <w:p>
            <w:pPr>
              <w:jc w:val="center"/>
              <w:rPr>
                <w:rFonts w:hint="eastAsia" w:ascii="仿宋_GB2312" w:hAnsi="仿宋_GB2312" w:eastAsia="仿宋_GB2312" w:cs="仿宋_GB2312"/>
                <w:bCs/>
                <w:color w:val="000000"/>
              </w:rPr>
            </w:pPr>
          </w:p>
        </w:tc>
        <w:tc>
          <w:tcPr>
            <w:tcW w:w="365"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从重</w:t>
            </w:r>
          </w:p>
        </w:tc>
        <w:tc>
          <w:tcPr>
            <w:tcW w:w="826"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kern w:val="0"/>
                <w:szCs w:val="21"/>
              </w:rPr>
              <w:t>造成生产安全事故的，或造成其他严重后果的</w:t>
            </w:r>
          </w:p>
        </w:tc>
        <w:tc>
          <w:tcPr>
            <w:tcW w:w="1599"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生产经营单位：责令限期改正，处十万元的罚款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301" w:type="pct"/>
            <w:vMerge w:val="continue"/>
            <w:vAlign w:val="center"/>
          </w:tcPr>
          <w:p>
            <w:pPr>
              <w:rPr>
                <w:rFonts w:hint="eastAsia" w:ascii="仿宋_GB2312" w:hAnsi="仿宋_GB2312" w:eastAsia="仿宋_GB2312" w:cs="仿宋_GB2312"/>
                <w:bCs/>
                <w:color w:val="000000"/>
              </w:rPr>
            </w:pPr>
          </w:p>
        </w:tc>
        <w:tc>
          <w:tcPr>
            <w:tcW w:w="451" w:type="pct"/>
            <w:vMerge w:val="continue"/>
            <w:vAlign w:val="center"/>
          </w:tcPr>
          <w:p>
            <w:pPr>
              <w:rPr>
                <w:rFonts w:hint="eastAsia" w:ascii="仿宋_GB2312" w:hAnsi="仿宋_GB2312" w:eastAsia="仿宋_GB2312" w:cs="仿宋_GB2312"/>
                <w:bCs/>
                <w:color w:val="000000"/>
              </w:rPr>
            </w:pPr>
          </w:p>
        </w:tc>
        <w:tc>
          <w:tcPr>
            <w:tcW w:w="449" w:type="pct"/>
            <w:vMerge w:val="continue"/>
            <w:vAlign w:val="center"/>
          </w:tcPr>
          <w:p>
            <w:pPr>
              <w:rPr>
                <w:rFonts w:hint="eastAsia" w:ascii="仿宋_GB2312" w:hAnsi="仿宋_GB2312" w:eastAsia="仿宋_GB2312" w:cs="仿宋_GB2312"/>
                <w:bCs/>
                <w:color w:val="000000"/>
              </w:rPr>
            </w:pPr>
          </w:p>
        </w:tc>
        <w:tc>
          <w:tcPr>
            <w:tcW w:w="605"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401" w:type="pct"/>
            <w:vMerge w:val="continue"/>
            <w:vAlign w:val="center"/>
          </w:tcPr>
          <w:p>
            <w:pPr>
              <w:jc w:val="center"/>
              <w:rPr>
                <w:rFonts w:hint="eastAsia" w:ascii="仿宋_GB2312" w:hAnsi="仿宋_GB2312" w:eastAsia="仿宋_GB2312" w:cs="仿宋_GB2312"/>
                <w:bCs/>
                <w:color w:val="000000"/>
              </w:rPr>
            </w:pPr>
          </w:p>
        </w:tc>
        <w:tc>
          <w:tcPr>
            <w:tcW w:w="365" w:type="pct"/>
            <w:vMerge w:val="continue"/>
            <w:vAlign w:val="center"/>
          </w:tcPr>
          <w:p>
            <w:pPr>
              <w:jc w:val="center"/>
              <w:rPr>
                <w:rFonts w:hint="eastAsia" w:ascii="仿宋_GB2312" w:hAnsi="仿宋_GB2312" w:eastAsia="仿宋_GB2312" w:cs="仿宋_GB2312"/>
                <w:bCs/>
                <w:color w:val="000000"/>
              </w:rPr>
            </w:pPr>
          </w:p>
        </w:tc>
        <w:tc>
          <w:tcPr>
            <w:tcW w:w="826" w:type="pct"/>
            <w:vMerge w:val="continue"/>
            <w:vAlign w:val="center"/>
          </w:tcPr>
          <w:p>
            <w:pPr>
              <w:rPr>
                <w:rFonts w:hint="eastAsia" w:ascii="仿宋_GB2312" w:hAnsi="仿宋_GB2312" w:eastAsia="仿宋_GB2312" w:cs="仿宋_GB2312"/>
                <w:b/>
                <w:color w:val="000000"/>
                <w:lang w:bidi="ar"/>
              </w:rPr>
            </w:pPr>
          </w:p>
        </w:tc>
        <w:tc>
          <w:tcPr>
            <w:tcW w:w="1599"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，责令生产经营单位停产停业整顿，并处超过十五万元、</w:t>
            </w:r>
            <w:r>
              <w:rPr>
                <w:rFonts w:hint="eastAsia" w:ascii="仿宋_GB2312" w:hAnsi="仿宋_GB2312" w:eastAsia="仿宋_GB2312" w:cs="仿宋_GB2312"/>
                <w:bCs/>
                <w:color w:val="000000"/>
                <w:szCs w:val="21"/>
              </w:rPr>
              <w:t>二十万元以下</w:t>
            </w:r>
            <w:r>
              <w:rPr>
                <w:rFonts w:hint="eastAsia" w:ascii="仿宋_GB2312" w:hAnsi="仿宋_GB2312" w:eastAsia="仿宋_GB2312" w:cs="仿宋_GB2312"/>
                <w:bCs/>
                <w:color w:val="000000"/>
              </w:rPr>
              <w:t>的罚款，对其直接负责的主管人员和其他直接责任人员处超过三万五千元、</w:t>
            </w:r>
            <w:r>
              <w:rPr>
                <w:rFonts w:hint="eastAsia" w:ascii="仿宋_GB2312" w:hAnsi="仿宋_GB2312" w:eastAsia="仿宋_GB2312" w:cs="仿宋_GB2312"/>
                <w:bCs/>
                <w:color w:val="000000"/>
                <w:szCs w:val="21"/>
              </w:rPr>
              <w:t>五万元以下</w:t>
            </w:r>
            <w:r>
              <w:rPr>
                <w:rFonts w:hint="eastAsia" w:ascii="仿宋_GB2312" w:hAnsi="仿宋_GB2312" w:eastAsia="仿宋_GB2312" w:cs="仿宋_GB2312"/>
                <w:bCs/>
                <w:color w:val="000000"/>
              </w:rPr>
              <w:t>的罚款</w:t>
            </w:r>
          </w:p>
        </w:tc>
      </w:tr>
    </w:tbl>
    <w:p/>
    <w:p>
      <w:pPr>
        <w:rPr>
          <w:rFonts w:hint="eastAsia" w:cs="宋体" w:asciiTheme="minorEastAsia" w:hAnsiTheme="minorEastAsia"/>
          <w:bCs/>
          <w:color w:val="000000"/>
          <w:sz w:val="32"/>
          <w:szCs w:val="32"/>
        </w:rPr>
      </w:pPr>
    </w:p>
    <w:p>
      <w:pPr>
        <w:rPr>
          <w:rFonts w:hint="eastAsia" w:cs="宋体" w:asciiTheme="minorEastAsia" w:hAnsiTheme="minorEastAsia"/>
          <w:bCs/>
          <w:color w:val="000000"/>
          <w:sz w:val="32"/>
          <w:szCs w:val="32"/>
        </w:rPr>
      </w:pPr>
    </w:p>
    <w:p>
      <w:pPr>
        <w:rPr>
          <w:rFonts w:hint="eastAsia" w:cs="宋体" w:asciiTheme="minorEastAsia" w:hAnsiTheme="minorEastAsia"/>
          <w:bCs/>
          <w:color w:val="000000"/>
          <w:sz w:val="32"/>
          <w:szCs w:val="32"/>
        </w:rPr>
      </w:pPr>
    </w:p>
    <w:p>
      <w:pPr>
        <w:rPr>
          <w:rFonts w:hint="eastAsia" w:cs="宋体" w:asciiTheme="minorEastAsia" w:hAnsiTheme="minorEastAsia"/>
          <w:bCs/>
          <w:color w:val="000000"/>
          <w:sz w:val="32"/>
          <w:szCs w:val="32"/>
        </w:rPr>
      </w:pPr>
    </w:p>
    <w:p>
      <w:pPr>
        <w:rPr>
          <w:rFonts w:hint="eastAsia" w:cs="宋体" w:asciiTheme="minorEastAsia" w:hAnsiTheme="minorEastAsia"/>
          <w:bCs/>
          <w:color w:val="000000"/>
          <w:sz w:val="32"/>
          <w:szCs w:val="32"/>
        </w:rPr>
      </w:pPr>
    </w:p>
    <w:p>
      <w:pPr>
        <w:rPr>
          <w:rFonts w:hint="eastAsia" w:cs="宋体" w:asciiTheme="minorEastAsia" w:hAnsiTheme="minorEastAsia"/>
          <w:bCs/>
          <w:color w:val="000000"/>
          <w:sz w:val="32"/>
          <w:szCs w:val="32"/>
        </w:rPr>
      </w:pPr>
      <w:r>
        <w:rPr>
          <w:rFonts w:hint="eastAsia" w:cs="宋体" w:asciiTheme="minorEastAsia" w:hAnsiTheme="minorEastAsia"/>
          <w:bCs/>
          <w:color w:val="000000"/>
          <w:sz w:val="32"/>
          <w:szCs w:val="32"/>
        </w:rPr>
        <w:t>《中华人民共和国安全生产法》</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2"/>
        <w:gridCol w:w="1230"/>
        <w:gridCol w:w="2555"/>
        <w:gridCol w:w="2260"/>
        <w:gridCol w:w="1162"/>
        <w:gridCol w:w="1162"/>
        <w:gridCol w:w="2157"/>
        <w:gridCol w:w="30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30"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序号</w:t>
            </w:r>
          </w:p>
        </w:tc>
        <w:tc>
          <w:tcPr>
            <w:tcW w:w="422"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877"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776"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39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39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741"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1055"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jc w:val="center"/>
        </w:trPr>
        <w:tc>
          <w:tcPr>
            <w:tcW w:w="330" w:type="pct"/>
            <w:vMerge w:val="restart"/>
            <w:vAlign w:val="center"/>
          </w:tcPr>
          <w:p>
            <w:pPr>
              <w:widowControl/>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Cs/>
                <w:color w:val="000000"/>
                <w:kern w:val="0"/>
                <w:szCs w:val="21"/>
                <w:lang w:val="en"/>
              </w:rPr>
              <w:t>101.10</w:t>
            </w:r>
          </w:p>
        </w:tc>
        <w:tc>
          <w:tcPr>
            <w:tcW w:w="422"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rPr>
              <w:t>未将事故隐患排查治理情况如实记录或者未向从业人员通报的</w:t>
            </w:r>
          </w:p>
        </w:tc>
        <w:tc>
          <w:tcPr>
            <w:tcW w:w="877"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第四十一条第二款：“生产经营单位应当建立健全生产安全事故隐患排查治理制度，采取技术、管理措施，及时发现并消除事故隐患。</w:t>
            </w:r>
            <w:r>
              <w:rPr>
                <w:rFonts w:hint="eastAsia" w:ascii="仿宋_GB2312" w:hAnsi="仿宋_GB2312" w:eastAsia="仿宋_GB2312" w:cs="仿宋_GB2312"/>
                <w:b/>
                <w:color w:val="000000"/>
              </w:rPr>
              <w:t>事故隐患排查治理情况应当如实记录，并通过职工大会或者职工代表大会、信息公示栏等方式向从业人员通报</w:t>
            </w:r>
            <w:r>
              <w:rPr>
                <w:rFonts w:hint="eastAsia" w:ascii="仿宋_GB2312" w:hAnsi="仿宋_GB2312" w:eastAsia="仿宋_GB2312" w:cs="仿宋_GB2312"/>
                <w:bCs/>
                <w:color w:val="000000"/>
              </w:rPr>
              <w:t>。其中，重大事故隐患排查治理情况应当及时向负有安全生产监督管理职责的部门和职工大会或者职工代表大会报告。”</w:t>
            </w:r>
          </w:p>
        </w:tc>
        <w:tc>
          <w:tcPr>
            <w:tcW w:w="776" w:type="pct"/>
            <w:vMerge w:val="restart"/>
            <w:vAlign w:val="center"/>
          </w:tcPr>
          <w:p>
            <w:pPr>
              <w:widowControl/>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第九十七条第（五）项：“生产经营单位有下列行为之一的，责令限期改正，处十万元以下的罚款；逾期未改正的，责令停产停业整顿，并处十万元以上二十万元以下的罚款，对其直接负责的主管人员和其他直接责任人员处二万元以上五万元以下的罚款：</w:t>
            </w:r>
            <w:r>
              <w:rPr>
                <w:rFonts w:hint="eastAsia" w:ascii="仿宋_GB2312" w:hAnsi="仿宋_GB2312" w:eastAsia="仿宋_GB2312" w:cs="仿宋_GB2312"/>
                <w:b/>
                <w:color w:val="000000"/>
              </w:rPr>
              <w:t>（五）未将事故隐患排查治理情况如实记录或者未向从业人员通报的</w:t>
            </w:r>
            <w:r>
              <w:rPr>
                <w:rFonts w:hint="eastAsia" w:ascii="仿宋_GB2312" w:hAnsi="仿宋_GB2312" w:eastAsia="仿宋_GB2312" w:cs="仿宋_GB2312"/>
                <w:bCs/>
                <w:color w:val="000000"/>
              </w:rPr>
              <w:t>。”</w:t>
            </w:r>
          </w:p>
        </w:tc>
        <w:tc>
          <w:tcPr>
            <w:tcW w:w="399" w:type="pct"/>
            <w:vMerge w:val="restart"/>
            <w:vAlign w:val="center"/>
          </w:tcPr>
          <w:p>
            <w:pPr>
              <w:jc w:val="left"/>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罚款；责令停产停业</w:t>
            </w: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从轻</w:t>
            </w:r>
          </w:p>
        </w:tc>
        <w:tc>
          <w:tcPr>
            <w:tcW w:w="741" w:type="pct"/>
            <w:vMerge w:val="restar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rPr>
              <w:t>未造成危害后果或造成轻微危害后果的</w:t>
            </w:r>
          </w:p>
          <w:p>
            <w:pPr>
              <w:rPr>
                <w:rFonts w:hint="eastAsia" w:ascii="仿宋_GB2312" w:hAnsi="仿宋_GB2312" w:eastAsia="仿宋_GB2312" w:cs="仿宋_GB2312"/>
                <w:bCs/>
                <w:color w:val="000000"/>
                <w:kern w:val="0"/>
                <w:szCs w:val="21"/>
              </w:rPr>
            </w:pPr>
          </w:p>
        </w:tc>
        <w:tc>
          <w:tcPr>
            <w:tcW w:w="1055"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rPr>
              <w:t>生产经营单位：</w:t>
            </w:r>
            <w:r>
              <w:rPr>
                <w:rFonts w:hint="eastAsia" w:ascii="仿宋_GB2312" w:hAnsi="仿宋_GB2312" w:eastAsia="仿宋_GB2312" w:cs="仿宋_GB2312"/>
                <w:bCs/>
                <w:color w:val="000000"/>
                <w:szCs w:val="21"/>
              </w:rPr>
              <w:t>责令限期改正，</w:t>
            </w:r>
            <w:r>
              <w:rPr>
                <w:rFonts w:hint="eastAsia" w:ascii="仿宋_GB2312" w:hAnsi="仿宋_GB2312" w:eastAsia="仿宋_GB2312" w:cs="仿宋_GB2312"/>
                <w:bCs/>
                <w:color w:val="000000"/>
              </w:rPr>
              <w:t>处二万元的罚款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7" w:hRule="atLeast"/>
          <w:jc w:val="center"/>
        </w:trPr>
        <w:tc>
          <w:tcPr>
            <w:tcW w:w="330" w:type="pct"/>
            <w:vMerge w:val="continue"/>
            <w:vAlign w:val="center"/>
          </w:tcPr>
          <w:p>
            <w:pPr>
              <w:widowControl/>
              <w:jc w:val="center"/>
              <w:rPr>
                <w:rFonts w:hint="eastAsia" w:ascii="仿宋_GB2312" w:hAnsi="仿宋_GB2312" w:eastAsia="仿宋_GB2312" w:cs="仿宋_GB2312"/>
                <w:bCs/>
                <w:color w:val="000000"/>
                <w:kern w:val="0"/>
                <w:szCs w:val="21"/>
                <w:lang w:val="en"/>
              </w:rPr>
            </w:pPr>
          </w:p>
        </w:tc>
        <w:tc>
          <w:tcPr>
            <w:tcW w:w="422" w:type="pct"/>
            <w:vMerge w:val="continue"/>
            <w:vAlign w:val="center"/>
          </w:tcPr>
          <w:p>
            <w:pPr>
              <w:rPr>
                <w:rFonts w:hint="eastAsia" w:ascii="仿宋_GB2312" w:hAnsi="仿宋_GB2312" w:eastAsia="仿宋_GB2312" w:cs="仿宋_GB2312"/>
                <w:bCs/>
                <w:color w:val="000000"/>
              </w:rPr>
            </w:pPr>
          </w:p>
        </w:tc>
        <w:tc>
          <w:tcPr>
            <w:tcW w:w="877" w:type="pct"/>
            <w:vMerge w:val="continue"/>
            <w:vAlign w:val="center"/>
          </w:tcPr>
          <w:p>
            <w:pPr>
              <w:rPr>
                <w:rFonts w:hint="eastAsia" w:ascii="仿宋_GB2312" w:hAnsi="仿宋_GB2312" w:eastAsia="仿宋_GB2312" w:cs="仿宋_GB2312"/>
                <w:bCs/>
                <w:color w:val="000000"/>
              </w:rPr>
            </w:pPr>
          </w:p>
        </w:tc>
        <w:tc>
          <w:tcPr>
            <w:tcW w:w="776" w:type="pct"/>
            <w:vMerge w:val="continue"/>
            <w:vAlign w:val="center"/>
          </w:tcPr>
          <w:p>
            <w:pPr>
              <w:widowControl/>
              <w:rPr>
                <w:rFonts w:hint="eastAsia" w:ascii="仿宋_GB2312" w:hAnsi="仿宋_GB2312" w:eastAsia="仿宋_GB2312" w:cs="仿宋_GB2312"/>
                <w:bCs/>
                <w:color w:val="000000"/>
              </w:rPr>
            </w:pPr>
          </w:p>
        </w:tc>
        <w:tc>
          <w:tcPr>
            <w:tcW w:w="399" w:type="pct"/>
            <w:vMerge w:val="continue"/>
            <w:vAlign w:val="center"/>
          </w:tcPr>
          <w:p>
            <w:pPr>
              <w:jc w:val="left"/>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741" w:type="pct"/>
            <w:vMerge w:val="continue"/>
            <w:vAlign w:val="center"/>
          </w:tcPr>
          <w:p>
            <w:pPr>
              <w:rPr>
                <w:rFonts w:hint="eastAsia" w:ascii="仿宋_GB2312" w:hAnsi="仿宋_GB2312" w:eastAsia="仿宋_GB2312" w:cs="仿宋_GB2312"/>
                <w:b/>
                <w:color w:val="000000"/>
                <w:kern w:val="0"/>
                <w:szCs w:val="21"/>
              </w:rPr>
            </w:pPr>
          </w:p>
        </w:tc>
        <w:tc>
          <w:tcPr>
            <w:tcW w:w="1055"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，责令生产经营单位停产停业整顿，并处十万元以上、低于十五万元的罚款，对其直接负责的主管人员和其他直接责任人员处二万元以上、低于三万五千元的罚款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9" w:hRule="atLeast"/>
          <w:jc w:val="center"/>
        </w:trPr>
        <w:tc>
          <w:tcPr>
            <w:tcW w:w="330" w:type="pct"/>
            <w:vMerge w:val="continue"/>
            <w:vAlign w:val="center"/>
          </w:tcPr>
          <w:p>
            <w:pPr>
              <w:rPr>
                <w:rFonts w:hint="eastAsia" w:ascii="仿宋_GB2312" w:hAnsi="仿宋_GB2312" w:eastAsia="仿宋_GB2312" w:cs="仿宋_GB2312"/>
                <w:bCs/>
                <w:color w:val="000000"/>
              </w:rPr>
            </w:pPr>
          </w:p>
        </w:tc>
        <w:tc>
          <w:tcPr>
            <w:tcW w:w="422" w:type="pct"/>
            <w:vMerge w:val="continue"/>
            <w:vAlign w:val="center"/>
          </w:tcPr>
          <w:p>
            <w:pPr>
              <w:rPr>
                <w:rFonts w:hint="eastAsia" w:ascii="仿宋_GB2312" w:hAnsi="仿宋_GB2312" w:eastAsia="仿宋_GB2312" w:cs="仿宋_GB2312"/>
                <w:bCs/>
                <w:color w:val="000000"/>
              </w:rPr>
            </w:pPr>
          </w:p>
        </w:tc>
        <w:tc>
          <w:tcPr>
            <w:tcW w:w="877" w:type="pct"/>
            <w:vMerge w:val="continue"/>
            <w:vAlign w:val="center"/>
          </w:tcPr>
          <w:p>
            <w:pPr>
              <w:rPr>
                <w:rFonts w:hint="eastAsia" w:ascii="仿宋_GB2312" w:hAnsi="仿宋_GB2312" w:eastAsia="仿宋_GB2312" w:cs="仿宋_GB2312"/>
                <w:bCs/>
                <w:color w:val="000000"/>
              </w:rPr>
            </w:pPr>
          </w:p>
        </w:tc>
        <w:tc>
          <w:tcPr>
            <w:tcW w:w="776"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一般</w:t>
            </w:r>
          </w:p>
        </w:tc>
        <w:tc>
          <w:tcPr>
            <w:tcW w:w="741"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kern w:val="0"/>
                <w:szCs w:val="21"/>
              </w:rPr>
              <w:t>造成一般危害后果的</w:t>
            </w:r>
          </w:p>
          <w:p>
            <w:pPr>
              <w:rPr>
                <w:rFonts w:hint="eastAsia" w:ascii="仿宋_GB2312" w:hAnsi="仿宋_GB2312" w:eastAsia="仿宋_GB2312" w:cs="仿宋_GB2312"/>
                <w:bCs/>
                <w:color w:val="000000"/>
              </w:rPr>
            </w:pPr>
          </w:p>
        </w:tc>
        <w:tc>
          <w:tcPr>
            <w:tcW w:w="1055"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生产经营单位：责令限期改正，处五万元的罚款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1" w:hRule="atLeast"/>
          <w:jc w:val="center"/>
        </w:trPr>
        <w:tc>
          <w:tcPr>
            <w:tcW w:w="330" w:type="pct"/>
            <w:vMerge w:val="continue"/>
            <w:vAlign w:val="center"/>
          </w:tcPr>
          <w:p>
            <w:pPr>
              <w:rPr>
                <w:rFonts w:hint="eastAsia" w:ascii="仿宋_GB2312" w:hAnsi="仿宋_GB2312" w:eastAsia="仿宋_GB2312" w:cs="仿宋_GB2312"/>
                <w:bCs/>
                <w:color w:val="000000"/>
              </w:rPr>
            </w:pPr>
          </w:p>
        </w:tc>
        <w:tc>
          <w:tcPr>
            <w:tcW w:w="422" w:type="pct"/>
            <w:vMerge w:val="continue"/>
            <w:vAlign w:val="center"/>
          </w:tcPr>
          <w:p>
            <w:pPr>
              <w:rPr>
                <w:rFonts w:hint="eastAsia" w:ascii="仿宋_GB2312" w:hAnsi="仿宋_GB2312" w:eastAsia="仿宋_GB2312" w:cs="仿宋_GB2312"/>
                <w:bCs/>
                <w:color w:val="000000"/>
              </w:rPr>
            </w:pPr>
          </w:p>
        </w:tc>
        <w:tc>
          <w:tcPr>
            <w:tcW w:w="877" w:type="pct"/>
            <w:vMerge w:val="continue"/>
            <w:vAlign w:val="center"/>
          </w:tcPr>
          <w:p>
            <w:pPr>
              <w:rPr>
                <w:rFonts w:hint="eastAsia" w:ascii="仿宋_GB2312" w:hAnsi="仿宋_GB2312" w:eastAsia="仿宋_GB2312" w:cs="仿宋_GB2312"/>
                <w:bCs/>
                <w:color w:val="000000"/>
              </w:rPr>
            </w:pPr>
          </w:p>
        </w:tc>
        <w:tc>
          <w:tcPr>
            <w:tcW w:w="776"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741" w:type="pct"/>
            <w:vMerge w:val="continue"/>
            <w:vAlign w:val="center"/>
          </w:tcPr>
          <w:p>
            <w:pPr>
              <w:rPr>
                <w:rFonts w:hint="eastAsia" w:ascii="仿宋_GB2312" w:hAnsi="仿宋_GB2312" w:eastAsia="仿宋_GB2312" w:cs="仿宋_GB2312"/>
                <w:b/>
                <w:color w:val="000000"/>
                <w:kern w:val="0"/>
                <w:szCs w:val="21"/>
              </w:rPr>
            </w:pPr>
          </w:p>
        </w:tc>
        <w:tc>
          <w:tcPr>
            <w:tcW w:w="1055"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，责令生产经营单位停产停业整顿，并处十五万元的罚款，对其直接负责的主管人员和其他直接责任人员处三万五千元的罚款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330" w:type="pct"/>
            <w:vMerge w:val="continue"/>
            <w:vAlign w:val="center"/>
          </w:tcPr>
          <w:p>
            <w:pPr>
              <w:rPr>
                <w:rFonts w:hint="eastAsia" w:ascii="仿宋_GB2312" w:hAnsi="仿宋_GB2312" w:eastAsia="仿宋_GB2312" w:cs="仿宋_GB2312"/>
                <w:bCs/>
                <w:color w:val="000000"/>
              </w:rPr>
            </w:pPr>
          </w:p>
        </w:tc>
        <w:tc>
          <w:tcPr>
            <w:tcW w:w="422" w:type="pct"/>
            <w:vMerge w:val="continue"/>
            <w:vAlign w:val="center"/>
          </w:tcPr>
          <w:p>
            <w:pPr>
              <w:rPr>
                <w:rFonts w:hint="eastAsia" w:ascii="仿宋_GB2312" w:hAnsi="仿宋_GB2312" w:eastAsia="仿宋_GB2312" w:cs="仿宋_GB2312"/>
                <w:bCs/>
                <w:color w:val="000000"/>
              </w:rPr>
            </w:pPr>
          </w:p>
        </w:tc>
        <w:tc>
          <w:tcPr>
            <w:tcW w:w="877" w:type="pct"/>
            <w:vMerge w:val="continue"/>
            <w:vAlign w:val="center"/>
          </w:tcPr>
          <w:p>
            <w:pPr>
              <w:rPr>
                <w:rFonts w:hint="eastAsia" w:ascii="仿宋_GB2312" w:hAnsi="仿宋_GB2312" w:eastAsia="仿宋_GB2312" w:cs="仿宋_GB2312"/>
                <w:bCs/>
                <w:color w:val="000000"/>
              </w:rPr>
            </w:pPr>
          </w:p>
        </w:tc>
        <w:tc>
          <w:tcPr>
            <w:tcW w:w="776"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从重</w:t>
            </w:r>
          </w:p>
        </w:tc>
        <w:tc>
          <w:tcPr>
            <w:tcW w:w="741"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kern w:val="0"/>
                <w:szCs w:val="21"/>
              </w:rPr>
              <w:t>造成生产安全事故的，或造成其他严重后果的</w:t>
            </w:r>
          </w:p>
          <w:p>
            <w:pPr>
              <w:rPr>
                <w:rFonts w:hint="eastAsia" w:ascii="仿宋_GB2312" w:hAnsi="仿宋_GB2312" w:eastAsia="仿宋_GB2312" w:cs="仿宋_GB2312"/>
                <w:bCs/>
                <w:color w:val="000000"/>
              </w:rPr>
            </w:pPr>
          </w:p>
        </w:tc>
        <w:tc>
          <w:tcPr>
            <w:tcW w:w="1055"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生产经营单位：责令限期改正，处十万元的罚款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2" w:hRule="atLeast"/>
          <w:jc w:val="center"/>
        </w:trPr>
        <w:tc>
          <w:tcPr>
            <w:tcW w:w="330" w:type="pct"/>
            <w:vMerge w:val="continue"/>
            <w:vAlign w:val="center"/>
          </w:tcPr>
          <w:p>
            <w:pPr>
              <w:rPr>
                <w:rFonts w:hint="eastAsia" w:ascii="仿宋_GB2312" w:hAnsi="仿宋_GB2312" w:eastAsia="仿宋_GB2312" w:cs="仿宋_GB2312"/>
                <w:bCs/>
                <w:color w:val="000000"/>
              </w:rPr>
            </w:pPr>
          </w:p>
        </w:tc>
        <w:tc>
          <w:tcPr>
            <w:tcW w:w="422" w:type="pct"/>
            <w:vMerge w:val="continue"/>
            <w:vAlign w:val="center"/>
          </w:tcPr>
          <w:p>
            <w:pPr>
              <w:rPr>
                <w:rFonts w:hint="eastAsia" w:ascii="仿宋_GB2312" w:hAnsi="仿宋_GB2312" w:eastAsia="仿宋_GB2312" w:cs="仿宋_GB2312"/>
                <w:bCs/>
                <w:color w:val="000000"/>
              </w:rPr>
            </w:pPr>
          </w:p>
        </w:tc>
        <w:tc>
          <w:tcPr>
            <w:tcW w:w="877" w:type="pct"/>
            <w:vMerge w:val="continue"/>
            <w:vAlign w:val="center"/>
          </w:tcPr>
          <w:p>
            <w:pPr>
              <w:rPr>
                <w:rFonts w:hint="eastAsia" w:ascii="仿宋_GB2312" w:hAnsi="仿宋_GB2312" w:eastAsia="仿宋_GB2312" w:cs="仿宋_GB2312"/>
                <w:bCs/>
                <w:color w:val="000000"/>
              </w:rPr>
            </w:pPr>
          </w:p>
        </w:tc>
        <w:tc>
          <w:tcPr>
            <w:tcW w:w="776"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741" w:type="pct"/>
            <w:vMerge w:val="continue"/>
            <w:vAlign w:val="center"/>
          </w:tcPr>
          <w:p>
            <w:pPr>
              <w:rPr>
                <w:rFonts w:hint="eastAsia" w:ascii="仿宋_GB2312" w:hAnsi="仿宋_GB2312" w:eastAsia="仿宋_GB2312" w:cs="仿宋_GB2312"/>
                <w:b/>
                <w:color w:val="000000"/>
                <w:lang w:bidi="ar"/>
              </w:rPr>
            </w:pPr>
          </w:p>
        </w:tc>
        <w:tc>
          <w:tcPr>
            <w:tcW w:w="1055"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，责令生产经营单位停产停业整顿，并处超过十五万元、</w:t>
            </w:r>
            <w:r>
              <w:rPr>
                <w:rFonts w:hint="eastAsia" w:ascii="仿宋_GB2312" w:hAnsi="仿宋_GB2312" w:eastAsia="仿宋_GB2312" w:cs="仿宋_GB2312"/>
                <w:bCs/>
                <w:color w:val="000000"/>
                <w:szCs w:val="21"/>
              </w:rPr>
              <w:t>二十万元以下</w:t>
            </w:r>
            <w:r>
              <w:rPr>
                <w:rFonts w:hint="eastAsia" w:ascii="仿宋_GB2312" w:hAnsi="仿宋_GB2312" w:eastAsia="仿宋_GB2312" w:cs="仿宋_GB2312"/>
                <w:bCs/>
                <w:color w:val="000000"/>
              </w:rPr>
              <w:t>的罚款，对其直接负责的主管人员和其他直接责任人员处超过三万五千元、</w:t>
            </w:r>
            <w:r>
              <w:rPr>
                <w:rFonts w:hint="eastAsia" w:ascii="仿宋_GB2312" w:hAnsi="仿宋_GB2312" w:eastAsia="仿宋_GB2312" w:cs="仿宋_GB2312"/>
                <w:bCs/>
                <w:color w:val="000000"/>
                <w:szCs w:val="21"/>
              </w:rPr>
              <w:t>五万元以下</w:t>
            </w:r>
            <w:r>
              <w:rPr>
                <w:rFonts w:hint="eastAsia" w:ascii="仿宋_GB2312" w:hAnsi="仿宋_GB2312" w:eastAsia="仿宋_GB2312" w:cs="仿宋_GB2312"/>
                <w:bCs/>
                <w:color w:val="000000"/>
              </w:rPr>
              <w:t>的罚款</w:t>
            </w:r>
          </w:p>
        </w:tc>
      </w:tr>
    </w:tbl>
    <w:p/>
    <w:p>
      <w:pPr>
        <w:rPr>
          <w:rFonts w:hint="eastAsia" w:cs="宋体" w:asciiTheme="minorEastAsia" w:hAnsiTheme="minorEastAsia"/>
          <w:bCs/>
          <w:color w:val="000000"/>
        </w:rPr>
      </w:pPr>
    </w:p>
    <w:p>
      <w:pPr>
        <w:pStyle w:val="2"/>
        <w:rPr>
          <w:rFonts w:hint="eastAsia" w:cs="宋体" w:asciiTheme="minorEastAsia" w:hAnsiTheme="minorEastAsia"/>
          <w:bCs/>
          <w:color w:val="000000"/>
        </w:rPr>
      </w:pPr>
    </w:p>
    <w:p>
      <w:pPr>
        <w:rPr>
          <w:rFonts w:hint="eastAsia" w:cs="宋体" w:asciiTheme="minorEastAsia" w:hAnsiTheme="minorEastAsia"/>
          <w:bCs/>
          <w:color w:val="000000"/>
          <w:sz w:val="32"/>
          <w:szCs w:val="32"/>
        </w:rPr>
      </w:pPr>
    </w:p>
    <w:p>
      <w:pPr>
        <w:rPr>
          <w:rFonts w:hint="eastAsia" w:cs="宋体" w:asciiTheme="minorEastAsia" w:hAnsiTheme="minorEastAsia"/>
          <w:bCs/>
          <w:color w:val="000000"/>
          <w:sz w:val="32"/>
          <w:szCs w:val="32"/>
        </w:rPr>
      </w:pPr>
      <w:r>
        <w:rPr>
          <w:rFonts w:hint="eastAsia" w:cs="宋体" w:asciiTheme="minorEastAsia" w:hAnsiTheme="minorEastAsia"/>
          <w:bCs/>
          <w:color w:val="000000"/>
          <w:sz w:val="32"/>
          <w:szCs w:val="32"/>
        </w:rPr>
        <w:t>《中华人民共和国安全生产法》</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5"/>
        <w:gridCol w:w="1250"/>
        <w:gridCol w:w="1828"/>
        <w:gridCol w:w="2982"/>
        <w:gridCol w:w="1162"/>
        <w:gridCol w:w="1162"/>
        <w:gridCol w:w="1811"/>
        <w:gridCol w:w="34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24"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序号</w:t>
            </w:r>
          </w:p>
        </w:tc>
        <w:tc>
          <w:tcPr>
            <w:tcW w:w="42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628"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1024"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39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39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622"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1174"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jc w:val="center"/>
        </w:trPr>
        <w:tc>
          <w:tcPr>
            <w:tcW w:w="324" w:type="pct"/>
            <w:vMerge w:val="restart"/>
            <w:vAlign w:val="center"/>
          </w:tcPr>
          <w:p>
            <w:pPr>
              <w:widowControl/>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Cs/>
                <w:color w:val="000000"/>
                <w:kern w:val="0"/>
                <w:szCs w:val="21"/>
                <w:lang w:val="en"/>
              </w:rPr>
              <w:t>101.11</w:t>
            </w:r>
          </w:p>
        </w:tc>
        <w:tc>
          <w:tcPr>
            <w:tcW w:w="429"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rPr>
              <w:t>生产经营单位未按照规定制定生产安全事故应急救援预案或者未定期组织演练的</w:t>
            </w:r>
          </w:p>
        </w:tc>
        <w:tc>
          <w:tcPr>
            <w:tcW w:w="628"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第八十一条：“生产经营单位应当制定本单位生产安全事故应急救援预案，与所在地县级以上地方人民政府组织制定的生产安全事故应急救援预案相衔接，并定期组织演练。”</w:t>
            </w:r>
          </w:p>
        </w:tc>
        <w:tc>
          <w:tcPr>
            <w:tcW w:w="1024" w:type="pct"/>
            <w:vMerge w:val="restart"/>
            <w:vAlign w:val="center"/>
          </w:tcPr>
          <w:p>
            <w:pPr>
              <w:widowControl/>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第九十七条第（六）项：“生产经营单位有下列行为之一的，责令限期改正，处十万元以下的罚款；逾期未改正的，责令停产停业整顿，并处十万元以上二十万元以下的罚款，对其直接负责的主管人员和其他直接责任人员处二万元以上五万元以下的罚款：（六）未按照规定制定生产安全事故应急救援预案或者未定期组织演练的。”</w:t>
            </w:r>
          </w:p>
        </w:tc>
        <w:tc>
          <w:tcPr>
            <w:tcW w:w="399" w:type="pct"/>
            <w:vMerge w:val="restart"/>
            <w:vAlign w:val="center"/>
          </w:tcPr>
          <w:p>
            <w:pPr>
              <w:jc w:val="left"/>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罚款；责令停产停业</w:t>
            </w: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从轻</w:t>
            </w:r>
          </w:p>
        </w:tc>
        <w:tc>
          <w:tcPr>
            <w:tcW w:w="622" w:type="pct"/>
            <w:vMerge w:val="restar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rPr>
              <w:t>未造成危害后果或造成轻微危害后果的</w:t>
            </w:r>
          </w:p>
        </w:tc>
        <w:tc>
          <w:tcPr>
            <w:tcW w:w="1174"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rPr>
              <w:t>生产经营单位：</w:t>
            </w:r>
            <w:r>
              <w:rPr>
                <w:rFonts w:hint="eastAsia" w:ascii="仿宋_GB2312" w:hAnsi="仿宋_GB2312" w:eastAsia="仿宋_GB2312" w:cs="仿宋_GB2312"/>
                <w:bCs/>
                <w:color w:val="000000"/>
                <w:szCs w:val="21"/>
              </w:rPr>
              <w:t>责令限期改正，</w:t>
            </w:r>
            <w:r>
              <w:rPr>
                <w:rFonts w:hint="eastAsia" w:ascii="仿宋_GB2312" w:hAnsi="仿宋_GB2312" w:eastAsia="仿宋_GB2312" w:cs="仿宋_GB2312"/>
                <w:bCs/>
                <w:color w:val="000000"/>
              </w:rPr>
              <w:t>处二万元的罚款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94" w:hRule="atLeast"/>
          <w:jc w:val="center"/>
        </w:trPr>
        <w:tc>
          <w:tcPr>
            <w:tcW w:w="324" w:type="pct"/>
            <w:vMerge w:val="continue"/>
            <w:vAlign w:val="center"/>
          </w:tcPr>
          <w:p>
            <w:pPr>
              <w:widowControl/>
              <w:jc w:val="center"/>
              <w:rPr>
                <w:rFonts w:hint="eastAsia" w:ascii="仿宋_GB2312" w:hAnsi="仿宋_GB2312" w:eastAsia="仿宋_GB2312" w:cs="仿宋_GB2312"/>
                <w:bCs/>
                <w:color w:val="000000"/>
                <w:kern w:val="0"/>
                <w:szCs w:val="21"/>
                <w:lang w:val="en"/>
              </w:rPr>
            </w:pPr>
          </w:p>
        </w:tc>
        <w:tc>
          <w:tcPr>
            <w:tcW w:w="429" w:type="pct"/>
            <w:vMerge w:val="continue"/>
            <w:vAlign w:val="center"/>
          </w:tcPr>
          <w:p>
            <w:pPr>
              <w:rPr>
                <w:rFonts w:hint="eastAsia" w:ascii="仿宋_GB2312" w:hAnsi="仿宋_GB2312" w:eastAsia="仿宋_GB2312" w:cs="仿宋_GB2312"/>
                <w:bCs/>
                <w:color w:val="000000"/>
              </w:rPr>
            </w:pPr>
          </w:p>
        </w:tc>
        <w:tc>
          <w:tcPr>
            <w:tcW w:w="628" w:type="pct"/>
            <w:vMerge w:val="continue"/>
            <w:vAlign w:val="center"/>
          </w:tcPr>
          <w:p>
            <w:pPr>
              <w:rPr>
                <w:rFonts w:hint="eastAsia" w:ascii="仿宋_GB2312" w:hAnsi="仿宋_GB2312" w:eastAsia="仿宋_GB2312" w:cs="仿宋_GB2312"/>
                <w:bCs/>
                <w:color w:val="000000"/>
              </w:rPr>
            </w:pPr>
          </w:p>
        </w:tc>
        <w:tc>
          <w:tcPr>
            <w:tcW w:w="1024" w:type="pct"/>
            <w:vMerge w:val="continue"/>
            <w:vAlign w:val="center"/>
          </w:tcPr>
          <w:p>
            <w:pPr>
              <w:widowControl/>
              <w:rPr>
                <w:rFonts w:hint="eastAsia" w:ascii="仿宋_GB2312" w:hAnsi="仿宋_GB2312" w:eastAsia="仿宋_GB2312" w:cs="仿宋_GB2312"/>
                <w:bCs/>
                <w:color w:val="000000"/>
              </w:rPr>
            </w:pPr>
          </w:p>
        </w:tc>
        <w:tc>
          <w:tcPr>
            <w:tcW w:w="399" w:type="pct"/>
            <w:vMerge w:val="continue"/>
            <w:vAlign w:val="center"/>
          </w:tcPr>
          <w:p>
            <w:pPr>
              <w:jc w:val="left"/>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622" w:type="pct"/>
            <w:vMerge w:val="continue"/>
            <w:vAlign w:val="center"/>
          </w:tcPr>
          <w:p>
            <w:pPr>
              <w:rPr>
                <w:rFonts w:hint="eastAsia" w:ascii="仿宋_GB2312" w:hAnsi="仿宋_GB2312" w:eastAsia="仿宋_GB2312" w:cs="仿宋_GB2312"/>
                <w:bCs/>
                <w:color w:val="000000"/>
                <w:kern w:val="0"/>
                <w:szCs w:val="21"/>
              </w:rPr>
            </w:pPr>
          </w:p>
        </w:tc>
        <w:tc>
          <w:tcPr>
            <w:tcW w:w="1174"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，责令生产经营单位停产停业整顿，并处十万元以上、低于十五万元的罚款，对其直接负责的主管人员和其他直接责任人员处二万元以上、低于三万五千元的罚款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6" w:hRule="atLeast"/>
          <w:jc w:val="center"/>
        </w:trPr>
        <w:tc>
          <w:tcPr>
            <w:tcW w:w="324" w:type="pct"/>
            <w:vMerge w:val="continue"/>
            <w:vAlign w:val="center"/>
          </w:tcPr>
          <w:p>
            <w:pPr>
              <w:rPr>
                <w:rFonts w:hint="eastAsia" w:ascii="仿宋_GB2312" w:hAnsi="仿宋_GB2312" w:eastAsia="仿宋_GB2312" w:cs="仿宋_GB2312"/>
                <w:bCs/>
                <w:color w:val="000000"/>
              </w:rPr>
            </w:pPr>
          </w:p>
        </w:tc>
        <w:tc>
          <w:tcPr>
            <w:tcW w:w="429" w:type="pct"/>
            <w:vMerge w:val="continue"/>
            <w:vAlign w:val="center"/>
          </w:tcPr>
          <w:p>
            <w:pPr>
              <w:rPr>
                <w:rFonts w:hint="eastAsia" w:ascii="仿宋_GB2312" w:hAnsi="仿宋_GB2312" w:eastAsia="仿宋_GB2312" w:cs="仿宋_GB2312"/>
                <w:bCs/>
                <w:color w:val="000000"/>
              </w:rPr>
            </w:pPr>
          </w:p>
        </w:tc>
        <w:tc>
          <w:tcPr>
            <w:tcW w:w="628" w:type="pct"/>
            <w:vMerge w:val="continue"/>
            <w:vAlign w:val="center"/>
          </w:tcPr>
          <w:p>
            <w:pPr>
              <w:rPr>
                <w:rFonts w:hint="eastAsia" w:ascii="仿宋_GB2312" w:hAnsi="仿宋_GB2312" w:eastAsia="仿宋_GB2312" w:cs="仿宋_GB2312"/>
                <w:bCs/>
                <w:color w:val="000000"/>
              </w:rPr>
            </w:pPr>
          </w:p>
        </w:tc>
        <w:tc>
          <w:tcPr>
            <w:tcW w:w="1024"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一般</w:t>
            </w:r>
          </w:p>
        </w:tc>
        <w:tc>
          <w:tcPr>
            <w:tcW w:w="622"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kern w:val="0"/>
                <w:szCs w:val="21"/>
              </w:rPr>
              <w:t>造成一般危害后果的</w:t>
            </w:r>
          </w:p>
        </w:tc>
        <w:tc>
          <w:tcPr>
            <w:tcW w:w="1174"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生产经营单位：责令限期改正，处五万元的罚款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1" w:hRule="atLeast"/>
          <w:jc w:val="center"/>
        </w:trPr>
        <w:tc>
          <w:tcPr>
            <w:tcW w:w="324" w:type="pct"/>
            <w:vMerge w:val="continue"/>
            <w:vAlign w:val="center"/>
          </w:tcPr>
          <w:p>
            <w:pPr>
              <w:rPr>
                <w:rFonts w:hint="eastAsia" w:ascii="仿宋_GB2312" w:hAnsi="仿宋_GB2312" w:eastAsia="仿宋_GB2312" w:cs="仿宋_GB2312"/>
                <w:bCs/>
                <w:color w:val="000000"/>
              </w:rPr>
            </w:pPr>
          </w:p>
        </w:tc>
        <w:tc>
          <w:tcPr>
            <w:tcW w:w="429" w:type="pct"/>
            <w:vMerge w:val="continue"/>
            <w:vAlign w:val="center"/>
          </w:tcPr>
          <w:p>
            <w:pPr>
              <w:rPr>
                <w:rFonts w:hint="eastAsia" w:ascii="仿宋_GB2312" w:hAnsi="仿宋_GB2312" w:eastAsia="仿宋_GB2312" w:cs="仿宋_GB2312"/>
                <w:bCs/>
                <w:color w:val="000000"/>
              </w:rPr>
            </w:pPr>
          </w:p>
        </w:tc>
        <w:tc>
          <w:tcPr>
            <w:tcW w:w="628" w:type="pct"/>
            <w:vMerge w:val="continue"/>
            <w:vAlign w:val="center"/>
          </w:tcPr>
          <w:p>
            <w:pPr>
              <w:rPr>
                <w:rFonts w:hint="eastAsia" w:ascii="仿宋_GB2312" w:hAnsi="仿宋_GB2312" w:eastAsia="仿宋_GB2312" w:cs="仿宋_GB2312"/>
                <w:bCs/>
                <w:color w:val="000000"/>
              </w:rPr>
            </w:pPr>
          </w:p>
        </w:tc>
        <w:tc>
          <w:tcPr>
            <w:tcW w:w="1024"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622" w:type="pct"/>
            <w:vMerge w:val="continue"/>
            <w:vAlign w:val="center"/>
          </w:tcPr>
          <w:p>
            <w:pPr>
              <w:rPr>
                <w:rFonts w:hint="eastAsia" w:ascii="仿宋_GB2312" w:hAnsi="仿宋_GB2312" w:eastAsia="仿宋_GB2312" w:cs="仿宋_GB2312"/>
                <w:bCs/>
                <w:color w:val="000000"/>
              </w:rPr>
            </w:pPr>
          </w:p>
        </w:tc>
        <w:tc>
          <w:tcPr>
            <w:tcW w:w="1174"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，责令生产经营单位停产停业整顿，并处十五万元的罚款，对其直接负责的主管人员和其他直接责任人员处三万五千元的罚款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2" w:hRule="atLeast"/>
          <w:jc w:val="center"/>
        </w:trPr>
        <w:tc>
          <w:tcPr>
            <w:tcW w:w="324" w:type="pct"/>
            <w:vMerge w:val="continue"/>
            <w:vAlign w:val="center"/>
          </w:tcPr>
          <w:p>
            <w:pPr>
              <w:rPr>
                <w:rFonts w:hint="eastAsia" w:ascii="仿宋_GB2312" w:hAnsi="仿宋_GB2312" w:eastAsia="仿宋_GB2312" w:cs="仿宋_GB2312"/>
                <w:bCs/>
                <w:color w:val="000000"/>
              </w:rPr>
            </w:pPr>
          </w:p>
        </w:tc>
        <w:tc>
          <w:tcPr>
            <w:tcW w:w="429" w:type="pct"/>
            <w:vMerge w:val="continue"/>
            <w:vAlign w:val="center"/>
          </w:tcPr>
          <w:p>
            <w:pPr>
              <w:rPr>
                <w:rFonts w:hint="eastAsia" w:ascii="仿宋_GB2312" w:hAnsi="仿宋_GB2312" w:eastAsia="仿宋_GB2312" w:cs="仿宋_GB2312"/>
                <w:bCs/>
                <w:color w:val="000000"/>
              </w:rPr>
            </w:pPr>
          </w:p>
        </w:tc>
        <w:tc>
          <w:tcPr>
            <w:tcW w:w="628" w:type="pct"/>
            <w:vMerge w:val="continue"/>
            <w:vAlign w:val="center"/>
          </w:tcPr>
          <w:p>
            <w:pPr>
              <w:rPr>
                <w:rFonts w:hint="eastAsia" w:ascii="仿宋_GB2312" w:hAnsi="仿宋_GB2312" w:eastAsia="仿宋_GB2312" w:cs="仿宋_GB2312"/>
                <w:bCs/>
                <w:color w:val="000000"/>
              </w:rPr>
            </w:pPr>
          </w:p>
        </w:tc>
        <w:tc>
          <w:tcPr>
            <w:tcW w:w="1024"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从重</w:t>
            </w:r>
          </w:p>
        </w:tc>
        <w:tc>
          <w:tcPr>
            <w:tcW w:w="622"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kern w:val="0"/>
                <w:szCs w:val="21"/>
              </w:rPr>
              <w:t>造成生产安全事故的，或造成其他严重后果的</w:t>
            </w:r>
          </w:p>
        </w:tc>
        <w:tc>
          <w:tcPr>
            <w:tcW w:w="1174"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生产经营单位：责令限期改正，处十万元的罚款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14" w:hRule="atLeast"/>
          <w:jc w:val="center"/>
        </w:trPr>
        <w:tc>
          <w:tcPr>
            <w:tcW w:w="324" w:type="pct"/>
            <w:vMerge w:val="continue"/>
            <w:vAlign w:val="center"/>
          </w:tcPr>
          <w:p>
            <w:pPr>
              <w:rPr>
                <w:rFonts w:hint="eastAsia" w:ascii="仿宋_GB2312" w:hAnsi="仿宋_GB2312" w:eastAsia="仿宋_GB2312" w:cs="仿宋_GB2312"/>
                <w:bCs/>
                <w:color w:val="000000"/>
              </w:rPr>
            </w:pPr>
          </w:p>
        </w:tc>
        <w:tc>
          <w:tcPr>
            <w:tcW w:w="429" w:type="pct"/>
            <w:vMerge w:val="continue"/>
            <w:vAlign w:val="center"/>
          </w:tcPr>
          <w:p>
            <w:pPr>
              <w:rPr>
                <w:rFonts w:hint="eastAsia" w:ascii="仿宋_GB2312" w:hAnsi="仿宋_GB2312" w:eastAsia="仿宋_GB2312" w:cs="仿宋_GB2312"/>
                <w:bCs/>
                <w:color w:val="000000"/>
              </w:rPr>
            </w:pPr>
          </w:p>
        </w:tc>
        <w:tc>
          <w:tcPr>
            <w:tcW w:w="628" w:type="pct"/>
            <w:vMerge w:val="continue"/>
            <w:vAlign w:val="center"/>
          </w:tcPr>
          <w:p>
            <w:pPr>
              <w:rPr>
                <w:rFonts w:hint="eastAsia" w:ascii="仿宋_GB2312" w:hAnsi="仿宋_GB2312" w:eastAsia="仿宋_GB2312" w:cs="仿宋_GB2312"/>
                <w:bCs/>
                <w:color w:val="000000"/>
              </w:rPr>
            </w:pPr>
          </w:p>
        </w:tc>
        <w:tc>
          <w:tcPr>
            <w:tcW w:w="1024"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622" w:type="pct"/>
            <w:vMerge w:val="continue"/>
            <w:vAlign w:val="center"/>
          </w:tcPr>
          <w:p>
            <w:pPr>
              <w:rPr>
                <w:rFonts w:hint="eastAsia" w:ascii="仿宋_GB2312" w:hAnsi="仿宋_GB2312" w:eastAsia="仿宋_GB2312" w:cs="仿宋_GB2312"/>
                <w:bCs/>
                <w:color w:val="000000"/>
              </w:rPr>
            </w:pPr>
          </w:p>
        </w:tc>
        <w:tc>
          <w:tcPr>
            <w:tcW w:w="1174"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，责令生产经营单位停产停业整顿，并处超过十五万元、</w:t>
            </w:r>
            <w:r>
              <w:rPr>
                <w:rFonts w:hint="eastAsia" w:ascii="仿宋_GB2312" w:hAnsi="仿宋_GB2312" w:eastAsia="仿宋_GB2312" w:cs="仿宋_GB2312"/>
                <w:bCs/>
                <w:color w:val="000000"/>
                <w:szCs w:val="21"/>
              </w:rPr>
              <w:t>二十万元以下</w:t>
            </w:r>
            <w:r>
              <w:rPr>
                <w:rFonts w:hint="eastAsia" w:ascii="仿宋_GB2312" w:hAnsi="仿宋_GB2312" w:eastAsia="仿宋_GB2312" w:cs="仿宋_GB2312"/>
                <w:bCs/>
                <w:color w:val="000000"/>
              </w:rPr>
              <w:t>的罚款，对其直接负责的主管人员和其他直接责任人员处超过三万五千元、</w:t>
            </w:r>
            <w:r>
              <w:rPr>
                <w:rFonts w:hint="eastAsia" w:ascii="仿宋_GB2312" w:hAnsi="仿宋_GB2312" w:eastAsia="仿宋_GB2312" w:cs="仿宋_GB2312"/>
                <w:bCs/>
                <w:color w:val="000000"/>
                <w:szCs w:val="21"/>
              </w:rPr>
              <w:t>五万元以下</w:t>
            </w:r>
            <w:r>
              <w:rPr>
                <w:rFonts w:hint="eastAsia" w:ascii="仿宋_GB2312" w:hAnsi="仿宋_GB2312" w:eastAsia="仿宋_GB2312" w:cs="仿宋_GB2312"/>
                <w:bCs/>
                <w:color w:val="000000"/>
              </w:rPr>
              <w:t>的罚款</w:t>
            </w:r>
          </w:p>
        </w:tc>
      </w:tr>
    </w:tbl>
    <w:p/>
    <w:p>
      <w:pPr>
        <w:pStyle w:val="2"/>
      </w:pPr>
    </w:p>
    <w:p>
      <w:pPr>
        <w:rPr>
          <w:rFonts w:hint="eastAsia" w:cs="宋体" w:asciiTheme="minorEastAsia" w:hAnsiTheme="minorEastAsia"/>
          <w:bCs/>
          <w:color w:val="000000"/>
          <w:sz w:val="32"/>
          <w:szCs w:val="32"/>
        </w:rPr>
      </w:pPr>
      <w:r>
        <w:rPr>
          <w:rFonts w:hint="eastAsia" w:cs="宋体" w:asciiTheme="minorEastAsia" w:hAnsiTheme="minorEastAsia"/>
          <w:bCs/>
          <w:color w:val="000000"/>
          <w:sz w:val="32"/>
          <w:szCs w:val="32"/>
        </w:rPr>
        <w:t>《中华人民共和国安全生产法》</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5"/>
        <w:gridCol w:w="1247"/>
        <w:gridCol w:w="1864"/>
        <w:gridCol w:w="2950"/>
        <w:gridCol w:w="1162"/>
        <w:gridCol w:w="1162"/>
        <w:gridCol w:w="1811"/>
        <w:gridCol w:w="34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24"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序号</w:t>
            </w:r>
          </w:p>
        </w:tc>
        <w:tc>
          <w:tcPr>
            <w:tcW w:w="428"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640"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1013"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39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39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622"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1174"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jc w:val="center"/>
        </w:trPr>
        <w:tc>
          <w:tcPr>
            <w:tcW w:w="324" w:type="pct"/>
            <w:vMerge w:val="restart"/>
            <w:vAlign w:val="center"/>
          </w:tcPr>
          <w:p>
            <w:pPr>
              <w:widowControl/>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Cs/>
                <w:color w:val="000000"/>
                <w:kern w:val="0"/>
                <w:szCs w:val="21"/>
                <w:lang w:val="en"/>
              </w:rPr>
              <w:t>101.12</w:t>
            </w:r>
          </w:p>
        </w:tc>
        <w:tc>
          <w:tcPr>
            <w:tcW w:w="428"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rPr>
              <w:t>特种作业人员未按照规定经专门的安全作业培训并取得相应资格，上岗作业的</w:t>
            </w:r>
          </w:p>
        </w:tc>
        <w:tc>
          <w:tcPr>
            <w:tcW w:w="640"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第三十条：“生产经营单位的特种作业人员必须按照国家有关规定经专门的安全作业培训，取得相应资格，方可上岗作业。</w:t>
            </w:r>
          </w:p>
          <w:p>
            <w:pPr>
              <w:ind w:firstLine="420" w:firstLineChars="200"/>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特种作业人员的范围由国务院应急管理部门会同国务院有关部门确定。”</w:t>
            </w:r>
          </w:p>
        </w:tc>
        <w:tc>
          <w:tcPr>
            <w:tcW w:w="1013" w:type="pct"/>
            <w:vMerge w:val="restart"/>
            <w:vAlign w:val="center"/>
          </w:tcPr>
          <w:p>
            <w:pPr>
              <w:widowControl/>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第九十七条第（七）项：“生产经营单位有下列行为之一的，责令限期改正，处十万元以下的罚款；逾期未改正的，责令停产停业整顿，并处十万元以上二十万元以下的罚款，对其直接负责的主管人员和其他直接责任人员处二万元以上五万元以下的罚款：（七）特种作业人员未按照规定经专门的安全作业培训并取得相应资格，上岗作业的。”</w:t>
            </w:r>
          </w:p>
        </w:tc>
        <w:tc>
          <w:tcPr>
            <w:tcW w:w="399" w:type="pct"/>
            <w:vMerge w:val="restart"/>
            <w:vAlign w:val="center"/>
          </w:tcPr>
          <w:p>
            <w:pPr>
              <w:jc w:val="left"/>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罚款；责令停产停业</w:t>
            </w: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从轻</w:t>
            </w:r>
          </w:p>
        </w:tc>
        <w:tc>
          <w:tcPr>
            <w:tcW w:w="622" w:type="pct"/>
            <w:vMerge w:val="restar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rPr>
              <w:t>未造成危害后果或造成轻微危害后果的</w:t>
            </w:r>
          </w:p>
        </w:tc>
        <w:tc>
          <w:tcPr>
            <w:tcW w:w="1174"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rPr>
              <w:t>生产经营单位：</w:t>
            </w:r>
            <w:r>
              <w:rPr>
                <w:rFonts w:hint="eastAsia" w:ascii="仿宋_GB2312" w:hAnsi="仿宋_GB2312" w:eastAsia="仿宋_GB2312" w:cs="仿宋_GB2312"/>
                <w:bCs/>
                <w:color w:val="000000"/>
                <w:szCs w:val="21"/>
              </w:rPr>
              <w:t>责令限期改正，</w:t>
            </w:r>
            <w:r>
              <w:rPr>
                <w:rFonts w:hint="eastAsia" w:ascii="仿宋_GB2312" w:hAnsi="仿宋_GB2312" w:eastAsia="仿宋_GB2312" w:cs="仿宋_GB2312"/>
                <w:bCs/>
                <w:color w:val="000000"/>
              </w:rPr>
              <w:t>处二万元的罚款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86" w:hRule="atLeast"/>
          <w:jc w:val="center"/>
        </w:trPr>
        <w:tc>
          <w:tcPr>
            <w:tcW w:w="324" w:type="pct"/>
            <w:vMerge w:val="continue"/>
            <w:vAlign w:val="center"/>
          </w:tcPr>
          <w:p>
            <w:pPr>
              <w:widowControl/>
              <w:jc w:val="center"/>
              <w:rPr>
                <w:rFonts w:hint="eastAsia" w:ascii="仿宋_GB2312" w:hAnsi="仿宋_GB2312" w:eastAsia="仿宋_GB2312" w:cs="仿宋_GB2312"/>
                <w:bCs/>
                <w:color w:val="000000"/>
                <w:kern w:val="0"/>
                <w:szCs w:val="21"/>
                <w:lang w:val="en"/>
              </w:rPr>
            </w:pPr>
          </w:p>
        </w:tc>
        <w:tc>
          <w:tcPr>
            <w:tcW w:w="428" w:type="pct"/>
            <w:vMerge w:val="continue"/>
            <w:vAlign w:val="center"/>
          </w:tcPr>
          <w:p>
            <w:pPr>
              <w:rPr>
                <w:rFonts w:hint="eastAsia" w:ascii="仿宋_GB2312" w:hAnsi="仿宋_GB2312" w:eastAsia="仿宋_GB2312" w:cs="仿宋_GB2312"/>
                <w:bCs/>
                <w:color w:val="000000"/>
              </w:rPr>
            </w:pPr>
          </w:p>
        </w:tc>
        <w:tc>
          <w:tcPr>
            <w:tcW w:w="640" w:type="pct"/>
            <w:vMerge w:val="continue"/>
            <w:vAlign w:val="center"/>
          </w:tcPr>
          <w:p>
            <w:pPr>
              <w:ind w:firstLine="420" w:firstLineChars="200"/>
              <w:rPr>
                <w:rFonts w:hint="eastAsia" w:ascii="仿宋_GB2312" w:hAnsi="仿宋_GB2312" w:eastAsia="仿宋_GB2312" w:cs="仿宋_GB2312"/>
                <w:bCs/>
                <w:color w:val="000000"/>
              </w:rPr>
            </w:pPr>
          </w:p>
        </w:tc>
        <w:tc>
          <w:tcPr>
            <w:tcW w:w="1013" w:type="pct"/>
            <w:vMerge w:val="continue"/>
            <w:vAlign w:val="center"/>
          </w:tcPr>
          <w:p>
            <w:pPr>
              <w:widowControl/>
              <w:rPr>
                <w:rFonts w:hint="eastAsia" w:ascii="仿宋_GB2312" w:hAnsi="仿宋_GB2312" w:eastAsia="仿宋_GB2312" w:cs="仿宋_GB2312"/>
                <w:bCs/>
                <w:color w:val="000000"/>
              </w:rPr>
            </w:pPr>
          </w:p>
        </w:tc>
        <w:tc>
          <w:tcPr>
            <w:tcW w:w="399" w:type="pct"/>
            <w:vMerge w:val="continue"/>
            <w:vAlign w:val="center"/>
          </w:tcPr>
          <w:p>
            <w:pPr>
              <w:jc w:val="left"/>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lang w:bidi="ar"/>
              </w:rPr>
            </w:pPr>
          </w:p>
        </w:tc>
        <w:tc>
          <w:tcPr>
            <w:tcW w:w="622" w:type="pct"/>
            <w:vMerge w:val="continue"/>
            <w:vAlign w:val="center"/>
          </w:tcPr>
          <w:p>
            <w:pPr>
              <w:rPr>
                <w:rFonts w:hint="eastAsia" w:ascii="仿宋_GB2312" w:hAnsi="仿宋_GB2312" w:eastAsia="仿宋_GB2312" w:cs="仿宋_GB2312"/>
                <w:bCs/>
                <w:color w:val="000000"/>
                <w:kern w:val="0"/>
                <w:szCs w:val="21"/>
              </w:rPr>
            </w:pPr>
          </w:p>
        </w:tc>
        <w:tc>
          <w:tcPr>
            <w:tcW w:w="1174"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，责令生产经营单位停产停业整顿，并处十万元以上、低于十五万元的罚款，对其直接负责的主管人员和其他直接责任人员处二万元以上、低于三万五千元的罚款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9" w:hRule="atLeast"/>
          <w:jc w:val="center"/>
        </w:trPr>
        <w:tc>
          <w:tcPr>
            <w:tcW w:w="324" w:type="pct"/>
            <w:vMerge w:val="continue"/>
            <w:vAlign w:val="center"/>
          </w:tcPr>
          <w:p>
            <w:pPr>
              <w:rPr>
                <w:rFonts w:hint="eastAsia" w:ascii="仿宋_GB2312" w:hAnsi="仿宋_GB2312" w:eastAsia="仿宋_GB2312" w:cs="仿宋_GB2312"/>
                <w:bCs/>
                <w:color w:val="000000"/>
              </w:rPr>
            </w:pPr>
          </w:p>
        </w:tc>
        <w:tc>
          <w:tcPr>
            <w:tcW w:w="428" w:type="pct"/>
            <w:vMerge w:val="continue"/>
            <w:vAlign w:val="center"/>
          </w:tcPr>
          <w:p>
            <w:pPr>
              <w:rPr>
                <w:rFonts w:hint="eastAsia" w:ascii="仿宋_GB2312" w:hAnsi="仿宋_GB2312" w:eastAsia="仿宋_GB2312" w:cs="仿宋_GB2312"/>
                <w:bCs/>
                <w:color w:val="000000"/>
              </w:rPr>
            </w:pPr>
          </w:p>
        </w:tc>
        <w:tc>
          <w:tcPr>
            <w:tcW w:w="640" w:type="pct"/>
            <w:vMerge w:val="continue"/>
            <w:vAlign w:val="center"/>
          </w:tcPr>
          <w:p>
            <w:pPr>
              <w:rPr>
                <w:rFonts w:hint="eastAsia" w:ascii="仿宋_GB2312" w:hAnsi="仿宋_GB2312" w:eastAsia="仿宋_GB2312" w:cs="仿宋_GB2312"/>
                <w:bCs/>
                <w:color w:val="000000"/>
              </w:rPr>
            </w:pPr>
          </w:p>
        </w:tc>
        <w:tc>
          <w:tcPr>
            <w:tcW w:w="1013"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一般</w:t>
            </w:r>
          </w:p>
        </w:tc>
        <w:tc>
          <w:tcPr>
            <w:tcW w:w="622"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kern w:val="0"/>
                <w:szCs w:val="21"/>
              </w:rPr>
              <w:t>造成一般危害后果的</w:t>
            </w:r>
          </w:p>
        </w:tc>
        <w:tc>
          <w:tcPr>
            <w:tcW w:w="1174"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生产经营单位：责令限期改正，处五万元的罚款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51" w:hRule="atLeast"/>
          <w:jc w:val="center"/>
        </w:trPr>
        <w:tc>
          <w:tcPr>
            <w:tcW w:w="324" w:type="pct"/>
            <w:vMerge w:val="continue"/>
            <w:vAlign w:val="center"/>
          </w:tcPr>
          <w:p>
            <w:pPr>
              <w:rPr>
                <w:rFonts w:hint="eastAsia" w:ascii="仿宋_GB2312" w:hAnsi="仿宋_GB2312" w:eastAsia="仿宋_GB2312" w:cs="仿宋_GB2312"/>
                <w:bCs/>
                <w:color w:val="000000"/>
              </w:rPr>
            </w:pPr>
          </w:p>
        </w:tc>
        <w:tc>
          <w:tcPr>
            <w:tcW w:w="428" w:type="pct"/>
            <w:vMerge w:val="continue"/>
            <w:vAlign w:val="center"/>
          </w:tcPr>
          <w:p>
            <w:pPr>
              <w:rPr>
                <w:rFonts w:hint="eastAsia" w:ascii="仿宋_GB2312" w:hAnsi="仿宋_GB2312" w:eastAsia="仿宋_GB2312" w:cs="仿宋_GB2312"/>
                <w:bCs/>
                <w:color w:val="000000"/>
              </w:rPr>
            </w:pPr>
          </w:p>
        </w:tc>
        <w:tc>
          <w:tcPr>
            <w:tcW w:w="640" w:type="pct"/>
            <w:vMerge w:val="continue"/>
            <w:vAlign w:val="center"/>
          </w:tcPr>
          <w:p>
            <w:pPr>
              <w:rPr>
                <w:rFonts w:hint="eastAsia" w:ascii="仿宋_GB2312" w:hAnsi="仿宋_GB2312" w:eastAsia="仿宋_GB2312" w:cs="仿宋_GB2312"/>
                <w:bCs/>
                <w:color w:val="000000"/>
              </w:rPr>
            </w:pPr>
          </w:p>
        </w:tc>
        <w:tc>
          <w:tcPr>
            <w:tcW w:w="1013"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lang w:bidi="ar"/>
              </w:rPr>
            </w:pPr>
          </w:p>
        </w:tc>
        <w:tc>
          <w:tcPr>
            <w:tcW w:w="622" w:type="pct"/>
            <w:vMerge w:val="continue"/>
            <w:vAlign w:val="center"/>
          </w:tcPr>
          <w:p>
            <w:pPr>
              <w:rPr>
                <w:rFonts w:hint="eastAsia" w:ascii="仿宋_GB2312" w:hAnsi="仿宋_GB2312" w:eastAsia="仿宋_GB2312" w:cs="仿宋_GB2312"/>
                <w:bCs/>
                <w:color w:val="000000"/>
              </w:rPr>
            </w:pPr>
          </w:p>
        </w:tc>
        <w:tc>
          <w:tcPr>
            <w:tcW w:w="1174"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，责令生产经营单位停产停业整顿，并处十五万元的罚款，对其直接负责的主管人员和其他直接责任人员处三万五千元的罚款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324" w:type="pct"/>
            <w:vMerge w:val="continue"/>
            <w:vAlign w:val="center"/>
          </w:tcPr>
          <w:p>
            <w:pPr>
              <w:rPr>
                <w:rFonts w:hint="eastAsia" w:ascii="仿宋_GB2312" w:hAnsi="仿宋_GB2312" w:eastAsia="仿宋_GB2312" w:cs="仿宋_GB2312"/>
                <w:bCs/>
                <w:color w:val="000000"/>
              </w:rPr>
            </w:pPr>
          </w:p>
        </w:tc>
        <w:tc>
          <w:tcPr>
            <w:tcW w:w="428" w:type="pct"/>
            <w:vMerge w:val="continue"/>
            <w:vAlign w:val="center"/>
          </w:tcPr>
          <w:p>
            <w:pPr>
              <w:rPr>
                <w:rFonts w:hint="eastAsia" w:ascii="仿宋_GB2312" w:hAnsi="仿宋_GB2312" w:eastAsia="仿宋_GB2312" w:cs="仿宋_GB2312"/>
                <w:bCs/>
                <w:color w:val="000000"/>
              </w:rPr>
            </w:pPr>
          </w:p>
        </w:tc>
        <w:tc>
          <w:tcPr>
            <w:tcW w:w="640" w:type="pct"/>
            <w:vMerge w:val="continue"/>
            <w:vAlign w:val="center"/>
          </w:tcPr>
          <w:p>
            <w:pPr>
              <w:rPr>
                <w:rFonts w:hint="eastAsia" w:ascii="仿宋_GB2312" w:hAnsi="仿宋_GB2312" w:eastAsia="仿宋_GB2312" w:cs="仿宋_GB2312"/>
                <w:bCs/>
                <w:color w:val="000000"/>
              </w:rPr>
            </w:pPr>
          </w:p>
        </w:tc>
        <w:tc>
          <w:tcPr>
            <w:tcW w:w="1013"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从重</w:t>
            </w:r>
          </w:p>
        </w:tc>
        <w:tc>
          <w:tcPr>
            <w:tcW w:w="622"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kern w:val="0"/>
                <w:szCs w:val="21"/>
              </w:rPr>
              <w:t>造成生产安全事故的，或造成其他严重后果的</w:t>
            </w:r>
          </w:p>
        </w:tc>
        <w:tc>
          <w:tcPr>
            <w:tcW w:w="1174"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生产经营单位：责令限期改正，处十万元的罚款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86" w:hRule="atLeast"/>
          <w:jc w:val="center"/>
        </w:trPr>
        <w:tc>
          <w:tcPr>
            <w:tcW w:w="324" w:type="pct"/>
            <w:vMerge w:val="continue"/>
            <w:vAlign w:val="center"/>
          </w:tcPr>
          <w:p>
            <w:pPr>
              <w:rPr>
                <w:rFonts w:hint="eastAsia" w:ascii="仿宋_GB2312" w:hAnsi="仿宋_GB2312" w:eastAsia="仿宋_GB2312" w:cs="仿宋_GB2312"/>
                <w:bCs/>
                <w:color w:val="000000"/>
              </w:rPr>
            </w:pPr>
          </w:p>
        </w:tc>
        <w:tc>
          <w:tcPr>
            <w:tcW w:w="428" w:type="pct"/>
            <w:vMerge w:val="continue"/>
            <w:vAlign w:val="center"/>
          </w:tcPr>
          <w:p>
            <w:pPr>
              <w:rPr>
                <w:rFonts w:hint="eastAsia" w:ascii="仿宋_GB2312" w:hAnsi="仿宋_GB2312" w:eastAsia="仿宋_GB2312" w:cs="仿宋_GB2312"/>
                <w:bCs/>
                <w:color w:val="000000"/>
              </w:rPr>
            </w:pPr>
          </w:p>
        </w:tc>
        <w:tc>
          <w:tcPr>
            <w:tcW w:w="640" w:type="pct"/>
            <w:vMerge w:val="continue"/>
            <w:vAlign w:val="center"/>
          </w:tcPr>
          <w:p>
            <w:pPr>
              <w:rPr>
                <w:rFonts w:hint="eastAsia" w:ascii="仿宋_GB2312" w:hAnsi="仿宋_GB2312" w:eastAsia="仿宋_GB2312" w:cs="仿宋_GB2312"/>
                <w:bCs/>
                <w:color w:val="000000"/>
              </w:rPr>
            </w:pPr>
          </w:p>
        </w:tc>
        <w:tc>
          <w:tcPr>
            <w:tcW w:w="1013"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lang w:bidi="ar"/>
              </w:rPr>
            </w:pPr>
          </w:p>
        </w:tc>
        <w:tc>
          <w:tcPr>
            <w:tcW w:w="622" w:type="pct"/>
            <w:vMerge w:val="continue"/>
            <w:vAlign w:val="center"/>
          </w:tcPr>
          <w:p>
            <w:pPr>
              <w:rPr>
                <w:rFonts w:hint="eastAsia" w:ascii="仿宋_GB2312" w:hAnsi="仿宋_GB2312" w:eastAsia="仿宋_GB2312" w:cs="仿宋_GB2312"/>
                <w:bCs/>
                <w:color w:val="000000"/>
              </w:rPr>
            </w:pPr>
          </w:p>
        </w:tc>
        <w:tc>
          <w:tcPr>
            <w:tcW w:w="1174"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，责令生产经营单位停产停业整顿，并处超过十五万元、</w:t>
            </w:r>
            <w:r>
              <w:rPr>
                <w:rFonts w:hint="eastAsia" w:ascii="仿宋_GB2312" w:hAnsi="仿宋_GB2312" w:eastAsia="仿宋_GB2312" w:cs="仿宋_GB2312"/>
                <w:bCs/>
                <w:color w:val="000000"/>
                <w:szCs w:val="21"/>
              </w:rPr>
              <w:t>二十万元以下</w:t>
            </w:r>
            <w:r>
              <w:rPr>
                <w:rFonts w:hint="eastAsia" w:ascii="仿宋_GB2312" w:hAnsi="仿宋_GB2312" w:eastAsia="仿宋_GB2312" w:cs="仿宋_GB2312"/>
                <w:bCs/>
                <w:color w:val="000000"/>
              </w:rPr>
              <w:t>的罚款，对其直接负责的主管人员和其他直接责任人员处超过三万五千元、</w:t>
            </w:r>
            <w:r>
              <w:rPr>
                <w:rFonts w:hint="eastAsia" w:ascii="仿宋_GB2312" w:hAnsi="仿宋_GB2312" w:eastAsia="仿宋_GB2312" w:cs="仿宋_GB2312"/>
                <w:bCs/>
                <w:color w:val="000000"/>
                <w:szCs w:val="21"/>
              </w:rPr>
              <w:t>五万元以下</w:t>
            </w:r>
            <w:r>
              <w:rPr>
                <w:rFonts w:hint="eastAsia" w:ascii="仿宋_GB2312" w:hAnsi="仿宋_GB2312" w:eastAsia="仿宋_GB2312" w:cs="仿宋_GB2312"/>
                <w:bCs/>
                <w:color w:val="000000"/>
              </w:rPr>
              <w:t>的罚款</w:t>
            </w:r>
          </w:p>
        </w:tc>
      </w:tr>
    </w:tbl>
    <w:p/>
    <w:p>
      <w:pPr>
        <w:rPr>
          <w:rFonts w:hint="eastAsia" w:cs="宋体" w:asciiTheme="minorEastAsia" w:hAnsiTheme="minorEastAsia"/>
          <w:bCs/>
          <w:color w:val="000000"/>
        </w:rPr>
      </w:pPr>
    </w:p>
    <w:p>
      <w:pPr>
        <w:rPr>
          <w:rFonts w:hint="eastAsia" w:cs="宋体" w:asciiTheme="minorEastAsia" w:hAnsiTheme="minorEastAsia"/>
          <w:bCs/>
          <w:color w:val="000000"/>
          <w:sz w:val="32"/>
          <w:szCs w:val="32"/>
        </w:rPr>
      </w:pPr>
      <w:r>
        <w:rPr>
          <w:rFonts w:hint="eastAsia" w:cs="宋体" w:asciiTheme="minorEastAsia" w:hAnsiTheme="minorEastAsia"/>
          <w:bCs/>
          <w:color w:val="000000"/>
          <w:sz w:val="32"/>
          <w:szCs w:val="32"/>
        </w:rPr>
        <w:t>《中华人民共和国安全生产法》</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76"/>
        <w:gridCol w:w="1215"/>
        <w:gridCol w:w="1238"/>
        <w:gridCol w:w="3577"/>
        <w:gridCol w:w="1162"/>
        <w:gridCol w:w="1162"/>
        <w:gridCol w:w="1811"/>
        <w:gridCol w:w="34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35"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序号</w:t>
            </w:r>
          </w:p>
        </w:tc>
        <w:tc>
          <w:tcPr>
            <w:tcW w:w="417"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425"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1228"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39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39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622"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1174"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8" w:hRule="atLeast"/>
          <w:jc w:val="center"/>
        </w:trPr>
        <w:tc>
          <w:tcPr>
            <w:tcW w:w="335" w:type="pct"/>
            <w:vMerge w:val="restart"/>
            <w:vAlign w:val="center"/>
          </w:tcPr>
          <w:p>
            <w:pPr>
              <w:widowControl/>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Cs/>
                <w:color w:val="000000"/>
                <w:kern w:val="0"/>
                <w:szCs w:val="21"/>
                <w:lang w:val="en"/>
              </w:rPr>
              <w:t>101.13</w:t>
            </w:r>
          </w:p>
        </w:tc>
        <w:tc>
          <w:tcPr>
            <w:tcW w:w="417"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rPr>
              <w:t>生产经营单位未在有较大危险因素的生产经营场所和有关设施、设备上设置明显的安全警示标志的</w:t>
            </w:r>
          </w:p>
        </w:tc>
        <w:tc>
          <w:tcPr>
            <w:tcW w:w="425"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第三十五条：“生产经营单位应当在有较大危险因素的生产经营场所和有关设施、设备上，设置明显的安全警示标志。”</w:t>
            </w:r>
          </w:p>
        </w:tc>
        <w:tc>
          <w:tcPr>
            <w:tcW w:w="1228" w:type="pct"/>
            <w:vMerge w:val="restart"/>
            <w:vAlign w:val="center"/>
          </w:tcPr>
          <w:p>
            <w:pPr>
              <w:widowControl/>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第九十九条第（一）项：“生产经营单位有下列行为之一的，责令限期改正，处五万元以下的罚款；逾期未改正的，处五万元以上二十万元以下的罚款，对其直接负责的主管人员和其他直接责任人员处一万元以上二万元以下的罚款；情节严重的，责令停产停业整顿；构成犯罪的，依照刑法有关规定追究刑事责任：（一）未在有较大危险因素的生产经营场所和有关设施、设备上设置明显的安全警示标志的。”</w:t>
            </w:r>
          </w:p>
        </w:tc>
        <w:tc>
          <w:tcPr>
            <w:tcW w:w="399" w:type="pct"/>
            <w:vMerge w:val="restart"/>
            <w:vAlign w:val="center"/>
          </w:tcPr>
          <w:p>
            <w:pPr>
              <w:jc w:val="left"/>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罚款；责令停产停业</w:t>
            </w: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从轻</w:t>
            </w:r>
          </w:p>
        </w:tc>
        <w:tc>
          <w:tcPr>
            <w:tcW w:w="622" w:type="pct"/>
            <w:vMerge w:val="restar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rPr>
              <w:t>有少于5处未设置安全警示标志的</w:t>
            </w:r>
          </w:p>
        </w:tc>
        <w:tc>
          <w:tcPr>
            <w:tcW w:w="1174"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rPr>
              <w:t>生产经营单位：责令限期改正，处一万元的罚款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04" w:hRule="atLeast"/>
          <w:jc w:val="center"/>
        </w:trPr>
        <w:tc>
          <w:tcPr>
            <w:tcW w:w="335" w:type="pct"/>
            <w:vMerge w:val="continue"/>
            <w:vAlign w:val="center"/>
          </w:tcPr>
          <w:p>
            <w:pPr>
              <w:widowControl/>
              <w:jc w:val="center"/>
              <w:rPr>
                <w:rFonts w:hint="eastAsia" w:ascii="仿宋_GB2312" w:hAnsi="仿宋_GB2312" w:eastAsia="仿宋_GB2312" w:cs="仿宋_GB2312"/>
                <w:bCs/>
                <w:color w:val="000000"/>
                <w:kern w:val="0"/>
                <w:szCs w:val="21"/>
                <w:lang w:val="en"/>
              </w:rPr>
            </w:pPr>
          </w:p>
        </w:tc>
        <w:tc>
          <w:tcPr>
            <w:tcW w:w="417" w:type="pct"/>
            <w:vMerge w:val="continue"/>
            <w:vAlign w:val="center"/>
          </w:tcPr>
          <w:p>
            <w:pPr>
              <w:rPr>
                <w:rFonts w:hint="eastAsia" w:ascii="仿宋_GB2312" w:hAnsi="仿宋_GB2312" w:eastAsia="仿宋_GB2312" w:cs="仿宋_GB2312"/>
                <w:bCs/>
                <w:color w:val="000000"/>
              </w:rPr>
            </w:pPr>
          </w:p>
        </w:tc>
        <w:tc>
          <w:tcPr>
            <w:tcW w:w="425" w:type="pct"/>
            <w:vMerge w:val="continue"/>
            <w:vAlign w:val="center"/>
          </w:tcPr>
          <w:p>
            <w:pPr>
              <w:rPr>
                <w:rFonts w:hint="eastAsia" w:ascii="仿宋_GB2312" w:hAnsi="仿宋_GB2312" w:eastAsia="仿宋_GB2312" w:cs="仿宋_GB2312"/>
                <w:bCs/>
                <w:color w:val="000000"/>
              </w:rPr>
            </w:pPr>
          </w:p>
        </w:tc>
        <w:tc>
          <w:tcPr>
            <w:tcW w:w="1228" w:type="pct"/>
            <w:vMerge w:val="continue"/>
            <w:vAlign w:val="center"/>
          </w:tcPr>
          <w:p>
            <w:pPr>
              <w:widowControl/>
              <w:rPr>
                <w:rFonts w:hint="eastAsia" w:ascii="仿宋_GB2312" w:hAnsi="仿宋_GB2312" w:eastAsia="仿宋_GB2312" w:cs="仿宋_GB2312"/>
                <w:bCs/>
                <w:color w:val="000000"/>
              </w:rPr>
            </w:pPr>
          </w:p>
        </w:tc>
        <w:tc>
          <w:tcPr>
            <w:tcW w:w="399" w:type="pct"/>
            <w:vMerge w:val="continue"/>
            <w:vAlign w:val="center"/>
          </w:tcPr>
          <w:p>
            <w:pPr>
              <w:jc w:val="left"/>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lang w:bidi="ar"/>
              </w:rPr>
            </w:pPr>
          </w:p>
        </w:tc>
        <w:tc>
          <w:tcPr>
            <w:tcW w:w="622" w:type="pct"/>
            <w:vMerge w:val="continue"/>
            <w:vAlign w:val="center"/>
          </w:tcPr>
          <w:p>
            <w:pPr>
              <w:rPr>
                <w:rFonts w:hint="eastAsia" w:ascii="仿宋_GB2312" w:hAnsi="仿宋_GB2312" w:eastAsia="仿宋_GB2312" w:cs="仿宋_GB2312"/>
                <w:bCs/>
                <w:color w:val="000000"/>
                <w:kern w:val="0"/>
                <w:szCs w:val="21"/>
              </w:rPr>
            </w:pPr>
          </w:p>
        </w:tc>
        <w:tc>
          <w:tcPr>
            <w:tcW w:w="1174"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，对生产经营单位处五万元以上、低于十二万五千元的罚款，对其直接负责的主管人员和其他直接责任人员处一万元以上、低于一万五千元的罚款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335" w:type="pct"/>
            <w:vMerge w:val="continue"/>
            <w:vAlign w:val="center"/>
          </w:tcPr>
          <w:p>
            <w:pPr>
              <w:rPr>
                <w:rFonts w:hint="eastAsia" w:ascii="仿宋_GB2312" w:hAnsi="仿宋_GB2312" w:eastAsia="仿宋_GB2312" w:cs="仿宋_GB2312"/>
                <w:bCs/>
                <w:color w:val="000000"/>
              </w:rPr>
            </w:pPr>
          </w:p>
        </w:tc>
        <w:tc>
          <w:tcPr>
            <w:tcW w:w="417" w:type="pct"/>
            <w:vMerge w:val="continue"/>
            <w:vAlign w:val="center"/>
          </w:tcPr>
          <w:p>
            <w:pPr>
              <w:rPr>
                <w:rFonts w:hint="eastAsia" w:ascii="仿宋_GB2312" w:hAnsi="仿宋_GB2312" w:eastAsia="仿宋_GB2312" w:cs="仿宋_GB2312"/>
                <w:bCs/>
                <w:color w:val="000000"/>
              </w:rPr>
            </w:pPr>
          </w:p>
        </w:tc>
        <w:tc>
          <w:tcPr>
            <w:tcW w:w="425" w:type="pct"/>
            <w:vMerge w:val="continue"/>
            <w:vAlign w:val="center"/>
          </w:tcPr>
          <w:p>
            <w:pPr>
              <w:rPr>
                <w:rFonts w:hint="eastAsia" w:ascii="仿宋_GB2312" w:hAnsi="仿宋_GB2312" w:eastAsia="仿宋_GB2312" w:cs="仿宋_GB2312"/>
                <w:bCs/>
                <w:color w:val="000000"/>
              </w:rPr>
            </w:pPr>
          </w:p>
        </w:tc>
        <w:tc>
          <w:tcPr>
            <w:tcW w:w="1228"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一般</w:t>
            </w:r>
          </w:p>
        </w:tc>
        <w:tc>
          <w:tcPr>
            <w:tcW w:w="622"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kern w:val="0"/>
                <w:szCs w:val="21"/>
              </w:rPr>
              <w:t>有5处以上、少于10处未设置安全警示标志的</w:t>
            </w:r>
          </w:p>
        </w:tc>
        <w:tc>
          <w:tcPr>
            <w:tcW w:w="1174"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生产经营单位：责令限期改正，处二万五千元的罚款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0" w:hRule="atLeast"/>
          <w:jc w:val="center"/>
        </w:trPr>
        <w:tc>
          <w:tcPr>
            <w:tcW w:w="335" w:type="pct"/>
            <w:vMerge w:val="continue"/>
            <w:vAlign w:val="center"/>
          </w:tcPr>
          <w:p>
            <w:pPr>
              <w:rPr>
                <w:rFonts w:hint="eastAsia" w:ascii="仿宋_GB2312" w:hAnsi="仿宋_GB2312" w:eastAsia="仿宋_GB2312" w:cs="仿宋_GB2312"/>
                <w:bCs/>
                <w:color w:val="000000"/>
              </w:rPr>
            </w:pPr>
          </w:p>
        </w:tc>
        <w:tc>
          <w:tcPr>
            <w:tcW w:w="417" w:type="pct"/>
            <w:vMerge w:val="continue"/>
            <w:vAlign w:val="center"/>
          </w:tcPr>
          <w:p>
            <w:pPr>
              <w:rPr>
                <w:rFonts w:hint="eastAsia" w:ascii="仿宋_GB2312" w:hAnsi="仿宋_GB2312" w:eastAsia="仿宋_GB2312" w:cs="仿宋_GB2312"/>
                <w:bCs/>
                <w:color w:val="000000"/>
              </w:rPr>
            </w:pPr>
          </w:p>
        </w:tc>
        <w:tc>
          <w:tcPr>
            <w:tcW w:w="425" w:type="pct"/>
            <w:vMerge w:val="continue"/>
            <w:vAlign w:val="center"/>
          </w:tcPr>
          <w:p>
            <w:pPr>
              <w:rPr>
                <w:rFonts w:hint="eastAsia" w:ascii="仿宋_GB2312" w:hAnsi="仿宋_GB2312" w:eastAsia="仿宋_GB2312" w:cs="仿宋_GB2312"/>
                <w:bCs/>
                <w:color w:val="000000"/>
              </w:rPr>
            </w:pPr>
          </w:p>
        </w:tc>
        <w:tc>
          <w:tcPr>
            <w:tcW w:w="1228"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lang w:bidi="ar"/>
              </w:rPr>
            </w:pPr>
          </w:p>
        </w:tc>
        <w:tc>
          <w:tcPr>
            <w:tcW w:w="622" w:type="pct"/>
            <w:vMerge w:val="continue"/>
            <w:vAlign w:val="center"/>
          </w:tcPr>
          <w:p>
            <w:pPr>
              <w:rPr>
                <w:rFonts w:hint="eastAsia" w:ascii="仿宋_GB2312" w:hAnsi="仿宋_GB2312" w:eastAsia="仿宋_GB2312" w:cs="仿宋_GB2312"/>
                <w:bCs/>
                <w:color w:val="000000"/>
                <w:kern w:val="0"/>
                <w:szCs w:val="21"/>
              </w:rPr>
            </w:pPr>
          </w:p>
        </w:tc>
        <w:tc>
          <w:tcPr>
            <w:tcW w:w="1174"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，对生产经营单位处十二万五千元的罚款，对其直接负责的主管人员和其他直接责任人员处一万五千元的罚款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jc w:val="center"/>
        </w:trPr>
        <w:tc>
          <w:tcPr>
            <w:tcW w:w="335" w:type="pct"/>
            <w:vMerge w:val="continue"/>
            <w:vAlign w:val="center"/>
          </w:tcPr>
          <w:p>
            <w:pPr>
              <w:rPr>
                <w:rFonts w:hint="eastAsia" w:ascii="仿宋_GB2312" w:hAnsi="仿宋_GB2312" w:eastAsia="仿宋_GB2312" w:cs="仿宋_GB2312"/>
                <w:bCs/>
                <w:color w:val="000000"/>
              </w:rPr>
            </w:pPr>
          </w:p>
        </w:tc>
        <w:tc>
          <w:tcPr>
            <w:tcW w:w="417" w:type="pct"/>
            <w:vMerge w:val="continue"/>
            <w:vAlign w:val="center"/>
          </w:tcPr>
          <w:p>
            <w:pPr>
              <w:rPr>
                <w:rFonts w:hint="eastAsia" w:ascii="仿宋_GB2312" w:hAnsi="仿宋_GB2312" w:eastAsia="仿宋_GB2312" w:cs="仿宋_GB2312"/>
                <w:bCs/>
                <w:color w:val="000000"/>
              </w:rPr>
            </w:pPr>
          </w:p>
        </w:tc>
        <w:tc>
          <w:tcPr>
            <w:tcW w:w="425" w:type="pct"/>
            <w:vMerge w:val="continue"/>
            <w:vAlign w:val="center"/>
          </w:tcPr>
          <w:p>
            <w:pPr>
              <w:rPr>
                <w:rFonts w:hint="eastAsia" w:ascii="仿宋_GB2312" w:hAnsi="仿宋_GB2312" w:eastAsia="仿宋_GB2312" w:cs="仿宋_GB2312"/>
                <w:bCs/>
                <w:color w:val="000000"/>
              </w:rPr>
            </w:pPr>
          </w:p>
        </w:tc>
        <w:tc>
          <w:tcPr>
            <w:tcW w:w="1228"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从重</w:t>
            </w:r>
          </w:p>
        </w:tc>
        <w:tc>
          <w:tcPr>
            <w:tcW w:w="622"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kern w:val="0"/>
                <w:szCs w:val="21"/>
              </w:rPr>
              <w:t>有10处以上未设置安全警示标志的</w:t>
            </w:r>
          </w:p>
        </w:tc>
        <w:tc>
          <w:tcPr>
            <w:tcW w:w="1174"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生产经营单位：责令限期改正，处五万元的罚款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94" w:hRule="atLeast"/>
          <w:jc w:val="center"/>
        </w:trPr>
        <w:tc>
          <w:tcPr>
            <w:tcW w:w="335" w:type="pct"/>
            <w:vMerge w:val="continue"/>
            <w:vAlign w:val="center"/>
          </w:tcPr>
          <w:p>
            <w:pPr>
              <w:rPr>
                <w:rFonts w:hint="eastAsia" w:ascii="仿宋_GB2312" w:hAnsi="仿宋_GB2312" w:eastAsia="仿宋_GB2312" w:cs="仿宋_GB2312"/>
                <w:bCs/>
                <w:color w:val="000000"/>
              </w:rPr>
            </w:pPr>
          </w:p>
        </w:tc>
        <w:tc>
          <w:tcPr>
            <w:tcW w:w="417" w:type="pct"/>
            <w:vMerge w:val="continue"/>
            <w:vAlign w:val="center"/>
          </w:tcPr>
          <w:p>
            <w:pPr>
              <w:rPr>
                <w:rFonts w:hint="eastAsia" w:ascii="仿宋_GB2312" w:hAnsi="仿宋_GB2312" w:eastAsia="仿宋_GB2312" w:cs="仿宋_GB2312"/>
                <w:bCs/>
                <w:color w:val="000000"/>
              </w:rPr>
            </w:pPr>
          </w:p>
        </w:tc>
        <w:tc>
          <w:tcPr>
            <w:tcW w:w="425" w:type="pct"/>
            <w:vMerge w:val="continue"/>
            <w:vAlign w:val="center"/>
          </w:tcPr>
          <w:p>
            <w:pPr>
              <w:rPr>
                <w:rFonts w:hint="eastAsia" w:ascii="仿宋_GB2312" w:hAnsi="仿宋_GB2312" w:eastAsia="仿宋_GB2312" w:cs="仿宋_GB2312"/>
                <w:bCs/>
                <w:color w:val="000000"/>
              </w:rPr>
            </w:pPr>
          </w:p>
        </w:tc>
        <w:tc>
          <w:tcPr>
            <w:tcW w:w="1228"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lang w:bidi="ar"/>
              </w:rPr>
            </w:pPr>
          </w:p>
        </w:tc>
        <w:tc>
          <w:tcPr>
            <w:tcW w:w="622" w:type="pct"/>
            <w:vMerge w:val="continue"/>
            <w:vAlign w:val="center"/>
          </w:tcPr>
          <w:p>
            <w:pPr>
              <w:rPr>
                <w:rFonts w:hint="eastAsia" w:ascii="仿宋_GB2312" w:hAnsi="仿宋_GB2312" w:eastAsia="仿宋_GB2312" w:cs="仿宋_GB2312"/>
                <w:bCs/>
                <w:color w:val="000000"/>
                <w:kern w:val="0"/>
                <w:szCs w:val="21"/>
              </w:rPr>
            </w:pPr>
          </w:p>
        </w:tc>
        <w:tc>
          <w:tcPr>
            <w:tcW w:w="1174"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，对生产经营单位处超过十二万五千元、二十万元以下的罚款，对其直接负责的主管人员和其他直接责任人员处超过一万五千元、二万元以下的罚款，情节严重的，责令停产停业整顿</w:t>
            </w:r>
          </w:p>
        </w:tc>
      </w:tr>
    </w:tbl>
    <w:p/>
    <w:p>
      <w:pPr>
        <w:rPr>
          <w:rFonts w:hint="eastAsia" w:cs="宋体" w:asciiTheme="minorEastAsia" w:hAnsiTheme="minorEastAsia"/>
          <w:bCs/>
          <w:color w:val="000000"/>
        </w:rPr>
      </w:pPr>
    </w:p>
    <w:p>
      <w:pPr>
        <w:rPr>
          <w:rFonts w:hint="eastAsia" w:cs="宋体" w:asciiTheme="minorEastAsia" w:hAnsiTheme="minorEastAsia"/>
          <w:bCs/>
          <w:color w:val="000000"/>
        </w:rPr>
      </w:pPr>
    </w:p>
    <w:p>
      <w:pPr>
        <w:rPr>
          <w:rFonts w:hint="eastAsia" w:cs="宋体" w:asciiTheme="minorEastAsia" w:hAnsiTheme="minorEastAsia"/>
          <w:bCs/>
          <w:color w:val="000000"/>
        </w:rPr>
      </w:pPr>
    </w:p>
    <w:p>
      <w:pPr>
        <w:rPr>
          <w:rFonts w:hint="eastAsia" w:cs="宋体" w:asciiTheme="minorEastAsia" w:hAnsiTheme="minorEastAsia"/>
          <w:bCs/>
          <w:color w:val="000000"/>
          <w:sz w:val="32"/>
          <w:szCs w:val="32"/>
        </w:rPr>
      </w:pPr>
      <w:r>
        <w:rPr>
          <w:rFonts w:hint="eastAsia" w:cs="宋体" w:asciiTheme="minorEastAsia" w:hAnsiTheme="minorEastAsia"/>
          <w:bCs/>
          <w:color w:val="000000"/>
          <w:sz w:val="32"/>
          <w:szCs w:val="32"/>
        </w:rPr>
        <w:t>《中华人民共和国安全生产法》</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4"/>
        <w:gridCol w:w="1246"/>
        <w:gridCol w:w="1281"/>
        <w:gridCol w:w="3532"/>
        <w:gridCol w:w="1162"/>
        <w:gridCol w:w="1162"/>
        <w:gridCol w:w="2021"/>
        <w:gridCol w:w="321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24"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序号</w:t>
            </w:r>
          </w:p>
        </w:tc>
        <w:tc>
          <w:tcPr>
            <w:tcW w:w="428"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440"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1213"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39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39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694"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1103"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1" w:hRule="atLeast"/>
          <w:jc w:val="center"/>
        </w:trPr>
        <w:tc>
          <w:tcPr>
            <w:tcW w:w="324" w:type="pct"/>
            <w:vMerge w:val="restart"/>
            <w:vAlign w:val="center"/>
          </w:tcPr>
          <w:p>
            <w:pPr>
              <w:widowControl/>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Cs/>
                <w:color w:val="000000"/>
                <w:kern w:val="0"/>
                <w:szCs w:val="21"/>
                <w:lang w:val="en"/>
              </w:rPr>
              <w:t>101.14</w:t>
            </w:r>
          </w:p>
        </w:tc>
        <w:tc>
          <w:tcPr>
            <w:tcW w:w="428"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安全设备的安装、使用、检测、改造和报废不符合国家标准或者行业标准的</w:t>
            </w:r>
          </w:p>
        </w:tc>
        <w:tc>
          <w:tcPr>
            <w:tcW w:w="440"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第三十六条第一款：“安全设备的设计、制造、安装、使用、检测、维修、改造和报废，应当符合国家标准或者行业标准。”</w:t>
            </w:r>
          </w:p>
        </w:tc>
        <w:tc>
          <w:tcPr>
            <w:tcW w:w="1213"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szCs w:val="21"/>
              </w:rPr>
              <w:t>第九十九条第（二）项：“生产经营单位有下列行为之一的，责令限期改正，处五万元以下的罚款；逾期未改正的，处五万元以上二十万元以下的罚款，对其直接负责的主管人员和其他直接责任人员处一万元以上二万元以下的罚款；情节严重的，责令停产停业整顿；构成犯罪的，依照刑法有关规定追究刑事责任：（二）安全设备的安装、使用、检测、改造和报废不符合国家标准或者行业标准的。”</w:t>
            </w:r>
          </w:p>
        </w:tc>
        <w:tc>
          <w:tcPr>
            <w:tcW w:w="399" w:type="pct"/>
            <w:vMerge w:val="restart"/>
            <w:vAlign w:val="center"/>
          </w:tcPr>
          <w:p>
            <w:pPr>
              <w:jc w:val="left"/>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罚款；责令停产停业</w:t>
            </w: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从轻</w:t>
            </w:r>
          </w:p>
        </w:tc>
        <w:tc>
          <w:tcPr>
            <w:tcW w:w="694" w:type="pct"/>
            <w:vMerge w:val="restar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rPr>
              <w:t>有1台（套）安全设备不符合国家标准或者行业标准的</w:t>
            </w:r>
          </w:p>
        </w:tc>
        <w:tc>
          <w:tcPr>
            <w:tcW w:w="1103"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rPr>
              <w:t>生产经营单位：责令限期改正，处一万元的罚款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4" w:hRule="atLeast"/>
          <w:jc w:val="center"/>
        </w:trPr>
        <w:tc>
          <w:tcPr>
            <w:tcW w:w="324" w:type="pct"/>
            <w:vMerge w:val="continue"/>
            <w:vAlign w:val="center"/>
          </w:tcPr>
          <w:p>
            <w:pPr>
              <w:widowControl/>
              <w:jc w:val="center"/>
              <w:rPr>
                <w:rFonts w:hint="eastAsia" w:ascii="仿宋_GB2312" w:hAnsi="仿宋_GB2312" w:eastAsia="仿宋_GB2312" w:cs="仿宋_GB2312"/>
                <w:bCs/>
                <w:color w:val="000000"/>
                <w:kern w:val="0"/>
                <w:szCs w:val="21"/>
                <w:lang w:val="en"/>
              </w:rPr>
            </w:pPr>
          </w:p>
        </w:tc>
        <w:tc>
          <w:tcPr>
            <w:tcW w:w="428" w:type="pct"/>
            <w:vMerge w:val="continue"/>
            <w:vAlign w:val="center"/>
          </w:tcPr>
          <w:p>
            <w:pPr>
              <w:rPr>
                <w:rFonts w:hint="eastAsia" w:ascii="仿宋_GB2312" w:hAnsi="仿宋_GB2312" w:eastAsia="仿宋_GB2312" w:cs="仿宋_GB2312"/>
                <w:bCs/>
                <w:color w:val="000000"/>
                <w:szCs w:val="21"/>
              </w:rPr>
            </w:pPr>
          </w:p>
        </w:tc>
        <w:tc>
          <w:tcPr>
            <w:tcW w:w="440" w:type="pct"/>
            <w:vMerge w:val="continue"/>
            <w:vAlign w:val="center"/>
          </w:tcPr>
          <w:p>
            <w:pPr>
              <w:rPr>
                <w:rFonts w:hint="eastAsia" w:ascii="仿宋_GB2312" w:hAnsi="仿宋_GB2312" w:eastAsia="仿宋_GB2312" w:cs="仿宋_GB2312"/>
                <w:bCs/>
                <w:color w:val="000000"/>
              </w:rPr>
            </w:pPr>
          </w:p>
        </w:tc>
        <w:tc>
          <w:tcPr>
            <w:tcW w:w="1213" w:type="pct"/>
            <w:vMerge w:val="continue"/>
            <w:vAlign w:val="center"/>
          </w:tcPr>
          <w:p>
            <w:pPr>
              <w:rPr>
                <w:rFonts w:hint="eastAsia" w:ascii="仿宋_GB2312" w:hAnsi="仿宋_GB2312" w:eastAsia="仿宋_GB2312" w:cs="仿宋_GB2312"/>
                <w:bCs/>
                <w:color w:val="000000"/>
                <w:szCs w:val="21"/>
              </w:rPr>
            </w:pPr>
          </w:p>
        </w:tc>
        <w:tc>
          <w:tcPr>
            <w:tcW w:w="399" w:type="pct"/>
            <w:vMerge w:val="continue"/>
            <w:vAlign w:val="center"/>
          </w:tcPr>
          <w:p>
            <w:pPr>
              <w:jc w:val="left"/>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lang w:bidi="ar"/>
              </w:rPr>
            </w:pPr>
          </w:p>
        </w:tc>
        <w:tc>
          <w:tcPr>
            <w:tcW w:w="694" w:type="pct"/>
            <w:vMerge w:val="continue"/>
            <w:vAlign w:val="center"/>
          </w:tcPr>
          <w:p>
            <w:pPr>
              <w:rPr>
                <w:rFonts w:hint="eastAsia" w:ascii="仿宋_GB2312" w:hAnsi="仿宋_GB2312" w:eastAsia="仿宋_GB2312" w:cs="仿宋_GB2312"/>
                <w:bCs/>
                <w:color w:val="000000"/>
                <w:kern w:val="0"/>
                <w:szCs w:val="21"/>
              </w:rPr>
            </w:pPr>
          </w:p>
        </w:tc>
        <w:tc>
          <w:tcPr>
            <w:tcW w:w="1103"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，对生产经营单位处五万元以上、低于十二万五千元的罚款，对其直接负责的主管人员和其他直接责任人员处一万元以上、低于一万五千元的罚款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9" w:hRule="atLeast"/>
          <w:jc w:val="center"/>
        </w:trPr>
        <w:tc>
          <w:tcPr>
            <w:tcW w:w="324" w:type="pct"/>
            <w:vMerge w:val="continue"/>
            <w:vAlign w:val="center"/>
          </w:tcPr>
          <w:p>
            <w:pPr>
              <w:rPr>
                <w:rFonts w:hint="eastAsia" w:ascii="仿宋_GB2312" w:hAnsi="仿宋_GB2312" w:eastAsia="仿宋_GB2312" w:cs="仿宋_GB2312"/>
                <w:bCs/>
                <w:color w:val="000000"/>
              </w:rPr>
            </w:pPr>
          </w:p>
        </w:tc>
        <w:tc>
          <w:tcPr>
            <w:tcW w:w="428" w:type="pct"/>
            <w:vMerge w:val="continue"/>
            <w:vAlign w:val="center"/>
          </w:tcPr>
          <w:p>
            <w:pPr>
              <w:rPr>
                <w:rFonts w:hint="eastAsia" w:ascii="仿宋_GB2312" w:hAnsi="仿宋_GB2312" w:eastAsia="仿宋_GB2312" w:cs="仿宋_GB2312"/>
                <w:bCs/>
                <w:color w:val="000000"/>
              </w:rPr>
            </w:pPr>
          </w:p>
        </w:tc>
        <w:tc>
          <w:tcPr>
            <w:tcW w:w="440" w:type="pct"/>
            <w:vMerge w:val="continue"/>
            <w:vAlign w:val="center"/>
          </w:tcPr>
          <w:p>
            <w:pPr>
              <w:rPr>
                <w:rFonts w:hint="eastAsia" w:ascii="仿宋_GB2312" w:hAnsi="仿宋_GB2312" w:eastAsia="仿宋_GB2312" w:cs="仿宋_GB2312"/>
                <w:bCs/>
                <w:color w:val="000000"/>
              </w:rPr>
            </w:pPr>
          </w:p>
        </w:tc>
        <w:tc>
          <w:tcPr>
            <w:tcW w:w="1213"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一般</w:t>
            </w:r>
          </w:p>
        </w:tc>
        <w:tc>
          <w:tcPr>
            <w:tcW w:w="694"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有2台（套）安全设备不符合国家标准或者行业标准的</w:t>
            </w:r>
          </w:p>
        </w:tc>
        <w:tc>
          <w:tcPr>
            <w:tcW w:w="1103"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生产经营单位：责令限期改正，处二万五千元的罚款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81" w:hRule="atLeast"/>
          <w:jc w:val="center"/>
        </w:trPr>
        <w:tc>
          <w:tcPr>
            <w:tcW w:w="324" w:type="pct"/>
            <w:vMerge w:val="continue"/>
            <w:vAlign w:val="center"/>
          </w:tcPr>
          <w:p>
            <w:pPr>
              <w:rPr>
                <w:rFonts w:hint="eastAsia" w:ascii="仿宋_GB2312" w:hAnsi="仿宋_GB2312" w:eastAsia="仿宋_GB2312" w:cs="仿宋_GB2312"/>
                <w:bCs/>
                <w:color w:val="000000"/>
              </w:rPr>
            </w:pPr>
          </w:p>
        </w:tc>
        <w:tc>
          <w:tcPr>
            <w:tcW w:w="428" w:type="pct"/>
            <w:vMerge w:val="continue"/>
            <w:vAlign w:val="center"/>
          </w:tcPr>
          <w:p>
            <w:pPr>
              <w:rPr>
                <w:rFonts w:hint="eastAsia" w:ascii="仿宋_GB2312" w:hAnsi="仿宋_GB2312" w:eastAsia="仿宋_GB2312" w:cs="仿宋_GB2312"/>
                <w:bCs/>
                <w:color w:val="000000"/>
              </w:rPr>
            </w:pPr>
          </w:p>
        </w:tc>
        <w:tc>
          <w:tcPr>
            <w:tcW w:w="440" w:type="pct"/>
            <w:vMerge w:val="continue"/>
            <w:vAlign w:val="center"/>
          </w:tcPr>
          <w:p>
            <w:pPr>
              <w:rPr>
                <w:rFonts w:hint="eastAsia" w:ascii="仿宋_GB2312" w:hAnsi="仿宋_GB2312" w:eastAsia="仿宋_GB2312" w:cs="仿宋_GB2312"/>
                <w:bCs/>
                <w:color w:val="000000"/>
              </w:rPr>
            </w:pPr>
          </w:p>
        </w:tc>
        <w:tc>
          <w:tcPr>
            <w:tcW w:w="1213"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lang w:bidi="ar"/>
              </w:rPr>
            </w:pPr>
          </w:p>
        </w:tc>
        <w:tc>
          <w:tcPr>
            <w:tcW w:w="694" w:type="pct"/>
            <w:vMerge w:val="continue"/>
            <w:vAlign w:val="center"/>
          </w:tcPr>
          <w:p>
            <w:pPr>
              <w:rPr>
                <w:rFonts w:hint="eastAsia" w:ascii="仿宋_GB2312" w:hAnsi="仿宋_GB2312" w:eastAsia="仿宋_GB2312" w:cs="仿宋_GB2312"/>
                <w:bCs/>
                <w:color w:val="000000"/>
              </w:rPr>
            </w:pPr>
          </w:p>
        </w:tc>
        <w:tc>
          <w:tcPr>
            <w:tcW w:w="1103"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，对生产经营单位处十二万五千元的罚款，对其直接负责的主管人员和其他直接责任人员处一万五千元的罚款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7" w:hRule="atLeast"/>
          <w:jc w:val="center"/>
        </w:trPr>
        <w:tc>
          <w:tcPr>
            <w:tcW w:w="324" w:type="pct"/>
            <w:vMerge w:val="continue"/>
            <w:vAlign w:val="center"/>
          </w:tcPr>
          <w:p>
            <w:pPr>
              <w:rPr>
                <w:rFonts w:hint="eastAsia" w:ascii="仿宋_GB2312" w:hAnsi="仿宋_GB2312" w:eastAsia="仿宋_GB2312" w:cs="仿宋_GB2312"/>
                <w:bCs/>
                <w:color w:val="000000"/>
              </w:rPr>
            </w:pPr>
          </w:p>
        </w:tc>
        <w:tc>
          <w:tcPr>
            <w:tcW w:w="428" w:type="pct"/>
            <w:vMerge w:val="continue"/>
            <w:vAlign w:val="center"/>
          </w:tcPr>
          <w:p>
            <w:pPr>
              <w:rPr>
                <w:rFonts w:hint="eastAsia" w:ascii="仿宋_GB2312" w:hAnsi="仿宋_GB2312" w:eastAsia="仿宋_GB2312" w:cs="仿宋_GB2312"/>
                <w:bCs/>
                <w:color w:val="000000"/>
              </w:rPr>
            </w:pPr>
          </w:p>
        </w:tc>
        <w:tc>
          <w:tcPr>
            <w:tcW w:w="440" w:type="pct"/>
            <w:vMerge w:val="continue"/>
            <w:vAlign w:val="center"/>
          </w:tcPr>
          <w:p>
            <w:pPr>
              <w:rPr>
                <w:rFonts w:hint="eastAsia" w:ascii="仿宋_GB2312" w:hAnsi="仿宋_GB2312" w:eastAsia="仿宋_GB2312" w:cs="仿宋_GB2312"/>
                <w:bCs/>
                <w:color w:val="000000"/>
              </w:rPr>
            </w:pPr>
          </w:p>
        </w:tc>
        <w:tc>
          <w:tcPr>
            <w:tcW w:w="1213"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从重</w:t>
            </w:r>
          </w:p>
        </w:tc>
        <w:tc>
          <w:tcPr>
            <w:tcW w:w="694"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有3台（套）以上安全设备不符合国家标准或者行业标准的</w:t>
            </w:r>
          </w:p>
        </w:tc>
        <w:tc>
          <w:tcPr>
            <w:tcW w:w="1103"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生产经营单位：责令限期改正，处五万元的罚款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74" w:hRule="atLeast"/>
          <w:jc w:val="center"/>
        </w:trPr>
        <w:tc>
          <w:tcPr>
            <w:tcW w:w="324" w:type="pct"/>
            <w:vMerge w:val="continue"/>
            <w:vAlign w:val="center"/>
          </w:tcPr>
          <w:p>
            <w:pPr>
              <w:rPr>
                <w:rFonts w:hint="eastAsia" w:ascii="仿宋_GB2312" w:hAnsi="仿宋_GB2312" w:eastAsia="仿宋_GB2312" w:cs="仿宋_GB2312"/>
                <w:bCs/>
                <w:color w:val="000000"/>
              </w:rPr>
            </w:pPr>
          </w:p>
        </w:tc>
        <w:tc>
          <w:tcPr>
            <w:tcW w:w="428" w:type="pct"/>
            <w:vMerge w:val="continue"/>
            <w:vAlign w:val="center"/>
          </w:tcPr>
          <w:p>
            <w:pPr>
              <w:rPr>
                <w:rFonts w:hint="eastAsia" w:ascii="仿宋_GB2312" w:hAnsi="仿宋_GB2312" w:eastAsia="仿宋_GB2312" w:cs="仿宋_GB2312"/>
                <w:bCs/>
                <w:color w:val="000000"/>
              </w:rPr>
            </w:pPr>
          </w:p>
        </w:tc>
        <w:tc>
          <w:tcPr>
            <w:tcW w:w="440" w:type="pct"/>
            <w:vMerge w:val="continue"/>
            <w:vAlign w:val="center"/>
          </w:tcPr>
          <w:p>
            <w:pPr>
              <w:rPr>
                <w:rFonts w:hint="eastAsia" w:ascii="仿宋_GB2312" w:hAnsi="仿宋_GB2312" w:eastAsia="仿宋_GB2312" w:cs="仿宋_GB2312"/>
                <w:bCs/>
                <w:color w:val="000000"/>
              </w:rPr>
            </w:pPr>
          </w:p>
        </w:tc>
        <w:tc>
          <w:tcPr>
            <w:tcW w:w="1213"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lang w:bidi="ar"/>
              </w:rPr>
            </w:pPr>
          </w:p>
        </w:tc>
        <w:tc>
          <w:tcPr>
            <w:tcW w:w="694" w:type="pct"/>
            <w:vMerge w:val="continue"/>
            <w:vAlign w:val="center"/>
          </w:tcPr>
          <w:p>
            <w:pPr>
              <w:rPr>
                <w:rFonts w:hint="eastAsia" w:ascii="仿宋_GB2312" w:hAnsi="仿宋_GB2312" w:eastAsia="仿宋_GB2312" w:cs="仿宋_GB2312"/>
                <w:bCs/>
                <w:color w:val="000000"/>
              </w:rPr>
            </w:pPr>
          </w:p>
        </w:tc>
        <w:tc>
          <w:tcPr>
            <w:tcW w:w="1103"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，对生产经营单位处超过十二万五千元、二十万元以下的罚款，对其直接负责的主管人员和其他直接责任人员处超过一万五千元、二万元以下的罚款，</w:t>
            </w:r>
            <w:r>
              <w:rPr>
                <w:rFonts w:hint="eastAsia" w:ascii="仿宋_GB2312" w:hAnsi="仿宋_GB2312" w:eastAsia="仿宋_GB2312" w:cs="仿宋_GB2312"/>
                <w:bCs/>
                <w:color w:val="000000"/>
                <w:szCs w:val="21"/>
              </w:rPr>
              <w:t>情节严重的，责令停产停业整顿</w:t>
            </w:r>
          </w:p>
        </w:tc>
      </w:tr>
    </w:tbl>
    <w:p>
      <w:pPr>
        <w:rPr>
          <w:rFonts w:hint="eastAsia" w:cs="宋体" w:asciiTheme="minorEastAsia" w:hAnsiTheme="minorEastAsia"/>
          <w:bCs/>
          <w:color w:val="000000"/>
        </w:rPr>
      </w:pPr>
    </w:p>
    <w:p>
      <w:pPr>
        <w:rPr>
          <w:rFonts w:hint="eastAsia" w:cs="宋体" w:asciiTheme="minorEastAsia" w:hAnsiTheme="minorEastAsia"/>
          <w:bCs/>
          <w:color w:val="000000"/>
        </w:rPr>
      </w:pPr>
    </w:p>
    <w:p>
      <w:pPr>
        <w:rPr>
          <w:rFonts w:hint="eastAsia" w:cs="宋体" w:asciiTheme="minorEastAsia" w:hAnsiTheme="minorEastAsia"/>
          <w:bCs/>
          <w:color w:val="000000"/>
          <w:sz w:val="32"/>
          <w:szCs w:val="32"/>
        </w:rPr>
      </w:pPr>
      <w:r>
        <w:rPr>
          <w:rFonts w:hint="eastAsia" w:cs="宋体" w:asciiTheme="minorEastAsia" w:hAnsiTheme="minorEastAsia"/>
          <w:bCs/>
          <w:color w:val="000000"/>
          <w:sz w:val="32"/>
          <w:szCs w:val="32"/>
        </w:rPr>
        <w:t>《中华人民共和国安全生产法》</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4"/>
        <w:gridCol w:w="1185"/>
        <w:gridCol w:w="1579"/>
        <w:gridCol w:w="3235"/>
        <w:gridCol w:w="1162"/>
        <w:gridCol w:w="1162"/>
        <w:gridCol w:w="1966"/>
        <w:gridCol w:w="32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45"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序号</w:t>
            </w:r>
          </w:p>
        </w:tc>
        <w:tc>
          <w:tcPr>
            <w:tcW w:w="407"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542"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1111"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39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39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675"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1122"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4" w:hRule="atLeast"/>
          <w:jc w:val="center"/>
        </w:trPr>
        <w:tc>
          <w:tcPr>
            <w:tcW w:w="345" w:type="pct"/>
            <w:vMerge w:val="restart"/>
            <w:vAlign w:val="center"/>
          </w:tcPr>
          <w:p>
            <w:pPr>
              <w:widowControl/>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Cs/>
                <w:color w:val="000000"/>
                <w:kern w:val="0"/>
                <w:szCs w:val="21"/>
                <w:lang w:val="en"/>
              </w:rPr>
              <w:t>101.15</w:t>
            </w:r>
          </w:p>
        </w:tc>
        <w:tc>
          <w:tcPr>
            <w:tcW w:w="407"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生产经营单位未对安全设备进行经常性维护、保养和定期检测的</w:t>
            </w:r>
          </w:p>
        </w:tc>
        <w:tc>
          <w:tcPr>
            <w:tcW w:w="542"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szCs w:val="21"/>
              </w:rPr>
              <w:t>第三十六条第二款：“生产经营单位必须对安全设备进行经常性维护、保养，并定期检测，保证正常运转。维护、保养、检测应当作好记录，并由有关人员签字。”</w:t>
            </w:r>
          </w:p>
        </w:tc>
        <w:tc>
          <w:tcPr>
            <w:tcW w:w="1111"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szCs w:val="21"/>
              </w:rPr>
              <w:t>第九十九条第（三）项：“生产经营单位有下列行为之一的，责令限期改正，处五万元以下的罚款；逾期未改正的，处五万元以上二十万元以下的罚款，对其直接负责的主管人员和其他直接责任人员处一万元以上二万元以下的罚款；情节严重的，责令停产停业整顿；构成犯罪的，依照刑法有关规定追究刑事责任：（三）未对安全设备进行经常性维护、保养和定期检测的。”</w:t>
            </w:r>
          </w:p>
        </w:tc>
        <w:tc>
          <w:tcPr>
            <w:tcW w:w="399" w:type="pct"/>
            <w:vMerge w:val="restart"/>
            <w:vAlign w:val="center"/>
          </w:tcPr>
          <w:p>
            <w:pPr>
              <w:jc w:val="left"/>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罚款；责令停产停业</w:t>
            </w: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从轻</w:t>
            </w:r>
          </w:p>
        </w:tc>
        <w:tc>
          <w:tcPr>
            <w:tcW w:w="675" w:type="pct"/>
            <w:vMerge w:val="restar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rPr>
              <w:t>有少于5</w:t>
            </w:r>
            <w:r>
              <w:rPr>
                <w:rFonts w:hint="eastAsia" w:ascii="仿宋_GB2312" w:hAnsi="仿宋_GB2312" w:eastAsia="仿宋_GB2312" w:cs="仿宋_GB2312"/>
                <w:bCs/>
                <w:color w:val="000000"/>
              </w:rPr>
              <w:t>台（套）安全设备未进行经常性维护、保养和定期检测的</w:t>
            </w:r>
          </w:p>
        </w:tc>
        <w:tc>
          <w:tcPr>
            <w:tcW w:w="1122"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rPr>
              <w:t>生产经营单位：责令限期改正，处一万元的罚款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1" w:hRule="atLeast"/>
          <w:jc w:val="center"/>
        </w:trPr>
        <w:tc>
          <w:tcPr>
            <w:tcW w:w="345" w:type="pct"/>
            <w:vMerge w:val="continue"/>
            <w:vAlign w:val="center"/>
          </w:tcPr>
          <w:p>
            <w:pPr>
              <w:widowControl/>
              <w:jc w:val="center"/>
              <w:rPr>
                <w:rFonts w:hint="eastAsia" w:ascii="仿宋_GB2312" w:hAnsi="仿宋_GB2312" w:eastAsia="仿宋_GB2312" w:cs="仿宋_GB2312"/>
                <w:bCs/>
                <w:color w:val="000000"/>
                <w:kern w:val="0"/>
                <w:szCs w:val="21"/>
                <w:lang w:val="en"/>
              </w:rPr>
            </w:pPr>
          </w:p>
        </w:tc>
        <w:tc>
          <w:tcPr>
            <w:tcW w:w="407" w:type="pct"/>
            <w:vMerge w:val="continue"/>
            <w:vAlign w:val="center"/>
          </w:tcPr>
          <w:p>
            <w:pPr>
              <w:rPr>
                <w:rFonts w:hint="eastAsia" w:ascii="仿宋_GB2312" w:hAnsi="仿宋_GB2312" w:eastAsia="仿宋_GB2312" w:cs="仿宋_GB2312"/>
                <w:bCs/>
                <w:color w:val="000000"/>
                <w:szCs w:val="21"/>
              </w:rPr>
            </w:pPr>
          </w:p>
        </w:tc>
        <w:tc>
          <w:tcPr>
            <w:tcW w:w="542" w:type="pct"/>
            <w:vMerge w:val="continue"/>
            <w:vAlign w:val="center"/>
          </w:tcPr>
          <w:p>
            <w:pPr>
              <w:rPr>
                <w:rFonts w:hint="eastAsia" w:ascii="仿宋_GB2312" w:hAnsi="仿宋_GB2312" w:eastAsia="仿宋_GB2312" w:cs="仿宋_GB2312"/>
                <w:bCs/>
                <w:color w:val="000000"/>
                <w:szCs w:val="21"/>
              </w:rPr>
            </w:pPr>
          </w:p>
        </w:tc>
        <w:tc>
          <w:tcPr>
            <w:tcW w:w="1111" w:type="pct"/>
            <w:vMerge w:val="continue"/>
            <w:vAlign w:val="center"/>
          </w:tcPr>
          <w:p>
            <w:pPr>
              <w:rPr>
                <w:rFonts w:hint="eastAsia" w:ascii="仿宋_GB2312" w:hAnsi="仿宋_GB2312" w:eastAsia="仿宋_GB2312" w:cs="仿宋_GB2312"/>
                <w:bCs/>
                <w:color w:val="000000"/>
                <w:szCs w:val="21"/>
              </w:rPr>
            </w:pPr>
          </w:p>
        </w:tc>
        <w:tc>
          <w:tcPr>
            <w:tcW w:w="399" w:type="pct"/>
            <w:vMerge w:val="continue"/>
            <w:vAlign w:val="center"/>
          </w:tcPr>
          <w:p>
            <w:pPr>
              <w:jc w:val="left"/>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lang w:bidi="ar"/>
              </w:rPr>
            </w:pPr>
          </w:p>
        </w:tc>
        <w:tc>
          <w:tcPr>
            <w:tcW w:w="675" w:type="pct"/>
            <w:vMerge w:val="continue"/>
            <w:vAlign w:val="center"/>
          </w:tcPr>
          <w:p>
            <w:pPr>
              <w:rPr>
                <w:rFonts w:hint="eastAsia" w:ascii="仿宋_GB2312" w:hAnsi="仿宋_GB2312" w:eastAsia="仿宋_GB2312" w:cs="仿宋_GB2312"/>
                <w:bCs/>
                <w:color w:val="000000"/>
                <w:kern w:val="0"/>
                <w:szCs w:val="21"/>
              </w:rPr>
            </w:pPr>
          </w:p>
        </w:tc>
        <w:tc>
          <w:tcPr>
            <w:tcW w:w="1122"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，对生产经营单位处五万元以上、低于十二万五千元的罚款，对其直接负责的主管人员和其他直接责任人员处一万元以上、低于一万五千元的罚款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9" w:hRule="atLeast"/>
          <w:jc w:val="center"/>
        </w:trPr>
        <w:tc>
          <w:tcPr>
            <w:tcW w:w="345" w:type="pct"/>
            <w:vMerge w:val="continue"/>
            <w:vAlign w:val="center"/>
          </w:tcPr>
          <w:p>
            <w:pPr>
              <w:rPr>
                <w:rFonts w:hint="eastAsia" w:ascii="仿宋_GB2312" w:hAnsi="仿宋_GB2312" w:eastAsia="仿宋_GB2312" w:cs="仿宋_GB2312"/>
                <w:bCs/>
                <w:color w:val="000000"/>
              </w:rPr>
            </w:pPr>
          </w:p>
        </w:tc>
        <w:tc>
          <w:tcPr>
            <w:tcW w:w="407" w:type="pct"/>
            <w:vMerge w:val="continue"/>
            <w:vAlign w:val="center"/>
          </w:tcPr>
          <w:p>
            <w:pPr>
              <w:rPr>
                <w:rFonts w:hint="eastAsia" w:ascii="仿宋_GB2312" w:hAnsi="仿宋_GB2312" w:eastAsia="仿宋_GB2312" w:cs="仿宋_GB2312"/>
                <w:bCs/>
                <w:color w:val="000000"/>
              </w:rPr>
            </w:pPr>
          </w:p>
        </w:tc>
        <w:tc>
          <w:tcPr>
            <w:tcW w:w="542" w:type="pct"/>
            <w:vMerge w:val="continue"/>
            <w:vAlign w:val="center"/>
          </w:tcPr>
          <w:p>
            <w:pPr>
              <w:rPr>
                <w:rFonts w:hint="eastAsia" w:ascii="仿宋_GB2312" w:hAnsi="仿宋_GB2312" w:eastAsia="仿宋_GB2312" w:cs="仿宋_GB2312"/>
                <w:bCs/>
                <w:color w:val="000000"/>
              </w:rPr>
            </w:pPr>
          </w:p>
        </w:tc>
        <w:tc>
          <w:tcPr>
            <w:tcW w:w="1111"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一般</w:t>
            </w:r>
          </w:p>
        </w:tc>
        <w:tc>
          <w:tcPr>
            <w:tcW w:w="675"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kern w:val="0"/>
                <w:szCs w:val="21"/>
              </w:rPr>
              <w:t>有5</w:t>
            </w:r>
            <w:r>
              <w:rPr>
                <w:rFonts w:hint="eastAsia" w:ascii="仿宋_GB2312" w:hAnsi="仿宋_GB2312" w:eastAsia="仿宋_GB2312" w:cs="仿宋_GB2312"/>
                <w:bCs/>
                <w:color w:val="000000"/>
              </w:rPr>
              <w:t>台（套）以上、少于10台（套）安全设备未进行经常性维护、保养和定期检测的</w:t>
            </w:r>
          </w:p>
        </w:tc>
        <w:tc>
          <w:tcPr>
            <w:tcW w:w="1122"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生产经营单位：责令限期改正，处二万五千元的罚款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1" w:hRule="atLeast"/>
          <w:jc w:val="center"/>
        </w:trPr>
        <w:tc>
          <w:tcPr>
            <w:tcW w:w="345" w:type="pct"/>
            <w:vMerge w:val="continue"/>
            <w:vAlign w:val="center"/>
          </w:tcPr>
          <w:p>
            <w:pPr>
              <w:rPr>
                <w:rFonts w:hint="eastAsia" w:ascii="仿宋_GB2312" w:hAnsi="仿宋_GB2312" w:eastAsia="仿宋_GB2312" w:cs="仿宋_GB2312"/>
                <w:bCs/>
                <w:color w:val="000000"/>
              </w:rPr>
            </w:pPr>
          </w:p>
        </w:tc>
        <w:tc>
          <w:tcPr>
            <w:tcW w:w="407" w:type="pct"/>
            <w:vMerge w:val="continue"/>
            <w:vAlign w:val="center"/>
          </w:tcPr>
          <w:p>
            <w:pPr>
              <w:rPr>
                <w:rFonts w:hint="eastAsia" w:ascii="仿宋_GB2312" w:hAnsi="仿宋_GB2312" w:eastAsia="仿宋_GB2312" w:cs="仿宋_GB2312"/>
                <w:bCs/>
                <w:color w:val="000000"/>
              </w:rPr>
            </w:pPr>
          </w:p>
        </w:tc>
        <w:tc>
          <w:tcPr>
            <w:tcW w:w="542" w:type="pct"/>
            <w:vMerge w:val="continue"/>
            <w:vAlign w:val="center"/>
          </w:tcPr>
          <w:p>
            <w:pPr>
              <w:rPr>
                <w:rFonts w:hint="eastAsia" w:ascii="仿宋_GB2312" w:hAnsi="仿宋_GB2312" w:eastAsia="仿宋_GB2312" w:cs="仿宋_GB2312"/>
                <w:bCs/>
                <w:color w:val="000000"/>
              </w:rPr>
            </w:pPr>
          </w:p>
        </w:tc>
        <w:tc>
          <w:tcPr>
            <w:tcW w:w="1111"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lang w:bidi="ar"/>
              </w:rPr>
            </w:pPr>
          </w:p>
        </w:tc>
        <w:tc>
          <w:tcPr>
            <w:tcW w:w="675" w:type="pct"/>
            <w:vMerge w:val="continue"/>
            <w:vAlign w:val="center"/>
          </w:tcPr>
          <w:p>
            <w:pPr>
              <w:rPr>
                <w:rFonts w:hint="eastAsia" w:ascii="仿宋_GB2312" w:hAnsi="仿宋_GB2312" w:eastAsia="仿宋_GB2312" w:cs="仿宋_GB2312"/>
                <w:bCs/>
                <w:color w:val="000000"/>
                <w:kern w:val="0"/>
                <w:szCs w:val="21"/>
              </w:rPr>
            </w:pPr>
          </w:p>
        </w:tc>
        <w:tc>
          <w:tcPr>
            <w:tcW w:w="1122"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，对生产经营单位处十二万五千元的罚款，对其直接负责的主管人员和其他直接责任人员处一万五千元的罚款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4" w:hRule="atLeast"/>
          <w:jc w:val="center"/>
        </w:trPr>
        <w:tc>
          <w:tcPr>
            <w:tcW w:w="345" w:type="pct"/>
            <w:vMerge w:val="continue"/>
            <w:vAlign w:val="center"/>
          </w:tcPr>
          <w:p>
            <w:pPr>
              <w:rPr>
                <w:rFonts w:hint="eastAsia" w:ascii="仿宋_GB2312" w:hAnsi="仿宋_GB2312" w:eastAsia="仿宋_GB2312" w:cs="仿宋_GB2312"/>
                <w:bCs/>
                <w:color w:val="000000"/>
              </w:rPr>
            </w:pPr>
          </w:p>
        </w:tc>
        <w:tc>
          <w:tcPr>
            <w:tcW w:w="407" w:type="pct"/>
            <w:vMerge w:val="continue"/>
            <w:vAlign w:val="center"/>
          </w:tcPr>
          <w:p>
            <w:pPr>
              <w:rPr>
                <w:rFonts w:hint="eastAsia" w:ascii="仿宋_GB2312" w:hAnsi="仿宋_GB2312" w:eastAsia="仿宋_GB2312" w:cs="仿宋_GB2312"/>
                <w:bCs/>
                <w:color w:val="000000"/>
              </w:rPr>
            </w:pPr>
          </w:p>
        </w:tc>
        <w:tc>
          <w:tcPr>
            <w:tcW w:w="542" w:type="pct"/>
            <w:vMerge w:val="continue"/>
            <w:vAlign w:val="center"/>
          </w:tcPr>
          <w:p>
            <w:pPr>
              <w:rPr>
                <w:rFonts w:hint="eastAsia" w:ascii="仿宋_GB2312" w:hAnsi="仿宋_GB2312" w:eastAsia="仿宋_GB2312" w:cs="仿宋_GB2312"/>
                <w:bCs/>
                <w:color w:val="000000"/>
              </w:rPr>
            </w:pPr>
          </w:p>
        </w:tc>
        <w:tc>
          <w:tcPr>
            <w:tcW w:w="1111"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从重</w:t>
            </w:r>
          </w:p>
        </w:tc>
        <w:tc>
          <w:tcPr>
            <w:tcW w:w="675"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kern w:val="0"/>
                <w:szCs w:val="21"/>
              </w:rPr>
              <w:t>有10</w:t>
            </w:r>
            <w:r>
              <w:rPr>
                <w:rFonts w:hint="eastAsia" w:ascii="仿宋_GB2312" w:hAnsi="仿宋_GB2312" w:eastAsia="仿宋_GB2312" w:cs="仿宋_GB2312"/>
                <w:bCs/>
                <w:color w:val="000000"/>
              </w:rPr>
              <w:t>台（套）以上安全设备未进行经常性维护、保养和定期检测的</w:t>
            </w:r>
          </w:p>
        </w:tc>
        <w:tc>
          <w:tcPr>
            <w:tcW w:w="1122"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生产经营单位：责令限期改正，处五万元的罚款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84" w:hRule="atLeast"/>
          <w:jc w:val="center"/>
        </w:trPr>
        <w:tc>
          <w:tcPr>
            <w:tcW w:w="345" w:type="pct"/>
            <w:vMerge w:val="continue"/>
            <w:vAlign w:val="center"/>
          </w:tcPr>
          <w:p>
            <w:pPr>
              <w:rPr>
                <w:rFonts w:hint="eastAsia" w:ascii="仿宋_GB2312" w:hAnsi="仿宋_GB2312" w:eastAsia="仿宋_GB2312" w:cs="仿宋_GB2312"/>
                <w:bCs/>
                <w:color w:val="000000"/>
              </w:rPr>
            </w:pPr>
          </w:p>
        </w:tc>
        <w:tc>
          <w:tcPr>
            <w:tcW w:w="407" w:type="pct"/>
            <w:vMerge w:val="continue"/>
            <w:vAlign w:val="center"/>
          </w:tcPr>
          <w:p>
            <w:pPr>
              <w:rPr>
                <w:rFonts w:hint="eastAsia" w:ascii="仿宋_GB2312" w:hAnsi="仿宋_GB2312" w:eastAsia="仿宋_GB2312" w:cs="仿宋_GB2312"/>
                <w:bCs/>
                <w:color w:val="000000"/>
              </w:rPr>
            </w:pPr>
          </w:p>
        </w:tc>
        <w:tc>
          <w:tcPr>
            <w:tcW w:w="542" w:type="pct"/>
            <w:vMerge w:val="continue"/>
            <w:vAlign w:val="center"/>
          </w:tcPr>
          <w:p>
            <w:pPr>
              <w:rPr>
                <w:rFonts w:hint="eastAsia" w:ascii="仿宋_GB2312" w:hAnsi="仿宋_GB2312" w:eastAsia="仿宋_GB2312" w:cs="仿宋_GB2312"/>
                <w:bCs/>
                <w:color w:val="000000"/>
              </w:rPr>
            </w:pPr>
          </w:p>
        </w:tc>
        <w:tc>
          <w:tcPr>
            <w:tcW w:w="1111"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lang w:bidi="ar"/>
              </w:rPr>
            </w:pPr>
          </w:p>
        </w:tc>
        <w:tc>
          <w:tcPr>
            <w:tcW w:w="675" w:type="pct"/>
            <w:vMerge w:val="continue"/>
            <w:vAlign w:val="center"/>
          </w:tcPr>
          <w:p>
            <w:pPr>
              <w:rPr>
                <w:rFonts w:hint="eastAsia" w:ascii="仿宋_GB2312" w:hAnsi="仿宋_GB2312" w:eastAsia="仿宋_GB2312" w:cs="仿宋_GB2312"/>
                <w:bCs/>
                <w:color w:val="000000"/>
                <w:kern w:val="0"/>
                <w:szCs w:val="21"/>
              </w:rPr>
            </w:pPr>
          </w:p>
        </w:tc>
        <w:tc>
          <w:tcPr>
            <w:tcW w:w="1122"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，对生产经营单位处超过十二万五千元、二十万元以下的罚款，对其直接负责的主管人员和其他直接责任人员处超过一万五千元、二万元以下的罚款，</w:t>
            </w:r>
            <w:r>
              <w:rPr>
                <w:rFonts w:hint="eastAsia" w:ascii="仿宋_GB2312" w:hAnsi="仿宋_GB2312" w:eastAsia="仿宋_GB2312" w:cs="仿宋_GB2312"/>
                <w:bCs/>
                <w:color w:val="000000"/>
                <w:szCs w:val="21"/>
              </w:rPr>
              <w:t>情节严重的，责令停产停业整顿</w:t>
            </w:r>
          </w:p>
        </w:tc>
      </w:tr>
    </w:tbl>
    <w:p/>
    <w:p/>
    <w:p>
      <w:pPr>
        <w:rPr>
          <w:rFonts w:hint="eastAsia" w:cs="宋体" w:asciiTheme="minorEastAsia" w:hAnsiTheme="minorEastAsia"/>
          <w:bCs/>
          <w:color w:val="000000"/>
        </w:rPr>
      </w:pPr>
    </w:p>
    <w:p>
      <w:pPr>
        <w:rPr>
          <w:rFonts w:hint="eastAsia" w:cs="宋体" w:asciiTheme="minorEastAsia" w:hAnsiTheme="minorEastAsia"/>
          <w:bCs/>
          <w:color w:val="000000"/>
          <w:sz w:val="32"/>
          <w:szCs w:val="32"/>
        </w:rPr>
      </w:pPr>
    </w:p>
    <w:p>
      <w:pPr>
        <w:rPr>
          <w:rFonts w:hint="eastAsia" w:cs="宋体" w:asciiTheme="minorEastAsia" w:hAnsiTheme="minorEastAsia"/>
          <w:bCs/>
          <w:color w:val="000000"/>
          <w:sz w:val="32"/>
          <w:szCs w:val="32"/>
        </w:rPr>
      </w:pPr>
      <w:r>
        <w:rPr>
          <w:rFonts w:hint="eastAsia" w:cs="宋体" w:asciiTheme="minorEastAsia" w:hAnsiTheme="minorEastAsia"/>
          <w:bCs/>
          <w:color w:val="000000"/>
          <w:sz w:val="32"/>
          <w:szCs w:val="32"/>
        </w:rPr>
        <w:t>《中华人民共和国安全生产法》</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6"/>
        <w:gridCol w:w="1186"/>
        <w:gridCol w:w="1459"/>
        <w:gridCol w:w="3355"/>
        <w:gridCol w:w="1162"/>
        <w:gridCol w:w="1162"/>
        <w:gridCol w:w="1942"/>
        <w:gridCol w:w="328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45"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序号</w:t>
            </w:r>
          </w:p>
        </w:tc>
        <w:tc>
          <w:tcPr>
            <w:tcW w:w="407"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501"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1152"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39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39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667"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1129"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7" w:hRule="atLeast"/>
          <w:jc w:val="center"/>
        </w:trPr>
        <w:tc>
          <w:tcPr>
            <w:tcW w:w="345" w:type="pct"/>
            <w:vMerge w:val="restart"/>
            <w:vAlign w:val="center"/>
          </w:tcPr>
          <w:p>
            <w:pPr>
              <w:widowControl/>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Cs/>
                <w:color w:val="000000"/>
                <w:kern w:val="0"/>
                <w:szCs w:val="21"/>
                <w:lang w:val="en"/>
              </w:rPr>
              <w:t>101.16</w:t>
            </w:r>
          </w:p>
        </w:tc>
        <w:tc>
          <w:tcPr>
            <w:tcW w:w="407"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生产经营单位关闭、破坏直接关系生产安全的监控、报警、防护、救生设备、设施，或者篡改、隐瞒、销毁其相关数据、信息的</w:t>
            </w:r>
          </w:p>
        </w:tc>
        <w:tc>
          <w:tcPr>
            <w:tcW w:w="501"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第三十六条第三款：“生产经营单位不得关闭、破坏直接关系生产安全的监控、报警、防护、救生设备、设施，或者篡改、隐瞒、销毁其相关数据、信息。</w:t>
            </w:r>
          </w:p>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szCs w:val="21"/>
              </w:rPr>
              <w:t>”</w:t>
            </w:r>
          </w:p>
        </w:tc>
        <w:tc>
          <w:tcPr>
            <w:tcW w:w="1152"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第九十九条第（四）项：“生产经营单位有下列行为之一的，责令限期改正，处五万元以下的罚款；逾期未改正的，处五万元以上二十万元以下的罚款，对其直接负责的主管人员和其他直接责任人员处一万元以上二万元以下的罚款；情节严重的，责令停产停业整顿；构成犯罪的，依照刑法有关规定追究刑事责任：（四）关闭、破坏直接关系生产安全的监控、报警、防护、救生设备、设施，或者篡改、隐瞒、销毁其相关数据、信息的。”</w:t>
            </w:r>
          </w:p>
        </w:tc>
        <w:tc>
          <w:tcPr>
            <w:tcW w:w="399" w:type="pct"/>
            <w:vMerge w:val="restart"/>
            <w:vAlign w:val="center"/>
          </w:tcPr>
          <w:p>
            <w:pPr>
              <w:jc w:val="left"/>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罚款；责令停产停业</w:t>
            </w: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从轻</w:t>
            </w:r>
          </w:p>
        </w:tc>
        <w:tc>
          <w:tcPr>
            <w:tcW w:w="667" w:type="pct"/>
            <w:vMerge w:val="restar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rPr>
              <w:t>关闭或破坏1台（套）直接关系生产安全的设备、设施，或者篡改、隐瞒、销毁其相关数据、信息1次的</w:t>
            </w:r>
          </w:p>
        </w:tc>
        <w:tc>
          <w:tcPr>
            <w:tcW w:w="1129"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rPr>
              <w:t>生产经营单位：责令限期改正，处一万元的罚款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44" w:hRule="atLeast"/>
          <w:jc w:val="center"/>
        </w:trPr>
        <w:tc>
          <w:tcPr>
            <w:tcW w:w="345" w:type="pct"/>
            <w:vMerge w:val="continue"/>
            <w:vAlign w:val="center"/>
          </w:tcPr>
          <w:p>
            <w:pPr>
              <w:widowControl/>
              <w:jc w:val="center"/>
              <w:rPr>
                <w:rFonts w:hint="eastAsia" w:ascii="仿宋_GB2312" w:hAnsi="仿宋_GB2312" w:eastAsia="仿宋_GB2312" w:cs="仿宋_GB2312"/>
                <w:bCs/>
                <w:color w:val="000000"/>
                <w:kern w:val="0"/>
                <w:szCs w:val="21"/>
                <w:lang w:val="en"/>
              </w:rPr>
            </w:pPr>
          </w:p>
        </w:tc>
        <w:tc>
          <w:tcPr>
            <w:tcW w:w="407" w:type="pct"/>
            <w:vMerge w:val="continue"/>
            <w:vAlign w:val="center"/>
          </w:tcPr>
          <w:p>
            <w:pPr>
              <w:rPr>
                <w:rFonts w:hint="eastAsia" w:ascii="仿宋_GB2312" w:hAnsi="仿宋_GB2312" w:eastAsia="仿宋_GB2312" w:cs="仿宋_GB2312"/>
                <w:bCs/>
                <w:color w:val="000000"/>
                <w:szCs w:val="21"/>
              </w:rPr>
            </w:pPr>
          </w:p>
        </w:tc>
        <w:tc>
          <w:tcPr>
            <w:tcW w:w="501" w:type="pct"/>
            <w:vMerge w:val="continue"/>
            <w:vAlign w:val="center"/>
          </w:tcPr>
          <w:p>
            <w:pPr>
              <w:rPr>
                <w:rFonts w:hint="eastAsia" w:ascii="仿宋_GB2312" w:hAnsi="仿宋_GB2312" w:eastAsia="仿宋_GB2312" w:cs="仿宋_GB2312"/>
                <w:bCs/>
                <w:color w:val="000000"/>
                <w:szCs w:val="21"/>
              </w:rPr>
            </w:pPr>
          </w:p>
        </w:tc>
        <w:tc>
          <w:tcPr>
            <w:tcW w:w="1152" w:type="pct"/>
            <w:vMerge w:val="continue"/>
            <w:vAlign w:val="center"/>
          </w:tcPr>
          <w:p>
            <w:pPr>
              <w:rPr>
                <w:rFonts w:hint="eastAsia" w:ascii="仿宋_GB2312" w:hAnsi="仿宋_GB2312" w:eastAsia="仿宋_GB2312" w:cs="仿宋_GB2312"/>
                <w:bCs/>
                <w:color w:val="000000"/>
              </w:rPr>
            </w:pPr>
          </w:p>
        </w:tc>
        <w:tc>
          <w:tcPr>
            <w:tcW w:w="399" w:type="pct"/>
            <w:vMerge w:val="continue"/>
            <w:vAlign w:val="center"/>
          </w:tcPr>
          <w:p>
            <w:pPr>
              <w:jc w:val="left"/>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lang w:bidi="ar"/>
              </w:rPr>
            </w:pPr>
          </w:p>
        </w:tc>
        <w:tc>
          <w:tcPr>
            <w:tcW w:w="667" w:type="pct"/>
            <w:vMerge w:val="continue"/>
            <w:vAlign w:val="center"/>
          </w:tcPr>
          <w:p>
            <w:pPr>
              <w:rPr>
                <w:rFonts w:hint="eastAsia" w:ascii="仿宋_GB2312" w:hAnsi="仿宋_GB2312" w:eastAsia="仿宋_GB2312" w:cs="仿宋_GB2312"/>
                <w:bCs/>
                <w:color w:val="000000"/>
                <w:kern w:val="0"/>
                <w:szCs w:val="21"/>
              </w:rPr>
            </w:pPr>
          </w:p>
        </w:tc>
        <w:tc>
          <w:tcPr>
            <w:tcW w:w="1129"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，对生产经营单位处五万元以上、低于十二万五千元的罚款，对其直接负责的主管人员和其他直接责任人员处一万元以上、低于一万五千元的罚款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9" w:hRule="atLeast"/>
          <w:jc w:val="center"/>
        </w:trPr>
        <w:tc>
          <w:tcPr>
            <w:tcW w:w="345" w:type="pct"/>
            <w:vMerge w:val="continue"/>
            <w:vAlign w:val="center"/>
          </w:tcPr>
          <w:p>
            <w:pPr>
              <w:rPr>
                <w:rFonts w:hint="eastAsia" w:ascii="仿宋_GB2312" w:hAnsi="仿宋_GB2312" w:eastAsia="仿宋_GB2312" w:cs="仿宋_GB2312"/>
                <w:bCs/>
                <w:color w:val="000000"/>
              </w:rPr>
            </w:pPr>
          </w:p>
        </w:tc>
        <w:tc>
          <w:tcPr>
            <w:tcW w:w="407" w:type="pct"/>
            <w:vMerge w:val="continue"/>
            <w:vAlign w:val="center"/>
          </w:tcPr>
          <w:p>
            <w:pPr>
              <w:rPr>
                <w:rFonts w:hint="eastAsia" w:ascii="仿宋_GB2312" w:hAnsi="仿宋_GB2312" w:eastAsia="仿宋_GB2312" w:cs="仿宋_GB2312"/>
                <w:bCs/>
                <w:color w:val="000000"/>
              </w:rPr>
            </w:pPr>
          </w:p>
        </w:tc>
        <w:tc>
          <w:tcPr>
            <w:tcW w:w="501" w:type="pct"/>
            <w:vMerge w:val="continue"/>
            <w:vAlign w:val="center"/>
          </w:tcPr>
          <w:p>
            <w:pPr>
              <w:rPr>
                <w:rFonts w:hint="eastAsia" w:ascii="仿宋_GB2312" w:hAnsi="仿宋_GB2312" w:eastAsia="仿宋_GB2312" w:cs="仿宋_GB2312"/>
                <w:bCs/>
                <w:color w:val="000000"/>
              </w:rPr>
            </w:pPr>
          </w:p>
        </w:tc>
        <w:tc>
          <w:tcPr>
            <w:tcW w:w="1152"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一般</w:t>
            </w:r>
          </w:p>
        </w:tc>
        <w:tc>
          <w:tcPr>
            <w:tcW w:w="667"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关闭或破坏2台（套）直接关系生产安全的设备、设施，或者篡改、隐瞒、销毁其相关数据、信息2次的</w:t>
            </w:r>
          </w:p>
        </w:tc>
        <w:tc>
          <w:tcPr>
            <w:tcW w:w="1129"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生产经营单位：责令限期改正，处二万五千元的罚款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1" w:hRule="atLeast"/>
          <w:jc w:val="center"/>
        </w:trPr>
        <w:tc>
          <w:tcPr>
            <w:tcW w:w="345" w:type="pct"/>
            <w:vMerge w:val="continue"/>
            <w:vAlign w:val="center"/>
          </w:tcPr>
          <w:p>
            <w:pPr>
              <w:rPr>
                <w:rFonts w:hint="eastAsia" w:ascii="仿宋_GB2312" w:hAnsi="仿宋_GB2312" w:eastAsia="仿宋_GB2312" w:cs="仿宋_GB2312"/>
                <w:bCs/>
                <w:color w:val="000000"/>
              </w:rPr>
            </w:pPr>
          </w:p>
        </w:tc>
        <w:tc>
          <w:tcPr>
            <w:tcW w:w="407" w:type="pct"/>
            <w:vMerge w:val="continue"/>
            <w:vAlign w:val="center"/>
          </w:tcPr>
          <w:p>
            <w:pPr>
              <w:rPr>
                <w:rFonts w:hint="eastAsia" w:ascii="仿宋_GB2312" w:hAnsi="仿宋_GB2312" w:eastAsia="仿宋_GB2312" w:cs="仿宋_GB2312"/>
                <w:bCs/>
                <w:color w:val="000000"/>
              </w:rPr>
            </w:pPr>
          </w:p>
        </w:tc>
        <w:tc>
          <w:tcPr>
            <w:tcW w:w="501" w:type="pct"/>
            <w:vMerge w:val="continue"/>
            <w:vAlign w:val="center"/>
          </w:tcPr>
          <w:p>
            <w:pPr>
              <w:rPr>
                <w:rFonts w:hint="eastAsia" w:ascii="仿宋_GB2312" w:hAnsi="仿宋_GB2312" w:eastAsia="仿宋_GB2312" w:cs="仿宋_GB2312"/>
                <w:bCs/>
                <w:color w:val="000000"/>
              </w:rPr>
            </w:pPr>
          </w:p>
        </w:tc>
        <w:tc>
          <w:tcPr>
            <w:tcW w:w="1152"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lang w:bidi="ar"/>
              </w:rPr>
            </w:pPr>
          </w:p>
        </w:tc>
        <w:tc>
          <w:tcPr>
            <w:tcW w:w="667" w:type="pct"/>
            <w:vMerge w:val="continue"/>
            <w:vAlign w:val="center"/>
          </w:tcPr>
          <w:p>
            <w:pPr>
              <w:rPr>
                <w:rFonts w:hint="eastAsia" w:ascii="仿宋_GB2312" w:hAnsi="仿宋_GB2312" w:eastAsia="仿宋_GB2312" w:cs="仿宋_GB2312"/>
                <w:bCs/>
                <w:color w:val="000000"/>
              </w:rPr>
            </w:pPr>
          </w:p>
        </w:tc>
        <w:tc>
          <w:tcPr>
            <w:tcW w:w="1129"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，对生产经营单位处十二万五千元的罚款，对其直接负责的主管人员和其他直接责任人员处一万五千元的罚款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1" w:hRule="atLeast"/>
          <w:jc w:val="center"/>
        </w:trPr>
        <w:tc>
          <w:tcPr>
            <w:tcW w:w="345" w:type="pct"/>
            <w:vMerge w:val="continue"/>
            <w:vAlign w:val="center"/>
          </w:tcPr>
          <w:p>
            <w:pPr>
              <w:rPr>
                <w:rFonts w:hint="eastAsia" w:ascii="仿宋_GB2312" w:hAnsi="仿宋_GB2312" w:eastAsia="仿宋_GB2312" w:cs="仿宋_GB2312"/>
                <w:bCs/>
                <w:color w:val="000000"/>
              </w:rPr>
            </w:pPr>
          </w:p>
        </w:tc>
        <w:tc>
          <w:tcPr>
            <w:tcW w:w="407" w:type="pct"/>
            <w:vMerge w:val="continue"/>
            <w:vAlign w:val="center"/>
          </w:tcPr>
          <w:p>
            <w:pPr>
              <w:rPr>
                <w:rFonts w:hint="eastAsia" w:ascii="仿宋_GB2312" w:hAnsi="仿宋_GB2312" w:eastAsia="仿宋_GB2312" w:cs="仿宋_GB2312"/>
                <w:bCs/>
                <w:color w:val="000000"/>
              </w:rPr>
            </w:pPr>
          </w:p>
        </w:tc>
        <w:tc>
          <w:tcPr>
            <w:tcW w:w="501" w:type="pct"/>
            <w:vMerge w:val="continue"/>
            <w:vAlign w:val="center"/>
          </w:tcPr>
          <w:p>
            <w:pPr>
              <w:rPr>
                <w:rFonts w:hint="eastAsia" w:ascii="仿宋_GB2312" w:hAnsi="仿宋_GB2312" w:eastAsia="仿宋_GB2312" w:cs="仿宋_GB2312"/>
                <w:bCs/>
                <w:color w:val="000000"/>
              </w:rPr>
            </w:pPr>
          </w:p>
        </w:tc>
        <w:tc>
          <w:tcPr>
            <w:tcW w:w="1152"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从重</w:t>
            </w:r>
          </w:p>
        </w:tc>
        <w:tc>
          <w:tcPr>
            <w:tcW w:w="667" w:type="pct"/>
            <w:vMerge w:val="restar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rPr>
              <w:t>关闭或破坏3台（套）以上直接关系生产安全的设备、设施，或者篡改、隐瞒、销毁其相关数据、信息3次以上的</w:t>
            </w:r>
          </w:p>
        </w:tc>
        <w:tc>
          <w:tcPr>
            <w:tcW w:w="1129"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生产经营单位：责令限期改正，处五万元的罚款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04" w:hRule="atLeast"/>
          <w:jc w:val="center"/>
        </w:trPr>
        <w:tc>
          <w:tcPr>
            <w:tcW w:w="345" w:type="pct"/>
            <w:vMerge w:val="continue"/>
            <w:vAlign w:val="center"/>
          </w:tcPr>
          <w:p>
            <w:pPr>
              <w:rPr>
                <w:rFonts w:hint="eastAsia" w:ascii="仿宋_GB2312" w:hAnsi="仿宋_GB2312" w:eastAsia="仿宋_GB2312" w:cs="仿宋_GB2312"/>
                <w:bCs/>
                <w:color w:val="000000"/>
              </w:rPr>
            </w:pPr>
          </w:p>
        </w:tc>
        <w:tc>
          <w:tcPr>
            <w:tcW w:w="407" w:type="pct"/>
            <w:vMerge w:val="continue"/>
            <w:vAlign w:val="center"/>
          </w:tcPr>
          <w:p>
            <w:pPr>
              <w:rPr>
                <w:rFonts w:hint="eastAsia" w:ascii="仿宋_GB2312" w:hAnsi="仿宋_GB2312" w:eastAsia="仿宋_GB2312" w:cs="仿宋_GB2312"/>
                <w:bCs/>
                <w:color w:val="000000"/>
              </w:rPr>
            </w:pPr>
          </w:p>
        </w:tc>
        <w:tc>
          <w:tcPr>
            <w:tcW w:w="501" w:type="pct"/>
            <w:vMerge w:val="continue"/>
            <w:vAlign w:val="center"/>
          </w:tcPr>
          <w:p>
            <w:pPr>
              <w:rPr>
                <w:rFonts w:hint="eastAsia" w:ascii="仿宋_GB2312" w:hAnsi="仿宋_GB2312" w:eastAsia="仿宋_GB2312" w:cs="仿宋_GB2312"/>
                <w:bCs/>
                <w:color w:val="000000"/>
              </w:rPr>
            </w:pPr>
          </w:p>
        </w:tc>
        <w:tc>
          <w:tcPr>
            <w:tcW w:w="1152"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lang w:bidi="ar"/>
              </w:rPr>
            </w:pPr>
          </w:p>
        </w:tc>
        <w:tc>
          <w:tcPr>
            <w:tcW w:w="667" w:type="pct"/>
            <w:vMerge w:val="continue"/>
            <w:vAlign w:val="center"/>
          </w:tcPr>
          <w:p>
            <w:pPr>
              <w:rPr>
                <w:rFonts w:hint="eastAsia" w:ascii="仿宋_GB2312" w:hAnsi="仿宋_GB2312" w:eastAsia="仿宋_GB2312" w:cs="仿宋_GB2312"/>
                <w:bCs/>
                <w:color w:val="000000"/>
                <w:kern w:val="0"/>
                <w:szCs w:val="21"/>
              </w:rPr>
            </w:pPr>
          </w:p>
        </w:tc>
        <w:tc>
          <w:tcPr>
            <w:tcW w:w="1129"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，对生产经营单位处超过十二万五千元、二十万元以下的罚款，对其直接负责的主管人员和其他直接责任人员处超过一万五千元、二万元以下的罚款，</w:t>
            </w:r>
            <w:r>
              <w:rPr>
                <w:rFonts w:hint="eastAsia" w:ascii="仿宋_GB2312" w:hAnsi="仿宋_GB2312" w:eastAsia="仿宋_GB2312" w:cs="仿宋_GB2312"/>
                <w:bCs/>
                <w:color w:val="000000"/>
                <w:szCs w:val="21"/>
              </w:rPr>
              <w:t>情节严重的，责令停产停业整顿</w:t>
            </w:r>
          </w:p>
        </w:tc>
      </w:tr>
    </w:tbl>
    <w:p/>
    <w:p>
      <w:pPr>
        <w:rPr>
          <w:rFonts w:hint="eastAsia" w:cs="宋体" w:asciiTheme="minorEastAsia" w:hAnsiTheme="minorEastAsia"/>
          <w:bCs/>
          <w:color w:val="000000"/>
          <w:sz w:val="32"/>
          <w:szCs w:val="32"/>
        </w:rPr>
      </w:pPr>
      <w:r>
        <w:rPr>
          <w:rFonts w:hint="eastAsia" w:cs="宋体" w:asciiTheme="minorEastAsia" w:hAnsiTheme="minorEastAsia"/>
          <w:bCs/>
          <w:color w:val="000000"/>
          <w:sz w:val="32"/>
          <w:szCs w:val="32"/>
        </w:rPr>
        <w:t>《中华人民共和国安全生产法》</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6"/>
        <w:gridCol w:w="1206"/>
        <w:gridCol w:w="1459"/>
        <w:gridCol w:w="3355"/>
        <w:gridCol w:w="1162"/>
        <w:gridCol w:w="1162"/>
        <w:gridCol w:w="1931"/>
        <w:gridCol w:w="32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3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序号</w:t>
            </w:r>
          </w:p>
        </w:tc>
        <w:tc>
          <w:tcPr>
            <w:tcW w:w="414"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501"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1152"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39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39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663"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1133"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jc w:val="center"/>
        </w:trPr>
        <w:tc>
          <w:tcPr>
            <w:tcW w:w="339" w:type="pct"/>
            <w:vMerge w:val="restart"/>
            <w:vAlign w:val="center"/>
          </w:tcPr>
          <w:p>
            <w:pPr>
              <w:widowControl/>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Cs/>
                <w:color w:val="000000"/>
                <w:kern w:val="0"/>
                <w:szCs w:val="21"/>
                <w:lang w:val="en"/>
              </w:rPr>
              <w:t>101.17</w:t>
            </w:r>
          </w:p>
        </w:tc>
        <w:tc>
          <w:tcPr>
            <w:tcW w:w="414"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生产经营单位未为从业人员提供符合国家标准或者行业标准的劳动防护用品的</w:t>
            </w:r>
          </w:p>
        </w:tc>
        <w:tc>
          <w:tcPr>
            <w:tcW w:w="501"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szCs w:val="21"/>
              </w:rPr>
              <w:t>第四十五条：“生产经营单位必须为从业人员提供符合国家标准或者行业标准的劳动防护用品，并监督、教育从业人员按照使用规则佩戴、使用。”</w:t>
            </w:r>
          </w:p>
        </w:tc>
        <w:tc>
          <w:tcPr>
            <w:tcW w:w="1152" w:type="pct"/>
            <w:vMerge w:val="restart"/>
            <w:vAlign w:val="center"/>
          </w:tcPr>
          <w:p>
            <w:pPr>
              <w:ind w:firstLine="420" w:firstLineChars="200"/>
              <w:rPr>
                <w:rFonts w:hint="eastAsia" w:ascii="仿宋_GB2312" w:hAnsi="仿宋_GB2312" w:eastAsia="仿宋_GB2312" w:cs="仿宋_GB2312"/>
                <w:bCs/>
                <w:color w:val="000000"/>
              </w:rPr>
            </w:pPr>
            <w:r>
              <w:rPr>
                <w:rFonts w:hint="eastAsia" w:ascii="仿宋_GB2312" w:hAnsi="仿宋_GB2312" w:eastAsia="仿宋_GB2312" w:cs="仿宋_GB2312"/>
                <w:bCs/>
                <w:color w:val="000000"/>
                <w:szCs w:val="21"/>
              </w:rPr>
              <w:t>第九十九条第（五）项：“生产经营单位有下列行为之一的，责令限期改正，处五万元以下的罚款；逾期未改正的，处五万元以上二十万元以下的罚款，对其直接负责的主管人员和其他直接责任人员处一万元以上二万元以下的罚款；情节严重的，责令停产停业整顿；构成犯罪的，依照刑法有关规定追究刑事责任：（五）未为从业人员提供符合国家标准或者行业标准的劳动防护用品的。”</w:t>
            </w:r>
          </w:p>
        </w:tc>
        <w:tc>
          <w:tcPr>
            <w:tcW w:w="399" w:type="pct"/>
            <w:vMerge w:val="restart"/>
            <w:vAlign w:val="center"/>
          </w:tcPr>
          <w:p>
            <w:pPr>
              <w:jc w:val="left"/>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罚款；责令停产停业</w:t>
            </w: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从轻</w:t>
            </w:r>
          </w:p>
        </w:tc>
        <w:tc>
          <w:tcPr>
            <w:tcW w:w="663" w:type="pct"/>
            <w:vMerge w:val="restar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rPr>
              <w:t>未为少于5名从业人员提供符合国家标准或者行业标准的劳动防护用品的</w:t>
            </w:r>
          </w:p>
        </w:tc>
        <w:tc>
          <w:tcPr>
            <w:tcW w:w="1133"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rPr>
              <w:t>生产经营单位：责令限期改正，处一万元的罚款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14" w:hRule="atLeast"/>
          <w:jc w:val="center"/>
        </w:trPr>
        <w:tc>
          <w:tcPr>
            <w:tcW w:w="339" w:type="pct"/>
            <w:vMerge w:val="continue"/>
            <w:vAlign w:val="center"/>
          </w:tcPr>
          <w:p>
            <w:pPr>
              <w:widowControl/>
              <w:jc w:val="center"/>
              <w:rPr>
                <w:rFonts w:hint="eastAsia" w:ascii="仿宋_GB2312" w:hAnsi="仿宋_GB2312" w:eastAsia="仿宋_GB2312" w:cs="仿宋_GB2312"/>
                <w:bCs/>
                <w:color w:val="000000"/>
                <w:kern w:val="0"/>
                <w:szCs w:val="21"/>
                <w:lang w:val="en"/>
              </w:rPr>
            </w:pPr>
          </w:p>
        </w:tc>
        <w:tc>
          <w:tcPr>
            <w:tcW w:w="414" w:type="pct"/>
            <w:vMerge w:val="continue"/>
            <w:vAlign w:val="center"/>
          </w:tcPr>
          <w:p>
            <w:pPr>
              <w:rPr>
                <w:rFonts w:hint="eastAsia" w:ascii="仿宋_GB2312" w:hAnsi="仿宋_GB2312" w:eastAsia="仿宋_GB2312" w:cs="仿宋_GB2312"/>
                <w:bCs/>
                <w:color w:val="000000"/>
                <w:szCs w:val="21"/>
              </w:rPr>
            </w:pPr>
          </w:p>
        </w:tc>
        <w:tc>
          <w:tcPr>
            <w:tcW w:w="501" w:type="pct"/>
            <w:vMerge w:val="continue"/>
            <w:vAlign w:val="center"/>
          </w:tcPr>
          <w:p>
            <w:pPr>
              <w:rPr>
                <w:rFonts w:hint="eastAsia" w:ascii="仿宋_GB2312" w:hAnsi="仿宋_GB2312" w:eastAsia="仿宋_GB2312" w:cs="仿宋_GB2312"/>
                <w:bCs/>
                <w:color w:val="000000"/>
                <w:szCs w:val="21"/>
              </w:rPr>
            </w:pPr>
          </w:p>
        </w:tc>
        <w:tc>
          <w:tcPr>
            <w:tcW w:w="1152" w:type="pct"/>
            <w:vMerge w:val="continue"/>
            <w:vAlign w:val="center"/>
          </w:tcPr>
          <w:p>
            <w:pPr>
              <w:ind w:firstLine="420" w:firstLineChars="200"/>
              <w:rPr>
                <w:rFonts w:hint="eastAsia" w:ascii="仿宋_GB2312" w:hAnsi="仿宋_GB2312" w:eastAsia="仿宋_GB2312" w:cs="仿宋_GB2312"/>
                <w:bCs/>
                <w:color w:val="000000"/>
                <w:szCs w:val="21"/>
              </w:rPr>
            </w:pPr>
          </w:p>
        </w:tc>
        <w:tc>
          <w:tcPr>
            <w:tcW w:w="399" w:type="pct"/>
            <w:vMerge w:val="continue"/>
            <w:vAlign w:val="center"/>
          </w:tcPr>
          <w:p>
            <w:pPr>
              <w:jc w:val="left"/>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lang w:bidi="ar"/>
              </w:rPr>
            </w:pPr>
          </w:p>
        </w:tc>
        <w:tc>
          <w:tcPr>
            <w:tcW w:w="663" w:type="pct"/>
            <w:vMerge w:val="continue"/>
            <w:vAlign w:val="center"/>
          </w:tcPr>
          <w:p>
            <w:pPr>
              <w:rPr>
                <w:rFonts w:hint="eastAsia" w:ascii="仿宋_GB2312" w:hAnsi="仿宋_GB2312" w:eastAsia="仿宋_GB2312" w:cs="仿宋_GB2312"/>
                <w:bCs/>
                <w:color w:val="000000"/>
                <w:kern w:val="0"/>
                <w:szCs w:val="21"/>
              </w:rPr>
            </w:pPr>
          </w:p>
        </w:tc>
        <w:tc>
          <w:tcPr>
            <w:tcW w:w="1133"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，对生产经营单位处五万元以上、低于十二万五千元的罚款，对其直接负责的主管人员和其他直接责任人员处一万元以上、低于一万五千元的罚款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5" w:hRule="atLeast"/>
          <w:jc w:val="center"/>
        </w:trPr>
        <w:tc>
          <w:tcPr>
            <w:tcW w:w="339" w:type="pct"/>
            <w:vMerge w:val="continue"/>
            <w:vAlign w:val="center"/>
          </w:tcPr>
          <w:p>
            <w:pPr>
              <w:rPr>
                <w:rFonts w:hint="eastAsia" w:ascii="仿宋_GB2312" w:hAnsi="仿宋_GB2312" w:eastAsia="仿宋_GB2312" w:cs="仿宋_GB2312"/>
                <w:bCs/>
                <w:color w:val="000000"/>
              </w:rPr>
            </w:pPr>
          </w:p>
        </w:tc>
        <w:tc>
          <w:tcPr>
            <w:tcW w:w="414" w:type="pct"/>
            <w:vMerge w:val="continue"/>
            <w:vAlign w:val="center"/>
          </w:tcPr>
          <w:p>
            <w:pPr>
              <w:rPr>
                <w:rFonts w:hint="eastAsia" w:ascii="仿宋_GB2312" w:hAnsi="仿宋_GB2312" w:eastAsia="仿宋_GB2312" w:cs="仿宋_GB2312"/>
                <w:bCs/>
                <w:color w:val="000000"/>
              </w:rPr>
            </w:pPr>
          </w:p>
        </w:tc>
        <w:tc>
          <w:tcPr>
            <w:tcW w:w="501" w:type="pct"/>
            <w:vMerge w:val="continue"/>
            <w:vAlign w:val="center"/>
          </w:tcPr>
          <w:p>
            <w:pPr>
              <w:rPr>
                <w:rFonts w:hint="eastAsia" w:ascii="仿宋_GB2312" w:hAnsi="仿宋_GB2312" w:eastAsia="仿宋_GB2312" w:cs="仿宋_GB2312"/>
                <w:bCs/>
                <w:color w:val="000000"/>
              </w:rPr>
            </w:pPr>
          </w:p>
        </w:tc>
        <w:tc>
          <w:tcPr>
            <w:tcW w:w="1152"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一般</w:t>
            </w:r>
          </w:p>
        </w:tc>
        <w:tc>
          <w:tcPr>
            <w:tcW w:w="663"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kern w:val="0"/>
                <w:szCs w:val="21"/>
              </w:rPr>
              <w:t>未为5名以上、少于10名从业人员提供符合国家标准或者行业标准的劳动防护用品的</w:t>
            </w:r>
          </w:p>
        </w:tc>
        <w:tc>
          <w:tcPr>
            <w:tcW w:w="1133"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生产经营单位：责令限期改正，处二万五千元的罚款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1" w:hRule="atLeast"/>
          <w:jc w:val="center"/>
        </w:trPr>
        <w:tc>
          <w:tcPr>
            <w:tcW w:w="339" w:type="pct"/>
            <w:vMerge w:val="continue"/>
            <w:vAlign w:val="center"/>
          </w:tcPr>
          <w:p>
            <w:pPr>
              <w:rPr>
                <w:rFonts w:hint="eastAsia" w:ascii="仿宋_GB2312" w:hAnsi="仿宋_GB2312" w:eastAsia="仿宋_GB2312" w:cs="仿宋_GB2312"/>
                <w:bCs/>
                <w:color w:val="000000"/>
              </w:rPr>
            </w:pPr>
          </w:p>
        </w:tc>
        <w:tc>
          <w:tcPr>
            <w:tcW w:w="414" w:type="pct"/>
            <w:vMerge w:val="continue"/>
            <w:vAlign w:val="center"/>
          </w:tcPr>
          <w:p>
            <w:pPr>
              <w:rPr>
                <w:rFonts w:hint="eastAsia" w:ascii="仿宋_GB2312" w:hAnsi="仿宋_GB2312" w:eastAsia="仿宋_GB2312" w:cs="仿宋_GB2312"/>
                <w:bCs/>
                <w:color w:val="000000"/>
              </w:rPr>
            </w:pPr>
          </w:p>
        </w:tc>
        <w:tc>
          <w:tcPr>
            <w:tcW w:w="501" w:type="pct"/>
            <w:vMerge w:val="continue"/>
            <w:vAlign w:val="center"/>
          </w:tcPr>
          <w:p>
            <w:pPr>
              <w:rPr>
                <w:rFonts w:hint="eastAsia" w:ascii="仿宋_GB2312" w:hAnsi="仿宋_GB2312" w:eastAsia="仿宋_GB2312" w:cs="仿宋_GB2312"/>
                <w:bCs/>
                <w:color w:val="000000"/>
              </w:rPr>
            </w:pPr>
          </w:p>
        </w:tc>
        <w:tc>
          <w:tcPr>
            <w:tcW w:w="1152"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lang w:bidi="ar"/>
              </w:rPr>
            </w:pPr>
          </w:p>
        </w:tc>
        <w:tc>
          <w:tcPr>
            <w:tcW w:w="663" w:type="pct"/>
            <w:vMerge w:val="continue"/>
            <w:vAlign w:val="center"/>
          </w:tcPr>
          <w:p>
            <w:pPr>
              <w:rPr>
                <w:rFonts w:hint="eastAsia" w:ascii="仿宋_GB2312" w:hAnsi="仿宋_GB2312" w:eastAsia="仿宋_GB2312" w:cs="仿宋_GB2312"/>
                <w:bCs/>
                <w:color w:val="000000"/>
                <w:kern w:val="0"/>
                <w:szCs w:val="21"/>
              </w:rPr>
            </w:pPr>
          </w:p>
        </w:tc>
        <w:tc>
          <w:tcPr>
            <w:tcW w:w="1133"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，对生产经营单位处十二万五千元的罚款，对其直接负责的主管人员和其他直接责任人员处一万五千元的罚款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0" w:hRule="atLeast"/>
          <w:jc w:val="center"/>
        </w:trPr>
        <w:tc>
          <w:tcPr>
            <w:tcW w:w="339" w:type="pct"/>
            <w:vMerge w:val="continue"/>
            <w:vAlign w:val="center"/>
          </w:tcPr>
          <w:p>
            <w:pPr>
              <w:rPr>
                <w:rFonts w:hint="eastAsia" w:ascii="仿宋_GB2312" w:hAnsi="仿宋_GB2312" w:eastAsia="仿宋_GB2312" w:cs="仿宋_GB2312"/>
                <w:bCs/>
                <w:color w:val="000000"/>
              </w:rPr>
            </w:pPr>
          </w:p>
        </w:tc>
        <w:tc>
          <w:tcPr>
            <w:tcW w:w="414" w:type="pct"/>
            <w:vMerge w:val="continue"/>
            <w:vAlign w:val="center"/>
          </w:tcPr>
          <w:p>
            <w:pPr>
              <w:rPr>
                <w:rFonts w:hint="eastAsia" w:ascii="仿宋_GB2312" w:hAnsi="仿宋_GB2312" w:eastAsia="仿宋_GB2312" w:cs="仿宋_GB2312"/>
                <w:bCs/>
                <w:color w:val="000000"/>
              </w:rPr>
            </w:pPr>
          </w:p>
        </w:tc>
        <w:tc>
          <w:tcPr>
            <w:tcW w:w="501" w:type="pct"/>
            <w:vMerge w:val="continue"/>
            <w:vAlign w:val="center"/>
          </w:tcPr>
          <w:p>
            <w:pPr>
              <w:rPr>
                <w:rFonts w:hint="eastAsia" w:ascii="仿宋_GB2312" w:hAnsi="仿宋_GB2312" w:eastAsia="仿宋_GB2312" w:cs="仿宋_GB2312"/>
                <w:bCs/>
                <w:color w:val="000000"/>
              </w:rPr>
            </w:pPr>
          </w:p>
        </w:tc>
        <w:tc>
          <w:tcPr>
            <w:tcW w:w="1152"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从重</w:t>
            </w:r>
          </w:p>
        </w:tc>
        <w:tc>
          <w:tcPr>
            <w:tcW w:w="663" w:type="pct"/>
            <w:vMerge w:val="restar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rPr>
              <w:t>未为10名以上从业人员提供符合国家标准或者行业标准的劳动防护用品的</w:t>
            </w:r>
          </w:p>
        </w:tc>
        <w:tc>
          <w:tcPr>
            <w:tcW w:w="1133"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生产经营单位：责令限期改正，处五万元的罚款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84" w:hRule="atLeast"/>
          <w:jc w:val="center"/>
        </w:trPr>
        <w:tc>
          <w:tcPr>
            <w:tcW w:w="339" w:type="pct"/>
            <w:vMerge w:val="continue"/>
            <w:vAlign w:val="center"/>
          </w:tcPr>
          <w:p>
            <w:pPr>
              <w:rPr>
                <w:rFonts w:hint="eastAsia" w:ascii="仿宋_GB2312" w:hAnsi="仿宋_GB2312" w:eastAsia="仿宋_GB2312" w:cs="仿宋_GB2312"/>
                <w:bCs/>
                <w:color w:val="000000"/>
              </w:rPr>
            </w:pPr>
          </w:p>
        </w:tc>
        <w:tc>
          <w:tcPr>
            <w:tcW w:w="414" w:type="pct"/>
            <w:vMerge w:val="continue"/>
            <w:vAlign w:val="center"/>
          </w:tcPr>
          <w:p>
            <w:pPr>
              <w:rPr>
                <w:rFonts w:hint="eastAsia" w:ascii="仿宋_GB2312" w:hAnsi="仿宋_GB2312" w:eastAsia="仿宋_GB2312" w:cs="仿宋_GB2312"/>
                <w:bCs/>
                <w:color w:val="000000"/>
              </w:rPr>
            </w:pPr>
          </w:p>
        </w:tc>
        <w:tc>
          <w:tcPr>
            <w:tcW w:w="501" w:type="pct"/>
            <w:vMerge w:val="continue"/>
            <w:vAlign w:val="center"/>
          </w:tcPr>
          <w:p>
            <w:pPr>
              <w:rPr>
                <w:rFonts w:hint="eastAsia" w:ascii="仿宋_GB2312" w:hAnsi="仿宋_GB2312" w:eastAsia="仿宋_GB2312" w:cs="仿宋_GB2312"/>
                <w:bCs/>
                <w:color w:val="000000"/>
              </w:rPr>
            </w:pPr>
          </w:p>
        </w:tc>
        <w:tc>
          <w:tcPr>
            <w:tcW w:w="1152"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lang w:bidi="ar"/>
              </w:rPr>
            </w:pPr>
          </w:p>
        </w:tc>
        <w:tc>
          <w:tcPr>
            <w:tcW w:w="663" w:type="pct"/>
            <w:vMerge w:val="continue"/>
            <w:vAlign w:val="center"/>
          </w:tcPr>
          <w:p>
            <w:pPr>
              <w:rPr>
                <w:rFonts w:hint="eastAsia" w:ascii="仿宋_GB2312" w:hAnsi="仿宋_GB2312" w:eastAsia="仿宋_GB2312" w:cs="仿宋_GB2312"/>
                <w:bCs/>
                <w:color w:val="000000"/>
                <w:kern w:val="0"/>
                <w:szCs w:val="21"/>
              </w:rPr>
            </w:pPr>
          </w:p>
        </w:tc>
        <w:tc>
          <w:tcPr>
            <w:tcW w:w="1133"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，对生产经营单位处超过十二万五千元、二十万元以下的罚款，对其直接负责的主管人员和其他直接责任人员处超过一万五千元、二万元以下的罚款，</w:t>
            </w:r>
            <w:r>
              <w:rPr>
                <w:rFonts w:hint="eastAsia" w:ascii="仿宋_GB2312" w:hAnsi="仿宋_GB2312" w:eastAsia="仿宋_GB2312" w:cs="仿宋_GB2312"/>
                <w:bCs/>
                <w:color w:val="000000"/>
                <w:szCs w:val="21"/>
              </w:rPr>
              <w:t>情节严重的，责令停产停业整顿</w:t>
            </w:r>
          </w:p>
        </w:tc>
      </w:tr>
    </w:tbl>
    <w:p/>
    <w:p/>
    <w:p>
      <w:pPr>
        <w:rPr>
          <w:rFonts w:hint="eastAsia" w:cs="宋体" w:asciiTheme="minorEastAsia" w:hAnsiTheme="minorEastAsia"/>
          <w:bCs/>
          <w:color w:val="000000"/>
          <w:sz w:val="32"/>
          <w:szCs w:val="32"/>
        </w:rPr>
      </w:pPr>
      <w:r>
        <w:rPr>
          <w:rFonts w:hint="eastAsia" w:cs="宋体" w:asciiTheme="minorEastAsia" w:hAnsiTheme="minorEastAsia"/>
          <w:bCs/>
          <w:color w:val="000000"/>
          <w:sz w:val="32"/>
          <w:szCs w:val="32"/>
        </w:rPr>
        <w:t>《中华人民共和国安全生产法》</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6"/>
        <w:gridCol w:w="1186"/>
        <w:gridCol w:w="1206"/>
        <w:gridCol w:w="3608"/>
        <w:gridCol w:w="1162"/>
        <w:gridCol w:w="1162"/>
        <w:gridCol w:w="1855"/>
        <w:gridCol w:w="33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45"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序号</w:t>
            </w:r>
          </w:p>
        </w:tc>
        <w:tc>
          <w:tcPr>
            <w:tcW w:w="407"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414"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123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39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39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637"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1159"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3" w:hRule="atLeast"/>
          <w:jc w:val="center"/>
        </w:trPr>
        <w:tc>
          <w:tcPr>
            <w:tcW w:w="345" w:type="pct"/>
            <w:vMerge w:val="restart"/>
            <w:vAlign w:val="center"/>
          </w:tcPr>
          <w:p>
            <w:pPr>
              <w:widowControl/>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Cs/>
                <w:color w:val="000000"/>
                <w:kern w:val="0"/>
                <w:szCs w:val="21"/>
                <w:lang w:val="en"/>
              </w:rPr>
              <w:t>101.18</w:t>
            </w:r>
          </w:p>
        </w:tc>
        <w:tc>
          <w:tcPr>
            <w:tcW w:w="407"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生产经营单位使用应当淘汰的危及生产安全的工艺、设备的</w:t>
            </w:r>
          </w:p>
        </w:tc>
        <w:tc>
          <w:tcPr>
            <w:tcW w:w="414"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szCs w:val="21"/>
              </w:rPr>
              <w:t>第三十八条第三款：“生产经营单位不得使用应当淘汰的危及生产安全的工艺、设备。”</w:t>
            </w:r>
          </w:p>
        </w:tc>
        <w:tc>
          <w:tcPr>
            <w:tcW w:w="1239"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szCs w:val="21"/>
              </w:rPr>
              <w:t>第九十九条第（七）项：“生产经营单位有下列行为之一的，责令限期改正，处五万元以下的罚款；逾期未改正的，处五万元以上二十万元以下的罚款，对其直接负责的主管人员和其他直接责任人员处一万元以上二万元以下的罚款；情节严重的，责令停产停业整顿；构成犯罪的，依照刑法有关规定追究刑事责任：（七）使用应当淘汰的危及生产安全的工艺、设备的。”</w:t>
            </w:r>
          </w:p>
        </w:tc>
        <w:tc>
          <w:tcPr>
            <w:tcW w:w="399" w:type="pct"/>
            <w:vMerge w:val="restart"/>
            <w:vAlign w:val="center"/>
          </w:tcPr>
          <w:p>
            <w:pPr>
              <w:jc w:val="left"/>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罚款；责令停产停业</w:t>
            </w: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从轻</w:t>
            </w:r>
          </w:p>
        </w:tc>
        <w:tc>
          <w:tcPr>
            <w:tcW w:w="637" w:type="pct"/>
            <w:vMerge w:val="restar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rPr>
              <w:t>使用1种（台）应当淘汰的危及生产安全的工艺、设备的</w:t>
            </w:r>
          </w:p>
        </w:tc>
        <w:tc>
          <w:tcPr>
            <w:tcW w:w="1159"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rPr>
              <w:t>生产经营单位：责令限期改正，处一万元的罚款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1" w:hRule="atLeast"/>
          <w:jc w:val="center"/>
        </w:trPr>
        <w:tc>
          <w:tcPr>
            <w:tcW w:w="345" w:type="pct"/>
            <w:vMerge w:val="continue"/>
            <w:vAlign w:val="center"/>
          </w:tcPr>
          <w:p>
            <w:pPr>
              <w:widowControl/>
              <w:jc w:val="center"/>
              <w:rPr>
                <w:rFonts w:hint="eastAsia" w:ascii="仿宋_GB2312" w:hAnsi="仿宋_GB2312" w:eastAsia="仿宋_GB2312" w:cs="仿宋_GB2312"/>
                <w:bCs/>
                <w:color w:val="000000"/>
                <w:kern w:val="0"/>
                <w:szCs w:val="21"/>
                <w:lang w:val="en"/>
              </w:rPr>
            </w:pPr>
          </w:p>
        </w:tc>
        <w:tc>
          <w:tcPr>
            <w:tcW w:w="407" w:type="pct"/>
            <w:vMerge w:val="continue"/>
            <w:vAlign w:val="center"/>
          </w:tcPr>
          <w:p>
            <w:pPr>
              <w:rPr>
                <w:rFonts w:hint="eastAsia" w:ascii="仿宋_GB2312" w:hAnsi="仿宋_GB2312" w:eastAsia="仿宋_GB2312" w:cs="仿宋_GB2312"/>
                <w:bCs/>
                <w:color w:val="000000"/>
                <w:szCs w:val="21"/>
              </w:rPr>
            </w:pPr>
          </w:p>
        </w:tc>
        <w:tc>
          <w:tcPr>
            <w:tcW w:w="414" w:type="pct"/>
            <w:vMerge w:val="continue"/>
            <w:vAlign w:val="center"/>
          </w:tcPr>
          <w:p>
            <w:pPr>
              <w:rPr>
                <w:rFonts w:hint="eastAsia" w:ascii="仿宋_GB2312" w:hAnsi="仿宋_GB2312" w:eastAsia="仿宋_GB2312" w:cs="仿宋_GB2312"/>
                <w:bCs/>
                <w:color w:val="000000"/>
                <w:szCs w:val="21"/>
              </w:rPr>
            </w:pPr>
          </w:p>
        </w:tc>
        <w:tc>
          <w:tcPr>
            <w:tcW w:w="1239" w:type="pct"/>
            <w:vMerge w:val="continue"/>
            <w:vAlign w:val="center"/>
          </w:tcPr>
          <w:p>
            <w:pPr>
              <w:rPr>
                <w:rFonts w:hint="eastAsia" w:ascii="仿宋_GB2312" w:hAnsi="仿宋_GB2312" w:eastAsia="仿宋_GB2312" w:cs="仿宋_GB2312"/>
                <w:bCs/>
                <w:color w:val="000000"/>
                <w:szCs w:val="21"/>
              </w:rPr>
            </w:pPr>
          </w:p>
        </w:tc>
        <w:tc>
          <w:tcPr>
            <w:tcW w:w="399" w:type="pct"/>
            <w:vMerge w:val="continue"/>
            <w:vAlign w:val="center"/>
          </w:tcPr>
          <w:p>
            <w:pPr>
              <w:jc w:val="left"/>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lang w:bidi="ar"/>
              </w:rPr>
            </w:pPr>
          </w:p>
        </w:tc>
        <w:tc>
          <w:tcPr>
            <w:tcW w:w="637" w:type="pct"/>
            <w:vMerge w:val="continue"/>
            <w:vAlign w:val="center"/>
          </w:tcPr>
          <w:p>
            <w:pPr>
              <w:rPr>
                <w:rFonts w:hint="eastAsia" w:ascii="仿宋_GB2312" w:hAnsi="仿宋_GB2312" w:eastAsia="仿宋_GB2312" w:cs="仿宋_GB2312"/>
                <w:bCs/>
                <w:color w:val="000000"/>
                <w:kern w:val="0"/>
                <w:szCs w:val="21"/>
              </w:rPr>
            </w:pPr>
          </w:p>
        </w:tc>
        <w:tc>
          <w:tcPr>
            <w:tcW w:w="1159"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，对生产经营单位处五万元以上、低于十二万五千元的罚款，对其直接负责的主管人员和其他直接责任人员处一万元以上、低于一万五千元的罚款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7" w:hRule="atLeast"/>
          <w:jc w:val="center"/>
        </w:trPr>
        <w:tc>
          <w:tcPr>
            <w:tcW w:w="345" w:type="pct"/>
            <w:vMerge w:val="continue"/>
            <w:vAlign w:val="center"/>
          </w:tcPr>
          <w:p>
            <w:pPr>
              <w:rPr>
                <w:rFonts w:hint="eastAsia" w:ascii="仿宋_GB2312" w:hAnsi="仿宋_GB2312" w:eastAsia="仿宋_GB2312" w:cs="仿宋_GB2312"/>
                <w:bCs/>
                <w:color w:val="000000"/>
              </w:rPr>
            </w:pPr>
          </w:p>
        </w:tc>
        <w:tc>
          <w:tcPr>
            <w:tcW w:w="407" w:type="pct"/>
            <w:vMerge w:val="continue"/>
            <w:vAlign w:val="center"/>
          </w:tcPr>
          <w:p>
            <w:pPr>
              <w:rPr>
                <w:rFonts w:hint="eastAsia" w:ascii="仿宋_GB2312" w:hAnsi="仿宋_GB2312" w:eastAsia="仿宋_GB2312" w:cs="仿宋_GB2312"/>
                <w:bCs/>
                <w:color w:val="000000"/>
              </w:rPr>
            </w:pPr>
          </w:p>
        </w:tc>
        <w:tc>
          <w:tcPr>
            <w:tcW w:w="414" w:type="pct"/>
            <w:vMerge w:val="continue"/>
            <w:vAlign w:val="center"/>
          </w:tcPr>
          <w:p>
            <w:pPr>
              <w:rPr>
                <w:rFonts w:hint="eastAsia" w:ascii="仿宋_GB2312" w:hAnsi="仿宋_GB2312" w:eastAsia="仿宋_GB2312" w:cs="仿宋_GB2312"/>
                <w:bCs/>
                <w:color w:val="000000"/>
              </w:rPr>
            </w:pPr>
          </w:p>
        </w:tc>
        <w:tc>
          <w:tcPr>
            <w:tcW w:w="1239"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一般</w:t>
            </w:r>
          </w:p>
        </w:tc>
        <w:tc>
          <w:tcPr>
            <w:tcW w:w="637"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使用2种（台）应当淘汰的危及生产安全的工艺、设备的</w:t>
            </w:r>
          </w:p>
        </w:tc>
        <w:tc>
          <w:tcPr>
            <w:tcW w:w="1159"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生产经营单位：责令限期改正，处二万五千元的罚款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9" w:hRule="atLeast"/>
          <w:jc w:val="center"/>
        </w:trPr>
        <w:tc>
          <w:tcPr>
            <w:tcW w:w="345" w:type="pct"/>
            <w:vMerge w:val="continue"/>
            <w:vAlign w:val="center"/>
          </w:tcPr>
          <w:p>
            <w:pPr>
              <w:rPr>
                <w:rFonts w:hint="eastAsia" w:ascii="仿宋_GB2312" w:hAnsi="仿宋_GB2312" w:eastAsia="仿宋_GB2312" w:cs="仿宋_GB2312"/>
                <w:bCs/>
                <w:color w:val="000000"/>
              </w:rPr>
            </w:pPr>
          </w:p>
        </w:tc>
        <w:tc>
          <w:tcPr>
            <w:tcW w:w="407" w:type="pct"/>
            <w:vMerge w:val="continue"/>
            <w:vAlign w:val="center"/>
          </w:tcPr>
          <w:p>
            <w:pPr>
              <w:rPr>
                <w:rFonts w:hint="eastAsia" w:ascii="仿宋_GB2312" w:hAnsi="仿宋_GB2312" w:eastAsia="仿宋_GB2312" w:cs="仿宋_GB2312"/>
                <w:bCs/>
                <w:color w:val="000000"/>
              </w:rPr>
            </w:pPr>
          </w:p>
        </w:tc>
        <w:tc>
          <w:tcPr>
            <w:tcW w:w="414" w:type="pct"/>
            <w:vMerge w:val="continue"/>
            <w:vAlign w:val="center"/>
          </w:tcPr>
          <w:p>
            <w:pPr>
              <w:rPr>
                <w:rFonts w:hint="eastAsia" w:ascii="仿宋_GB2312" w:hAnsi="仿宋_GB2312" w:eastAsia="仿宋_GB2312" w:cs="仿宋_GB2312"/>
                <w:bCs/>
                <w:color w:val="000000"/>
              </w:rPr>
            </w:pPr>
          </w:p>
        </w:tc>
        <w:tc>
          <w:tcPr>
            <w:tcW w:w="1239"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lang w:bidi="ar"/>
              </w:rPr>
            </w:pPr>
          </w:p>
        </w:tc>
        <w:tc>
          <w:tcPr>
            <w:tcW w:w="637" w:type="pct"/>
            <w:vMerge w:val="continue"/>
            <w:vAlign w:val="center"/>
          </w:tcPr>
          <w:p>
            <w:pPr>
              <w:rPr>
                <w:rFonts w:hint="eastAsia" w:ascii="仿宋_GB2312" w:hAnsi="仿宋_GB2312" w:eastAsia="仿宋_GB2312" w:cs="仿宋_GB2312"/>
                <w:bCs/>
                <w:color w:val="000000"/>
              </w:rPr>
            </w:pPr>
          </w:p>
        </w:tc>
        <w:tc>
          <w:tcPr>
            <w:tcW w:w="1159"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，对生产经营单位处十二万五千元的罚款，对其直接负责的主管人员和其他直接责任人员处一万五千元的罚款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1" w:hRule="atLeast"/>
          <w:jc w:val="center"/>
        </w:trPr>
        <w:tc>
          <w:tcPr>
            <w:tcW w:w="345" w:type="pct"/>
            <w:vMerge w:val="continue"/>
            <w:vAlign w:val="center"/>
          </w:tcPr>
          <w:p>
            <w:pPr>
              <w:rPr>
                <w:rFonts w:hint="eastAsia" w:ascii="仿宋_GB2312" w:hAnsi="仿宋_GB2312" w:eastAsia="仿宋_GB2312" w:cs="仿宋_GB2312"/>
                <w:bCs/>
                <w:color w:val="000000"/>
              </w:rPr>
            </w:pPr>
          </w:p>
        </w:tc>
        <w:tc>
          <w:tcPr>
            <w:tcW w:w="407" w:type="pct"/>
            <w:vMerge w:val="continue"/>
            <w:vAlign w:val="center"/>
          </w:tcPr>
          <w:p>
            <w:pPr>
              <w:rPr>
                <w:rFonts w:hint="eastAsia" w:ascii="仿宋_GB2312" w:hAnsi="仿宋_GB2312" w:eastAsia="仿宋_GB2312" w:cs="仿宋_GB2312"/>
                <w:bCs/>
                <w:color w:val="000000"/>
              </w:rPr>
            </w:pPr>
          </w:p>
        </w:tc>
        <w:tc>
          <w:tcPr>
            <w:tcW w:w="414" w:type="pct"/>
            <w:vMerge w:val="continue"/>
            <w:vAlign w:val="center"/>
          </w:tcPr>
          <w:p>
            <w:pPr>
              <w:rPr>
                <w:rFonts w:hint="eastAsia" w:ascii="仿宋_GB2312" w:hAnsi="仿宋_GB2312" w:eastAsia="仿宋_GB2312" w:cs="仿宋_GB2312"/>
                <w:bCs/>
                <w:color w:val="000000"/>
              </w:rPr>
            </w:pPr>
          </w:p>
        </w:tc>
        <w:tc>
          <w:tcPr>
            <w:tcW w:w="1239"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从重</w:t>
            </w:r>
          </w:p>
        </w:tc>
        <w:tc>
          <w:tcPr>
            <w:tcW w:w="637"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使用3种（台）以上应当淘汰的危及生产安全的工艺、设备的</w:t>
            </w:r>
          </w:p>
        </w:tc>
        <w:tc>
          <w:tcPr>
            <w:tcW w:w="1159"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生产经营单位：责令限期改正，处五万元的罚款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92" w:hRule="atLeast"/>
          <w:jc w:val="center"/>
        </w:trPr>
        <w:tc>
          <w:tcPr>
            <w:tcW w:w="345" w:type="pct"/>
            <w:vMerge w:val="continue"/>
            <w:vAlign w:val="center"/>
          </w:tcPr>
          <w:p>
            <w:pPr>
              <w:rPr>
                <w:rFonts w:hint="eastAsia" w:ascii="仿宋_GB2312" w:hAnsi="仿宋_GB2312" w:eastAsia="仿宋_GB2312" w:cs="仿宋_GB2312"/>
                <w:bCs/>
                <w:color w:val="000000"/>
              </w:rPr>
            </w:pPr>
          </w:p>
        </w:tc>
        <w:tc>
          <w:tcPr>
            <w:tcW w:w="407" w:type="pct"/>
            <w:vMerge w:val="continue"/>
            <w:vAlign w:val="center"/>
          </w:tcPr>
          <w:p>
            <w:pPr>
              <w:rPr>
                <w:rFonts w:hint="eastAsia" w:ascii="仿宋_GB2312" w:hAnsi="仿宋_GB2312" w:eastAsia="仿宋_GB2312" w:cs="仿宋_GB2312"/>
                <w:bCs/>
                <w:color w:val="000000"/>
              </w:rPr>
            </w:pPr>
          </w:p>
        </w:tc>
        <w:tc>
          <w:tcPr>
            <w:tcW w:w="414" w:type="pct"/>
            <w:vMerge w:val="continue"/>
            <w:vAlign w:val="center"/>
          </w:tcPr>
          <w:p>
            <w:pPr>
              <w:rPr>
                <w:rFonts w:hint="eastAsia" w:ascii="仿宋_GB2312" w:hAnsi="仿宋_GB2312" w:eastAsia="仿宋_GB2312" w:cs="仿宋_GB2312"/>
                <w:bCs/>
                <w:color w:val="000000"/>
              </w:rPr>
            </w:pPr>
          </w:p>
        </w:tc>
        <w:tc>
          <w:tcPr>
            <w:tcW w:w="1239"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lang w:bidi="ar"/>
              </w:rPr>
            </w:pPr>
          </w:p>
        </w:tc>
        <w:tc>
          <w:tcPr>
            <w:tcW w:w="637" w:type="pct"/>
            <w:vMerge w:val="continue"/>
            <w:vAlign w:val="center"/>
          </w:tcPr>
          <w:p>
            <w:pPr>
              <w:rPr>
                <w:rFonts w:hint="eastAsia" w:ascii="仿宋_GB2312" w:hAnsi="仿宋_GB2312" w:eastAsia="仿宋_GB2312" w:cs="仿宋_GB2312"/>
                <w:bCs/>
                <w:color w:val="000000"/>
              </w:rPr>
            </w:pPr>
          </w:p>
        </w:tc>
        <w:tc>
          <w:tcPr>
            <w:tcW w:w="1159"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，对生产经营单位处超过十二万五千元、二十万元以下的罚款，对其直接负责的主管人员和其他直接责任人员处超过一万五千元、二万元以下的罚款，</w:t>
            </w:r>
            <w:r>
              <w:rPr>
                <w:rFonts w:hint="eastAsia" w:ascii="仿宋_GB2312" w:hAnsi="仿宋_GB2312" w:eastAsia="仿宋_GB2312" w:cs="仿宋_GB2312"/>
                <w:bCs/>
                <w:color w:val="000000"/>
                <w:szCs w:val="21"/>
              </w:rPr>
              <w:t>情节严重的，责令停产停业整顿</w:t>
            </w:r>
          </w:p>
        </w:tc>
      </w:tr>
    </w:tbl>
    <w:p/>
    <w:p>
      <w:pPr>
        <w:rPr>
          <w:rFonts w:hint="eastAsia" w:cs="宋体" w:asciiTheme="minorEastAsia" w:hAnsiTheme="minorEastAsia"/>
          <w:bCs/>
          <w:color w:val="000000"/>
        </w:rPr>
      </w:pPr>
    </w:p>
    <w:p>
      <w:pPr>
        <w:rPr>
          <w:rFonts w:hint="eastAsia" w:cs="宋体" w:asciiTheme="minorEastAsia" w:hAnsiTheme="minorEastAsia"/>
          <w:bCs/>
          <w:color w:val="000000"/>
          <w:sz w:val="32"/>
          <w:szCs w:val="32"/>
        </w:rPr>
      </w:pPr>
    </w:p>
    <w:p>
      <w:pPr>
        <w:rPr>
          <w:rFonts w:hint="eastAsia" w:cs="宋体" w:asciiTheme="minorEastAsia" w:hAnsiTheme="minorEastAsia"/>
          <w:bCs/>
          <w:color w:val="000000"/>
          <w:sz w:val="32"/>
          <w:szCs w:val="32"/>
        </w:rPr>
      </w:pPr>
      <w:r>
        <w:rPr>
          <w:rFonts w:hint="eastAsia" w:cs="宋体" w:asciiTheme="minorEastAsia" w:hAnsiTheme="minorEastAsia"/>
          <w:bCs/>
          <w:color w:val="000000"/>
          <w:sz w:val="32"/>
          <w:szCs w:val="32"/>
        </w:rPr>
        <w:t>《中华人民共和国安全生产法》</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6"/>
        <w:gridCol w:w="1186"/>
        <w:gridCol w:w="1326"/>
        <w:gridCol w:w="3488"/>
        <w:gridCol w:w="1162"/>
        <w:gridCol w:w="1162"/>
        <w:gridCol w:w="2030"/>
        <w:gridCol w:w="32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45"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序号</w:t>
            </w:r>
          </w:p>
        </w:tc>
        <w:tc>
          <w:tcPr>
            <w:tcW w:w="407"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455"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1198"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39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39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697"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1099"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6" w:hRule="atLeast"/>
          <w:jc w:val="center"/>
        </w:trPr>
        <w:tc>
          <w:tcPr>
            <w:tcW w:w="345" w:type="pct"/>
            <w:vMerge w:val="restart"/>
            <w:vAlign w:val="center"/>
          </w:tcPr>
          <w:p>
            <w:pPr>
              <w:widowControl/>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Cs/>
                <w:color w:val="000000"/>
                <w:kern w:val="0"/>
                <w:szCs w:val="21"/>
                <w:lang w:val="en"/>
              </w:rPr>
              <w:t>101.19</w:t>
            </w:r>
          </w:p>
        </w:tc>
        <w:tc>
          <w:tcPr>
            <w:tcW w:w="407"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餐饮等行业的生产经营单位使用燃气未安装可燃气体报警装置的</w:t>
            </w:r>
          </w:p>
        </w:tc>
        <w:tc>
          <w:tcPr>
            <w:tcW w:w="455"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第三十六条第四款：“餐饮等行业的生产经营单位使用燃气的，应当安装可燃气体报警装置，并保障其正常使用。”</w:t>
            </w:r>
          </w:p>
        </w:tc>
        <w:tc>
          <w:tcPr>
            <w:tcW w:w="1198"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第九十九条第（八）项：“</w:t>
            </w:r>
            <w:r>
              <w:rPr>
                <w:rFonts w:hint="eastAsia" w:ascii="仿宋_GB2312" w:hAnsi="仿宋_GB2312" w:eastAsia="仿宋_GB2312" w:cs="仿宋_GB2312"/>
                <w:bCs/>
                <w:color w:val="000000"/>
                <w:szCs w:val="21"/>
              </w:rPr>
              <w:t>生产经营单位有下列行为之一的，责令限期改正，处五万元以下的罚款；逾期未改正的，处五万元以上二十万元以下的罚款，对其直接负责的主管人员和其他直接责任人员处一万元以上二万元以下的罚款；情节严重的，责令停产停业整顿；构成犯罪的，依照刑法有关规定追究刑事责任：（八）餐饮等行业的生产经营单位使用燃气未安装可燃气体报警装置的。</w:t>
            </w:r>
            <w:r>
              <w:rPr>
                <w:rFonts w:hint="eastAsia" w:ascii="仿宋_GB2312" w:hAnsi="仿宋_GB2312" w:eastAsia="仿宋_GB2312" w:cs="仿宋_GB2312"/>
                <w:bCs/>
                <w:color w:val="000000"/>
              </w:rPr>
              <w:t>”</w:t>
            </w:r>
          </w:p>
        </w:tc>
        <w:tc>
          <w:tcPr>
            <w:tcW w:w="399" w:type="pct"/>
            <w:vMerge w:val="restart"/>
            <w:vAlign w:val="center"/>
          </w:tcPr>
          <w:p>
            <w:pPr>
              <w:jc w:val="left"/>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罚款；责令停产停业</w:t>
            </w: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从轻</w:t>
            </w:r>
          </w:p>
        </w:tc>
        <w:tc>
          <w:tcPr>
            <w:tcW w:w="697" w:type="pct"/>
            <w:vMerge w:val="restar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rPr>
              <w:t>应当安装但</w:t>
            </w:r>
            <w:r>
              <w:rPr>
                <w:rFonts w:hint="eastAsia" w:ascii="仿宋_GB2312" w:hAnsi="仿宋_GB2312" w:eastAsia="仿宋_GB2312" w:cs="仿宋_GB2312"/>
                <w:bCs/>
                <w:color w:val="000000"/>
                <w:kern w:val="0"/>
                <w:szCs w:val="21"/>
                <w:lang w:bidi="ar"/>
              </w:rPr>
              <w:t>未安装可燃气体报警装置少于</w:t>
            </w:r>
            <w:r>
              <w:rPr>
                <w:rFonts w:hint="eastAsia" w:ascii="仿宋_GB2312" w:hAnsi="仿宋_GB2312" w:eastAsia="仿宋_GB2312" w:cs="仿宋_GB2312"/>
                <w:bCs/>
                <w:color w:val="000000"/>
                <w:szCs w:val="21"/>
                <w:lang w:bidi="ar"/>
              </w:rPr>
              <w:t>3个</w:t>
            </w:r>
          </w:p>
        </w:tc>
        <w:tc>
          <w:tcPr>
            <w:tcW w:w="1099"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rPr>
              <w:t>生产经营单位：责令限期改正，处一万元的罚款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94" w:hRule="atLeast"/>
          <w:jc w:val="center"/>
        </w:trPr>
        <w:tc>
          <w:tcPr>
            <w:tcW w:w="345" w:type="pct"/>
            <w:vMerge w:val="continue"/>
            <w:vAlign w:val="center"/>
          </w:tcPr>
          <w:p>
            <w:pPr>
              <w:widowControl/>
              <w:jc w:val="center"/>
              <w:rPr>
                <w:rFonts w:hint="eastAsia" w:ascii="仿宋_GB2312" w:hAnsi="仿宋_GB2312" w:eastAsia="仿宋_GB2312" w:cs="仿宋_GB2312"/>
                <w:bCs/>
                <w:color w:val="000000"/>
                <w:kern w:val="0"/>
                <w:szCs w:val="21"/>
                <w:lang w:val="en"/>
              </w:rPr>
            </w:pPr>
          </w:p>
        </w:tc>
        <w:tc>
          <w:tcPr>
            <w:tcW w:w="407" w:type="pct"/>
            <w:vMerge w:val="continue"/>
            <w:vAlign w:val="center"/>
          </w:tcPr>
          <w:p>
            <w:pPr>
              <w:rPr>
                <w:rFonts w:hint="eastAsia" w:ascii="仿宋_GB2312" w:hAnsi="仿宋_GB2312" w:eastAsia="仿宋_GB2312" w:cs="仿宋_GB2312"/>
                <w:bCs/>
                <w:color w:val="000000"/>
                <w:szCs w:val="21"/>
              </w:rPr>
            </w:pPr>
          </w:p>
        </w:tc>
        <w:tc>
          <w:tcPr>
            <w:tcW w:w="455" w:type="pct"/>
            <w:vMerge w:val="continue"/>
            <w:vAlign w:val="center"/>
          </w:tcPr>
          <w:p>
            <w:pPr>
              <w:rPr>
                <w:rFonts w:hint="eastAsia" w:ascii="仿宋_GB2312" w:hAnsi="仿宋_GB2312" w:eastAsia="仿宋_GB2312" w:cs="仿宋_GB2312"/>
                <w:bCs/>
                <w:color w:val="000000"/>
              </w:rPr>
            </w:pPr>
          </w:p>
        </w:tc>
        <w:tc>
          <w:tcPr>
            <w:tcW w:w="1198" w:type="pct"/>
            <w:vMerge w:val="continue"/>
            <w:vAlign w:val="center"/>
          </w:tcPr>
          <w:p>
            <w:pPr>
              <w:rPr>
                <w:rFonts w:hint="eastAsia" w:ascii="仿宋_GB2312" w:hAnsi="仿宋_GB2312" w:eastAsia="仿宋_GB2312" w:cs="仿宋_GB2312"/>
                <w:bCs/>
                <w:color w:val="000000"/>
              </w:rPr>
            </w:pPr>
          </w:p>
        </w:tc>
        <w:tc>
          <w:tcPr>
            <w:tcW w:w="399" w:type="pct"/>
            <w:vMerge w:val="continue"/>
            <w:vAlign w:val="center"/>
          </w:tcPr>
          <w:p>
            <w:pPr>
              <w:jc w:val="left"/>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lang w:bidi="ar"/>
              </w:rPr>
            </w:pPr>
          </w:p>
        </w:tc>
        <w:tc>
          <w:tcPr>
            <w:tcW w:w="697" w:type="pct"/>
            <w:vMerge w:val="continue"/>
            <w:vAlign w:val="center"/>
          </w:tcPr>
          <w:p>
            <w:pPr>
              <w:rPr>
                <w:rFonts w:hint="eastAsia" w:ascii="仿宋_GB2312" w:hAnsi="仿宋_GB2312" w:eastAsia="仿宋_GB2312" w:cs="仿宋_GB2312"/>
                <w:bCs/>
                <w:color w:val="000000"/>
              </w:rPr>
            </w:pPr>
          </w:p>
        </w:tc>
        <w:tc>
          <w:tcPr>
            <w:tcW w:w="1099"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，对生产经营单位处五万元以上、低于十二万五千元的罚款，对其直接负责的主管人员和其他直接责任人员处一万元以上、低于一万五千元的罚款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1" w:hRule="atLeast"/>
          <w:jc w:val="center"/>
        </w:trPr>
        <w:tc>
          <w:tcPr>
            <w:tcW w:w="345" w:type="pct"/>
            <w:vMerge w:val="continue"/>
            <w:vAlign w:val="center"/>
          </w:tcPr>
          <w:p>
            <w:pPr>
              <w:rPr>
                <w:rFonts w:hint="eastAsia" w:ascii="仿宋_GB2312" w:hAnsi="仿宋_GB2312" w:eastAsia="仿宋_GB2312" w:cs="仿宋_GB2312"/>
                <w:bCs/>
                <w:color w:val="000000"/>
              </w:rPr>
            </w:pPr>
          </w:p>
        </w:tc>
        <w:tc>
          <w:tcPr>
            <w:tcW w:w="407" w:type="pct"/>
            <w:vMerge w:val="continue"/>
            <w:vAlign w:val="center"/>
          </w:tcPr>
          <w:p>
            <w:pPr>
              <w:rPr>
                <w:rFonts w:hint="eastAsia" w:ascii="仿宋_GB2312" w:hAnsi="仿宋_GB2312" w:eastAsia="仿宋_GB2312" w:cs="仿宋_GB2312"/>
                <w:bCs/>
                <w:color w:val="000000"/>
              </w:rPr>
            </w:pPr>
          </w:p>
        </w:tc>
        <w:tc>
          <w:tcPr>
            <w:tcW w:w="455" w:type="pct"/>
            <w:vMerge w:val="continue"/>
            <w:vAlign w:val="center"/>
          </w:tcPr>
          <w:p>
            <w:pPr>
              <w:rPr>
                <w:rFonts w:hint="eastAsia" w:ascii="仿宋_GB2312" w:hAnsi="仿宋_GB2312" w:eastAsia="仿宋_GB2312" w:cs="仿宋_GB2312"/>
                <w:bCs/>
                <w:color w:val="000000"/>
              </w:rPr>
            </w:pPr>
          </w:p>
        </w:tc>
        <w:tc>
          <w:tcPr>
            <w:tcW w:w="1198"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一般</w:t>
            </w:r>
          </w:p>
        </w:tc>
        <w:tc>
          <w:tcPr>
            <w:tcW w:w="697"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应当安装但</w:t>
            </w:r>
            <w:r>
              <w:rPr>
                <w:rFonts w:hint="eastAsia" w:ascii="仿宋_GB2312" w:hAnsi="仿宋_GB2312" w:eastAsia="仿宋_GB2312" w:cs="仿宋_GB2312"/>
                <w:bCs/>
                <w:color w:val="000000"/>
                <w:kern w:val="0"/>
                <w:szCs w:val="21"/>
                <w:lang w:bidi="ar"/>
              </w:rPr>
              <w:t>未安装可燃气体报警装置3个以上、少于5个</w:t>
            </w:r>
          </w:p>
        </w:tc>
        <w:tc>
          <w:tcPr>
            <w:tcW w:w="1099"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生产经营单位：责令限期改正，处二万五千元的罚款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1" w:hRule="atLeast"/>
          <w:jc w:val="center"/>
        </w:trPr>
        <w:tc>
          <w:tcPr>
            <w:tcW w:w="345" w:type="pct"/>
            <w:vMerge w:val="continue"/>
            <w:vAlign w:val="center"/>
          </w:tcPr>
          <w:p>
            <w:pPr>
              <w:rPr>
                <w:rFonts w:hint="eastAsia" w:ascii="仿宋_GB2312" w:hAnsi="仿宋_GB2312" w:eastAsia="仿宋_GB2312" w:cs="仿宋_GB2312"/>
                <w:bCs/>
                <w:color w:val="000000"/>
              </w:rPr>
            </w:pPr>
          </w:p>
        </w:tc>
        <w:tc>
          <w:tcPr>
            <w:tcW w:w="407" w:type="pct"/>
            <w:vMerge w:val="continue"/>
            <w:vAlign w:val="center"/>
          </w:tcPr>
          <w:p>
            <w:pPr>
              <w:rPr>
                <w:rFonts w:hint="eastAsia" w:ascii="仿宋_GB2312" w:hAnsi="仿宋_GB2312" w:eastAsia="仿宋_GB2312" w:cs="仿宋_GB2312"/>
                <w:bCs/>
                <w:color w:val="000000"/>
              </w:rPr>
            </w:pPr>
          </w:p>
        </w:tc>
        <w:tc>
          <w:tcPr>
            <w:tcW w:w="455" w:type="pct"/>
            <w:vMerge w:val="continue"/>
            <w:vAlign w:val="center"/>
          </w:tcPr>
          <w:p>
            <w:pPr>
              <w:rPr>
                <w:rFonts w:hint="eastAsia" w:ascii="仿宋_GB2312" w:hAnsi="仿宋_GB2312" w:eastAsia="仿宋_GB2312" w:cs="仿宋_GB2312"/>
                <w:bCs/>
                <w:color w:val="000000"/>
              </w:rPr>
            </w:pPr>
          </w:p>
        </w:tc>
        <w:tc>
          <w:tcPr>
            <w:tcW w:w="1198"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lang w:bidi="ar"/>
              </w:rPr>
            </w:pPr>
          </w:p>
        </w:tc>
        <w:tc>
          <w:tcPr>
            <w:tcW w:w="697" w:type="pct"/>
            <w:vMerge w:val="continue"/>
            <w:vAlign w:val="center"/>
          </w:tcPr>
          <w:p>
            <w:pPr>
              <w:rPr>
                <w:rFonts w:hint="eastAsia" w:ascii="仿宋_GB2312" w:hAnsi="仿宋_GB2312" w:eastAsia="仿宋_GB2312" w:cs="仿宋_GB2312"/>
                <w:bCs/>
                <w:color w:val="000000"/>
              </w:rPr>
            </w:pPr>
          </w:p>
        </w:tc>
        <w:tc>
          <w:tcPr>
            <w:tcW w:w="1099"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，对生产经营单位处十二万五千元的罚款，对其直接负责的主管人员和其他直接责任人员处一万五千元的罚款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6" w:hRule="atLeast"/>
          <w:jc w:val="center"/>
        </w:trPr>
        <w:tc>
          <w:tcPr>
            <w:tcW w:w="345" w:type="pct"/>
            <w:vMerge w:val="continue"/>
            <w:vAlign w:val="center"/>
          </w:tcPr>
          <w:p>
            <w:pPr>
              <w:rPr>
                <w:rFonts w:hint="eastAsia" w:ascii="仿宋_GB2312" w:hAnsi="仿宋_GB2312" w:eastAsia="仿宋_GB2312" w:cs="仿宋_GB2312"/>
                <w:bCs/>
                <w:color w:val="000000"/>
              </w:rPr>
            </w:pPr>
          </w:p>
        </w:tc>
        <w:tc>
          <w:tcPr>
            <w:tcW w:w="407" w:type="pct"/>
            <w:vMerge w:val="continue"/>
            <w:vAlign w:val="center"/>
          </w:tcPr>
          <w:p>
            <w:pPr>
              <w:rPr>
                <w:rFonts w:hint="eastAsia" w:ascii="仿宋_GB2312" w:hAnsi="仿宋_GB2312" w:eastAsia="仿宋_GB2312" w:cs="仿宋_GB2312"/>
                <w:bCs/>
                <w:color w:val="000000"/>
              </w:rPr>
            </w:pPr>
          </w:p>
        </w:tc>
        <w:tc>
          <w:tcPr>
            <w:tcW w:w="455" w:type="pct"/>
            <w:vMerge w:val="continue"/>
            <w:vAlign w:val="center"/>
          </w:tcPr>
          <w:p>
            <w:pPr>
              <w:rPr>
                <w:rFonts w:hint="eastAsia" w:ascii="仿宋_GB2312" w:hAnsi="仿宋_GB2312" w:eastAsia="仿宋_GB2312" w:cs="仿宋_GB2312"/>
                <w:bCs/>
                <w:color w:val="000000"/>
              </w:rPr>
            </w:pPr>
          </w:p>
        </w:tc>
        <w:tc>
          <w:tcPr>
            <w:tcW w:w="1198"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从重</w:t>
            </w:r>
          </w:p>
        </w:tc>
        <w:tc>
          <w:tcPr>
            <w:tcW w:w="697" w:type="pct"/>
            <w:vMerge w:val="restar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rPr>
              <w:t>应当安装但</w:t>
            </w:r>
            <w:r>
              <w:rPr>
                <w:rFonts w:hint="eastAsia" w:ascii="仿宋_GB2312" w:hAnsi="仿宋_GB2312" w:eastAsia="仿宋_GB2312" w:cs="仿宋_GB2312"/>
                <w:bCs/>
                <w:color w:val="000000"/>
                <w:kern w:val="0"/>
                <w:szCs w:val="21"/>
                <w:lang w:bidi="ar"/>
              </w:rPr>
              <w:t>未安装可燃气体报警装置5个以上</w:t>
            </w:r>
          </w:p>
        </w:tc>
        <w:tc>
          <w:tcPr>
            <w:tcW w:w="1099"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生产经营单位：责令限期改正，处五万元的罚款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96" w:hRule="atLeast"/>
          <w:jc w:val="center"/>
        </w:trPr>
        <w:tc>
          <w:tcPr>
            <w:tcW w:w="345" w:type="pct"/>
            <w:vMerge w:val="continue"/>
            <w:vAlign w:val="center"/>
          </w:tcPr>
          <w:p>
            <w:pPr>
              <w:rPr>
                <w:rFonts w:hint="eastAsia" w:ascii="仿宋_GB2312" w:hAnsi="仿宋_GB2312" w:eastAsia="仿宋_GB2312" w:cs="仿宋_GB2312"/>
                <w:bCs/>
                <w:color w:val="000000"/>
              </w:rPr>
            </w:pPr>
          </w:p>
        </w:tc>
        <w:tc>
          <w:tcPr>
            <w:tcW w:w="407" w:type="pct"/>
            <w:vMerge w:val="continue"/>
            <w:vAlign w:val="center"/>
          </w:tcPr>
          <w:p>
            <w:pPr>
              <w:rPr>
                <w:rFonts w:hint="eastAsia" w:ascii="仿宋_GB2312" w:hAnsi="仿宋_GB2312" w:eastAsia="仿宋_GB2312" w:cs="仿宋_GB2312"/>
                <w:bCs/>
                <w:color w:val="000000"/>
              </w:rPr>
            </w:pPr>
          </w:p>
        </w:tc>
        <w:tc>
          <w:tcPr>
            <w:tcW w:w="455" w:type="pct"/>
            <w:vMerge w:val="continue"/>
            <w:vAlign w:val="center"/>
          </w:tcPr>
          <w:p>
            <w:pPr>
              <w:rPr>
                <w:rFonts w:hint="eastAsia" w:ascii="仿宋_GB2312" w:hAnsi="仿宋_GB2312" w:eastAsia="仿宋_GB2312" w:cs="仿宋_GB2312"/>
                <w:bCs/>
                <w:color w:val="000000"/>
              </w:rPr>
            </w:pPr>
          </w:p>
        </w:tc>
        <w:tc>
          <w:tcPr>
            <w:tcW w:w="1198"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lang w:bidi="ar"/>
              </w:rPr>
            </w:pPr>
          </w:p>
        </w:tc>
        <w:tc>
          <w:tcPr>
            <w:tcW w:w="697" w:type="pct"/>
            <w:vMerge w:val="continue"/>
            <w:vAlign w:val="center"/>
          </w:tcPr>
          <w:p>
            <w:pPr>
              <w:rPr>
                <w:rFonts w:hint="eastAsia" w:ascii="仿宋_GB2312" w:hAnsi="仿宋_GB2312" w:eastAsia="仿宋_GB2312" w:cs="仿宋_GB2312"/>
                <w:bCs/>
                <w:color w:val="000000"/>
              </w:rPr>
            </w:pPr>
          </w:p>
        </w:tc>
        <w:tc>
          <w:tcPr>
            <w:tcW w:w="1099"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，对生产经营单位处超过十二万五千元、二十万元以下的罚款，对其直接负责的主管人员和其他直接责任人员处超过一万五千元、二万元以下的罚款，</w:t>
            </w:r>
            <w:r>
              <w:rPr>
                <w:rFonts w:hint="eastAsia" w:ascii="仿宋_GB2312" w:hAnsi="仿宋_GB2312" w:eastAsia="仿宋_GB2312" w:cs="仿宋_GB2312"/>
                <w:bCs/>
                <w:color w:val="000000"/>
                <w:szCs w:val="21"/>
              </w:rPr>
              <w:t>情节严重的，责令停产停业整顿</w:t>
            </w:r>
          </w:p>
        </w:tc>
      </w:tr>
    </w:tbl>
    <w:p>
      <w:pPr>
        <w:rPr>
          <w:rFonts w:hint="eastAsia" w:cs="宋体" w:asciiTheme="minorEastAsia" w:hAnsiTheme="minorEastAsia"/>
          <w:bCs/>
          <w:color w:val="000000"/>
        </w:rPr>
      </w:pPr>
    </w:p>
    <w:p>
      <w:pPr>
        <w:rPr>
          <w:rFonts w:hint="eastAsia" w:cs="宋体" w:asciiTheme="minorEastAsia" w:hAnsiTheme="minorEastAsia"/>
          <w:bCs/>
          <w:color w:val="000000"/>
          <w:sz w:val="32"/>
          <w:szCs w:val="32"/>
        </w:rPr>
      </w:pPr>
      <w:r>
        <w:rPr>
          <w:rFonts w:hint="eastAsia" w:cs="宋体" w:asciiTheme="minorEastAsia" w:hAnsiTheme="minorEastAsia"/>
          <w:bCs/>
          <w:color w:val="000000"/>
          <w:sz w:val="32"/>
          <w:szCs w:val="32"/>
        </w:rPr>
        <w:t>《中华人民共和国安全生产法》</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6"/>
        <w:gridCol w:w="1186"/>
        <w:gridCol w:w="1829"/>
        <w:gridCol w:w="2983"/>
        <w:gridCol w:w="1163"/>
        <w:gridCol w:w="1162"/>
        <w:gridCol w:w="1954"/>
        <w:gridCol w:w="3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45"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序号</w:t>
            </w:r>
          </w:p>
        </w:tc>
        <w:tc>
          <w:tcPr>
            <w:tcW w:w="407"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628"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1024"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39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39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671"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1125"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5" w:hRule="atLeast"/>
          <w:jc w:val="center"/>
        </w:trPr>
        <w:tc>
          <w:tcPr>
            <w:tcW w:w="345" w:type="pct"/>
            <w:vMerge w:val="restart"/>
            <w:vAlign w:val="center"/>
          </w:tcPr>
          <w:p>
            <w:pPr>
              <w:widowControl/>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Cs/>
                <w:color w:val="000000"/>
                <w:kern w:val="0"/>
                <w:szCs w:val="21"/>
                <w:lang w:val="en"/>
              </w:rPr>
              <w:t>101.20</w:t>
            </w:r>
          </w:p>
        </w:tc>
        <w:tc>
          <w:tcPr>
            <w:tcW w:w="407"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生产、经营、运输、储存、使用危险物品或者处置废弃危险物品，未建立专门安全管理制度、未采取可靠的安全措施的</w:t>
            </w:r>
          </w:p>
        </w:tc>
        <w:tc>
          <w:tcPr>
            <w:tcW w:w="628"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szCs w:val="21"/>
              </w:rPr>
              <w:t>第三十九条第二款：“生产经营单位生产、经营、运输、储存、使用危险物品或者处置废弃危险物品，必须执行有关法律、法规和国家标准或者行业标准，建立专门的安全管理制度，采取可靠的安全措施，接受有关主管部门依法实施的监督管理。”</w:t>
            </w:r>
          </w:p>
        </w:tc>
        <w:tc>
          <w:tcPr>
            <w:tcW w:w="1024"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szCs w:val="21"/>
              </w:rPr>
              <w:t>第一百零一条第（一）项：“生产经营单位有下列行为之一的，责令限期改正，处十万元以下的罚款；逾期未改正的，责令停产停业整顿，并处十万元以上二十万元以下的罚款，对其直接负责的主管人员和其他直接责任人员处二万元以上五万元以下的罚款；构成犯罪的，依照刑法有关规定追究刑事责任：（一）生产、经营、运输、储存、使用危险物品或者处置废弃危险物品，未建立专门安全管理制度、未采取可靠的安全措施的。”</w:t>
            </w:r>
          </w:p>
        </w:tc>
        <w:tc>
          <w:tcPr>
            <w:tcW w:w="399" w:type="pct"/>
            <w:vMerge w:val="restart"/>
            <w:vAlign w:val="center"/>
          </w:tcPr>
          <w:p>
            <w:pPr>
              <w:jc w:val="left"/>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罚款；责令停产停业</w:t>
            </w: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从轻</w:t>
            </w:r>
          </w:p>
        </w:tc>
        <w:tc>
          <w:tcPr>
            <w:tcW w:w="671"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未建立专门安全管理制度，但</w:t>
            </w:r>
            <w:r>
              <w:rPr>
                <w:rFonts w:hint="eastAsia" w:ascii="仿宋_GB2312" w:hAnsi="仿宋_GB2312" w:eastAsia="仿宋_GB2312" w:cs="仿宋_GB2312"/>
                <w:bCs/>
                <w:color w:val="000000"/>
                <w:szCs w:val="21"/>
              </w:rPr>
              <w:t>采取可靠的安全措施的</w:t>
            </w:r>
          </w:p>
        </w:tc>
        <w:tc>
          <w:tcPr>
            <w:tcW w:w="1125"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rPr>
              <w:t>生产经营单位：责令限期改正，处二万元的罚款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64" w:hRule="atLeast"/>
          <w:jc w:val="center"/>
        </w:trPr>
        <w:tc>
          <w:tcPr>
            <w:tcW w:w="345" w:type="pct"/>
            <w:vMerge w:val="continue"/>
            <w:vAlign w:val="center"/>
          </w:tcPr>
          <w:p>
            <w:pPr>
              <w:widowControl/>
              <w:jc w:val="center"/>
              <w:rPr>
                <w:rFonts w:hint="eastAsia" w:ascii="仿宋_GB2312" w:hAnsi="仿宋_GB2312" w:eastAsia="仿宋_GB2312" w:cs="仿宋_GB2312"/>
                <w:bCs/>
                <w:color w:val="000000"/>
                <w:kern w:val="0"/>
                <w:szCs w:val="21"/>
                <w:lang w:val="en"/>
              </w:rPr>
            </w:pPr>
          </w:p>
        </w:tc>
        <w:tc>
          <w:tcPr>
            <w:tcW w:w="407" w:type="pct"/>
            <w:vMerge w:val="continue"/>
            <w:vAlign w:val="center"/>
          </w:tcPr>
          <w:p>
            <w:pPr>
              <w:rPr>
                <w:rFonts w:hint="eastAsia" w:ascii="仿宋_GB2312" w:hAnsi="仿宋_GB2312" w:eastAsia="仿宋_GB2312" w:cs="仿宋_GB2312"/>
                <w:bCs/>
                <w:color w:val="000000"/>
                <w:szCs w:val="21"/>
              </w:rPr>
            </w:pPr>
          </w:p>
        </w:tc>
        <w:tc>
          <w:tcPr>
            <w:tcW w:w="628" w:type="pct"/>
            <w:vMerge w:val="continue"/>
            <w:vAlign w:val="center"/>
          </w:tcPr>
          <w:p>
            <w:pPr>
              <w:rPr>
                <w:rFonts w:hint="eastAsia" w:ascii="仿宋_GB2312" w:hAnsi="仿宋_GB2312" w:eastAsia="仿宋_GB2312" w:cs="仿宋_GB2312"/>
                <w:bCs/>
                <w:color w:val="000000"/>
                <w:szCs w:val="21"/>
              </w:rPr>
            </w:pPr>
          </w:p>
        </w:tc>
        <w:tc>
          <w:tcPr>
            <w:tcW w:w="1024" w:type="pct"/>
            <w:vMerge w:val="continue"/>
            <w:vAlign w:val="center"/>
          </w:tcPr>
          <w:p>
            <w:pPr>
              <w:rPr>
                <w:rFonts w:hint="eastAsia" w:ascii="仿宋_GB2312" w:hAnsi="仿宋_GB2312" w:eastAsia="仿宋_GB2312" w:cs="仿宋_GB2312"/>
                <w:bCs/>
                <w:color w:val="000000"/>
                <w:szCs w:val="21"/>
              </w:rPr>
            </w:pPr>
          </w:p>
        </w:tc>
        <w:tc>
          <w:tcPr>
            <w:tcW w:w="399" w:type="pct"/>
            <w:vMerge w:val="continue"/>
            <w:vAlign w:val="center"/>
          </w:tcPr>
          <w:p>
            <w:pPr>
              <w:jc w:val="left"/>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lang w:bidi="ar"/>
              </w:rPr>
            </w:pPr>
          </w:p>
        </w:tc>
        <w:tc>
          <w:tcPr>
            <w:tcW w:w="671" w:type="pct"/>
            <w:vMerge w:val="continue"/>
            <w:vAlign w:val="center"/>
          </w:tcPr>
          <w:p>
            <w:pPr>
              <w:rPr>
                <w:rFonts w:hint="eastAsia" w:ascii="仿宋_GB2312" w:hAnsi="仿宋_GB2312" w:eastAsia="仿宋_GB2312" w:cs="仿宋_GB2312"/>
                <w:bCs/>
                <w:color w:val="000000"/>
              </w:rPr>
            </w:pPr>
          </w:p>
        </w:tc>
        <w:tc>
          <w:tcPr>
            <w:tcW w:w="1125"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w:t>
            </w:r>
            <w:r>
              <w:rPr>
                <w:rFonts w:hint="eastAsia" w:ascii="仿宋_GB2312" w:hAnsi="仿宋_GB2312" w:eastAsia="仿宋_GB2312" w:cs="仿宋_GB2312"/>
                <w:bCs/>
                <w:color w:val="000000"/>
                <w:szCs w:val="21"/>
              </w:rPr>
              <w:t>责令</w:t>
            </w:r>
            <w:r>
              <w:rPr>
                <w:rFonts w:hint="eastAsia" w:ascii="仿宋_GB2312" w:hAnsi="仿宋_GB2312" w:eastAsia="仿宋_GB2312" w:cs="仿宋_GB2312"/>
                <w:bCs/>
                <w:color w:val="000000"/>
              </w:rPr>
              <w:t>生产经营单位</w:t>
            </w:r>
            <w:r>
              <w:rPr>
                <w:rFonts w:hint="eastAsia" w:ascii="仿宋_GB2312" w:hAnsi="仿宋_GB2312" w:eastAsia="仿宋_GB2312" w:cs="仿宋_GB2312"/>
                <w:bCs/>
                <w:color w:val="000000"/>
                <w:szCs w:val="21"/>
              </w:rPr>
              <w:t>停产停业整顿，并处十万元以上、低于十五万元的罚款，对其直接负责的主管人员和其他直接责任人员处二万元以上、低于三万五千元的罚款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0" w:hRule="atLeast"/>
          <w:jc w:val="center"/>
        </w:trPr>
        <w:tc>
          <w:tcPr>
            <w:tcW w:w="345" w:type="pct"/>
            <w:vMerge w:val="continue"/>
            <w:vAlign w:val="center"/>
          </w:tcPr>
          <w:p>
            <w:pPr>
              <w:rPr>
                <w:rFonts w:hint="eastAsia" w:ascii="仿宋_GB2312" w:hAnsi="仿宋_GB2312" w:eastAsia="仿宋_GB2312" w:cs="仿宋_GB2312"/>
                <w:bCs/>
                <w:color w:val="000000"/>
              </w:rPr>
            </w:pPr>
          </w:p>
        </w:tc>
        <w:tc>
          <w:tcPr>
            <w:tcW w:w="407" w:type="pct"/>
            <w:vMerge w:val="continue"/>
            <w:vAlign w:val="center"/>
          </w:tcPr>
          <w:p>
            <w:pPr>
              <w:rPr>
                <w:rFonts w:hint="eastAsia" w:ascii="仿宋_GB2312" w:hAnsi="仿宋_GB2312" w:eastAsia="仿宋_GB2312" w:cs="仿宋_GB2312"/>
                <w:bCs/>
                <w:color w:val="000000"/>
              </w:rPr>
            </w:pPr>
          </w:p>
        </w:tc>
        <w:tc>
          <w:tcPr>
            <w:tcW w:w="628" w:type="pct"/>
            <w:vMerge w:val="continue"/>
            <w:vAlign w:val="center"/>
          </w:tcPr>
          <w:p>
            <w:pPr>
              <w:rPr>
                <w:rFonts w:hint="eastAsia" w:ascii="仿宋_GB2312" w:hAnsi="仿宋_GB2312" w:eastAsia="仿宋_GB2312" w:cs="仿宋_GB2312"/>
                <w:bCs/>
                <w:color w:val="000000"/>
              </w:rPr>
            </w:pPr>
          </w:p>
        </w:tc>
        <w:tc>
          <w:tcPr>
            <w:tcW w:w="1024"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一般</w:t>
            </w:r>
          </w:p>
        </w:tc>
        <w:tc>
          <w:tcPr>
            <w:tcW w:w="671"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虽已建立专门安全管理制度，但未</w:t>
            </w:r>
            <w:r>
              <w:rPr>
                <w:rFonts w:hint="eastAsia" w:ascii="仿宋_GB2312" w:hAnsi="仿宋_GB2312" w:eastAsia="仿宋_GB2312" w:cs="仿宋_GB2312"/>
                <w:bCs/>
                <w:color w:val="000000"/>
                <w:szCs w:val="21"/>
              </w:rPr>
              <w:t>采取可靠的安全措施的</w:t>
            </w:r>
          </w:p>
        </w:tc>
        <w:tc>
          <w:tcPr>
            <w:tcW w:w="1125"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生产经营单位：责令限期改正，处五万元的罚款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1" w:hRule="atLeast"/>
          <w:jc w:val="center"/>
        </w:trPr>
        <w:tc>
          <w:tcPr>
            <w:tcW w:w="345" w:type="pct"/>
            <w:vMerge w:val="continue"/>
            <w:vAlign w:val="center"/>
          </w:tcPr>
          <w:p>
            <w:pPr>
              <w:rPr>
                <w:rFonts w:hint="eastAsia" w:ascii="仿宋_GB2312" w:hAnsi="仿宋_GB2312" w:eastAsia="仿宋_GB2312" w:cs="仿宋_GB2312"/>
                <w:bCs/>
                <w:color w:val="000000"/>
              </w:rPr>
            </w:pPr>
          </w:p>
        </w:tc>
        <w:tc>
          <w:tcPr>
            <w:tcW w:w="407" w:type="pct"/>
            <w:vMerge w:val="continue"/>
            <w:vAlign w:val="center"/>
          </w:tcPr>
          <w:p>
            <w:pPr>
              <w:rPr>
                <w:rFonts w:hint="eastAsia" w:ascii="仿宋_GB2312" w:hAnsi="仿宋_GB2312" w:eastAsia="仿宋_GB2312" w:cs="仿宋_GB2312"/>
                <w:bCs/>
                <w:color w:val="000000"/>
              </w:rPr>
            </w:pPr>
          </w:p>
        </w:tc>
        <w:tc>
          <w:tcPr>
            <w:tcW w:w="628" w:type="pct"/>
            <w:vMerge w:val="continue"/>
            <w:vAlign w:val="center"/>
          </w:tcPr>
          <w:p>
            <w:pPr>
              <w:rPr>
                <w:rFonts w:hint="eastAsia" w:ascii="仿宋_GB2312" w:hAnsi="仿宋_GB2312" w:eastAsia="仿宋_GB2312" w:cs="仿宋_GB2312"/>
                <w:bCs/>
                <w:color w:val="000000"/>
              </w:rPr>
            </w:pPr>
          </w:p>
        </w:tc>
        <w:tc>
          <w:tcPr>
            <w:tcW w:w="1024"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lang w:bidi="ar"/>
              </w:rPr>
            </w:pPr>
          </w:p>
        </w:tc>
        <w:tc>
          <w:tcPr>
            <w:tcW w:w="671" w:type="pct"/>
            <w:vMerge w:val="continue"/>
            <w:vAlign w:val="center"/>
          </w:tcPr>
          <w:p>
            <w:pPr>
              <w:rPr>
                <w:rFonts w:hint="eastAsia" w:ascii="仿宋_GB2312" w:hAnsi="仿宋_GB2312" w:eastAsia="仿宋_GB2312" w:cs="仿宋_GB2312"/>
                <w:bCs/>
                <w:color w:val="000000"/>
              </w:rPr>
            </w:pPr>
          </w:p>
        </w:tc>
        <w:tc>
          <w:tcPr>
            <w:tcW w:w="1125"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w:t>
            </w:r>
            <w:r>
              <w:rPr>
                <w:rFonts w:hint="eastAsia" w:ascii="仿宋_GB2312" w:hAnsi="仿宋_GB2312" w:eastAsia="仿宋_GB2312" w:cs="仿宋_GB2312"/>
                <w:bCs/>
                <w:color w:val="000000"/>
                <w:szCs w:val="21"/>
              </w:rPr>
              <w:t>责令</w:t>
            </w:r>
            <w:r>
              <w:rPr>
                <w:rFonts w:hint="eastAsia" w:ascii="仿宋_GB2312" w:hAnsi="仿宋_GB2312" w:eastAsia="仿宋_GB2312" w:cs="仿宋_GB2312"/>
                <w:bCs/>
                <w:color w:val="000000"/>
              </w:rPr>
              <w:t>生产经营单位</w:t>
            </w:r>
            <w:r>
              <w:rPr>
                <w:rFonts w:hint="eastAsia" w:ascii="仿宋_GB2312" w:hAnsi="仿宋_GB2312" w:eastAsia="仿宋_GB2312" w:cs="仿宋_GB2312"/>
                <w:bCs/>
                <w:color w:val="000000"/>
                <w:szCs w:val="21"/>
              </w:rPr>
              <w:t>停产停业整顿，并处十五万元的罚款，对其直接负责的主管人员和其他直接责任人员处三万五千元的罚款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5" w:hRule="atLeast"/>
          <w:jc w:val="center"/>
        </w:trPr>
        <w:tc>
          <w:tcPr>
            <w:tcW w:w="345" w:type="pct"/>
            <w:vMerge w:val="continue"/>
            <w:vAlign w:val="center"/>
          </w:tcPr>
          <w:p>
            <w:pPr>
              <w:rPr>
                <w:rFonts w:hint="eastAsia" w:ascii="仿宋_GB2312" w:hAnsi="仿宋_GB2312" w:eastAsia="仿宋_GB2312" w:cs="仿宋_GB2312"/>
                <w:bCs/>
                <w:color w:val="000000"/>
              </w:rPr>
            </w:pPr>
          </w:p>
        </w:tc>
        <w:tc>
          <w:tcPr>
            <w:tcW w:w="407" w:type="pct"/>
            <w:vMerge w:val="continue"/>
            <w:vAlign w:val="center"/>
          </w:tcPr>
          <w:p>
            <w:pPr>
              <w:rPr>
                <w:rFonts w:hint="eastAsia" w:ascii="仿宋_GB2312" w:hAnsi="仿宋_GB2312" w:eastAsia="仿宋_GB2312" w:cs="仿宋_GB2312"/>
                <w:bCs/>
                <w:color w:val="000000"/>
              </w:rPr>
            </w:pPr>
          </w:p>
        </w:tc>
        <w:tc>
          <w:tcPr>
            <w:tcW w:w="628" w:type="pct"/>
            <w:vMerge w:val="continue"/>
            <w:vAlign w:val="center"/>
          </w:tcPr>
          <w:p>
            <w:pPr>
              <w:rPr>
                <w:rFonts w:hint="eastAsia" w:ascii="仿宋_GB2312" w:hAnsi="仿宋_GB2312" w:eastAsia="仿宋_GB2312" w:cs="仿宋_GB2312"/>
                <w:bCs/>
                <w:color w:val="000000"/>
              </w:rPr>
            </w:pPr>
          </w:p>
        </w:tc>
        <w:tc>
          <w:tcPr>
            <w:tcW w:w="1024"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从重</w:t>
            </w:r>
          </w:p>
        </w:tc>
        <w:tc>
          <w:tcPr>
            <w:tcW w:w="671"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未建立专门安全管理制度，且未采取可靠的安全措施</w:t>
            </w:r>
          </w:p>
        </w:tc>
        <w:tc>
          <w:tcPr>
            <w:tcW w:w="1125"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生产经营单位：责令限期改正，处十万元的罚款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44" w:hRule="atLeast"/>
          <w:jc w:val="center"/>
        </w:trPr>
        <w:tc>
          <w:tcPr>
            <w:tcW w:w="345" w:type="pct"/>
            <w:vMerge w:val="continue"/>
            <w:vAlign w:val="center"/>
          </w:tcPr>
          <w:p>
            <w:pPr>
              <w:rPr>
                <w:rFonts w:hint="eastAsia" w:ascii="仿宋_GB2312" w:hAnsi="仿宋_GB2312" w:eastAsia="仿宋_GB2312" w:cs="仿宋_GB2312"/>
                <w:bCs/>
                <w:color w:val="000000"/>
              </w:rPr>
            </w:pPr>
          </w:p>
        </w:tc>
        <w:tc>
          <w:tcPr>
            <w:tcW w:w="407" w:type="pct"/>
            <w:vMerge w:val="continue"/>
            <w:vAlign w:val="center"/>
          </w:tcPr>
          <w:p>
            <w:pPr>
              <w:rPr>
                <w:rFonts w:hint="eastAsia" w:ascii="仿宋_GB2312" w:hAnsi="仿宋_GB2312" w:eastAsia="仿宋_GB2312" w:cs="仿宋_GB2312"/>
                <w:bCs/>
                <w:color w:val="000000"/>
              </w:rPr>
            </w:pPr>
          </w:p>
        </w:tc>
        <w:tc>
          <w:tcPr>
            <w:tcW w:w="628" w:type="pct"/>
            <w:vMerge w:val="continue"/>
            <w:vAlign w:val="center"/>
          </w:tcPr>
          <w:p>
            <w:pPr>
              <w:rPr>
                <w:rFonts w:hint="eastAsia" w:ascii="仿宋_GB2312" w:hAnsi="仿宋_GB2312" w:eastAsia="仿宋_GB2312" w:cs="仿宋_GB2312"/>
                <w:bCs/>
                <w:color w:val="000000"/>
              </w:rPr>
            </w:pPr>
          </w:p>
        </w:tc>
        <w:tc>
          <w:tcPr>
            <w:tcW w:w="1024"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lang w:bidi="ar"/>
              </w:rPr>
            </w:pPr>
          </w:p>
        </w:tc>
        <w:tc>
          <w:tcPr>
            <w:tcW w:w="671" w:type="pct"/>
            <w:vMerge w:val="continue"/>
            <w:vAlign w:val="center"/>
          </w:tcPr>
          <w:p>
            <w:pPr>
              <w:rPr>
                <w:rFonts w:hint="eastAsia" w:ascii="仿宋_GB2312" w:hAnsi="仿宋_GB2312" w:eastAsia="仿宋_GB2312" w:cs="仿宋_GB2312"/>
                <w:bCs/>
                <w:color w:val="000000"/>
              </w:rPr>
            </w:pPr>
          </w:p>
        </w:tc>
        <w:tc>
          <w:tcPr>
            <w:tcW w:w="1125"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w:t>
            </w:r>
            <w:r>
              <w:rPr>
                <w:rFonts w:hint="eastAsia" w:ascii="仿宋_GB2312" w:hAnsi="仿宋_GB2312" w:eastAsia="仿宋_GB2312" w:cs="仿宋_GB2312"/>
                <w:bCs/>
                <w:color w:val="000000"/>
                <w:szCs w:val="21"/>
              </w:rPr>
              <w:t>责令</w:t>
            </w:r>
            <w:r>
              <w:rPr>
                <w:rFonts w:hint="eastAsia" w:ascii="仿宋_GB2312" w:hAnsi="仿宋_GB2312" w:eastAsia="仿宋_GB2312" w:cs="仿宋_GB2312"/>
                <w:bCs/>
                <w:color w:val="000000"/>
              </w:rPr>
              <w:t>生产经营单位</w:t>
            </w:r>
            <w:r>
              <w:rPr>
                <w:rFonts w:hint="eastAsia" w:ascii="仿宋_GB2312" w:hAnsi="仿宋_GB2312" w:eastAsia="仿宋_GB2312" w:cs="仿宋_GB2312"/>
                <w:bCs/>
                <w:color w:val="000000"/>
                <w:szCs w:val="21"/>
              </w:rPr>
              <w:t>停产停业整顿，并</w:t>
            </w:r>
            <w:r>
              <w:rPr>
                <w:rFonts w:hint="eastAsia" w:ascii="仿宋_GB2312" w:hAnsi="仿宋_GB2312" w:eastAsia="仿宋_GB2312" w:cs="仿宋_GB2312"/>
                <w:bCs/>
                <w:color w:val="000000"/>
              </w:rPr>
              <w:t>处超过十五万元、二十万元以下的罚款，对其直接负责的主管人员和其他直接责任人员处超过三万五千元、五万元以下的罚款</w:t>
            </w:r>
          </w:p>
        </w:tc>
      </w:tr>
    </w:tbl>
    <w:p/>
    <w:p>
      <w:pPr>
        <w:rPr>
          <w:rFonts w:hint="eastAsia" w:cs="宋体" w:asciiTheme="minorEastAsia" w:hAnsiTheme="minorEastAsia"/>
          <w:bCs/>
          <w:color w:val="000000"/>
        </w:rPr>
      </w:pPr>
    </w:p>
    <w:p>
      <w:pPr>
        <w:rPr>
          <w:rFonts w:hint="eastAsia" w:cs="宋体" w:asciiTheme="minorEastAsia" w:hAnsiTheme="minorEastAsia"/>
          <w:bCs/>
          <w:color w:val="000000"/>
        </w:rPr>
      </w:pPr>
    </w:p>
    <w:p>
      <w:pPr>
        <w:rPr>
          <w:rFonts w:hint="eastAsia" w:cs="宋体" w:asciiTheme="minorEastAsia" w:hAnsiTheme="minorEastAsia"/>
          <w:bCs/>
          <w:color w:val="000000"/>
          <w:sz w:val="32"/>
          <w:szCs w:val="32"/>
        </w:rPr>
      </w:pPr>
      <w:r>
        <w:rPr>
          <w:rFonts w:hint="eastAsia" w:cs="宋体" w:asciiTheme="minorEastAsia" w:hAnsiTheme="minorEastAsia"/>
          <w:bCs/>
          <w:color w:val="000000"/>
          <w:sz w:val="32"/>
          <w:szCs w:val="32"/>
        </w:rPr>
        <w:t>《中华人民共和国安全生产法》</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9"/>
        <w:gridCol w:w="1332"/>
        <w:gridCol w:w="1527"/>
        <w:gridCol w:w="3138"/>
        <w:gridCol w:w="1163"/>
        <w:gridCol w:w="1163"/>
        <w:gridCol w:w="2157"/>
        <w:gridCol w:w="30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46"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序号</w:t>
            </w:r>
          </w:p>
        </w:tc>
        <w:tc>
          <w:tcPr>
            <w:tcW w:w="457"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524"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1077"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39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39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741"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1055"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7" w:hRule="atLeast"/>
          <w:jc w:val="center"/>
        </w:trPr>
        <w:tc>
          <w:tcPr>
            <w:tcW w:w="346" w:type="pct"/>
            <w:vMerge w:val="restart"/>
            <w:vAlign w:val="center"/>
          </w:tcPr>
          <w:p>
            <w:pPr>
              <w:widowControl/>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Cs/>
                <w:color w:val="000000"/>
                <w:kern w:val="0"/>
                <w:szCs w:val="21"/>
                <w:lang w:val="en"/>
              </w:rPr>
              <w:t>101.21</w:t>
            </w:r>
          </w:p>
        </w:tc>
        <w:tc>
          <w:tcPr>
            <w:tcW w:w="457"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生产经营单位对重大危险源未登记建档，未进行定期检测、评估、监控，未制定应急预案，或者未告知应急措施的</w:t>
            </w:r>
          </w:p>
        </w:tc>
        <w:tc>
          <w:tcPr>
            <w:tcW w:w="524"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szCs w:val="21"/>
              </w:rPr>
              <w:t>第四十条第一款：“生产经营单位对重大危险源应当登记建档，进行定期检测、评估、监控，并制定应急预案，告知从业人员和相关人员在紧急情况下应当采取的应急措施。”</w:t>
            </w:r>
          </w:p>
        </w:tc>
        <w:tc>
          <w:tcPr>
            <w:tcW w:w="1077"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szCs w:val="21"/>
              </w:rPr>
              <w:t>第一百零一条第（二）项：“生产经营单位有下列行为之一的，责令限期改正，处十万元以下的罚款；逾期未改正的，责令停产停业整顿，并处十万元以上二十万元以下的罚款，对其直接负责的主管人员和其他直接责任人员处二万元以上五万元以下的罚款；构成犯罪的，依照刑法有关规定追究刑事责任：（二）对重大危险源未登记建档，未进行定期检测、评估、监控，未制定应急预案，或者未告知应急措施的。”</w:t>
            </w:r>
          </w:p>
        </w:tc>
        <w:tc>
          <w:tcPr>
            <w:tcW w:w="399" w:type="pct"/>
            <w:vMerge w:val="restart"/>
            <w:vAlign w:val="center"/>
          </w:tcPr>
          <w:p>
            <w:pPr>
              <w:jc w:val="left"/>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罚款；责令停产停业</w:t>
            </w: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从轻</w:t>
            </w:r>
          </w:p>
        </w:tc>
        <w:tc>
          <w:tcPr>
            <w:tcW w:w="741"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szCs w:val="21"/>
              </w:rPr>
              <w:t>对重大危险源</w:t>
            </w:r>
            <w:r>
              <w:rPr>
                <w:rFonts w:hint="eastAsia" w:ascii="仿宋_GB2312" w:hAnsi="仿宋_GB2312" w:eastAsia="仿宋_GB2312" w:cs="仿宋_GB2312"/>
                <w:bCs/>
                <w:color w:val="000000"/>
              </w:rPr>
              <w:t>有未登记建档，未进行定期检测、评估、监控，未制定应急预案，或者未告知应急措施任一种情形</w:t>
            </w:r>
          </w:p>
        </w:tc>
        <w:tc>
          <w:tcPr>
            <w:tcW w:w="1055"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rPr>
              <w:t>生产经营单位：责令限期改正，处二万元的罚款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9" w:hRule="atLeast"/>
          <w:jc w:val="center"/>
        </w:trPr>
        <w:tc>
          <w:tcPr>
            <w:tcW w:w="346" w:type="pct"/>
            <w:vMerge w:val="continue"/>
            <w:vAlign w:val="center"/>
          </w:tcPr>
          <w:p>
            <w:pPr>
              <w:widowControl/>
              <w:jc w:val="center"/>
              <w:rPr>
                <w:rFonts w:hint="eastAsia" w:ascii="仿宋_GB2312" w:hAnsi="仿宋_GB2312" w:eastAsia="仿宋_GB2312" w:cs="仿宋_GB2312"/>
                <w:bCs/>
                <w:color w:val="000000"/>
                <w:kern w:val="0"/>
                <w:szCs w:val="21"/>
                <w:lang w:val="en"/>
              </w:rPr>
            </w:pPr>
          </w:p>
        </w:tc>
        <w:tc>
          <w:tcPr>
            <w:tcW w:w="457" w:type="pct"/>
            <w:vMerge w:val="continue"/>
            <w:vAlign w:val="center"/>
          </w:tcPr>
          <w:p>
            <w:pPr>
              <w:rPr>
                <w:rFonts w:hint="eastAsia" w:ascii="仿宋_GB2312" w:hAnsi="仿宋_GB2312" w:eastAsia="仿宋_GB2312" w:cs="仿宋_GB2312"/>
                <w:bCs/>
                <w:color w:val="000000"/>
                <w:szCs w:val="21"/>
              </w:rPr>
            </w:pPr>
          </w:p>
        </w:tc>
        <w:tc>
          <w:tcPr>
            <w:tcW w:w="524" w:type="pct"/>
            <w:vMerge w:val="continue"/>
            <w:vAlign w:val="center"/>
          </w:tcPr>
          <w:p>
            <w:pPr>
              <w:rPr>
                <w:rFonts w:hint="eastAsia" w:ascii="仿宋_GB2312" w:hAnsi="仿宋_GB2312" w:eastAsia="仿宋_GB2312" w:cs="仿宋_GB2312"/>
                <w:bCs/>
                <w:color w:val="000000"/>
                <w:szCs w:val="21"/>
              </w:rPr>
            </w:pPr>
          </w:p>
        </w:tc>
        <w:tc>
          <w:tcPr>
            <w:tcW w:w="1077" w:type="pct"/>
            <w:vMerge w:val="continue"/>
            <w:vAlign w:val="center"/>
          </w:tcPr>
          <w:p>
            <w:pPr>
              <w:rPr>
                <w:rFonts w:hint="eastAsia" w:ascii="仿宋_GB2312" w:hAnsi="仿宋_GB2312" w:eastAsia="仿宋_GB2312" w:cs="仿宋_GB2312"/>
                <w:bCs/>
                <w:color w:val="000000"/>
                <w:szCs w:val="21"/>
              </w:rPr>
            </w:pPr>
          </w:p>
        </w:tc>
        <w:tc>
          <w:tcPr>
            <w:tcW w:w="399" w:type="pct"/>
            <w:vMerge w:val="continue"/>
            <w:vAlign w:val="center"/>
          </w:tcPr>
          <w:p>
            <w:pPr>
              <w:jc w:val="left"/>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lang w:bidi="ar"/>
              </w:rPr>
            </w:pPr>
          </w:p>
        </w:tc>
        <w:tc>
          <w:tcPr>
            <w:tcW w:w="741" w:type="pct"/>
            <w:vMerge w:val="continue"/>
            <w:vAlign w:val="center"/>
          </w:tcPr>
          <w:p>
            <w:pPr>
              <w:rPr>
                <w:rFonts w:hint="eastAsia" w:ascii="仿宋_GB2312" w:hAnsi="仿宋_GB2312" w:eastAsia="仿宋_GB2312" w:cs="仿宋_GB2312"/>
                <w:bCs/>
                <w:color w:val="000000"/>
                <w:szCs w:val="21"/>
              </w:rPr>
            </w:pPr>
          </w:p>
        </w:tc>
        <w:tc>
          <w:tcPr>
            <w:tcW w:w="1055"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w:t>
            </w:r>
            <w:r>
              <w:rPr>
                <w:rFonts w:hint="eastAsia" w:ascii="仿宋_GB2312" w:hAnsi="仿宋_GB2312" w:eastAsia="仿宋_GB2312" w:cs="仿宋_GB2312"/>
                <w:bCs/>
                <w:color w:val="000000"/>
                <w:szCs w:val="21"/>
              </w:rPr>
              <w:t>责令</w:t>
            </w:r>
            <w:r>
              <w:rPr>
                <w:rFonts w:hint="eastAsia" w:ascii="仿宋_GB2312" w:hAnsi="仿宋_GB2312" w:eastAsia="仿宋_GB2312" w:cs="仿宋_GB2312"/>
                <w:bCs/>
                <w:color w:val="000000"/>
              </w:rPr>
              <w:t>生产经营单位</w:t>
            </w:r>
            <w:r>
              <w:rPr>
                <w:rFonts w:hint="eastAsia" w:ascii="仿宋_GB2312" w:hAnsi="仿宋_GB2312" w:eastAsia="仿宋_GB2312" w:cs="仿宋_GB2312"/>
                <w:bCs/>
                <w:color w:val="000000"/>
                <w:szCs w:val="21"/>
              </w:rPr>
              <w:t>停产停业整顿，并处十万元以上、低于十五万元的罚款，对其直接负责的主管人员和其他直接责任人员处二万元以上、低于三万五千元的罚款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1" w:hRule="atLeast"/>
          <w:jc w:val="center"/>
        </w:trPr>
        <w:tc>
          <w:tcPr>
            <w:tcW w:w="346" w:type="pct"/>
            <w:vMerge w:val="continue"/>
            <w:vAlign w:val="center"/>
          </w:tcPr>
          <w:p>
            <w:pPr>
              <w:rPr>
                <w:rFonts w:hint="eastAsia" w:ascii="仿宋_GB2312" w:hAnsi="仿宋_GB2312" w:eastAsia="仿宋_GB2312" w:cs="仿宋_GB2312"/>
                <w:bCs/>
                <w:color w:val="000000"/>
              </w:rPr>
            </w:pPr>
          </w:p>
        </w:tc>
        <w:tc>
          <w:tcPr>
            <w:tcW w:w="457" w:type="pct"/>
            <w:vMerge w:val="continue"/>
            <w:vAlign w:val="center"/>
          </w:tcPr>
          <w:p>
            <w:pPr>
              <w:rPr>
                <w:rFonts w:hint="eastAsia" w:ascii="仿宋_GB2312" w:hAnsi="仿宋_GB2312" w:eastAsia="仿宋_GB2312" w:cs="仿宋_GB2312"/>
                <w:bCs/>
                <w:color w:val="000000"/>
              </w:rPr>
            </w:pPr>
          </w:p>
        </w:tc>
        <w:tc>
          <w:tcPr>
            <w:tcW w:w="524" w:type="pct"/>
            <w:vMerge w:val="continue"/>
            <w:vAlign w:val="center"/>
          </w:tcPr>
          <w:p>
            <w:pPr>
              <w:rPr>
                <w:rFonts w:hint="eastAsia" w:ascii="仿宋_GB2312" w:hAnsi="仿宋_GB2312" w:eastAsia="仿宋_GB2312" w:cs="仿宋_GB2312"/>
                <w:bCs/>
                <w:color w:val="000000"/>
              </w:rPr>
            </w:pPr>
          </w:p>
        </w:tc>
        <w:tc>
          <w:tcPr>
            <w:tcW w:w="1077"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一般</w:t>
            </w:r>
          </w:p>
        </w:tc>
        <w:tc>
          <w:tcPr>
            <w:tcW w:w="741"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szCs w:val="21"/>
              </w:rPr>
              <w:t>对重大危险源</w:t>
            </w:r>
            <w:r>
              <w:rPr>
                <w:rFonts w:hint="eastAsia" w:ascii="仿宋_GB2312" w:hAnsi="仿宋_GB2312" w:eastAsia="仿宋_GB2312" w:cs="仿宋_GB2312"/>
                <w:bCs/>
                <w:color w:val="000000"/>
              </w:rPr>
              <w:t>有未登记建档，未进行定期检测、评估、监控，未制定应急预案，或者未告知应急措施任两种情形</w:t>
            </w:r>
          </w:p>
        </w:tc>
        <w:tc>
          <w:tcPr>
            <w:tcW w:w="1055"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生产经营单位：责令限期改正，处五万元的罚款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54" w:hRule="atLeast"/>
          <w:jc w:val="center"/>
        </w:trPr>
        <w:tc>
          <w:tcPr>
            <w:tcW w:w="346" w:type="pct"/>
            <w:vMerge w:val="continue"/>
            <w:vAlign w:val="center"/>
          </w:tcPr>
          <w:p>
            <w:pPr>
              <w:rPr>
                <w:rFonts w:hint="eastAsia" w:ascii="仿宋_GB2312" w:hAnsi="仿宋_GB2312" w:eastAsia="仿宋_GB2312" w:cs="仿宋_GB2312"/>
                <w:bCs/>
                <w:color w:val="000000"/>
              </w:rPr>
            </w:pPr>
          </w:p>
        </w:tc>
        <w:tc>
          <w:tcPr>
            <w:tcW w:w="457" w:type="pct"/>
            <w:vMerge w:val="continue"/>
            <w:vAlign w:val="center"/>
          </w:tcPr>
          <w:p>
            <w:pPr>
              <w:rPr>
                <w:rFonts w:hint="eastAsia" w:ascii="仿宋_GB2312" w:hAnsi="仿宋_GB2312" w:eastAsia="仿宋_GB2312" w:cs="仿宋_GB2312"/>
                <w:bCs/>
                <w:color w:val="000000"/>
              </w:rPr>
            </w:pPr>
          </w:p>
        </w:tc>
        <w:tc>
          <w:tcPr>
            <w:tcW w:w="524" w:type="pct"/>
            <w:vMerge w:val="continue"/>
            <w:vAlign w:val="center"/>
          </w:tcPr>
          <w:p>
            <w:pPr>
              <w:rPr>
                <w:rFonts w:hint="eastAsia" w:ascii="仿宋_GB2312" w:hAnsi="仿宋_GB2312" w:eastAsia="仿宋_GB2312" w:cs="仿宋_GB2312"/>
                <w:bCs/>
                <w:color w:val="000000"/>
              </w:rPr>
            </w:pPr>
          </w:p>
        </w:tc>
        <w:tc>
          <w:tcPr>
            <w:tcW w:w="1077"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lang w:bidi="ar"/>
              </w:rPr>
            </w:pPr>
          </w:p>
        </w:tc>
        <w:tc>
          <w:tcPr>
            <w:tcW w:w="741" w:type="pct"/>
            <w:vMerge w:val="continue"/>
            <w:vAlign w:val="center"/>
          </w:tcPr>
          <w:p>
            <w:pPr>
              <w:rPr>
                <w:rFonts w:hint="eastAsia" w:ascii="仿宋_GB2312" w:hAnsi="仿宋_GB2312" w:eastAsia="仿宋_GB2312" w:cs="仿宋_GB2312"/>
                <w:bCs/>
                <w:color w:val="000000"/>
                <w:szCs w:val="21"/>
              </w:rPr>
            </w:pPr>
          </w:p>
        </w:tc>
        <w:tc>
          <w:tcPr>
            <w:tcW w:w="1055"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w:t>
            </w:r>
            <w:r>
              <w:rPr>
                <w:rFonts w:hint="eastAsia" w:ascii="仿宋_GB2312" w:hAnsi="仿宋_GB2312" w:eastAsia="仿宋_GB2312" w:cs="仿宋_GB2312"/>
                <w:bCs/>
                <w:color w:val="000000"/>
                <w:szCs w:val="21"/>
              </w:rPr>
              <w:t>责令</w:t>
            </w:r>
            <w:r>
              <w:rPr>
                <w:rFonts w:hint="eastAsia" w:ascii="仿宋_GB2312" w:hAnsi="仿宋_GB2312" w:eastAsia="仿宋_GB2312" w:cs="仿宋_GB2312"/>
                <w:bCs/>
                <w:color w:val="000000"/>
              </w:rPr>
              <w:t>生产经营单位</w:t>
            </w:r>
            <w:r>
              <w:rPr>
                <w:rFonts w:hint="eastAsia" w:ascii="仿宋_GB2312" w:hAnsi="仿宋_GB2312" w:eastAsia="仿宋_GB2312" w:cs="仿宋_GB2312"/>
                <w:bCs/>
                <w:color w:val="000000"/>
                <w:szCs w:val="21"/>
              </w:rPr>
              <w:t>停产停业整顿，并处十五万元的罚款，对其直接负责的主管人员和其他直接责任人员处三万五千元的罚款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5" w:hRule="atLeast"/>
          <w:jc w:val="center"/>
        </w:trPr>
        <w:tc>
          <w:tcPr>
            <w:tcW w:w="346" w:type="pct"/>
            <w:vMerge w:val="continue"/>
            <w:vAlign w:val="center"/>
          </w:tcPr>
          <w:p>
            <w:pPr>
              <w:rPr>
                <w:rFonts w:hint="eastAsia" w:ascii="仿宋_GB2312" w:hAnsi="仿宋_GB2312" w:eastAsia="仿宋_GB2312" w:cs="仿宋_GB2312"/>
                <w:bCs/>
                <w:color w:val="000000"/>
              </w:rPr>
            </w:pPr>
          </w:p>
        </w:tc>
        <w:tc>
          <w:tcPr>
            <w:tcW w:w="457" w:type="pct"/>
            <w:vMerge w:val="continue"/>
            <w:vAlign w:val="center"/>
          </w:tcPr>
          <w:p>
            <w:pPr>
              <w:rPr>
                <w:rFonts w:hint="eastAsia" w:ascii="仿宋_GB2312" w:hAnsi="仿宋_GB2312" w:eastAsia="仿宋_GB2312" w:cs="仿宋_GB2312"/>
                <w:bCs/>
                <w:color w:val="000000"/>
              </w:rPr>
            </w:pPr>
          </w:p>
        </w:tc>
        <w:tc>
          <w:tcPr>
            <w:tcW w:w="524" w:type="pct"/>
            <w:vMerge w:val="continue"/>
            <w:vAlign w:val="center"/>
          </w:tcPr>
          <w:p>
            <w:pPr>
              <w:rPr>
                <w:rFonts w:hint="eastAsia" w:ascii="仿宋_GB2312" w:hAnsi="仿宋_GB2312" w:eastAsia="仿宋_GB2312" w:cs="仿宋_GB2312"/>
                <w:bCs/>
                <w:color w:val="000000"/>
              </w:rPr>
            </w:pPr>
          </w:p>
        </w:tc>
        <w:tc>
          <w:tcPr>
            <w:tcW w:w="1077"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从重</w:t>
            </w:r>
          </w:p>
        </w:tc>
        <w:tc>
          <w:tcPr>
            <w:tcW w:w="741"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szCs w:val="21"/>
              </w:rPr>
              <w:t>对重大危险源</w:t>
            </w:r>
            <w:r>
              <w:rPr>
                <w:rFonts w:hint="eastAsia" w:ascii="仿宋_GB2312" w:hAnsi="仿宋_GB2312" w:eastAsia="仿宋_GB2312" w:cs="仿宋_GB2312"/>
                <w:bCs/>
                <w:color w:val="000000"/>
              </w:rPr>
              <w:t>有未登记建档，未进行定期检测、评估、监控，未制定应急预案，或者未告知应急措施任三种以上情形</w:t>
            </w:r>
          </w:p>
        </w:tc>
        <w:tc>
          <w:tcPr>
            <w:tcW w:w="1055"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生产经营单位：责令限期改正，处十万元的罚款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54" w:hRule="atLeast"/>
          <w:jc w:val="center"/>
        </w:trPr>
        <w:tc>
          <w:tcPr>
            <w:tcW w:w="346" w:type="pct"/>
            <w:vMerge w:val="continue"/>
            <w:vAlign w:val="center"/>
          </w:tcPr>
          <w:p>
            <w:pPr>
              <w:rPr>
                <w:rFonts w:hint="eastAsia" w:ascii="仿宋_GB2312" w:hAnsi="仿宋_GB2312" w:eastAsia="仿宋_GB2312" w:cs="仿宋_GB2312"/>
                <w:bCs/>
                <w:color w:val="000000"/>
              </w:rPr>
            </w:pPr>
          </w:p>
        </w:tc>
        <w:tc>
          <w:tcPr>
            <w:tcW w:w="457" w:type="pct"/>
            <w:vMerge w:val="continue"/>
            <w:vAlign w:val="center"/>
          </w:tcPr>
          <w:p>
            <w:pPr>
              <w:rPr>
                <w:rFonts w:hint="eastAsia" w:ascii="仿宋_GB2312" w:hAnsi="仿宋_GB2312" w:eastAsia="仿宋_GB2312" w:cs="仿宋_GB2312"/>
                <w:bCs/>
                <w:color w:val="000000"/>
              </w:rPr>
            </w:pPr>
          </w:p>
        </w:tc>
        <w:tc>
          <w:tcPr>
            <w:tcW w:w="524" w:type="pct"/>
            <w:vMerge w:val="continue"/>
            <w:vAlign w:val="center"/>
          </w:tcPr>
          <w:p>
            <w:pPr>
              <w:rPr>
                <w:rFonts w:hint="eastAsia" w:ascii="仿宋_GB2312" w:hAnsi="仿宋_GB2312" w:eastAsia="仿宋_GB2312" w:cs="仿宋_GB2312"/>
                <w:bCs/>
                <w:color w:val="000000"/>
              </w:rPr>
            </w:pPr>
          </w:p>
        </w:tc>
        <w:tc>
          <w:tcPr>
            <w:tcW w:w="1077"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lang w:bidi="ar"/>
              </w:rPr>
            </w:pPr>
          </w:p>
        </w:tc>
        <w:tc>
          <w:tcPr>
            <w:tcW w:w="741" w:type="pct"/>
            <w:vMerge w:val="continue"/>
            <w:vAlign w:val="center"/>
          </w:tcPr>
          <w:p>
            <w:pPr>
              <w:rPr>
                <w:rFonts w:hint="eastAsia" w:ascii="仿宋_GB2312" w:hAnsi="仿宋_GB2312" w:eastAsia="仿宋_GB2312" w:cs="仿宋_GB2312"/>
                <w:bCs/>
                <w:color w:val="000000"/>
                <w:szCs w:val="21"/>
              </w:rPr>
            </w:pPr>
          </w:p>
        </w:tc>
        <w:tc>
          <w:tcPr>
            <w:tcW w:w="1055"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，对生产经营单位处超过十五万元、二十万元以下的罚款，对其直接负责的主管人员和其他直接责任人员处超过三万五千元、五万元以下的罚款</w:t>
            </w:r>
          </w:p>
        </w:tc>
      </w:tr>
    </w:tbl>
    <w:p/>
    <w:p>
      <w:pPr>
        <w:rPr>
          <w:rFonts w:hint="eastAsia" w:cs="宋体" w:asciiTheme="minorEastAsia" w:hAnsiTheme="minorEastAsia"/>
          <w:bCs/>
          <w:color w:val="000000"/>
        </w:rPr>
      </w:pPr>
    </w:p>
    <w:p>
      <w:pPr>
        <w:rPr>
          <w:rFonts w:hint="eastAsia" w:cs="宋体" w:asciiTheme="minorEastAsia" w:hAnsiTheme="minorEastAsia"/>
          <w:bCs/>
          <w:color w:val="000000"/>
          <w:sz w:val="32"/>
          <w:szCs w:val="32"/>
        </w:rPr>
      </w:pPr>
      <w:r>
        <w:rPr>
          <w:rFonts w:hint="eastAsia" w:cs="宋体" w:asciiTheme="minorEastAsia" w:hAnsiTheme="minorEastAsia"/>
          <w:bCs/>
          <w:color w:val="000000"/>
          <w:sz w:val="32"/>
          <w:szCs w:val="32"/>
        </w:rPr>
        <w:t>《中华人民共和国安全生产法》</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12"/>
        <w:gridCol w:w="1182"/>
        <w:gridCol w:w="1654"/>
        <w:gridCol w:w="3159"/>
        <w:gridCol w:w="1162"/>
        <w:gridCol w:w="1162"/>
        <w:gridCol w:w="2157"/>
        <w:gridCol w:w="30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47"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序号</w:t>
            </w:r>
          </w:p>
        </w:tc>
        <w:tc>
          <w:tcPr>
            <w:tcW w:w="406"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568"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1085"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39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39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741"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1055"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347" w:type="pct"/>
            <w:vMerge w:val="restart"/>
            <w:vAlign w:val="center"/>
          </w:tcPr>
          <w:p>
            <w:pPr>
              <w:widowControl/>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Cs/>
                <w:color w:val="000000"/>
                <w:kern w:val="0"/>
                <w:szCs w:val="21"/>
                <w:lang w:val="en"/>
              </w:rPr>
              <w:t>101.22</w:t>
            </w:r>
          </w:p>
        </w:tc>
        <w:tc>
          <w:tcPr>
            <w:tcW w:w="406"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生产经营单位进行爆破、吊装、动火、临时用电以及国务院应急管理部门会同国务院有关部门规定的其他危险作业，未安排专门人员进行现场安全管理的</w:t>
            </w:r>
          </w:p>
        </w:tc>
        <w:tc>
          <w:tcPr>
            <w:tcW w:w="568"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szCs w:val="21"/>
              </w:rPr>
              <w:t>第四十三条：“生产经营单位进行爆破、吊装、动火、临时用电以及国务院应急管理部门会同国务院有关部门规定的其他危险作业，应当安排专门人员进行现场安全管理，确保操作规程的遵守和安全措施的落实。”</w:t>
            </w:r>
          </w:p>
        </w:tc>
        <w:tc>
          <w:tcPr>
            <w:tcW w:w="1085"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szCs w:val="21"/>
              </w:rPr>
              <w:t>第一百零一条第（三）项：“生产经营单位有下列行为之一的，责令限期改正，处十万元以下的罚款；逾期未改正的，责令停产停业整顿，并处十万元以上二十万元以下的罚款，对其直接负责的主管人员和其他直接责任人员处二万元以上五万元以下的罚款；构成犯罪的，依照刑法有关规定追究刑事责任：（三）进行爆破、吊装、动火、临时用电以及国务院应急管理部门会同国务院有关部门规定的其他危险作业，未安排专门人员进行现场安全管理的。”</w:t>
            </w:r>
          </w:p>
        </w:tc>
        <w:tc>
          <w:tcPr>
            <w:tcW w:w="399" w:type="pct"/>
            <w:vMerge w:val="restart"/>
            <w:vAlign w:val="center"/>
          </w:tcPr>
          <w:p>
            <w:pPr>
              <w:jc w:val="left"/>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罚款；责令停产停业</w:t>
            </w: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从轻</w:t>
            </w:r>
          </w:p>
        </w:tc>
        <w:tc>
          <w:tcPr>
            <w:tcW w:w="741"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有1处爆破、吊装、动火、临时用电以及国务院应急管理部门会同国务院有关部门规定的其他危险作业，未安排专门人员进行现场管理的</w:t>
            </w:r>
          </w:p>
        </w:tc>
        <w:tc>
          <w:tcPr>
            <w:tcW w:w="1055"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rPr>
              <w:t>生产经营单位：责令限期改正，处二万元的罚款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347" w:type="pct"/>
            <w:vMerge w:val="continue"/>
            <w:vAlign w:val="center"/>
          </w:tcPr>
          <w:p>
            <w:pPr>
              <w:widowControl/>
              <w:jc w:val="center"/>
              <w:rPr>
                <w:rFonts w:hint="eastAsia" w:ascii="仿宋_GB2312" w:hAnsi="仿宋_GB2312" w:eastAsia="仿宋_GB2312" w:cs="仿宋_GB2312"/>
                <w:bCs/>
                <w:color w:val="000000"/>
                <w:kern w:val="0"/>
                <w:szCs w:val="21"/>
                <w:lang w:val="en"/>
              </w:rPr>
            </w:pPr>
          </w:p>
        </w:tc>
        <w:tc>
          <w:tcPr>
            <w:tcW w:w="406" w:type="pct"/>
            <w:vMerge w:val="continue"/>
            <w:vAlign w:val="center"/>
          </w:tcPr>
          <w:p>
            <w:pPr>
              <w:rPr>
                <w:rFonts w:hint="eastAsia" w:ascii="仿宋_GB2312" w:hAnsi="仿宋_GB2312" w:eastAsia="仿宋_GB2312" w:cs="仿宋_GB2312"/>
                <w:bCs/>
                <w:color w:val="000000"/>
                <w:szCs w:val="21"/>
              </w:rPr>
            </w:pPr>
          </w:p>
        </w:tc>
        <w:tc>
          <w:tcPr>
            <w:tcW w:w="568" w:type="pct"/>
            <w:vMerge w:val="continue"/>
            <w:vAlign w:val="center"/>
          </w:tcPr>
          <w:p>
            <w:pPr>
              <w:rPr>
                <w:rFonts w:hint="eastAsia" w:ascii="仿宋_GB2312" w:hAnsi="仿宋_GB2312" w:eastAsia="仿宋_GB2312" w:cs="仿宋_GB2312"/>
                <w:bCs/>
                <w:color w:val="000000"/>
                <w:szCs w:val="21"/>
              </w:rPr>
            </w:pPr>
          </w:p>
        </w:tc>
        <w:tc>
          <w:tcPr>
            <w:tcW w:w="1085" w:type="pct"/>
            <w:vMerge w:val="continue"/>
            <w:vAlign w:val="center"/>
          </w:tcPr>
          <w:p>
            <w:pPr>
              <w:rPr>
                <w:rFonts w:hint="eastAsia" w:ascii="仿宋_GB2312" w:hAnsi="仿宋_GB2312" w:eastAsia="仿宋_GB2312" w:cs="仿宋_GB2312"/>
                <w:bCs/>
                <w:color w:val="000000"/>
                <w:szCs w:val="21"/>
              </w:rPr>
            </w:pPr>
          </w:p>
        </w:tc>
        <w:tc>
          <w:tcPr>
            <w:tcW w:w="399" w:type="pct"/>
            <w:vMerge w:val="continue"/>
            <w:vAlign w:val="center"/>
          </w:tcPr>
          <w:p>
            <w:pPr>
              <w:jc w:val="left"/>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lang w:bidi="ar"/>
              </w:rPr>
            </w:pPr>
          </w:p>
        </w:tc>
        <w:tc>
          <w:tcPr>
            <w:tcW w:w="741" w:type="pct"/>
            <w:vMerge w:val="continue"/>
            <w:vAlign w:val="center"/>
          </w:tcPr>
          <w:p>
            <w:pPr>
              <w:rPr>
                <w:rFonts w:hint="eastAsia" w:ascii="仿宋_GB2312" w:hAnsi="仿宋_GB2312" w:eastAsia="仿宋_GB2312" w:cs="仿宋_GB2312"/>
                <w:bCs/>
                <w:color w:val="000000"/>
              </w:rPr>
            </w:pPr>
          </w:p>
        </w:tc>
        <w:tc>
          <w:tcPr>
            <w:tcW w:w="1055"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w:t>
            </w:r>
            <w:r>
              <w:rPr>
                <w:rFonts w:hint="eastAsia" w:ascii="仿宋_GB2312" w:hAnsi="仿宋_GB2312" w:eastAsia="仿宋_GB2312" w:cs="仿宋_GB2312"/>
                <w:bCs/>
                <w:color w:val="000000"/>
                <w:szCs w:val="21"/>
              </w:rPr>
              <w:t>责令</w:t>
            </w:r>
            <w:r>
              <w:rPr>
                <w:rFonts w:hint="eastAsia" w:ascii="仿宋_GB2312" w:hAnsi="仿宋_GB2312" w:eastAsia="仿宋_GB2312" w:cs="仿宋_GB2312"/>
                <w:bCs/>
                <w:color w:val="000000"/>
              </w:rPr>
              <w:t>生产经营单位</w:t>
            </w:r>
            <w:r>
              <w:rPr>
                <w:rFonts w:hint="eastAsia" w:ascii="仿宋_GB2312" w:hAnsi="仿宋_GB2312" w:eastAsia="仿宋_GB2312" w:cs="仿宋_GB2312"/>
                <w:bCs/>
                <w:color w:val="000000"/>
                <w:szCs w:val="21"/>
              </w:rPr>
              <w:t>停产停业整顿，并处十万元以上、低于十五万元的罚款，对其直接负责的主管人员和其他直接责任人员处二万元以上、低于三万五千元的罚款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347" w:type="pct"/>
            <w:vMerge w:val="continue"/>
            <w:vAlign w:val="center"/>
          </w:tcPr>
          <w:p>
            <w:pPr>
              <w:rPr>
                <w:rFonts w:hint="eastAsia" w:ascii="仿宋_GB2312" w:hAnsi="仿宋_GB2312" w:eastAsia="仿宋_GB2312" w:cs="仿宋_GB2312"/>
                <w:bCs/>
                <w:color w:val="000000"/>
              </w:rPr>
            </w:pPr>
          </w:p>
        </w:tc>
        <w:tc>
          <w:tcPr>
            <w:tcW w:w="406" w:type="pct"/>
            <w:vMerge w:val="continue"/>
            <w:vAlign w:val="center"/>
          </w:tcPr>
          <w:p>
            <w:pPr>
              <w:rPr>
                <w:rFonts w:hint="eastAsia" w:ascii="仿宋_GB2312" w:hAnsi="仿宋_GB2312" w:eastAsia="仿宋_GB2312" w:cs="仿宋_GB2312"/>
                <w:bCs/>
                <w:color w:val="000000"/>
              </w:rPr>
            </w:pPr>
          </w:p>
        </w:tc>
        <w:tc>
          <w:tcPr>
            <w:tcW w:w="568" w:type="pct"/>
            <w:vMerge w:val="continue"/>
            <w:vAlign w:val="center"/>
          </w:tcPr>
          <w:p>
            <w:pPr>
              <w:rPr>
                <w:rFonts w:hint="eastAsia" w:ascii="仿宋_GB2312" w:hAnsi="仿宋_GB2312" w:eastAsia="仿宋_GB2312" w:cs="仿宋_GB2312"/>
                <w:bCs/>
                <w:color w:val="000000"/>
              </w:rPr>
            </w:pPr>
          </w:p>
        </w:tc>
        <w:tc>
          <w:tcPr>
            <w:tcW w:w="1085"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一般</w:t>
            </w:r>
          </w:p>
        </w:tc>
        <w:tc>
          <w:tcPr>
            <w:tcW w:w="741"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有2处爆破、吊装、动火、临时用电以及国务院应急管理部门会同国务院有关部门规定的其他危险作业，未安排专门人员进行现场管理的</w:t>
            </w:r>
          </w:p>
        </w:tc>
        <w:tc>
          <w:tcPr>
            <w:tcW w:w="1055"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生产经营单位：责令限期改正，处五万元的罚款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347" w:type="pct"/>
            <w:vMerge w:val="continue"/>
            <w:vAlign w:val="center"/>
          </w:tcPr>
          <w:p>
            <w:pPr>
              <w:rPr>
                <w:rFonts w:hint="eastAsia" w:ascii="仿宋_GB2312" w:hAnsi="仿宋_GB2312" w:eastAsia="仿宋_GB2312" w:cs="仿宋_GB2312"/>
                <w:bCs/>
                <w:color w:val="000000"/>
              </w:rPr>
            </w:pPr>
          </w:p>
        </w:tc>
        <w:tc>
          <w:tcPr>
            <w:tcW w:w="406" w:type="pct"/>
            <w:vMerge w:val="continue"/>
            <w:vAlign w:val="center"/>
          </w:tcPr>
          <w:p>
            <w:pPr>
              <w:rPr>
                <w:rFonts w:hint="eastAsia" w:ascii="仿宋_GB2312" w:hAnsi="仿宋_GB2312" w:eastAsia="仿宋_GB2312" w:cs="仿宋_GB2312"/>
                <w:bCs/>
                <w:color w:val="000000"/>
              </w:rPr>
            </w:pPr>
          </w:p>
        </w:tc>
        <w:tc>
          <w:tcPr>
            <w:tcW w:w="568" w:type="pct"/>
            <w:vMerge w:val="continue"/>
            <w:vAlign w:val="center"/>
          </w:tcPr>
          <w:p>
            <w:pPr>
              <w:rPr>
                <w:rFonts w:hint="eastAsia" w:ascii="仿宋_GB2312" w:hAnsi="仿宋_GB2312" w:eastAsia="仿宋_GB2312" w:cs="仿宋_GB2312"/>
                <w:bCs/>
                <w:color w:val="000000"/>
              </w:rPr>
            </w:pPr>
          </w:p>
        </w:tc>
        <w:tc>
          <w:tcPr>
            <w:tcW w:w="1085"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lang w:bidi="ar"/>
              </w:rPr>
            </w:pPr>
          </w:p>
        </w:tc>
        <w:tc>
          <w:tcPr>
            <w:tcW w:w="741" w:type="pct"/>
            <w:vMerge w:val="continue"/>
            <w:vAlign w:val="center"/>
          </w:tcPr>
          <w:p>
            <w:pPr>
              <w:rPr>
                <w:rFonts w:hint="eastAsia" w:ascii="仿宋_GB2312" w:hAnsi="仿宋_GB2312" w:eastAsia="仿宋_GB2312" w:cs="仿宋_GB2312"/>
                <w:bCs/>
                <w:color w:val="000000"/>
              </w:rPr>
            </w:pPr>
          </w:p>
        </w:tc>
        <w:tc>
          <w:tcPr>
            <w:tcW w:w="1055"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w:t>
            </w:r>
            <w:r>
              <w:rPr>
                <w:rFonts w:hint="eastAsia" w:ascii="仿宋_GB2312" w:hAnsi="仿宋_GB2312" w:eastAsia="仿宋_GB2312" w:cs="仿宋_GB2312"/>
                <w:bCs/>
                <w:color w:val="000000"/>
                <w:szCs w:val="21"/>
              </w:rPr>
              <w:t>责令</w:t>
            </w:r>
            <w:r>
              <w:rPr>
                <w:rFonts w:hint="eastAsia" w:ascii="仿宋_GB2312" w:hAnsi="仿宋_GB2312" w:eastAsia="仿宋_GB2312" w:cs="仿宋_GB2312"/>
                <w:bCs/>
                <w:color w:val="000000"/>
              </w:rPr>
              <w:t>生产经营单位</w:t>
            </w:r>
            <w:r>
              <w:rPr>
                <w:rFonts w:hint="eastAsia" w:ascii="仿宋_GB2312" w:hAnsi="仿宋_GB2312" w:eastAsia="仿宋_GB2312" w:cs="仿宋_GB2312"/>
                <w:bCs/>
                <w:color w:val="000000"/>
                <w:szCs w:val="21"/>
              </w:rPr>
              <w:t>停产停业整顿，并处十五万元的罚款，对其直接负责的主管人员和其他直接责任人员处三万五千元的罚款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347" w:type="pct"/>
            <w:vMerge w:val="continue"/>
            <w:vAlign w:val="center"/>
          </w:tcPr>
          <w:p>
            <w:pPr>
              <w:rPr>
                <w:rFonts w:hint="eastAsia" w:ascii="仿宋_GB2312" w:hAnsi="仿宋_GB2312" w:eastAsia="仿宋_GB2312" w:cs="仿宋_GB2312"/>
                <w:bCs/>
                <w:color w:val="000000"/>
              </w:rPr>
            </w:pPr>
          </w:p>
        </w:tc>
        <w:tc>
          <w:tcPr>
            <w:tcW w:w="406" w:type="pct"/>
            <w:vMerge w:val="continue"/>
            <w:vAlign w:val="center"/>
          </w:tcPr>
          <w:p>
            <w:pPr>
              <w:rPr>
                <w:rFonts w:hint="eastAsia" w:ascii="仿宋_GB2312" w:hAnsi="仿宋_GB2312" w:eastAsia="仿宋_GB2312" w:cs="仿宋_GB2312"/>
                <w:bCs/>
                <w:color w:val="000000"/>
              </w:rPr>
            </w:pPr>
          </w:p>
        </w:tc>
        <w:tc>
          <w:tcPr>
            <w:tcW w:w="568" w:type="pct"/>
            <w:vMerge w:val="continue"/>
            <w:vAlign w:val="center"/>
          </w:tcPr>
          <w:p>
            <w:pPr>
              <w:rPr>
                <w:rFonts w:hint="eastAsia" w:ascii="仿宋_GB2312" w:hAnsi="仿宋_GB2312" w:eastAsia="仿宋_GB2312" w:cs="仿宋_GB2312"/>
                <w:bCs/>
                <w:color w:val="000000"/>
              </w:rPr>
            </w:pPr>
          </w:p>
        </w:tc>
        <w:tc>
          <w:tcPr>
            <w:tcW w:w="1085"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从重</w:t>
            </w:r>
          </w:p>
          <w:p>
            <w:pPr>
              <w:jc w:val="center"/>
              <w:rPr>
                <w:rFonts w:hint="eastAsia" w:ascii="仿宋_GB2312" w:hAnsi="仿宋_GB2312" w:eastAsia="仿宋_GB2312" w:cs="仿宋_GB2312"/>
                <w:bCs/>
                <w:color w:val="000000"/>
              </w:rPr>
            </w:pPr>
          </w:p>
        </w:tc>
        <w:tc>
          <w:tcPr>
            <w:tcW w:w="741"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有3处以上爆破、吊装、动火、临时用电以及国务院应急管理部门会同国务院有关部门规定的其他危险作业，未安排专门人员进行现场管理的</w:t>
            </w:r>
          </w:p>
        </w:tc>
        <w:tc>
          <w:tcPr>
            <w:tcW w:w="1055"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生产经营单位：责令限期改正，处十万元的罚款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347" w:type="pct"/>
            <w:vMerge w:val="continue"/>
            <w:vAlign w:val="center"/>
          </w:tcPr>
          <w:p>
            <w:pPr>
              <w:rPr>
                <w:rFonts w:hint="eastAsia" w:ascii="仿宋_GB2312" w:hAnsi="仿宋_GB2312" w:eastAsia="仿宋_GB2312" w:cs="仿宋_GB2312"/>
                <w:bCs/>
                <w:color w:val="000000"/>
              </w:rPr>
            </w:pPr>
          </w:p>
        </w:tc>
        <w:tc>
          <w:tcPr>
            <w:tcW w:w="406" w:type="pct"/>
            <w:vMerge w:val="continue"/>
            <w:vAlign w:val="center"/>
          </w:tcPr>
          <w:p>
            <w:pPr>
              <w:rPr>
                <w:rFonts w:hint="eastAsia" w:ascii="仿宋_GB2312" w:hAnsi="仿宋_GB2312" w:eastAsia="仿宋_GB2312" w:cs="仿宋_GB2312"/>
                <w:bCs/>
                <w:color w:val="000000"/>
              </w:rPr>
            </w:pPr>
          </w:p>
        </w:tc>
        <w:tc>
          <w:tcPr>
            <w:tcW w:w="568" w:type="pct"/>
            <w:vMerge w:val="continue"/>
            <w:vAlign w:val="center"/>
          </w:tcPr>
          <w:p>
            <w:pPr>
              <w:rPr>
                <w:rFonts w:hint="eastAsia" w:ascii="仿宋_GB2312" w:hAnsi="仿宋_GB2312" w:eastAsia="仿宋_GB2312" w:cs="仿宋_GB2312"/>
                <w:bCs/>
                <w:color w:val="000000"/>
              </w:rPr>
            </w:pPr>
          </w:p>
        </w:tc>
        <w:tc>
          <w:tcPr>
            <w:tcW w:w="1085"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741" w:type="pct"/>
            <w:vMerge w:val="continue"/>
            <w:vAlign w:val="center"/>
          </w:tcPr>
          <w:p>
            <w:pPr>
              <w:rPr>
                <w:rFonts w:hint="eastAsia" w:ascii="仿宋_GB2312" w:hAnsi="仿宋_GB2312" w:eastAsia="仿宋_GB2312" w:cs="仿宋_GB2312"/>
                <w:bCs/>
                <w:color w:val="000000"/>
              </w:rPr>
            </w:pPr>
          </w:p>
        </w:tc>
        <w:tc>
          <w:tcPr>
            <w:tcW w:w="1055"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，对生产经营单位处超过十五万元、二十万元以下的罚款，对其直接负责的主管人员和其他直接责任人员处超过三万五千元、五万元以下的罚款</w:t>
            </w:r>
          </w:p>
        </w:tc>
      </w:tr>
    </w:tbl>
    <w:p>
      <w:pPr>
        <w:rPr>
          <w:rFonts w:hint="eastAsia" w:cs="宋体" w:asciiTheme="minorEastAsia" w:hAnsiTheme="minorEastAsia"/>
          <w:bCs/>
          <w:color w:val="000000"/>
          <w:sz w:val="32"/>
          <w:szCs w:val="32"/>
        </w:rPr>
      </w:pPr>
    </w:p>
    <w:p>
      <w:pPr>
        <w:rPr>
          <w:rFonts w:hint="eastAsia" w:cs="宋体" w:asciiTheme="minorEastAsia" w:hAnsiTheme="minorEastAsia"/>
          <w:bCs/>
          <w:color w:val="000000"/>
          <w:sz w:val="32"/>
          <w:szCs w:val="32"/>
        </w:rPr>
      </w:pPr>
    </w:p>
    <w:p>
      <w:pPr>
        <w:rPr>
          <w:rFonts w:hint="eastAsia" w:cs="宋体" w:asciiTheme="minorEastAsia" w:hAnsiTheme="minorEastAsia"/>
          <w:bCs/>
          <w:color w:val="000000"/>
          <w:sz w:val="32"/>
          <w:szCs w:val="32"/>
        </w:rPr>
      </w:pPr>
    </w:p>
    <w:p>
      <w:pPr>
        <w:rPr>
          <w:rFonts w:hint="eastAsia" w:cs="宋体" w:asciiTheme="minorEastAsia" w:hAnsiTheme="minorEastAsia"/>
          <w:bCs/>
          <w:color w:val="000000"/>
          <w:sz w:val="32"/>
          <w:szCs w:val="32"/>
        </w:rPr>
      </w:pPr>
      <w:r>
        <w:rPr>
          <w:rFonts w:hint="eastAsia" w:cs="宋体" w:asciiTheme="minorEastAsia" w:hAnsiTheme="minorEastAsia"/>
          <w:bCs/>
          <w:color w:val="000000"/>
          <w:sz w:val="32"/>
          <w:szCs w:val="32"/>
        </w:rPr>
        <w:t>《中华人民共和国安全生产法》</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4"/>
        <w:gridCol w:w="1249"/>
        <w:gridCol w:w="1325"/>
        <w:gridCol w:w="3488"/>
        <w:gridCol w:w="1162"/>
        <w:gridCol w:w="1162"/>
        <w:gridCol w:w="1867"/>
        <w:gridCol w:w="33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24"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序号</w:t>
            </w:r>
          </w:p>
        </w:tc>
        <w:tc>
          <w:tcPr>
            <w:tcW w:w="42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455"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1198"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39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39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641"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1155"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6" w:hRule="atLeast"/>
          <w:jc w:val="center"/>
        </w:trPr>
        <w:tc>
          <w:tcPr>
            <w:tcW w:w="324" w:type="pct"/>
            <w:vMerge w:val="restart"/>
            <w:vAlign w:val="center"/>
          </w:tcPr>
          <w:p>
            <w:pPr>
              <w:widowControl/>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Cs/>
                <w:color w:val="000000"/>
                <w:kern w:val="0"/>
                <w:szCs w:val="21"/>
                <w:lang w:val="en"/>
              </w:rPr>
              <w:t>101.23</w:t>
            </w:r>
          </w:p>
        </w:tc>
        <w:tc>
          <w:tcPr>
            <w:tcW w:w="429"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生产经营单位未建立安全风险分级管控制度或者未按照安全风险分级采取相应管控措施的</w:t>
            </w:r>
          </w:p>
        </w:tc>
        <w:tc>
          <w:tcPr>
            <w:tcW w:w="455"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szCs w:val="21"/>
              </w:rPr>
              <w:t>第四十一条第一款：“生产经营单位应当建立安全风险分级管控制度，按照安全风险分级采取相应的管控措施。”</w:t>
            </w:r>
          </w:p>
        </w:tc>
        <w:tc>
          <w:tcPr>
            <w:tcW w:w="1198"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szCs w:val="21"/>
              </w:rPr>
              <w:t>第一百零一条第（四）项：“生产经营单位有下列行为之一的，责令限期改正，处十万元以下的罚款；逾期未改正的，责令停产停业整顿，并处十万元以上二十万元以下的罚款，对其直接负责的主管人员和其他直接责任人员处二万元以上五万元以下的罚款；构成犯罪的，依照刑法有关规定追究刑事责任：（四）未建立安全风险分级管控制度或者未按照安全风险分级采取相应管控措施的。”</w:t>
            </w:r>
          </w:p>
        </w:tc>
        <w:tc>
          <w:tcPr>
            <w:tcW w:w="399" w:type="pct"/>
            <w:vMerge w:val="restart"/>
            <w:vAlign w:val="center"/>
          </w:tcPr>
          <w:p>
            <w:pPr>
              <w:jc w:val="left"/>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罚款；责令停产停业</w:t>
            </w: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从轻</w:t>
            </w:r>
          </w:p>
        </w:tc>
        <w:tc>
          <w:tcPr>
            <w:tcW w:w="641"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kern w:val="0"/>
                <w:szCs w:val="21"/>
              </w:rPr>
              <w:t>未造成危害后果或造成轻微危害后果的</w:t>
            </w:r>
          </w:p>
        </w:tc>
        <w:tc>
          <w:tcPr>
            <w:tcW w:w="1155"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rPr>
              <w:t>生产经营单位：责令限期改正，处二万元的罚款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4" w:hRule="atLeast"/>
          <w:jc w:val="center"/>
        </w:trPr>
        <w:tc>
          <w:tcPr>
            <w:tcW w:w="324" w:type="pct"/>
            <w:vMerge w:val="continue"/>
            <w:vAlign w:val="center"/>
          </w:tcPr>
          <w:p>
            <w:pPr>
              <w:widowControl/>
              <w:jc w:val="center"/>
              <w:rPr>
                <w:rFonts w:hint="eastAsia" w:ascii="仿宋_GB2312" w:hAnsi="仿宋_GB2312" w:eastAsia="仿宋_GB2312" w:cs="仿宋_GB2312"/>
                <w:bCs/>
                <w:color w:val="000000"/>
                <w:kern w:val="0"/>
                <w:szCs w:val="21"/>
                <w:lang w:val="en"/>
              </w:rPr>
            </w:pPr>
          </w:p>
        </w:tc>
        <w:tc>
          <w:tcPr>
            <w:tcW w:w="429" w:type="pct"/>
            <w:vMerge w:val="continue"/>
            <w:vAlign w:val="center"/>
          </w:tcPr>
          <w:p>
            <w:pPr>
              <w:rPr>
                <w:rFonts w:hint="eastAsia" w:ascii="仿宋_GB2312" w:hAnsi="仿宋_GB2312" w:eastAsia="仿宋_GB2312" w:cs="仿宋_GB2312"/>
                <w:bCs/>
                <w:color w:val="000000"/>
                <w:szCs w:val="21"/>
              </w:rPr>
            </w:pPr>
          </w:p>
        </w:tc>
        <w:tc>
          <w:tcPr>
            <w:tcW w:w="455" w:type="pct"/>
            <w:vMerge w:val="continue"/>
            <w:vAlign w:val="center"/>
          </w:tcPr>
          <w:p>
            <w:pPr>
              <w:rPr>
                <w:rFonts w:hint="eastAsia" w:ascii="仿宋_GB2312" w:hAnsi="仿宋_GB2312" w:eastAsia="仿宋_GB2312" w:cs="仿宋_GB2312"/>
                <w:bCs/>
                <w:color w:val="000000"/>
                <w:szCs w:val="21"/>
              </w:rPr>
            </w:pPr>
          </w:p>
        </w:tc>
        <w:tc>
          <w:tcPr>
            <w:tcW w:w="1198" w:type="pct"/>
            <w:vMerge w:val="continue"/>
            <w:vAlign w:val="center"/>
          </w:tcPr>
          <w:p>
            <w:pPr>
              <w:rPr>
                <w:rFonts w:hint="eastAsia" w:ascii="仿宋_GB2312" w:hAnsi="仿宋_GB2312" w:eastAsia="仿宋_GB2312" w:cs="仿宋_GB2312"/>
                <w:bCs/>
                <w:color w:val="000000"/>
                <w:szCs w:val="21"/>
              </w:rPr>
            </w:pPr>
          </w:p>
        </w:tc>
        <w:tc>
          <w:tcPr>
            <w:tcW w:w="399" w:type="pct"/>
            <w:vMerge w:val="continue"/>
            <w:vAlign w:val="center"/>
          </w:tcPr>
          <w:p>
            <w:pPr>
              <w:jc w:val="left"/>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lang w:bidi="ar"/>
              </w:rPr>
            </w:pPr>
          </w:p>
        </w:tc>
        <w:tc>
          <w:tcPr>
            <w:tcW w:w="641" w:type="pct"/>
            <w:vMerge w:val="continue"/>
            <w:vAlign w:val="center"/>
          </w:tcPr>
          <w:p>
            <w:pPr>
              <w:rPr>
                <w:rFonts w:hint="eastAsia" w:ascii="仿宋_GB2312" w:hAnsi="仿宋_GB2312" w:eastAsia="仿宋_GB2312" w:cs="仿宋_GB2312"/>
                <w:bCs/>
                <w:color w:val="000000"/>
                <w:kern w:val="0"/>
                <w:szCs w:val="21"/>
              </w:rPr>
            </w:pPr>
          </w:p>
        </w:tc>
        <w:tc>
          <w:tcPr>
            <w:tcW w:w="1155"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w:t>
            </w:r>
            <w:r>
              <w:rPr>
                <w:rFonts w:hint="eastAsia" w:ascii="仿宋_GB2312" w:hAnsi="仿宋_GB2312" w:eastAsia="仿宋_GB2312" w:cs="仿宋_GB2312"/>
                <w:bCs/>
                <w:color w:val="000000"/>
                <w:szCs w:val="21"/>
              </w:rPr>
              <w:t>责令</w:t>
            </w:r>
            <w:r>
              <w:rPr>
                <w:rFonts w:hint="eastAsia" w:ascii="仿宋_GB2312" w:hAnsi="仿宋_GB2312" w:eastAsia="仿宋_GB2312" w:cs="仿宋_GB2312"/>
                <w:bCs/>
                <w:color w:val="000000"/>
              </w:rPr>
              <w:t>生产经营单位</w:t>
            </w:r>
            <w:r>
              <w:rPr>
                <w:rFonts w:hint="eastAsia" w:ascii="仿宋_GB2312" w:hAnsi="仿宋_GB2312" w:eastAsia="仿宋_GB2312" w:cs="仿宋_GB2312"/>
                <w:bCs/>
                <w:color w:val="000000"/>
                <w:szCs w:val="21"/>
              </w:rPr>
              <w:t>停产停业整顿，并处十万元以上、低于十五万元的罚款，对其直接负责的主管人员和其他直接责任人员处二万元以上、低于三万五千元的罚款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1" w:hRule="atLeast"/>
          <w:jc w:val="center"/>
        </w:trPr>
        <w:tc>
          <w:tcPr>
            <w:tcW w:w="324" w:type="pct"/>
            <w:vMerge w:val="continue"/>
            <w:vAlign w:val="center"/>
          </w:tcPr>
          <w:p>
            <w:pPr>
              <w:rPr>
                <w:rFonts w:hint="eastAsia" w:ascii="仿宋_GB2312" w:hAnsi="仿宋_GB2312" w:eastAsia="仿宋_GB2312" w:cs="仿宋_GB2312"/>
                <w:bCs/>
                <w:color w:val="000000"/>
              </w:rPr>
            </w:pPr>
          </w:p>
        </w:tc>
        <w:tc>
          <w:tcPr>
            <w:tcW w:w="429" w:type="pct"/>
            <w:vMerge w:val="continue"/>
            <w:vAlign w:val="center"/>
          </w:tcPr>
          <w:p>
            <w:pPr>
              <w:rPr>
                <w:rFonts w:hint="eastAsia" w:ascii="仿宋_GB2312" w:hAnsi="仿宋_GB2312" w:eastAsia="仿宋_GB2312" w:cs="仿宋_GB2312"/>
                <w:bCs/>
                <w:color w:val="000000"/>
              </w:rPr>
            </w:pPr>
          </w:p>
        </w:tc>
        <w:tc>
          <w:tcPr>
            <w:tcW w:w="455" w:type="pct"/>
            <w:vMerge w:val="continue"/>
            <w:vAlign w:val="center"/>
          </w:tcPr>
          <w:p>
            <w:pPr>
              <w:rPr>
                <w:rFonts w:hint="eastAsia" w:ascii="仿宋_GB2312" w:hAnsi="仿宋_GB2312" w:eastAsia="仿宋_GB2312" w:cs="仿宋_GB2312"/>
                <w:bCs/>
                <w:color w:val="000000"/>
              </w:rPr>
            </w:pPr>
          </w:p>
        </w:tc>
        <w:tc>
          <w:tcPr>
            <w:tcW w:w="1198"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一般</w:t>
            </w:r>
          </w:p>
        </w:tc>
        <w:tc>
          <w:tcPr>
            <w:tcW w:w="641"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kern w:val="0"/>
                <w:szCs w:val="21"/>
              </w:rPr>
              <w:t>造成一般危害后果的</w:t>
            </w:r>
          </w:p>
        </w:tc>
        <w:tc>
          <w:tcPr>
            <w:tcW w:w="1155"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生产经营单位：责令限期改正，处五万元的罚款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1" w:hRule="atLeast"/>
          <w:jc w:val="center"/>
        </w:trPr>
        <w:tc>
          <w:tcPr>
            <w:tcW w:w="324" w:type="pct"/>
            <w:vMerge w:val="continue"/>
            <w:vAlign w:val="center"/>
          </w:tcPr>
          <w:p>
            <w:pPr>
              <w:rPr>
                <w:rFonts w:hint="eastAsia" w:ascii="仿宋_GB2312" w:hAnsi="仿宋_GB2312" w:eastAsia="仿宋_GB2312" w:cs="仿宋_GB2312"/>
                <w:bCs/>
                <w:color w:val="000000"/>
              </w:rPr>
            </w:pPr>
          </w:p>
        </w:tc>
        <w:tc>
          <w:tcPr>
            <w:tcW w:w="429" w:type="pct"/>
            <w:vMerge w:val="continue"/>
            <w:vAlign w:val="center"/>
          </w:tcPr>
          <w:p>
            <w:pPr>
              <w:rPr>
                <w:rFonts w:hint="eastAsia" w:ascii="仿宋_GB2312" w:hAnsi="仿宋_GB2312" w:eastAsia="仿宋_GB2312" w:cs="仿宋_GB2312"/>
                <w:bCs/>
                <w:color w:val="000000"/>
              </w:rPr>
            </w:pPr>
          </w:p>
        </w:tc>
        <w:tc>
          <w:tcPr>
            <w:tcW w:w="455" w:type="pct"/>
            <w:vMerge w:val="continue"/>
            <w:vAlign w:val="center"/>
          </w:tcPr>
          <w:p>
            <w:pPr>
              <w:rPr>
                <w:rFonts w:hint="eastAsia" w:ascii="仿宋_GB2312" w:hAnsi="仿宋_GB2312" w:eastAsia="仿宋_GB2312" w:cs="仿宋_GB2312"/>
                <w:bCs/>
                <w:color w:val="000000"/>
              </w:rPr>
            </w:pPr>
          </w:p>
        </w:tc>
        <w:tc>
          <w:tcPr>
            <w:tcW w:w="1198"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lang w:bidi="ar"/>
              </w:rPr>
            </w:pPr>
          </w:p>
        </w:tc>
        <w:tc>
          <w:tcPr>
            <w:tcW w:w="641" w:type="pct"/>
            <w:vMerge w:val="continue"/>
            <w:vAlign w:val="center"/>
          </w:tcPr>
          <w:p>
            <w:pPr>
              <w:rPr>
                <w:rFonts w:hint="eastAsia" w:ascii="仿宋_GB2312" w:hAnsi="仿宋_GB2312" w:eastAsia="仿宋_GB2312" w:cs="仿宋_GB2312"/>
                <w:bCs/>
                <w:color w:val="000000"/>
                <w:kern w:val="0"/>
                <w:szCs w:val="21"/>
              </w:rPr>
            </w:pPr>
          </w:p>
        </w:tc>
        <w:tc>
          <w:tcPr>
            <w:tcW w:w="1155"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w:t>
            </w:r>
            <w:r>
              <w:rPr>
                <w:rFonts w:hint="eastAsia" w:ascii="仿宋_GB2312" w:hAnsi="仿宋_GB2312" w:eastAsia="仿宋_GB2312" w:cs="仿宋_GB2312"/>
                <w:bCs/>
                <w:color w:val="000000"/>
                <w:szCs w:val="21"/>
              </w:rPr>
              <w:t>责令</w:t>
            </w:r>
            <w:r>
              <w:rPr>
                <w:rFonts w:hint="eastAsia" w:ascii="仿宋_GB2312" w:hAnsi="仿宋_GB2312" w:eastAsia="仿宋_GB2312" w:cs="仿宋_GB2312"/>
                <w:bCs/>
                <w:color w:val="000000"/>
              </w:rPr>
              <w:t>生产经营单位</w:t>
            </w:r>
            <w:r>
              <w:rPr>
                <w:rFonts w:hint="eastAsia" w:ascii="仿宋_GB2312" w:hAnsi="仿宋_GB2312" w:eastAsia="仿宋_GB2312" w:cs="仿宋_GB2312"/>
                <w:bCs/>
                <w:color w:val="000000"/>
                <w:szCs w:val="21"/>
              </w:rPr>
              <w:t>停产停业整顿，并处十五万元的罚款，对其直接负责的主管人员和其他直接责任人员处三万五千元的罚款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6" w:hRule="atLeast"/>
          <w:jc w:val="center"/>
        </w:trPr>
        <w:tc>
          <w:tcPr>
            <w:tcW w:w="324" w:type="pct"/>
            <w:vMerge w:val="continue"/>
            <w:vAlign w:val="center"/>
          </w:tcPr>
          <w:p>
            <w:pPr>
              <w:rPr>
                <w:rFonts w:hint="eastAsia" w:ascii="仿宋_GB2312" w:hAnsi="仿宋_GB2312" w:eastAsia="仿宋_GB2312" w:cs="仿宋_GB2312"/>
                <w:bCs/>
                <w:color w:val="000000"/>
              </w:rPr>
            </w:pPr>
          </w:p>
        </w:tc>
        <w:tc>
          <w:tcPr>
            <w:tcW w:w="429" w:type="pct"/>
            <w:vMerge w:val="continue"/>
            <w:vAlign w:val="center"/>
          </w:tcPr>
          <w:p>
            <w:pPr>
              <w:rPr>
                <w:rFonts w:hint="eastAsia" w:ascii="仿宋_GB2312" w:hAnsi="仿宋_GB2312" w:eastAsia="仿宋_GB2312" w:cs="仿宋_GB2312"/>
                <w:bCs/>
                <w:color w:val="000000"/>
              </w:rPr>
            </w:pPr>
          </w:p>
        </w:tc>
        <w:tc>
          <w:tcPr>
            <w:tcW w:w="455" w:type="pct"/>
            <w:vMerge w:val="continue"/>
            <w:vAlign w:val="center"/>
          </w:tcPr>
          <w:p>
            <w:pPr>
              <w:rPr>
                <w:rFonts w:hint="eastAsia" w:ascii="仿宋_GB2312" w:hAnsi="仿宋_GB2312" w:eastAsia="仿宋_GB2312" w:cs="仿宋_GB2312"/>
                <w:bCs/>
                <w:color w:val="000000"/>
              </w:rPr>
            </w:pPr>
          </w:p>
        </w:tc>
        <w:tc>
          <w:tcPr>
            <w:tcW w:w="1198"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从重</w:t>
            </w:r>
          </w:p>
          <w:p>
            <w:pPr>
              <w:jc w:val="center"/>
              <w:rPr>
                <w:rFonts w:hint="eastAsia" w:ascii="仿宋_GB2312" w:hAnsi="仿宋_GB2312" w:eastAsia="仿宋_GB2312" w:cs="仿宋_GB2312"/>
                <w:bCs/>
                <w:color w:val="000000"/>
              </w:rPr>
            </w:pPr>
          </w:p>
        </w:tc>
        <w:tc>
          <w:tcPr>
            <w:tcW w:w="641"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kern w:val="0"/>
                <w:szCs w:val="21"/>
              </w:rPr>
              <w:t>造成生产安全事故或造成其他严重后果的</w:t>
            </w:r>
          </w:p>
        </w:tc>
        <w:tc>
          <w:tcPr>
            <w:tcW w:w="1155"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生产经营单位：责令限期改正，处十万元的罚款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1" w:hRule="atLeast"/>
          <w:jc w:val="center"/>
        </w:trPr>
        <w:tc>
          <w:tcPr>
            <w:tcW w:w="324" w:type="pct"/>
            <w:vMerge w:val="continue"/>
            <w:vAlign w:val="center"/>
          </w:tcPr>
          <w:p>
            <w:pPr>
              <w:rPr>
                <w:rFonts w:hint="eastAsia" w:ascii="仿宋_GB2312" w:hAnsi="仿宋_GB2312" w:eastAsia="仿宋_GB2312" w:cs="仿宋_GB2312"/>
                <w:bCs/>
                <w:color w:val="000000"/>
              </w:rPr>
            </w:pPr>
          </w:p>
        </w:tc>
        <w:tc>
          <w:tcPr>
            <w:tcW w:w="429" w:type="pct"/>
            <w:vMerge w:val="continue"/>
            <w:vAlign w:val="center"/>
          </w:tcPr>
          <w:p>
            <w:pPr>
              <w:rPr>
                <w:rFonts w:hint="eastAsia" w:ascii="仿宋_GB2312" w:hAnsi="仿宋_GB2312" w:eastAsia="仿宋_GB2312" w:cs="仿宋_GB2312"/>
                <w:bCs/>
                <w:color w:val="000000"/>
              </w:rPr>
            </w:pPr>
          </w:p>
        </w:tc>
        <w:tc>
          <w:tcPr>
            <w:tcW w:w="455" w:type="pct"/>
            <w:vMerge w:val="continue"/>
            <w:vAlign w:val="center"/>
          </w:tcPr>
          <w:p>
            <w:pPr>
              <w:rPr>
                <w:rFonts w:hint="eastAsia" w:ascii="仿宋_GB2312" w:hAnsi="仿宋_GB2312" w:eastAsia="仿宋_GB2312" w:cs="仿宋_GB2312"/>
                <w:bCs/>
                <w:color w:val="000000"/>
              </w:rPr>
            </w:pPr>
          </w:p>
        </w:tc>
        <w:tc>
          <w:tcPr>
            <w:tcW w:w="1198"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641" w:type="pct"/>
            <w:vMerge w:val="continue"/>
            <w:vAlign w:val="center"/>
          </w:tcPr>
          <w:p>
            <w:pPr>
              <w:rPr>
                <w:rFonts w:hint="eastAsia" w:ascii="仿宋_GB2312" w:hAnsi="仿宋_GB2312" w:eastAsia="仿宋_GB2312" w:cs="仿宋_GB2312"/>
                <w:bCs/>
                <w:color w:val="000000"/>
                <w:kern w:val="0"/>
                <w:szCs w:val="21"/>
              </w:rPr>
            </w:pPr>
          </w:p>
        </w:tc>
        <w:tc>
          <w:tcPr>
            <w:tcW w:w="1155"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，对生产经营单位处超过十五万元、二十万元以下的罚款，对其直接负责的主管人员和其他直接责任人员处超过三万五千元、五万元以下的罚款</w:t>
            </w:r>
          </w:p>
        </w:tc>
      </w:tr>
    </w:tbl>
    <w:p/>
    <w:p/>
    <w:p/>
    <w:p>
      <w:pPr>
        <w:rPr>
          <w:rFonts w:hint="eastAsia" w:cs="宋体" w:asciiTheme="minorEastAsia" w:hAnsiTheme="minorEastAsia"/>
          <w:bCs/>
          <w:color w:val="000000"/>
          <w:sz w:val="32"/>
          <w:szCs w:val="32"/>
        </w:rPr>
      </w:pPr>
      <w:r>
        <w:rPr>
          <w:rFonts w:hint="eastAsia" w:cs="宋体" w:asciiTheme="minorEastAsia" w:hAnsiTheme="minorEastAsia"/>
          <w:bCs/>
          <w:color w:val="000000"/>
          <w:sz w:val="32"/>
          <w:szCs w:val="32"/>
        </w:rPr>
        <w:t>《中华人民共和国安全生产法》</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32"/>
        <w:gridCol w:w="1285"/>
        <w:gridCol w:w="2222"/>
        <w:gridCol w:w="2466"/>
        <w:gridCol w:w="1162"/>
        <w:gridCol w:w="1162"/>
        <w:gridCol w:w="2009"/>
        <w:gridCol w:w="32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54"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序号</w:t>
            </w:r>
          </w:p>
        </w:tc>
        <w:tc>
          <w:tcPr>
            <w:tcW w:w="441"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763"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847"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39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39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690"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1106"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2" w:hRule="atLeast"/>
          <w:jc w:val="center"/>
        </w:trPr>
        <w:tc>
          <w:tcPr>
            <w:tcW w:w="354" w:type="pct"/>
            <w:vMerge w:val="restart"/>
            <w:vAlign w:val="center"/>
          </w:tcPr>
          <w:p>
            <w:pPr>
              <w:widowControl/>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Cs/>
                <w:color w:val="000000"/>
                <w:kern w:val="0"/>
                <w:szCs w:val="21"/>
                <w:lang w:val="en"/>
              </w:rPr>
              <w:t>101.24</w:t>
            </w:r>
          </w:p>
        </w:tc>
        <w:tc>
          <w:tcPr>
            <w:tcW w:w="441"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生产经营单位未建立事故隐患排查治理制度，或未按规定报告重大事故隐患排查治理情况的</w:t>
            </w:r>
          </w:p>
        </w:tc>
        <w:tc>
          <w:tcPr>
            <w:tcW w:w="763"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szCs w:val="21"/>
              </w:rPr>
              <w:t>第四十一条第二款：“生产经营单位应当建立健全生产安全事故隐患排查治理制度，采取技术、管理措施，及时发现并消除事故隐患。事故隐患排查治理情况应当如实记录，并通过职工大会或者职工代表大会、信息公示栏等方式向从业人员通报。</w:t>
            </w:r>
            <w:r>
              <w:rPr>
                <w:rFonts w:hint="eastAsia" w:ascii="仿宋_GB2312" w:hAnsi="仿宋_GB2312" w:eastAsia="仿宋_GB2312" w:cs="仿宋_GB2312"/>
                <w:b/>
                <w:color w:val="000000"/>
                <w:szCs w:val="21"/>
              </w:rPr>
              <w:t>其中，重大事故隐患排查治理情况应当及时向负有安全生产监督管理职责的部门和职工大会或者职工代表大会报告</w:t>
            </w:r>
            <w:r>
              <w:rPr>
                <w:rFonts w:hint="eastAsia" w:ascii="仿宋_GB2312" w:hAnsi="仿宋_GB2312" w:eastAsia="仿宋_GB2312" w:cs="仿宋_GB2312"/>
                <w:bCs/>
                <w:color w:val="000000"/>
                <w:szCs w:val="21"/>
              </w:rPr>
              <w:t>。”</w:t>
            </w:r>
          </w:p>
        </w:tc>
        <w:tc>
          <w:tcPr>
            <w:tcW w:w="847"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szCs w:val="21"/>
              </w:rPr>
              <w:t>第一百零一条第（五）项：“生产经营单位有下列行为之一的，责令限期改正，处十万元以下的罚款；逾期未改正的，责令停产停业整顿，并处十万元以上二十万元以下的罚款，对其直接负责的主管人员和其他直接责任人员处二万元以上五万元以下的罚款；构成犯罪的，依照刑法有关规定追究刑事责任：</w:t>
            </w:r>
            <w:r>
              <w:rPr>
                <w:rFonts w:hint="eastAsia" w:ascii="仿宋_GB2312" w:hAnsi="仿宋_GB2312" w:eastAsia="仿宋_GB2312" w:cs="仿宋_GB2312"/>
                <w:b/>
                <w:color w:val="000000"/>
                <w:szCs w:val="21"/>
              </w:rPr>
              <w:t>（五）未建立事故隐患排查治理制度的，或重大事故隐患排查治理情况未按规定报告的</w:t>
            </w:r>
            <w:r>
              <w:rPr>
                <w:rFonts w:hint="eastAsia" w:ascii="仿宋_GB2312" w:hAnsi="仿宋_GB2312" w:eastAsia="仿宋_GB2312" w:cs="仿宋_GB2312"/>
                <w:bCs/>
                <w:color w:val="000000"/>
                <w:szCs w:val="21"/>
              </w:rPr>
              <w:t>。”</w:t>
            </w:r>
          </w:p>
        </w:tc>
        <w:tc>
          <w:tcPr>
            <w:tcW w:w="399" w:type="pct"/>
            <w:vMerge w:val="restart"/>
            <w:vAlign w:val="center"/>
          </w:tcPr>
          <w:p>
            <w:pPr>
              <w:jc w:val="left"/>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罚款；责令停产停业</w:t>
            </w: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从轻</w:t>
            </w:r>
          </w:p>
        </w:tc>
        <w:tc>
          <w:tcPr>
            <w:tcW w:w="690"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kern w:val="0"/>
                <w:szCs w:val="21"/>
              </w:rPr>
              <w:t>未造成危害后果或造成轻微危害后果的</w:t>
            </w:r>
          </w:p>
        </w:tc>
        <w:tc>
          <w:tcPr>
            <w:tcW w:w="1106"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rPr>
              <w:t>生产经营单位：责令限期改正，处二万元的罚款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84" w:hRule="atLeast"/>
          <w:jc w:val="center"/>
        </w:trPr>
        <w:tc>
          <w:tcPr>
            <w:tcW w:w="354" w:type="pct"/>
            <w:vMerge w:val="continue"/>
            <w:vAlign w:val="center"/>
          </w:tcPr>
          <w:p>
            <w:pPr>
              <w:widowControl/>
              <w:jc w:val="center"/>
              <w:rPr>
                <w:rFonts w:hint="eastAsia" w:ascii="仿宋_GB2312" w:hAnsi="仿宋_GB2312" w:eastAsia="仿宋_GB2312" w:cs="仿宋_GB2312"/>
                <w:bCs/>
                <w:color w:val="000000"/>
                <w:kern w:val="0"/>
                <w:szCs w:val="21"/>
                <w:lang w:val="en"/>
              </w:rPr>
            </w:pPr>
          </w:p>
        </w:tc>
        <w:tc>
          <w:tcPr>
            <w:tcW w:w="441" w:type="pct"/>
            <w:vMerge w:val="continue"/>
            <w:vAlign w:val="center"/>
          </w:tcPr>
          <w:p>
            <w:pPr>
              <w:rPr>
                <w:rFonts w:hint="eastAsia" w:ascii="仿宋_GB2312" w:hAnsi="仿宋_GB2312" w:eastAsia="仿宋_GB2312" w:cs="仿宋_GB2312"/>
                <w:bCs/>
                <w:color w:val="000000"/>
                <w:szCs w:val="21"/>
              </w:rPr>
            </w:pPr>
          </w:p>
        </w:tc>
        <w:tc>
          <w:tcPr>
            <w:tcW w:w="763" w:type="pct"/>
            <w:vMerge w:val="continue"/>
            <w:vAlign w:val="center"/>
          </w:tcPr>
          <w:p>
            <w:pPr>
              <w:rPr>
                <w:rFonts w:hint="eastAsia" w:ascii="仿宋_GB2312" w:hAnsi="仿宋_GB2312" w:eastAsia="仿宋_GB2312" w:cs="仿宋_GB2312"/>
                <w:bCs/>
                <w:color w:val="000000"/>
                <w:szCs w:val="21"/>
              </w:rPr>
            </w:pPr>
          </w:p>
        </w:tc>
        <w:tc>
          <w:tcPr>
            <w:tcW w:w="847" w:type="pct"/>
            <w:vMerge w:val="continue"/>
            <w:vAlign w:val="center"/>
          </w:tcPr>
          <w:p>
            <w:pPr>
              <w:rPr>
                <w:rFonts w:hint="eastAsia" w:ascii="仿宋_GB2312" w:hAnsi="仿宋_GB2312" w:eastAsia="仿宋_GB2312" w:cs="仿宋_GB2312"/>
                <w:bCs/>
                <w:color w:val="000000"/>
                <w:szCs w:val="21"/>
              </w:rPr>
            </w:pPr>
          </w:p>
        </w:tc>
        <w:tc>
          <w:tcPr>
            <w:tcW w:w="399" w:type="pct"/>
            <w:vMerge w:val="continue"/>
            <w:vAlign w:val="center"/>
          </w:tcPr>
          <w:p>
            <w:pPr>
              <w:jc w:val="left"/>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lang w:bidi="ar"/>
              </w:rPr>
            </w:pPr>
          </w:p>
        </w:tc>
        <w:tc>
          <w:tcPr>
            <w:tcW w:w="690" w:type="pct"/>
            <w:vMerge w:val="continue"/>
            <w:vAlign w:val="center"/>
          </w:tcPr>
          <w:p>
            <w:pPr>
              <w:rPr>
                <w:rFonts w:hint="eastAsia" w:ascii="仿宋_GB2312" w:hAnsi="仿宋_GB2312" w:eastAsia="仿宋_GB2312" w:cs="仿宋_GB2312"/>
                <w:b/>
                <w:color w:val="000000"/>
              </w:rPr>
            </w:pPr>
          </w:p>
        </w:tc>
        <w:tc>
          <w:tcPr>
            <w:tcW w:w="1106"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w:t>
            </w:r>
            <w:r>
              <w:rPr>
                <w:rFonts w:hint="eastAsia" w:ascii="仿宋_GB2312" w:hAnsi="仿宋_GB2312" w:eastAsia="仿宋_GB2312" w:cs="仿宋_GB2312"/>
                <w:bCs/>
                <w:color w:val="000000"/>
                <w:szCs w:val="21"/>
              </w:rPr>
              <w:t>责令</w:t>
            </w:r>
            <w:r>
              <w:rPr>
                <w:rFonts w:hint="eastAsia" w:ascii="仿宋_GB2312" w:hAnsi="仿宋_GB2312" w:eastAsia="仿宋_GB2312" w:cs="仿宋_GB2312"/>
                <w:bCs/>
                <w:color w:val="000000"/>
              </w:rPr>
              <w:t>生产经营单位</w:t>
            </w:r>
            <w:r>
              <w:rPr>
                <w:rFonts w:hint="eastAsia" w:ascii="仿宋_GB2312" w:hAnsi="仿宋_GB2312" w:eastAsia="仿宋_GB2312" w:cs="仿宋_GB2312"/>
                <w:bCs/>
                <w:color w:val="000000"/>
                <w:szCs w:val="21"/>
              </w:rPr>
              <w:t>停产停业整顿，并处十万元以上、低于十五万元的罚款，对其直接负责的主管人员和其他直接责任人员处二万元以上、低于三万五千元的罚款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7" w:hRule="atLeast"/>
          <w:jc w:val="center"/>
        </w:trPr>
        <w:tc>
          <w:tcPr>
            <w:tcW w:w="354" w:type="pct"/>
            <w:vMerge w:val="continue"/>
            <w:vAlign w:val="center"/>
          </w:tcPr>
          <w:p>
            <w:pPr>
              <w:rPr>
                <w:rFonts w:hint="eastAsia" w:ascii="仿宋_GB2312" w:hAnsi="仿宋_GB2312" w:eastAsia="仿宋_GB2312" w:cs="仿宋_GB2312"/>
                <w:bCs/>
                <w:color w:val="000000"/>
              </w:rPr>
            </w:pPr>
          </w:p>
        </w:tc>
        <w:tc>
          <w:tcPr>
            <w:tcW w:w="441" w:type="pct"/>
            <w:vMerge w:val="continue"/>
            <w:vAlign w:val="center"/>
          </w:tcPr>
          <w:p>
            <w:pPr>
              <w:rPr>
                <w:rFonts w:hint="eastAsia" w:ascii="仿宋_GB2312" w:hAnsi="仿宋_GB2312" w:eastAsia="仿宋_GB2312" w:cs="仿宋_GB2312"/>
                <w:bCs/>
                <w:color w:val="000000"/>
              </w:rPr>
            </w:pPr>
          </w:p>
        </w:tc>
        <w:tc>
          <w:tcPr>
            <w:tcW w:w="763" w:type="pct"/>
            <w:vMerge w:val="continue"/>
            <w:vAlign w:val="center"/>
          </w:tcPr>
          <w:p>
            <w:pPr>
              <w:rPr>
                <w:rFonts w:hint="eastAsia" w:ascii="仿宋_GB2312" w:hAnsi="仿宋_GB2312" w:eastAsia="仿宋_GB2312" w:cs="仿宋_GB2312"/>
                <w:bCs/>
                <w:color w:val="000000"/>
              </w:rPr>
            </w:pPr>
          </w:p>
        </w:tc>
        <w:tc>
          <w:tcPr>
            <w:tcW w:w="847"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一般</w:t>
            </w:r>
          </w:p>
        </w:tc>
        <w:tc>
          <w:tcPr>
            <w:tcW w:w="690"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kern w:val="0"/>
                <w:szCs w:val="21"/>
              </w:rPr>
              <w:t>造成一般危害后果的</w:t>
            </w:r>
          </w:p>
        </w:tc>
        <w:tc>
          <w:tcPr>
            <w:tcW w:w="1106"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生产经营单位：责令限期改正，处五万元的罚款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1" w:hRule="atLeast"/>
          <w:jc w:val="center"/>
        </w:trPr>
        <w:tc>
          <w:tcPr>
            <w:tcW w:w="354" w:type="pct"/>
            <w:vMerge w:val="continue"/>
            <w:vAlign w:val="center"/>
          </w:tcPr>
          <w:p>
            <w:pPr>
              <w:rPr>
                <w:rFonts w:hint="eastAsia" w:ascii="仿宋_GB2312" w:hAnsi="仿宋_GB2312" w:eastAsia="仿宋_GB2312" w:cs="仿宋_GB2312"/>
                <w:bCs/>
                <w:color w:val="000000"/>
              </w:rPr>
            </w:pPr>
          </w:p>
        </w:tc>
        <w:tc>
          <w:tcPr>
            <w:tcW w:w="441" w:type="pct"/>
            <w:vMerge w:val="continue"/>
            <w:vAlign w:val="center"/>
          </w:tcPr>
          <w:p>
            <w:pPr>
              <w:rPr>
                <w:rFonts w:hint="eastAsia" w:ascii="仿宋_GB2312" w:hAnsi="仿宋_GB2312" w:eastAsia="仿宋_GB2312" w:cs="仿宋_GB2312"/>
                <w:bCs/>
                <w:color w:val="000000"/>
              </w:rPr>
            </w:pPr>
          </w:p>
        </w:tc>
        <w:tc>
          <w:tcPr>
            <w:tcW w:w="763" w:type="pct"/>
            <w:vMerge w:val="continue"/>
            <w:vAlign w:val="center"/>
          </w:tcPr>
          <w:p>
            <w:pPr>
              <w:rPr>
                <w:rFonts w:hint="eastAsia" w:ascii="仿宋_GB2312" w:hAnsi="仿宋_GB2312" w:eastAsia="仿宋_GB2312" w:cs="仿宋_GB2312"/>
                <w:bCs/>
                <w:color w:val="000000"/>
              </w:rPr>
            </w:pPr>
          </w:p>
        </w:tc>
        <w:tc>
          <w:tcPr>
            <w:tcW w:w="847"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lang w:bidi="ar"/>
              </w:rPr>
            </w:pPr>
          </w:p>
        </w:tc>
        <w:tc>
          <w:tcPr>
            <w:tcW w:w="690" w:type="pct"/>
            <w:vMerge w:val="continue"/>
            <w:vAlign w:val="center"/>
          </w:tcPr>
          <w:p>
            <w:pPr>
              <w:rPr>
                <w:rFonts w:hint="eastAsia" w:ascii="仿宋_GB2312" w:hAnsi="仿宋_GB2312" w:eastAsia="仿宋_GB2312" w:cs="仿宋_GB2312"/>
                <w:b/>
                <w:color w:val="000000"/>
                <w:lang w:bidi="ar"/>
              </w:rPr>
            </w:pPr>
          </w:p>
        </w:tc>
        <w:tc>
          <w:tcPr>
            <w:tcW w:w="1106"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w:t>
            </w:r>
            <w:r>
              <w:rPr>
                <w:rFonts w:hint="eastAsia" w:ascii="仿宋_GB2312" w:hAnsi="仿宋_GB2312" w:eastAsia="仿宋_GB2312" w:cs="仿宋_GB2312"/>
                <w:bCs/>
                <w:color w:val="000000"/>
                <w:szCs w:val="21"/>
              </w:rPr>
              <w:t>责令</w:t>
            </w:r>
            <w:r>
              <w:rPr>
                <w:rFonts w:hint="eastAsia" w:ascii="仿宋_GB2312" w:hAnsi="仿宋_GB2312" w:eastAsia="仿宋_GB2312" w:cs="仿宋_GB2312"/>
                <w:bCs/>
                <w:color w:val="000000"/>
              </w:rPr>
              <w:t>生产经营单位</w:t>
            </w:r>
            <w:r>
              <w:rPr>
                <w:rFonts w:hint="eastAsia" w:ascii="仿宋_GB2312" w:hAnsi="仿宋_GB2312" w:eastAsia="仿宋_GB2312" w:cs="仿宋_GB2312"/>
                <w:bCs/>
                <w:color w:val="000000"/>
                <w:szCs w:val="21"/>
              </w:rPr>
              <w:t>停产停业整顿，并处十五万元的罚款，对其直接负责的主管人员和其他直接责任人员处三万五千元的罚款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2" w:hRule="atLeast"/>
          <w:jc w:val="center"/>
        </w:trPr>
        <w:tc>
          <w:tcPr>
            <w:tcW w:w="354" w:type="pct"/>
            <w:vMerge w:val="continue"/>
            <w:vAlign w:val="center"/>
          </w:tcPr>
          <w:p>
            <w:pPr>
              <w:rPr>
                <w:rFonts w:hint="eastAsia" w:ascii="仿宋_GB2312" w:hAnsi="仿宋_GB2312" w:eastAsia="仿宋_GB2312" w:cs="仿宋_GB2312"/>
                <w:bCs/>
                <w:color w:val="000000"/>
              </w:rPr>
            </w:pPr>
          </w:p>
        </w:tc>
        <w:tc>
          <w:tcPr>
            <w:tcW w:w="441" w:type="pct"/>
            <w:vMerge w:val="continue"/>
            <w:vAlign w:val="center"/>
          </w:tcPr>
          <w:p>
            <w:pPr>
              <w:rPr>
                <w:rFonts w:hint="eastAsia" w:ascii="仿宋_GB2312" w:hAnsi="仿宋_GB2312" w:eastAsia="仿宋_GB2312" w:cs="仿宋_GB2312"/>
                <w:bCs/>
                <w:color w:val="000000"/>
              </w:rPr>
            </w:pPr>
          </w:p>
        </w:tc>
        <w:tc>
          <w:tcPr>
            <w:tcW w:w="763" w:type="pct"/>
            <w:vMerge w:val="continue"/>
            <w:vAlign w:val="center"/>
          </w:tcPr>
          <w:p>
            <w:pPr>
              <w:rPr>
                <w:rFonts w:hint="eastAsia" w:ascii="仿宋_GB2312" w:hAnsi="仿宋_GB2312" w:eastAsia="仿宋_GB2312" w:cs="仿宋_GB2312"/>
                <w:bCs/>
                <w:color w:val="000000"/>
              </w:rPr>
            </w:pPr>
          </w:p>
        </w:tc>
        <w:tc>
          <w:tcPr>
            <w:tcW w:w="847"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从重</w:t>
            </w:r>
          </w:p>
          <w:p>
            <w:pPr>
              <w:jc w:val="center"/>
              <w:rPr>
                <w:rFonts w:hint="eastAsia" w:ascii="仿宋_GB2312" w:hAnsi="仿宋_GB2312" w:eastAsia="仿宋_GB2312" w:cs="仿宋_GB2312"/>
                <w:bCs/>
                <w:color w:val="000000"/>
              </w:rPr>
            </w:pPr>
          </w:p>
        </w:tc>
        <w:tc>
          <w:tcPr>
            <w:tcW w:w="690"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kern w:val="0"/>
                <w:szCs w:val="21"/>
              </w:rPr>
              <w:t>造成生产安全事故或造成其他严重后果的</w:t>
            </w:r>
          </w:p>
        </w:tc>
        <w:tc>
          <w:tcPr>
            <w:tcW w:w="1106"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生产经营单位：责令限期改正，处十万元的罚款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84" w:hRule="atLeast"/>
          <w:jc w:val="center"/>
        </w:trPr>
        <w:tc>
          <w:tcPr>
            <w:tcW w:w="354" w:type="pct"/>
            <w:vMerge w:val="continue"/>
            <w:vAlign w:val="center"/>
          </w:tcPr>
          <w:p>
            <w:pPr>
              <w:rPr>
                <w:rFonts w:hint="eastAsia" w:ascii="仿宋_GB2312" w:hAnsi="仿宋_GB2312" w:eastAsia="仿宋_GB2312" w:cs="仿宋_GB2312"/>
                <w:bCs/>
                <w:color w:val="000000"/>
              </w:rPr>
            </w:pPr>
          </w:p>
        </w:tc>
        <w:tc>
          <w:tcPr>
            <w:tcW w:w="441" w:type="pct"/>
            <w:vMerge w:val="continue"/>
            <w:vAlign w:val="center"/>
          </w:tcPr>
          <w:p>
            <w:pPr>
              <w:rPr>
                <w:rFonts w:hint="eastAsia" w:ascii="仿宋_GB2312" w:hAnsi="仿宋_GB2312" w:eastAsia="仿宋_GB2312" w:cs="仿宋_GB2312"/>
                <w:bCs/>
                <w:color w:val="000000"/>
              </w:rPr>
            </w:pPr>
          </w:p>
        </w:tc>
        <w:tc>
          <w:tcPr>
            <w:tcW w:w="763" w:type="pct"/>
            <w:vMerge w:val="continue"/>
            <w:vAlign w:val="center"/>
          </w:tcPr>
          <w:p>
            <w:pPr>
              <w:rPr>
                <w:rFonts w:hint="eastAsia" w:ascii="仿宋_GB2312" w:hAnsi="仿宋_GB2312" w:eastAsia="仿宋_GB2312" w:cs="仿宋_GB2312"/>
                <w:bCs/>
                <w:color w:val="000000"/>
              </w:rPr>
            </w:pPr>
          </w:p>
        </w:tc>
        <w:tc>
          <w:tcPr>
            <w:tcW w:w="847"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690" w:type="pct"/>
            <w:vMerge w:val="continue"/>
            <w:vAlign w:val="center"/>
          </w:tcPr>
          <w:p>
            <w:pPr>
              <w:rPr>
                <w:rFonts w:hint="eastAsia" w:ascii="仿宋_GB2312" w:hAnsi="仿宋_GB2312" w:eastAsia="仿宋_GB2312" w:cs="仿宋_GB2312"/>
                <w:b/>
                <w:color w:val="000000"/>
                <w:lang w:bidi="ar"/>
              </w:rPr>
            </w:pPr>
          </w:p>
        </w:tc>
        <w:tc>
          <w:tcPr>
            <w:tcW w:w="1106"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，对生产经营单位处超过十五万元、二十万元以下的罚款，对其直接负责的主管人员和其他直接责任人员处超过三万五千元、五万元以下的罚款</w:t>
            </w:r>
          </w:p>
        </w:tc>
      </w:tr>
    </w:tbl>
    <w:p/>
    <w:p/>
    <w:p>
      <w:pPr>
        <w:rPr>
          <w:rFonts w:hint="eastAsia" w:cs="宋体" w:asciiTheme="minorEastAsia" w:hAnsiTheme="minorEastAsia"/>
          <w:bCs/>
          <w:color w:val="000000"/>
        </w:rPr>
      </w:pPr>
    </w:p>
    <w:p>
      <w:pPr>
        <w:rPr>
          <w:rFonts w:hint="eastAsia" w:cs="宋体" w:asciiTheme="minorEastAsia" w:hAnsiTheme="minorEastAsia"/>
          <w:bCs/>
          <w:color w:val="000000"/>
          <w:sz w:val="32"/>
          <w:szCs w:val="32"/>
        </w:rPr>
      </w:pPr>
      <w:r>
        <w:rPr>
          <w:rFonts w:hint="eastAsia" w:cs="宋体" w:asciiTheme="minorEastAsia" w:hAnsiTheme="minorEastAsia"/>
          <w:bCs/>
          <w:color w:val="000000"/>
          <w:sz w:val="32"/>
          <w:szCs w:val="32"/>
        </w:rPr>
        <w:t>《中华人民共和国安全生产法》</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78"/>
        <w:gridCol w:w="1220"/>
        <w:gridCol w:w="2496"/>
        <w:gridCol w:w="2210"/>
        <w:gridCol w:w="1287"/>
        <w:gridCol w:w="1255"/>
        <w:gridCol w:w="1485"/>
        <w:gridCol w:w="36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36"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序号</w:t>
            </w:r>
          </w:p>
        </w:tc>
        <w:tc>
          <w:tcPr>
            <w:tcW w:w="41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857"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75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442"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431"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510"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1247"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336" w:type="pct"/>
            <w:vMerge w:val="restart"/>
            <w:vAlign w:val="center"/>
          </w:tcPr>
          <w:p>
            <w:pPr>
              <w:widowControl/>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Cs/>
                <w:color w:val="000000"/>
                <w:kern w:val="0"/>
                <w:szCs w:val="21"/>
                <w:lang w:val="en"/>
              </w:rPr>
              <w:t>101.25</w:t>
            </w:r>
          </w:p>
        </w:tc>
        <w:tc>
          <w:tcPr>
            <w:tcW w:w="419"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生产经营单位未采取措施消除事故隐患的</w:t>
            </w:r>
          </w:p>
        </w:tc>
        <w:tc>
          <w:tcPr>
            <w:tcW w:w="857"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szCs w:val="21"/>
              </w:rPr>
              <w:t>第四十一条第二款：“</w:t>
            </w:r>
            <w:r>
              <w:rPr>
                <w:rFonts w:hint="eastAsia" w:ascii="仿宋_GB2312" w:hAnsi="仿宋_GB2312" w:eastAsia="仿宋_GB2312" w:cs="仿宋_GB2312"/>
                <w:b/>
                <w:color w:val="000000"/>
                <w:szCs w:val="21"/>
              </w:rPr>
              <w:t>生产经营单位应当建立健全生产安全事故隐患排查治理制度，采取技术、管理措施，及时发现并消除事故隐患</w:t>
            </w:r>
            <w:r>
              <w:rPr>
                <w:rFonts w:hint="eastAsia" w:ascii="仿宋_GB2312" w:hAnsi="仿宋_GB2312" w:eastAsia="仿宋_GB2312" w:cs="仿宋_GB2312"/>
                <w:bCs/>
                <w:color w:val="000000"/>
                <w:szCs w:val="21"/>
              </w:rPr>
              <w:t>。事故隐患排查治理情况应当如实记录，并通过职工大会或者职工代表大会、信息公示栏等方式向从业人员通报。其中，重大事故隐患排查治理情况应当及时向负有安全生产监督管理职责的部门和职工大会或者职工代表大会报告。”</w:t>
            </w:r>
          </w:p>
        </w:tc>
        <w:tc>
          <w:tcPr>
            <w:tcW w:w="759"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szCs w:val="21"/>
              </w:rPr>
              <w:t>第一百零二条：“生产经营单位</w:t>
            </w:r>
            <w:r>
              <w:rPr>
                <w:rFonts w:hint="eastAsia" w:ascii="仿宋_GB2312" w:hAnsi="仿宋_GB2312" w:eastAsia="仿宋_GB2312" w:cs="仿宋_GB2312"/>
                <w:b/>
                <w:color w:val="000000"/>
                <w:szCs w:val="21"/>
              </w:rPr>
              <w:t>未采取措施消除事故隐患的</w:t>
            </w:r>
            <w:r>
              <w:rPr>
                <w:rFonts w:hint="eastAsia" w:ascii="仿宋_GB2312" w:hAnsi="仿宋_GB2312" w:eastAsia="仿宋_GB2312" w:cs="仿宋_GB2312"/>
                <w:bCs/>
                <w:color w:val="000000"/>
                <w:szCs w:val="21"/>
              </w:rPr>
              <w:t>，责令立即消除或者限期消除，处五万元以下的罚款；生产经营单位拒不执行的，责令停产停业整顿，对其直接负责的主管人员和其他直接责任人员处五万元以上十万元以下的罚款。构成犯罪的，依照刑法有关规定追究刑事责任。”</w:t>
            </w:r>
          </w:p>
        </w:tc>
        <w:tc>
          <w:tcPr>
            <w:tcW w:w="442" w:type="pct"/>
            <w:vMerge w:val="restart"/>
            <w:vAlign w:val="center"/>
          </w:tcPr>
          <w:p>
            <w:pPr>
              <w:jc w:val="left"/>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罚款；责令停产停业</w:t>
            </w:r>
          </w:p>
        </w:tc>
        <w:tc>
          <w:tcPr>
            <w:tcW w:w="431"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从轻</w:t>
            </w:r>
          </w:p>
        </w:tc>
        <w:tc>
          <w:tcPr>
            <w:tcW w:w="510" w:type="pct"/>
            <w:vMerge w:val="restart"/>
            <w:vAlign w:val="center"/>
          </w:tcPr>
          <w:p>
            <w:pPr>
              <w:jc w:val="left"/>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违法行为不涉及重大事故隐患</w:t>
            </w:r>
          </w:p>
        </w:tc>
        <w:tc>
          <w:tcPr>
            <w:tcW w:w="1247"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生产经营单位：责令立即消除或者限期消除，处一万元的罚款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336" w:type="pct"/>
            <w:vMerge w:val="continue"/>
            <w:vAlign w:val="center"/>
          </w:tcPr>
          <w:p>
            <w:pPr>
              <w:widowControl/>
              <w:jc w:val="center"/>
              <w:rPr>
                <w:rFonts w:hint="eastAsia" w:ascii="仿宋_GB2312" w:hAnsi="仿宋_GB2312" w:eastAsia="仿宋_GB2312" w:cs="仿宋_GB2312"/>
                <w:bCs/>
                <w:color w:val="000000"/>
                <w:kern w:val="0"/>
                <w:szCs w:val="21"/>
                <w:lang w:val="en"/>
              </w:rPr>
            </w:pPr>
          </w:p>
        </w:tc>
        <w:tc>
          <w:tcPr>
            <w:tcW w:w="419" w:type="pct"/>
            <w:vMerge w:val="continue"/>
            <w:vAlign w:val="center"/>
          </w:tcPr>
          <w:p>
            <w:pPr>
              <w:rPr>
                <w:rFonts w:hint="eastAsia" w:ascii="仿宋_GB2312" w:hAnsi="仿宋_GB2312" w:eastAsia="仿宋_GB2312" w:cs="仿宋_GB2312"/>
                <w:bCs/>
                <w:color w:val="000000"/>
                <w:szCs w:val="21"/>
              </w:rPr>
            </w:pPr>
          </w:p>
        </w:tc>
        <w:tc>
          <w:tcPr>
            <w:tcW w:w="857" w:type="pct"/>
            <w:vMerge w:val="continue"/>
            <w:vAlign w:val="center"/>
          </w:tcPr>
          <w:p>
            <w:pPr>
              <w:rPr>
                <w:rFonts w:hint="eastAsia" w:ascii="仿宋_GB2312" w:hAnsi="仿宋_GB2312" w:eastAsia="仿宋_GB2312" w:cs="仿宋_GB2312"/>
                <w:bCs/>
                <w:color w:val="000000"/>
                <w:szCs w:val="21"/>
              </w:rPr>
            </w:pPr>
          </w:p>
        </w:tc>
        <w:tc>
          <w:tcPr>
            <w:tcW w:w="759" w:type="pct"/>
            <w:vMerge w:val="continue"/>
            <w:vAlign w:val="center"/>
          </w:tcPr>
          <w:p>
            <w:pPr>
              <w:rPr>
                <w:rFonts w:hint="eastAsia" w:ascii="仿宋_GB2312" w:hAnsi="仿宋_GB2312" w:eastAsia="仿宋_GB2312" w:cs="仿宋_GB2312"/>
                <w:bCs/>
                <w:color w:val="000000"/>
                <w:szCs w:val="21"/>
              </w:rPr>
            </w:pPr>
          </w:p>
        </w:tc>
        <w:tc>
          <w:tcPr>
            <w:tcW w:w="442" w:type="pct"/>
            <w:vMerge w:val="continue"/>
            <w:vAlign w:val="center"/>
          </w:tcPr>
          <w:p>
            <w:pPr>
              <w:jc w:val="left"/>
              <w:rPr>
                <w:rFonts w:hint="eastAsia" w:ascii="仿宋_GB2312" w:hAnsi="仿宋_GB2312" w:eastAsia="仿宋_GB2312" w:cs="仿宋_GB2312"/>
                <w:bCs/>
                <w:color w:val="000000"/>
              </w:rPr>
            </w:pPr>
          </w:p>
        </w:tc>
        <w:tc>
          <w:tcPr>
            <w:tcW w:w="431" w:type="pct"/>
            <w:vMerge w:val="continue"/>
            <w:vAlign w:val="center"/>
          </w:tcPr>
          <w:p>
            <w:pPr>
              <w:jc w:val="center"/>
              <w:rPr>
                <w:rFonts w:hint="eastAsia" w:ascii="仿宋_GB2312" w:hAnsi="仿宋_GB2312" w:eastAsia="仿宋_GB2312" w:cs="仿宋_GB2312"/>
                <w:bCs/>
                <w:color w:val="000000"/>
                <w:lang w:bidi="ar"/>
              </w:rPr>
            </w:pPr>
          </w:p>
        </w:tc>
        <w:tc>
          <w:tcPr>
            <w:tcW w:w="510" w:type="pct"/>
            <w:vMerge w:val="continue"/>
            <w:vAlign w:val="center"/>
          </w:tcPr>
          <w:p>
            <w:pPr>
              <w:jc w:val="left"/>
              <w:rPr>
                <w:rFonts w:hint="eastAsia" w:ascii="仿宋_GB2312" w:hAnsi="仿宋_GB2312" w:eastAsia="仿宋_GB2312" w:cs="仿宋_GB2312"/>
                <w:bCs/>
                <w:color w:val="000000"/>
                <w:szCs w:val="21"/>
              </w:rPr>
            </w:pPr>
          </w:p>
        </w:tc>
        <w:tc>
          <w:tcPr>
            <w:tcW w:w="1247"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
                <w:color w:val="000000"/>
                <w:szCs w:val="21"/>
              </w:rPr>
              <w:t>生产经营单位拒不执行的</w:t>
            </w:r>
            <w:r>
              <w:rPr>
                <w:rFonts w:hint="eastAsia" w:ascii="仿宋_GB2312" w:hAnsi="仿宋_GB2312" w:eastAsia="仿宋_GB2312" w:cs="仿宋_GB2312"/>
                <w:bCs/>
                <w:color w:val="000000"/>
                <w:szCs w:val="21"/>
              </w:rPr>
              <w:t>，责令停产停业整顿，对其直接负责的主管人员和其他直接责任人员处五万元以上、低于七万五千元的罚款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336" w:type="pct"/>
            <w:vMerge w:val="continue"/>
            <w:vAlign w:val="center"/>
          </w:tcPr>
          <w:p>
            <w:pPr>
              <w:rPr>
                <w:rFonts w:hint="eastAsia" w:ascii="仿宋_GB2312" w:hAnsi="仿宋_GB2312" w:eastAsia="仿宋_GB2312" w:cs="仿宋_GB2312"/>
                <w:bCs/>
                <w:color w:val="000000"/>
              </w:rPr>
            </w:pPr>
          </w:p>
        </w:tc>
        <w:tc>
          <w:tcPr>
            <w:tcW w:w="419" w:type="pct"/>
            <w:vMerge w:val="continue"/>
            <w:vAlign w:val="center"/>
          </w:tcPr>
          <w:p>
            <w:pPr>
              <w:rPr>
                <w:rFonts w:hint="eastAsia" w:ascii="仿宋_GB2312" w:hAnsi="仿宋_GB2312" w:eastAsia="仿宋_GB2312" w:cs="仿宋_GB2312"/>
                <w:bCs/>
                <w:color w:val="000000"/>
              </w:rPr>
            </w:pPr>
          </w:p>
        </w:tc>
        <w:tc>
          <w:tcPr>
            <w:tcW w:w="857" w:type="pct"/>
            <w:vMerge w:val="continue"/>
            <w:vAlign w:val="center"/>
          </w:tcPr>
          <w:p>
            <w:pPr>
              <w:rPr>
                <w:rFonts w:hint="eastAsia" w:ascii="仿宋_GB2312" w:hAnsi="仿宋_GB2312" w:eastAsia="仿宋_GB2312" w:cs="仿宋_GB2312"/>
                <w:bCs/>
                <w:color w:val="000000"/>
              </w:rPr>
            </w:pPr>
          </w:p>
        </w:tc>
        <w:tc>
          <w:tcPr>
            <w:tcW w:w="759"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442" w:type="pct"/>
            <w:vMerge w:val="continue"/>
            <w:vAlign w:val="center"/>
          </w:tcPr>
          <w:p>
            <w:pPr>
              <w:jc w:val="center"/>
              <w:rPr>
                <w:rFonts w:hint="eastAsia" w:ascii="仿宋_GB2312" w:hAnsi="仿宋_GB2312" w:eastAsia="仿宋_GB2312" w:cs="仿宋_GB2312"/>
                <w:bCs/>
                <w:color w:val="000000"/>
              </w:rPr>
            </w:pPr>
          </w:p>
        </w:tc>
        <w:tc>
          <w:tcPr>
            <w:tcW w:w="431"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一般</w:t>
            </w:r>
          </w:p>
        </w:tc>
        <w:tc>
          <w:tcPr>
            <w:tcW w:w="510" w:type="pct"/>
            <w:vMerge w:val="restart"/>
            <w:vAlign w:val="center"/>
          </w:tcPr>
          <w:p>
            <w:pPr>
              <w:jc w:val="left"/>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违法行为涉及1-2项重大事故隐患</w:t>
            </w:r>
          </w:p>
        </w:tc>
        <w:tc>
          <w:tcPr>
            <w:tcW w:w="1247"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szCs w:val="21"/>
              </w:rPr>
              <w:t>生产经营单位：责令立即消除或者限期消除，处二万五千元的罚款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336" w:type="pct"/>
            <w:vMerge w:val="continue"/>
            <w:vAlign w:val="center"/>
          </w:tcPr>
          <w:p>
            <w:pPr>
              <w:rPr>
                <w:rFonts w:hint="eastAsia" w:ascii="仿宋_GB2312" w:hAnsi="仿宋_GB2312" w:eastAsia="仿宋_GB2312" w:cs="仿宋_GB2312"/>
                <w:bCs/>
                <w:color w:val="000000"/>
              </w:rPr>
            </w:pPr>
          </w:p>
        </w:tc>
        <w:tc>
          <w:tcPr>
            <w:tcW w:w="419" w:type="pct"/>
            <w:vMerge w:val="continue"/>
            <w:vAlign w:val="center"/>
          </w:tcPr>
          <w:p>
            <w:pPr>
              <w:rPr>
                <w:rFonts w:hint="eastAsia" w:ascii="仿宋_GB2312" w:hAnsi="仿宋_GB2312" w:eastAsia="仿宋_GB2312" w:cs="仿宋_GB2312"/>
                <w:bCs/>
                <w:color w:val="000000"/>
              </w:rPr>
            </w:pPr>
          </w:p>
        </w:tc>
        <w:tc>
          <w:tcPr>
            <w:tcW w:w="857" w:type="pct"/>
            <w:vMerge w:val="continue"/>
            <w:vAlign w:val="center"/>
          </w:tcPr>
          <w:p>
            <w:pPr>
              <w:rPr>
                <w:rFonts w:hint="eastAsia" w:ascii="仿宋_GB2312" w:hAnsi="仿宋_GB2312" w:eastAsia="仿宋_GB2312" w:cs="仿宋_GB2312"/>
                <w:bCs/>
                <w:color w:val="000000"/>
              </w:rPr>
            </w:pPr>
          </w:p>
        </w:tc>
        <w:tc>
          <w:tcPr>
            <w:tcW w:w="759"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442" w:type="pct"/>
            <w:vMerge w:val="continue"/>
            <w:vAlign w:val="center"/>
          </w:tcPr>
          <w:p>
            <w:pPr>
              <w:jc w:val="center"/>
              <w:rPr>
                <w:rFonts w:hint="eastAsia" w:ascii="仿宋_GB2312" w:hAnsi="仿宋_GB2312" w:eastAsia="仿宋_GB2312" w:cs="仿宋_GB2312"/>
                <w:bCs/>
                <w:color w:val="000000"/>
              </w:rPr>
            </w:pPr>
          </w:p>
        </w:tc>
        <w:tc>
          <w:tcPr>
            <w:tcW w:w="431" w:type="pct"/>
            <w:vMerge w:val="continue"/>
            <w:vAlign w:val="center"/>
          </w:tcPr>
          <w:p>
            <w:pPr>
              <w:jc w:val="center"/>
              <w:rPr>
                <w:rFonts w:hint="eastAsia" w:ascii="仿宋_GB2312" w:hAnsi="仿宋_GB2312" w:eastAsia="仿宋_GB2312" w:cs="仿宋_GB2312"/>
                <w:bCs/>
                <w:color w:val="000000"/>
                <w:lang w:bidi="ar"/>
              </w:rPr>
            </w:pPr>
          </w:p>
        </w:tc>
        <w:tc>
          <w:tcPr>
            <w:tcW w:w="510" w:type="pct"/>
            <w:vMerge w:val="continue"/>
            <w:vAlign w:val="center"/>
          </w:tcPr>
          <w:p>
            <w:pPr>
              <w:jc w:val="left"/>
              <w:rPr>
                <w:rFonts w:hint="eastAsia" w:ascii="仿宋_GB2312" w:hAnsi="仿宋_GB2312" w:eastAsia="仿宋_GB2312" w:cs="仿宋_GB2312"/>
                <w:bCs/>
                <w:color w:val="000000"/>
                <w:szCs w:val="21"/>
              </w:rPr>
            </w:pPr>
          </w:p>
        </w:tc>
        <w:tc>
          <w:tcPr>
            <w:tcW w:w="1247" w:type="pct"/>
            <w:vAlign w:val="center"/>
          </w:tcPr>
          <w:p>
            <w:pPr>
              <w:rPr>
                <w:rFonts w:hint="eastAsia" w:ascii="仿宋_GB2312" w:hAnsi="仿宋_GB2312" w:eastAsia="仿宋_GB2312" w:cs="仿宋_GB2312"/>
                <w:bCs/>
                <w:color w:val="000000"/>
                <w:lang w:val="en"/>
              </w:rPr>
            </w:pPr>
            <w:r>
              <w:rPr>
                <w:rFonts w:hint="eastAsia" w:ascii="仿宋_GB2312" w:hAnsi="仿宋_GB2312" w:eastAsia="仿宋_GB2312" w:cs="仿宋_GB2312"/>
                <w:b/>
                <w:color w:val="000000"/>
                <w:szCs w:val="21"/>
              </w:rPr>
              <w:t>生产经营单位拒不执行的</w:t>
            </w:r>
            <w:r>
              <w:rPr>
                <w:rFonts w:hint="eastAsia" w:ascii="仿宋_GB2312" w:hAnsi="仿宋_GB2312" w:eastAsia="仿宋_GB2312" w:cs="仿宋_GB2312"/>
                <w:bCs/>
                <w:color w:val="000000"/>
                <w:szCs w:val="21"/>
              </w:rPr>
              <w:t>，责令停产停业整顿，对其直接负责的主管人员和其他直接责任人员处七万五千元的罚款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336" w:type="pct"/>
            <w:vMerge w:val="continue"/>
            <w:vAlign w:val="center"/>
          </w:tcPr>
          <w:p>
            <w:pPr>
              <w:rPr>
                <w:rFonts w:hint="eastAsia" w:ascii="仿宋_GB2312" w:hAnsi="仿宋_GB2312" w:eastAsia="仿宋_GB2312" w:cs="仿宋_GB2312"/>
                <w:bCs/>
                <w:color w:val="000000"/>
              </w:rPr>
            </w:pPr>
          </w:p>
        </w:tc>
        <w:tc>
          <w:tcPr>
            <w:tcW w:w="419" w:type="pct"/>
            <w:vMerge w:val="continue"/>
            <w:vAlign w:val="center"/>
          </w:tcPr>
          <w:p>
            <w:pPr>
              <w:rPr>
                <w:rFonts w:hint="eastAsia" w:ascii="仿宋_GB2312" w:hAnsi="仿宋_GB2312" w:eastAsia="仿宋_GB2312" w:cs="仿宋_GB2312"/>
                <w:bCs/>
                <w:color w:val="000000"/>
              </w:rPr>
            </w:pPr>
          </w:p>
        </w:tc>
        <w:tc>
          <w:tcPr>
            <w:tcW w:w="857" w:type="pct"/>
            <w:vMerge w:val="continue"/>
            <w:vAlign w:val="center"/>
          </w:tcPr>
          <w:p>
            <w:pPr>
              <w:rPr>
                <w:rFonts w:hint="eastAsia" w:ascii="仿宋_GB2312" w:hAnsi="仿宋_GB2312" w:eastAsia="仿宋_GB2312" w:cs="仿宋_GB2312"/>
                <w:bCs/>
                <w:color w:val="000000"/>
              </w:rPr>
            </w:pPr>
          </w:p>
        </w:tc>
        <w:tc>
          <w:tcPr>
            <w:tcW w:w="759"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442" w:type="pct"/>
            <w:vMerge w:val="continue"/>
            <w:vAlign w:val="center"/>
          </w:tcPr>
          <w:p>
            <w:pPr>
              <w:jc w:val="center"/>
              <w:rPr>
                <w:rFonts w:hint="eastAsia" w:ascii="仿宋_GB2312" w:hAnsi="仿宋_GB2312" w:eastAsia="仿宋_GB2312" w:cs="仿宋_GB2312"/>
                <w:bCs/>
                <w:color w:val="000000"/>
              </w:rPr>
            </w:pPr>
          </w:p>
        </w:tc>
        <w:tc>
          <w:tcPr>
            <w:tcW w:w="431"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从重</w:t>
            </w:r>
          </w:p>
          <w:p>
            <w:pPr>
              <w:jc w:val="center"/>
              <w:rPr>
                <w:rFonts w:hint="eastAsia" w:ascii="仿宋_GB2312" w:hAnsi="仿宋_GB2312" w:eastAsia="仿宋_GB2312" w:cs="仿宋_GB2312"/>
                <w:bCs/>
                <w:color w:val="000000"/>
              </w:rPr>
            </w:pPr>
          </w:p>
        </w:tc>
        <w:tc>
          <w:tcPr>
            <w:tcW w:w="510" w:type="pct"/>
            <w:vMerge w:val="restart"/>
            <w:vAlign w:val="center"/>
          </w:tcPr>
          <w:p>
            <w:pPr>
              <w:jc w:val="left"/>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违法行为涉及3项以上重大事故隐患</w:t>
            </w:r>
          </w:p>
        </w:tc>
        <w:tc>
          <w:tcPr>
            <w:tcW w:w="1247" w:type="pct"/>
            <w:vAlign w:val="center"/>
          </w:tcPr>
          <w:p>
            <w:pPr>
              <w:jc w:val="left"/>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生产经营单位：责令立即消除或者限期消除，处五万元的罚款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336" w:type="pct"/>
            <w:vMerge w:val="continue"/>
            <w:vAlign w:val="center"/>
          </w:tcPr>
          <w:p>
            <w:pPr>
              <w:rPr>
                <w:rFonts w:hint="eastAsia" w:ascii="仿宋_GB2312" w:hAnsi="仿宋_GB2312" w:eastAsia="仿宋_GB2312" w:cs="仿宋_GB2312"/>
                <w:bCs/>
                <w:color w:val="000000"/>
              </w:rPr>
            </w:pPr>
          </w:p>
        </w:tc>
        <w:tc>
          <w:tcPr>
            <w:tcW w:w="419" w:type="pct"/>
            <w:vMerge w:val="continue"/>
            <w:vAlign w:val="center"/>
          </w:tcPr>
          <w:p>
            <w:pPr>
              <w:rPr>
                <w:rFonts w:hint="eastAsia" w:ascii="仿宋_GB2312" w:hAnsi="仿宋_GB2312" w:eastAsia="仿宋_GB2312" w:cs="仿宋_GB2312"/>
                <w:bCs/>
                <w:color w:val="000000"/>
              </w:rPr>
            </w:pPr>
          </w:p>
        </w:tc>
        <w:tc>
          <w:tcPr>
            <w:tcW w:w="857" w:type="pct"/>
            <w:vMerge w:val="continue"/>
            <w:vAlign w:val="center"/>
          </w:tcPr>
          <w:p>
            <w:pPr>
              <w:rPr>
                <w:rFonts w:hint="eastAsia" w:ascii="仿宋_GB2312" w:hAnsi="仿宋_GB2312" w:eastAsia="仿宋_GB2312" w:cs="仿宋_GB2312"/>
                <w:bCs/>
                <w:color w:val="000000"/>
              </w:rPr>
            </w:pPr>
          </w:p>
        </w:tc>
        <w:tc>
          <w:tcPr>
            <w:tcW w:w="759"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442" w:type="pct"/>
            <w:vMerge w:val="continue"/>
            <w:vAlign w:val="center"/>
          </w:tcPr>
          <w:p>
            <w:pPr>
              <w:jc w:val="center"/>
              <w:rPr>
                <w:rFonts w:hint="eastAsia" w:ascii="仿宋_GB2312" w:hAnsi="仿宋_GB2312" w:eastAsia="仿宋_GB2312" w:cs="仿宋_GB2312"/>
                <w:bCs/>
                <w:color w:val="000000"/>
              </w:rPr>
            </w:pPr>
          </w:p>
        </w:tc>
        <w:tc>
          <w:tcPr>
            <w:tcW w:w="431" w:type="pct"/>
            <w:vMerge w:val="continue"/>
            <w:vAlign w:val="center"/>
          </w:tcPr>
          <w:p>
            <w:pPr>
              <w:jc w:val="center"/>
              <w:rPr>
                <w:rFonts w:hint="eastAsia" w:ascii="仿宋_GB2312" w:hAnsi="仿宋_GB2312" w:eastAsia="仿宋_GB2312" w:cs="仿宋_GB2312"/>
                <w:bCs/>
                <w:color w:val="000000"/>
              </w:rPr>
            </w:pPr>
          </w:p>
        </w:tc>
        <w:tc>
          <w:tcPr>
            <w:tcW w:w="510" w:type="pct"/>
            <w:vMerge w:val="continue"/>
            <w:vAlign w:val="center"/>
          </w:tcPr>
          <w:p>
            <w:pPr>
              <w:jc w:val="left"/>
              <w:rPr>
                <w:rFonts w:hint="eastAsia" w:ascii="仿宋_GB2312" w:hAnsi="仿宋_GB2312" w:eastAsia="仿宋_GB2312" w:cs="仿宋_GB2312"/>
                <w:bCs/>
                <w:color w:val="000000"/>
                <w:szCs w:val="21"/>
              </w:rPr>
            </w:pPr>
          </w:p>
        </w:tc>
        <w:tc>
          <w:tcPr>
            <w:tcW w:w="1247" w:type="pct"/>
            <w:vAlign w:val="center"/>
          </w:tcPr>
          <w:p>
            <w:pPr>
              <w:jc w:val="left"/>
              <w:rPr>
                <w:rFonts w:hint="eastAsia" w:ascii="仿宋_GB2312" w:hAnsi="仿宋_GB2312" w:eastAsia="仿宋_GB2312" w:cs="仿宋_GB2312"/>
                <w:bCs/>
                <w:color w:val="000000"/>
                <w:szCs w:val="21"/>
              </w:rPr>
            </w:pPr>
            <w:r>
              <w:rPr>
                <w:rFonts w:hint="eastAsia" w:ascii="仿宋_GB2312" w:hAnsi="仿宋_GB2312" w:eastAsia="仿宋_GB2312" w:cs="仿宋_GB2312"/>
                <w:b/>
                <w:color w:val="000000"/>
                <w:szCs w:val="21"/>
              </w:rPr>
              <w:t>生产经营单位拒不执行的</w:t>
            </w:r>
            <w:r>
              <w:rPr>
                <w:rFonts w:hint="eastAsia" w:ascii="仿宋_GB2312" w:hAnsi="仿宋_GB2312" w:eastAsia="仿宋_GB2312" w:cs="仿宋_GB2312"/>
                <w:bCs/>
                <w:color w:val="000000"/>
                <w:szCs w:val="21"/>
              </w:rPr>
              <w:t>，责令停产停业整顿，对其直接负责的主管人员和其他直接责任人员处超过七万五千元、十万元以下的罚款</w:t>
            </w:r>
          </w:p>
        </w:tc>
      </w:tr>
    </w:tbl>
    <w:p>
      <w:pPr>
        <w:rPr>
          <w:rFonts w:hint="eastAsia" w:cs="宋体" w:asciiTheme="minorEastAsia" w:hAnsiTheme="minorEastAsia"/>
          <w:b/>
          <w:color w:val="000000"/>
          <w:sz w:val="32"/>
          <w:szCs w:val="32"/>
        </w:rPr>
      </w:pPr>
    </w:p>
    <w:p>
      <w:pPr>
        <w:rPr>
          <w:rFonts w:hint="eastAsia" w:cs="宋体" w:asciiTheme="minorEastAsia" w:hAnsiTheme="minorEastAsia"/>
          <w:bCs/>
          <w:color w:val="000000"/>
          <w:sz w:val="32"/>
          <w:szCs w:val="32"/>
        </w:rPr>
      </w:pPr>
    </w:p>
    <w:p>
      <w:pPr>
        <w:rPr>
          <w:rFonts w:hint="eastAsia" w:cs="宋体" w:asciiTheme="minorEastAsia" w:hAnsiTheme="minorEastAsia"/>
          <w:bCs/>
          <w:color w:val="000000"/>
          <w:sz w:val="32"/>
          <w:szCs w:val="32"/>
        </w:rPr>
      </w:pPr>
    </w:p>
    <w:p>
      <w:pPr>
        <w:rPr>
          <w:rFonts w:hint="eastAsia" w:cs="宋体" w:asciiTheme="minorEastAsia" w:hAnsiTheme="minorEastAsia"/>
          <w:bCs/>
          <w:color w:val="000000"/>
          <w:sz w:val="32"/>
          <w:szCs w:val="32"/>
        </w:rPr>
      </w:pPr>
      <w:r>
        <w:rPr>
          <w:rFonts w:hint="eastAsia" w:cs="宋体" w:asciiTheme="minorEastAsia" w:hAnsiTheme="minorEastAsia"/>
          <w:bCs/>
          <w:color w:val="000000"/>
          <w:sz w:val="32"/>
          <w:szCs w:val="32"/>
        </w:rPr>
        <w:t>《中华人民共和国安全生产法》</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2"/>
        <w:gridCol w:w="1348"/>
        <w:gridCol w:w="1380"/>
        <w:gridCol w:w="3084"/>
        <w:gridCol w:w="1191"/>
        <w:gridCol w:w="1235"/>
        <w:gridCol w:w="1243"/>
        <w:gridCol w:w="414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20" w:type="pct"/>
            <w:vAlign w:val="center"/>
          </w:tcPr>
          <w:p>
            <w:pPr>
              <w:jc w:val="center"/>
              <w:rPr>
                <w:rFonts w:hint="eastAsia" w:ascii="仿宋_GB2312" w:hAnsi="仿宋_GB2312" w:eastAsia="仿宋_GB2312" w:cs="仿宋_GB2312"/>
                <w:bCs/>
                <w:color w:val="000000"/>
                <w:kern w:val="0"/>
                <w:szCs w:val="21"/>
              </w:rPr>
            </w:pPr>
            <w:bookmarkStart w:id="53" w:name="_Hlk157977785"/>
            <w:r>
              <w:rPr>
                <w:rFonts w:hint="eastAsia" w:ascii="仿宋_GB2312" w:hAnsi="仿宋_GB2312" w:eastAsia="仿宋_GB2312" w:cs="仿宋_GB2312"/>
                <w:b/>
                <w:bCs/>
                <w:szCs w:val="21"/>
              </w:rPr>
              <w:t>序号</w:t>
            </w:r>
          </w:p>
        </w:tc>
        <w:tc>
          <w:tcPr>
            <w:tcW w:w="463"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474"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105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40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424"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427"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1426"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320" w:type="pct"/>
            <w:vMerge w:val="restart"/>
            <w:vAlign w:val="center"/>
          </w:tcPr>
          <w:p>
            <w:pPr>
              <w:widowControl/>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lang w:val="en"/>
              </w:rPr>
              <w:t>101.2</w:t>
            </w:r>
            <w:r>
              <w:rPr>
                <w:rFonts w:hint="eastAsia" w:ascii="仿宋_GB2312" w:hAnsi="仿宋_GB2312" w:eastAsia="仿宋_GB2312" w:cs="仿宋_GB2312"/>
                <w:bCs/>
                <w:color w:val="000000"/>
                <w:kern w:val="0"/>
                <w:szCs w:val="21"/>
              </w:rPr>
              <w:t>6</w:t>
            </w:r>
          </w:p>
          <w:p>
            <w:pPr>
              <w:widowControl/>
              <w:jc w:val="center"/>
            </w:pPr>
          </w:p>
        </w:tc>
        <w:tc>
          <w:tcPr>
            <w:tcW w:w="463"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生产经营单位将生产经营项目、场所、设备发包或者出租给不具备安全生产条件或者相应资质的单位或者个人的</w:t>
            </w:r>
          </w:p>
        </w:tc>
        <w:tc>
          <w:tcPr>
            <w:tcW w:w="474"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第四十九条第一款：“生产经营单位不得将生产经营项目、场所、设备发包或者出租给不具备安全生产条件或者相应资质的单位或者个人。”</w:t>
            </w:r>
          </w:p>
        </w:tc>
        <w:tc>
          <w:tcPr>
            <w:tcW w:w="1059"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第一百零三条第一款：“生产经营单位将生产经营项目、场所、设备发包或者出租给不具备安全生产条件或者相应资质的单位或者个人的，责令限期改正，没收违法所得；违法所得十万元以上的，并处违法所得二倍以上五倍以下的罚款；没有违法所得或者违法所得不足十万元的，单处或者并处十万元以上二十万元以下的罚款；对其直接负责的主管人员和其他直接责任人员处一万元以上二万元以下的罚款；导致发生生产安全事故给他人造成损害的，与承包方、承租方承担连带赔偿责任。”</w:t>
            </w:r>
          </w:p>
        </w:tc>
        <w:tc>
          <w:tcPr>
            <w:tcW w:w="409"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罚款；责令停产停业</w:t>
            </w:r>
          </w:p>
        </w:tc>
        <w:tc>
          <w:tcPr>
            <w:tcW w:w="424"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从轻</w:t>
            </w:r>
          </w:p>
        </w:tc>
        <w:tc>
          <w:tcPr>
            <w:tcW w:w="427" w:type="pct"/>
            <w:vMerge w:val="restar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sz w:val="18"/>
                <w:szCs w:val="18"/>
              </w:rPr>
              <w:t>未造成危害后果或造成轻微危害后果的</w:t>
            </w:r>
          </w:p>
        </w:tc>
        <w:tc>
          <w:tcPr>
            <w:tcW w:w="1426" w:type="pct"/>
            <w:vAlign w:val="center"/>
          </w:tcPr>
          <w:p>
            <w:pPr>
              <w:rPr>
                <w:rFonts w:hint="eastAsia" w:ascii="仿宋_GB2312" w:hAnsi="仿宋_GB2312" w:eastAsia="仿宋_GB2312" w:cs="仿宋_GB2312"/>
                <w:bCs/>
                <w:color w:val="000000"/>
                <w:sz w:val="18"/>
                <w:szCs w:val="18"/>
              </w:rPr>
            </w:pPr>
            <w:r>
              <w:rPr>
                <w:rFonts w:hint="eastAsia" w:ascii="仿宋_GB2312" w:hAnsi="仿宋_GB2312" w:eastAsia="仿宋_GB2312" w:cs="仿宋_GB2312"/>
                <w:b/>
                <w:color w:val="000000"/>
                <w:sz w:val="18"/>
                <w:szCs w:val="18"/>
              </w:rPr>
              <w:t>违法所得在十万元以上的</w:t>
            </w:r>
          </w:p>
          <w:p>
            <w:pPr>
              <w:rPr>
                <w:rFonts w:hint="eastAsia" w:ascii="仿宋_GB2312" w:hAnsi="仿宋_GB2312" w:eastAsia="仿宋_GB2312" w:cs="仿宋_GB2312"/>
                <w:bCs/>
                <w:color w:val="000000"/>
                <w:sz w:val="18"/>
                <w:szCs w:val="18"/>
              </w:rPr>
            </w:pPr>
            <w:r>
              <w:rPr>
                <w:rFonts w:hint="eastAsia" w:ascii="仿宋_GB2312" w:hAnsi="仿宋_GB2312" w:eastAsia="仿宋_GB2312" w:cs="仿宋_GB2312"/>
                <w:bCs/>
                <w:color w:val="000000"/>
                <w:sz w:val="18"/>
                <w:szCs w:val="18"/>
              </w:rPr>
              <w:t>机构：责令限期改正，没收违法所得，并处违法所得二倍以上、低于三点五倍的罚款；</w:t>
            </w:r>
          </w:p>
          <w:p>
            <w:pPr>
              <w:rPr>
                <w:rFonts w:hint="eastAsia" w:ascii="仿宋_GB2312" w:hAnsi="仿宋_GB2312" w:eastAsia="仿宋_GB2312" w:cs="仿宋_GB2312"/>
                <w:bCs/>
                <w:color w:val="000000"/>
                <w:sz w:val="18"/>
                <w:szCs w:val="18"/>
              </w:rPr>
            </w:pPr>
            <w:r>
              <w:rPr>
                <w:rFonts w:hint="eastAsia" w:ascii="仿宋_GB2312" w:hAnsi="仿宋_GB2312" w:eastAsia="仿宋_GB2312" w:cs="仿宋_GB2312"/>
                <w:bCs/>
                <w:color w:val="000000"/>
                <w:sz w:val="18"/>
                <w:szCs w:val="18"/>
              </w:rPr>
              <w:t>直接负责的主管人员和其他直接责任人员：责令限期改正，处一万元以上、低于一万五千元的罚款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320" w:type="pct"/>
            <w:vMerge w:val="continue"/>
            <w:vAlign w:val="center"/>
          </w:tcPr>
          <w:p>
            <w:pPr>
              <w:widowControl/>
              <w:jc w:val="center"/>
              <w:rPr>
                <w:rFonts w:hint="eastAsia" w:ascii="仿宋_GB2312" w:hAnsi="仿宋_GB2312" w:eastAsia="仿宋_GB2312" w:cs="仿宋_GB2312"/>
                <w:bCs/>
                <w:color w:val="000000"/>
                <w:kern w:val="0"/>
                <w:szCs w:val="21"/>
                <w:lang w:val="en"/>
              </w:rPr>
            </w:pPr>
          </w:p>
        </w:tc>
        <w:tc>
          <w:tcPr>
            <w:tcW w:w="463" w:type="pct"/>
            <w:vMerge w:val="continue"/>
            <w:vAlign w:val="center"/>
          </w:tcPr>
          <w:p>
            <w:pPr>
              <w:rPr>
                <w:rFonts w:hint="eastAsia" w:ascii="仿宋_GB2312" w:hAnsi="仿宋_GB2312" w:eastAsia="仿宋_GB2312" w:cs="仿宋_GB2312"/>
                <w:bCs/>
                <w:color w:val="000000"/>
                <w:szCs w:val="21"/>
              </w:rPr>
            </w:pPr>
          </w:p>
        </w:tc>
        <w:tc>
          <w:tcPr>
            <w:tcW w:w="474" w:type="pct"/>
            <w:vMerge w:val="continue"/>
            <w:vAlign w:val="center"/>
          </w:tcPr>
          <w:p>
            <w:pPr>
              <w:rPr>
                <w:rFonts w:hint="eastAsia" w:ascii="仿宋_GB2312" w:hAnsi="仿宋_GB2312" w:eastAsia="仿宋_GB2312" w:cs="仿宋_GB2312"/>
                <w:bCs/>
                <w:color w:val="000000"/>
                <w:szCs w:val="21"/>
              </w:rPr>
            </w:pPr>
          </w:p>
        </w:tc>
        <w:tc>
          <w:tcPr>
            <w:tcW w:w="1059" w:type="pct"/>
            <w:vMerge w:val="continue"/>
            <w:vAlign w:val="center"/>
          </w:tcPr>
          <w:p>
            <w:pPr>
              <w:rPr>
                <w:rFonts w:hint="eastAsia" w:ascii="仿宋_GB2312" w:hAnsi="仿宋_GB2312" w:eastAsia="仿宋_GB2312" w:cs="仿宋_GB2312"/>
                <w:bCs/>
                <w:color w:val="000000"/>
                <w:szCs w:val="21"/>
              </w:rPr>
            </w:pPr>
          </w:p>
        </w:tc>
        <w:tc>
          <w:tcPr>
            <w:tcW w:w="409" w:type="pct"/>
            <w:vMerge w:val="continue"/>
            <w:vAlign w:val="center"/>
          </w:tcPr>
          <w:p>
            <w:pPr>
              <w:jc w:val="left"/>
              <w:rPr>
                <w:rFonts w:hint="eastAsia" w:ascii="仿宋_GB2312" w:hAnsi="仿宋_GB2312" w:eastAsia="仿宋_GB2312" w:cs="仿宋_GB2312"/>
                <w:bCs/>
                <w:color w:val="000000"/>
              </w:rPr>
            </w:pPr>
          </w:p>
        </w:tc>
        <w:tc>
          <w:tcPr>
            <w:tcW w:w="424" w:type="pct"/>
            <w:vMerge w:val="continue"/>
            <w:vAlign w:val="center"/>
          </w:tcPr>
          <w:p>
            <w:pPr>
              <w:jc w:val="center"/>
              <w:rPr>
                <w:rFonts w:hint="eastAsia" w:ascii="仿宋_GB2312" w:hAnsi="仿宋_GB2312" w:eastAsia="仿宋_GB2312" w:cs="仿宋_GB2312"/>
                <w:bCs/>
                <w:color w:val="000000"/>
              </w:rPr>
            </w:pPr>
          </w:p>
        </w:tc>
        <w:tc>
          <w:tcPr>
            <w:tcW w:w="427" w:type="pct"/>
            <w:vMerge w:val="continue"/>
            <w:vAlign w:val="center"/>
          </w:tcPr>
          <w:p>
            <w:pPr>
              <w:rPr>
                <w:rFonts w:hint="eastAsia" w:ascii="仿宋_GB2312" w:hAnsi="仿宋_GB2312" w:eastAsia="仿宋_GB2312" w:cs="仿宋_GB2312"/>
                <w:bCs/>
                <w:color w:val="000000"/>
                <w:kern w:val="0"/>
                <w:szCs w:val="21"/>
              </w:rPr>
            </w:pPr>
          </w:p>
        </w:tc>
        <w:tc>
          <w:tcPr>
            <w:tcW w:w="1426" w:type="pct"/>
            <w:vAlign w:val="center"/>
          </w:tcPr>
          <w:p>
            <w:pPr>
              <w:rPr>
                <w:rFonts w:hint="eastAsia" w:ascii="仿宋_GB2312" w:hAnsi="仿宋_GB2312" w:eastAsia="仿宋_GB2312" w:cs="仿宋_GB2312"/>
                <w:b/>
                <w:color w:val="000000"/>
                <w:sz w:val="18"/>
                <w:szCs w:val="18"/>
              </w:rPr>
            </w:pPr>
            <w:r>
              <w:rPr>
                <w:rFonts w:hint="eastAsia" w:ascii="仿宋_GB2312" w:hAnsi="仿宋_GB2312" w:eastAsia="仿宋_GB2312" w:cs="仿宋_GB2312"/>
                <w:b/>
                <w:color w:val="000000"/>
                <w:sz w:val="18"/>
                <w:szCs w:val="18"/>
              </w:rPr>
              <w:t>没有违法所得或者违法所得不足十万元的</w:t>
            </w:r>
          </w:p>
          <w:p>
            <w:pPr>
              <w:rPr>
                <w:rFonts w:hint="eastAsia" w:ascii="仿宋_GB2312" w:hAnsi="仿宋_GB2312" w:eastAsia="仿宋_GB2312" w:cs="仿宋_GB2312"/>
                <w:bCs/>
                <w:color w:val="000000"/>
                <w:sz w:val="18"/>
                <w:szCs w:val="18"/>
              </w:rPr>
            </w:pPr>
            <w:r>
              <w:rPr>
                <w:rFonts w:hint="eastAsia" w:ascii="仿宋_GB2312" w:hAnsi="仿宋_GB2312" w:eastAsia="仿宋_GB2312" w:cs="仿宋_GB2312"/>
                <w:bCs/>
                <w:color w:val="000000"/>
                <w:sz w:val="18"/>
                <w:szCs w:val="18"/>
              </w:rPr>
              <w:t>机构：责令限期改正；</w:t>
            </w:r>
            <w:r>
              <w:rPr>
                <w:rFonts w:hint="eastAsia" w:ascii="仿宋_GB2312" w:hAnsi="仿宋_GB2312" w:eastAsia="仿宋_GB2312" w:cs="仿宋_GB2312"/>
                <w:b w:val="0"/>
                <w:bCs/>
                <w:color w:val="000000"/>
                <w:sz w:val="18"/>
                <w:szCs w:val="18"/>
              </w:rPr>
              <w:t>没有违法所得的，</w:t>
            </w:r>
            <w:r>
              <w:rPr>
                <w:rFonts w:hint="eastAsia" w:ascii="仿宋_GB2312" w:hAnsi="仿宋_GB2312" w:eastAsia="仿宋_GB2312" w:cs="仿宋_GB2312"/>
                <w:bCs/>
                <w:color w:val="000000"/>
                <w:sz w:val="18"/>
                <w:szCs w:val="18"/>
              </w:rPr>
              <w:t>处十万元以上、低于十五万元的罚款；</w:t>
            </w:r>
            <w:r>
              <w:rPr>
                <w:rFonts w:hint="eastAsia" w:ascii="仿宋_GB2312" w:hAnsi="仿宋_GB2312" w:eastAsia="仿宋_GB2312" w:cs="仿宋_GB2312"/>
                <w:b w:val="0"/>
                <w:bCs/>
                <w:color w:val="000000"/>
                <w:sz w:val="18"/>
                <w:szCs w:val="18"/>
              </w:rPr>
              <w:t>违法所得不足十万元的，没收违法所得，并处十万元以上、低于十五万元的罚款；</w:t>
            </w:r>
          </w:p>
          <w:p>
            <w:pPr>
              <w:rPr>
                <w:rFonts w:hint="eastAsia" w:ascii="仿宋_GB2312" w:hAnsi="仿宋_GB2312" w:eastAsia="仿宋_GB2312" w:cs="仿宋_GB2312"/>
                <w:bCs/>
                <w:color w:val="000000"/>
                <w:sz w:val="18"/>
                <w:szCs w:val="18"/>
              </w:rPr>
            </w:pPr>
            <w:r>
              <w:rPr>
                <w:rFonts w:hint="eastAsia" w:ascii="仿宋_GB2312" w:hAnsi="仿宋_GB2312" w:eastAsia="仿宋_GB2312" w:cs="仿宋_GB2312"/>
                <w:bCs/>
                <w:color w:val="000000"/>
                <w:sz w:val="18"/>
                <w:szCs w:val="18"/>
              </w:rPr>
              <w:t>直接负责的主管人员和其他直接责任人员：责令限期改正，处一万元以上、低于一万五千元的罚款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320" w:type="pct"/>
            <w:vMerge w:val="continue"/>
            <w:vAlign w:val="center"/>
          </w:tcPr>
          <w:p>
            <w:pPr>
              <w:rPr>
                <w:rFonts w:hint="eastAsia" w:ascii="仿宋_GB2312" w:hAnsi="仿宋_GB2312" w:eastAsia="仿宋_GB2312" w:cs="仿宋_GB2312"/>
                <w:bCs/>
                <w:color w:val="000000"/>
              </w:rPr>
            </w:pPr>
          </w:p>
        </w:tc>
        <w:tc>
          <w:tcPr>
            <w:tcW w:w="463" w:type="pct"/>
            <w:vMerge w:val="continue"/>
            <w:vAlign w:val="center"/>
          </w:tcPr>
          <w:p>
            <w:pPr>
              <w:rPr>
                <w:rFonts w:hint="eastAsia" w:ascii="仿宋_GB2312" w:hAnsi="仿宋_GB2312" w:eastAsia="仿宋_GB2312" w:cs="仿宋_GB2312"/>
                <w:bCs/>
                <w:color w:val="000000"/>
              </w:rPr>
            </w:pPr>
          </w:p>
        </w:tc>
        <w:tc>
          <w:tcPr>
            <w:tcW w:w="474" w:type="pct"/>
            <w:vMerge w:val="continue"/>
            <w:vAlign w:val="center"/>
          </w:tcPr>
          <w:p>
            <w:pPr>
              <w:rPr>
                <w:rFonts w:hint="eastAsia" w:ascii="仿宋_GB2312" w:hAnsi="仿宋_GB2312" w:eastAsia="仿宋_GB2312" w:cs="仿宋_GB2312"/>
                <w:bCs/>
                <w:color w:val="000000"/>
              </w:rPr>
            </w:pPr>
          </w:p>
        </w:tc>
        <w:tc>
          <w:tcPr>
            <w:tcW w:w="1059"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409" w:type="pct"/>
            <w:vMerge w:val="continue"/>
            <w:vAlign w:val="center"/>
          </w:tcPr>
          <w:p>
            <w:pPr>
              <w:jc w:val="center"/>
              <w:rPr>
                <w:rFonts w:hint="eastAsia" w:ascii="仿宋_GB2312" w:hAnsi="仿宋_GB2312" w:eastAsia="仿宋_GB2312" w:cs="仿宋_GB2312"/>
                <w:bCs/>
                <w:color w:val="000000"/>
              </w:rPr>
            </w:pPr>
          </w:p>
        </w:tc>
        <w:tc>
          <w:tcPr>
            <w:tcW w:w="424"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一般</w:t>
            </w:r>
          </w:p>
        </w:tc>
        <w:tc>
          <w:tcPr>
            <w:tcW w:w="427" w:type="pct"/>
            <w:vMerge w:val="restar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sz w:val="18"/>
                <w:szCs w:val="18"/>
              </w:rPr>
              <w:t>造成一般危害后果的</w:t>
            </w:r>
          </w:p>
        </w:tc>
        <w:tc>
          <w:tcPr>
            <w:tcW w:w="1426" w:type="pct"/>
            <w:vAlign w:val="center"/>
          </w:tcPr>
          <w:p>
            <w:pPr>
              <w:rPr>
                <w:rFonts w:hint="eastAsia" w:ascii="仿宋_GB2312" w:hAnsi="仿宋_GB2312" w:eastAsia="仿宋_GB2312" w:cs="仿宋_GB2312"/>
                <w:b/>
                <w:color w:val="000000"/>
                <w:sz w:val="18"/>
                <w:szCs w:val="18"/>
              </w:rPr>
            </w:pPr>
            <w:r>
              <w:rPr>
                <w:rFonts w:hint="eastAsia" w:ascii="仿宋_GB2312" w:hAnsi="仿宋_GB2312" w:eastAsia="仿宋_GB2312" w:cs="仿宋_GB2312"/>
                <w:b/>
                <w:color w:val="000000"/>
                <w:sz w:val="18"/>
                <w:szCs w:val="18"/>
              </w:rPr>
              <w:t>违法所得在十万元以上的</w:t>
            </w:r>
          </w:p>
          <w:p>
            <w:pPr>
              <w:rPr>
                <w:rFonts w:hint="eastAsia" w:ascii="仿宋_GB2312" w:hAnsi="仿宋_GB2312" w:eastAsia="仿宋_GB2312" w:cs="仿宋_GB2312"/>
                <w:bCs/>
                <w:color w:val="000000"/>
                <w:sz w:val="18"/>
                <w:szCs w:val="18"/>
              </w:rPr>
            </w:pPr>
            <w:r>
              <w:rPr>
                <w:rFonts w:hint="eastAsia" w:ascii="仿宋_GB2312" w:hAnsi="仿宋_GB2312" w:eastAsia="仿宋_GB2312" w:cs="仿宋_GB2312"/>
                <w:bCs/>
                <w:color w:val="000000"/>
                <w:sz w:val="18"/>
                <w:szCs w:val="18"/>
              </w:rPr>
              <w:t>机构：责令限期改正，没收违法所得，并处违法所得三点五倍的罚款；</w:t>
            </w:r>
          </w:p>
          <w:p>
            <w:pPr>
              <w:rPr>
                <w:rFonts w:hint="eastAsia" w:ascii="仿宋_GB2312" w:hAnsi="仿宋_GB2312" w:eastAsia="仿宋_GB2312" w:cs="仿宋_GB2312"/>
                <w:bCs/>
                <w:color w:val="000000"/>
                <w:sz w:val="18"/>
                <w:szCs w:val="18"/>
              </w:rPr>
            </w:pPr>
            <w:r>
              <w:rPr>
                <w:rFonts w:hint="eastAsia" w:ascii="仿宋_GB2312" w:hAnsi="仿宋_GB2312" w:eastAsia="仿宋_GB2312" w:cs="仿宋_GB2312"/>
                <w:bCs/>
                <w:color w:val="000000"/>
                <w:sz w:val="18"/>
                <w:szCs w:val="18"/>
              </w:rPr>
              <w:t>直接负责的主管人员和其他直接责任人员：责令限期改正，处一万五千元的罚款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320" w:type="pct"/>
            <w:vMerge w:val="continue"/>
            <w:vAlign w:val="center"/>
          </w:tcPr>
          <w:p>
            <w:pPr>
              <w:rPr>
                <w:rFonts w:hint="eastAsia" w:ascii="仿宋_GB2312" w:hAnsi="仿宋_GB2312" w:eastAsia="仿宋_GB2312" w:cs="仿宋_GB2312"/>
                <w:bCs/>
                <w:color w:val="000000"/>
              </w:rPr>
            </w:pPr>
          </w:p>
        </w:tc>
        <w:tc>
          <w:tcPr>
            <w:tcW w:w="463" w:type="pct"/>
            <w:vMerge w:val="continue"/>
            <w:vAlign w:val="center"/>
          </w:tcPr>
          <w:p>
            <w:pPr>
              <w:rPr>
                <w:rFonts w:hint="eastAsia" w:ascii="仿宋_GB2312" w:hAnsi="仿宋_GB2312" w:eastAsia="仿宋_GB2312" w:cs="仿宋_GB2312"/>
                <w:bCs/>
                <w:color w:val="000000"/>
              </w:rPr>
            </w:pPr>
          </w:p>
        </w:tc>
        <w:tc>
          <w:tcPr>
            <w:tcW w:w="474" w:type="pct"/>
            <w:vMerge w:val="continue"/>
            <w:vAlign w:val="center"/>
          </w:tcPr>
          <w:p>
            <w:pPr>
              <w:rPr>
                <w:rFonts w:hint="eastAsia" w:ascii="仿宋_GB2312" w:hAnsi="仿宋_GB2312" w:eastAsia="仿宋_GB2312" w:cs="仿宋_GB2312"/>
                <w:bCs/>
                <w:color w:val="000000"/>
              </w:rPr>
            </w:pPr>
          </w:p>
        </w:tc>
        <w:tc>
          <w:tcPr>
            <w:tcW w:w="1059"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409" w:type="pct"/>
            <w:vMerge w:val="continue"/>
            <w:vAlign w:val="center"/>
          </w:tcPr>
          <w:p>
            <w:pPr>
              <w:jc w:val="center"/>
              <w:rPr>
                <w:rFonts w:hint="eastAsia" w:ascii="仿宋_GB2312" w:hAnsi="仿宋_GB2312" w:eastAsia="仿宋_GB2312" w:cs="仿宋_GB2312"/>
                <w:bCs/>
                <w:color w:val="000000"/>
              </w:rPr>
            </w:pPr>
          </w:p>
        </w:tc>
        <w:tc>
          <w:tcPr>
            <w:tcW w:w="424" w:type="pct"/>
            <w:vMerge w:val="continue"/>
            <w:vAlign w:val="center"/>
          </w:tcPr>
          <w:p>
            <w:pPr>
              <w:jc w:val="center"/>
              <w:rPr>
                <w:rFonts w:hint="eastAsia" w:ascii="仿宋_GB2312" w:hAnsi="仿宋_GB2312" w:eastAsia="仿宋_GB2312" w:cs="仿宋_GB2312"/>
                <w:bCs/>
                <w:color w:val="000000"/>
              </w:rPr>
            </w:pPr>
          </w:p>
        </w:tc>
        <w:tc>
          <w:tcPr>
            <w:tcW w:w="427" w:type="pct"/>
            <w:vMerge w:val="continue"/>
            <w:vAlign w:val="center"/>
          </w:tcPr>
          <w:p>
            <w:pPr>
              <w:rPr>
                <w:rFonts w:hint="eastAsia" w:ascii="仿宋_GB2312" w:hAnsi="仿宋_GB2312" w:eastAsia="仿宋_GB2312" w:cs="仿宋_GB2312"/>
                <w:bCs/>
                <w:color w:val="000000"/>
                <w:kern w:val="0"/>
                <w:szCs w:val="21"/>
              </w:rPr>
            </w:pPr>
          </w:p>
        </w:tc>
        <w:tc>
          <w:tcPr>
            <w:tcW w:w="1426" w:type="pct"/>
            <w:vAlign w:val="center"/>
          </w:tcPr>
          <w:p>
            <w:pPr>
              <w:rPr>
                <w:rFonts w:hint="eastAsia" w:ascii="仿宋_GB2312" w:hAnsi="仿宋_GB2312" w:eastAsia="仿宋_GB2312" w:cs="仿宋_GB2312"/>
                <w:b/>
                <w:color w:val="000000"/>
                <w:sz w:val="18"/>
                <w:szCs w:val="18"/>
              </w:rPr>
            </w:pPr>
            <w:r>
              <w:rPr>
                <w:rFonts w:hint="eastAsia" w:ascii="仿宋_GB2312" w:hAnsi="仿宋_GB2312" w:eastAsia="仿宋_GB2312" w:cs="仿宋_GB2312"/>
                <w:b/>
                <w:color w:val="000000"/>
                <w:sz w:val="18"/>
                <w:szCs w:val="18"/>
              </w:rPr>
              <w:t>没有违法所得或者违法所得不足十万元的</w:t>
            </w:r>
          </w:p>
          <w:p>
            <w:pPr>
              <w:rPr>
                <w:rFonts w:hint="eastAsia" w:ascii="仿宋_GB2312" w:hAnsi="仿宋_GB2312" w:eastAsia="仿宋_GB2312" w:cs="仿宋_GB2312"/>
                <w:bCs/>
                <w:color w:val="000000"/>
                <w:sz w:val="18"/>
                <w:szCs w:val="18"/>
              </w:rPr>
            </w:pPr>
            <w:r>
              <w:rPr>
                <w:rFonts w:hint="eastAsia" w:ascii="仿宋_GB2312" w:hAnsi="仿宋_GB2312" w:eastAsia="仿宋_GB2312" w:cs="仿宋_GB2312"/>
                <w:bCs/>
                <w:color w:val="000000"/>
                <w:sz w:val="18"/>
                <w:szCs w:val="18"/>
              </w:rPr>
              <w:t>机构：责令限期改正；</w:t>
            </w:r>
            <w:r>
              <w:rPr>
                <w:rFonts w:hint="eastAsia" w:ascii="仿宋_GB2312" w:hAnsi="仿宋_GB2312" w:eastAsia="仿宋_GB2312" w:cs="仿宋_GB2312"/>
                <w:b w:val="0"/>
                <w:bCs/>
                <w:color w:val="000000"/>
                <w:sz w:val="18"/>
                <w:szCs w:val="18"/>
              </w:rPr>
              <w:t>没有违法所得的，</w:t>
            </w:r>
            <w:r>
              <w:rPr>
                <w:rFonts w:hint="eastAsia" w:ascii="仿宋_GB2312" w:hAnsi="仿宋_GB2312" w:eastAsia="仿宋_GB2312" w:cs="仿宋_GB2312"/>
                <w:bCs/>
                <w:color w:val="000000"/>
                <w:sz w:val="18"/>
                <w:szCs w:val="18"/>
              </w:rPr>
              <w:t>处十五万元的罚款；</w:t>
            </w:r>
            <w:r>
              <w:rPr>
                <w:rFonts w:hint="eastAsia" w:ascii="仿宋_GB2312" w:hAnsi="仿宋_GB2312" w:eastAsia="仿宋_GB2312" w:cs="仿宋_GB2312"/>
                <w:b w:val="0"/>
                <w:bCs/>
                <w:color w:val="000000"/>
                <w:sz w:val="18"/>
                <w:szCs w:val="18"/>
              </w:rPr>
              <w:t>违法所得不足十万元的，没收违法所得，并处十五万元的罚款；</w:t>
            </w:r>
          </w:p>
          <w:p>
            <w:pPr>
              <w:rPr>
                <w:rFonts w:hint="eastAsia" w:ascii="仿宋_GB2312" w:hAnsi="仿宋_GB2312" w:eastAsia="仿宋_GB2312" w:cs="仿宋_GB2312"/>
                <w:bCs/>
                <w:color w:val="000000"/>
                <w:sz w:val="18"/>
                <w:szCs w:val="18"/>
              </w:rPr>
            </w:pPr>
            <w:r>
              <w:rPr>
                <w:rFonts w:hint="eastAsia" w:ascii="仿宋_GB2312" w:hAnsi="仿宋_GB2312" w:eastAsia="仿宋_GB2312" w:cs="仿宋_GB2312"/>
                <w:bCs/>
                <w:color w:val="000000"/>
                <w:sz w:val="18"/>
                <w:szCs w:val="18"/>
              </w:rPr>
              <w:t>直接负责的主管人员和其他直接责任人员：责令限期改正，处一万五千元的罚款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320" w:type="pct"/>
            <w:vMerge w:val="continue"/>
            <w:vAlign w:val="center"/>
          </w:tcPr>
          <w:p>
            <w:pPr>
              <w:rPr>
                <w:rFonts w:hint="eastAsia" w:ascii="仿宋_GB2312" w:hAnsi="仿宋_GB2312" w:eastAsia="仿宋_GB2312" w:cs="仿宋_GB2312"/>
                <w:bCs/>
                <w:color w:val="000000"/>
              </w:rPr>
            </w:pPr>
          </w:p>
        </w:tc>
        <w:tc>
          <w:tcPr>
            <w:tcW w:w="463" w:type="pct"/>
            <w:vMerge w:val="continue"/>
            <w:vAlign w:val="center"/>
          </w:tcPr>
          <w:p>
            <w:pPr>
              <w:rPr>
                <w:rFonts w:hint="eastAsia" w:ascii="仿宋_GB2312" w:hAnsi="仿宋_GB2312" w:eastAsia="仿宋_GB2312" w:cs="仿宋_GB2312"/>
                <w:bCs/>
                <w:color w:val="000000"/>
              </w:rPr>
            </w:pPr>
          </w:p>
        </w:tc>
        <w:tc>
          <w:tcPr>
            <w:tcW w:w="474" w:type="pct"/>
            <w:vMerge w:val="continue"/>
            <w:vAlign w:val="center"/>
          </w:tcPr>
          <w:p>
            <w:pPr>
              <w:rPr>
                <w:rFonts w:hint="eastAsia" w:ascii="仿宋_GB2312" w:hAnsi="仿宋_GB2312" w:eastAsia="仿宋_GB2312" w:cs="仿宋_GB2312"/>
                <w:bCs/>
                <w:color w:val="000000"/>
              </w:rPr>
            </w:pPr>
          </w:p>
        </w:tc>
        <w:tc>
          <w:tcPr>
            <w:tcW w:w="1059"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409" w:type="pct"/>
            <w:vMerge w:val="continue"/>
            <w:vAlign w:val="center"/>
          </w:tcPr>
          <w:p>
            <w:pPr>
              <w:jc w:val="center"/>
              <w:rPr>
                <w:rFonts w:hint="eastAsia" w:ascii="仿宋_GB2312" w:hAnsi="仿宋_GB2312" w:eastAsia="仿宋_GB2312" w:cs="仿宋_GB2312"/>
                <w:bCs/>
                <w:color w:val="000000"/>
              </w:rPr>
            </w:pPr>
          </w:p>
        </w:tc>
        <w:tc>
          <w:tcPr>
            <w:tcW w:w="424"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从重</w:t>
            </w:r>
          </w:p>
        </w:tc>
        <w:tc>
          <w:tcPr>
            <w:tcW w:w="427"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sz w:val="18"/>
                <w:szCs w:val="18"/>
              </w:rPr>
              <w:t>造成生产安全事故或造成其他严重后果的</w:t>
            </w:r>
          </w:p>
        </w:tc>
        <w:tc>
          <w:tcPr>
            <w:tcW w:w="1426" w:type="pct"/>
            <w:vAlign w:val="center"/>
          </w:tcPr>
          <w:p>
            <w:pPr>
              <w:rPr>
                <w:rFonts w:hint="eastAsia" w:ascii="仿宋_GB2312" w:hAnsi="仿宋_GB2312" w:eastAsia="仿宋_GB2312" w:cs="仿宋_GB2312"/>
                <w:bCs/>
                <w:color w:val="000000"/>
                <w:sz w:val="18"/>
                <w:szCs w:val="18"/>
              </w:rPr>
            </w:pPr>
            <w:r>
              <w:rPr>
                <w:rFonts w:hint="eastAsia" w:ascii="仿宋_GB2312" w:hAnsi="仿宋_GB2312" w:eastAsia="仿宋_GB2312" w:cs="仿宋_GB2312"/>
                <w:b/>
                <w:color w:val="000000"/>
                <w:sz w:val="18"/>
                <w:szCs w:val="18"/>
              </w:rPr>
              <w:t>违法所得在十万元以上的</w:t>
            </w:r>
          </w:p>
          <w:p>
            <w:pPr>
              <w:rPr>
                <w:rFonts w:hint="eastAsia" w:ascii="仿宋_GB2312" w:hAnsi="仿宋_GB2312" w:eastAsia="仿宋_GB2312" w:cs="仿宋_GB2312"/>
                <w:bCs/>
                <w:color w:val="000000"/>
                <w:sz w:val="18"/>
                <w:szCs w:val="18"/>
              </w:rPr>
            </w:pPr>
            <w:r>
              <w:rPr>
                <w:rFonts w:hint="eastAsia" w:ascii="仿宋_GB2312" w:hAnsi="仿宋_GB2312" w:eastAsia="仿宋_GB2312" w:cs="仿宋_GB2312"/>
                <w:bCs/>
                <w:color w:val="000000"/>
                <w:sz w:val="18"/>
                <w:szCs w:val="18"/>
              </w:rPr>
              <w:t>机构：责令限期改正，没收违法所得，并处违法所得超过三点五倍、五倍以下的罚款；</w:t>
            </w:r>
          </w:p>
          <w:p>
            <w:pPr>
              <w:rPr>
                <w:rFonts w:hint="eastAsia" w:ascii="仿宋_GB2312" w:hAnsi="仿宋_GB2312" w:eastAsia="仿宋_GB2312" w:cs="仿宋_GB2312"/>
                <w:bCs/>
                <w:color w:val="000000"/>
                <w:sz w:val="18"/>
                <w:szCs w:val="18"/>
              </w:rPr>
            </w:pPr>
            <w:r>
              <w:rPr>
                <w:rFonts w:hint="eastAsia" w:ascii="仿宋_GB2312" w:hAnsi="仿宋_GB2312" w:eastAsia="仿宋_GB2312" w:cs="仿宋_GB2312"/>
                <w:bCs/>
                <w:color w:val="000000"/>
                <w:sz w:val="18"/>
                <w:szCs w:val="18"/>
              </w:rPr>
              <w:t>直接负责的主管人员和其他直接责任人员：责令限期改正，处超过一万五千元、二万元以下的罚款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320" w:type="pct"/>
            <w:vMerge w:val="continue"/>
            <w:vAlign w:val="center"/>
          </w:tcPr>
          <w:p>
            <w:pPr>
              <w:rPr>
                <w:rFonts w:hint="eastAsia" w:ascii="仿宋_GB2312" w:hAnsi="仿宋_GB2312" w:eastAsia="仿宋_GB2312" w:cs="仿宋_GB2312"/>
                <w:bCs/>
                <w:color w:val="000000"/>
              </w:rPr>
            </w:pPr>
          </w:p>
        </w:tc>
        <w:tc>
          <w:tcPr>
            <w:tcW w:w="463" w:type="pct"/>
            <w:vMerge w:val="continue"/>
            <w:vAlign w:val="center"/>
          </w:tcPr>
          <w:p>
            <w:pPr>
              <w:rPr>
                <w:rFonts w:hint="eastAsia" w:ascii="仿宋_GB2312" w:hAnsi="仿宋_GB2312" w:eastAsia="仿宋_GB2312" w:cs="仿宋_GB2312"/>
                <w:bCs/>
                <w:color w:val="000000"/>
              </w:rPr>
            </w:pPr>
          </w:p>
        </w:tc>
        <w:tc>
          <w:tcPr>
            <w:tcW w:w="474" w:type="pct"/>
            <w:vMerge w:val="continue"/>
            <w:vAlign w:val="center"/>
          </w:tcPr>
          <w:p>
            <w:pPr>
              <w:rPr>
                <w:rFonts w:hint="eastAsia" w:ascii="仿宋_GB2312" w:hAnsi="仿宋_GB2312" w:eastAsia="仿宋_GB2312" w:cs="仿宋_GB2312"/>
                <w:bCs/>
                <w:color w:val="000000"/>
              </w:rPr>
            </w:pPr>
          </w:p>
        </w:tc>
        <w:tc>
          <w:tcPr>
            <w:tcW w:w="1059"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409" w:type="pct"/>
            <w:vMerge w:val="continue"/>
            <w:vAlign w:val="center"/>
          </w:tcPr>
          <w:p>
            <w:pPr>
              <w:jc w:val="center"/>
              <w:rPr>
                <w:rFonts w:hint="eastAsia" w:ascii="仿宋_GB2312" w:hAnsi="仿宋_GB2312" w:eastAsia="仿宋_GB2312" w:cs="仿宋_GB2312"/>
                <w:bCs/>
                <w:color w:val="000000"/>
              </w:rPr>
            </w:pPr>
          </w:p>
        </w:tc>
        <w:tc>
          <w:tcPr>
            <w:tcW w:w="424" w:type="pct"/>
            <w:vMerge w:val="continue"/>
            <w:vAlign w:val="center"/>
          </w:tcPr>
          <w:p>
            <w:pPr>
              <w:jc w:val="center"/>
              <w:rPr>
                <w:rFonts w:hint="eastAsia" w:ascii="仿宋_GB2312" w:hAnsi="仿宋_GB2312" w:eastAsia="仿宋_GB2312" w:cs="仿宋_GB2312"/>
                <w:bCs/>
                <w:color w:val="000000"/>
              </w:rPr>
            </w:pPr>
          </w:p>
        </w:tc>
        <w:tc>
          <w:tcPr>
            <w:tcW w:w="427" w:type="pct"/>
            <w:vMerge w:val="continue"/>
            <w:vAlign w:val="center"/>
          </w:tcPr>
          <w:p>
            <w:pPr>
              <w:rPr>
                <w:rFonts w:hint="eastAsia" w:ascii="仿宋_GB2312" w:hAnsi="仿宋_GB2312" w:eastAsia="仿宋_GB2312" w:cs="仿宋_GB2312"/>
                <w:bCs/>
                <w:color w:val="000000"/>
              </w:rPr>
            </w:pPr>
          </w:p>
        </w:tc>
        <w:tc>
          <w:tcPr>
            <w:tcW w:w="1426" w:type="pct"/>
            <w:vAlign w:val="center"/>
          </w:tcPr>
          <w:p>
            <w:pPr>
              <w:rPr>
                <w:rFonts w:hint="eastAsia" w:ascii="仿宋_GB2312" w:hAnsi="仿宋_GB2312" w:eastAsia="仿宋_GB2312" w:cs="仿宋_GB2312"/>
                <w:b/>
                <w:color w:val="000000"/>
                <w:sz w:val="18"/>
                <w:szCs w:val="18"/>
              </w:rPr>
            </w:pPr>
            <w:r>
              <w:rPr>
                <w:rFonts w:hint="eastAsia" w:ascii="仿宋_GB2312" w:hAnsi="仿宋_GB2312" w:eastAsia="仿宋_GB2312" w:cs="仿宋_GB2312"/>
                <w:b/>
                <w:color w:val="000000"/>
                <w:sz w:val="18"/>
                <w:szCs w:val="18"/>
              </w:rPr>
              <w:t>没有违法所得或者违法所得不足十万元的</w:t>
            </w:r>
          </w:p>
          <w:p>
            <w:pPr>
              <w:rPr>
                <w:rFonts w:hint="eastAsia" w:ascii="仿宋_GB2312" w:hAnsi="仿宋_GB2312" w:eastAsia="仿宋_GB2312" w:cs="仿宋_GB2312"/>
                <w:bCs/>
                <w:color w:val="000000"/>
                <w:sz w:val="18"/>
                <w:szCs w:val="18"/>
              </w:rPr>
            </w:pPr>
            <w:r>
              <w:rPr>
                <w:rFonts w:hint="eastAsia" w:ascii="仿宋_GB2312" w:hAnsi="仿宋_GB2312" w:eastAsia="仿宋_GB2312" w:cs="仿宋_GB2312"/>
                <w:bCs/>
                <w:color w:val="000000"/>
                <w:sz w:val="18"/>
                <w:szCs w:val="18"/>
              </w:rPr>
              <w:t>机构：责令限期改正；没有违法所得的，处超过十五万元、二十万元以下的罚款；违法所得不足十万元的，没收违法所得，并处超过十五万元、二十万元以下的罚款；</w:t>
            </w:r>
          </w:p>
          <w:p>
            <w:pPr>
              <w:rPr>
                <w:rFonts w:hint="eastAsia" w:ascii="仿宋_GB2312" w:hAnsi="仿宋_GB2312" w:eastAsia="仿宋_GB2312" w:cs="仿宋_GB2312"/>
                <w:bCs/>
                <w:color w:val="000000"/>
                <w:sz w:val="18"/>
                <w:szCs w:val="18"/>
              </w:rPr>
            </w:pPr>
            <w:r>
              <w:rPr>
                <w:rFonts w:hint="eastAsia" w:ascii="仿宋_GB2312" w:hAnsi="仿宋_GB2312" w:eastAsia="仿宋_GB2312" w:cs="仿宋_GB2312"/>
                <w:bCs/>
                <w:color w:val="000000"/>
                <w:sz w:val="18"/>
                <w:szCs w:val="18"/>
              </w:rPr>
              <w:t>直接负责的主管人员和其他直接责任人员：责令限期改正，处超过一万五千元、二万元以下的罚款</w:t>
            </w:r>
          </w:p>
        </w:tc>
      </w:tr>
      <w:bookmarkEnd w:id="53"/>
    </w:tbl>
    <w:p/>
    <w:p>
      <w:pPr>
        <w:rPr>
          <w:rFonts w:hint="eastAsia" w:cs="宋体" w:asciiTheme="minorEastAsia" w:hAnsiTheme="minorEastAsia"/>
          <w:bCs/>
          <w:color w:val="000000"/>
          <w:sz w:val="32"/>
          <w:szCs w:val="32"/>
        </w:rPr>
      </w:pPr>
      <w:r>
        <w:rPr>
          <w:rFonts w:hint="eastAsia" w:cs="宋体" w:asciiTheme="minorEastAsia" w:hAnsiTheme="minorEastAsia"/>
          <w:bCs/>
          <w:color w:val="000000"/>
          <w:sz w:val="32"/>
          <w:szCs w:val="32"/>
        </w:rPr>
        <w:t>《中华人民共和国安全生产法》</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1"/>
        <w:gridCol w:w="1366"/>
        <w:gridCol w:w="2280"/>
        <w:gridCol w:w="2289"/>
        <w:gridCol w:w="1351"/>
        <w:gridCol w:w="1334"/>
        <w:gridCol w:w="1948"/>
        <w:gridCol w:w="30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20"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序号</w:t>
            </w:r>
          </w:p>
        </w:tc>
        <w:tc>
          <w:tcPr>
            <w:tcW w:w="46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783"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786"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464"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458"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66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1052"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1" w:hRule="atLeast"/>
          <w:jc w:val="center"/>
        </w:trPr>
        <w:tc>
          <w:tcPr>
            <w:tcW w:w="320" w:type="pct"/>
            <w:vMerge w:val="restart"/>
            <w:vAlign w:val="center"/>
          </w:tcPr>
          <w:p>
            <w:pPr>
              <w:widowControl/>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Cs/>
                <w:color w:val="000000"/>
                <w:kern w:val="0"/>
                <w:szCs w:val="21"/>
                <w:lang w:val="en"/>
              </w:rPr>
              <w:t>101.2</w:t>
            </w:r>
            <w:r>
              <w:rPr>
                <w:rFonts w:hint="eastAsia" w:ascii="仿宋_GB2312" w:hAnsi="仿宋_GB2312" w:eastAsia="仿宋_GB2312" w:cs="仿宋_GB2312"/>
                <w:bCs/>
                <w:color w:val="000000"/>
                <w:kern w:val="0"/>
                <w:szCs w:val="21"/>
              </w:rPr>
              <w:t>7</w:t>
            </w:r>
          </w:p>
        </w:tc>
        <w:tc>
          <w:tcPr>
            <w:tcW w:w="469"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生产经营单位未与承包单位、承租单位签订专门的安全生产管理协议或者未在承包合同、租赁合同中明确各自的安全生产管理职责，或者未对承包单位、承租单位的安全生产统一协调、管理的</w:t>
            </w:r>
          </w:p>
        </w:tc>
        <w:tc>
          <w:tcPr>
            <w:tcW w:w="783"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第四十九条第二款：“生产经营项目、场所发包或者出租给其他单位的，生产经营单位应当与承包单位、承租单位签订专门的安全生产管理协议，或者在承包合同、租赁合同中约定各自的安全生产管理职责；生产经营单位对承包单位、承租单位的安全生产工作统一协调、管理，定期进行安全检查，发现安全问题的，应当及时督促整改。”</w:t>
            </w:r>
          </w:p>
        </w:tc>
        <w:tc>
          <w:tcPr>
            <w:tcW w:w="786"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第一百零三条第二款：“生产经营单位未与承包单位、承租单位签订专门的安全生产管理协议或者未在承包合同、租赁合同中明确各自的安全生产管理职责，或者未对承包单位、承租单位的安全生产统一协调、管理的，责令限期改正，处五万元以下的罚款，对其直接负责的主管人员和其他直接责任人员处一万元以下的罚款；逾期未改正的，责令停产停业整顿。”</w:t>
            </w:r>
          </w:p>
        </w:tc>
        <w:tc>
          <w:tcPr>
            <w:tcW w:w="464" w:type="pct"/>
            <w:vMerge w:val="restart"/>
            <w:vAlign w:val="center"/>
          </w:tcPr>
          <w:p>
            <w:pPr>
              <w:jc w:val="left"/>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罚款；责令停产停业</w:t>
            </w:r>
          </w:p>
        </w:tc>
        <w:tc>
          <w:tcPr>
            <w:tcW w:w="458"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从轻</w:t>
            </w:r>
          </w:p>
        </w:tc>
        <w:tc>
          <w:tcPr>
            <w:tcW w:w="669" w:type="pc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szCs w:val="21"/>
              </w:rPr>
              <w:t>未造成危害后果或造成轻微危害后果的</w:t>
            </w:r>
          </w:p>
        </w:tc>
        <w:tc>
          <w:tcPr>
            <w:tcW w:w="1052"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w:t>
            </w:r>
            <w:r>
              <w:rPr>
                <w:rFonts w:hint="eastAsia" w:ascii="仿宋_GB2312" w:hAnsi="仿宋_GB2312" w:eastAsia="仿宋_GB2312" w:cs="仿宋_GB2312"/>
                <w:bCs/>
                <w:color w:val="000000"/>
                <w:szCs w:val="21"/>
              </w:rPr>
              <w:t>责令限期改正，</w:t>
            </w:r>
            <w:r>
              <w:rPr>
                <w:rFonts w:hint="eastAsia" w:ascii="仿宋_GB2312" w:hAnsi="仿宋_GB2312" w:eastAsia="仿宋_GB2312" w:cs="仿宋_GB2312"/>
                <w:bCs/>
                <w:color w:val="000000"/>
              </w:rPr>
              <w:t>处一万元的罚款；</w:t>
            </w:r>
          </w:p>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rPr>
              <w:t>直接负责的主管人员和其他直接责任人员：处二千元的罚款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1" w:hRule="atLeast"/>
          <w:jc w:val="center"/>
        </w:trPr>
        <w:tc>
          <w:tcPr>
            <w:tcW w:w="320" w:type="pct"/>
            <w:vMerge w:val="continue"/>
            <w:vAlign w:val="center"/>
          </w:tcPr>
          <w:p>
            <w:pPr>
              <w:rPr>
                <w:rFonts w:hint="eastAsia" w:ascii="仿宋_GB2312" w:hAnsi="仿宋_GB2312" w:eastAsia="仿宋_GB2312" w:cs="仿宋_GB2312"/>
                <w:bCs/>
                <w:color w:val="000000"/>
              </w:rPr>
            </w:pPr>
          </w:p>
        </w:tc>
        <w:tc>
          <w:tcPr>
            <w:tcW w:w="469" w:type="pct"/>
            <w:vMerge w:val="continue"/>
            <w:vAlign w:val="center"/>
          </w:tcPr>
          <w:p>
            <w:pPr>
              <w:rPr>
                <w:rFonts w:hint="eastAsia" w:ascii="仿宋_GB2312" w:hAnsi="仿宋_GB2312" w:eastAsia="仿宋_GB2312" w:cs="仿宋_GB2312"/>
                <w:bCs/>
                <w:color w:val="000000"/>
              </w:rPr>
            </w:pPr>
          </w:p>
        </w:tc>
        <w:tc>
          <w:tcPr>
            <w:tcW w:w="783" w:type="pct"/>
            <w:vMerge w:val="continue"/>
            <w:vAlign w:val="center"/>
          </w:tcPr>
          <w:p>
            <w:pPr>
              <w:rPr>
                <w:rFonts w:hint="eastAsia" w:ascii="仿宋_GB2312" w:hAnsi="仿宋_GB2312" w:eastAsia="仿宋_GB2312" w:cs="仿宋_GB2312"/>
                <w:bCs/>
                <w:color w:val="000000"/>
              </w:rPr>
            </w:pPr>
          </w:p>
        </w:tc>
        <w:tc>
          <w:tcPr>
            <w:tcW w:w="786"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464" w:type="pct"/>
            <w:vMerge w:val="continue"/>
            <w:vAlign w:val="center"/>
          </w:tcPr>
          <w:p>
            <w:pPr>
              <w:jc w:val="center"/>
              <w:rPr>
                <w:rFonts w:hint="eastAsia" w:ascii="仿宋_GB2312" w:hAnsi="仿宋_GB2312" w:eastAsia="仿宋_GB2312" w:cs="仿宋_GB2312"/>
                <w:bCs/>
                <w:color w:val="000000"/>
              </w:rPr>
            </w:pPr>
          </w:p>
        </w:tc>
        <w:tc>
          <w:tcPr>
            <w:tcW w:w="458"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一般</w:t>
            </w:r>
          </w:p>
        </w:tc>
        <w:tc>
          <w:tcPr>
            <w:tcW w:w="669" w:type="pc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szCs w:val="21"/>
              </w:rPr>
              <w:t>造成一般危害后果的</w:t>
            </w:r>
          </w:p>
        </w:tc>
        <w:tc>
          <w:tcPr>
            <w:tcW w:w="1052"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w:t>
            </w:r>
            <w:r>
              <w:rPr>
                <w:rFonts w:hint="eastAsia" w:ascii="仿宋_GB2312" w:hAnsi="仿宋_GB2312" w:eastAsia="仿宋_GB2312" w:cs="仿宋_GB2312"/>
                <w:bCs/>
                <w:color w:val="000000"/>
                <w:szCs w:val="21"/>
              </w:rPr>
              <w:t>责令限期改正，</w:t>
            </w:r>
            <w:r>
              <w:rPr>
                <w:rFonts w:hint="eastAsia" w:ascii="仿宋_GB2312" w:hAnsi="仿宋_GB2312" w:eastAsia="仿宋_GB2312" w:cs="仿宋_GB2312"/>
                <w:bCs/>
                <w:color w:val="000000"/>
              </w:rPr>
              <w:t>处二万五千元的罚款；</w:t>
            </w:r>
          </w:p>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直接负责的主管人员和其他直接责任人员：处五千元的罚款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1" w:hRule="atLeast"/>
          <w:jc w:val="center"/>
        </w:trPr>
        <w:tc>
          <w:tcPr>
            <w:tcW w:w="320" w:type="pct"/>
            <w:vMerge w:val="continue"/>
            <w:vAlign w:val="center"/>
          </w:tcPr>
          <w:p>
            <w:pPr>
              <w:rPr>
                <w:rFonts w:hint="eastAsia" w:ascii="仿宋_GB2312" w:hAnsi="仿宋_GB2312" w:eastAsia="仿宋_GB2312" w:cs="仿宋_GB2312"/>
                <w:bCs/>
                <w:color w:val="000000"/>
              </w:rPr>
            </w:pPr>
          </w:p>
        </w:tc>
        <w:tc>
          <w:tcPr>
            <w:tcW w:w="469" w:type="pct"/>
            <w:vMerge w:val="continue"/>
            <w:vAlign w:val="center"/>
          </w:tcPr>
          <w:p>
            <w:pPr>
              <w:rPr>
                <w:rFonts w:hint="eastAsia" w:ascii="仿宋_GB2312" w:hAnsi="仿宋_GB2312" w:eastAsia="仿宋_GB2312" w:cs="仿宋_GB2312"/>
                <w:bCs/>
                <w:color w:val="000000"/>
              </w:rPr>
            </w:pPr>
          </w:p>
        </w:tc>
        <w:tc>
          <w:tcPr>
            <w:tcW w:w="783" w:type="pct"/>
            <w:vMerge w:val="continue"/>
            <w:vAlign w:val="center"/>
          </w:tcPr>
          <w:p>
            <w:pPr>
              <w:rPr>
                <w:rFonts w:hint="eastAsia" w:ascii="仿宋_GB2312" w:hAnsi="仿宋_GB2312" w:eastAsia="仿宋_GB2312" w:cs="仿宋_GB2312"/>
                <w:bCs/>
                <w:color w:val="000000"/>
              </w:rPr>
            </w:pPr>
          </w:p>
        </w:tc>
        <w:tc>
          <w:tcPr>
            <w:tcW w:w="786"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464" w:type="pct"/>
            <w:vMerge w:val="continue"/>
            <w:vAlign w:val="center"/>
          </w:tcPr>
          <w:p>
            <w:pPr>
              <w:jc w:val="center"/>
              <w:rPr>
                <w:rFonts w:hint="eastAsia" w:ascii="仿宋_GB2312" w:hAnsi="仿宋_GB2312" w:eastAsia="仿宋_GB2312" w:cs="仿宋_GB2312"/>
                <w:bCs/>
                <w:color w:val="000000"/>
              </w:rPr>
            </w:pPr>
          </w:p>
        </w:tc>
        <w:tc>
          <w:tcPr>
            <w:tcW w:w="458"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从重</w:t>
            </w:r>
          </w:p>
        </w:tc>
        <w:tc>
          <w:tcPr>
            <w:tcW w:w="669"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造成生产安全事故或造成其他严重后果的</w:t>
            </w:r>
          </w:p>
        </w:tc>
        <w:tc>
          <w:tcPr>
            <w:tcW w:w="1052"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w:t>
            </w:r>
            <w:r>
              <w:rPr>
                <w:rFonts w:hint="eastAsia" w:ascii="仿宋_GB2312" w:hAnsi="仿宋_GB2312" w:eastAsia="仿宋_GB2312" w:cs="仿宋_GB2312"/>
                <w:bCs/>
                <w:color w:val="000000"/>
                <w:szCs w:val="21"/>
              </w:rPr>
              <w:t>责令限期改正，</w:t>
            </w:r>
            <w:r>
              <w:rPr>
                <w:rFonts w:hint="eastAsia" w:ascii="仿宋_GB2312" w:hAnsi="仿宋_GB2312" w:eastAsia="仿宋_GB2312" w:cs="仿宋_GB2312"/>
                <w:bCs/>
                <w:color w:val="000000"/>
              </w:rPr>
              <w:t>处超过二万五千元、五万元以下的罚款；</w:t>
            </w:r>
          </w:p>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rPr>
              <w:t>直接负责的主管人员和其他直接责任人员：处超过五千元、一万元以下的罚款</w:t>
            </w:r>
          </w:p>
        </w:tc>
      </w:tr>
    </w:tbl>
    <w:p/>
    <w:p>
      <w:pPr>
        <w:pStyle w:val="2"/>
      </w:pPr>
    </w:p>
    <w:p>
      <w:pPr>
        <w:rPr>
          <w:rFonts w:hint="eastAsia" w:cs="宋体" w:asciiTheme="minorEastAsia" w:hAnsiTheme="minorEastAsia"/>
          <w:bCs/>
          <w:color w:val="000000"/>
          <w:sz w:val="32"/>
          <w:szCs w:val="32"/>
        </w:rPr>
      </w:pPr>
      <w:r>
        <w:rPr>
          <w:rFonts w:hint="eastAsia" w:cs="宋体" w:asciiTheme="minorEastAsia" w:hAnsiTheme="minorEastAsia"/>
          <w:bCs/>
          <w:color w:val="000000"/>
          <w:sz w:val="32"/>
          <w:szCs w:val="32"/>
        </w:rPr>
        <w:t>《中华人民共和国安全生产法》</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2"/>
        <w:gridCol w:w="1520"/>
        <w:gridCol w:w="1893"/>
        <w:gridCol w:w="2569"/>
        <w:gridCol w:w="1404"/>
        <w:gridCol w:w="1232"/>
        <w:gridCol w:w="1940"/>
        <w:gridCol w:w="30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20" w:type="pct"/>
            <w:vAlign w:val="center"/>
          </w:tcPr>
          <w:p>
            <w:pPr>
              <w:jc w:val="center"/>
              <w:rPr>
                <w:rFonts w:hint="eastAsia" w:ascii="仿宋_GB2312" w:hAnsi="仿宋_GB2312" w:eastAsia="仿宋_GB2312" w:cs="仿宋_GB2312"/>
                <w:bCs/>
                <w:color w:val="000000"/>
                <w:kern w:val="0"/>
                <w:szCs w:val="21"/>
              </w:rPr>
            </w:pPr>
            <w:bookmarkStart w:id="54" w:name="_Hlk157977862"/>
            <w:r>
              <w:rPr>
                <w:rFonts w:hint="eastAsia" w:ascii="仿宋_GB2312" w:hAnsi="仿宋_GB2312" w:eastAsia="仿宋_GB2312" w:cs="仿宋_GB2312"/>
                <w:b/>
                <w:bCs/>
                <w:szCs w:val="21"/>
              </w:rPr>
              <w:t>序号</w:t>
            </w:r>
          </w:p>
        </w:tc>
        <w:tc>
          <w:tcPr>
            <w:tcW w:w="522"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650"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882"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482"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423"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666"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1054"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1" w:hRule="atLeast"/>
          <w:jc w:val="center"/>
        </w:trPr>
        <w:tc>
          <w:tcPr>
            <w:tcW w:w="320" w:type="pct"/>
            <w:vMerge w:val="restart"/>
            <w:vAlign w:val="center"/>
          </w:tcPr>
          <w:p>
            <w:pPr>
              <w:widowControl/>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Cs/>
                <w:color w:val="000000"/>
                <w:kern w:val="0"/>
                <w:szCs w:val="21"/>
                <w:lang w:val="en"/>
              </w:rPr>
              <w:t>101.2</w:t>
            </w:r>
            <w:r>
              <w:rPr>
                <w:rFonts w:hint="eastAsia" w:ascii="仿宋_GB2312" w:hAnsi="仿宋_GB2312" w:eastAsia="仿宋_GB2312" w:cs="仿宋_GB2312"/>
                <w:bCs/>
                <w:color w:val="000000"/>
                <w:kern w:val="0"/>
                <w:szCs w:val="21"/>
              </w:rPr>
              <w:t>8</w:t>
            </w:r>
          </w:p>
        </w:tc>
        <w:tc>
          <w:tcPr>
            <w:tcW w:w="522"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两个以上生产经营单位在同一作业区域内进行可能危及对方安全生产的生产经营活动，未签订安全生产管理协议或者未指定专职安全生产管理人员进行安全检查与协调的</w:t>
            </w:r>
          </w:p>
        </w:tc>
        <w:tc>
          <w:tcPr>
            <w:tcW w:w="650"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第四十八条：“两个以上生产经营单位在同一作业区域内进行生产经营活动，可能危及对方生产安全的，应当签订安全生产管理协议，明确各自的安全生产管理职责和应当采取的安全措施，并指定专职安全生产管理人员进行安全检查与协调。”</w:t>
            </w:r>
          </w:p>
        </w:tc>
        <w:tc>
          <w:tcPr>
            <w:tcW w:w="882"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第一百零四条：“两个以上生产经营单位在同一作业区域内进行可能危及对方安全生产的生产经营活动，未签订安全生产管理协议或者未指定专职安全生产管理人员进行安全检查与协调的，责令限期改正，处五万元以下的罚款，对其直接负责的主管人员和其他直接责任人员处一万元以下的罚款；逾期未改正的，责令停产停业。”</w:t>
            </w:r>
          </w:p>
        </w:tc>
        <w:tc>
          <w:tcPr>
            <w:tcW w:w="482" w:type="pct"/>
            <w:vMerge w:val="restart"/>
            <w:vAlign w:val="center"/>
          </w:tcPr>
          <w:p>
            <w:pPr>
              <w:jc w:val="left"/>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罚款；责令停产停业</w:t>
            </w:r>
          </w:p>
        </w:tc>
        <w:tc>
          <w:tcPr>
            <w:tcW w:w="423"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从轻</w:t>
            </w:r>
          </w:p>
        </w:tc>
        <w:tc>
          <w:tcPr>
            <w:tcW w:w="666" w:type="pc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szCs w:val="21"/>
              </w:rPr>
              <w:t>未造成危害后果或造成轻微危害后果的</w:t>
            </w:r>
          </w:p>
        </w:tc>
        <w:tc>
          <w:tcPr>
            <w:tcW w:w="1054"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w:t>
            </w:r>
            <w:r>
              <w:rPr>
                <w:rFonts w:hint="eastAsia" w:ascii="仿宋_GB2312" w:hAnsi="仿宋_GB2312" w:eastAsia="仿宋_GB2312" w:cs="仿宋_GB2312"/>
                <w:bCs/>
                <w:color w:val="000000"/>
                <w:szCs w:val="21"/>
              </w:rPr>
              <w:t>责令限期改正，</w:t>
            </w:r>
            <w:r>
              <w:rPr>
                <w:rFonts w:hint="eastAsia" w:ascii="仿宋_GB2312" w:hAnsi="仿宋_GB2312" w:eastAsia="仿宋_GB2312" w:cs="仿宋_GB2312"/>
                <w:bCs/>
                <w:color w:val="000000"/>
              </w:rPr>
              <w:t>处一万元的罚款；</w:t>
            </w:r>
          </w:p>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rPr>
              <w:t>直接负责的主管人员和其他直接责任人员：处二千元的罚款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1" w:hRule="atLeast"/>
          <w:jc w:val="center"/>
        </w:trPr>
        <w:tc>
          <w:tcPr>
            <w:tcW w:w="320" w:type="pct"/>
            <w:vMerge w:val="continue"/>
            <w:vAlign w:val="center"/>
          </w:tcPr>
          <w:p>
            <w:pPr>
              <w:rPr>
                <w:rFonts w:hint="eastAsia" w:ascii="仿宋_GB2312" w:hAnsi="仿宋_GB2312" w:eastAsia="仿宋_GB2312" w:cs="仿宋_GB2312"/>
                <w:bCs/>
                <w:color w:val="000000"/>
              </w:rPr>
            </w:pPr>
          </w:p>
        </w:tc>
        <w:tc>
          <w:tcPr>
            <w:tcW w:w="522" w:type="pct"/>
            <w:vMerge w:val="continue"/>
            <w:vAlign w:val="center"/>
          </w:tcPr>
          <w:p>
            <w:pPr>
              <w:rPr>
                <w:rFonts w:hint="eastAsia" w:ascii="仿宋_GB2312" w:hAnsi="仿宋_GB2312" w:eastAsia="仿宋_GB2312" w:cs="仿宋_GB2312"/>
                <w:bCs/>
                <w:color w:val="000000"/>
              </w:rPr>
            </w:pPr>
          </w:p>
        </w:tc>
        <w:tc>
          <w:tcPr>
            <w:tcW w:w="650" w:type="pct"/>
            <w:vMerge w:val="continue"/>
            <w:vAlign w:val="center"/>
          </w:tcPr>
          <w:p>
            <w:pPr>
              <w:rPr>
                <w:rFonts w:hint="eastAsia" w:ascii="仿宋_GB2312" w:hAnsi="仿宋_GB2312" w:eastAsia="仿宋_GB2312" w:cs="仿宋_GB2312"/>
                <w:bCs/>
                <w:color w:val="000000"/>
              </w:rPr>
            </w:pPr>
          </w:p>
        </w:tc>
        <w:tc>
          <w:tcPr>
            <w:tcW w:w="882"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482" w:type="pct"/>
            <w:vMerge w:val="continue"/>
            <w:vAlign w:val="center"/>
          </w:tcPr>
          <w:p>
            <w:pPr>
              <w:jc w:val="center"/>
              <w:rPr>
                <w:rFonts w:hint="eastAsia" w:ascii="仿宋_GB2312" w:hAnsi="仿宋_GB2312" w:eastAsia="仿宋_GB2312" w:cs="仿宋_GB2312"/>
                <w:bCs/>
                <w:color w:val="000000"/>
              </w:rPr>
            </w:pPr>
          </w:p>
        </w:tc>
        <w:tc>
          <w:tcPr>
            <w:tcW w:w="423"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一般</w:t>
            </w:r>
          </w:p>
        </w:tc>
        <w:tc>
          <w:tcPr>
            <w:tcW w:w="666" w:type="pc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szCs w:val="21"/>
              </w:rPr>
              <w:t>造成一般危害后果的</w:t>
            </w:r>
          </w:p>
        </w:tc>
        <w:tc>
          <w:tcPr>
            <w:tcW w:w="1054"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w:t>
            </w:r>
            <w:r>
              <w:rPr>
                <w:rFonts w:hint="eastAsia" w:ascii="仿宋_GB2312" w:hAnsi="仿宋_GB2312" w:eastAsia="仿宋_GB2312" w:cs="仿宋_GB2312"/>
                <w:bCs/>
                <w:color w:val="000000"/>
                <w:szCs w:val="21"/>
              </w:rPr>
              <w:t>责令限期改正，</w:t>
            </w:r>
            <w:r>
              <w:rPr>
                <w:rFonts w:hint="eastAsia" w:ascii="仿宋_GB2312" w:hAnsi="仿宋_GB2312" w:eastAsia="仿宋_GB2312" w:cs="仿宋_GB2312"/>
                <w:bCs/>
                <w:color w:val="000000"/>
              </w:rPr>
              <w:t>处二万五千元的罚款；</w:t>
            </w:r>
          </w:p>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直接负责的主管人员和其他直接责任人员：处五千元的罚款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1" w:hRule="atLeast"/>
          <w:jc w:val="center"/>
        </w:trPr>
        <w:tc>
          <w:tcPr>
            <w:tcW w:w="320" w:type="pct"/>
            <w:vMerge w:val="continue"/>
            <w:vAlign w:val="center"/>
          </w:tcPr>
          <w:p>
            <w:pPr>
              <w:rPr>
                <w:rFonts w:hint="eastAsia" w:ascii="仿宋_GB2312" w:hAnsi="仿宋_GB2312" w:eastAsia="仿宋_GB2312" w:cs="仿宋_GB2312"/>
                <w:bCs/>
                <w:color w:val="000000"/>
              </w:rPr>
            </w:pPr>
          </w:p>
        </w:tc>
        <w:tc>
          <w:tcPr>
            <w:tcW w:w="522" w:type="pct"/>
            <w:vMerge w:val="continue"/>
            <w:vAlign w:val="center"/>
          </w:tcPr>
          <w:p>
            <w:pPr>
              <w:rPr>
                <w:rFonts w:hint="eastAsia" w:ascii="仿宋_GB2312" w:hAnsi="仿宋_GB2312" w:eastAsia="仿宋_GB2312" w:cs="仿宋_GB2312"/>
                <w:bCs/>
                <w:color w:val="000000"/>
              </w:rPr>
            </w:pPr>
          </w:p>
        </w:tc>
        <w:tc>
          <w:tcPr>
            <w:tcW w:w="650" w:type="pct"/>
            <w:vMerge w:val="continue"/>
            <w:vAlign w:val="center"/>
          </w:tcPr>
          <w:p>
            <w:pPr>
              <w:rPr>
                <w:rFonts w:hint="eastAsia" w:ascii="仿宋_GB2312" w:hAnsi="仿宋_GB2312" w:eastAsia="仿宋_GB2312" w:cs="仿宋_GB2312"/>
                <w:bCs/>
                <w:color w:val="000000"/>
              </w:rPr>
            </w:pPr>
          </w:p>
        </w:tc>
        <w:tc>
          <w:tcPr>
            <w:tcW w:w="882"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482" w:type="pct"/>
            <w:vMerge w:val="continue"/>
            <w:vAlign w:val="center"/>
          </w:tcPr>
          <w:p>
            <w:pPr>
              <w:jc w:val="center"/>
              <w:rPr>
                <w:rFonts w:hint="eastAsia" w:ascii="仿宋_GB2312" w:hAnsi="仿宋_GB2312" w:eastAsia="仿宋_GB2312" w:cs="仿宋_GB2312"/>
                <w:bCs/>
                <w:color w:val="000000"/>
              </w:rPr>
            </w:pPr>
          </w:p>
        </w:tc>
        <w:tc>
          <w:tcPr>
            <w:tcW w:w="423"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从重</w:t>
            </w:r>
          </w:p>
        </w:tc>
        <w:tc>
          <w:tcPr>
            <w:tcW w:w="666"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szCs w:val="21"/>
              </w:rPr>
              <w:t>造成生产安全事故或造成其他严重后果的</w:t>
            </w:r>
          </w:p>
        </w:tc>
        <w:tc>
          <w:tcPr>
            <w:tcW w:w="1054"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w:t>
            </w:r>
            <w:r>
              <w:rPr>
                <w:rFonts w:hint="eastAsia" w:ascii="仿宋_GB2312" w:hAnsi="仿宋_GB2312" w:eastAsia="仿宋_GB2312" w:cs="仿宋_GB2312"/>
                <w:bCs/>
                <w:color w:val="000000"/>
                <w:szCs w:val="21"/>
              </w:rPr>
              <w:t>责令限期改正，</w:t>
            </w:r>
            <w:r>
              <w:rPr>
                <w:rFonts w:hint="eastAsia" w:ascii="仿宋_GB2312" w:hAnsi="仿宋_GB2312" w:eastAsia="仿宋_GB2312" w:cs="仿宋_GB2312"/>
                <w:bCs/>
                <w:color w:val="000000"/>
              </w:rPr>
              <w:t>处超过二万五千元、五万元以下的罚款；</w:t>
            </w:r>
          </w:p>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rPr>
              <w:t>直接负责的主管人员和其他直接责任人员：处超过五千元、一万元以下的罚款</w:t>
            </w:r>
          </w:p>
        </w:tc>
      </w:tr>
      <w:bookmarkEnd w:id="54"/>
    </w:tbl>
    <w:p/>
    <w:p>
      <w:pPr>
        <w:rPr>
          <w:rFonts w:hint="eastAsia" w:cs="宋体" w:asciiTheme="minorEastAsia" w:hAnsiTheme="minorEastAsia"/>
          <w:bCs/>
          <w:color w:val="000000"/>
          <w:sz w:val="32"/>
          <w:szCs w:val="32"/>
        </w:rPr>
      </w:pPr>
    </w:p>
    <w:p>
      <w:pPr>
        <w:rPr>
          <w:rFonts w:hint="eastAsia" w:cs="宋体" w:asciiTheme="minorEastAsia" w:hAnsiTheme="minorEastAsia"/>
          <w:bCs/>
          <w:color w:val="000000"/>
          <w:sz w:val="32"/>
          <w:szCs w:val="32"/>
        </w:rPr>
      </w:pPr>
      <w:r>
        <w:rPr>
          <w:rFonts w:hint="eastAsia" w:cs="宋体" w:asciiTheme="minorEastAsia" w:hAnsiTheme="minorEastAsia"/>
          <w:bCs/>
          <w:color w:val="000000"/>
          <w:sz w:val="32"/>
          <w:szCs w:val="32"/>
        </w:rPr>
        <w:t>《中华人民共和国安全生产法》</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2"/>
        <w:gridCol w:w="1360"/>
        <w:gridCol w:w="1433"/>
        <w:gridCol w:w="3349"/>
        <w:gridCol w:w="1331"/>
        <w:gridCol w:w="1246"/>
        <w:gridCol w:w="1840"/>
        <w:gridCol w:w="30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20" w:type="pct"/>
            <w:vAlign w:val="center"/>
          </w:tcPr>
          <w:p>
            <w:pPr>
              <w:jc w:val="center"/>
              <w:rPr>
                <w:rFonts w:hint="eastAsia" w:ascii="仿宋_GB2312" w:hAnsi="仿宋_GB2312" w:eastAsia="仿宋_GB2312" w:cs="仿宋_GB2312"/>
                <w:bCs/>
                <w:color w:val="000000"/>
                <w:kern w:val="0"/>
                <w:szCs w:val="21"/>
              </w:rPr>
            </w:pPr>
            <w:bookmarkStart w:id="55" w:name="_Hlk157978079"/>
            <w:r>
              <w:rPr>
                <w:rFonts w:hint="eastAsia" w:ascii="仿宋_GB2312" w:hAnsi="仿宋_GB2312" w:eastAsia="仿宋_GB2312" w:cs="仿宋_GB2312"/>
                <w:b/>
                <w:bCs/>
                <w:szCs w:val="21"/>
              </w:rPr>
              <w:t>序号</w:t>
            </w:r>
          </w:p>
        </w:tc>
        <w:tc>
          <w:tcPr>
            <w:tcW w:w="467"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492"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1150"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457"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428"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632"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1054"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1" w:hRule="atLeast"/>
          <w:jc w:val="center"/>
        </w:trPr>
        <w:tc>
          <w:tcPr>
            <w:tcW w:w="320" w:type="pct"/>
            <w:vMerge w:val="restart"/>
            <w:vAlign w:val="center"/>
          </w:tcPr>
          <w:p>
            <w:pPr>
              <w:widowControl/>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lang w:val="en"/>
              </w:rPr>
              <w:t>101.2</w:t>
            </w:r>
            <w:r>
              <w:rPr>
                <w:rFonts w:hint="eastAsia" w:ascii="仿宋_GB2312" w:hAnsi="仿宋_GB2312" w:eastAsia="仿宋_GB2312" w:cs="仿宋_GB2312"/>
                <w:bCs/>
                <w:color w:val="000000"/>
                <w:kern w:val="0"/>
                <w:szCs w:val="21"/>
              </w:rPr>
              <w:t>9</w:t>
            </w:r>
          </w:p>
        </w:tc>
        <w:tc>
          <w:tcPr>
            <w:tcW w:w="467"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生产、经营、储存、使用危险物品的车间、商店、仓库与员工宿舍在同一座建筑内，或者与员工宿舍的距离不符合安全要求的</w:t>
            </w:r>
          </w:p>
        </w:tc>
        <w:tc>
          <w:tcPr>
            <w:tcW w:w="492"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第四十二条第一款：“生产、经营、储存、使用危险物品的车间、商店、仓库不得与员工宿舍在同一座建筑物内，并应当与员工宿舍保持安全距离。”</w:t>
            </w:r>
          </w:p>
        </w:tc>
        <w:tc>
          <w:tcPr>
            <w:tcW w:w="1150"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第一百零五条第（一）项：“生产经营单位有下列行为之一的，责令限期改正，处五万元以下的罚款，对其直接负责的主管人员和其他直接责任人员处一万元以下的罚款；逾期未改正的，责令停产停业整顿；构成犯罪的，依照刑法有关规定追究刑事责任：（一）生产、经营、储存、使用危险物品的车间、商店、仓库与员工宿舍在同一座建筑内，或者与员工宿舍的距离不符合安全要求的。”</w:t>
            </w:r>
          </w:p>
        </w:tc>
        <w:tc>
          <w:tcPr>
            <w:tcW w:w="457" w:type="pct"/>
            <w:vMerge w:val="restart"/>
            <w:vAlign w:val="center"/>
          </w:tcPr>
          <w:p>
            <w:pPr>
              <w:jc w:val="left"/>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罚款；责令停产停业</w:t>
            </w:r>
          </w:p>
        </w:tc>
        <w:tc>
          <w:tcPr>
            <w:tcW w:w="428"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从轻</w:t>
            </w:r>
          </w:p>
        </w:tc>
        <w:tc>
          <w:tcPr>
            <w:tcW w:w="632" w:type="pc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szCs w:val="21"/>
              </w:rPr>
              <w:t>未造成危害后果或造成轻微危害后果的</w:t>
            </w:r>
          </w:p>
        </w:tc>
        <w:tc>
          <w:tcPr>
            <w:tcW w:w="1054"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w:t>
            </w:r>
            <w:r>
              <w:rPr>
                <w:rFonts w:hint="eastAsia" w:ascii="仿宋_GB2312" w:hAnsi="仿宋_GB2312" w:eastAsia="仿宋_GB2312" w:cs="仿宋_GB2312"/>
                <w:bCs/>
                <w:color w:val="000000"/>
                <w:szCs w:val="21"/>
              </w:rPr>
              <w:t>责令限期改正，</w:t>
            </w:r>
            <w:r>
              <w:rPr>
                <w:rFonts w:hint="eastAsia" w:ascii="仿宋_GB2312" w:hAnsi="仿宋_GB2312" w:eastAsia="仿宋_GB2312" w:cs="仿宋_GB2312"/>
                <w:bCs/>
                <w:color w:val="000000"/>
              </w:rPr>
              <w:t>处一万元的罚款；</w:t>
            </w:r>
          </w:p>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rPr>
              <w:t>直接负责的主管人员和其他直接责任人员：处二千元的罚款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1" w:hRule="atLeast"/>
          <w:jc w:val="center"/>
        </w:trPr>
        <w:tc>
          <w:tcPr>
            <w:tcW w:w="320" w:type="pct"/>
            <w:vMerge w:val="continue"/>
            <w:vAlign w:val="center"/>
          </w:tcPr>
          <w:p>
            <w:pPr>
              <w:rPr>
                <w:rFonts w:hint="eastAsia" w:ascii="仿宋_GB2312" w:hAnsi="仿宋_GB2312" w:eastAsia="仿宋_GB2312" w:cs="仿宋_GB2312"/>
                <w:bCs/>
                <w:color w:val="000000"/>
              </w:rPr>
            </w:pPr>
          </w:p>
        </w:tc>
        <w:tc>
          <w:tcPr>
            <w:tcW w:w="467" w:type="pct"/>
            <w:vMerge w:val="continue"/>
            <w:vAlign w:val="center"/>
          </w:tcPr>
          <w:p>
            <w:pPr>
              <w:rPr>
                <w:rFonts w:hint="eastAsia" w:ascii="仿宋_GB2312" w:hAnsi="仿宋_GB2312" w:eastAsia="仿宋_GB2312" w:cs="仿宋_GB2312"/>
                <w:bCs/>
                <w:color w:val="000000"/>
              </w:rPr>
            </w:pPr>
          </w:p>
        </w:tc>
        <w:tc>
          <w:tcPr>
            <w:tcW w:w="492" w:type="pct"/>
            <w:vMerge w:val="continue"/>
            <w:vAlign w:val="center"/>
          </w:tcPr>
          <w:p>
            <w:pPr>
              <w:rPr>
                <w:rFonts w:hint="eastAsia" w:ascii="仿宋_GB2312" w:hAnsi="仿宋_GB2312" w:eastAsia="仿宋_GB2312" w:cs="仿宋_GB2312"/>
                <w:bCs/>
                <w:color w:val="000000"/>
              </w:rPr>
            </w:pPr>
          </w:p>
        </w:tc>
        <w:tc>
          <w:tcPr>
            <w:tcW w:w="1150"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457" w:type="pct"/>
            <w:vMerge w:val="continue"/>
            <w:vAlign w:val="center"/>
          </w:tcPr>
          <w:p>
            <w:pPr>
              <w:jc w:val="center"/>
              <w:rPr>
                <w:rFonts w:hint="eastAsia" w:ascii="仿宋_GB2312" w:hAnsi="仿宋_GB2312" w:eastAsia="仿宋_GB2312" w:cs="仿宋_GB2312"/>
                <w:bCs/>
                <w:color w:val="000000"/>
              </w:rPr>
            </w:pPr>
          </w:p>
        </w:tc>
        <w:tc>
          <w:tcPr>
            <w:tcW w:w="428"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一般</w:t>
            </w:r>
          </w:p>
        </w:tc>
        <w:tc>
          <w:tcPr>
            <w:tcW w:w="632" w:type="pc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szCs w:val="21"/>
              </w:rPr>
              <w:t>造成一般危害后果的</w:t>
            </w:r>
          </w:p>
        </w:tc>
        <w:tc>
          <w:tcPr>
            <w:tcW w:w="1054"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w:t>
            </w:r>
            <w:r>
              <w:rPr>
                <w:rFonts w:hint="eastAsia" w:ascii="仿宋_GB2312" w:hAnsi="仿宋_GB2312" w:eastAsia="仿宋_GB2312" w:cs="仿宋_GB2312"/>
                <w:bCs/>
                <w:color w:val="000000"/>
                <w:szCs w:val="21"/>
              </w:rPr>
              <w:t>责令限期改正，</w:t>
            </w:r>
            <w:r>
              <w:rPr>
                <w:rFonts w:hint="eastAsia" w:ascii="仿宋_GB2312" w:hAnsi="仿宋_GB2312" w:eastAsia="仿宋_GB2312" w:cs="仿宋_GB2312"/>
                <w:bCs/>
                <w:color w:val="000000"/>
              </w:rPr>
              <w:t>处二万五千元的罚款；</w:t>
            </w:r>
          </w:p>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直接负责的主管人员和其他直接责任人员：处五千元的罚款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1" w:hRule="atLeast"/>
          <w:jc w:val="center"/>
        </w:trPr>
        <w:tc>
          <w:tcPr>
            <w:tcW w:w="320" w:type="pct"/>
            <w:vMerge w:val="continue"/>
            <w:vAlign w:val="center"/>
          </w:tcPr>
          <w:p>
            <w:pPr>
              <w:rPr>
                <w:rFonts w:hint="eastAsia" w:ascii="仿宋_GB2312" w:hAnsi="仿宋_GB2312" w:eastAsia="仿宋_GB2312" w:cs="仿宋_GB2312"/>
                <w:bCs/>
                <w:color w:val="000000"/>
              </w:rPr>
            </w:pPr>
          </w:p>
        </w:tc>
        <w:tc>
          <w:tcPr>
            <w:tcW w:w="467" w:type="pct"/>
            <w:vMerge w:val="continue"/>
            <w:vAlign w:val="center"/>
          </w:tcPr>
          <w:p>
            <w:pPr>
              <w:rPr>
                <w:rFonts w:hint="eastAsia" w:ascii="仿宋_GB2312" w:hAnsi="仿宋_GB2312" w:eastAsia="仿宋_GB2312" w:cs="仿宋_GB2312"/>
                <w:bCs/>
                <w:color w:val="000000"/>
              </w:rPr>
            </w:pPr>
          </w:p>
        </w:tc>
        <w:tc>
          <w:tcPr>
            <w:tcW w:w="492" w:type="pct"/>
            <w:vMerge w:val="continue"/>
            <w:vAlign w:val="center"/>
          </w:tcPr>
          <w:p>
            <w:pPr>
              <w:rPr>
                <w:rFonts w:hint="eastAsia" w:ascii="仿宋_GB2312" w:hAnsi="仿宋_GB2312" w:eastAsia="仿宋_GB2312" w:cs="仿宋_GB2312"/>
                <w:bCs/>
                <w:color w:val="000000"/>
              </w:rPr>
            </w:pPr>
          </w:p>
        </w:tc>
        <w:tc>
          <w:tcPr>
            <w:tcW w:w="1150"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457" w:type="pct"/>
            <w:vMerge w:val="continue"/>
            <w:vAlign w:val="center"/>
          </w:tcPr>
          <w:p>
            <w:pPr>
              <w:jc w:val="center"/>
              <w:rPr>
                <w:rFonts w:hint="eastAsia" w:ascii="仿宋_GB2312" w:hAnsi="仿宋_GB2312" w:eastAsia="仿宋_GB2312" w:cs="仿宋_GB2312"/>
                <w:bCs/>
                <w:color w:val="000000"/>
              </w:rPr>
            </w:pPr>
          </w:p>
        </w:tc>
        <w:tc>
          <w:tcPr>
            <w:tcW w:w="428"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从重</w:t>
            </w:r>
          </w:p>
        </w:tc>
        <w:tc>
          <w:tcPr>
            <w:tcW w:w="632"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szCs w:val="21"/>
              </w:rPr>
              <w:t>造成生产安全事故或造成其他严重后果的</w:t>
            </w:r>
          </w:p>
        </w:tc>
        <w:tc>
          <w:tcPr>
            <w:tcW w:w="1054"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w:t>
            </w:r>
            <w:r>
              <w:rPr>
                <w:rFonts w:hint="eastAsia" w:ascii="仿宋_GB2312" w:hAnsi="仿宋_GB2312" w:eastAsia="仿宋_GB2312" w:cs="仿宋_GB2312"/>
                <w:bCs/>
                <w:color w:val="000000"/>
                <w:szCs w:val="21"/>
              </w:rPr>
              <w:t>责令限期改正，</w:t>
            </w:r>
            <w:r>
              <w:rPr>
                <w:rFonts w:hint="eastAsia" w:ascii="仿宋_GB2312" w:hAnsi="仿宋_GB2312" w:eastAsia="仿宋_GB2312" w:cs="仿宋_GB2312"/>
                <w:bCs/>
                <w:color w:val="000000"/>
              </w:rPr>
              <w:t>处超过二万五千元、五万元以下的罚款；</w:t>
            </w:r>
          </w:p>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rPr>
              <w:t>直接负责的主管人员和其他直接责任人员：处超过五千元、一万元以下的罚款</w:t>
            </w:r>
          </w:p>
        </w:tc>
      </w:tr>
      <w:bookmarkEnd w:id="55"/>
    </w:tbl>
    <w:p/>
    <w:p/>
    <w:p>
      <w:pPr>
        <w:rPr>
          <w:rFonts w:hint="eastAsia" w:cs="宋体" w:asciiTheme="minorEastAsia" w:hAnsiTheme="minorEastAsia"/>
          <w:bCs/>
          <w:color w:val="000000"/>
          <w:sz w:val="32"/>
          <w:szCs w:val="32"/>
        </w:rPr>
      </w:pPr>
    </w:p>
    <w:p>
      <w:pPr>
        <w:rPr>
          <w:rFonts w:hint="eastAsia" w:cs="宋体" w:asciiTheme="minorEastAsia" w:hAnsiTheme="minorEastAsia"/>
          <w:bCs/>
          <w:color w:val="000000"/>
          <w:sz w:val="32"/>
          <w:szCs w:val="32"/>
        </w:rPr>
      </w:pPr>
      <w:r>
        <w:rPr>
          <w:rFonts w:hint="eastAsia" w:cs="宋体" w:asciiTheme="minorEastAsia" w:hAnsiTheme="minorEastAsia"/>
          <w:bCs/>
          <w:color w:val="000000"/>
          <w:sz w:val="32"/>
          <w:szCs w:val="32"/>
        </w:rPr>
        <w:t>《中华人民共和国安全生产法》</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1"/>
        <w:gridCol w:w="1368"/>
        <w:gridCol w:w="1567"/>
        <w:gridCol w:w="3061"/>
        <w:gridCol w:w="1290"/>
        <w:gridCol w:w="1430"/>
        <w:gridCol w:w="1855"/>
        <w:gridCol w:w="30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20" w:type="pct"/>
            <w:vAlign w:val="center"/>
          </w:tcPr>
          <w:p>
            <w:pPr>
              <w:jc w:val="center"/>
              <w:rPr>
                <w:rFonts w:hint="eastAsia" w:ascii="仿宋_GB2312" w:hAnsi="仿宋_GB2312" w:eastAsia="仿宋_GB2312" w:cs="仿宋_GB2312"/>
                <w:bCs/>
                <w:color w:val="000000"/>
                <w:kern w:val="0"/>
                <w:szCs w:val="21"/>
              </w:rPr>
            </w:pPr>
            <w:bookmarkStart w:id="56" w:name="_Hlk157978119"/>
            <w:r>
              <w:rPr>
                <w:rFonts w:hint="eastAsia" w:ascii="仿宋_GB2312" w:hAnsi="仿宋_GB2312" w:eastAsia="仿宋_GB2312" w:cs="仿宋_GB2312"/>
                <w:b/>
                <w:bCs/>
                <w:szCs w:val="21"/>
              </w:rPr>
              <w:t>序号</w:t>
            </w:r>
          </w:p>
        </w:tc>
        <w:tc>
          <w:tcPr>
            <w:tcW w:w="470"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538"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1051"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443"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491"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637"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1051"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1" w:hRule="atLeast"/>
          <w:jc w:val="center"/>
        </w:trPr>
        <w:tc>
          <w:tcPr>
            <w:tcW w:w="320" w:type="pct"/>
            <w:vMerge w:val="restart"/>
            <w:vAlign w:val="center"/>
          </w:tcPr>
          <w:p>
            <w:pPr>
              <w:widowControl/>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lang w:val="en"/>
              </w:rPr>
              <w:t>101.</w:t>
            </w:r>
            <w:r>
              <w:rPr>
                <w:rFonts w:hint="eastAsia" w:ascii="仿宋_GB2312" w:hAnsi="仿宋_GB2312" w:eastAsia="仿宋_GB2312" w:cs="仿宋_GB2312"/>
                <w:bCs/>
                <w:color w:val="000000"/>
                <w:kern w:val="0"/>
                <w:szCs w:val="21"/>
              </w:rPr>
              <w:t>30</w:t>
            </w:r>
          </w:p>
        </w:tc>
        <w:tc>
          <w:tcPr>
            <w:tcW w:w="470"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生产经营场所和员工宿舍未设有符合紧急疏散需要、标志明显、保持畅通的出口、疏散通道，或者占用、锁闭、封堵生产经营场所或者员工宿舍出口、疏散通道的</w:t>
            </w:r>
          </w:p>
        </w:tc>
        <w:tc>
          <w:tcPr>
            <w:tcW w:w="538"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第四十二条第二款：“生产经营场所和员工宿舍应当设有符合紧急疏散要求、标志明显、保持畅通的出口、疏散通道。禁止占用、锁闭、封堵生产经营场所或者员工宿舍的出口、疏散通道。”</w:t>
            </w:r>
          </w:p>
        </w:tc>
        <w:tc>
          <w:tcPr>
            <w:tcW w:w="1051"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第一百零五条第（二）项：“生产经营单位有下列行为之一的，责令限期改正，处五万元以下的罚款，对其直接负责的主管人员和其他直接责任人员处一万元以下的罚款；逾期未改正的，责令停产停业整顿；构成犯罪的，依照刑法有关规定追究刑事责任：（二）生产经营场所和员工宿舍未设有符合紧急疏散需要、标志明显、保持畅通的出口、疏散通道，或者占用、锁闭、封堵生产经营场所或者员工宿舍出口、疏散通道的。”</w:t>
            </w:r>
          </w:p>
        </w:tc>
        <w:tc>
          <w:tcPr>
            <w:tcW w:w="443" w:type="pct"/>
            <w:vMerge w:val="restart"/>
            <w:vAlign w:val="center"/>
          </w:tcPr>
          <w:p>
            <w:pPr>
              <w:jc w:val="left"/>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罚款；责令停产停业</w:t>
            </w:r>
          </w:p>
        </w:tc>
        <w:tc>
          <w:tcPr>
            <w:tcW w:w="491"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从轻</w:t>
            </w:r>
          </w:p>
        </w:tc>
        <w:tc>
          <w:tcPr>
            <w:tcW w:w="637" w:type="pc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szCs w:val="21"/>
              </w:rPr>
              <w:t>未造成危害后果或造成轻微危害后果的</w:t>
            </w:r>
          </w:p>
        </w:tc>
        <w:tc>
          <w:tcPr>
            <w:tcW w:w="1051"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w:t>
            </w:r>
            <w:r>
              <w:rPr>
                <w:rFonts w:hint="eastAsia" w:ascii="仿宋_GB2312" w:hAnsi="仿宋_GB2312" w:eastAsia="仿宋_GB2312" w:cs="仿宋_GB2312"/>
                <w:bCs/>
                <w:color w:val="000000"/>
                <w:szCs w:val="21"/>
              </w:rPr>
              <w:t>责令限期改正，</w:t>
            </w:r>
            <w:r>
              <w:rPr>
                <w:rFonts w:hint="eastAsia" w:ascii="仿宋_GB2312" w:hAnsi="仿宋_GB2312" w:eastAsia="仿宋_GB2312" w:cs="仿宋_GB2312"/>
                <w:bCs/>
                <w:color w:val="000000"/>
              </w:rPr>
              <w:t>处一万元的罚款；</w:t>
            </w:r>
          </w:p>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rPr>
              <w:t>直接负责的主管人员和其他直接责任人员：处二千元的罚款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1" w:hRule="atLeast"/>
          <w:jc w:val="center"/>
        </w:trPr>
        <w:tc>
          <w:tcPr>
            <w:tcW w:w="320" w:type="pct"/>
            <w:vMerge w:val="continue"/>
            <w:vAlign w:val="center"/>
          </w:tcPr>
          <w:p>
            <w:pPr>
              <w:rPr>
                <w:rFonts w:hint="eastAsia" w:ascii="仿宋_GB2312" w:hAnsi="仿宋_GB2312" w:eastAsia="仿宋_GB2312" w:cs="仿宋_GB2312"/>
                <w:bCs/>
                <w:color w:val="000000"/>
              </w:rPr>
            </w:pPr>
          </w:p>
        </w:tc>
        <w:tc>
          <w:tcPr>
            <w:tcW w:w="470" w:type="pct"/>
            <w:vMerge w:val="continue"/>
            <w:vAlign w:val="center"/>
          </w:tcPr>
          <w:p>
            <w:pPr>
              <w:rPr>
                <w:rFonts w:hint="eastAsia" w:ascii="仿宋_GB2312" w:hAnsi="仿宋_GB2312" w:eastAsia="仿宋_GB2312" w:cs="仿宋_GB2312"/>
                <w:bCs/>
                <w:color w:val="000000"/>
              </w:rPr>
            </w:pPr>
          </w:p>
        </w:tc>
        <w:tc>
          <w:tcPr>
            <w:tcW w:w="538" w:type="pct"/>
            <w:vMerge w:val="continue"/>
            <w:vAlign w:val="center"/>
          </w:tcPr>
          <w:p>
            <w:pPr>
              <w:rPr>
                <w:rFonts w:hint="eastAsia" w:ascii="仿宋_GB2312" w:hAnsi="仿宋_GB2312" w:eastAsia="仿宋_GB2312" w:cs="仿宋_GB2312"/>
                <w:bCs/>
                <w:color w:val="000000"/>
              </w:rPr>
            </w:pPr>
          </w:p>
        </w:tc>
        <w:tc>
          <w:tcPr>
            <w:tcW w:w="1051"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443" w:type="pct"/>
            <w:vMerge w:val="continue"/>
            <w:vAlign w:val="center"/>
          </w:tcPr>
          <w:p>
            <w:pPr>
              <w:jc w:val="center"/>
              <w:rPr>
                <w:rFonts w:hint="eastAsia" w:ascii="仿宋_GB2312" w:hAnsi="仿宋_GB2312" w:eastAsia="仿宋_GB2312" w:cs="仿宋_GB2312"/>
                <w:bCs/>
                <w:color w:val="000000"/>
              </w:rPr>
            </w:pPr>
          </w:p>
        </w:tc>
        <w:tc>
          <w:tcPr>
            <w:tcW w:w="491"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一般</w:t>
            </w:r>
          </w:p>
        </w:tc>
        <w:tc>
          <w:tcPr>
            <w:tcW w:w="637" w:type="pc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szCs w:val="21"/>
              </w:rPr>
              <w:t>造成一般危害后果的</w:t>
            </w:r>
          </w:p>
        </w:tc>
        <w:tc>
          <w:tcPr>
            <w:tcW w:w="1051"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w:t>
            </w:r>
            <w:r>
              <w:rPr>
                <w:rFonts w:hint="eastAsia" w:ascii="仿宋_GB2312" w:hAnsi="仿宋_GB2312" w:eastAsia="仿宋_GB2312" w:cs="仿宋_GB2312"/>
                <w:bCs/>
                <w:color w:val="000000"/>
                <w:szCs w:val="21"/>
              </w:rPr>
              <w:t>责令限期改正，</w:t>
            </w:r>
            <w:r>
              <w:rPr>
                <w:rFonts w:hint="eastAsia" w:ascii="仿宋_GB2312" w:hAnsi="仿宋_GB2312" w:eastAsia="仿宋_GB2312" w:cs="仿宋_GB2312"/>
                <w:bCs/>
                <w:color w:val="000000"/>
              </w:rPr>
              <w:t>处二万五千元的罚款；</w:t>
            </w:r>
          </w:p>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直接负责的主管人员和其他直接责任人员：处五千元的罚款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1" w:hRule="atLeast"/>
          <w:jc w:val="center"/>
        </w:trPr>
        <w:tc>
          <w:tcPr>
            <w:tcW w:w="320" w:type="pct"/>
            <w:vMerge w:val="continue"/>
            <w:vAlign w:val="center"/>
          </w:tcPr>
          <w:p>
            <w:pPr>
              <w:rPr>
                <w:rFonts w:hint="eastAsia" w:ascii="仿宋_GB2312" w:hAnsi="仿宋_GB2312" w:eastAsia="仿宋_GB2312" w:cs="仿宋_GB2312"/>
                <w:bCs/>
                <w:color w:val="000000"/>
              </w:rPr>
            </w:pPr>
          </w:p>
        </w:tc>
        <w:tc>
          <w:tcPr>
            <w:tcW w:w="470" w:type="pct"/>
            <w:vMerge w:val="continue"/>
            <w:vAlign w:val="center"/>
          </w:tcPr>
          <w:p>
            <w:pPr>
              <w:rPr>
                <w:rFonts w:hint="eastAsia" w:ascii="仿宋_GB2312" w:hAnsi="仿宋_GB2312" w:eastAsia="仿宋_GB2312" w:cs="仿宋_GB2312"/>
                <w:bCs/>
                <w:color w:val="000000"/>
              </w:rPr>
            </w:pPr>
          </w:p>
        </w:tc>
        <w:tc>
          <w:tcPr>
            <w:tcW w:w="538" w:type="pct"/>
            <w:vMerge w:val="continue"/>
            <w:vAlign w:val="center"/>
          </w:tcPr>
          <w:p>
            <w:pPr>
              <w:rPr>
                <w:rFonts w:hint="eastAsia" w:ascii="仿宋_GB2312" w:hAnsi="仿宋_GB2312" w:eastAsia="仿宋_GB2312" w:cs="仿宋_GB2312"/>
                <w:bCs/>
                <w:color w:val="000000"/>
              </w:rPr>
            </w:pPr>
          </w:p>
        </w:tc>
        <w:tc>
          <w:tcPr>
            <w:tcW w:w="1051"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443" w:type="pct"/>
            <w:vMerge w:val="continue"/>
            <w:vAlign w:val="center"/>
          </w:tcPr>
          <w:p>
            <w:pPr>
              <w:jc w:val="center"/>
              <w:rPr>
                <w:rFonts w:hint="eastAsia" w:ascii="仿宋_GB2312" w:hAnsi="仿宋_GB2312" w:eastAsia="仿宋_GB2312" w:cs="仿宋_GB2312"/>
                <w:bCs/>
                <w:color w:val="000000"/>
              </w:rPr>
            </w:pPr>
          </w:p>
        </w:tc>
        <w:tc>
          <w:tcPr>
            <w:tcW w:w="491"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从重</w:t>
            </w:r>
          </w:p>
        </w:tc>
        <w:tc>
          <w:tcPr>
            <w:tcW w:w="637"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szCs w:val="21"/>
              </w:rPr>
              <w:t>造成生产安全事故或造成其他严重后果的</w:t>
            </w:r>
          </w:p>
        </w:tc>
        <w:tc>
          <w:tcPr>
            <w:tcW w:w="1051"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w:t>
            </w:r>
            <w:r>
              <w:rPr>
                <w:rFonts w:hint="eastAsia" w:ascii="仿宋_GB2312" w:hAnsi="仿宋_GB2312" w:eastAsia="仿宋_GB2312" w:cs="仿宋_GB2312"/>
                <w:bCs/>
                <w:color w:val="000000"/>
                <w:szCs w:val="21"/>
              </w:rPr>
              <w:t>责令限期改正，</w:t>
            </w:r>
            <w:r>
              <w:rPr>
                <w:rFonts w:hint="eastAsia" w:ascii="仿宋_GB2312" w:hAnsi="仿宋_GB2312" w:eastAsia="仿宋_GB2312" w:cs="仿宋_GB2312"/>
                <w:bCs/>
                <w:color w:val="000000"/>
              </w:rPr>
              <w:t>处超过二万五千元、五万元以下的罚款；</w:t>
            </w:r>
          </w:p>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rPr>
              <w:t>直接负责的主管人员和其他直接责任人员：处超过五千元、一万元以下的罚款</w:t>
            </w:r>
          </w:p>
        </w:tc>
      </w:tr>
      <w:bookmarkEnd w:id="56"/>
    </w:tbl>
    <w:p/>
    <w:p>
      <w:pPr>
        <w:pStyle w:val="2"/>
      </w:pPr>
    </w:p>
    <w:p>
      <w:pPr>
        <w:rPr>
          <w:rFonts w:hint="eastAsia" w:cs="宋体" w:asciiTheme="minorEastAsia" w:hAnsiTheme="minorEastAsia"/>
          <w:bCs/>
          <w:color w:val="000000"/>
          <w:sz w:val="32"/>
          <w:szCs w:val="32"/>
        </w:rPr>
      </w:pPr>
      <w:r>
        <w:rPr>
          <w:rFonts w:hint="eastAsia" w:cs="宋体" w:asciiTheme="minorEastAsia" w:hAnsiTheme="minorEastAsia"/>
          <w:bCs/>
          <w:color w:val="000000"/>
          <w:sz w:val="32"/>
          <w:szCs w:val="32"/>
        </w:rPr>
        <w:t>《中华人民共和国安全生产法》</w:t>
      </w:r>
    </w:p>
    <w:tbl>
      <w:tblPr>
        <w:tblStyle w:val="11"/>
        <w:tblpPr w:leftFromText="180" w:rightFromText="180" w:vertAnchor="text" w:tblpXSpec="center" w:tblpY="1"/>
        <w:tblOverlap w:val="never"/>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5"/>
        <w:gridCol w:w="1247"/>
        <w:gridCol w:w="1460"/>
        <w:gridCol w:w="3355"/>
        <w:gridCol w:w="1162"/>
        <w:gridCol w:w="1162"/>
        <w:gridCol w:w="2157"/>
        <w:gridCol w:w="30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24" w:type="pct"/>
            <w:vAlign w:val="center"/>
          </w:tcPr>
          <w:p>
            <w:pPr>
              <w:jc w:val="center"/>
              <w:rPr>
                <w:rFonts w:hint="eastAsia" w:ascii="仿宋_GB2312" w:hAnsi="仿宋_GB2312" w:eastAsia="仿宋_GB2312" w:cs="仿宋_GB2312"/>
                <w:bCs/>
                <w:color w:val="000000"/>
                <w:kern w:val="0"/>
                <w:szCs w:val="21"/>
              </w:rPr>
            </w:pPr>
            <w:bookmarkStart w:id="57" w:name="_Hlk157978257"/>
            <w:r>
              <w:rPr>
                <w:rFonts w:hint="eastAsia" w:ascii="仿宋_GB2312" w:hAnsi="仿宋_GB2312" w:eastAsia="仿宋_GB2312" w:cs="仿宋_GB2312"/>
                <w:b/>
                <w:bCs/>
                <w:szCs w:val="21"/>
              </w:rPr>
              <w:t>序号</w:t>
            </w:r>
          </w:p>
        </w:tc>
        <w:tc>
          <w:tcPr>
            <w:tcW w:w="428"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501"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1152"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39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39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741"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1055"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1" w:hRule="atLeast"/>
          <w:jc w:val="center"/>
        </w:trPr>
        <w:tc>
          <w:tcPr>
            <w:tcW w:w="324" w:type="pct"/>
            <w:vMerge w:val="restart"/>
            <w:vAlign w:val="center"/>
          </w:tcPr>
          <w:p>
            <w:pPr>
              <w:widowControl/>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Cs/>
                <w:color w:val="000000"/>
                <w:kern w:val="0"/>
                <w:szCs w:val="21"/>
                <w:lang w:val="en"/>
              </w:rPr>
              <w:t>101.3</w:t>
            </w:r>
            <w:r>
              <w:rPr>
                <w:rFonts w:hint="eastAsia" w:ascii="仿宋_GB2312" w:hAnsi="仿宋_GB2312" w:eastAsia="仿宋_GB2312" w:cs="仿宋_GB2312"/>
                <w:bCs/>
                <w:color w:val="000000"/>
                <w:kern w:val="0"/>
                <w:szCs w:val="21"/>
              </w:rPr>
              <w:t>1</w:t>
            </w:r>
          </w:p>
        </w:tc>
        <w:tc>
          <w:tcPr>
            <w:tcW w:w="428"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生产经营单位与从业人员订立协议，免除或者减轻其对从业人员因生产安全事故伤亡依法应承担的责任的</w:t>
            </w:r>
          </w:p>
        </w:tc>
        <w:tc>
          <w:tcPr>
            <w:tcW w:w="501"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第五十二条第二款：“生产经营单位不得以任何形式与从业人员订立协议，免除或者减轻其对从业人员因生产安全事故伤亡依法应承担的责任。”</w:t>
            </w:r>
          </w:p>
        </w:tc>
        <w:tc>
          <w:tcPr>
            <w:tcW w:w="1152"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第一百零六条：“生产经营单位与从业人员订立协议，免除或者减轻其对从业人员因生产安全事故伤亡依法应承担的责任的，该协议无效；对生产经营单位的主要负责人、个人经营的投资人处二万元以上十万元以下的罚款。”</w:t>
            </w: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罚款</w:t>
            </w:r>
          </w:p>
        </w:tc>
        <w:tc>
          <w:tcPr>
            <w:tcW w:w="399"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从轻</w:t>
            </w:r>
          </w:p>
        </w:tc>
        <w:tc>
          <w:tcPr>
            <w:tcW w:w="741" w:type="pc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rPr>
              <w:t>生产经营单位与占总人数少于30%的从业人员订立协议，免除或者减轻其对从业人员因生产安全事故伤亡依法应承担的责任的</w:t>
            </w:r>
          </w:p>
        </w:tc>
        <w:tc>
          <w:tcPr>
            <w:tcW w:w="1055"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对生产经营单位的主要负责人、个人经营的投资人处二万元以上、低于六万元的罚款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1" w:hRule="atLeast"/>
          <w:jc w:val="center"/>
        </w:trPr>
        <w:tc>
          <w:tcPr>
            <w:tcW w:w="324" w:type="pct"/>
            <w:vMerge w:val="continue"/>
            <w:vAlign w:val="center"/>
          </w:tcPr>
          <w:p>
            <w:pPr>
              <w:rPr>
                <w:rFonts w:hint="eastAsia" w:ascii="仿宋_GB2312" w:hAnsi="仿宋_GB2312" w:eastAsia="仿宋_GB2312" w:cs="仿宋_GB2312"/>
                <w:bCs/>
                <w:color w:val="000000"/>
              </w:rPr>
            </w:pPr>
          </w:p>
        </w:tc>
        <w:tc>
          <w:tcPr>
            <w:tcW w:w="428" w:type="pct"/>
            <w:vMerge w:val="continue"/>
            <w:vAlign w:val="center"/>
          </w:tcPr>
          <w:p>
            <w:pPr>
              <w:rPr>
                <w:rFonts w:hint="eastAsia" w:ascii="仿宋_GB2312" w:hAnsi="仿宋_GB2312" w:eastAsia="仿宋_GB2312" w:cs="仿宋_GB2312"/>
                <w:bCs/>
                <w:color w:val="000000"/>
              </w:rPr>
            </w:pPr>
          </w:p>
        </w:tc>
        <w:tc>
          <w:tcPr>
            <w:tcW w:w="501" w:type="pct"/>
            <w:vMerge w:val="continue"/>
            <w:vAlign w:val="center"/>
          </w:tcPr>
          <w:p>
            <w:pPr>
              <w:rPr>
                <w:rFonts w:hint="eastAsia" w:ascii="仿宋_GB2312" w:hAnsi="仿宋_GB2312" w:eastAsia="仿宋_GB2312" w:cs="仿宋_GB2312"/>
                <w:bCs/>
                <w:color w:val="000000"/>
              </w:rPr>
            </w:pPr>
          </w:p>
        </w:tc>
        <w:tc>
          <w:tcPr>
            <w:tcW w:w="1152"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一般</w:t>
            </w:r>
          </w:p>
        </w:tc>
        <w:tc>
          <w:tcPr>
            <w:tcW w:w="741" w:type="pc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rPr>
              <w:t>生产经营单位与占总人数30%以上、少于75%的从业人员订立协议，免除或者减轻其对从业人员因生产安全事故伤亡依法应承担的责任的</w:t>
            </w:r>
          </w:p>
        </w:tc>
        <w:tc>
          <w:tcPr>
            <w:tcW w:w="1055"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szCs w:val="21"/>
              </w:rPr>
              <w:t>对生产经营单位的主要负责人、个人经营的投资人处六万元的罚款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1" w:hRule="atLeast"/>
          <w:jc w:val="center"/>
        </w:trPr>
        <w:tc>
          <w:tcPr>
            <w:tcW w:w="324" w:type="pct"/>
            <w:vMerge w:val="continue"/>
            <w:vAlign w:val="center"/>
          </w:tcPr>
          <w:p>
            <w:pPr>
              <w:rPr>
                <w:rFonts w:hint="eastAsia" w:ascii="仿宋_GB2312" w:hAnsi="仿宋_GB2312" w:eastAsia="仿宋_GB2312" w:cs="仿宋_GB2312"/>
                <w:bCs/>
                <w:color w:val="000000"/>
              </w:rPr>
            </w:pPr>
          </w:p>
        </w:tc>
        <w:tc>
          <w:tcPr>
            <w:tcW w:w="428" w:type="pct"/>
            <w:vMerge w:val="continue"/>
            <w:vAlign w:val="center"/>
          </w:tcPr>
          <w:p>
            <w:pPr>
              <w:rPr>
                <w:rFonts w:hint="eastAsia" w:ascii="仿宋_GB2312" w:hAnsi="仿宋_GB2312" w:eastAsia="仿宋_GB2312" w:cs="仿宋_GB2312"/>
                <w:bCs/>
                <w:color w:val="000000"/>
              </w:rPr>
            </w:pPr>
          </w:p>
        </w:tc>
        <w:tc>
          <w:tcPr>
            <w:tcW w:w="501" w:type="pct"/>
            <w:vMerge w:val="continue"/>
            <w:vAlign w:val="center"/>
          </w:tcPr>
          <w:p>
            <w:pPr>
              <w:rPr>
                <w:rFonts w:hint="eastAsia" w:ascii="仿宋_GB2312" w:hAnsi="仿宋_GB2312" w:eastAsia="仿宋_GB2312" w:cs="仿宋_GB2312"/>
                <w:bCs/>
                <w:color w:val="000000"/>
              </w:rPr>
            </w:pPr>
          </w:p>
        </w:tc>
        <w:tc>
          <w:tcPr>
            <w:tcW w:w="1152"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从重</w:t>
            </w:r>
          </w:p>
        </w:tc>
        <w:tc>
          <w:tcPr>
            <w:tcW w:w="741"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生产经营单位与占总人数75%以上从业人员订立协议，免除或者减轻其对从业人员因生产安全事故伤亡依法应承担的责任的</w:t>
            </w:r>
          </w:p>
        </w:tc>
        <w:tc>
          <w:tcPr>
            <w:tcW w:w="1055"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szCs w:val="21"/>
              </w:rPr>
              <w:t>对生产经营单位的主要负责人、个人经营的投资人处超过六万元、十万元以下的罚款</w:t>
            </w:r>
          </w:p>
        </w:tc>
      </w:tr>
      <w:bookmarkEnd w:id="57"/>
    </w:tbl>
    <w:p>
      <w:pPr>
        <w:rPr>
          <w:rFonts w:hint="eastAsia" w:cs="黑体" w:asciiTheme="minorEastAsia" w:hAnsiTheme="minorEastAsia"/>
          <w:bCs/>
          <w:color w:val="000000"/>
          <w:szCs w:val="21"/>
        </w:rPr>
      </w:pPr>
    </w:p>
    <w:p>
      <w:pPr>
        <w:rPr>
          <w:rFonts w:hint="eastAsia" w:cs="宋体" w:asciiTheme="minorEastAsia" w:hAnsiTheme="minorEastAsia"/>
          <w:bCs/>
          <w:color w:val="000000"/>
          <w:sz w:val="32"/>
          <w:szCs w:val="32"/>
        </w:rPr>
      </w:pPr>
      <w:r>
        <w:rPr>
          <w:rFonts w:hint="eastAsia" w:cs="宋体" w:asciiTheme="minorEastAsia" w:hAnsiTheme="minorEastAsia"/>
          <w:bCs/>
          <w:color w:val="000000"/>
          <w:sz w:val="32"/>
          <w:szCs w:val="32"/>
        </w:rPr>
        <w:t>《中华人民共和国安全生产法》</w:t>
      </w:r>
    </w:p>
    <w:tbl>
      <w:tblPr>
        <w:tblStyle w:val="11"/>
        <w:tblpPr w:leftFromText="180" w:rightFromText="180" w:vertAnchor="text" w:tblpXSpec="center" w:tblpY="1"/>
        <w:tblOverlap w:val="never"/>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7"/>
        <w:gridCol w:w="1206"/>
        <w:gridCol w:w="1919"/>
        <w:gridCol w:w="2895"/>
        <w:gridCol w:w="1162"/>
        <w:gridCol w:w="1162"/>
        <w:gridCol w:w="2157"/>
        <w:gridCol w:w="30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39" w:type="pct"/>
            <w:vAlign w:val="center"/>
          </w:tcPr>
          <w:p>
            <w:pPr>
              <w:jc w:val="center"/>
              <w:rPr>
                <w:rFonts w:hint="eastAsia" w:ascii="仿宋_GB2312" w:hAnsi="仿宋_GB2312" w:eastAsia="仿宋_GB2312" w:cs="仿宋_GB2312"/>
                <w:bCs/>
                <w:color w:val="000000"/>
                <w:kern w:val="0"/>
                <w:szCs w:val="21"/>
              </w:rPr>
            </w:pPr>
            <w:bookmarkStart w:id="58" w:name="_Hlk157978298"/>
            <w:r>
              <w:rPr>
                <w:rFonts w:hint="eastAsia" w:ascii="仿宋_GB2312" w:hAnsi="仿宋_GB2312" w:eastAsia="仿宋_GB2312" w:cs="仿宋_GB2312"/>
                <w:b/>
                <w:bCs/>
                <w:szCs w:val="21"/>
              </w:rPr>
              <w:t>序号</w:t>
            </w:r>
          </w:p>
        </w:tc>
        <w:tc>
          <w:tcPr>
            <w:tcW w:w="414"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659"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994"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39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39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741"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1055"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1" w:hRule="atLeast"/>
          <w:jc w:val="center"/>
        </w:trPr>
        <w:tc>
          <w:tcPr>
            <w:tcW w:w="339" w:type="pct"/>
            <w:vMerge w:val="restart"/>
            <w:vAlign w:val="center"/>
          </w:tcPr>
          <w:p>
            <w:pPr>
              <w:widowControl/>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lang w:val="en"/>
              </w:rPr>
              <w:t>101.3</w:t>
            </w:r>
            <w:r>
              <w:rPr>
                <w:rFonts w:hint="eastAsia" w:ascii="仿宋_GB2312" w:hAnsi="仿宋_GB2312" w:eastAsia="仿宋_GB2312" w:cs="仿宋_GB2312"/>
                <w:bCs/>
                <w:color w:val="000000"/>
                <w:kern w:val="0"/>
                <w:szCs w:val="21"/>
              </w:rPr>
              <w:t>2</w:t>
            </w:r>
          </w:p>
        </w:tc>
        <w:tc>
          <w:tcPr>
            <w:tcW w:w="414"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生产经营单位拒绝、阻碍负有安全生产监督管理职责的部门依法实施监督检查的且拒不改正的</w:t>
            </w:r>
          </w:p>
        </w:tc>
        <w:tc>
          <w:tcPr>
            <w:tcW w:w="659"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第六十六条：“生产经营单位对负有安全生产监督管理职责的部门的监督检查人员（以下统称安全生产监督检查人员）依法履行监督检查职责，应当予以配合，不得拒绝、阻挠。”</w:t>
            </w:r>
          </w:p>
        </w:tc>
        <w:tc>
          <w:tcPr>
            <w:tcW w:w="994"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第一百零八条：“违反本法规定，生产经营单位拒绝、阻碍负有安全生产监督管理职责的部门依法实施监督检查的，责令改正；拒不改正的，处二万元以上二十万元以下的罚款；对其直接负责的主管人员和其他直接责任人员处一万元以上二万元以下的罚款；构成犯罪的，依照刑法有关规定追究刑事责任。”</w:t>
            </w: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罚款</w:t>
            </w:r>
          </w:p>
        </w:tc>
        <w:tc>
          <w:tcPr>
            <w:tcW w:w="399"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从轻</w:t>
            </w:r>
          </w:p>
        </w:tc>
        <w:tc>
          <w:tcPr>
            <w:tcW w:w="741" w:type="pc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rPr>
              <w:t>未使用暴力、威胁方法，拒绝安全生产监督检查人员依法监督检查的</w:t>
            </w:r>
          </w:p>
        </w:tc>
        <w:tc>
          <w:tcPr>
            <w:tcW w:w="1055"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责令改正；拒不改正的，对生产经营单位处二万元以上、低于十一万元的罚款；</w:t>
            </w:r>
          </w:p>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对其直接负责的主管人员和其他直接责任人员处一万元以上、低于一万五千元的罚款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1" w:hRule="atLeast"/>
          <w:jc w:val="center"/>
        </w:trPr>
        <w:tc>
          <w:tcPr>
            <w:tcW w:w="339" w:type="pct"/>
            <w:vMerge w:val="continue"/>
            <w:vAlign w:val="center"/>
          </w:tcPr>
          <w:p>
            <w:pPr>
              <w:rPr>
                <w:rFonts w:hint="eastAsia" w:ascii="仿宋_GB2312" w:hAnsi="仿宋_GB2312" w:eastAsia="仿宋_GB2312" w:cs="仿宋_GB2312"/>
                <w:bCs/>
                <w:color w:val="000000"/>
              </w:rPr>
            </w:pPr>
          </w:p>
        </w:tc>
        <w:tc>
          <w:tcPr>
            <w:tcW w:w="414" w:type="pct"/>
            <w:vMerge w:val="continue"/>
            <w:vAlign w:val="center"/>
          </w:tcPr>
          <w:p>
            <w:pPr>
              <w:rPr>
                <w:rFonts w:hint="eastAsia" w:ascii="仿宋_GB2312" w:hAnsi="仿宋_GB2312" w:eastAsia="仿宋_GB2312" w:cs="仿宋_GB2312"/>
                <w:bCs/>
                <w:color w:val="000000"/>
              </w:rPr>
            </w:pPr>
          </w:p>
        </w:tc>
        <w:tc>
          <w:tcPr>
            <w:tcW w:w="659" w:type="pct"/>
            <w:vMerge w:val="continue"/>
            <w:vAlign w:val="center"/>
          </w:tcPr>
          <w:p>
            <w:pPr>
              <w:rPr>
                <w:rFonts w:hint="eastAsia" w:ascii="仿宋_GB2312" w:hAnsi="仿宋_GB2312" w:eastAsia="仿宋_GB2312" w:cs="仿宋_GB2312"/>
                <w:bCs/>
                <w:color w:val="000000"/>
              </w:rPr>
            </w:pPr>
          </w:p>
        </w:tc>
        <w:tc>
          <w:tcPr>
            <w:tcW w:w="994"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一般</w:t>
            </w:r>
          </w:p>
        </w:tc>
        <w:tc>
          <w:tcPr>
            <w:tcW w:w="741" w:type="pc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rPr>
              <w:t>未使用暴力、威胁方法，阻碍安全生产监督检查人员依法监督检查的</w:t>
            </w:r>
          </w:p>
        </w:tc>
        <w:tc>
          <w:tcPr>
            <w:tcW w:w="1055"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szCs w:val="21"/>
              </w:rPr>
              <w:t>责令改正；拒不改正的，对生产经营单位处十一万元的罚款；对其直接负责的主管人员和其他直接责任人员处一万五千元的罚款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1" w:hRule="atLeast"/>
          <w:jc w:val="center"/>
        </w:trPr>
        <w:tc>
          <w:tcPr>
            <w:tcW w:w="339" w:type="pct"/>
            <w:vMerge w:val="continue"/>
            <w:vAlign w:val="center"/>
          </w:tcPr>
          <w:p>
            <w:pPr>
              <w:rPr>
                <w:rFonts w:hint="eastAsia" w:ascii="仿宋_GB2312" w:hAnsi="仿宋_GB2312" w:eastAsia="仿宋_GB2312" w:cs="仿宋_GB2312"/>
                <w:bCs/>
                <w:color w:val="000000"/>
              </w:rPr>
            </w:pPr>
          </w:p>
        </w:tc>
        <w:tc>
          <w:tcPr>
            <w:tcW w:w="414" w:type="pct"/>
            <w:vMerge w:val="continue"/>
            <w:vAlign w:val="center"/>
          </w:tcPr>
          <w:p>
            <w:pPr>
              <w:rPr>
                <w:rFonts w:hint="eastAsia" w:ascii="仿宋_GB2312" w:hAnsi="仿宋_GB2312" w:eastAsia="仿宋_GB2312" w:cs="仿宋_GB2312"/>
                <w:bCs/>
                <w:color w:val="000000"/>
              </w:rPr>
            </w:pPr>
          </w:p>
        </w:tc>
        <w:tc>
          <w:tcPr>
            <w:tcW w:w="659" w:type="pct"/>
            <w:vMerge w:val="continue"/>
            <w:vAlign w:val="center"/>
          </w:tcPr>
          <w:p>
            <w:pPr>
              <w:rPr>
                <w:rFonts w:hint="eastAsia" w:ascii="仿宋_GB2312" w:hAnsi="仿宋_GB2312" w:eastAsia="仿宋_GB2312" w:cs="仿宋_GB2312"/>
                <w:bCs/>
                <w:color w:val="000000"/>
              </w:rPr>
            </w:pPr>
          </w:p>
        </w:tc>
        <w:tc>
          <w:tcPr>
            <w:tcW w:w="994"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从重</w:t>
            </w:r>
          </w:p>
        </w:tc>
        <w:tc>
          <w:tcPr>
            <w:tcW w:w="741"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kern w:val="0"/>
                <w:szCs w:val="21"/>
              </w:rPr>
              <w:t>使用暴力、威胁方法，阻碍安全生产监督检查人员依法监督检查的</w:t>
            </w:r>
          </w:p>
        </w:tc>
        <w:tc>
          <w:tcPr>
            <w:tcW w:w="1055"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szCs w:val="21"/>
              </w:rPr>
              <w:t>责令改正；拒不改正的，对生产经营单位处超过十一万元、二十万元以下的罚款；对其直接负责的主管人员和其他直接责任人员处超过一万五千元、二万元以下的罚款</w:t>
            </w:r>
          </w:p>
        </w:tc>
      </w:tr>
      <w:bookmarkEnd w:id="58"/>
    </w:tbl>
    <w:p>
      <w:pPr>
        <w:ind w:firstLine="420" w:firstLineChars="200"/>
        <w:rPr>
          <w:rFonts w:hint="eastAsia" w:cs="黑体" w:asciiTheme="minorEastAsia" w:hAnsiTheme="minorEastAsia"/>
          <w:bCs/>
          <w:color w:val="000000"/>
          <w:szCs w:val="21"/>
        </w:rPr>
      </w:pPr>
    </w:p>
    <w:p/>
    <w:p/>
    <w:p>
      <w:pPr>
        <w:rPr>
          <w:rFonts w:hint="eastAsia" w:cs="宋体" w:asciiTheme="minorEastAsia" w:hAnsiTheme="minorEastAsia"/>
          <w:bCs/>
          <w:color w:val="000000"/>
          <w:sz w:val="32"/>
          <w:szCs w:val="32"/>
        </w:rPr>
      </w:pPr>
      <w:r>
        <w:rPr>
          <w:rFonts w:hint="eastAsia" w:cs="宋体" w:asciiTheme="minorEastAsia" w:hAnsiTheme="minorEastAsia"/>
          <w:bCs/>
          <w:color w:val="000000"/>
          <w:sz w:val="32"/>
          <w:szCs w:val="32"/>
        </w:rPr>
        <w:t>《中华人民共和国安全生产法》</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6"/>
        <w:gridCol w:w="1186"/>
        <w:gridCol w:w="2675"/>
        <w:gridCol w:w="2138"/>
        <w:gridCol w:w="1163"/>
        <w:gridCol w:w="1163"/>
        <w:gridCol w:w="2157"/>
        <w:gridCol w:w="30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45" w:type="pct"/>
            <w:vAlign w:val="center"/>
          </w:tcPr>
          <w:p>
            <w:pPr>
              <w:jc w:val="center"/>
              <w:rPr>
                <w:rFonts w:hint="eastAsia" w:ascii="仿宋_GB2312" w:hAnsi="仿宋_GB2312" w:eastAsia="仿宋_GB2312" w:cs="仿宋_GB2312"/>
                <w:bCs/>
                <w:color w:val="000000"/>
                <w:kern w:val="0"/>
                <w:szCs w:val="21"/>
              </w:rPr>
            </w:pPr>
            <w:bookmarkStart w:id="59" w:name="_Hlk157978557"/>
            <w:r>
              <w:rPr>
                <w:rFonts w:hint="eastAsia" w:ascii="仿宋_GB2312" w:hAnsi="仿宋_GB2312" w:eastAsia="仿宋_GB2312" w:cs="仿宋_GB2312"/>
                <w:b/>
                <w:bCs/>
                <w:szCs w:val="21"/>
              </w:rPr>
              <w:t>序号</w:t>
            </w:r>
          </w:p>
        </w:tc>
        <w:tc>
          <w:tcPr>
            <w:tcW w:w="407"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918"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734"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39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39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741"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1055"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6" w:hRule="atLeast"/>
          <w:jc w:val="center"/>
        </w:trPr>
        <w:tc>
          <w:tcPr>
            <w:tcW w:w="345" w:type="pct"/>
            <w:vMerge w:val="restart"/>
            <w:vAlign w:val="center"/>
          </w:tcPr>
          <w:p>
            <w:pPr>
              <w:widowControl/>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lang w:val="en"/>
              </w:rPr>
              <w:t>101.3</w:t>
            </w:r>
            <w:r>
              <w:rPr>
                <w:rFonts w:hint="eastAsia" w:ascii="仿宋_GB2312" w:hAnsi="仿宋_GB2312" w:eastAsia="仿宋_GB2312" w:cs="仿宋_GB2312"/>
                <w:bCs/>
                <w:color w:val="000000"/>
                <w:kern w:val="0"/>
                <w:szCs w:val="21"/>
              </w:rPr>
              <w:t>3</w:t>
            </w:r>
          </w:p>
        </w:tc>
        <w:tc>
          <w:tcPr>
            <w:tcW w:w="407"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高危行业、领域的生产经营单位未按照国家规定投保安全生产责任保险的</w:t>
            </w:r>
          </w:p>
        </w:tc>
        <w:tc>
          <w:tcPr>
            <w:tcW w:w="918"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szCs w:val="21"/>
              </w:rPr>
              <w:t>第五十一条第二款：“国家鼓励生产经营单位投保安全生产责任保险；属于国家规定的高危行业、领域的生产经营单位，应当投保安全生产责任保险。具体范围和实施办法由国务院应急管理部门会同国务院财政部门、国务院保险监督管理机构和相关行业主管部门制定。”</w:t>
            </w:r>
          </w:p>
        </w:tc>
        <w:tc>
          <w:tcPr>
            <w:tcW w:w="734"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szCs w:val="21"/>
              </w:rPr>
              <w:t>第一百零九条：“高危行业、领域的生产经营单位未按照国家规定投保安全生产责任保险的，责令限期改正，处五万元以上十万元以下的罚款；逾期未改正的，处十万元以上二十万元以下的罚款。”</w:t>
            </w: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罚款</w:t>
            </w: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从轻</w:t>
            </w:r>
          </w:p>
        </w:tc>
        <w:tc>
          <w:tcPr>
            <w:tcW w:w="741"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高危行业、领域的生产经营单位占总人数少于30%的从业人员未按照国家规定投保安全生产责任保险的</w:t>
            </w:r>
          </w:p>
        </w:tc>
        <w:tc>
          <w:tcPr>
            <w:tcW w:w="1055"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责令限期改正，</w:t>
            </w:r>
            <w:r>
              <w:rPr>
                <w:rFonts w:hint="eastAsia" w:ascii="仿宋_GB2312" w:hAnsi="仿宋_GB2312" w:eastAsia="仿宋_GB2312" w:cs="仿宋_GB2312"/>
                <w:bCs/>
                <w:color w:val="000000"/>
              </w:rPr>
              <w:t>处五万元以上、低于七万五千元的罚款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6" w:hRule="atLeast"/>
          <w:jc w:val="center"/>
        </w:trPr>
        <w:tc>
          <w:tcPr>
            <w:tcW w:w="345" w:type="pct"/>
            <w:vMerge w:val="continue"/>
            <w:vAlign w:val="center"/>
          </w:tcPr>
          <w:p>
            <w:pPr>
              <w:widowControl/>
              <w:jc w:val="center"/>
              <w:rPr>
                <w:rFonts w:hint="eastAsia" w:ascii="仿宋_GB2312" w:hAnsi="仿宋_GB2312" w:eastAsia="仿宋_GB2312" w:cs="仿宋_GB2312"/>
                <w:bCs/>
                <w:color w:val="000000"/>
                <w:kern w:val="0"/>
                <w:szCs w:val="21"/>
                <w:lang w:val="en"/>
              </w:rPr>
            </w:pPr>
          </w:p>
        </w:tc>
        <w:tc>
          <w:tcPr>
            <w:tcW w:w="407" w:type="pct"/>
            <w:vMerge w:val="continue"/>
            <w:vAlign w:val="center"/>
          </w:tcPr>
          <w:p>
            <w:pPr>
              <w:rPr>
                <w:rFonts w:hint="eastAsia" w:ascii="仿宋_GB2312" w:hAnsi="仿宋_GB2312" w:eastAsia="仿宋_GB2312" w:cs="仿宋_GB2312"/>
                <w:bCs/>
                <w:color w:val="000000"/>
                <w:szCs w:val="21"/>
              </w:rPr>
            </w:pPr>
          </w:p>
        </w:tc>
        <w:tc>
          <w:tcPr>
            <w:tcW w:w="918" w:type="pct"/>
            <w:vMerge w:val="continue"/>
            <w:vAlign w:val="center"/>
          </w:tcPr>
          <w:p>
            <w:pPr>
              <w:rPr>
                <w:rFonts w:hint="eastAsia" w:ascii="仿宋_GB2312" w:hAnsi="仿宋_GB2312" w:eastAsia="仿宋_GB2312" w:cs="仿宋_GB2312"/>
                <w:bCs/>
                <w:color w:val="000000"/>
                <w:szCs w:val="21"/>
              </w:rPr>
            </w:pPr>
          </w:p>
        </w:tc>
        <w:tc>
          <w:tcPr>
            <w:tcW w:w="734" w:type="pct"/>
            <w:vMerge w:val="continue"/>
            <w:vAlign w:val="center"/>
          </w:tcPr>
          <w:p>
            <w:pPr>
              <w:rPr>
                <w:rFonts w:hint="eastAsia" w:ascii="仿宋_GB2312" w:hAnsi="仿宋_GB2312" w:eastAsia="仿宋_GB2312" w:cs="仿宋_GB2312"/>
                <w:bCs/>
                <w:color w:val="00000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lang w:bidi="ar"/>
              </w:rPr>
            </w:pPr>
          </w:p>
        </w:tc>
        <w:tc>
          <w:tcPr>
            <w:tcW w:w="741" w:type="pct"/>
            <w:vMerge w:val="continue"/>
            <w:vAlign w:val="center"/>
          </w:tcPr>
          <w:p>
            <w:pPr>
              <w:rPr>
                <w:rFonts w:hint="eastAsia" w:ascii="仿宋_GB2312" w:hAnsi="仿宋_GB2312" w:eastAsia="仿宋_GB2312" w:cs="仿宋_GB2312"/>
                <w:bCs/>
                <w:color w:val="000000"/>
              </w:rPr>
            </w:pPr>
          </w:p>
        </w:tc>
        <w:tc>
          <w:tcPr>
            <w:tcW w:w="1055"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
                <w:color w:val="000000"/>
                <w:szCs w:val="21"/>
              </w:rPr>
              <w:t>逾期未改正的</w:t>
            </w:r>
            <w:r>
              <w:rPr>
                <w:rFonts w:hint="eastAsia" w:ascii="仿宋_GB2312" w:hAnsi="仿宋_GB2312" w:eastAsia="仿宋_GB2312" w:cs="仿宋_GB2312"/>
                <w:bCs/>
                <w:color w:val="000000"/>
                <w:szCs w:val="21"/>
              </w:rPr>
              <w:t>，处十万元以上、低于十五万元的罚款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6" w:hRule="atLeast"/>
          <w:jc w:val="center"/>
        </w:trPr>
        <w:tc>
          <w:tcPr>
            <w:tcW w:w="345" w:type="pct"/>
            <w:vMerge w:val="continue"/>
            <w:vAlign w:val="center"/>
          </w:tcPr>
          <w:p>
            <w:pPr>
              <w:rPr>
                <w:rFonts w:hint="eastAsia" w:ascii="仿宋_GB2312" w:hAnsi="仿宋_GB2312" w:eastAsia="仿宋_GB2312" w:cs="仿宋_GB2312"/>
                <w:bCs/>
                <w:color w:val="000000"/>
              </w:rPr>
            </w:pPr>
          </w:p>
        </w:tc>
        <w:tc>
          <w:tcPr>
            <w:tcW w:w="407" w:type="pct"/>
            <w:vMerge w:val="continue"/>
            <w:vAlign w:val="center"/>
          </w:tcPr>
          <w:p>
            <w:pPr>
              <w:rPr>
                <w:rFonts w:hint="eastAsia" w:ascii="仿宋_GB2312" w:hAnsi="仿宋_GB2312" w:eastAsia="仿宋_GB2312" w:cs="仿宋_GB2312"/>
                <w:bCs/>
                <w:color w:val="000000"/>
              </w:rPr>
            </w:pPr>
          </w:p>
        </w:tc>
        <w:tc>
          <w:tcPr>
            <w:tcW w:w="918" w:type="pct"/>
            <w:vMerge w:val="continue"/>
            <w:vAlign w:val="center"/>
          </w:tcPr>
          <w:p>
            <w:pPr>
              <w:rPr>
                <w:rFonts w:hint="eastAsia" w:ascii="仿宋_GB2312" w:hAnsi="仿宋_GB2312" w:eastAsia="仿宋_GB2312" w:cs="仿宋_GB2312"/>
                <w:bCs/>
                <w:color w:val="000000"/>
              </w:rPr>
            </w:pPr>
          </w:p>
        </w:tc>
        <w:tc>
          <w:tcPr>
            <w:tcW w:w="734"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一般</w:t>
            </w:r>
          </w:p>
        </w:tc>
        <w:tc>
          <w:tcPr>
            <w:tcW w:w="741"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高危行业、领域的生产经营单位占总人数30%以上、少于75%的从业人员未按照国家规定投保安全生产责任保险的</w:t>
            </w:r>
          </w:p>
        </w:tc>
        <w:tc>
          <w:tcPr>
            <w:tcW w:w="1055"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szCs w:val="21"/>
              </w:rPr>
              <w:t>责令限期改正，</w:t>
            </w:r>
            <w:r>
              <w:rPr>
                <w:rFonts w:hint="eastAsia" w:ascii="仿宋_GB2312" w:hAnsi="仿宋_GB2312" w:eastAsia="仿宋_GB2312" w:cs="仿宋_GB2312"/>
                <w:bCs/>
                <w:color w:val="000000"/>
              </w:rPr>
              <w:t>处七万五千元的罚款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6" w:hRule="atLeast"/>
          <w:jc w:val="center"/>
        </w:trPr>
        <w:tc>
          <w:tcPr>
            <w:tcW w:w="345" w:type="pct"/>
            <w:vMerge w:val="continue"/>
            <w:vAlign w:val="center"/>
          </w:tcPr>
          <w:p>
            <w:pPr>
              <w:rPr>
                <w:rFonts w:hint="eastAsia" w:ascii="仿宋_GB2312" w:hAnsi="仿宋_GB2312" w:eastAsia="仿宋_GB2312" w:cs="仿宋_GB2312"/>
                <w:bCs/>
                <w:color w:val="000000"/>
              </w:rPr>
            </w:pPr>
          </w:p>
        </w:tc>
        <w:tc>
          <w:tcPr>
            <w:tcW w:w="407" w:type="pct"/>
            <w:vMerge w:val="continue"/>
            <w:vAlign w:val="center"/>
          </w:tcPr>
          <w:p>
            <w:pPr>
              <w:rPr>
                <w:rFonts w:hint="eastAsia" w:ascii="仿宋_GB2312" w:hAnsi="仿宋_GB2312" w:eastAsia="仿宋_GB2312" w:cs="仿宋_GB2312"/>
                <w:bCs/>
                <w:color w:val="000000"/>
              </w:rPr>
            </w:pPr>
          </w:p>
        </w:tc>
        <w:tc>
          <w:tcPr>
            <w:tcW w:w="918" w:type="pct"/>
            <w:vMerge w:val="continue"/>
            <w:vAlign w:val="center"/>
          </w:tcPr>
          <w:p>
            <w:pPr>
              <w:rPr>
                <w:rFonts w:hint="eastAsia" w:ascii="仿宋_GB2312" w:hAnsi="仿宋_GB2312" w:eastAsia="仿宋_GB2312" w:cs="仿宋_GB2312"/>
                <w:bCs/>
                <w:color w:val="000000"/>
              </w:rPr>
            </w:pPr>
          </w:p>
        </w:tc>
        <w:tc>
          <w:tcPr>
            <w:tcW w:w="734"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lang w:bidi="ar"/>
              </w:rPr>
            </w:pPr>
          </w:p>
        </w:tc>
        <w:tc>
          <w:tcPr>
            <w:tcW w:w="741" w:type="pct"/>
            <w:vMerge w:val="continue"/>
            <w:vAlign w:val="center"/>
          </w:tcPr>
          <w:p>
            <w:pPr>
              <w:rPr>
                <w:rFonts w:hint="eastAsia" w:ascii="仿宋_GB2312" w:hAnsi="仿宋_GB2312" w:eastAsia="仿宋_GB2312" w:cs="仿宋_GB2312"/>
                <w:bCs/>
                <w:color w:val="000000"/>
              </w:rPr>
            </w:pPr>
          </w:p>
        </w:tc>
        <w:tc>
          <w:tcPr>
            <w:tcW w:w="1055"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szCs w:val="21"/>
              </w:rPr>
              <w:t>逾期未改正的</w:t>
            </w:r>
            <w:r>
              <w:rPr>
                <w:rFonts w:hint="eastAsia" w:ascii="仿宋_GB2312" w:hAnsi="仿宋_GB2312" w:eastAsia="仿宋_GB2312" w:cs="仿宋_GB2312"/>
                <w:bCs/>
                <w:color w:val="000000"/>
                <w:szCs w:val="21"/>
              </w:rPr>
              <w:t>，处十五万元的罚款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6" w:hRule="atLeast"/>
          <w:jc w:val="center"/>
        </w:trPr>
        <w:tc>
          <w:tcPr>
            <w:tcW w:w="345" w:type="pct"/>
            <w:vMerge w:val="continue"/>
            <w:vAlign w:val="center"/>
          </w:tcPr>
          <w:p>
            <w:pPr>
              <w:rPr>
                <w:rFonts w:hint="eastAsia" w:ascii="仿宋_GB2312" w:hAnsi="仿宋_GB2312" w:eastAsia="仿宋_GB2312" w:cs="仿宋_GB2312"/>
                <w:bCs/>
                <w:color w:val="000000"/>
              </w:rPr>
            </w:pPr>
          </w:p>
        </w:tc>
        <w:tc>
          <w:tcPr>
            <w:tcW w:w="407" w:type="pct"/>
            <w:vMerge w:val="continue"/>
            <w:vAlign w:val="center"/>
          </w:tcPr>
          <w:p>
            <w:pPr>
              <w:rPr>
                <w:rFonts w:hint="eastAsia" w:ascii="仿宋_GB2312" w:hAnsi="仿宋_GB2312" w:eastAsia="仿宋_GB2312" w:cs="仿宋_GB2312"/>
                <w:bCs/>
                <w:color w:val="000000"/>
              </w:rPr>
            </w:pPr>
          </w:p>
        </w:tc>
        <w:tc>
          <w:tcPr>
            <w:tcW w:w="918" w:type="pct"/>
            <w:vMerge w:val="continue"/>
            <w:vAlign w:val="center"/>
          </w:tcPr>
          <w:p>
            <w:pPr>
              <w:rPr>
                <w:rFonts w:hint="eastAsia" w:ascii="仿宋_GB2312" w:hAnsi="仿宋_GB2312" w:eastAsia="仿宋_GB2312" w:cs="仿宋_GB2312"/>
                <w:bCs/>
                <w:color w:val="000000"/>
              </w:rPr>
            </w:pPr>
          </w:p>
        </w:tc>
        <w:tc>
          <w:tcPr>
            <w:tcW w:w="734"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lang w:bidi="ar"/>
              </w:rPr>
              <w:t>从重</w:t>
            </w:r>
          </w:p>
          <w:p>
            <w:pPr>
              <w:jc w:val="center"/>
              <w:rPr>
                <w:rFonts w:hint="eastAsia" w:ascii="仿宋_GB2312" w:hAnsi="仿宋_GB2312" w:eastAsia="仿宋_GB2312" w:cs="仿宋_GB2312"/>
                <w:bCs/>
                <w:color w:val="000000"/>
              </w:rPr>
            </w:pPr>
          </w:p>
        </w:tc>
        <w:tc>
          <w:tcPr>
            <w:tcW w:w="741"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高危行业、领域的生产经营单位占总人数75%以上从业人员未按照国家规定投保安全生产责任保险的</w:t>
            </w:r>
          </w:p>
        </w:tc>
        <w:tc>
          <w:tcPr>
            <w:tcW w:w="1055"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szCs w:val="21"/>
              </w:rPr>
              <w:t>责令限期改正，</w:t>
            </w:r>
            <w:r>
              <w:rPr>
                <w:rFonts w:hint="eastAsia" w:ascii="仿宋_GB2312" w:hAnsi="仿宋_GB2312" w:eastAsia="仿宋_GB2312" w:cs="仿宋_GB2312"/>
                <w:bCs/>
                <w:color w:val="000000"/>
              </w:rPr>
              <w:t>处超过七万五千元、</w:t>
            </w:r>
            <w:r>
              <w:rPr>
                <w:rFonts w:hint="eastAsia" w:ascii="仿宋_GB2312" w:hAnsi="仿宋_GB2312" w:eastAsia="仿宋_GB2312" w:cs="仿宋_GB2312"/>
                <w:bCs/>
                <w:color w:val="000000"/>
                <w:szCs w:val="21"/>
              </w:rPr>
              <w:t>十万元以下</w:t>
            </w:r>
            <w:r>
              <w:rPr>
                <w:rFonts w:hint="eastAsia" w:ascii="仿宋_GB2312" w:hAnsi="仿宋_GB2312" w:eastAsia="仿宋_GB2312" w:cs="仿宋_GB2312"/>
                <w:bCs/>
                <w:color w:val="000000"/>
              </w:rPr>
              <w:t>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6" w:hRule="atLeast"/>
          <w:jc w:val="center"/>
        </w:trPr>
        <w:tc>
          <w:tcPr>
            <w:tcW w:w="345" w:type="pct"/>
            <w:vMerge w:val="continue"/>
            <w:vAlign w:val="center"/>
          </w:tcPr>
          <w:p>
            <w:pPr>
              <w:rPr>
                <w:rFonts w:hint="eastAsia" w:ascii="仿宋_GB2312" w:hAnsi="仿宋_GB2312" w:eastAsia="仿宋_GB2312" w:cs="仿宋_GB2312"/>
                <w:bCs/>
                <w:color w:val="000000"/>
              </w:rPr>
            </w:pPr>
          </w:p>
        </w:tc>
        <w:tc>
          <w:tcPr>
            <w:tcW w:w="407" w:type="pct"/>
            <w:vMerge w:val="continue"/>
            <w:vAlign w:val="center"/>
          </w:tcPr>
          <w:p>
            <w:pPr>
              <w:rPr>
                <w:rFonts w:hint="eastAsia" w:ascii="仿宋_GB2312" w:hAnsi="仿宋_GB2312" w:eastAsia="仿宋_GB2312" w:cs="仿宋_GB2312"/>
                <w:bCs/>
                <w:color w:val="000000"/>
              </w:rPr>
            </w:pPr>
          </w:p>
        </w:tc>
        <w:tc>
          <w:tcPr>
            <w:tcW w:w="918" w:type="pct"/>
            <w:vMerge w:val="continue"/>
            <w:vAlign w:val="center"/>
          </w:tcPr>
          <w:p>
            <w:pPr>
              <w:rPr>
                <w:rFonts w:hint="eastAsia" w:ascii="仿宋_GB2312" w:hAnsi="仿宋_GB2312" w:eastAsia="仿宋_GB2312" w:cs="仿宋_GB2312"/>
                <w:bCs/>
                <w:color w:val="000000"/>
              </w:rPr>
            </w:pPr>
          </w:p>
        </w:tc>
        <w:tc>
          <w:tcPr>
            <w:tcW w:w="734"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399" w:type="pct"/>
            <w:vMerge w:val="continue"/>
            <w:vAlign w:val="center"/>
          </w:tcPr>
          <w:p>
            <w:pPr>
              <w:jc w:val="center"/>
              <w:rPr>
                <w:rFonts w:hint="eastAsia" w:ascii="仿宋_GB2312" w:hAnsi="仿宋_GB2312" w:eastAsia="仿宋_GB2312" w:cs="仿宋_GB2312"/>
                <w:bCs/>
                <w:color w:val="000000"/>
              </w:rPr>
            </w:pPr>
          </w:p>
        </w:tc>
        <w:tc>
          <w:tcPr>
            <w:tcW w:w="741" w:type="pct"/>
            <w:vMerge w:val="continue"/>
            <w:vAlign w:val="center"/>
          </w:tcPr>
          <w:p>
            <w:pPr>
              <w:rPr>
                <w:rFonts w:hint="eastAsia" w:ascii="仿宋_GB2312" w:hAnsi="仿宋_GB2312" w:eastAsia="仿宋_GB2312" w:cs="仿宋_GB2312"/>
                <w:bCs/>
                <w:color w:val="000000"/>
              </w:rPr>
            </w:pPr>
          </w:p>
        </w:tc>
        <w:tc>
          <w:tcPr>
            <w:tcW w:w="1055"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szCs w:val="21"/>
              </w:rPr>
              <w:t>逾期未改正的</w:t>
            </w:r>
            <w:r>
              <w:rPr>
                <w:rFonts w:hint="eastAsia" w:ascii="仿宋_GB2312" w:hAnsi="仿宋_GB2312" w:eastAsia="仿宋_GB2312" w:cs="仿宋_GB2312"/>
                <w:bCs/>
                <w:color w:val="000000"/>
                <w:szCs w:val="21"/>
              </w:rPr>
              <w:t>，处超过十五万元、二十万元以下的罚款</w:t>
            </w:r>
          </w:p>
        </w:tc>
      </w:tr>
    </w:tbl>
    <w:p>
      <w:pPr>
        <w:ind w:firstLine="420" w:firstLineChars="200"/>
        <w:rPr>
          <w:rFonts w:hint="eastAsia" w:cs="黑体" w:asciiTheme="minorEastAsia" w:hAnsiTheme="minorEastAsia"/>
          <w:bCs/>
          <w:color w:val="000000"/>
          <w:szCs w:val="21"/>
        </w:rPr>
      </w:pPr>
    </w:p>
    <w:bookmarkEnd w:id="59"/>
    <w:p>
      <w:pPr>
        <w:rPr>
          <w:rFonts w:hint="eastAsia" w:cs="宋体" w:asciiTheme="minorEastAsia" w:hAnsiTheme="minorEastAsia"/>
          <w:bCs/>
          <w:color w:val="000000"/>
        </w:rPr>
      </w:pPr>
    </w:p>
    <w:bookmarkEnd w:id="41"/>
    <w:bookmarkEnd w:id="42"/>
    <w:bookmarkEnd w:id="43"/>
    <w:bookmarkEnd w:id="44"/>
    <w:bookmarkEnd w:id="45"/>
    <w:bookmarkEnd w:id="46"/>
    <w:bookmarkEnd w:id="47"/>
    <w:bookmarkEnd w:id="48"/>
    <w:bookmarkEnd w:id="49"/>
    <w:bookmarkEnd w:id="50"/>
    <w:bookmarkEnd w:id="51"/>
    <w:bookmarkEnd w:id="52"/>
    <w:p>
      <w:pPr>
        <w:outlineLvl w:val="0"/>
        <w:rPr>
          <w:rStyle w:val="32"/>
          <w:rFonts w:hint="eastAsia" w:cs="宋体" w:asciiTheme="minorEastAsia" w:hAnsiTheme="minorEastAsia" w:eastAsiaTheme="minorEastAsia"/>
          <w:b w:val="0"/>
          <w:bCs/>
          <w:color w:val="000000"/>
          <w:szCs w:val="32"/>
        </w:rPr>
        <w:sectPr>
          <w:pgSz w:w="16838" w:h="11906" w:orient="landscape"/>
          <w:pgMar w:top="1134" w:right="1247" w:bottom="1134" w:left="1247" w:header="851" w:footer="851" w:gutter="0"/>
          <w:pgNumType w:fmt="numberInDash"/>
          <w:cols w:space="720" w:num="1"/>
          <w:docGrid w:linePitch="312" w:charSpace="0"/>
        </w:sectPr>
      </w:pPr>
    </w:p>
    <w:p>
      <w:pPr>
        <w:rPr>
          <w:rFonts w:hint="eastAsia" w:cs="宋体" w:asciiTheme="minorEastAsia" w:hAnsiTheme="minorEastAsia"/>
          <w:bCs/>
          <w:color w:val="000000"/>
          <w:sz w:val="32"/>
          <w:szCs w:val="32"/>
        </w:rPr>
      </w:pPr>
      <w:r>
        <w:rPr>
          <w:rFonts w:hint="eastAsia" w:cs="宋体" w:asciiTheme="minorEastAsia" w:hAnsiTheme="minorEastAsia"/>
          <w:bCs/>
          <w:color w:val="000000"/>
          <w:sz w:val="32"/>
          <w:szCs w:val="32"/>
        </w:rPr>
        <w:t>《中华人民共和国固体废物污染环境防治法》</w:t>
      </w:r>
    </w:p>
    <w:tbl>
      <w:tblPr>
        <w:tblStyle w:val="11"/>
        <w:tblpPr w:leftFromText="180" w:rightFromText="180" w:vertAnchor="text" w:tblpXSpec="center" w:tblpY="1"/>
        <w:tblOverlap w:val="never"/>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5"/>
        <w:gridCol w:w="1256"/>
        <w:gridCol w:w="1973"/>
        <w:gridCol w:w="3175"/>
        <w:gridCol w:w="1166"/>
        <w:gridCol w:w="1205"/>
        <w:gridCol w:w="1533"/>
        <w:gridCol w:w="299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0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序号</w:t>
            </w:r>
          </w:p>
        </w:tc>
        <w:tc>
          <w:tcPr>
            <w:tcW w:w="443"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696"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1120"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411"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425"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541"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1055"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309" w:type="pct"/>
            <w:vMerge w:val="restar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szCs w:val="21"/>
                <w:lang w:val="en"/>
              </w:rPr>
              <w:t>102.1</w:t>
            </w:r>
          </w:p>
        </w:tc>
        <w:tc>
          <w:tcPr>
            <w:tcW w:w="443" w:type="pct"/>
            <w:vMerge w:val="restar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szCs w:val="21"/>
              </w:rPr>
              <w:t>工程施工单位擅自倾倒、抛撒或者堆放工程施工过程中产生的建筑垃圾，或者未按照规定对施工过程中产生的固体废物进行利用或者处置的</w:t>
            </w:r>
          </w:p>
        </w:tc>
        <w:tc>
          <w:tcPr>
            <w:tcW w:w="696" w:type="pct"/>
            <w:vMerge w:val="restar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第六十三条第二款：“工程施工单位应当及时清运工程施工过程中产生的建筑垃圾等固体废物，并按照环境卫生主管部门的规定进行利用或者处置。”</w:t>
            </w:r>
          </w:p>
          <w:p/>
          <w:p>
            <w:pPr>
              <w:rPr>
                <w:rFonts w:hint="eastAsia" w:ascii="仿宋_GB2312" w:hAnsi="仿宋_GB2312" w:eastAsia="仿宋_GB2312" w:cs="仿宋_GB2312"/>
                <w:bCs/>
                <w:color w:val="000000"/>
                <w:szCs w:val="21"/>
              </w:rPr>
            </w:pPr>
            <w:r>
              <w:rPr>
                <w:rFonts w:hint="eastAsia" w:ascii="仿宋_GB2312" w:hAnsi="仿宋_GB2312" w:eastAsia="仿宋_GB2312" w:cs="仿宋_GB2312"/>
                <w:szCs w:val="21"/>
              </w:rPr>
              <w:t>第六十三条第三款:“工程施工单位不得擅自倾倒、抛撒或者堆放工程施工过程中产生的建筑垃圾。”</w:t>
            </w:r>
          </w:p>
        </w:tc>
        <w:tc>
          <w:tcPr>
            <w:tcW w:w="1120" w:type="pct"/>
            <w:vMerge w:val="restart"/>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1"/>
              </w:rPr>
              <w:t>第一百一十一条第一款第四项：“违反本法规定，有下列行为之一，由县级以上地方人民政府环境卫生主管部门责令改正，处以罚款，没收违法所得：（四）工程施工单位擅自倾倒、抛撒或者堆放工程施工过程中产生的建筑垃圾，或者未按照规定对施工过程中产生的固体废物进行利用或者处置的。”</w:t>
            </w:r>
          </w:p>
          <w:p>
            <w:pPr>
              <w:jc w:val="left"/>
            </w:pPr>
          </w:p>
          <w:p>
            <w:pPr>
              <w:jc w:val="left"/>
              <w:rPr>
                <w:rFonts w:hint="eastAsia" w:ascii="仿宋_GB2312" w:hAnsi="仿宋_GB2312" w:eastAsia="仿宋_GB2312" w:cs="仿宋_GB2312"/>
                <w:bCs/>
                <w:color w:val="000000"/>
                <w:szCs w:val="21"/>
              </w:rPr>
            </w:pPr>
            <w:r>
              <w:rPr>
                <w:rFonts w:hint="eastAsia" w:ascii="仿宋_GB2312" w:hAnsi="仿宋_GB2312" w:eastAsia="仿宋_GB2312" w:cs="仿宋_GB2312"/>
                <w:szCs w:val="21"/>
              </w:rPr>
              <w:t>第一百一十一条第二款：“单位有前款第二项、第三项、第四项、第五项、第六项行为之一，处十万元以上一百万元以下的罚款。”</w:t>
            </w:r>
          </w:p>
        </w:tc>
        <w:tc>
          <w:tcPr>
            <w:tcW w:w="411" w:type="pct"/>
            <w:vMerge w:val="restart"/>
            <w:vAlign w:val="center"/>
          </w:tcPr>
          <w:p>
            <w:pPr>
              <w:jc w:val="left"/>
              <w:rPr>
                <w:rFonts w:hint="eastAsia" w:ascii="仿宋_GB2312" w:hAnsi="仿宋_GB2312" w:eastAsia="仿宋_GB2312" w:cs="仿宋_GB2312"/>
                <w:bCs/>
                <w:color w:val="000000"/>
              </w:rPr>
            </w:pPr>
            <w:r>
              <w:rPr>
                <w:rFonts w:hint="eastAsia" w:ascii="仿宋_GB2312" w:hAnsi="仿宋_GB2312" w:eastAsia="仿宋_GB2312" w:cs="仿宋_GB2312"/>
                <w:szCs w:val="21"/>
              </w:rPr>
              <w:t>罚款；没收违法所得</w:t>
            </w:r>
          </w:p>
        </w:tc>
        <w:tc>
          <w:tcPr>
            <w:tcW w:w="425"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从轻</w:t>
            </w:r>
          </w:p>
        </w:tc>
        <w:tc>
          <w:tcPr>
            <w:tcW w:w="541" w:type="pc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szCs w:val="21"/>
                <w:lang w:bidi="ar"/>
              </w:rPr>
              <w:t>总量少于五十吨或体积少于四十八立方米</w:t>
            </w:r>
          </w:p>
        </w:tc>
        <w:tc>
          <w:tcPr>
            <w:tcW w:w="1055"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szCs w:val="21"/>
              </w:rPr>
              <w:t>责令改正，</w:t>
            </w:r>
            <w:r>
              <w:rPr>
                <w:rFonts w:hint="eastAsia" w:ascii="仿宋_GB2312" w:hAnsi="仿宋_GB2312" w:eastAsia="仿宋_GB2312" w:cs="仿宋_GB2312"/>
                <w:szCs w:val="21"/>
                <w:lang w:bidi="ar"/>
              </w:rPr>
              <w:t>没收违法所得，并处十万元以上、低于五十五万元罚款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309" w:type="pct"/>
            <w:vMerge w:val="continue"/>
            <w:vAlign w:val="center"/>
          </w:tcPr>
          <w:p>
            <w:pPr>
              <w:rPr>
                <w:rFonts w:hint="eastAsia" w:ascii="仿宋_GB2312" w:hAnsi="仿宋_GB2312" w:eastAsia="仿宋_GB2312" w:cs="仿宋_GB2312"/>
                <w:bCs/>
                <w:color w:val="000000"/>
              </w:rPr>
            </w:pPr>
          </w:p>
        </w:tc>
        <w:tc>
          <w:tcPr>
            <w:tcW w:w="443" w:type="pct"/>
            <w:vMerge w:val="continue"/>
            <w:vAlign w:val="center"/>
          </w:tcPr>
          <w:p>
            <w:pPr>
              <w:rPr>
                <w:rFonts w:hint="eastAsia" w:ascii="仿宋_GB2312" w:hAnsi="仿宋_GB2312" w:eastAsia="仿宋_GB2312" w:cs="仿宋_GB2312"/>
                <w:bCs/>
                <w:color w:val="000000"/>
              </w:rPr>
            </w:pPr>
          </w:p>
        </w:tc>
        <w:tc>
          <w:tcPr>
            <w:tcW w:w="696" w:type="pct"/>
            <w:vMerge w:val="continue"/>
            <w:vAlign w:val="center"/>
          </w:tcPr>
          <w:p>
            <w:pPr>
              <w:rPr>
                <w:rFonts w:hint="eastAsia" w:ascii="仿宋_GB2312" w:hAnsi="仿宋_GB2312" w:eastAsia="仿宋_GB2312" w:cs="仿宋_GB2312"/>
                <w:bCs/>
                <w:color w:val="000000"/>
              </w:rPr>
            </w:pPr>
          </w:p>
        </w:tc>
        <w:tc>
          <w:tcPr>
            <w:tcW w:w="1120"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411" w:type="pct"/>
            <w:vMerge w:val="continue"/>
            <w:vAlign w:val="center"/>
          </w:tcPr>
          <w:p>
            <w:pPr>
              <w:jc w:val="center"/>
              <w:rPr>
                <w:rFonts w:hint="eastAsia" w:ascii="仿宋_GB2312" w:hAnsi="仿宋_GB2312" w:eastAsia="仿宋_GB2312" w:cs="仿宋_GB2312"/>
                <w:bCs/>
                <w:color w:val="000000"/>
              </w:rPr>
            </w:pPr>
          </w:p>
        </w:tc>
        <w:tc>
          <w:tcPr>
            <w:tcW w:w="425"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一般</w:t>
            </w:r>
          </w:p>
        </w:tc>
        <w:tc>
          <w:tcPr>
            <w:tcW w:w="541"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1"/>
                <w:lang w:bidi="ar"/>
              </w:rPr>
              <w:t>总量五十吨以上、少于一百吨或体积四十八立方米以上、少于一百立方米</w:t>
            </w:r>
          </w:p>
        </w:tc>
        <w:tc>
          <w:tcPr>
            <w:tcW w:w="1055"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szCs w:val="21"/>
              </w:rPr>
              <w:t>责令改正，</w:t>
            </w:r>
            <w:r>
              <w:rPr>
                <w:rFonts w:hint="eastAsia" w:ascii="仿宋_GB2312" w:hAnsi="仿宋_GB2312" w:eastAsia="仿宋_GB2312" w:cs="仿宋_GB2312"/>
                <w:szCs w:val="21"/>
                <w:lang w:bidi="ar"/>
              </w:rPr>
              <w:t>没收违法所得，并处五十五万元罚款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309" w:type="pct"/>
            <w:vMerge w:val="continue"/>
            <w:vAlign w:val="center"/>
          </w:tcPr>
          <w:p>
            <w:pPr>
              <w:rPr>
                <w:rFonts w:hint="eastAsia" w:ascii="仿宋_GB2312" w:hAnsi="仿宋_GB2312" w:eastAsia="仿宋_GB2312" w:cs="仿宋_GB2312"/>
                <w:bCs/>
                <w:color w:val="000000"/>
              </w:rPr>
            </w:pPr>
          </w:p>
        </w:tc>
        <w:tc>
          <w:tcPr>
            <w:tcW w:w="443" w:type="pct"/>
            <w:vMerge w:val="continue"/>
            <w:vAlign w:val="center"/>
          </w:tcPr>
          <w:p>
            <w:pPr>
              <w:rPr>
                <w:rFonts w:hint="eastAsia" w:ascii="仿宋_GB2312" w:hAnsi="仿宋_GB2312" w:eastAsia="仿宋_GB2312" w:cs="仿宋_GB2312"/>
                <w:bCs/>
                <w:color w:val="000000"/>
              </w:rPr>
            </w:pPr>
          </w:p>
        </w:tc>
        <w:tc>
          <w:tcPr>
            <w:tcW w:w="696" w:type="pct"/>
            <w:vMerge w:val="continue"/>
            <w:vAlign w:val="center"/>
          </w:tcPr>
          <w:p>
            <w:pPr>
              <w:rPr>
                <w:rFonts w:hint="eastAsia" w:ascii="仿宋_GB2312" w:hAnsi="仿宋_GB2312" w:eastAsia="仿宋_GB2312" w:cs="仿宋_GB2312"/>
                <w:bCs/>
                <w:color w:val="000000"/>
              </w:rPr>
            </w:pPr>
          </w:p>
        </w:tc>
        <w:tc>
          <w:tcPr>
            <w:tcW w:w="1120"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411" w:type="pct"/>
            <w:vMerge w:val="continue"/>
            <w:vAlign w:val="center"/>
          </w:tcPr>
          <w:p>
            <w:pPr>
              <w:jc w:val="center"/>
              <w:rPr>
                <w:rFonts w:hint="eastAsia" w:ascii="仿宋_GB2312" w:hAnsi="仿宋_GB2312" w:eastAsia="仿宋_GB2312" w:cs="仿宋_GB2312"/>
                <w:bCs/>
                <w:color w:val="000000"/>
              </w:rPr>
            </w:pPr>
          </w:p>
        </w:tc>
        <w:tc>
          <w:tcPr>
            <w:tcW w:w="425"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从重</w:t>
            </w:r>
          </w:p>
        </w:tc>
        <w:tc>
          <w:tcPr>
            <w:tcW w:w="541"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1"/>
                <w:lang w:bidi="ar"/>
              </w:rPr>
              <w:t>总量一百吨以上或体积在一百立方米以上</w:t>
            </w:r>
          </w:p>
        </w:tc>
        <w:tc>
          <w:tcPr>
            <w:tcW w:w="1055"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责令改正，</w:t>
            </w:r>
            <w:r>
              <w:rPr>
                <w:rFonts w:hint="eastAsia" w:ascii="仿宋_GB2312" w:hAnsi="仿宋_GB2312" w:eastAsia="仿宋_GB2312" w:cs="仿宋_GB2312"/>
                <w:szCs w:val="21"/>
                <w:lang w:bidi="ar"/>
              </w:rPr>
              <w:t>没收违法所得，并处超过五十五万元、一百万元以下罚款</w:t>
            </w:r>
          </w:p>
        </w:tc>
      </w:tr>
    </w:tbl>
    <w:p>
      <w:pPr>
        <w:outlineLvl w:val="0"/>
        <w:rPr>
          <w:rFonts w:hint="eastAsia" w:ascii="宋体" w:hAnsi="宋体" w:cs="宋体"/>
          <w:b/>
          <w:kern w:val="44"/>
          <w:sz w:val="32"/>
          <w:szCs w:val="20"/>
        </w:rPr>
      </w:pPr>
      <w:r>
        <w:rPr>
          <w:rFonts w:hint="eastAsia" w:ascii="宋体" w:hAnsi="宋体" w:eastAsia="宋体 (正文)" w:cs="宋体"/>
          <w:color w:val="000000"/>
          <w:kern w:val="44"/>
          <w:sz w:val="32"/>
        </w:rPr>
        <w:t>《建设工程抗震管理条例》</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4"/>
        <w:gridCol w:w="1278"/>
        <w:gridCol w:w="1219"/>
        <w:gridCol w:w="3076"/>
        <w:gridCol w:w="1171"/>
        <w:gridCol w:w="1171"/>
        <w:gridCol w:w="2500"/>
        <w:gridCol w:w="29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01"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序号</w:t>
            </w:r>
          </w:p>
        </w:tc>
        <w:tc>
          <w:tcPr>
            <w:tcW w:w="451"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430"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1085"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413"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413"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882"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1026"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1" w:hRule="atLeast"/>
          <w:jc w:val="center"/>
        </w:trPr>
        <w:tc>
          <w:tcPr>
            <w:tcW w:w="301" w:type="pct"/>
            <w:vMerge w:val="restart"/>
            <w:vAlign w:val="center"/>
          </w:tcPr>
          <w:p>
            <w:pPr>
              <w:widowControl/>
              <w:jc w:val="center"/>
              <w:rPr>
                <w:rFonts w:hint="eastAsia" w:ascii="宋体" w:hAnsi="宋体" w:eastAsia="宋体" w:cs="黑体"/>
                <w:bCs/>
                <w:color w:val="000000"/>
                <w:kern w:val="0"/>
                <w:szCs w:val="21"/>
                <w:lang w:val="en"/>
              </w:rPr>
            </w:pPr>
            <w:r>
              <w:rPr>
                <w:rFonts w:hint="eastAsia" w:ascii="仿宋_GB2312" w:hAnsi="仿宋_GB2312" w:eastAsia="仿宋_GB2312" w:cs="仿宋_GB2312"/>
                <w:szCs w:val="21"/>
                <w:lang w:val="en"/>
              </w:rPr>
              <w:t>10</w:t>
            </w:r>
            <w:r>
              <w:rPr>
                <w:rFonts w:hint="eastAsia" w:ascii="仿宋_GB2312" w:hAnsi="仿宋_GB2312" w:eastAsia="仿宋_GB2312" w:cs="仿宋_GB2312"/>
                <w:szCs w:val="21"/>
              </w:rPr>
              <w:t>3</w:t>
            </w:r>
            <w:r>
              <w:rPr>
                <w:rFonts w:hint="eastAsia" w:ascii="仿宋_GB2312" w:hAnsi="仿宋_GB2312" w:eastAsia="仿宋_GB2312" w:cs="仿宋_GB2312"/>
                <w:szCs w:val="21"/>
                <w:lang w:val="en"/>
              </w:rPr>
              <w:t>.1</w:t>
            </w:r>
          </w:p>
        </w:tc>
        <w:tc>
          <w:tcPr>
            <w:tcW w:w="451" w:type="pct"/>
            <w:vMerge w:val="restart"/>
            <w:vAlign w:val="center"/>
          </w:tcPr>
          <w:p>
            <w:pPr>
              <w:rPr>
                <w:rFonts w:hint="eastAsia" w:ascii="宋体" w:hAnsi="宋体" w:eastAsia="宋体" w:cs="黑体"/>
                <w:bCs/>
                <w:color w:val="000000"/>
                <w:szCs w:val="21"/>
              </w:rPr>
            </w:pPr>
            <w:r>
              <w:rPr>
                <w:rFonts w:hint="eastAsia" w:ascii="仿宋_GB2312" w:hAnsi="仿宋_GB2312" w:eastAsia="仿宋_GB2312" w:cs="仿宋_GB2312"/>
                <w:bCs/>
                <w:kern w:val="0"/>
                <w:szCs w:val="21"/>
              </w:rPr>
              <w:t>建设单位明示或者暗示勘察、设计、施工等单位和从业人员违反抗震设防强制性标准，降低工程抗震性能的</w:t>
            </w:r>
          </w:p>
        </w:tc>
        <w:tc>
          <w:tcPr>
            <w:tcW w:w="430" w:type="pct"/>
            <w:vMerge w:val="restart"/>
            <w:vAlign w:val="center"/>
          </w:tcPr>
          <w:p>
            <w:pPr>
              <w:rPr>
                <w:rFonts w:hint="eastAsia" w:ascii="宋体" w:hAnsi="宋体" w:eastAsia="宋体" w:cs="黑体"/>
                <w:bCs/>
                <w:color w:val="000000"/>
              </w:rPr>
            </w:pPr>
            <w:r>
              <w:rPr>
                <w:rFonts w:hint="eastAsia" w:ascii="仿宋_GB2312" w:hAnsi="仿宋_GB2312" w:eastAsia="仿宋_GB2312" w:cs="仿宋_GB2312"/>
                <w:bCs/>
                <w:kern w:val="0"/>
                <w:szCs w:val="21"/>
              </w:rPr>
              <w:t>第十条第二款：“建设单位不得明示或者暗示勘察、设计、施工等单位和从业人员违反抗震设防强制性标准，降低工程抗震性能。”</w:t>
            </w:r>
          </w:p>
        </w:tc>
        <w:tc>
          <w:tcPr>
            <w:tcW w:w="1085" w:type="pct"/>
            <w:vMerge w:val="restart"/>
            <w:vAlign w:val="center"/>
          </w:tcPr>
          <w:p>
            <w:pPr>
              <w:widowControl/>
              <w:rPr>
                <w:rFonts w:hint="eastAsia" w:ascii="仿宋_GB2312" w:hAnsi="仿宋_GB2312" w:eastAsia="仿宋_GB2312" w:cs="仿宋_GB2312"/>
                <w:bCs/>
                <w:kern w:val="0"/>
                <w:szCs w:val="21"/>
              </w:rPr>
            </w:pPr>
            <w:r>
              <w:rPr>
                <w:rFonts w:hint="eastAsia" w:ascii="仿宋_GB2312" w:hAnsi="仿宋_GB2312" w:eastAsia="仿宋_GB2312" w:cs="仿宋_GB2312"/>
                <w:bCs/>
                <w:kern w:val="0"/>
                <w:szCs w:val="21"/>
              </w:rPr>
              <w:t>第四十条第一款：“违反本条例规定，建设单位明示或者暗示勘察、设计、施工等单位和从业人员违反抗震设防强制性标准，降低工程抗震性能的，责令改正，处20万元以上50万元以下的罚款；情节严重的，处50万元以上500万元以下的罚款；造成损失的，依法承担赔偿责任。”</w:t>
            </w:r>
          </w:p>
          <w:p>
            <w:pPr>
              <w:widowControl/>
            </w:pPr>
          </w:p>
          <w:p>
            <w:pPr>
              <w:widowControl/>
              <w:rPr>
                <w:rFonts w:hint="eastAsia" w:ascii="仿宋_GB2312" w:hAnsi="仿宋_GB2312" w:eastAsia="仿宋_GB2312" w:cs="仿宋_GB2312"/>
                <w:bCs/>
                <w:kern w:val="0"/>
                <w:szCs w:val="21"/>
              </w:rPr>
            </w:pPr>
            <w:r>
              <w:rPr>
                <w:rFonts w:hint="eastAsia" w:ascii="仿宋_GB2312" w:hAnsi="仿宋_GB2312" w:eastAsia="仿宋_GB2312" w:cs="仿宋_GB2312"/>
                <w:bCs/>
                <w:kern w:val="0"/>
                <w:szCs w:val="21"/>
              </w:rPr>
              <w:t>第四十七条第一款：“依照本条例规定，给予单位罚款处罚的，对其直接负责的主管人员和其他直接责任人员处单位罚款数额5%以上10%以下的罚款。”</w:t>
            </w:r>
          </w:p>
          <w:p>
            <w:pPr>
              <w:ind w:firstLine="420" w:firstLineChars="200"/>
              <w:rPr>
                <w:rFonts w:hint="eastAsia" w:ascii="宋体" w:hAnsi="宋体" w:eastAsia="宋体" w:cs="黑体"/>
                <w:bCs/>
                <w:color w:val="000000"/>
              </w:rPr>
            </w:pPr>
          </w:p>
        </w:tc>
        <w:tc>
          <w:tcPr>
            <w:tcW w:w="413" w:type="pct"/>
            <w:vMerge w:val="restart"/>
            <w:vAlign w:val="center"/>
          </w:tcPr>
          <w:p>
            <w:pPr>
              <w:jc w:val="center"/>
              <w:rPr>
                <w:rFonts w:hint="eastAsia" w:ascii="宋体" w:hAnsi="宋体" w:eastAsia="宋体" w:cs="黑体"/>
                <w:bCs/>
                <w:color w:val="000000"/>
              </w:rPr>
            </w:pPr>
            <w:r>
              <w:rPr>
                <w:rFonts w:hint="eastAsia" w:ascii="仿宋_GB2312" w:hAnsi="仿宋_GB2312" w:eastAsia="仿宋_GB2312" w:cs="仿宋_GB2312"/>
                <w:bCs/>
                <w:spacing w:val="10"/>
                <w:szCs w:val="21"/>
              </w:rPr>
              <w:t>罚款</w:t>
            </w:r>
          </w:p>
        </w:tc>
        <w:tc>
          <w:tcPr>
            <w:tcW w:w="413"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从轻</w:t>
            </w:r>
          </w:p>
        </w:tc>
        <w:tc>
          <w:tcPr>
            <w:tcW w:w="882"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color w:val="000000"/>
                <w:szCs w:val="20"/>
              </w:rPr>
              <w:t>违反抗震设防强制性标准，未造成建筑抗震性能降低的</w:t>
            </w:r>
          </w:p>
        </w:tc>
        <w:tc>
          <w:tcPr>
            <w:tcW w:w="1026" w:type="pct"/>
            <w:vAlign w:val="center"/>
          </w:tcPr>
          <w:p>
            <w:pPr>
              <w:rPr>
                <w:rFonts w:hint="eastAsia" w:ascii="仿宋_GB2312" w:hAnsi="仿宋_GB2312" w:eastAsia="仿宋_GB2312" w:cs="仿宋_GB2312"/>
                <w:szCs w:val="21"/>
                <w:lang w:bidi="ar"/>
              </w:rPr>
            </w:pPr>
            <w:r>
              <w:rPr>
                <w:rFonts w:hint="eastAsia" w:ascii="仿宋_GB2312" w:hAnsi="仿宋_GB2312" w:eastAsia="仿宋_GB2312" w:cs="仿宋_GB2312"/>
                <w:szCs w:val="21"/>
                <w:lang w:bidi="ar"/>
              </w:rPr>
              <w:t>对建设单位</w:t>
            </w:r>
            <w:r>
              <w:rPr>
                <w:rFonts w:hint="eastAsia" w:ascii="仿宋_GB2312" w:hAnsi="仿宋_GB2312" w:eastAsia="仿宋_GB2312" w:cs="仿宋_GB2312"/>
                <w:bCs/>
                <w:color w:val="000000"/>
                <w:szCs w:val="21"/>
              </w:rPr>
              <w:t>责令改正，</w:t>
            </w:r>
            <w:r>
              <w:rPr>
                <w:rFonts w:hint="eastAsia" w:ascii="仿宋_GB2312" w:hAnsi="仿宋_GB2312" w:eastAsia="仿宋_GB2312" w:cs="仿宋_GB2312"/>
                <w:szCs w:val="21"/>
                <w:lang w:bidi="ar"/>
              </w:rPr>
              <w:t>处20万元以上、低于35万元的罚款；</w:t>
            </w:r>
          </w:p>
          <w:p>
            <w:pPr>
              <w:rPr>
                <w:rFonts w:hint="eastAsia" w:ascii="仿宋_GB2312" w:hAnsi="仿宋_GB2312" w:eastAsia="仿宋_GB2312" w:cs="仿宋_GB2312"/>
                <w:bCs/>
                <w:color w:val="000000"/>
                <w:szCs w:val="21"/>
              </w:rPr>
            </w:pPr>
            <w:r>
              <w:rPr>
                <w:rFonts w:hint="eastAsia" w:ascii="仿宋_GB2312" w:hAnsi="仿宋_GB2312" w:eastAsia="仿宋_GB2312" w:cs="仿宋_GB2312"/>
                <w:szCs w:val="21"/>
                <w:lang w:bidi="ar"/>
              </w:rPr>
              <w:t>对直接负责的主管人员和其他直接责任人员处单位罚款数额5%以上、低于7.5%的罚款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8" w:hRule="atLeast"/>
          <w:jc w:val="center"/>
        </w:trPr>
        <w:tc>
          <w:tcPr>
            <w:tcW w:w="301" w:type="pct"/>
            <w:vMerge w:val="continue"/>
            <w:vAlign w:val="center"/>
          </w:tcPr>
          <w:p>
            <w:pPr>
              <w:rPr>
                <w:rFonts w:hint="eastAsia" w:ascii="宋体" w:hAnsi="宋体" w:eastAsia="宋体" w:cs="黑体"/>
                <w:bCs/>
                <w:color w:val="000000"/>
              </w:rPr>
            </w:pPr>
          </w:p>
        </w:tc>
        <w:tc>
          <w:tcPr>
            <w:tcW w:w="451" w:type="pct"/>
            <w:vMerge w:val="continue"/>
            <w:vAlign w:val="center"/>
          </w:tcPr>
          <w:p>
            <w:pPr>
              <w:rPr>
                <w:rFonts w:hint="eastAsia" w:ascii="宋体" w:hAnsi="宋体" w:eastAsia="宋体" w:cs="黑体"/>
                <w:bCs/>
                <w:color w:val="000000"/>
              </w:rPr>
            </w:pPr>
          </w:p>
        </w:tc>
        <w:tc>
          <w:tcPr>
            <w:tcW w:w="430" w:type="pct"/>
            <w:vMerge w:val="continue"/>
            <w:vAlign w:val="center"/>
          </w:tcPr>
          <w:p>
            <w:pPr>
              <w:rPr>
                <w:rFonts w:hint="eastAsia" w:ascii="宋体" w:hAnsi="宋体" w:eastAsia="宋体" w:cs="黑体"/>
                <w:bCs/>
                <w:color w:val="000000"/>
              </w:rPr>
            </w:pPr>
          </w:p>
        </w:tc>
        <w:tc>
          <w:tcPr>
            <w:tcW w:w="1085"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13" w:type="pct"/>
            <w:vMerge w:val="continue"/>
            <w:vAlign w:val="center"/>
          </w:tcPr>
          <w:p>
            <w:pPr>
              <w:jc w:val="center"/>
              <w:rPr>
                <w:rFonts w:hint="eastAsia" w:ascii="宋体" w:hAnsi="宋体" w:eastAsia="宋体" w:cs="黑体"/>
                <w:bCs/>
                <w:color w:val="000000"/>
              </w:rPr>
            </w:pPr>
          </w:p>
        </w:tc>
        <w:tc>
          <w:tcPr>
            <w:tcW w:w="413"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一般</w:t>
            </w:r>
          </w:p>
        </w:tc>
        <w:tc>
          <w:tcPr>
            <w:tcW w:w="882"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color w:val="000000"/>
                <w:szCs w:val="20"/>
              </w:rPr>
              <w:t>违反抗震设防强制性标准，造成建筑抗震性能降低，但是不影响</w:t>
            </w:r>
            <w:r>
              <w:rPr>
                <w:rFonts w:hint="eastAsia" w:ascii="仿宋_GB2312" w:hAnsi="仿宋_GB2312" w:eastAsia="仿宋_GB2312" w:cs="仿宋_GB2312"/>
                <w:color w:val="000000"/>
              </w:rPr>
              <w:t>结构安全及重要使用功能且无需返修和加固处理能满足抗震和安全使用要求的</w:t>
            </w:r>
          </w:p>
        </w:tc>
        <w:tc>
          <w:tcPr>
            <w:tcW w:w="1026" w:type="pct"/>
            <w:vAlign w:val="center"/>
          </w:tcPr>
          <w:p>
            <w:pPr>
              <w:rPr>
                <w:rFonts w:hint="eastAsia" w:ascii="仿宋_GB2312" w:hAnsi="仿宋_GB2312" w:eastAsia="仿宋_GB2312" w:cs="仿宋_GB2312"/>
                <w:szCs w:val="21"/>
                <w:lang w:bidi="ar"/>
              </w:rPr>
            </w:pPr>
            <w:r>
              <w:rPr>
                <w:rFonts w:hint="eastAsia" w:ascii="仿宋_GB2312" w:hAnsi="仿宋_GB2312" w:eastAsia="仿宋_GB2312" w:cs="仿宋_GB2312"/>
                <w:szCs w:val="21"/>
                <w:lang w:bidi="ar"/>
              </w:rPr>
              <w:t>对建设单位</w:t>
            </w:r>
            <w:r>
              <w:rPr>
                <w:rFonts w:hint="eastAsia" w:ascii="仿宋_GB2312" w:hAnsi="仿宋_GB2312" w:eastAsia="仿宋_GB2312" w:cs="仿宋_GB2312"/>
                <w:bCs/>
                <w:color w:val="000000"/>
                <w:szCs w:val="21"/>
              </w:rPr>
              <w:t>责令改正，</w:t>
            </w:r>
            <w:r>
              <w:rPr>
                <w:rFonts w:hint="eastAsia" w:ascii="仿宋_GB2312" w:hAnsi="仿宋_GB2312" w:eastAsia="仿宋_GB2312" w:cs="仿宋_GB2312"/>
                <w:szCs w:val="21"/>
                <w:lang w:bidi="ar"/>
              </w:rPr>
              <w:t>处35万元的罚款；</w:t>
            </w:r>
          </w:p>
          <w:p>
            <w:pPr>
              <w:rPr>
                <w:rFonts w:hint="eastAsia" w:ascii="仿宋_GB2312" w:hAnsi="仿宋_GB2312" w:eastAsia="仿宋_GB2312" w:cs="仿宋_GB2312"/>
                <w:bCs/>
                <w:color w:val="000000"/>
              </w:rPr>
            </w:pPr>
            <w:r>
              <w:rPr>
                <w:rFonts w:hint="eastAsia" w:ascii="仿宋_GB2312" w:hAnsi="仿宋_GB2312" w:eastAsia="仿宋_GB2312" w:cs="仿宋_GB2312"/>
                <w:szCs w:val="21"/>
                <w:lang w:bidi="ar"/>
              </w:rPr>
              <w:t>对直接负责的主管人员和其他直接责任人员处单位罚款数额7.5%的罚款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5" w:hRule="atLeast"/>
          <w:jc w:val="center"/>
        </w:trPr>
        <w:tc>
          <w:tcPr>
            <w:tcW w:w="301" w:type="pct"/>
            <w:vMerge w:val="continue"/>
            <w:vAlign w:val="center"/>
          </w:tcPr>
          <w:p>
            <w:pPr>
              <w:rPr>
                <w:rFonts w:hint="eastAsia" w:ascii="宋体" w:hAnsi="宋体" w:eastAsia="宋体" w:cs="黑体"/>
                <w:bCs/>
                <w:color w:val="000000"/>
              </w:rPr>
            </w:pPr>
          </w:p>
        </w:tc>
        <w:tc>
          <w:tcPr>
            <w:tcW w:w="451" w:type="pct"/>
            <w:vMerge w:val="continue"/>
            <w:vAlign w:val="center"/>
          </w:tcPr>
          <w:p>
            <w:pPr>
              <w:rPr>
                <w:rFonts w:hint="eastAsia" w:ascii="宋体" w:hAnsi="宋体" w:eastAsia="宋体" w:cs="黑体"/>
                <w:bCs/>
                <w:color w:val="000000"/>
              </w:rPr>
            </w:pPr>
          </w:p>
        </w:tc>
        <w:tc>
          <w:tcPr>
            <w:tcW w:w="430" w:type="pct"/>
            <w:vMerge w:val="continue"/>
            <w:vAlign w:val="center"/>
          </w:tcPr>
          <w:p>
            <w:pPr>
              <w:rPr>
                <w:rFonts w:hint="eastAsia" w:ascii="宋体" w:hAnsi="宋体" w:eastAsia="宋体" w:cs="黑体"/>
                <w:bCs/>
                <w:color w:val="000000"/>
              </w:rPr>
            </w:pPr>
          </w:p>
        </w:tc>
        <w:tc>
          <w:tcPr>
            <w:tcW w:w="1085"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13" w:type="pct"/>
            <w:vMerge w:val="continue"/>
            <w:vAlign w:val="center"/>
          </w:tcPr>
          <w:p>
            <w:pPr>
              <w:jc w:val="center"/>
              <w:rPr>
                <w:rFonts w:hint="eastAsia" w:ascii="宋体" w:hAnsi="宋体" w:eastAsia="宋体" w:cs="黑体"/>
                <w:bCs/>
                <w:color w:val="000000"/>
              </w:rPr>
            </w:pPr>
          </w:p>
        </w:tc>
        <w:tc>
          <w:tcPr>
            <w:tcW w:w="413"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从重</w:t>
            </w:r>
          </w:p>
        </w:tc>
        <w:tc>
          <w:tcPr>
            <w:tcW w:w="882"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color w:val="000000"/>
                <w:szCs w:val="20"/>
              </w:rPr>
              <w:t>违反抗震设防强制性标准，造成建筑抗震性能降低，但是不影响</w:t>
            </w:r>
            <w:r>
              <w:rPr>
                <w:rFonts w:hint="eastAsia" w:ascii="仿宋_GB2312" w:hAnsi="仿宋_GB2312" w:eastAsia="仿宋_GB2312" w:cs="仿宋_GB2312"/>
                <w:color w:val="000000"/>
              </w:rPr>
              <w:t>结构安全及重要使用功能且经返修和加固处理能满足抗震和安全使用要求的</w:t>
            </w:r>
          </w:p>
        </w:tc>
        <w:tc>
          <w:tcPr>
            <w:tcW w:w="1026" w:type="pct"/>
            <w:vAlign w:val="center"/>
          </w:tcPr>
          <w:p>
            <w:pPr>
              <w:rPr>
                <w:rFonts w:hint="eastAsia" w:ascii="仿宋_GB2312" w:hAnsi="仿宋_GB2312" w:eastAsia="仿宋_GB2312" w:cs="仿宋_GB2312"/>
                <w:szCs w:val="21"/>
                <w:lang w:bidi="ar"/>
              </w:rPr>
            </w:pPr>
            <w:r>
              <w:rPr>
                <w:rFonts w:hint="eastAsia" w:ascii="仿宋_GB2312" w:hAnsi="仿宋_GB2312" w:eastAsia="仿宋_GB2312" w:cs="仿宋_GB2312"/>
                <w:szCs w:val="21"/>
                <w:lang w:bidi="ar"/>
              </w:rPr>
              <w:t>对建设单位处超过35万元、50万元以下的罚款；</w:t>
            </w:r>
          </w:p>
          <w:p>
            <w:pPr>
              <w:rPr>
                <w:rFonts w:hint="eastAsia" w:ascii="仿宋_GB2312" w:hAnsi="仿宋_GB2312" w:eastAsia="仿宋_GB2312" w:cs="仿宋_GB2312"/>
                <w:bCs/>
                <w:color w:val="000000"/>
              </w:rPr>
            </w:pPr>
            <w:r>
              <w:rPr>
                <w:rFonts w:hint="eastAsia" w:ascii="仿宋_GB2312" w:hAnsi="仿宋_GB2312" w:eastAsia="仿宋_GB2312" w:cs="仿宋_GB2312"/>
                <w:szCs w:val="21"/>
                <w:lang w:bidi="ar"/>
              </w:rPr>
              <w:t>对直接负责的主管人员和其他直接责任人员处单位罚款数额超过7.5%、10%以下的罚款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92" w:hRule="atLeast"/>
          <w:jc w:val="center"/>
        </w:trPr>
        <w:tc>
          <w:tcPr>
            <w:tcW w:w="301" w:type="pct"/>
            <w:vMerge w:val="continue"/>
            <w:vAlign w:val="center"/>
          </w:tcPr>
          <w:p>
            <w:pPr>
              <w:rPr>
                <w:rFonts w:hint="eastAsia" w:ascii="宋体" w:hAnsi="宋体" w:eastAsia="宋体" w:cs="黑体"/>
                <w:bCs/>
                <w:color w:val="000000"/>
              </w:rPr>
            </w:pPr>
          </w:p>
        </w:tc>
        <w:tc>
          <w:tcPr>
            <w:tcW w:w="451" w:type="pct"/>
            <w:vMerge w:val="continue"/>
            <w:vAlign w:val="center"/>
          </w:tcPr>
          <w:p>
            <w:pPr>
              <w:rPr>
                <w:rFonts w:hint="eastAsia" w:ascii="宋体" w:hAnsi="宋体" w:eastAsia="宋体" w:cs="黑体"/>
                <w:bCs/>
                <w:color w:val="000000"/>
              </w:rPr>
            </w:pPr>
          </w:p>
        </w:tc>
        <w:tc>
          <w:tcPr>
            <w:tcW w:w="430" w:type="pct"/>
            <w:vMerge w:val="continue"/>
            <w:vAlign w:val="center"/>
          </w:tcPr>
          <w:p>
            <w:pPr>
              <w:rPr>
                <w:rFonts w:hint="eastAsia" w:ascii="宋体" w:hAnsi="宋体" w:eastAsia="宋体" w:cs="黑体"/>
                <w:bCs/>
                <w:color w:val="000000"/>
              </w:rPr>
            </w:pPr>
          </w:p>
        </w:tc>
        <w:tc>
          <w:tcPr>
            <w:tcW w:w="1085"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13" w:type="pct"/>
            <w:vMerge w:val="continue"/>
            <w:vAlign w:val="center"/>
          </w:tcPr>
          <w:p>
            <w:pPr>
              <w:jc w:val="center"/>
              <w:rPr>
                <w:rFonts w:hint="eastAsia" w:ascii="宋体" w:hAnsi="宋体" w:eastAsia="宋体" w:cs="黑体"/>
                <w:bCs/>
                <w:color w:val="000000"/>
              </w:rPr>
            </w:pPr>
          </w:p>
        </w:tc>
        <w:tc>
          <w:tcPr>
            <w:tcW w:w="413"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从轻</w:t>
            </w:r>
          </w:p>
        </w:tc>
        <w:tc>
          <w:tcPr>
            <w:tcW w:w="882"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color w:val="000000"/>
                <w:szCs w:val="20"/>
              </w:rPr>
              <w:t>违反抗震设防强制性标准，造成建筑抗震性能降低，影响</w:t>
            </w:r>
            <w:r>
              <w:rPr>
                <w:rFonts w:hint="eastAsia" w:ascii="仿宋_GB2312" w:hAnsi="仿宋_GB2312" w:eastAsia="仿宋_GB2312" w:cs="仿宋_GB2312"/>
                <w:color w:val="000000"/>
              </w:rPr>
              <w:t>结构安全及重要使用功能且经返修和加固处理仍不能满足抗震和安全使用要求，未造成其他严重后果；或者未</w:t>
            </w:r>
            <w:r>
              <w:rPr>
                <w:rFonts w:hint="eastAsia" w:ascii="仿宋_GB2312" w:hAnsi="仿宋_GB2312" w:eastAsia="仿宋_GB2312" w:cs="仿宋_GB2312"/>
                <w:color w:val="000000"/>
                <w:szCs w:val="20"/>
              </w:rPr>
              <w:t>造成质量安全事故的</w:t>
            </w:r>
          </w:p>
        </w:tc>
        <w:tc>
          <w:tcPr>
            <w:tcW w:w="1026" w:type="pct"/>
            <w:vAlign w:val="center"/>
          </w:tcPr>
          <w:p>
            <w:pPr>
              <w:rPr>
                <w:rFonts w:hint="eastAsia" w:ascii="仿宋_GB2312" w:hAnsi="仿宋_GB2312" w:eastAsia="仿宋_GB2312" w:cs="仿宋_GB2312"/>
                <w:szCs w:val="21"/>
                <w:lang w:bidi="ar"/>
              </w:rPr>
            </w:pPr>
            <w:r>
              <w:rPr>
                <w:rFonts w:hint="eastAsia" w:ascii="仿宋_GB2312" w:hAnsi="仿宋_GB2312" w:eastAsia="仿宋_GB2312" w:cs="仿宋_GB2312"/>
                <w:szCs w:val="21"/>
                <w:lang w:bidi="ar"/>
              </w:rPr>
              <w:t>对建设单位</w:t>
            </w:r>
            <w:r>
              <w:rPr>
                <w:rFonts w:hint="eastAsia" w:ascii="仿宋_GB2312" w:hAnsi="仿宋_GB2312" w:eastAsia="仿宋_GB2312" w:cs="仿宋_GB2312"/>
                <w:bCs/>
                <w:color w:val="000000"/>
                <w:szCs w:val="21"/>
              </w:rPr>
              <w:t>责令改正，</w:t>
            </w:r>
            <w:r>
              <w:rPr>
                <w:rFonts w:hint="eastAsia" w:ascii="仿宋_GB2312" w:hAnsi="仿宋_GB2312" w:eastAsia="仿宋_GB2312" w:cs="仿宋_GB2312"/>
                <w:szCs w:val="21"/>
                <w:lang w:bidi="ar"/>
              </w:rPr>
              <w:t>处50万元以上、低于275万元的罚款；</w:t>
            </w:r>
          </w:p>
          <w:p>
            <w:pPr>
              <w:rPr>
                <w:rFonts w:hint="eastAsia" w:ascii="仿宋_GB2312" w:hAnsi="仿宋_GB2312" w:eastAsia="仿宋_GB2312" w:cs="仿宋_GB2312"/>
                <w:bCs/>
                <w:color w:val="000000"/>
              </w:rPr>
            </w:pPr>
            <w:r>
              <w:rPr>
                <w:rFonts w:hint="eastAsia" w:ascii="仿宋_GB2312" w:hAnsi="仿宋_GB2312" w:eastAsia="仿宋_GB2312" w:cs="仿宋_GB2312"/>
                <w:szCs w:val="21"/>
                <w:lang w:bidi="ar"/>
              </w:rPr>
              <w:t>对直接负责的主管人员和其他直接责任人员处单位罚款数额5%以上、低于7.5%的罚款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92" w:hRule="atLeast"/>
          <w:jc w:val="center"/>
        </w:trPr>
        <w:tc>
          <w:tcPr>
            <w:tcW w:w="301" w:type="pct"/>
            <w:vMerge w:val="continue"/>
            <w:vAlign w:val="center"/>
          </w:tcPr>
          <w:p>
            <w:pPr>
              <w:rPr>
                <w:rFonts w:hint="eastAsia" w:ascii="宋体" w:hAnsi="宋体" w:eastAsia="宋体" w:cs="黑体"/>
                <w:bCs/>
                <w:color w:val="000000"/>
              </w:rPr>
            </w:pPr>
          </w:p>
        </w:tc>
        <w:tc>
          <w:tcPr>
            <w:tcW w:w="451" w:type="pct"/>
            <w:vMerge w:val="continue"/>
            <w:vAlign w:val="center"/>
          </w:tcPr>
          <w:p>
            <w:pPr>
              <w:rPr>
                <w:rFonts w:hint="eastAsia" w:ascii="宋体" w:hAnsi="宋体" w:eastAsia="宋体" w:cs="黑体"/>
                <w:bCs/>
                <w:color w:val="000000"/>
              </w:rPr>
            </w:pPr>
          </w:p>
        </w:tc>
        <w:tc>
          <w:tcPr>
            <w:tcW w:w="430" w:type="pct"/>
            <w:vMerge w:val="continue"/>
            <w:vAlign w:val="center"/>
          </w:tcPr>
          <w:p>
            <w:pPr>
              <w:rPr>
                <w:rFonts w:hint="eastAsia" w:ascii="宋体" w:hAnsi="宋体" w:eastAsia="宋体" w:cs="黑体"/>
                <w:bCs/>
                <w:color w:val="000000"/>
              </w:rPr>
            </w:pPr>
          </w:p>
        </w:tc>
        <w:tc>
          <w:tcPr>
            <w:tcW w:w="1085"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13" w:type="pct"/>
            <w:vMerge w:val="continue"/>
            <w:vAlign w:val="center"/>
          </w:tcPr>
          <w:p>
            <w:pPr>
              <w:jc w:val="center"/>
              <w:rPr>
                <w:rFonts w:hint="eastAsia" w:ascii="宋体" w:hAnsi="宋体" w:eastAsia="宋体" w:cs="黑体"/>
                <w:bCs/>
                <w:color w:val="000000"/>
              </w:rPr>
            </w:pPr>
          </w:p>
        </w:tc>
        <w:tc>
          <w:tcPr>
            <w:tcW w:w="413"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一般</w:t>
            </w:r>
          </w:p>
        </w:tc>
        <w:tc>
          <w:tcPr>
            <w:tcW w:w="882"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color w:val="000000"/>
                <w:szCs w:val="20"/>
              </w:rPr>
              <w:t>违反抗震设防强制性标准，造成建筑抗震性能降低，影响</w:t>
            </w:r>
            <w:r>
              <w:rPr>
                <w:rFonts w:hint="eastAsia" w:ascii="仿宋_GB2312" w:hAnsi="仿宋_GB2312" w:eastAsia="仿宋_GB2312" w:cs="仿宋_GB2312"/>
                <w:color w:val="000000"/>
              </w:rPr>
              <w:t>结构安全及重要使用功能且经返修和加固处理仍不能满足抗震和安全使用要求,造成其他后果；或者</w:t>
            </w:r>
            <w:r>
              <w:rPr>
                <w:rFonts w:hint="eastAsia" w:ascii="仿宋_GB2312" w:hAnsi="仿宋_GB2312" w:eastAsia="仿宋_GB2312" w:cs="仿宋_GB2312"/>
                <w:color w:val="000000"/>
                <w:szCs w:val="20"/>
              </w:rPr>
              <w:t>造成质量安全事故的</w:t>
            </w:r>
          </w:p>
        </w:tc>
        <w:tc>
          <w:tcPr>
            <w:tcW w:w="1026" w:type="pct"/>
            <w:vAlign w:val="center"/>
          </w:tcPr>
          <w:p>
            <w:pPr>
              <w:rPr>
                <w:rFonts w:hint="eastAsia" w:ascii="仿宋_GB2312" w:hAnsi="仿宋_GB2312" w:eastAsia="仿宋_GB2312" w:cs="仿宋_GB2312"/>
                <w:szCs w:val="21"/>
                <w:lang w:bidi="ar"/>
              </w:rPr>
            </w:pPr>
            <w:r>
              <w:rPr>
                <w:rFonts w:hint="eastAsia" w:ascii="仿宋_GB2312" w:hAnsi="仿宋_GB2312" w:eastAsia="仿宋_GB2312" w:cs="仿宋_GB2312"/>
                <w:szCs w:val="21"/>
                <w:lang w:bidi="ar"/>
              </w:rPr>
              <w:t>对建设单位</w:t>
            </w:r>
            <w:r>
              <w:rPr>
                <w:rFonts w:hint="eastAsia" w:ascii="仿宋_GB2312" w:hAnsi="仿宋_GB2312" w:eastAsia="仿宋_GB2312" w:cs="仿宋_GB2312"/>
                <w:bCs/>
                <w:color w:val="000000"/>
                <w:szCs w:val="21"/>
              </w:rPr>
              <w:t>责令改正，</w:t>
            </w:r>
            <w:r>
              <w:rPr>
                <w:rFonts w:hint="eastAsia" w:ascii="仿宋_GB2312" w:hAnsi="仿宋_GB2312" w:eastAsia="仿宋_GB2312" w:cs="仿宋_GB2312"/>
                <w:szCs w:val="21"/>
                <w:lang w:bidi="ar"/>
              </w:rPr>
              <w:t>处275万元的罚款；</w:t>
            </w:r>
          </w:p>
          <w:p>
            <w:pPr>
              <w:rPr>
                <w:rFonts w:hint="eastAsia" w:ascii="仿宋_GB2312" w:hAnsi="仿宋_GB2312" w:eastAsia="仿宋_GB2312" w:cs="仿宋_GB2312"/>
                <w:bCs/>
                <w:color w:val="000000"/>
              </w:rPr>
            </w:pPr>
            <w:r>
              <w:rPr>
                <w:rFonts w:hint="eastAsia" w:ascii="仿宋_GB2312" w:hAnsi="仿宋_GB2312" w:eastAsia="仿宋_GB2312" w:cs="仿宋_GB2312"/>
                <w:szCs w:val="21"/>
                <w:lang w:bidi="ar"/>
              </w:rPr>
              <w:t>对直接负责的主管人员和其他直接责任人员处单位罚款数额7.5%的罚款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92" w:hRule="atLeast"/>
          <w:jc w:val="center"/>
        </w:trPr>
        <w:tc>
          <w:tcPr>
            <w:tcW w:w="301" w:type="pct"/>
            <w:vMerge w:val="continue"/>
            <w:vAlign w:val="center"/>
          </w:tcPr>
          <w:p>
            <w:pPr>
              <w:rPr>
                <w:rFonts w:hint="eastAsia" w:ascii="宋体" w:hAnsi="宋体" w:eastAsia="宋体" w:cs="黑体"/>
                <w:bCs/>
                <w:color w:val="000000"/>
              </w:rPr>
            </w:pPr>
          </w:p>
        </w:tc>
        <w:tc>
          <w:tcPr>
            <w:tcW w:w="451" w:type="pct"/>
            <w:vMerge w:val="continue"/>
            <w:vAlign w:val="center"/>
          </w:tcPr>
          <w:p>
            <w:pPr>
              <w:rPr>
                <w:rFonts w:hint="eastAsia" w:ascii="宋体" w:hAnsi="宋体" w:eastAsia="宋体" w:cs="黑体"/>
                <w:bCs/>
                <w:color w:val="000000"/>
              </w:rPr>
            </w:pPr>
          </w:p>
        </w:tc>
        <w:tc>
          <w:tcPr>
            <w:tcW w:w="430" w:type="pct"/>
            <w:vMerge w:val="continue"/>
            <w:vAlign w:val="center"/>
          </w:tcPr>
          <w:p>
            <w:pPr>
              <w:rPr>
                <w:rFonts w:hint="eastAsia" w:ascii="宋体" w:hAnsi="宋体" w:eastAsia="宋体" w:cs="黑体"/>
                <w:bCs/>
                <w:color w:val="000000"/>
              </w:rPr>
            </w:pPr>
          </w:p>
        </w:tc>
        <w:tc>
          <w:tcPr>
            <w:tcW w:w="1085"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13" w:type="pct"/>
            <w:vMerge w:val="continue"/>
            <w:vAlign w:val="center"/>
          </w:tcPr>
          <w:p>
            <w:pPr>
              <w:jc w:val="center"/>
              <w:rPr>
                <w:rFonts w:hint="eastAsia" w:ascii="宋体" w:hAnsi="宋体" w:eastAsia="宋体" w:cs="黑体"/>
                <w:bCs/>
                <w:color w:val="000000"/>
              </w:rPr>
            </w:pPr>
          </w:p>
        </w:tc>
        <w:tc>
          <w:tcPr>
            <w:tcW w:w="413"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从重</w:t>
            </w:r>
          </w:p>
        </w:tc>
        <w:tc>
          <w:tcPr>
            <w:tcW w:w="882"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color w:val="000000"/>
                <w:szCs w:val="20"/>
              </w:rPr>
              <w:t>违反抗震设防强制性标准，造成建筑抗震性能降低，影响</w:t>
            </w:r>
            <w:r>
              <w:rPr>
                <w:rFonts w:hint="eastAsia" w:ascii="仿宋_GB2312" w:hAnsi="仿宋_GB2312" w:eastAsia="仿宋_GB2312" w:cs="仿宋_GB2312"/>
                <w:color w:val="000000"/>
              </w:rPr>
              <w:t>结构安全及重要使用功能且经返修和加固处理仍不能满足抗震和安全使用要求或者造成其他严重后果；或者</w:t>
            </w:r>
            <w:r>
              <w:rPr>
                <w:rFonts w:hint="eastAsia" w:ascii="仿宋_GB2312" w:hAnsi="仿宋_GB2312" w:eastAsia="仿宋_GB2312" w:cs="仿宋_GB2312"/>
                <w:color w:val="000000"/>
                <w:szCs w:val="20"/>
              </w:rPr>
              <w:t>造成严重质量安全事故的</w:t>
            </w:r>
          </w:p>
        </w:tc>
        <w:tc>
          <w:tcPr>
            <w:tcW w:w="1026" w:type="pct"/>
            <w:vAlign w:val="center"/>
          </w:tcPr>
          <w:p>
            <w:pPr>
              <w:rPr>
                <w:rFonts w:hint="eastAsia" w:ascii="仿宋_GB2312" w:hAnsi="仿宋_GB2312" w:eastAsia="仿宋_GB2312" w:cs="仿宋_GB2312"/>
                <w:szCs w:val="21"/>
                <w:lang w:bidi="ar"/>
              </w:rPr>
            </w:pPr>
            <w:r>
              <w:rPr>
                <w:rFonts w:hint="eastAsia" w:ascii="仿宋_GB2312" w:hAnsi="仿宋_GB2312" w:eastAsia="仿宋_GB2312" w:cs="仿宋_GB2312"/>
                <w:szCs w:val="21"/>
                <w:lang w:bidi="ar"/>
              </w:rPr>
              <w:t>对建设单位处超过275万元、500万元以下的罚款；</w:t>
            </w:r>
          </w:p>
          <w:p>
            <w:pPr>
              <w:rPr>
                <w:rFonts w:hint="eastAsia" w:ascii="仿宋_GB2312" w:hAnsi="仿宋_GB2312" w:eastAsia="仿宋_GB2312" w:cs="仿宋_GB2312"/>
                <w:bCs/>
                <w:color w:val="000000"/>
              </w:rPr>
            </w:pPr>
            <w:r>
              <w:rPr>
                <w:rFonts w:hint="eastAsia" w:ascii="仿宋_GB2312" w:hAnsi="仿宋_GB2312" w:eastAsia="仿宋_GB2312" w:cs="仿宋_GB2312"/>
                <w:szCs w:val="21"/>
                <w:lang w:bidi="ar"/>
              </w:rPr>
              <w:t>对直接负责的主管人员和其他直接责任人员处单位罚款数额超过7.5%、10%以下的罚款</w:t>
            </w:r>
          </w:p>
        </w:tc>
      </w:tr>
    </w:tbl>
    <w:p>
      <w:pPr>
        <w:outlineLvl w:val="0"/>
        <w:rPr>
          <w:rFonts w:hint="eastAsia" w:ascii="宋体" w:hAnsi="宋体" w:cs="宋体"/>
          <w:color w:val="000000"/>
          <w:szCs w:val="20"/>
        </w:rPr>
      </w:pPr>
      <w:r>
        <w:rPr>
          <w:rFonts w:ascii="宋体" w:hAnsi="宋体" w:cs="宋体"/>
          <w:color w:val="000000"/>
          <w:szCs w:val="20"/>
        </w:rPr>
        <w:br w:type="page"/>
      </w:r>
    </w:p>
    <w:p>
      <w:pPr>
        <w:outlineLvl w:val="0"/>
        <w:rPr>
          <w:rFonts w:hint="eastAsia" w:ascii="宋体" w:hAnsi="宋体" w:cs="宋体"/>
          <w:b/>
          <w:kern w:val="44"/>
          <w:sz w:val="32"/>
          <w:szCs w:val="20"/>
        </w:rPr>
      </w:pPr>
      <w:r>
        <w:rPr>
          <w:rFonts w:hint="eastAsia" w:ascii="宋体" w:hAnsi="宋体" w:eastAsia="宋体 (正文)" w:cs="宋体"/>
          <w:color w:val="000000"/>
          <w:kern w:val="44"/>
          <w:sz w:val="32"/>
        </w:rPr>
        <w:t>《建设工程抗震管理条例》</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19"/>
        <w:gridCol w:w="1290"/>
        <w:gridCol w:w="2099"/>
        <w:gridCol w:w="2155"/>
        <w:gridCol w:w="1197"/>
        <w:gridCol w:w="1154"/>
        <w:gridCol w:w="2150"/>
        <w:gridCol w:w="33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blHeader/>
          <w:jc w:val="center"/>
        </w:trPr>
        <w:tc>
          <w:tcPr>
            <w:tcW w:w="289" w:type="pct"/>
            <w:vAlign w:val="center"/>
          </w:tcPr>
          <w:p>
            <w:pPr>
              <w:jc w:val="center"/>
              <w:rPr>
                <w:rFonts w:hint="eastAsia" w:ascii="仿宋_GB2312" w:hAnsi="仿宋_GB2312" w:eastAsia="仿宋_GB2312" w:cs="仿宋_GB2312"/>
                <w:b/>
                <w:bCs/>
                <w:color w:val="000000"/>
                <w:kern w:val="0"/>
                <w:szCs w:val="21"/>
              </w:rPr>
            </w:pPr>
            <w:r>
              <w:rPr>
                <w:rFonts w:hint="eastAsia" w:ascii="仿宋_GB2312" w:hAnsi="仿宋_GB2312" w:eastAsia="仿宋_GB2312" w:cs="仿宋_GB2312"/>
                <w:b/>
              </w:rPr>
              <w:t>序号</w:t>
            </w:r>
          </w:p>
        </w:tc>
        <w:tc>
          <w:tcPr>
            <w:tcW w:w="455" w:type="pct"/>
            <w:vAlign w:val="center"/>
          </w:tcPr>
          <w:p>
            <w:pPr>
              <w:jc w:val="center"/>
              <w:rPr>
                <w:rFonts w:hint="eastAsia" w:ascii="仿宋_GB2312" w:hAnsi="仿宋_GB2312" w:eastAsia="仿宋_GB2312" w:cs="仿宋_GB2312"/>
                <w:b/>
                <w:bCs/>
                <w:color w:val="000000"/>
                <w:kern w:val="0"/>
                <w:szCs w:val="21"/>
              </w:rPr>
            </w:pPr>
            <w:r>
              <w:rPr>
                <w:rFonts w:hint="eastAsia" w:ascii="仿宋_GB2312" w:hAnsi="仿宋_GB2312" w:eastAsia="仿宋_GB2312" w:cs="仿宋_GB2312"/>
                <w:b/>
              </w:rPr>
              <w:t>违法行为</w:t>
            </w:r>
          </w:p>
        </w:tc>
        <w:tc>
          <w:tcPr>
            <w:tcW w:w="740" w:type="pct"/>
            <w:vAlign w:val="center"/>
          </w:tcPr>
          <w:p>
            <w:pPr>
              <w:jc w:val="center"/>
              <w:rPr>
                <w:rFonts w:hint="eastAsia" w:ascii="仿宋_GB2312" w:hAnsi="仿宋_GB2312" w:eastAsia="仿宋_GB2312" w:cs="仿宋_GB2312"/>
                <w:b/>
                <w:bCs/>
                <w:color w:val="000000"/>
                <w:kern w:val="0"/>
                <w:szCs w:val="21"/>
                <w:lang w:val="en"/>
              </w:rPr>
            </w:pPr>
            <w:r>
              <w:rPr>
                <w:rFonts w:hint="eastAsia" w:ascii="仿宋_GB2312" w:hAnsi="仿宋_GB2312" w:eastAsia="仿宋_GB2312" w:cs="仿宋_GB2312"/>
                <w:b/>
                <w:lang w:val="en"/>
              </w:rPr>
              <w:t>违反条款</w:t>
            </w:r>
          </w:p>
        </w:tc>
        <w:tc>
          <w:tcPr>
            <w:tcW w:w="760" w:type="pct"/>
            <w:vAlign w:val="center"/>
          </w:tcPr>
          <w:p>
            <w:pPr>
              <w:jc w:val="center"/>
              <w:rPr>
                <w:rFonts w:hint="eastAsia" w:ascii="仿宋_GB2312" w:hAnsi="仿宋_GB2312" w:eastAsia="仿宋_GB2312" w:cs="仿宋_GB2312"/>
                <w:b/>
                <w:bCs/>
                <w:color w:val="000000"/>
                <w:kern w:val="0"/>
                <w:szCs w:val="21"/>
              </w:rPr>
            </w:pPr>
            <w:r>
              <w:rPr>
                <w:rFonts w:hint="eastAsia" w:ascii="仿宋_GB2312" w:hAnsi="仿宋_GB2312" w:eastAsia="仿宋_GB2312" w:cs="仿宋_GB2312"/>
                <w:b/>
              </w:rPr>
              <w:t>处罚依据</w:t>
            </w:r>
          </w:p>
        </w:tc>
        <w:tc>
          <w:tcPr>
            <w:tcW w:w="422" w:type="pct"/>
            <w:vAlign w:val="center"/>
          </w:tcPr>
          <w:p>
            <w:pPr>
              <w:jc w:val="center"/>
              <w:rPr>
                <w:rFonts w:hint="eastAsia" w:ascii="仿宋_GB2312" w:hAnsi="仿宋_GB2312" w:eastAsia="仿宋_GB2312" w:cs="仿宋_GB2312"/>
                <w:b/>
                <w:bCs/>
                <w:color w:val="000000"/>
                <w:kern w:val="0"/>
                <w:szCs w:val="21"/>
              </w:rPr>
            </w:pPr>
            <w:r>
              <w:rPr>
                <w:rFonts w:hint="eastAsia" w:ascii="仿宋_GB2312" w:hAnsi="仿宋_GB2312" w:eastAsia="仿宋_GB2312" w:cs="仿宋_GB2312"/>
                <w:b/>
              </w:rPr>
              <w:t>处罚种类</w:t>
            </w:r>
          </w:p>
        </w:tc>
        <w:tc>
          <w:tcPr>
            <w:tcW w:w="407" w:type="pct"/>
            <w:vAlign w:val="center"/>
          </w:tcPr>
          <w:p>
            <w:pPr>
              <w:jc w:val="center"/>
              <w:rPr>
                <w:rFonts w:hint="eastAsia" w:ascii="仿宋_GB2312" w:hAnsi="仿宋_GB2312" w:eastAsia="仿宋_GB2312" w:cs="仿宋_GB2312"/>
                <w:b/>
                <w:bCs/>
                <w:color w:val="000000"/>
                <w:kern w:val="0"/>
                <w:szCs w:val="21"/>
              </w:rPr>
            </w:pPr>
            <w:r>
              <w:rPr>
                <w:rFonts w:hint="eastAsia" w:ascii="仿宋_GB2312" w:hAnsi="仿宋_GB2312" w:eastAsia="仿宋_GB2312" w:cs="仿宋_GB2312"/>
                <w:b/>
              </w:rPr>
              <w:t>裁量阶次</w:t>
            </w:r>
          </w:p>
        </w:tc>
        <w:tc>
          <w:tcPr>
            <w:tcW w:w="758" w:type="pct"/>
            <w:vAlign w:val="center"/>
          </w:tcPr>
          <w:p>
            <w:pPr>
              <w:jc w:val="center"/>
              <w:rPr>
                <w:rFonts w:hint="eastAsia" w:ascii="仿宋_GB2312" w:hAnsi="仿宋_GB2312" w:eastAsia="仿宋_GB2312" w:cs="仿宋_GB2312"/>
                <w:b/>
                <w:bCs/>
                <w:color w:val="000000"/>
                <w:kern w:val="0"/>
                <w:szCs w:val="21"/>
              </w:rPr>
            </w:pPr>
            <w:r>
              <w:rPr>
                <w:rFonts w:hint="eastAsia" w:ascii="仿宋_GB2312" w:hAnsi="仿宋_GB2312" w:eastAsia="仿宋_GB2312" w:cs="仿宋_GB2312"/>
                <w:b/>
              </w:rPr>
              <w:t>适用条件</w:t>
            </w:r>
          </w:p>
        </w:tc>
        <w:tc>
          <w:tcPr>
            <w:tcW w:w="1167" w:type="pct"/>
            <w:vAlign w:val="center"/>
          </w:tcPr>
          <w:p>
            <w:pPr>
              <w:jc w:val="center"/>
              <w:rPr>
                <w:rFonts w:hint="eastAsia" w:ascii="仿宋_GB2312" w:hAnsi="仿宋_GB2312" w:eastAsia="仿宋_GB2312" w:cs="仿宋_GB2312"/>
                <w:color w:val="000000"/>
                <w:szCs w:val="20"/>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38" w:hRule="atLeast"/>
          <w:jc w:val="center"/>
        </w:trPr>
        <w:tc>
          <w:tcPr>
            <w:tcW w:w="289" w:type="pct"/>
            <w:vMerge w:val="restart"/>
            <w:vAlign w:val="center"/>
          </w:tcPr>
          <w:p>
            <w:pPr>
              <w:widowControl/>
              <w:jc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lang w:val="en"/>
              </w:rPr>
              <w:t>103.2</w:t>
            </w:r>
          </w:p>
        </w:tc>
        <w:tc>
          <w:tcPr>
            <w:tcW w:w="455" w:type="pct"/>
            <w:vMerge w:val="restart"/>
            <w:vAlign w:val="center"/>
          </w:tcPr>
          <w:p>
            <w:pPr>
              <w:rPr>
                <w:rFonts w:hint="eastAsia" w:ascii="仿宋_GB2312" w:hAnsi="仿宋_GB2312" w:eastAsia="仿宋_GB2312" w:cs="仿宋_GB2312"/>
                <w:b/>
                <w:color w:val="000000"/>
                <w:szCs w:val="21"/>
              </w:rPr>
            </w:pPr>
            <w:r>
              <w:rPr>
                <w:rFonts w:hint="eastAsia" w:ascii="仿宋_GB2312" w:hAnsi="仿宋_GB2312" w:eastAsia="仿宋_GB2312" w:cs="仿宋_GB2312"/>
                <w:color w:val="000000"/>
                <w:szCs w:val="20"/>
              </w:rPr>
              <w:t>建设单位未经超限高层建筑工程抗震设防审批进行施工的</w:t>
            </w:r>
          </w:p>
        </w:tc>
        <w:tc>
          <w:tcPr>
            <w:tcW w:w="740" w:type="pct"/>
            <w:vMerge w:val="restart"/>
            <w:vAlign w:val="center"/>
          </w:tcPr>
          <w:p>
            <w:pPr>
              <w:rPr>
                <w:rFonts w:hint="eastAsia" w:ascii="仿宋_GB2312" w:hAnsi="仿宋_GB2312" w:eastAsia="仿宋_GB2312" w:cs="仿宋_GB2312"/>
                <w:color w:val="000000"/>
                <w:szCs w:val="20"/>
              </w:rPr>
            </w:pPr>
            <w:r>
              <w:rPr>
                <w:rFonts w:hint="eastAsia" w:ascii="仿宋_GB2312" w:hAnsi="仿宋_GB2312" w:eastAsia="仿宋_GB2312" w:cs="仿宋_GB2312"/>
                <w:color w:val="000000"/>
                <w:szCs w:val="20"/>
              </w:rPr>
              <w:t>第十三条第一款：“对超限高层建筑工程，设计单位应当在设计文件中予以说明，建设单位应当在初步设计阶段将设计文件等材料报送省、自治区、直辖市人民政府住房和城乡建设主管部门进行抗震设防审批。住房和城乡建设主管部门应当组织专家审查，对采取的抗震设防措施合理可行的，予以批准。超限高层建筑工程抗震设防审批意见应当作为施工图设计和审查的依据。”</w:t>
            </w:r>
          </w:p>
        </w:tc>
        <w:tc>
          <w:tcPr>
            <w:tcW w:w="760" w:type="pct"/>
            <w:vMerge w:val="restart"/>
            <w:vAlign w:val="center"/>
          </w:tcPr>
          <w:p>
            <w:pPr>
              <w:rPr>
                <w:rFonts w:hint="eastAsia" w:ascii="仿宋_GB2312" w:hAnsi="仿宋_GB2312" w:eastAsia="仿宋_GB2312" w:cs="仿宋_GB2312"/>
                <w:color w:val="000000"/>
                <w:szCs w:val="20"/>
              </w:rPr>
            </w:pPr>
            <w:r>
              <w:rPr>
                <w:rFonts w:hint="eastAsia" w:ascii="仿宋_GB2312" w:hAnsi="仿宋_GB2312" w:eastAsia="仿宋_GB2312" w:cs="仿宋_GB2312"/>
                <w:color w:val="000000"/>
                <w:szCs w:val="20"/>
              </w:rPr>
              <w:t>第四十条第二款：“违反本条例规定，建设单位未经超限高层建筑工程抗震设防审批进行施工的，责令停止施工，限期改正，处20万元以上100万元以下的罚款；造成损失的，依法承担赔偿责任。”</w:t>
            </w:r>
          </w:p>
          <w:p/>
          <w:p>
            <w:pPr>
              <w:widowControl/>
              <w:rPr>
                <w:rFonts w:hint="eastAsia" w:ascii="仿宋_GB2312" w:hAnsi="仿宋_GB2312" w:eastAsia="仿宋_GB2312" w:cs="仿宋_GB2312"/>
                <w:color w:val="000000"/>
                <w:szCs w:val="20"/>
              </w:rPr>
            </w:pPr>
            <w:r>
              <w:rPr>
                <w:rFonts w:hint="eastAsia" w:ascii="仿宋_GB2312" w:hAnsi="仿宋_GB2312" w:eastAsia="仿宋_GB2312" w:cs="仿宋_GB2312"/>
                <w:bCs/>
                <w:kern w:val="0"/>
                <w:szCs w:val="21"/>
              </w:rPr>
              <w:t>第四十七条第一款：“依照本条例规定，给予单位罚款处罚的，对其直接负责的主管人员和其他直接责任人员处单位罚款数额5%以上10%以下的罚款。”</w:t>
            </w:r>
          </w:p>
        </w:tc>
        <w:tc>
          <w:tcPr>
            <w:tcW w:w="422" w:type="pct"/>
            <w:vMerge w:val="restar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rPr>
              <w:t>罚款</w:t>
            </w:r>
          </w:p>
        </w:tc>
        <w:tc>
          <w:tcPr>
            <w:tcW w:w="407"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rPr>
              <w:t>从轻</w:t>
            </w:r>
          </w:p>
        </w:tc>
        <w:tc>
          <w:tcPr>
            <w:tcW w:w="758" w:type="pc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color w:val="000000"/>
              </w:rPr>
              <w:t>未涉及结构安全及重要使用功能的</w:t>
            </w:r>
          </w:p>
        </w:tc>
        <w:tc>
          <w:tcPr>
            <w:tcW w:w="1167" w:type="pct"/>
            <w:vAlign w:val="center"/>
          </w:tcPr>
          <w:p>
            <w:pPr>
              <w:rPr>
                <w:rFonts w:hint="eastAsia" w:ascii="仿宋_GB2312" w:hAnsi="仿宋_GB2312" w:eastAsia="仿宋_GB2312" w:cs="仿宋_GB2312"/>
                <w:color w:val="000000"/>
                <w:szCs w:val="20"/>
              </w:rPr>
            </w:pPr>
            <w:r>
              <w:rPr>
                <w:rFonts w:hint="eastAsia" w:ascii="仿宋_GB2312" w:hAnsi="仿宋_GB2312" w:eastAsia="仿宋_GB2312" w:cs="仿宋_GB2312"/>
                <w:color w:val="000000"/>
                <w:szCs w:val="20"/>
              </w:rPr>
              <w:t>对建设单位责令停止施工，限期改正，处20万元以上、低于60万元以下的罚款；</w:t>
            </w:r>
          </w:p>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对单位</w:t>
            </w:r>
            <w:r>
              <w:rPr>
                <w:rFonts w:hint="eastAsia" w:ascii="仿宋_GB2312" w:hAnsi="仿宋_GB2312" w:eastAsia="仿宋_GB2312" w:cs="仿宋_GB2312"/>
                <w:color w:val="000000"/>
                <w:szCs w:val="20"/>
              </w:rPr>
              <w:t>直接负责的主管人员和其他直接责任人员处单位罚款数额5%以上、低于7.5%的罚款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8" w:hRule="atLeast"/>
          <w:jc w:val="center"/>
        </w:trPr>
        <w:tc>
          <w:tcPr>
            <w:tcW w:w="289" w:type="pct"/>
            <w:vMerge w:val="continue"/>
            <w:vAlign w:val="center"/>
          </w:tcPr>
          <w:p>
            <w:pPr>
              <w:rPr>
                <w:rFonts w:hint="eastAsia" w:ascii="仿宋_GB2312" w:hAnsi="仿宋_GB2312" w:eastAsia="仿宋_GB2312" w:cs="仿宋_GB2312"/>
                <w:color w:val="000000"/>
                <w:szCs w:val="20"/>
              </w:rPr>
            </w:pPr>
          </w:p>
        </w:tc>
        <w:tc>
          <w:tcPr>
            <w:tcW w:w="455" w:type="pct"/>
            <w:vMerge w:val="continue"/>
            <w:vAlign w:val="center"/>
          </w:tcPr>
          <w:p>
            <w:pPr>
              <w:rPr>
                <w:rFonts w:hint="eastAsia" w:ascii="仿宋_GB2312" w:hAnsi="仿宋_GB2312" w:eastAsia="仿宋_GB2312" w:cs="仿宋_GB2312"/>
                <w:color w:val="000000"/>
                <w:szCs w:val="20"/>
              </w:rPr>
            </w:pPr>
          </w:p>
        </w:tc>
        <w:tc>
          <w:tcPr>
            <w:tcW w:w="740" w:type="pct"/>
            <w:vMerge w:val="continue"/>
            <w:vAlign w:val="center"/>
          </w:tcPr>
          <w:p>
            <w:pPr>
              <w:rPr>
                <w:rFonts w:hint="eastAsia" w:ascii="仿宋_GB2312" w:hAnsi="仿宋_GB2312" w:eastAsia="仿宋_GB2312" w:cs="仿宋_GB2312"/>
                <w:color w:val="000000"/>
                <w:szCs w:val="20"/>
              </w:rPr>
            </w:pPr>
          </w:p>
        </w:tc>
        <w:tc>
          <w:tcPr>
            <w:tcW w:w="760" w:type="pct"/>
            <w:vMerge w:val="continue"/>
            <w:vAlign w:val="center"/>
          </w:tcPr>
          <w:p>
            <w:pPr>
              <w:rPr>
                <w:rFonts w:hint="eastAsia" w:ascii="仿宋_GB2312" w:hAnsi="仿宋_GB2312" w:eastAsia="仿宋_GB2312" w:cs="仿宋_GB2312"/>
                <w:color w:val="000000"/>
                <w:szCs w:val="20"/>
              </w:rPr>
            </w:pPr>
          </w:p>
        </w:tc>
        <w:tc>
          <w:tcPr>
            <w:tcW w:w="422" w:type="pct"/>
            <w:vMerge w:val="continue"/>
            <w:vAlign w:val="center"/>
          </w:tcPr>
          <w:p>
            <w:pPr>
              <w:jc w:val="center"/>
              <w:rPr>
                <w:rFonts w:hint="eastAsia" w:ascii="仿宋_GB2312" w:hAnsi="仿宋_GB2312" w:eastAsia="仿宋_GB2312" w:cs="仿宋_GB2312"/>
                <w:bCs/>
                <w:color w:val="000000"/>
                <w:kern w:val="0"/>
                <w:szCs w:val="21"/>
              </w:rPr>
            </w:pPr>
          </w:p>
        </w:tc>
        <w:tc>
          <w:tcPr>
            <w:tcW w:w="407"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rPr>
              <w:t>一般</w:t>
            </w:r>
          </w:p>
        </w:tc>
        <w:tc>
          <w:tcPr>
            <w:tcW w:w="758" w:type="pct"/>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rPr>
              <w:t>涉及结构安全及重要使用功能，但经返修和加固处理能满足节能和安全使用要求的</w:t>
            </w:r>
          </w:p>
        </w:tc>
        <w:tc>
          <w:tcPr>
            <w:tcW w:w="1167" w:type="pct"/>
            <w:vAlign w:val="center"/>
          </w:tcPr>
          <w:p>
            <w:pPr>
              <w:rPr>
                <w:rFonts w:hint="eastAsia" w:ascii="仿宋_GB2312" w:hAnsi="仿宋_GB2312" w:eastAsia="仿宋_GB2312" w:cs="仿宋_GB2312"/>
                <w:color w:val="000000"/>
                <w:szCs w:val="20"/>
              </w:rPr>
            </w:pPr>
            <w:r>
              <w:rPr>
                <w:rFonts w:hint="eastAsia" w:ascii="仿宋_GB2312" w:hAnsi="仿宋_GB2312" w:eastAsia="仿宋_GB2312" w:cs="仿宋_GB2312"/>
                <w:color w:val="000000"/>
                <w:szCs w:val="20"/>
              </w:rPr>
              <w:t>对建设单位责令停止施工，限期改正，处60万元的罚款；</w:t>
            </w:r>
          </w:p>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对单位</w:t>
            </w:r>
            <w:r>
              <w:rPr>
                <w:rFonts w:hint="eastAsia" w:ascii="仿宋_GB2312" w:hAnsi="仿宋_GB2312" w:eastAsia="仿宋_GB2312" w:cs="仿宋_GB2312"/>
                <w:color w:val="000000"/>
                <w:szCs w:val="20"/>
              </w:rPr>
              <w:t>直接负责的主管人员和其他直接责任人员处单位罚款数额7.5%的罚款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78" w:hRule="atLeast"/>
          <w:jc w:val="center"/>
        </w:trPr>
        <w:tc>
          <w:tcPr>
            <w:tcW w:w="289" w:type="pct"/>
            <w:vMerge w:val="continue"/>
            <w:vAlign w:val="center"/>
          </w:tcPr>
          <w:p>
            <w:pPr>
              <w:rPr>
                <w:rFonts w:hint="eastAsia" w:ascii="仿宋_GB2312" w:hAnsi="仿宋_GB2312" w:eastAsia="仿宋_GB2312" w:cs="仿宋_GB2312"/>
                <w:color w:val="000000"/>
                <w:szCs w:val="20"/>
              </w:rPr>
            </w:pPr>
          </w:p>
        </w:tc>
        <w:tc>
          <w:tcPr>
            <w:tcW w:w="455" w:type="pct"/>
            <w:vMerge w:val="continue"/>
            <w:vAlign w:val="center"/>
          </w:tcPr>
          <w:p>
            <w:pPr>
              <w:rPr>
                <w:rFonts w:hint="eastAsia" w:ascii="仿宋_GB2312" w:hAnsi="仿宋_GB2312" w:eastAsia="仿宋_GB2312" w:cs="仿宋_GB2312"/>
                <w:color w:val="000000"/>
                <w:szCs w:val="20"/>
              </w:rPr>
            </w:pPr>
          </w:p>
        </w:tc>
        <w:tc>
          <w:tcPr>
            <w:tcW w:w="740" w:type="pct"/>
            <w:vMerge w:val="continue"/>
            <w:vAlign w:val="center"/>
          </w:tcPr>
          <w:p>
            <w:pPr>
              <w:rPr>
                <w:rFonts w:hint="eastAsia" w:ascii="仿宋_GB2312" w:hAnsi="仿宋_GB2312" w:eastAsia="仿宋_GB2312" w:cs="仿宋_GB2312"/>
                <w:color w:val="000000"/>
                <w:szCs w:val="20"/>
              </w:rPr>
            </w:pPr>
          </w:p>
        </w:tc>
        <w:tc>
          <w:tcPr>
            <w:tcW w:w="760" w:type="pct"/>
            <w:vMerge w:val="continue"/>
            <w:vAlign w:val="center"/>
          </w:tcPr>
          <w:p>
            <w:pPr>
              <w:rPr>
                <w:rFonts w:hint="eastAsia" w:ascii="仿宋_GB2312" w:hAnsi="仿宋_GB2312" w:eastAsia="仿宋_GB2312" w:cs="仿宋_GB2312"/>
                <w:color w:val="000000"/>
                <w:szCs w:val="20"/>
              </w:rPr>
            </w:pPr>
          </w:p>
        </w:tc>
        <w:tc>
          <w:tcPr>
            <w:tcW w:w="422" w:type="pct"/>
            <w:vMerge w:val="continue"/>
            <w:vAlign w:val="center"/>
          </w:tcPr>
          <w:p>
            <w:pPr>
              <w:jc w:val="center"/>
              <w:rPr>
                <w:rFonts w:hint="eastAsia" w:ascii="仿宋_GB2312" w:hAnsi="仿宋_GB2312" w:eastAsia="仿宋_GB2312" w:cs="仿宋_GB2312"/>
                <w:bCs/>
                <w:color w:val="000000"/>
                <w:kern w:val="0"/>
                <w:szCs w:val="21"/>
              </w:rPr>
            </w:pPr>
          </w:p>
        </w:tc>
        <w:tc>
          <w:tcPr>
            <w:tcW w:w="407"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rPr>
              <w:t>从重</w:t>
            </w:r>
          </w:p>
        </w:tc>
        <w:tc>
          <w:tcPr>
            <w:tcW w:w="758" w:type="pct"/>
            <w:vAlign w:val="center"/>
          </w:tcPr>
          <w:p>
            <w:pPr>
              <w:rPr>
                <w:rFonts w:hint="eastAsia" w:ascii="仿宋_GB2312" w:hAnsi="仿宋_GB2312" w:eastAsia="仿宋_GB2312" w:cs="仿宋_GB2312"/>
                <w:color w:val="000000"/>
              </w:rPr>
            </w:pPr>
            <w:r>
              <w:rPr>
                <w:rFonts w:hint="eastAsia" w:ascii="仿宋_GB2312" w:hAnsi="仿宋_GB2312" w:eastAsia="仿宋_GB2312" w:cs="仿宋_GB2312"/>
                <w:color w:val="000000"/>
              </w:rPr>
              <w:t>涉及结构安全及重要使用功能造成严重缺陷，且经返修和加固处理仍不能满足安全使用要求的，或造成质量安全事故的</w:t>
            </w:r>
          </w:p>
        </w:tc>
        <w:tc>
          <w:tcPr>
            <w:tcW w:w="1167" w:type="pct"/>
            <w:vAlign w:val="center"/>
          </w:tcPr>
          <w:p>
            <w:pPr>
              <w:rPr>
                <w:rFonts w:hint="eastAsia" w:ascii="仿宋_GB2312" w:hAnsi="仿宋_GB2312" w:eastAsia="仿宋_GB2312" w:cs="仿宋_GB2312"/>
                <w:color w:val="000000"/>
                <w:szCs w:val="20"/>
              </w:rPr>
            </w:pPr>
            <w:r>
              <w:rPr>
                <w:rFonts w:hint="eastAsia" w:ascii="仿宋_GB2312" w:hAnsi="仿宋_GB2312" w:eastAsia="仿宋_GB2312" w:cs="仿宋_GB2312"/>
                <w:color w:val="000000"/>
                <w:szCs w:val="20"/>
              </w:rPr>
              <w:t>对建设单位责令停止施工，限期改正，处超过60万元、100万元以下的罚款；</w:t>
            </w:r>
          </w:p>
          <w:p>
            <w:pPr>
              <w:rPr>
                <w:rFonts w:hint="eastAsia" w:ascii="仿宋_GB2312" w:hAnsi="仿宋_GB2312" w:eastAsia="仿宋_GB2312" w:cs="仿宋_GB2312"/>
                <w:color w:val="000000"/>
                <w:szCs w:val="20"/>
              </w:rPr>
            </w:pPr>
            <w:r>
              <w:rPr>
                <w:rFonts w:hint="eastAsia" w:ascii="仿宋_GB2312" w:hAnsi="仿宋_GB2312" w:eastAsia="仿宋_GB2312" w:cs="仿宋_GB2312"/>
                <w:color w:val="000000"/>
                <w:szCs w:val="21"/>
              </w:rPr>
              <w:t>对单位</w:t>
            </w:r>
            <w:r>
              <w:rPr>
                <w:rFonts w:hint="eastAsia" w:ascii="仿宋_GB2312" w:hAnsi="仿宋_GB2312" w:eastAsia="仿宋_GB2312" w:cs="仿宋_GB2312"/>
                <w:color w:val="000000"/>
                <w:szCs w:val="20"/>
              </w:rPr>
              <w:t>直接负责的主管人员和其他直接责任人员处单位罚款数额超过7.5%、10%以下的罚款</w:t>
            </w:r>
          </w:p>
        </w:tc>
      </w:tr>
    </w:tbl>
    <w:p>
      <w:pPr>
        <w:outlineLvl w:val="0"/>
        <w:rPr>
          <w:rFonts w:hint="eastAsia" w:ascii="宋体" w:hAnsi="宋体" w:cs="宋体"/>
          <w:b/>
          <w:kern w:val="44"/>
          <w:sz w:val="32"/>
          <w:szCs w:val="20"/>
        </w:rPr>
      </w:pPr>
      <w:r>
        <w:rPr>
          <w:rFonts w:hint="eastAsia" w:ascii="宋体" w:hAnsi="宋体" w:eastAsia="宋体 (正文)" w:cs="宋体"/>
          <w:color w:val="000000"/>
          <w:kern w:val="44"/>
          <w:sz w:val="32"/>
        </w:rPr>
        <w:t>《建设工程抗震管理条例》</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9"/>
        <w:gridCol w:w="1681"/>
        <w:gridCol w:w="1820"/>
        <w:gridCol w:w="2798"/>
        <w:gridCol w:w="1151"/>
        <w:gridCol w:w="1221"/>
        <w:gridCol w:w="1650"/>
        <w:gridCol w:w="30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blHeader/>
          <w:jc w:val="center"/>
        </w:trPr>
        <w:tc>
          <w:tcPr>
            <w:tcW w:w="296" w:type="pct"/>
            <w:vAlign w:val="center"/>
          </w:tcPr>
          <w:p>
            <w:pPr>
              <w:jc w:val="center"/>
              <w:rPr>
                <w:rFonts w:hint="eastAsia" w:ascii="仿宋_GB2312" w:hAnsi="仿宋_GB2312" w:eastAsia="仿宋_GB2312" w:cs="仿宋_GB2312"/>
                <w:b/>
                <w:bCs/>
                <w:color w:val="000000"/>
                <w:kern w:val="0"/>
                <w:szCs w:val="21"/>
              </w:rPr>
            </w:pPr>
            <w:r>
              <w:rPr>
                <w:rFonts w:hint="eastAsia" w:ascii="仿宋_GB2312" w:hAnsi="仿宋_GB2312" w:eastAsia="仿宋_GB2312" w:cs="仿宋_GB2312"/>
                <w:b/>
              </w:rPr>
              <w:t>序号</w:t>
            </w:r>
          </w:p>
        </w:tc>
        <w:tc>
          <w:tcPr>
            <w:tcW w:w="593" w:type="pct"/>
            <w:vAlign w:val="center"/>
          </w:tcPr>
          <w:p>
            <w:pPr>
              <w:jc w:val="center"/>
              <w:rPr>
                <w:rFonts w:hint="eastAsia" w:ascii="仿宋_GB2312" w:hAnsi="仿宋_GB2312" w:eastAsia="仿宋_GB2312" w:cs="仿宋_GB2312"/>
                <w:b/>
                <w:bCs/>
                <w:color w:val="000000"/>
                <w:kern w:val="0"/>
                <w:szCs w:val="21"/>
              </w:rPr>
            </w:pPr>
            <w:r>
              <w:rPr>
                <w:rFonts w:hint="eastAsia" w:ascii="仿宋_GB2312" w:hAnsi="仿宋_GB2312" w:eastAsia="仿宋_GB2312" w:cs="仿宋_GB2312"/>
                <w:b/>
              </w:rPr>
              <w:t>违法行为</w:t>
            </w:r>
          </w:p>
        </w:tc>
        <w:tc>
          <w:tcPr>
            <w:tcW w:w="642" w:type="pct"/>
            <w:vAlign w:val="center"/>
          </w:tcPr>
          <w:p>
            <w:pPr>
              <w:jc w:val="center"/>
              <w:rPr>
                <w:rFonts w:hint="eastAsia" w:ascii="仿宋_GB2312" w:hAnsi="仿宋_GB2312" w:eastAsia="仿宋_GB2312" w:cs="仿宋_GB2312"/>
                <w:b/>
                <w:bCs/>
                <w:color w:val="000000"/>
                <w:kern w:val="0"/>
                <w:szCs w:val="21"/>
                <w:lang w:val="en"/>
              </w:rPr>
            </w:pPr>
            <w:r>
              <w:rPr>
                <w:rFonts w:hint="eastAsia" w:ascii="仿宋_GB2312" w:hAnsi="仿宋_GB2312" w:eastAsia="仿宋_GB2312" w:cs="仿宋_GB2312"/>
                <w:b/>
                <w:lang w:val="en"/>
              </w:rPr>
              <w:t>违反条款</w:t>
            </w:r>
          </w:p>
        </w:tc>
        <w:tc>
          <w:tcPr>
            <w:tcW w:w="987" w:type="pct"/>
            <w:vAlign w:val="center"/>
          </w:tcPr>
          <w:p>
            <w:pPr>
              <w:jc w:val="center"/>
              <w:rPr>
                <w:rFonts w:hint="eastAsia" w:ascii="仿宋_GB2312" w:hAnsi="仿宋_GB2312" w:eastAsia="仿宋_GB2312" w:cs="仿宋_GB2312"/>
                <w:b/>
                <w:bCs/>
                <w:color w:val="000000"/>
                <w:kern w:val="0"/>
                <w:szCs w:val="21"/>
              </w:rPr>
            </w:pPr>
            <w:r>
              <w:rPr>
                <w:rFonts w:hint="eastAsia" w:ascii="仿宋_GB2312" w:hAnsi="仿宋_GB2312" w:eastAsia="仿宋_GB2312" w:cs="仿宋_GB2312"/>
                <w:b/>
              </w:rPr>
              <w:t>处罚依据</w:t>
            </w:r>
          </w:p>
        </w:tc>
        <w:tc>
          <w:tcPr>
            <w:tcW w:w="406" w:type="pct"/>
            <w:vAlign w:val="center"/>
          </w:tcPr>
          <w:p>
            <w:pPr>
              <w:jc w:val="center"/>
              <w:rPr>
                <w:rFonts w:hint="eastAsia" w:ascii="仿宋_GB2312" w:hAnsi="仿宋_GB2312" w:eastAsia="仿宋_GB2312" w:cs="仿宋_GB2312"/>
                <w:b/>
                <w:bCs/>
                <w:color w:val="000000"/>
                <w:kern w:val="0"/>
                <w:szCs w:val="21"/>
              </w:rPr>
            </w:pPr>
            <w:r>
              <w:rPr>
                <w:rFonts w:hint="eastAsia" w:ascii="仿宋_GB2312" w:hAnsi="仿宋_GB2312" w:eastAsia="仿宋_GB2312" w:cs="仿宋_GB2312"/>
                <w:b/>
              </w:rPr>
              <w:t>处罚种类</w:t>
            </w:r>
          </w:p>
        </w:tc>
        <w:tc>
          <w:tcPr>
            <w:tcW w:w="431" w:type="pct"/>
            <w:vAlign w:val="center"/>
          </w:tcPr>
          <w:p>
            <w:pPr>
              <w:jc w:val="center"/>
              <w:rPr>
                <w:rFonts w:hint="eastAsia" w:ascii="仿宋_GB2312" w:hAnsi="仿宋_GB2312" w:eastAsia="仿宋_GB2312" w:cs="仿宋_GB2312"/>
                <w:b/>
                <w:bCs/>
                <w:color w:val="000000"/>
                <w:kern w:val="0"/>
                <w:szCs w:val="21"/>
              </w:rPr>
            </w:pPr>
            <w:r>
              <w:rPr>
                <w:rFonts w:hint="eastAsia" w:ascii="仿宋_GB2312" w:hAnsi="仿宋_GB2312" w:eastAsia="仿宋_GB2312" w:cs="仿宋_GB2312"/>
                <w:b/>
              </w:rPr>
              <w:t>裁量阶次</w:t>
            </w:r>
          </w:p>
        </w:tc>
        <w:tc>
          <w:tcPr>
            <w:tcW w:w="582" w:type="pct"/>
            <w:vAlign w:val="center"/>
          </w:tcPr>
          <w:p>
            <w:pPr>
              <w:jc w:val="center"/>
              <w:rPr>
                <w:rFonts w:hint="eastAsia" w:ascii="仿宋_GB2312" w:hAnsi="仿宋_GB2312" w:eastAsia="仿宋_GB2312" w:cs="仿宋_GB2312"/>
                <w:b/>
                <w:bCs/>
                <w:color w:val="000000"/>
                <w:kern w:val="0"/>
                <w:szCs w:val="21"/>
              </w:rPr>
            </w:pPr>
            <w:r>
              <w:rPr>
                <w:rFonts w:hint="eastAsia" w:ascii="仿宋_GB2312" w:hAnsi="仿宋_GB2312" w:eastAsia="仿宋_GB2312" w:cs="仿宋_GB2312"/>
                <w:b/>
              </w:rPr>
              <w:t>适用条件</w:t>
            </w:r>
          </w:p>
        </w:tc>
        <w:tc>
          <w:tcPr>
            <w:tcW w:w="1063" w:type="pct"/>
            <w:vAlign w:val="center"/>
          </w:tcPr>
          <w:p>
            <w:pPr>
              <w:jc w:val="center"/>
              <w:rPr>
                <w:rFonts w:hint="eastAsia" w:ascii="仿宋_GB2312" w:hAnsi="仿宋_GB2312" w:eastAsia="仿宋_GB2312" w:cs="仿宋_GB2312"/>
                <w:color w:val="000000"/>
                <w:szCs w:val="20"/>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296" w:type="pct"/>
            <w:vMerge w:val="restart"/>
            <w:vAlign w:val="center"/>
          </w:tcPr>
          <w:p>
            <w:pPr>
              <w:widowControl/>
              <w:jc w:val="center"/>
              <w:rPr>
                <w:rFonts w:hint="eastAsia" w:ascii="仿宋_GB2312" w:hAnsi="仿宋_GB2312" w:eastAsia="仿宋_GB2312" w:cs="仿宋_GB2312"/>
                <w:color w:val="000000"/>
                <w:kern w:val="0"/>
                <w:szCs w:val="21"/>
                <w:lang w:val="en"/>
              </w:rPr>
            </w:pPr>
            <w:r>
              <w:rPr>
                <w:rFonts w:hint="eastAsia" w:ascii="仿宋_GB2312" w:hAnsi="仿宋_GB2312" w:eastAsia="仿宋_GB2312" w:cs="仿宋_GB2312"/>
                <w:color w:val="000000"/>
                <w:kern w:val="0"/>
                <w:szCs w:val="21"/>
                <w:lang w:val="en"/>
              </w:rPr>
              <w:t>103.3</w:t>
            </w:r>
          </w:p>
        </w:tc>
        <w:tc>
          <w:tcPr>
            <w:tcW w:w="593" w:type="pct"/>
            <w:vMerge w:val="restart"/>
            <w:vAlign w:val="center"/>
          </w:tcPr>
          <w:p>
            <w:pPr>
              <w:rPr>
                <w:rFonts w:hint="eastAsia" w:ascii="仿宋_GB2312" w:hAnsi="仿宋_GB2312" w:eastAsia="仿宋_GB2312" w:cs="仿宋_GB2312"/>
                <w:b/>
                <w:color w:val="000000"/>
                <w:szCs w:val="21"/>
              </w:rPr>
            </w:pPr>
            <w:r>
              <w:rPr>
                <w:rFonts w:hint="eastAsia" w:ascii="仿宋_GB2312" w:hAnsi="仿宋_GB2312" w:eastAsia="仿宋_GB2312" w:cs="仿宋_GB2312"/>
                <w:color w:val="000000"/>
                <w:szCs w:val="20"/>
              </w:rPr>
              <w:t>建设单位未组织勘察、设计、施工、工程监理单位建立隔震减震工程质量可追溯制度的</w:t>
            </w:r>
            <w:r>
              <w:rPr>
                <w:rFonts w:ascii="仿宋_GB2312" w:hAnsi="仿宋_GB2312" w:eastAsia="仿宋_GB2312" w:cs="仿宋_GB2312"/>
                <w:color w:val="000000"/>
                <w:szCs w:val="20"/>
                <w:lang w:val="en"/>
              </w:rPr>
              <w:t>,</w:t>
            </w:r>
            <w:r>
              <w:rPr>
                <w:rFonts w:hint="eastAsia" w:ascii="仿宋_GB2312" w:hAnsi="仿宋_GB2312" w:eastAsia="仿宋_GB2312" w:cs="仿宋_GB2312"/>
                <w:color w:val="000000"/>
                <w:szCs w:val="20"/>
              </w:rPr>
              <w:t>或者未对隔震减震装置采购、勘察、设计、进场检测、安装施工、竣工验收等全过程的信息资料进行采集和存储，并纳入建设项目档案的</w:t>
            </w:r>
          </w:p>
        </w:tc>
        <w:tc>
          <w:tcPr>
            <w:tcW w:w="642" w:type="pct"/>
            <w:vMerge w:val="restart"/>
            <w:vAlign w:val="center"/>
          </w:tcPr>
          <w:p>
            <w:pPr>
              <w:rPr>
                <w:rFonts w:hint="eastAsia" w:ascii="仿宋_GB2312" w:hAnsi="仿宋_GB2312" w:eastAsia="仿宋_GB2312" w:cs="仿宋_GB2312"/>
                <w:color w:val="000000"/>
                <w:szCs w:val="20"/>
              </w:rPr>
            </w:pPr>
            <w:r>
              <w:rPr>
                <w:rFonts w:hint="eastAsia" w:ascii="仿宋_GB2312" w:hAnsi="仿宋_GB2312" w:eastAsia="仿宋_GB2312" w:cs="仿宋_GB2312"/>
                <w:color w:val="000000"/>
                <w:szCs w:val="20"/>
              </w:rPr>
              <w:t>第十七条第三款：“建设单位应当组织勘察、设计、施工、工程监理单位建立隔震减震工程质量可追溯制度，利用信息化手段对隔震减震装置采购、勘察、设计、进场检测、安装施工、竣工验收等全过程的信息资料进行采集和存储，并纳入建设项目档案。”</w:t>
            </w:r>
          </w:p>
        </w:tc>
        <w:tc>
          <w:tcPr>
            <w:tcW w:w="987" w:type="pct"/>
            <w:vMerge w:val="restart"/>
            <w:vAlign w:val="center"/>
          </w:tcPr>
          <w:p>
            <w:pPr>
              <w:rPr>
                <w:rFonts w:hint="eastAsia" w:ascii="仿宋_GB2312" w:hAnsi="仿宋_GB2312" w:eastAsia="仿宋_GB2312" w:cs="仿宋_GB2312"/>
                <w:color w:val="000000"/>
                <w:szCs w:val="20"/>
              </w:rPr>
            </w:pPr>
            <w:r>
              <w:rPr>
                <w:rFonts w:hint="eastAsia" w:ascii="仿宋_GB2312" w:hAnsi="仿宋_GB2312" w:eastAsia="仿宋_GB2312" w:cs="仿宋_GB2312"/>
                <w:color w:val="000000"/>
                <w:szCs w:val="20"/>
              </w:rPr>
              <w:t>第四十条第三款：“违反本条例规定，建设单位未组织勘察、设计、施工、工程监理单位建立隔震减震工程质量可追溯制度的，或者未对隔震减震装置采购、勘察、设计、进场检测、安装施工、竣工验收等全过程的信息资料进行采集和存储，并纳入建设项目档案的，责令改正，处10万元以上30万元以下的罚款；造成损失的，依法承担赔偿责任。”</w:t>
            </w:r>
          </w:p>
          <w:p/>
          <w:p>
            <w:pPr>
              <w:rPr>
                <w:rFonts w:hint="eastAsia" w:ascii="仿宋_GB2312" w:hAnsi="仿宋_GB2312" w:eastAsia="仿宋_GB2312" w:cs="仿宋_GB2312"/>
                <w:color w:val="000000"/>
                <w:szCs w:val="20"/>
              </w:rPr>
            </w:pPr>
            <w:r>
              <w:rPr>
                <w:rFonts w:hint="eastAsia" w:ascii="仿宋_GB2312" w:hAnsi="仿宋_GB2312" w:eastAsia="仿宋_GB2312" w:cs="仿宋_GB2312"/>
                <w:color w:val="000000"/>
                <w:szCs w:val="20"/>
              </w:rPr>
              <w:t>第四十七条第一款：“依照本条例规定，给予单位罚款处罚的，对其直接负责的主管人员和其他直接责任人员处单位罚款数额5%以上10%以下的罚款。”</w:t>
            </w:r>
          </w:p>
        </w:tc>
        <w:tc>
          <w:tcPr>
            <w:tcW w:w="406" w:type="pct"/>
            <w:vMerge w:val="restar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rPr>
              <w:t>罚款</w:t>
            </w:r>
          </w:p>
        </w:tc>
        <w:tc>
          <w:tcPr>
            <w:tcW w:w="431"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rPr>
              <w:t>从轻</w:t>
            </w:r>
          </w:p>
        </w:tc>
        <w:tc>
          <w:tcPr>
            <w:tcW w:w="582" w:type="pc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rPr>
              <w:t>未建立可追溯制度，但对信息资料进行采集和存储，并纳入建设项目档案的</w:t>
            </w:r>
          </w:p>
        </w:tc>
        <w:tc>
          <w:tcPr>
            <w:tcW w:w="1063" w:type="pct"/>
            <w:vAlign w:val="center"/>
          </w:tcPr>
          <w:p>
            <w:pPr>
              <w:rPr>
                <w:rFonts w:hint="eastAsia" w:ascii="仿宋_GB2312" w:hAnsi="仿宋_GB2312" w:eastAsia="仿宋_GB2312" w:cs="仿宋_GB2312"/>
                <w:color w:val="000000"/>
                <w:szCs w:val="20"/>
              </w:rPr>
            </w:pPr>
            <w:r>
              <w:rPr>
                <w:rFonts w:hint="eastAsia" w:ascii="仿宋_GB2312" w:hAnsi="仿宋_GB2312" w:eastAsia="仿宋_GB2312" w:cs="仿宋_GB2312"/>
                <w:color w:val="000000"/>
                <w:szCs w:val="20"/>
              </w:rPr>
              <w:t>对建设单位责令改正，处10万元以上、低于20万元的罚款；</w:t>
            </w:r>
          </w:p>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对单位</w:t>
            </w:r>
            <w:r>
              <w:rPr>
                <w:rFonts w:hint="eastAsia" w:ascii="仿宋_GB2312" w:hAnsi="仿宋_GB2312" w:eastAsia="仿宋_GB2312" w:cs="仿宋_GB2312"/>
                <w:color w:val="000000"/>
                <w:szCs w:val="20"/>
              </w:rPr>
              <w:t>直接负责的主管人员和其他直接责任人员处单位罚款数额5%以上、低于7.5%的罚款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296" w:type="pct"/>
            <w:vMerge w:val="continue"/>
            <w:vAlign w:val="center"/>
          </w:tcPr>
          <w:p>
            <w:pPr>
              <w:rPr>
                <w:rFonts w:hint="eastAsia" w:ascii="仿宋_GB2312" w:hAnsi="仿宋_GB2312" w:eastAsia="仿宋_GB2312" w:cs="仿宋_GB2312"/>
                <w:color w:val="000000"/>
                <w:szCs w:val="20"/>
              </w:rPr>
            </w:pPr>
          </w:p>
        </w:tc>
        <w:tc>
          <w:tcPr>
            <w:tcW w:w="593" w:type="pct"/>
            <w:vMerge w:val="continue"/>
            <w:vAlign w:val="center"/>
          </w:tcPr>
          <w:p>
            <w:pPr>
              <w:rPr>
                <w:rFonts w:hint="eastAsia" w:ascii="仿宋_GB2312" w:hAnsi="仿宋_GB2312" w:eastAsia="仿宋_GB2312" w:cs="仿宋_GB2312"/>
                <w:color w:val="000000"/>
                <w:szCs w:val="20"/>
              </w:rPr>
            </w:pPr>
          </w:p>
        </w:tc>
        <w:tc>
          <w:tcPr>
            <w:tcW w:w="642" w:type="pct"/>
            <w:vMerge w:val="continue"/>
            <w:vAlign w:val="center"/>
          </w:tcPr>
          <w:p>
            <w:pPr>
              <w:rPr>
                <w:rFonts w:hint="eastAsia" w:ascii="仿宋_GB2312" w:hAnsi="仿宋_GB2312" w:eastAsia="仿宋_GB2312" w:cs="仿宋_GB2312"/>
                <w:color w:val="000000"/>
                <w:szCs w:val="20"/>
              </w:rPr>
            </w:pPr>
          </w:p>
        </w:tc>
        <w:tc>
          <w:tcPr>
            <w:tcW w:w="987" w:type="pct"/>
            <w:vMerge w:val="continue"/>
            <w:vAlign w:val="center"/>
          </w:tcPr>
          <w:p>
            <w:pPr>
              <w:rPr>
                <w:rFonts w:hint="eastAsia" w:ascii="仿宋_GB2312" w:hAnsi="仿宋_GB2312" w:eastAsia="仿宋_GB2312" w:cs="仿宋_GB2312"/>
                <w:color w:val="000000"/>
                <w:szCs w:val="20"/>
              </w:rPr>
            </w:pPr>
          </w:p>
        </w:tc>
        <w:tc>
          <w:tcPr>
            <w:tcW w:w="406" w:type="pct"/>
            <w:vMerge w:val="continue"/>
            <w:vAlign w:val="center"/>
          </w:tcPr>
          <w:p>
            <w:pPr>
              <w:jc w:val="center"/>
              <w:rPr>
                <w:rFonts w:hint="eastAsia" w:ascii="仿宋_GB2312" w:hAnsi="仿宋_GB2312" w:eastAsia="仿宋_GB2312" w:cs="仿宋_GB2312"/>
                <w:bCs/>
                <w:color w:val="000000"/>
                <w:kern w:val="0"/>
                <w:szCs w:val="21"/>
              </w:rPr>
            </w:pPr>
          </w:p>
        </w:tc>
        <w:tc>
          <w:tcPr>
            <w:tcW w:w="431"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rPr>
              <w:t>一般</w:t>
            </w:r>
          </w:p>
        </w:tc>
        <w:tc>
          <w:tcPr>
            <w:tcW w:w="582" w:type="pct"/>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bCs/>
                <w:color w:val="000000"/>
                <w:kern w:val="0"/>
                <w:szCs w:val="21"/>
              </w:rPr>
              <w:t>虽已建立可追溯制度，但未对信息资料进行采集和存储，并纳入建设项目档案的</w:t>
            </w:r>
          </w:p>
        </w:tc>
        <w:tc>
          <w:tcPr>
            <w:tcW w:w="1063" w:type="pct"/>
            <w:vAlign w:val="center"/>
          </w:tcPr>
          <w:p>
            <w:pPr>
              <w:rPr>
                <w:rFonts w:hint="eastAsia" w:ascii="仿宋_GB2312" w:hAnsi="仿宋_GB2312" w:eastAsia="仿宋_GB2312" w:cs="仿宋_GB2312"/>
                <w:color w:val="000000"/>
                <w:szCs w:val="20"/>
              </w:rPr>
            </w:pPr>
            <w:r>
              <w:rPr>
                <w:rFonts w:hint="eastAsia" w:ascii="仿宋_GB2312" w:hAnsi="仿宋_GB2312" w:eastAsia="仿宋_GB2312" w:cs="仿宋_GB2312"/>
                <w:color w:val="000000"/>
                <w:szCs w:val="20"/>
              </w:rPr>
              <w:t>对建设单位责令改正，处20万元的罚款；</w:t>
            </w:r>
          </w:p>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对单位</w:t>
            </w:r>
            <w:r>
              <w:rPr>
                <w:rFonts w:hint="eastAsia" w:ascii="仿宋_GB2312" w:hAnsi="仿宋_GB2312" w:eastAsia="仿宋_GB2312" w:cs="仿宋_GB2312"/>
                <w:color w:val="000000"/>
                <w:szCs w:val="20"/>
              </w:rPr>
              <w:t>直接负责的主管人员和其他直接责任人员处单位罚款数额7.5%的罚款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296" w:type="pct"/>
            <w:vMerge w:val="continue"/>
            <w:vAlign w:val="center"/>
          </w:tcPr>
          <w:p>
            <w:pPr>
              <w:rPr>
                <w:rFonts w:hint="eastAsia" w:ascii="仿宋_GB2312" w:hAnsi="仿宋_GB2312" w:eastAsia="仿宋_GB2312" w:cs="仿宋_GB2312"/>
                <w:color w:val="000000"/>
                <w:szCs w:val="20"/>
              </w:rPr>
            </w:pPr>
          </w:p>
        </w:tc>
        <w:tc>
          <w:tcPr>
            <w:tcW w:w="593" w:type="pct"/>
            <w:vMerge w:val="continue"/>
            <w:vAlign w:val="center"/>
          </w:tcPr>
          <w:p>
            <w:pPr>
              <w:rPr>
                <w:rFonts w:hint="eastAsia" w:ascii="仿宋_GB2312" w:hAnsi="仿宋_GB2312" w:eastAsia="仿宋_GB2312" w:cs="仿宋_GB2312"/>
                <w:color w:val="000000"/>
                <w:szCs w:val="20"/>
              </w:rPr>
            </w:pPr>
          </w:p>
        </w:tc>
        <w:tc>
          <w:tcPr>
            <w:tcW w:w="642" w:type="pct"/>
            <w:vMerge w:val="continue"/>
            <w:vAlign w:val="center"/>
          </w:tcPr>
          <w:p>
            <w:pPr>
              <w:rPr>
                <w:rFonts w:hint="eastAsia" w:ascii="仿宋_GB2312" w:hAnsi="仿宋_GB2312" w:eastAsia="仿宋_GB2312" w:cs="仿宋_GB2312"/>
                <w:color w:val="000000"/>
                <w:szCs w:val="20"/>
              </w:rPr>
            </w:pPr>
          </w:p>
        </w:tc>
        <w:tc>
          <w:tcPr>
            <w:tcW w:w="987" w:type="pct"/>
            <w:vMerge w:val="continue"/>
            <w:vAlign w:val="center"/>
          </w:tcPr>
          <w:p>
            <w:pPr>
              <w:rPr>
                <w:rFonts w:hint="eastAsia" w:ascii="仿宋_GB2312" w:hAnsi="仿宋_GB2312" w:eastAsia="仿宋_GB2312" w:cs="仿宋_GB2312"/>
                <w:color w:val="000000"/>
                <w:szCs w:val="20"/>
              </w:rPr>
            </w:pPr>
          </w:p>
        </w:tc>
        <w:tc>
          <w:tcPr>
            <w:tcW w:w="406" w:type="pct"/>
            <w:vMerge w:val="continue"/>
            <w:vAlign w:val="center"/>
          </w:tcPr>
          <w:p>
            <w:pPr>
              <w:jc w:val="center"/>
              <w:rPr>
                <w:rFonts w:hint="eastAsia" w:ascii="仿宋_GB2312" w:hAnsi="仿宋_GB2312" w:eastAsia="仿宋_GB2312" w:cs="仿宋_GB2312"/>
                <w:bCs/>
                <w:color w:val="000000"/>
                <w:kern w:val="0"/>
                <w:szCs w:val="21"/>
              </w:rPr>
            </w:pPr>
          </w:p>
        </w:tc>
        <w:tc>
          <w:tcPr>
            <w:tcW w:w="431"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rPr>
              <w:t>从重</w:t>
            </w:r>
          </w:p>
        </w:tc>
        <w:tc>
          <w:tcPr>
            <w:tcW w:w="582" w:type="pct"/>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bCs/>
                <w:color w:val="000000"/>
                <w:kern w:val="0"/>
                <w:szCs w:val="21"/>
              </w:rPr>
              <w:t>既未建立可追溯制度，且未对信息资料进行采集和存储，并纳入建设项目档案的</w:t>
            </w:r>
          </w:p>
        </w:tc>
        <w:tc>
          <w:tcPr>
            <w:tcW w:w="1063" w:type="pct"/>
            <w:vAlign w:val="center"/>
          </w:tcPr>
          <w:p>
            <w:pPr>
              <w:rPr>
                <w:rFonts w:hint="eastAsia" w:ascii="仿宋_GB2312" w:hAnsi="仿宋_GB2312" w:eastAsia="仿宋_GB2312" w:cs="仿宋_GB2312"/>
                <w:color w:val="000000"/>
                <w:szCs w:val="20"/>
              </w:rPr>
            </w:pPr>
            <w:r>
              <w:rPr>
                <w:rFonts w:hint="eastAsia" w:ascii="仿宋_GB2312" w:hAnsi="仿宋_GB2312" w:eastAsia="仿宋_GB2312" w:cs="仿宋_GB2312"/>
                <w:color w:val="000000"/>
                <w:szCs w:val="20"/>
              </w:rPr>
              <w:t>对建设单位责令改正，处超过20万元、30万元以下的罚款；</w:t>
            </w:r>
          </w:p>
          <w:p>
            <w:pPr>
              <w:rPr>
                <w:rFonts w:hint="eastAsia" w:ascii="仿宋_GB2312" w:hAnsi="仿宋_GB2312" w:eastAsia="仿宋_GB2312" w:cs="仿宋_GB2312"/>
                <w:color w:val="000000"/>
                <w:szCs w:val="20"/>
              </w:rPr>
            </w:pPr>
            <w:r>
              <w:rPr>
                <w:rFonts w:hint="eastAsia" w:ascii="仿宋_GB2312" w:hAnsi="仿宋_GB2312" w:eastAsia="仿宋_GB2312" w:cs="仿宋_GB2312"/>
                <w:color w:val="000000"/>
                <w:szCs w:val="21"/>
              </w:rPr>
              <w:t>对单位</w:t>
            </w:r>
            <w:r>
              <w:rPr>
                <w:rFonts w:hint="eastAsia" w:ascii="仿宋_GB2312" w:hAnsi="仿宋_GB2312" w:eastAsia="仿宋_GB2312" w:cs="仿宋_GB2312"/>
                <w:color w:val="000000"/>
                <w:szCs w:val="20"/>
              </w:rPr>
              <w:t>直接负责的主管人员和其他直接责任人员处单位罚款数额超过7.5%、10%以下的罚款</w:t>
            </w:r>
          </w:p>
        </w:tc>
      </w:tr>
    </w:tbl>
    <w:p>
      <w:pPr>
        <w:outlineLvl w:val="0"/>
        <w:rPr>
          <w:rFonts w:hint="eastAsia" w:ascii="宋体" w:hAnsi="宋体" w:cs="宋体"/>
          <w:b/>
          <w:kern w:val="44"/>
          <w:sz w:val="32"/>
          <w:szCs w:val="20"/>
        </w:rPr>
      </w:pPr>
      <w:r>
        <w:rPr>
          <w:rFonts w:hint="eastAsia" w:ascii="宋体" w:hAnsi="宋体" w:eastAsia="宋体 (正文)" w:cs="宋体"/>
          <w:color w:val="000000"/>
          <w:kern w:val="44"/>
          <w:sz w:val="32"/>
        </w:rPr>
        <w:t>《建设工程抗震管理条例》</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1199"/>
        <w:gridCol w:w="2387"/>
        <w:gridCol w:w="2832"/>
        <w:gridCol w:w="1156"/>
        <w:gridCol w:w="1287"/>
        <w:gridCol w:w="1188"/>
        <w:gridCol w:w="329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blHeader/>
          <w:jc w:val="center"/>
        </w:trPr>
        <w:tc>
          <w:tcPr>
            <w:tcW w:w="292" w:type="pct"/>
            <w:vAlign w:val="center"/>
          </w:tcPr>
          <w:p>
            <w:pPr>
              <w:jc w:val="center"/>
              <w:rPr>
                <w:rFonts w:hint="eastAsia" w:ascii="仿宋_GB2312" w:hAnsi="仿宋_GB2312" w:eastAsia="仿宋_GB2312" w:cs="仿宋_GB2312"/>
                <w:b/>
                <w:bCs/>
                <w:szCs w:val="21"/>
              </w:rPr>
            </w:pPr>
            <w:r>
              <w:rPr>
                <w:rFonts w:hint="eastAsia" w:ascii="仿宋_GB2312" w:hAnsi="仿宋_GB2312" w:eastAsia="仿宋_GB2312" w:cs="仿宋_GB2312"/>
                <w:b/>
                <w:bCs/>
                <w:szCs w:val="21"/>
              </w:rPr>
              <w:t>序号</w:t>
            </w:r>
          </w:p>
        </w:tc>
        <w:tc>
          <w:tcPr>
            <w:tcW w:w="423" w:type="pct"/>
            <w:vAlign w:val="center"/>
          </w:tcPr>
          <w:p>
            <w:pPr>
              <w:jc w:val="center"/>
              <w:rPr>
                <w:rFonts w:hint="eastAsia" w:ascii="仿宋_GB2312" w:hAnsi="仿宋_GB2312" w:eastAsia="仿宋_GB2312" w:cs="仿宋_GB2312"/>
                <w:b/>
                <w:bCs/>
                <w:szCs w:val="21"/>
              </w:rPr>
            </w:pPr>
            <w:r>
              <w:rPr>
                <w:rFonts w:hint="eastAsia" w:ascii="仿宋_GB2312" w:hAnsi="仿宋_GB2312" w:eastAsia="仿宋_GB2312" w:cs="仿宋_GB2312"/>
                <w:b/>
                <w:bCs/>
                <w:szCs w:val="21"/>
              </w:rPr>
              <w:t>违法行为</w:t>
            </w:r>
          </w:p>
        </w:tc>
        <w:tc>
          <w:tcPr>
            <w:tcW w:w="842" w:type="pct"/>
            <w:vAlign w:val="center"/>
          </w:tcPr>
          <w:p>
            <w:pPr>
              <w:jc w:val="center"/>
              <w:rPr>
                <w:rFonts w:hint="eastAsia" w:ascii="仿宋_GB2312" w:hAnsi="仿宋_GB2312" w:eastAsia="仿宋_GB2312" w:cs="仿宋_GB2312"/>
                <w:b/>
                <w:bCs/>
                <w:szCs w:val="21"/>
                <w:lang w:val="en"/>
              </w:rPr>
            </w:pPr>
            <w:r>
              <w:rPr>
                <w:rFonts w:hint="eastAsia" w:ascii="仿宋_GB2312" w:hAnsi="仿宋_GB2312" w:eastAsia="仿宋_GB2312" w:cs="仿宋_GB2312"/>
                <w:b/>
                <w:bCs/>
                <w:szCs w:val="21"/>
                <w:lang w:val="en"/>
              </w:rPr>
              <w:t>违反条款</w:t>
            </w:r>
          </w:p>
        </w:tc>
        <w:tc>
          <w:tcPr>
            <w:tcW w:w="999" w:type="pct"/>
            <w:vAlign w:val="center"/>
          </w:tcPr>
          <w:p>
            <w:pPr>
              <w:jc w:val="center"/>
              <w:rPr>
                <w:rFonts w:hint="eastAsia" w:ascii="仿宋_GB2312" w:hAnsi="仿宋_GB2312" w:eastAsia="仿宋_GB2312" w:cs="仿宋_GB2312"/>
                <w:b/>
                <w:bCs/>
                <w:szCs w:val="21"/>
              </w:rPr>
            </w:pPr>
            <w:r>
              <w:rPr>
                <w:rFonts w:hint="eastAsia" w:ascii="仿宋_GB2312" w:hAnsi="仿宋_GB2312" w:eastAsia="仿宋_GB2312" w:cs="仿宋_GB2312"/>
                <w:b/>
                <w:bCs/>
                <w:szCs w:val="21"/>
              </w:rPr>
              <w:t>处罚依据</w:t>
            </w:r>
          </w:p>
        </w:tc>
        <w:tc>
          <w:tcPr>
            <w:tcW w:w="408" w:type="pct"/>
            <w:vAlign w:val="center"/>
          </w:tcPr>
          <w:p>
            <w:pPr>
              <w:jc w:val="center"/>
              <w:rPr>
                <w:rFonts w:hint="eastAsia" w:ascii="仿宋_GB2312" w:hAnsi="仿宋_GB2312" w:eastAsia="仿宋_GB2312" w:cs="仿宋_GB2312"/>
                <w:b/>
                <w:bCs/>
                <w:szCs w:val="21"/>
              </w:rPr>
            </w:pPr>
            <w:r>
              <w:rPr>
                <w:rFonts w:hint="eastAsia" w:ascii="仿宋_GB2312" w:hAnsi="仿宋_GB2312" w:eastAsia="仿宋_GB2312" w:cs="仿宋_GB2312"/>
                <w:b/>
                <w:bCs/>
                <w:szCs w:val="21"/>
              </w:rPr>
              <w:t>处罚种类</w:t>
            </w:r>
          </w:p>
        </w:tc>
        <w:tc>
          <w:tcPr>
            <w:tcW w:w="454" w:type="pct"/>
            <w:vAlign w:val="center"/>
          </w:tcPr>
          <w:p>
            <w:pPr>
              <w:jc w:val="center"/>
              <w:rPr>
                <w:rFonts w:hint="eastAsia" w:ascii="仿宋_GB2312" w:hAnsi="仿宋_GB2312" w:eastAsia="仿宋_GB2312" w:cs="仿宋_GB2312"/>
                <w:b/>
                <w:bCs/>
                <w:szCs w:val="21"/>
              </w:rPr>
            </w:pPr>
            <w:r>
              <w:rPr>
                <w:rFonts w:hint="eastAsia" w:ascii="仿宋_GB2312" w:hAnsi="仿宋_GB2312" w:eastAsia="仿宋_GB2312" w:cs="仿宋_GB2312"/>
                <w:b/>
                <w:bCs/>
                <w:szCs w:val="21"/>
              </w:rPr>
              <w:t>裁量阶次</w:t>
            </w:r>
          </w:p>
        </w:tc>
        <w:tc>
          <w:tcPr>
            <w:tcW w:w="419" w:type="pct"/>
            <w:vAlign w:val="center"/>
          </w:tcPr>
          <w:p>
            <w:pPr>
              <w:jc w:val="center"/>
              <w:rPr>
                <w:rFonts w:hint="eastAsia" w:ascii="仿宋_GB2312" w:hAnsi="仿宋_GB2312" w:eastAsia="仿宋_GB2312" w:cs="仿宋_GB2312"/>
                <w:b/>
                <w:bCs/>
                <w:szCs w:val="21"/>
              </w:rPr>
            </w:pPr>
            <w:r>
              <w:rPr>
                <w:rFonts w:hint="eastAsia" w:ascii="仿宋_GB2312" w:hAnsi="仿宋_GB2312" w:eastAsia="仿宋_GB2312" w:cs="仿宋_GB2312"/>
                <w:b/>
                <w:bCs/>
                <w:szCs w:val="21"/>
              </w:rPr>
              <w:t>适用条件</w:t>
            </w:r>
          </w:p>
        </w:tc>
        <w:tc>
          <w:tcPr>
            <w:tcW w:w="1163" w:type="pct"/>
            <w:vAlign w:val="center"/>
          </w:tcPr>
          <w:p>
            <w:pPr>
              <w:jc w:val="center"/>
              <w:rPr>
                <w:rFonts w:hint="eastAsia" w:ascii="仿宋_GB2312" w:hAnsi="仿宋_GB2312" w:eastAsia="仿宋_GB2312" w:cs="仿宋_GB2312"/>
                <w:b/>
                <w:bCs/>
                <w:szCs w:val="21"/>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292" w:type="pct"/>
            <w:vMerge w:val="restart"/>
            <w:vAlign w:val="center"/>
          </w:tcPr>
          <w:p>
            <w:pP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103.</w:t>
            </w:r>
            <w:r>
              <w:rPr>
                <w:rFonts w:hint="eastAsia" w:ascii="仿宋_GB2312" w:hAnsi="仿宋_GB2312" w:eastAsia="仿宋_GB2312" w:cs="仿宋_GB2312"/>
                <w:szCs w:val="21"/>
              </w:rPr>
              <w:t>4</w:t>
            </w:r>
          </w:p>
        </w:tc>
        <w:tc>
          <w:tcPr>
            <w:tcW w:w="423" w:type="pct"/>
            <w:vMerge w:val="restar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设计单位未按照超限高层建筑工程抗震设防审批意见进行施工图设计的</w:t>
            </w:r>
          </w:p>
        </w:tc>
        <w:tc>
          <w:tcPr>
            <w:tcW w:w="842" w:type="pct"/>
            <w:vMerge w:val="restart"/>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0"/>
              </w:rPr>
              <w:t>第十三条第一款：“对超限高层建筑工程，设计单位应当在设计文件中予以说明，建设单位应当在初步设计阶段将设计文件等材料报送省、自治区、直辖市人民政府住房和城乡建设主管部门进行抗震设防审批。住房和城乡建设主管部门应当组织专家审查，对采取的抗震设防措施合理可行的，予以批准。超限高层建筑工程抗震设防审批意见应当作为施工图设计和审查的依据。”</w:t>
            </w:r>
          </w:p>
        </w:tc>
        <w:tc>
          <w:tcPr>
            <w:tcW w:w="999" w:type="pct"/>
            <w:vMerge w:val="restar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四十一条第一项：“违反本条例规定，设计单位有下列行为之一的，责令改正，处5万元以上30万元以下的罚款；情节严重的，责令停业整顿，降低资质等级或者吊销资质证书；造成损失的，依法承担赔偿责任：（一）未按照超限高层建筑工程抗震设防审批意见进行施工图设计。”</w:t>
            </w:r>
          </w:p>
          <w:p/>
          <w:p>
            <w:pPr>
              <w:rPr>
                <w:rFonts w:hint="eastAsia" w:ascii="仿宋_GB2312" w:hAnsi="仿宋_GB2312" w:eastAsia="仿宋_GB2312" w:cs="仿宋_GB2312"/>
                <w:szCs w:val="21"/>
              </w:rPr>
            </w:pPr>
            <w:r>
              <w:rPr>
                <w:rFonts w:hint="eastAsia" w:ascii="仿宋_GB2312" w:hAnsi="仿宋_GB2312" w:eastAsia="仿宋_GB2312" w:cs="仿宋_GB2312"/>
                <w:szCs w:val="21"/>
              </w:rPr>
              <w:t>第四十七条第一款：“依照本条例规定，给予单位罚款处罚的，对其直接负责的主管人员和其他直接责任人员处单位罚款数额5%以上10%以下的罚款。”</w:t>
            </w:r>
          </w:p>
        </w:tc>
        <w:tc>
          <w:tcPr>
            <w:tcW w:w="408" w:type="pct"/>
            <w:vMerge w:val="restar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罚款；责令停产停业；降低资质等级；吊销许可证件</w:t>
            </w:r>
          </w:p>
        </w:tc>
        <w:tc>
          <w:tcPr>
            <w:tcW w:w="454" w:type="pct"/>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Cs/>
                <w:color w:val="000000"/>
              </w:rPr>
              <w:t>从轻</w:t>
            </w:r>
          </w:p>
        </w:tc>
        <w:tc>
          <w:tcPr>
            <w:tcW w:w="419" w:type="pc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未造成危害后果或者造成轻微危害后果的</w:t>
            </w:r>
          </w:p>
        </w:tc>
        <w:tc>
          <w:tcPr>
            <w:tcW w:w="1163" w:type="pc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对设计单位责令改正，处5万元以上、低于17.5万元的罚款；</w:t>
            </w:r>
          </w:p>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rPr>
              <w:t>对单位</w:t>
            </w:r>
            <w:r>
              <w:rPr>
                <w:rFonts w:hint="eastAsia" w:ascii="仿宋_GB2312" w:hAnsi="仿宋_GB2312" w:eastAsia="仿宋_GB2312" w:cs="仿宋_GB2312"/>
                <w:color w:val="000000"/>
                <w:szCs w:val="20"/>
              </w:rPr>
              <w:t>直接负责的主管人员和其他直接责任人员处单位罚款数额5%以上、低于7.5%的罚款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98" w:hRule="atLeast"/>
          <w:jc w:val="center"/>
        </w:trPr>
        <w:tc>
          <w:tcPr>
            <w:tcW w:w="292" w:type="pct"/>
            <w:vMerge w:val="continue"/>
            <w:vAlign w:val="center"/>
          </w:tcPr>
          <w:p>
            <w:pPr>
              <w:rPr>
                <w:rFonts w:hint="eastAsia" w:ascii="仿宋_GB2312" w:hAnsi="仿宋_GB2312" w:eastAsia="仿宋_GB2312" w:cs="仿宋_GB2312"/>
                <w:szCs w:val="21"/>
              </w:rPr>
            </w:pPr>
          </w:p>
        </w:tc>
        <w:tc>
          <w:tcPr>
            <w:tcW w:w="423" w:type="pct"/>
            <w:vMerge w:val="continue"/>
            <w:vAlign w:val="center"/>
          </w:tcPr>
          <w:p>
            <w:pPr>
              <w:rPr>
                <w:rFonts w:hint="eastAsia" w:ascii="仿宋_GB2312" w:hAnsi="仿宋_GB2312" w:eastAsia="仿宋_GB2312" w:cs="仿宋_GB2312"/>
                <w:szCs w:val="21"/>
              </w:rPr>
            </w:pPr>
          </w:p>
        </w:tc>
        <w:tc>
          <w:tcPr>
            <w:tcW w:w="842" w:type="pct"/>
            <w:vMerge w:val="continue"/>
            <w:vAlign w:val="center"/>
          </w:tcPr>
          <w:p>
            <w:pPr>
              <w:rPr>
                <w:rFonts w:hint="eastAsia" w:ascii="仿宋_GB2312" w:hAnsi="仿宋_GB2312" w:eastAsia="仿宋_GB2312" w:cs="仿宋_GB2312"/>
                <w:szCs w:val="21"/>
              </w:rPr>
            </w:pPr>
          </w:p>
        </w:tc>
        <w:tc>
          <w:tcPr>
            <w:tcW w:w="999" w:type="pct"/>
            <w:vMerge w:val="continue"/>
            <w:vAlign w:val="center"/>
          </w:tcPr>
          <w:p>
            <w:pPr>
              <w:rPr>
                <w:rFonts w:hint="eastAsia" w:ascii="仿宋_GB2312" w:hAnsi="仿宋_GB2312" w:eastAsia="仿宋_GB2312" w:cs="仿宋_GB2312"/>
                <w:szCs w:val="21"/>
              </w:rPr>
            </w:pPr>
          </w:p>
        </w:tc>
        <w:tc>
          <w:tcPr>
            <w:tcW w:w="408" w:type="pct"/>
            <w:vMerge w:val="continue"/>
            <w:vAlign w:val="center"/>
          </w:tcPr>
          <w:p>
            <w:pPr>
              <w:rPr>
                <w:rFonts w:hint="eastAsia" w:ascii="仿宋_GB2312" w:hAnsi="仿宋_GB2312" w:eastAsia="仿宋_GB2312" w:cs="仿宋_GB2312"/>
                <w:szCs w:val="21"/>
              </w:rPr>
            </w:pPr>
          </w:p>
        </w:tc>
        <w:tc>
          <w:tcPr>
            <w:tcW w:w="454" w:type="pct"/>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Cs/>
                <w:color w:val="000000"/>
              </w:rPr>
              <w:t>一般</w:t>
            </w:r>
          </w:p>
        </w:tc>
        <w:tc>
          <w:tcPr>
            <w:tcW w:w="419" w:type="pc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造成一般危害后果的</w:t>
            </w:r>
          </w:p>
        </w:tc>
        <w:tc>
          <w:tcPr>
            <w:tcW w:w="1163" w:type="pc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对设计单位责令改正，处17.5万元的罚款；</w:t>
            </w:r>
          </w:p>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rPr>
              <w:t>对单位</w:t>
            </w:r>
            <w:r>
              <w:rPr>
                <w:rFonts w:hint="eastAsia" w:ascii="仿宋_GB2312" w:hAnsi="仿宋_GB2312" w:eastAsia="仿宋_GB2312" w:cs="仿宋_GB2312"/>
                <w:color w:val="000000"/>
                <w:szCs w:val="20"/>
              </w:rPr>
              <w:t>直接负责的主管人员和其他直接责任人员处单位罚款数额7.5%的罚款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28" w:hRule="atLeast"/>
          <w:jc w:val="center"/>
        </w:trPr>
        <w:tc>
          <w:tcPr>
            <w:tcW w:w="292" w:type="pct"/>
            <w:vMerge w:val="continue"/>
            <w:vAlign w:val="center"/>
          </w:tcPr>
          <w:p>
            <w:pPr>
              <w:rPr>
                <w:rFonts w:hint="eastAsia" w:ascii="仿宋_GB2312" w:hAnsi="仿宋_GB2312" w:eastAsia="仿宋_GB2312" w:cs="仿宋_GB2312"/>
                <w:szCs w:val="21"/>
              </w:rPr>
            </w:pPr>
          </w:p>
        </w:tc>
        <w:tc>
          <w:tcPr>
            <w:tcW w:w="423" w:type="pct"/>
            <w:vMerge w:val="continue"/>
            <w:vAlign w:val="center"/>
          </w:tcPr>
          <w:p>
            <w:pPr>
              <w:rPr>
                <w:rFonts w:hint="eastAsia" w:ascii="仿宋_GB2312" w:hAnsi="仿宋_GB2312" w:eastAsia="仿宋_GB2312" w:cs="仿宋_GB2312"/>
                <w:szCs w:val="21"/>
              </w:rPr>
            </w:pPr>
          </w:p>
        </w:tc>
        <w:tc>
          <w:tcPr>
            <w:tcW w:w="842" w:type="pct"/>
            <w:vMerge w:val="continue"/>
            <w:vAlign w:val="center"/>
          </w:tcPr>
          <w:p>
            <w:pPr>
              <w:rPr>
                <w:rFonts w:hint="eastAsia" w:ascii="仿宋_GB2312" w:hAnsi="仿宋_GB2312" w:eastAsia="仿宋_GB2312" w:cs="仿宋_GB2312"/>
                <w:szCs w:val="21"/>
              </w:rPr>
            </w:pPr>
          </w:p>
        </w:tc>
        <w:tc>
          <w:tcPr>
            <w:tcW w:w="999" w:type="pct"/>
            <w:vMerge w:val="continue"/>
            <w:vAlign w:val="center"/>
          </w:tcPr>
          <w:p>
            <w:pPr>
              <w:rPr>
                <w:rFonts w:hint="eastAsia" w:ascii="仿宋_GB2312" w:hAnsi="仿宋_GB2312" w:eastAsia="仿宋_GB2312" w:cs="仿宋_GB2312"/>
                <w:szCs w:val="21"/>
              </w:rPr>
            </w:pPr>
          </w:p>
        </w:tc>
        <w:tc>
          <w:tcPr>
            <w:tcW w:w="408" w:type="pct"/>
            <w:vMerge w:val="continue"/>
            <w:vAlign w:val="center"/>
          </w:tcPr>
          <w:p>
            <w:pPr>
              <w:rPr>
                <w:rFonts w:hint="eastAsia" w:ascii="仿宋_GB2312" w:hAnsi="仿宋_GB2312" w:eastAsia="仿宋_GB2312" w:cs="仿宋_GB2312"/>
                <w:szCs w:val="21"/>
              </w:rPr>
            </w:pPr>
          </w:p>
        </w:tc>
        <w:tc>
          <w:tcPr>
            <w:tcW w:w="454" w:type="pct"/>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Cs/>
                <w:color w:val="000000"/>
              </w:rPr>
              <w:t>从重</w:t>
            </w:r>
          </w:p>
        </w:tc>
        <w:tc>
          <w:tcPr>
            <w:tcW w:w="419" w:type="pc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造成严重危害后果的或造成质量安全事故的</w:t>
            </w:r>
          </w:p>
        </w:tc>
        <w:tc>
          <w:tcPr>
            <w:tcW w:w="1163" w:type="pc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对设计单位责令改正，处超过17.5万元、30万元以下的罚款，</w:t>
            </w:r>
          </w:p>
          <w:p>
            <w:pPr>
              <w:rPr>
                <w:rFonts w:hint="eastAsia" w:ascii="仿宋_GB2312" w:hAnsi="仿宋_GB2312" w:eastAsia="仿宋_GB2312" w:cs="仿宋_GB2312"/>
                <w:szCs w:val="21"/>
              </w:rPr>
            </w:pPr>
            <w:r>
              <w:rPr>
                <w:rFonts w:hint="eastAsia" w:ascii="仿宋_GB2312" w:hAnsi="仿宋_GB2312" w:eastAsia="仿宋_GB2312" w:cs="仿宋_GB2312"/>
                <w:szCs w:val="21"/>
              </w:rPr>
              <w:t>责令停业整顿，降低资质等级或者吊销资质证书；</w:t>
            </w:r>
          </w:p>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rPr>
              <w:t>对单位</w:t>
            </w:r>
            <w:r>
              <w:rPr>
                <w:rFonts w:hint="eastAsia" w:ascii="仿宋_GB2312" w:hAnsi="仿宋_GB2312" w:eastAsia="仿宋_GB2312" w:cs="仿宋_GB2312"/>
                <w:color w:val="000000"/>
                <w:szCs w:val="20"/>
              </w:rPr>
              <w:t>直接负责的主管人员和其他直接责任人员处单位罚款数额超过7.5%、10%以下的罚款</w:t>
            </w:r>
          </w:p>
        </w:tc>
      </w:tr>
    </w:tbl>
    <w:p>
      <w:pPr>
        <w:widowControl/>
        <w:jc w:val="left"/>
        <w:outlineLvl w:val="9"/>
        <w:rPr>
          <w:rFonts w:hint="eastAsia" w:ascii="宋体" w:hAnsi="宋体" w:cs="宋体"/>
          <w:b/>
          <w:kern w:val="44"/>
          <w:sz w:val="32"/>
          <w:szCs w:val="20"/>
        </w:rPr>
      </w:pPr>
      <w:r>
        <w:rPr>
          <w:rFonts w:ascii="宋体" w:hAnsi="宋体" w:cs="宋体"/>
          <w:color w:val="000000"/>
          <w:szCs w:val="20"/>
        </w:rPr>
        <w:br w:type="page"/>
      </w:r>
      <w:r>
        <w:rPr>
          <w:rFonts w:hint="eastAsia" w:ascii="宋体" w:hAnsi="宋体" w:eastAsia="宋体 (正文)" w:cs="宋体"/>
          <w:color w:val="000000"/>
          <w:kern w:val="44"/>
          <w:sz w:val="32"/>
        </w:rPr>
        <w:t>《建设工程抗震管理条例》</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94"/>
        <w:gridCol w:w="1193"/>
        <w:gridCol w:w="2180"/>
        <w:gridCol w:w="2806"/>
        <w:gridCol w:w="1193"/>
        <w:gridCol w:w="1324"/>
        <w:gridCol w:w="1231"/>
        <w:gridCol w:w="31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blHeader/>
          <w:jc w:val="center"/>
        </w:trPr>
        <w:tc>
          <w:tcPr>
            <w:tcW w:w="386" w:type="pct"/>
            <w:vAlign w:val="center"/>
          </w:tcPr>
          <w:p>
            <w:pPr>
              <w:jc w:val="center"/>
              <w:rPr>
                <w:rFonts w:hint="eastAsia" w:ascii="仿宋_GB2312" w:hAnsi="仿宋_GB2312" w:eastAsia="仿宋_GB2312" w:cs="仿宋_GB2312"/>
                <w:b/>
                <w:bCs/>
                <w:szCs w:val="21"/>
              </w:rPr>
            </w:pPr>
            <w:r>
              <w:rPr>
                <w:rFonts w:hint="eastAsia" w:ascii="仿宋_GB2312" w:hAnsi="仿宋_GB2312" w:eastAsia="仿宋_GB2312" w:cs="仿宋_GB2312"/>
                <w:b/>
                <w:bCs/>
                <w:szCs w:val="21"/>
              </w:rPr>
              <w:t>序号</w:t>
            </w:r>
          </w:p>
        </w:tc>
        <w:tc>
          <w:tcPr>
            <w:tcW w:w="421" w:type="pct"/>
            <w:vAlign w:val="center"/>
          </w:tcPr>
          <w:p>
            <w:pPr>
              <w:jc w:val="center"/>
              <w:rPr>
                <w:rFonts w:hint="eastAsia" w:ascii="仿宋_GB2312" w:hAnsi="仿宋_GB2312" w:eastAsia="仿宋_GB2312" w:cs="仿宋_GB2312"/>
                <w:b/>
                <w:bCs/>
                <w:szCs w:val="21"/>
              </w:rPr>
            </w:pPr>
            <w:r>
              <w:rPr>
                <w:rFonts w:hint="eastAsia" w:ascii="仿宋_GB2312" w:hAnsi="仿宋_GB2312" w:eastAsia="仿宋_GB2312" w:cs="仿宋_GB2312"/>
                <w:b/>
                <w:bCs/>
                <w:szCs w:val="21"/>
              </w:rPr>
              <w:t>违法行为</w:t>
            </w:r>
          </w:p>
        </w:tc>
        <w:tc>
          <w:tcPr>
            <w:tcW w:w="769" w:type="pct"/>
            <w:vAlign w:val="center"/>
          </w:tcPr>
          <w:p>
            <w:pPr>
              <w:jc w:val="center"/>
              <w:rPr>
                <w:rFonts w:hint="eastAsia" w:ascii="仿宋_GB2312" w:hAnsi="仿宋_GB2312" w:eastAsia="仿宋_GB2312" w:cs="仿宋_GB2312"/>
                <w:b/>
                <w:bCs/>
                <w:szCs w:val="21"/>
                <w:lang w:val="en"/>
              </w:rPr>
            </w:pPr>
            <w:r>
              <w:rPr>
                <w:rFonts w:hint="eastAsia" w:ascii="仿宋_GB2312" w:hAnsi="仿宋_GB2312" w:eastAsia="仿宋_GB2312" w:cs="仿宋_GB2312"/>
                <w:b/>
                <w:bCs/>
                <w:szCs w:val="21"/>
                <w:lang w:val="en"/>
              </w:rPr>
              <w:t>违反条款</w:t>
            </w:r>
          </w:p>
        </w:tc>
        <w:tc>
          <w:tcPr>
            <w:tcW w:w="990" w:type="pct"/>
            <w:vAlign w:val="center"/>
          </w:tcPr>
          <w:p>
            <w:pPr>
              <w:jc w:val="center"/>
              <w:rPr>
                <w:rFonts w:hint="eastAsia" w:ascii="仿宋_GB2312" w:hAnsi="仿宋_GB2312" w:eastAsia="仿宋_GB2312" w:cs="仿宋_GB2312"/>
                <w:b/>
                <w:bCs/>
                <w:szCs w:val="21"/>
              </w:rPr>
            </w:pPr>
            <w:r>
              <w:rPr>
                <w:rFonts w:hint="eastAsia" w:ascii="仿宋_GB2312" w:hAnsi="仿宋_GB2312" w:eastAsia="仿宋_GB2312" w:cs="仿宋_GB2312"/>
                <w:b/>
                <w:bCs/>
                <w:szCs w:val="21"/>
              </w:rPr>
              <w:t>处罚依据</w:t>
            </w:r>
          </w:p>
        </w:tc>
        <w:tc>
          <w:tcPr>
            <w:tcW w:w="421" w:type="pct"/>
            <w:vAlign w:val="center"/>
          </w:tcPr>
          <w:p>
            <w:pPr>
              <w:jc w:val="center"/>
              <w:rPr>
                <w:rFonts w:hint="eastAsia" w:ascii="仿宋_GB2312" w:hAnsi="仿宋_GB2312" w:eastAsia="仿宋_GB2312" w:cs="仿宋_GB2312"/>
                <w:b/>
                <w:bCs/>
                <w:szCs w:val="21"/>
              </w:rPr>
            </w:pPr>
            <w:r>
              <w:rPr>
                <w:rFonts w:hint="eastAsia" w:ascii="仿宋_GB2312" w:hAnsi="仿宋_GB2312" w:eastAsia="仿宋_GB2312" w:cs="仿宋_GB2312"/>
                <w:b/>
                <w:bCs/>
                <w:szCs w:val="21"/>
              </w:rPr>
              <w:t>处罚种类</w:t>
            </w:r>
          </w:p>
        </w:tc>
        <w:tc>
          <w:tcPr>
            <w:tcW w:w="467" w:type="pct"/>
            <w:vAlign w:val="center"/>
          </w:tcPr>
          <w:p>
            <w:pPr>
              <w:jc w:val="center"/>
              <w:rPr>
                <w:rFonts w:hint="eastAsia" w:ascii="仿宋_GB2312" w:hAnsi="仿宋_GB2312" w:eastAsia="仿宋_GB2312" w:cs="仿宋_GB2312"/>
                <w:b/>
                <w:bCs/>
                <w:szCs w:val="21"/>
              </w:rPr>
            </w:pPr>
            <w:r>
              <w:rPr>
                <w:rFonts w:hint="eastAsia" w:ascii="仿宋_GB2312" w:hAnsi="仿宋_GB2312" w:eastAsia="仿宋_GB2312" w:cs="仿宋_GB2312"/>
                <w:b/>
                <w:bCs/>
                <w:szCs w:val="21"/>
              </w:rPr>
              <w:t>裁量阶次</w:t>
            </w:r>
          </w:p>
        </w:tc>
        <w:tc>
          <w:tcPr>
            <w:tcW w:w="434" w:type="pct"/>
            <w:vAlign w:val="center"/>
          </w:tcPr>
          <w:p>
            <w:pPr>
              <w:jc w:val="center"/>
              <w:rPr>
                <w:rFonts w:hint="eastAsia" w:ascii="仿宋_GB2312" w:hAnsi="仿宋_GB2312" w:eastAsia="仿宋_GB2312" w:cs="仿宋_GB2312"/>
                <w:b/>
                <w:bCs/>
                <w:szCs w:val="21"/>
              </w:rPr>
            </w:pPr>
            <w:r>
              <w:rPr>
                <w:rFonts w:hint="eastAsia" w:ascii="仿宋_GB2312" w:hAnsi="仿宋_GB2312" w:eastAsia="仿宋_GB2312" w:cs="仿宋_GB2312"/>
                <w:b/>
                <w:bCs/>
                <w:szCs w:val="21"/>
              </w:rPr>
              <w:t>适用条件</w:t>
            </w:r>
          </w:p>
        </w:tc>
        <w:tc>
          <w:tcPr>
            <w:tcW w:w="1112" w:type="pct"/>
            <w:vAlign w:val="center"/>
          </w:tcPr>
          <w:p>
            <w:pPr>
              <w:jc w:val="center"/>
              <w:rPr>
                <w:rFonts w:hint="eastAsia" w:ascii="仿宋_GB2312" w:hAnsi="仿宋_GB2312" w:eastAsia="仿宋_GB2312" w:cs="仿宋_GB2312"/>
                <w:b/>
                <w:bCs/>
                <w:szCs w:val="21"/>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386" w:type="pct"/>
            <w:vMerge w:val="restart"/>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rPr>
              <w:t>1</w:t>
            </w:r>
            <w:r>
              <w:rPr>
                <w:rFonts w:hint="eastAsia" w:ascii="仿宋_GB2312" w:hAnsi="仿宋_GB2312" w:eastAsia="仿宋_GB2312" w:cs="仿宋_GB2312"/>
                <w:szCs w:val="21"/>
                <w:lang w:val="en"/>
              </w:rPr>
              <w:t>03.</w:t>
            </w:r>
            <w:r>
              <w:rPr>
                <w:rFonts w:hint="eastAsia" w:ascii="仿宋_GB2312" w:hAnsi="仿宋_GB2312" w:eastAsia="仿宋_GB2312" w:cs="仿宋_GB2312"/>
                <w:szCs w:val="21"/>
              </w:rPr>
              <w:t>5</w:t>
            </w:r>
          </w:p>
        </w:tc>
        <w:tc>
          <w:tcPr>
            <w:tcW w:w="421" w:type="pct"/>
            <w:vMerge w:val="restar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设计单位未在初步设计阶段将建设工程抗震设防专篇作为设计文件组成部分的</w:t>
            </w:r>
          </w:p>
        </w:tc>
        <w:tc>
          <w:tcPr>
            <w:tcW w:w="769" w:type="pct"/>
            <w:vMerge w:val="restar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十二条：“对位于高烈度设防地区、地震重点监视防御区的下列建设工程，设计单位应当在初步设计阶段按照国家有关规定编制建设工程抗震设防专篇，并作为设计文件组成部分：（一）重大建设工程；（二）地震时可能发生严重次生灾害的建设工程；（三）地震时使用功能不能中断或者需要尽快恢复的建设工程。</w:t>
            </w:r>
            <w:r>
              <w:rPr>
                <w:rFonts w:ascii="仿宋_GB2312" w:hAnsi="仿宋_GB2312" w:eastAsia="仿宋_GB2312" w:cs="仿宋_GB2312"/>
                <w:szCs w:val="21"/>
              </w:rPr>
              <w:t>”</w:t>
            </w:r>
          </w:p>
        </w:tc>
        <w:tc>
          <w:tcPr>
            <w:tcW w:w="990" w:type="pct"/>
            <w:vMerge w:val="restar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四十一条第二项：“违反本条例规定，设计单位有下列行为之一的，责令改正，处10万元以上30万元以下的罚款；情节严重的，责令停业整顿，降低资质等级或者吊销资质证书；造成损失的，依法承担赔偿责任：（二）未在初步设计阶段将建设工程抗震设防专篇作为设计文件组成部分。”</w:t>
            </w:r>
          </w:p>
          <w:p/>
          <w:p>
            <w:pPr>
              <w:rPr>
                <w:rFonts w:hint="eastAsia" w:ascii="仿宋_GB2312" w:hAnsi="仿宋_GB2312" w:eastAsia="仿宋_GB2312" w:cs="仿宋_GB2312"/>
                <w:szCs w:val="21"/>
              </w:rPr>
            </w:pPr>
            <w:r>
              <w:rPr>
                <w:rFonts w:hint="eastAsia" w:ascii="仿宋_GB2312" w:hAnsi="仿宋_GB2312" w:eastAsia="仿宋_GB2312" w:cs="仿宋_GB2312"/>
                <w:szCs w:val="21"/>
              </w:rPr>
              <w:t>第四十七条第一款：“依照本条例规定，给予单位罚款处罚的，对其直接负责的主管人员和其他直接责任人员处单位罚款数额5%以上10%以下的罚款。”</w:t>
            </w:r>
          </w:p>
        </w:tc>
        <w:tc>
          <w:tcPr>
            <w:tcW w:w="421" w:type="pct"/>
            <w:vMerge w:val="restar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罚款；责令停产停业；降低资质等级；吊销许可证件</w:t>
            </w:r>
          </w:p>
        </w:tc>
        <w:tc>
          <w:tcPr>
            <w:tcW w:w="467" w:type="pct"/>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Cs/>
                <w:color w:val="000000"/>
              </w:rPr>
              <w:t>从轻</w:t>
            </w:r>
          </w:p>
        </w:tc>
        <w:tc>
          <w:tcPr>
            <w:tcW w:w="434" w:type="pc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未造成危害后果或者造成轻微危害后果的</w:t>
            </w:r>
          </w:p>
        </w:tc>
        <w:tc>
          <w:tcPr>
            <w:tcW w:w="1112" w:type="pc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对设计单位责令改正，处10万元以上、低于20万元的罚款；</w:t>
            </w:r>
          </w:p>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rPr>
              <w:t>对单位</w:t>
            </w:r>
            <w:r>
              <w:rPr>
                <w:rFonts w:hint="eastAsia" w:ascii="仿宋_GB2312" w:hAnsi="仿宋_GB2312" w:eastAsia="仿宋_GB2312" w:cs="仿宋_GB2312"/>
                <w:color w:val="000000"/>
                <w:szCs w:val="20"/>
              </w:rPr>
              <w:t>直接负责的主管人员和其他直接责任人员处单位罚款数额5%以上、低于7.5%的罚款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8" w:hRule="atLeast"/>
          <w:jc w:val="center"/>
        </w:trPr>
        <w:tc>
          <w:tcPr>
            <w:tcW w:w="386" w:type="pct"/>
            <w:vMerge w:val="continue"/>
            <w:vAlign w:val="center"/>
          </w:tcPr>
          <w:p>
            <w:pPr>
              <w:rPr>
                <w:rFonts w:hint="eastAsia" w:ascii="仿宋_GB2312" w:hAnsi="仿宋_GB2312" w:eastAsia="仿宋_GB2312" w:cs="仿宋_GB2312"/>
                <w:szCs w:val="21"/>
              </w:rPr>
            </w:pPr>
          </w:p>
        </w:tc>
        <w:tc>
          <w:tcPr>
            <w:tcW w:w="421" w:type="pct"/>
            <w:vMerge w:val="continue"/>
            <w:vAlign w:val="center"/>
          </w:tcPr>
          <w:p>
            <w:pPr>
              <w:rPr>
                <w:rFonts w:hint="eastAsia" w:ascii="仿宋_GB2312" w:hAnsi="仿宋_GB2312" w:eastAsia="仿宋_GB2312" w:cs="仿宋_GB2312"/>
                <w:szCs w:val="21"/>
              </w:rPr>
            </w:pPr>
          </w:p>
        </w:tc>
        <w:tc>
          <w:tcPr>
            <w:tcW w:w="769" w:type="pct"/>
            <w:vMerge w:val="continue"/>
            <w:vAlign w:val="center"/>
          </w:tcPr>
          <w:p>
            <w:pPr>
              <w:rPr>
                <w:rFonts w:hint="eastAsia" w:ascii="仿宋_GB2312" w:hAnsi="仿宋_GB2312" w:eastAsia="仿宋_GB2312" w:cs="仿宋_GB2312"/>
                <w:szCs w:val="21"/>
              </w:rPr>
            </w:pPr>
          </w:p>
        </w:tc>
        <w:tc>
          <w:tcPr>
            <w:tcW w:w="990" w:type="pct"/>
            <w:vMerge w:val="continue"/>
            <w:vAlign w:val="center"/>
          </w:tcPr>
          <w:p>
            <w:pPr>
              <w:rPr>
                <w:rFonts w:hint="eastAsia" w:ascii="仿宋_GB2312" w:hAnsi="仿宋_GB2312" w:eastAsia="仿宋_GB2312" w:cs="仿宋_GB2312"/>
                <w:szCs w:val="21"/>
              </w:rPr>
            </w:pPr>
          </w:p>
        </w:tc>
        <w:tc>
          <w:tcPr>
            <w:tcW w:w="421" w:type="pct"/>
            <w:vMerge w:val="continue"/>
            <w:vAlign w:val="center"/>
          </w:tcPr>
          <w:p>
            <w:pPr>
              <w:rPr>
                <w:rFonts w:hint="eastAsia" w:ascii="仿宋_GB2312" w:hAnsi="仿宋_GB2312" w:eastAsia="仿宋_GB2312" w:cs="仿宋_GB2312"/>
                <w:szCs w:val="21"/>
              </w:rPr>
            </w:pPr>
          </w:p>
        </w:tc>
        <w:tc>
          <w:tcPr>
            <w:tcW w:w="467" w:type="pct"/>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Cs/>
                <w:color w:val="000000"/>
              </w:rPr>
              <w:t>一般</w:t>
            </w:r>
          </w:p>
        </w:tc>
        <w:tc>
          <w:tcPr>
            <w:tcW w:w="434" w:type="pc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造成一般危害后果的</w:t>
            </w:r>
          </w:p>
        </w:tc>
        <w:tc>
          <w:tcPr>
            <w:tcW w:w="1112" w:type="pc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对设计单位责令改正，处20万元的罚款；</w:t>
            </w:r>
          </w:p>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rPr>
              <w:t>对单位</w:t>
            </w:r>
            <w:r>
              <w:rPr>
                <w:rFonts w:hint="eastAsia" w:ascii="仿宋_GB2312" w:hAnsi="仿宋_GB2312" w:eastAsia="仿宋_GB2312" w:cs="仿宋_GB2312"/>
                <w:color w:val="000000"/>
                <w:szCs w:val="20"/>
              </w:rPr>
              <w:t>直接负责的主管人员和其他直接责任人员处单位罚款数额7.5%的罚款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386" w:type="pct"/>
            <w:vMerge w:val="continue"/>
            <w:vAlign w:val="center"/>
          </w:tcPr>
          <w:p>
            <w:pPr>
              <w:rPr>
                <w:rFonts w:hint="eastAsia" w:ascii="仿宋_GB2312" w:hAnsi="仿宋_GB2312" w:eastAsia="仿宋_GB2312" w:cs="仿宋_GB2312"/>
                <w:szCs w:val="21"/>
              </w:rPr>
            </w:pPr>
          </w:p>
        </w:tc>
        <w:tc>
          <w:tcPr>
            <w:tcW w:w="421" w:type="pct"/>
            <w:vMerge w:val="continue"/>
            <w:vAlign w:val="center"/>
          </w:tcPr>
          <w:p>
            <w:pPr>
              <w:rPr>
                <w:rFonts w:hint="eastAsia" w:ascii="仿宋_GB2312" w:hAnsi="仿宋_GB2312" w:eastAsia="仿宋_GB2312" w:cs="仿宋_GB2312"/>
                <w:szCs w:val="21"/>
              </w:rPr>
            </w:pPr>
          </w:p>
        </w:tc>
        <w:tc>
          <w:tcPr>
            <w:tcW w:w="769" w:type="pct"/>
            <w:vMerge w:val="continue"/>
            <w:vAlign w:val="center"/>
          </w:tcPr>
          <w:p>
            <w:pPr>
              <w:rPr>
                <w:rFonts w:hint="eastAsia" w:ascii="仿宋_GB2312" w:hAnsi="仿宋_GB2312" w:eastAsia="仿宋_GB2312" w:cs="仿宋_GB2312"/>
                <w:szCs w:val="21"/>
              </w:rPr>
            </w:pPr>
          </w:p>
        </w:tc>
        <w:tc>
          <w:tcPr>
            <w:tcW w:w="990" w:type="pct"/>
            <w:vMerge w:val="continue"/>
            <w:vAlign w:val="center"/>
          </w:tcPr>
          <w:p>
            <w:pPr>
              <w:rPr>
                <w:rFonts w:hint="eastAsia" w:ascii="仿宋_GB2312" w:hAnsi="仿宋_GB2312" w:eastAsia="仿宋_GB2312" w:cs="仿宋_GB2312"/>
                <w:szCs w:val="21"/>
              </w:rPr>
            </w:pPr>
          </w:p>
        </w:tc>
        <w:tc>
          <w:tcPr>
            <w:tcW w:w="421" w:type="pct"/>
            <w:vMerge w:val="continue"/>
            <w:vAlign w:val="center"/>
          </w:tcPr>
          <w:p>
            <w:pPr>
              <w:rPr>
                <w:rFonts w:hint="eastAsia" w:ascii="仿宋_GB2312" w:hAnsi="仿宋_GB2312" w:eastAsia="仿宋_GB2312" w:cs="仿宋_GB2312"/>
                <w:szCs w:val="21"/>
              </w:rPr>
            </w:pPr>
          </w:p>
        </w:tc>
        <w:tc>
          <w:tcPr>
            <w:tcW w:w="467" w:type="pct"/>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Cs/>
                <w:color w:val="000000"/>
              </w:rPr>
              <w:t>从重</w:t>
            </w:r>
          </w:p>
        </w:tc>
        <w:tc>
          <w:tcPr>
            <w:tcW w:w="434" w:type="pc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造成严重危害后果的或造成质量安全事故的</w:t>
            </w:r>
          </w:p>
        </w:tc>
        <w:tc>
          <w:tcPr>
            <w:tcW w:w="1112" w:type="pc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对设计单位责令改正，处超过20万元、30万元以下的罚款，责令停业整顿，降低资质等级或者吊销资质证书；</w:t>
            </w:r>
          </w:p>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rPr>
              <w:t>对单位</w:t>
            </w:r>
            <w:r>
              <w:rPr>
                <w:rFonts w:hint="eastAsia" w:ascii="仿宋_GB2312" w:hAnsi="仿宋_GB2312" w:eastAsia="仿宋_GB2312" w:cs="仿宋_GB2312"/>
                <w:color w:val="000000"/>
                <w:szCs w:val="20"/>
              </w:rPr>
              <w:t>直接负责的主管人员和其他直接责任人员处单位罚款数额超过7.5%、10%以下的罚款</w:t>
            </w:r>
          </w:p>
        </w:tc>
      </w:tr>
    </w:tbl>
    <w:p>
      <w:pPr>
        <w:outlineLvl w:val="0"/>
        <w:rPr>
          <w:rFonts w:hint="eastAsia" w:ascii="宋体" w:hAnsi="宋体" w:cs="宋体"/>
          <w:color w:val="000000"/>
          <w:kern w:val="44"/>
          <w:sz w:val="32"/>
        </w:rPr>
      </w:pPr>
    </w:p>
    <w:p>
      <w:pPr>
        <w:outlineLvl w:val="0"/>
        <w:rPr>
          <w:rFonts w:hint="eastAsia" w:ascii="宋体" w:hAnsi="宋体" w:cs="宋体"/>
          <w:b/>
          <w:kern w:val="44"/>
          <w:sz w:val="32"/>
          <w:szCs w:val="20"/>
        </w:rPr>
      </w:pPr>
      <w:r>
        <w:rPr>
          <w:rFonts w:hint="eastAsia" w:ascii="宋体" w:hAnsi="宋体" w:eastAsia="宋体 (正文)" w:cs="宋体"/>
          <w:color w:val="000000"/>
          <w:kern w:val="44"/>
          <w:sz w:val="32"/>
        </w:rPr>
        <w:t>《建设工程抗震管理条例》</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8"/>
        <w:gridCol w:w="1159"/>
        <w:gridCol w:w="1191"/>
        <w:gridCol w:w="2568"/>
        <w:gridCol w:w="1213"/>
        <w:gridCol w:w="1256"/>
        <w:gridCol w:w="2378"/>
        <w:gridCol w:w="36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blHeader/>
          <w:jc w:val="center"/>
        </w:trPr>
        <w:tc>
          <w:tcPr>
            <w:tcW w:w="285" w:type="pct"/>
            <w:vAlign w:val="center"/>
          </w:tcPr>
          <w:p>
            <w:pPr>
              <w:jc w:val="center"/>
              <w:rPr>
                <w:rFonts w:hint="eastAsia" w:ascii="仿宋_GB2312" w:hAnsi="仿宋_GB2312" w:eastAsia="仿宋_GB2312" w:cs="仿宋_GB2312"/>
                <w:b/>
                <w:bCs/>
                <w:szCs w:val="21"/>
              </w:rPr>
            </w:pPr>
            <w:r>
              <w:rPr>
                <w:rFonts w:hint="eastAsia" w:ascii="仿宋_GB2312" w:hAnsi="仿宋_GB2312" w:eastAsia="仿宋_GB2312" w:cs="仿宋_GB2312"/>
                <w:b/>
                <w:bCs/>
                <w:szCs w:val="21"/>
              </w:rPr>
              <w:t>序号</w:t>
            </w:r>
          </w:p>
        </w:tc>
        <w:tc>
          <w:tcPr>
            <w:tcW w:w="409" w:type="pct"/>
            <w:vAlign w:val="center"/>
          </w:tcPr>
          <w:p>
            <w:pPr>
              <w:jc w:val="center"/>
              <w:rPr>
                <w:rFonts w:hint="eastAsia" w:ascii="仿宋_GB2312" w:hAnsi="仿宋_GB2312" w:eastAsia="仿宋_GB2312" w:cs="仿宋_GB2312"/>
                <w:b/>
                <w:bCs/>
                <w:szCs w:val="21"/>
              </w:rPr>
            </w:pPr>
            <w:r>
              <w:rPr>
                <w:rFonts w:hint="eastAsia" w:ascii="仿宋_GB2312" w:hAnsi="仿宋_GB2312" w:eastAsia="仿宋_GB2312" w:cs="仿宋_GB2312"/>
                <w:b/>
                <w:bCs/>
                <w:szCs w:val="21"/>
              </w:rPr>
              <w:t>违法行为</w:t>
            </w:r>
          </w:p>
        </w:tc>
        <w:tc>
          <w:tcPr>
            <w:tcW w:w="420" w:type="pct"/>
            <w:vAlign w:val="center"/>
          </w:tcPr>
          <w:p>
            <w:pPr>
              <w:jc w:val="center"/>
              <w:rPr>
                <w:rFonts w:hint="eastAsia" w:ascii="仿宋_GB2312" w:hAnsi="仿宋_GB2312" w:eastAsia="仿宋_GB2312" w:cs="仿宋_GB2312"/>
                <w:b/>
                <w:bCs/>
                <w:szCs w:val="21"/>
                <w:lang w:val="en"/>
              </w:rPr>
            </w:pPr>
            <w:r>
              <w:rPr>
                <w:rFonts w:hint="eastAsia" w:ascii="仿宋_GB2312" w:hAnsi="仿宋_GB2312" w:eastAsia="仿宋_GB2312" w:cs="仿宋_GB2312"/>
                <w:b/>
                <w:bCs/>
                <w:szCs w:val="21"/>
                <w:lang w:val="en"/>
              </w:rPr>
              <w:t>违反条款</w:t>
            </w:r>
          </w:p>
        </w:tc>
        <w:tc>
          <w:tcPr>
            <w:tcW w:w="906" w:type="pct"/>
            <w:vAlign w:val="center"/>
          </w:tcPr>
          <w:p>
            <w:pPr>
              <w:jc w:val="center"/>
              <w:rPr>
                <w:rFonts w:hint="eastAsia" w:ascii="仿宋_GB2312" w:hAnsi="仿宋_GB2312" w:eastAsia="仿宋_GB2312" w:cs="仿宋_GB2312"/>
                <w:b/>
                <w:bCs/>
                <w:szCs w:val="21"/>
              </w:rPr>
            </w:pPr>
            <w:r>
              <w:rPr>
                <w:rFonts w:hint="eastAsia" w:ascii="仿宋_GB2312" w:hAnsi="仿宋_GB2312" w:eastAsia="仿宋_GB2312" w:cs="仿宋_GB2312"/>
                <w:b/>
                <w:bCs/>
                <w:szCs w:val="21"/>
              </w:rPr>
              <w:t>处罚依据</w:t>
            </w:r>
          </w:p>
        </w:tc>
        <w:tc>
          <w:tcPr>
            <w:tcW w:w="428" w:type="pct"/>
            <w:vAlign w:val="center"/>
          </w:tcPr>
          <w:p>
            <w:pPr>
              <w:jc w:val="center"/>
              <w:rPr>
                <w:rFonts w:hint="eastAsia" w:ascii="仿宋_GB2312" w:hAnsi="仿宋_GB2312" w:eastAsia="仿宋_GB2312" w:cs="仿宋_GB2312"/>
                <w:b/>
                <w:bCs/>
                <w:szCs w:val="21"/>
              </w:rPr>
            </w:pPr>
            <w:r>
              <w:rPr>
                <w:rFonts w:hint="eastAsia" w:ascii="仿宋_GB2312" w:hAnsi="仿宋_GB2312" w:eastAsia="仿宋_GB2312" w:cs="仿宋_GB2312"/>
                <w:b/>
                <w:bCs/>
                <w:szCs w:val="21"/>
              </w:rPr>
              <w:t>处罚种类</w:t>
            </w:r>
          </w:p>
        </w:tc>
        <w:tc>
          <w:tcPr>
            <w:tcW w:w="443" w:type="pct"/>
            <w:vAlign w:val="center"/>
          </w:tcPr>
          <w:p>
            <w:pPr>
              <w:jc w:val="center"/>
              <w:rPr>
                <w:rFonts w:hint="eastAsia" w:ascii="仿宋_GB2312" w:hAnsi="仿宋_GB2312" w:eastAsia="仿宋_GB2312" w:cs="仿宋_GB2312"/>
                <w:b/>
                <w:bCs/>
                <w:szCs w:val="21"/>
              </w:rPr>
            </w:pPr>
            <w:r>
              <w:rPr>
                <w:rFonts w:hint="eastAsia" w:ascii="仿宋_GB2312" w:hAnsi="仿宋_GB2312" w:eastAsia="仿宋_GB2312" w:cs="仿宋_GB2312"/>
                <w:b/>
                <w:bCs/>
                <w:szCs w:val="21"/>
              </w:rPr>
              <w:t>裁量阶次</w:t>
            </w:r>
          </w:p>
        </w:tc>
        <w:tc>
          <w:tcPr>
            <w:tcW w:w="839" w:type="pct"/>
            <w:vAlign w:val="center"/>
          </w:tcPr>
          <w:p>
            <w:pPr>
              <w:jc w:val="center"/>
              <w:rPr>
                <w:rFonts w:hint="eastAsia" w:ascii="仿宋_GB2312" w:hAnsi="仿宋_GB2312" w:eastAsia="仿宋_GB2312" w:cs="仿宋_GB2312"/>
                <w:b/>
                <w:bCs/>
                <w:szCs w:val="21"/>
              </w:rPr>
            </w:pPr>
            <w:r>
              <w:rPr>
                <w:rFonts w:hint="eastAsia" w:ascii="仿宋_GB2312" w:hAnsi="仿宋_GB2312" w:eastAsia="仿宋_GB2312" w:cs="仿宋_GB2312"/>
                <w:b/>
                <w:bCs/>
                <w:szCs w:val="21"/>
              </w:rPr>
              <w:t>适用条件</w:t>
            </w:r>
          </w:p>
        </w:tc>
        <w:tc>
          <w:tcPr>
            <w:tcW w:w="1270" w:type="pct"/>
            <w:vAlign w:val="center"/>
          </w:tcPr>
          <w:p>
            <w:pPr>
              <w:jc w:val="center"/>
              <w:rPr>
                <w:rFonts w:hint="eastAsia" w:ascii="仿宋_GB2312" w:hAnsi="仿宋_GB2312" w:eastAsia="仿宋_GB2312" w:cs="仿宋_GB2312"/>
                <w:b/>
                <w:bCs/>
                <w:szCs w:val="21"/>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0" w:hRule="atLeast"/>
          <w:jc w:val="center"/>
        </w:trPr>
        <w:tc>
          <w:tcPr>
            <w:tcW w:w="285" w:type="pct"/>
            <w:vMerge w:val="restart"/>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rPr>
              <w:t>1</w:t>
            </w:r>
            <w:r>
              <w:rPr>
                <w:rFonts w:hint="eastAsia" w:ascii="仿宋_GB2312" w:hAnsi="仿宋_GB2312" w:eastAsia="仿宋_GB2312" w:cs="仿宋_GB2312"/>
                <w:szCs w:val="21"/>
                <w:lang w:val="en"/>
              </w:rPr>
              <w:t>03.</w:t>
            </w:r>
            <w:r>
              <w:rPr>
                <w:rFonts w:hint="eastAsia" w:ascii="仿宋_GB2312" w:hAnsi="仿宋_GB2312" w:eastAsia="仿宋_GB2312" w:cs="仿宋_GB2312"/>
                <w:szCs w:val="21"/>
              </w:rPr>
              <w:t>6</w:t>
            </w:r>
          </w:p>
        </w:tc>
        <w:tc>
          <w:tcPr>
            <w:tcW w:w="409" w:type="pct"/>
            <w:vMerge w:val="restar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设计单位未按照抗震设防强制性标准进行设计的</w:t>
            </w:r>
          </w:p>
        </w:tc>
        <w:tc>
          <w:tcPr>
            <w:tcW w:w="420" w:type="pct"/>
            <w:vMerge w:val="restar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第九条第一款：“新建、扩建、改建建设工程，应当符合抗震设防强制性标准。”</w:t>
            </w:r>
          </w:p>
        </w:tc>
        <w:tc>
          <w:tcPr>
            <w:tcW w:w="906" w:type="pct"/>
            <w:vMerge w:val="restar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四十一条第三项:“违反本条例规定，设计单位有下列行为之一的，责令改正，处10万元以上30万元以下的罚款；情节严重的，责令停业整顿，降低资质等级或者吊销资质证书；造成损失的，依法承担赔偿责任：（三）未按照抗震设防强制性标准进行设计。”</w:t>
            </w:r>
          </w:p>
          <w:p/>
          <w:p>
            <w:pPr>
              <w:rPr>
                <w:rFonts w:hint="eastAsia" w:ascii="仿宋_GB2312" w:hAnsi="仿宋_GB2312" w:eastAsia="仿宋_GB2312" w:cs="仿宋_GB2312"/>
                <w:szCs w:val="21"/>
              </w:rPr>
            </w:pPr>
            <w:r>
              <w:rPr>
                <w:rFonts w:hint="eastAsia" w:ascii="仿宋_GB2312" w:hAnsi="仿宋_GB2312" w:eastAsia="仿宋_GB2312" w:cs="仿宋_GB2312"/>
                <w:szCs w:val="21"/>
              </w:rPr>
              <w:t>第四十七条第一款：“依照本条例规定，给予单位罚款处罚的，对其直接负责的主管人员和其他直接责任人员处单位罚款数额5%以上10%以下的罚款。”</w:t>
            </w:r>
          </w:p>
        </w:tc>
        <w:tc>
          <w:tcPr>
            <w:tcW w:w="428" w:type="pct"/>
            <w:vMerge w:val="restar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罚款；责令停产停业；降低资质等级；吊销许可证件</w:t>
            </w:r>
          </w:p>
        </w:tc>
        <w:tc>
          <w:tcPr>
            <w:tcW w:w="443" w:type="pct"/>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Cs/>
                <w:color w:val="000000"/>
              </w:rPr>
              <w:t>从轻</w:t>
            </w:r>
          </w:p>
        </w:tc>
        <w:tc>
          <w:tcPr>
            <w:tcW w:w="839" w:type="pc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同一项目中，未按照一条抗震设防强制性标准进行设计的；或者一次违反震设防强制性标准进行设计的</w:t>
            </w:r>
          </w:p>
        </w:tc>
        <w:tc>
          <w:tcPr>
            <w:tcW w:w="1270" w:type="pc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对设计单位责令改正，处10万元以上、低于20万元的罚款；</w:t>
            </w:r>
          </w:p>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rPr>
              <w:t>对单位</w:t>
            </w:r>
            <w:r>
              <w:rPr>
                <w:rFonts w:hint="eastAsia" w:ascii="仿宋_GB2312" w:hAnsi="仿宋_GB2312" w:eastAsia="仿宋_GB2312" w:cs="仿宋_GB2312"/>
                <w:color w:val="000000"/>
                <w:szCs w:val="20"/>
              </w:rPr>
              <w:t>直接负责的主管人员和其他直接责任人员处单位罚款数额5%以上、低于7.5%的罚款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4" w:hRule="atLeast"/>
          <w:jc w:val="center"/>
        </w:trPr>
        <w:tc>
          <w:tcPr>
            <w:tcW w:w="285" w:type="pct"/>
            <w:vMerge w:val="continue"/>
            <w:vAlign w:val="center"/>
          </w:tcPr>
          <w:p>
            <w:pPr>
              <w:rPr>
                <w:rFonts w:hint="eastAsia" w:ascii="仿宋_GB2312" w:hAnsi="仿宋_GB2312" w:eastAsia="仿宋_GB2312" w:cs="仿宋_GB2312"/>
                <w:szCs w:val="21"/>
              </w:rPr>
            </w:pPr>
          </w:p>
        </w:tc>
        <w:tc>
          <w:tcPr>
            <w:tcW w:w="409" w:type="pct"/>
            <w:vMerge w:val="continue"/>
            <w:vAlign w:val="center"/>
          </w:tcPr>
          <w:p>
            <w:pPr>
              <w:rPr>
                <w:rFonts w:hint="eastAsia" w:ascii="仿宋_GB2312" w:hAnsi="仿宋_GB2312" w:eastAsia="仿宋_GB2312" w:cs="仿宋_GB2312"/>
                <w:szCs w:val="21"/>
              </w:rPr>
            </w:pPr>
          </w:p>
        </w:tc>
        <w:tc>
          <w:tcPr>
            <w:tcW w:w="420" w:type="pct"/>
            <w:vMerge w:val="continue"/>
            <w:vAlign w:val="center"/>
          </w:tcPr>
          <w:p>
            <w:pPr>
              <w:rPr>
                <w:rFonts w:hint="eastAsia" w:ascii="仿宋_GB2312" w:hAnsi="仿宋_GB2312" w:eastAsia="仿宋_GB2312" w:cs="仿宋_GB2312"/>
                <w:szCs w:val="21"/>
              </w:rPr>
            </w:pPr>
          </w:p>
        </w:tc>
        <w:tc>
          <w:tcPr>
            <w:tcW w:w="906" w:type="pct"/>
            <w:vMerge w:val="continue"/>
            <w:vAlign w:val="center"/>
          </w:tcPr>
          <w:p>
            <w:pPr>
              <w:rPr>
                <w:rFonts w:hint="eastAsia" w:ascii="仿宋_GB2312" w:hAnsi="仿宋_GB2312" w:eastAsia="仿宋_GB2312" w:cs="仿宋_GB2312"/>
                <w:szCs w:val="21"/>
              </w:rPr>
            </w:pPr>
          </w:p>
        </w:tc>
        <w:tc>
          <w:tcPr>
            <w:tcW w:w="428" w:type="pct"/>
            <w:vMerge w:val="continue"/>
            <w:vAlign w:val="center"/>
          </w:tcPr>
          <w:p>
            <w:pPr>
              <w:rPr>
                <w:rFonts w:hint="eastAsia" w:ascii="仿宋_GB2312" w:hAnsi="仿宋_GB2312" w:eastAsia="仿宋_GB2312" w:cs="仿宋_GB2312"/>
                <w:szCs w:val="21"/>
              </w:rPr>
            </w:pPr>
          </w:p>
        </w:tc>
        <w:tc>
          <w:tcPr>
            <w:tcW w:w="443" w:type="pct"/>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Cs/>
                <w:color w:val="000000"/>
              </w:rPr>
              <w:t>一般</w:t>
            </w:r>
          </w:p>
        </w:tc>
        <w:tc>
          <w:tcPr>
            <w:tcW w:w="839" w:type="pc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同一项目中，未按照两条以上、少于五条以下抗震设防强制性标准进行设计；或者两次违反震设防强制性标准进行设计的</w:t>
            </w:r>
          </w:p>
        </w:tc>
        <w:tc>
          <w:tcPr>
            <w:tcW w:w="1270" w:type="pc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对设计单位责令改正，处20万元的罚款；</w:t>
            </w:r>
          </w:p>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rPr>
              <w:t>对单位</w:t>
            </w:r>
            <w:r>
              <w:rPr>
                <w:rFonts w:hint="eastAsia" w:ascii="仿宋_GB2312" w:hAnsi="仿宋_GB2312" w:eastAsia="仿宋_GB2312" w:cs="仿宋_GB2312"/>
                <w:color w:val="000000"/>
                <w:szCs w:val="20"/>
              </w:rPr>
              <w:t>直接负责的主管人员和其他直接责任人员处单位罚款数额7.5%的罚款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285" w:type="pct"/>
            <w:vMerge w:val="continue"/>
            <w:vAlign w:val="center"/>
          </w:tcPr>
          <w:p>
            <w:pPr>
              <w:rPr>
                <w:rFonts w:hint="eastAsia" w:ascii="仿宋_GB2312" w:hAnsi="仿宋_GB2312" w:eastAsia="仿宋_GB2312" w:cs="仿宋_GB2312"/>
                <w:szCs w:val="21"/>
              </w:rPr>
            </w:pPr>
          </w:p>
        </w:tc>
        <w:tc>
          <w:tcPr>
            <w:tcW w:w="409" w:type="pct"/>
            <w:vMerge w:val="continue"/>
            <w:vAlign w:val="center"/>
          </w:tcPr>
          <w:p>
            <w:pPr>
              <w:rPr>
                <w:rFonts w:hint="eastAsia" w:ascii="仿宋_GB2312" w:hAnsi="仿宋_GB2312" w:eastAsia="仿宋_GB2312" w:cs="仿宋_GB2312"/>
                <w:szCs w:val="21"/>
              </w:rPr>
            </w:pPr>
          </w:p>
        </w:tc>
        <w:tc>
          <w:tcPr>
            <w:tcW w:w="420" w:type="pct"/>
            <w:vMerge w:val="continue"/>
            <w:vAlign w:val="center"/>
          </w:tcPr>
          <w:p>
            <w:pPr>
              <w:rPr>
                <w:rFonts w:hint="eastAsia" w:ascii="仿宋_GB2312" w:hAnsi="仿宋_GB2312" w:eastAsia="仿宋_GB2312" w:cs="仿宋_GB2312"/>
                <w:szCs w:val="21"/>
              </w:rPr>
            </w:pPr>
          </w:p>
        </w:tc>
        <w:tc>
          <w:tcPr>
            <w:tcW w:w="906" w:type="pct"/>
            <w:vMerge w:val="continue"/>
            <w:vAlign w:val="center"/>
          </w:tcPr>
          <w:p>
            <w:pPr>
              <w:rPr>
                <w:rFonts w:hint="eastAsia" w:ascii="仿宋_GB2312" w:hAnsi="仿宋_GB2312" w:eastAsia="仿宋_GB2312" w:cs="仿宋_GB2312"/>
                <w:szCs w:val="21"/>
              </w:rPr>
            </w:pPr>
          </w:p>
        </w:tc>
        <w:tc>
          <w:tcPr>
            <w:tcW w:w="428" w:type="pct"/>
            <w:vMerge w:val="continue"/>
            <w:vAlign w:val="center"/>
          </w:tcPr>
          <w:p>
            <w:pPr>
              <w:rPr>
                <w:rFonts w:hint="eastAsia" w:ascii="仿宋_GB2312" w:hAnsi="仿宋_GB2312" w:eastAsia="仿宋_GB2312" w:cs="仿宋_GB2312"/>
                <w:szCs w:val="21"/>
              </w:rPr>
            </w:pPr>
          </w:p>
        </w:tc>
        <w:tc>
          <w:tcPr>
            <w:tcW w:w="443" w:type="pct"/>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Cs/>
                <w:color w:val="000000"/>
              </w:rPr>
              <w:t>从重</w:t>
            </w:r>
          </w:p>
        </w:tc>
        <w:tc>
          <w:tcPr>
            <w:tcW w:w="839" w:type="pc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同一项目中，未按照五条以上抗震设防强制性标准进行设计；或者三次以上违反震设防强制性标准进行设计的或造成质量安全事故的</w:t>
            </w:r>
          </w:p>
        </w:tc>
        <w:tc>
          <w:tcPr>
            <w:tcW w:w="1270" w:type="pc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对设计单位责令改正，处超过20万元、30万元以下的罚款，责令停业整顿，降低资质等级或者吊销资质证书；</w:t>
            </w:r>
          </w:p>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rPr>
              <w:t>对单位</w:t>
            </w:r>
            <w:r>
              <w:rPr>
                <w:rFonts w:hint="eastAsia" w:ascii="仿宋_GB2312" w:hAnsi="仿宋_GB2312" w:eastAsia="仿宋_GB2312" w:cs="仿宋_GB2312"/>
                <w:color w:val="000000"/>
                <w:szCs w:val="20"/>
              </w:rPr>
              <w:t>直接负责的主管人员和其他直接责任人员处单位罚款数额超过7.5%、10%以下的罚款</w:t>
            </w:r>
          </w:p>
        </w:tc>
      </w:tr>
    </w:tbl>
    <w:p>
      <w:pPr>
        <w:outlineLvl w:val="0"/>
        <w:rPr>
          <w:rFonts w:ascii="宋体" w:hAnsi="宋体" w:eastAsia="宋体 (正文)" w:cs="宋体"/>
          <w:color w:val="000000"/>
          <w:kern w:val="44"/>
          <w:sz w:val="32"/>
        </w:rPr>
      </w:pPr>
    </w:p>
    <w:p>
      <w:pPr>
        <w:outlineLvl w:val="0"/>
        <w:rPr>
          <w:rFonts w:hint="eastAsia" w:ascii="宋体" w:hAnsi="宋体" w:cs="宋体"/>
          <w:b/>
          <w:kern w:val="44"/>
          <w:sz w:val="32"/>
          <w:szCs w:val="20"/>
        </w:rPr>
      </w:pPr>
      <w:r>
        <w:rPr>
          <w:rFonts w:hint="eastAsia" w:ascii="宋体" w:hAnsi="宋体" w:eastAsia="宋体 (正文)" w:cs="宋体"/>
          <w:color w:val="000000"/>
          <w:kern w:val="44"/>
          <w:sz w:val="32"/>
        </w:rPr>
        <w:t>《建设工程抗震管理条例》</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01"/>
        <w:gridCol w:w="1211"/>
        <w:gridCol w:w="1211"/>
        <w:gridCol w:w="2555"/>
        <w:gridCol w:w="1199"/>
        <w:gridCol w:w="1188"/>
        <w:gridCol w:w="2118"/>
        <w:gridCol w:w="379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blHeader/>
          <w:jc w:val="center"/>
        </w:trPr>
        <w:tc>
          <w:tcPr>
            <w:tcW w:w="318" w:type="pct"/>
            <w:vAlign w:val="center"/>
          </w:tcPr>
          <w:p>
            <w:pPr>
              <w:jc w:val="center"/>
              <w:rPr>
                <w:rFonts w:hint="eastAsia" w:ascii="仿宋_GB2312" w:hAnsi="仿宋_GB2312" w:eastAsia="仿宋_GB2312" w:cs="仿宋_GB2312"/>
                <w:b/>
                <w:bCs/>
                <w:szCs w:val="21"/>
              </w:rPr>
            </w:pPr>
            <w:r>
              <w:rPr>
                <w:rFonts w:hint="eastAsia" w:ascii="仿宋_GB2312" w:hAnsi="仿宋_GB2312" w:eastAsia="仿宋_GB2312" w:cs="仿宋_GB2312"/>
                <w:b/>
                <w:bCs/>
                <w:szCs w:val="21"/>
              </w:rPr>
              <w:t>序号</w:t>
            </w:r>
          </w:p>
        </w:tc>
        <w:tc>
          <w:tcPr>
            <w:tcW w:w="427" w:type="pct"/>
            <w:vAlign w:val="center"/>
          </w:tcPr>
          <w:p>
            <w:pPr>
              <w:jc w:val="center"/>
              <w:rPr>
                <w:rFonts w:hint="eastAsia" w:ascii="仿宋_GB2312" w:hAnsi="仿宋_GB2312" w:eastAsia="仿宋_GB2312" w:cs="仿宋_GB2312"/>
                <w:b/>
                <w:bCs/>
                <w:szCs w:val="21"/>
              </w:rPr>
            </w:pPr>
            <w:r>
              <w:rPr>
                <w:rFonts w:hint="eastAsia" w:ascii="仿宋_GB2312" w:hAnsi="仿宋_GB2312" w:eastAsia="仿宋_GB2312" w:cs="仿宋_GB2312"/>
                <w:b/>
                <w:bCs/>
                <w:szCs w:val="21"/>
              </w:rPr>
              <w:t>违法行为</w:t>
            </w:r>
          </w:p>
        </w:tc>
        <w:tc>
          <w:tcPr>
            <w:tcW w:w="427" w:type="pct"/>
            <w:vAlign w:val="center"/>
          </w:tcPr>
          <w:p>
            <w:pPr>
              <w:jc w:val="center"/>
              <w:rPr>
                <w:rFonts w:hint="eastAsia" w:ascii="仿宋_GB2312" w:hAnsi="仿宋_GB2312" w:eastAsia="仿宋_GB2312" w:cs="仿宋_GB2312"/>
                <w:b/>
                <w:bCs/>
                <w:szCs w:val="21"/>
                <w:lang w:val="en"/>
              </w:rPr>
            </w:pPr>
            <w:r>
              <w:rPr>
                <w:rFonts w:hint="eastAsia" w:ascii="仿宋_GB2312" w:hAnsi="仿宋_GB2312" w:eastAsia="仿宋_GB2312" w:cs="仿宋_GB2312"/>
                <w:b/>
                <w:bCs/>
                <w:szCs w:val="21"/>
                <w:lang w:val="en"/>
              </w:rPr>
              <w:t>违反条款</w:t>
            </w:r>
          </w:p>
        </w:tc>
        <w:tc>
          <w:tcPr>
            <w:tcW w:w="901" w:type="pct"/>
            <w:vAlign w:val="center"/>
          </w:tcPr>
          <w:p>
            <w:pPr>
              <w:jc w:val="center"/>
              <w:rPr>
                <w:rFonts w:hint="eastAsia" w:ascii="仿宋_GB2312" w:hAnsi="仿宋_GB2312" w:eastAsia="仿宋_GB2312" w:cs="仿宋_GB2312"/>
                <w:b/>
                <w:bCs/>
                <w:szCs w:val="21"/>
              </w:rPr>
            </w:pPr>
            <w:r>
              <w:rPr>
                <w:rFonts w:hint="eastAsia" w:ascii="仿宋_GB2312" w:hAnsi="仿宋_GB2312" w:eastAsia="仿宋_GB2312" w:cs="仿宋_GB2312"/>
                <w:b/>
                <w:bCs/>
                <w:szCs w:val="21"/>
              </w:rPr>
              <w:t>处罚依据</w:t>
            </w:r>
          </w:p>
        </w:tc>
        <w:tc>
          <w:tcPr>
            <w:tcW w:w="423" w:type="pct"/>
            <w:vAlign w:val="center"/>
          </w:tcPr>
          <w:p>
            <w:pPr>
              <w:jc w:val="center"/>
              <w:rPr>
                <w:rFonts w:hint="eastAsia" w:ascii="仿宋_GB2312" w:hAnsi="仿宋_GB2312" w:eastAsia="仿宋_GB2312" w:cs="仿宋_GB2312"/>
                <w:b/>
                <w:bCs/>
                <w:szCs w:val="21"/>
              </w:rPr>
            </w:pPr>
            <w:r>
              <w:rPr>
                <w:rFonts w:hint="eastAsia" w:ascii="仿宋_GB2312" w:hAnsi="仿宋_GB2312" w:eastAsia="仿宋_GB2312" w:cs="仿宋_GB2312"/>
                <w:b/>
                <w:bCs/>
                <w:szCs w:val="21"/>
              </w:rPr>
              <w:t>处罚种类</w:t>
            </w:r>
          </w:p>
        </w:tc>
        <w:tc>
          <w:tcPr>
            <w:tcW w:w="419" w:type="pct"/>
            <w:vAlign w:val="center"/>
          </w:tcPr>
          <w:p>
            <w:pPr>
              <w:jc w:val="center"/>
              <w:rPr>
                <w:rFonts w:hint="eastAsia" w:ascii="仿宋_GB2312" w:hAnsi="仿宋_GB2312" w:eastAsia="仿宋_GB2312" w:cs="仿宋_GB2312"/>
                <w:b/>
                <w:bCs/>
                <w:szCs w:val="21"/>
              </w:rPr>
            </w:pPr>
            <w:r>
              <w:rPr>
                <w:rFonts w:hint="eastAsia" w:ascii="仿宋_GB2312" w:hAnsi="仿宋_GB2312" w:eastAsia="仿宋_GB2312" w:cs="仿宋_GB2312"/>
                <w:b/>
                <w:bCs/>
                <w:szCs w:val="21"/>
              </w:rPr>
              <w:t>裁量阶次</w:t>
            </w:r>
          </w:p>
        </w:tc>
        <w:tc>
          <w:tcPr>
            <w:tcW w:w="747" w:type="pct"/>
            <w:vAlign w:val="center"/>
          </w:tcPr>
          <w:p>
            <w:pPr>
              <w:jc w:val="center"/>
              <w:rPr>
                <w:rFonts w:hint="eastAsia" w:ascii="仿宋_GB2312" w:hAnsi="仿宋_GB2312" w:eastAsia="仿宋_GB2312" w:cs="仿宋_GB2312"/>
                <w:b/>
                <w:bCs/>
                <w:szCs w:val="21"/>
              </w:rPr>
            </w:pPr>
            <w:r>
              <w:rPr>
                <w:rFonts w:hint="eastAsia" w:ascii="仿宋_GB2312" w:hAnsi="仿宋_GB2312" w:eastAsia="仿宋_GB2312" w:cs="仿宋_GB2312"/>
                <w:b/>
                <w:bCs/>
                <w:szCs w:val="21"/>
              </w:rPr>
              <w:t>适用条件</w:t>
            </w:r>
          </w:p>
        </w:tc>
        <w:tc>
          <w:tcPr>
            <w:tcW w:w="1337" w:type="pct"/>
            <w:vAlign w:val="center"/>
          </w:tcPr>
          <w:p>
            <w:pPr>
              <w:jc w:val="center"/>
              <w:rPr>
                <w:rFonts w:hint="eastAsia" w:ascii="仿宋_GB2312" w:hAnsi="仿宋_GB2312" w:eastAsia="仿宋_GB2312" w:cs="仿宋_GB2312"/>
                <w:b/>
                <w:bCs/>
                <w:szCs w:val="21"/>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318" w:type="pct"/>
            <w:vMerge w:val="restart"/>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103.</w:t>
            </w:r>
            <w:r>
              <w:rPr>
                <w:rFonts w:hint="eastAsia" w:ascii="仿宋_GB2312" w:hAnsi="仿宋_GB2312" w:eastAsia="仿宋_GB2312" w:cs="仿宋_GB2312"/>
                <w:szCs w:val="21"/>
              </w:rPr>
              <w:t>7</w:t>
            </w:r>
          </w:p>
        </w:tc>
        <w:tc>
          <w:tcPr>
            <w:tcW w:w="427" w:type="pct"/>
            <w:vMerge w:val="restar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施工单位在施工中未按照抗震设防强制性标准进行施工的</w:t>
            </w:r>
          </w:p>
        </w:tc>
        <w:tc>
          <w:tcPr>
            <w:tcW w:w="427" w:type="pct"/>
            <w:vMerge w:val="restar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第十四条第三款：“施工单位应当按照抗震设防强制性标准进行施工。”</w:t>
            </w:r>
          </w:p>
        </w:tc>
        <w:tc>
          <w:tcPr>
            <w:tcW w:w="901" w:type="pct"/>
            <w:vMerge w:val="restar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四十二条：“违反本条例规定，施工单位在施工中未按照抗震设防强制性标准进行施工的，责令改正，处工程合同价款百分之二以上百分之四以下的罚款；造成建设工程不符合抗震设防强制性标准的，负责返工、加固，并赔偿因此造成的损失；情节严重的，责令停业整顿，降低资质等级或者吊销资质证书。”</w:t>
            </w:r>
          </w:p>
          <w:p/>
          <w:p>
            <w:pPr>
              <w:rPr>
                <w:rFonts w:hint="eastAsia" w:ascii="仿宋_GB2312" w:hAnsi="仿宋_GB2312" w:eastAsia="仿宋_GB2312" w:cs="仿宋_GB2312"/>
                <w:szCs w:val="21"/>
              </w:rPr>
            </w:pPr>
            <w:r>
              <w:rPr>
                <w:rFonts w:hint="eastAsia" w:ascii="仿宋_GB2312" w:hAnsi="仿宋_GB2312" w:eastAsia="仿宋_GB2312" w:cs="仿宋_GB2312"/>
                <w:szCs w:val="21"/>
              </w:rPr>
              <w:t>第四十七条第一款：“依照本条例规定，给予单位罚款处罚的，对其直接负责的主管人员和其他直接责任人员处单位罚款数额5%以上10%以下的罚款。”</w:t>
            </w:r>
          </w:p>
        </w:tc>
        <w:tc>
          <w:tcPr>
            <w:tcW w:w="423" w:type="pct"/>
            <w:vMerge w:val="restar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罚款；责令停产停业；降低资质等级；吊销许可证件</w:t>
            </w:r>
          </w:p>
        </w:tc>
        <w:tc>
          <w:tcPr>
            <w:tcW w:w="419" w:type="pct"/>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Cs/>
                <w:color w:val="000000"/>
                <w:szCs w:val="21"/>
              </w:rPr>
              <w:t>从轻</w:t>
            </w:r>
          </w:p>
        </w:tc>
        <w:tc>
          <w:tcPr>
            <w:tcW w:w="747" w:type="pc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同一项目中，未按照一条抗震设防强制性标准进行施工的</w:t>
            </w:r>
          </w:p>
        </w:tc>
        <w:tc>
          <w:tcPr>
            <w:tcW w:w="1337" w:type="pc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对施工单位责令改正，处工程合同价款百分之二以上、低于百分之三的罚款；</w:t>
            </w:r>
          </w:p>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rPr>
              <w:t>对单位</w:t>
            </w:r>
            <w:r>
              <w:rPr>
                <w:rFonts w:hint="eastAsia" w:ascii="仿宋_GB2312" w:hAnsi="仿宋_GB2312" w:eastAsia="仿宋_GB2312" w:cs="仿宋_GB2312"/>
                <w:color w:val="000000"/>
                <w:szCs w:val="20"/>
              </w:rPr>
              <w:t>直接负责的主管人员和其他直接责任人员处单位罚款数额5%以上、低于7.5%的罚款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318" w:type="pct"/>
            <w:vMerge w:val="continue"/>
            <w:vAlign w:val="center"/>
          </w:tcPr>
          <w:p>
            <w:pPr>
              <w:rPr>
                <w:rFonts w:hint="eastAsia" w:ascii="仿宋_GB2312" w:hAnsi="仿宋_GB2312" w:eastAsia="仿宋_GB2312" w:cs="仿宋_GB2312"/>
                <w:szCs w:val="21"/>
              </w:rPr>
            </w:pPr>
          </w:p>
        </w:tc>
        <w:tc>
          <w:tcPr>
            <w:tcW w:w="427" w:type="pct"/>
            <w:vMerge w:val="continue"/>
            <w:vAlign w:val="center"/>
          </w:tcPr>
          <w:p>
            <w:pPr>
              <w:rPr>
                <w:rFonts w:hint="eastAsia" w:ascii="仿宋_GB2312" w:hAnsi="仿宋_GB2312" w:eastAsia="仿宋_GB2312" w:cs="仿宋_GB2312"/>
                <w:szCs w:val="21"/>
              </w:rPr>
            </w:pPr>
          </w:p>
        </w:tc>
        <w:tc>
          <w:tcPr>
            <w:tcW w:w="427" w:type="pct"/>
            <w:vMerge w:val="continue"/>
            <w:vAlign w:val="center"/>
          </w:tcPr>
          <w:p>
            <w:pPr>
              <w:rPr>
                <w:rFonts w:hint="eastAsia" w:ascii="仿宋_GB2312" w:hAnsi="仿宋_GB2312" w:eastAsia="仿宋_GB2312" w:cs="仿宋_GB2312"/>
                <w:szCs w:val="21"/>
              </w:rPr>
            </w:pPr>
          </w:p>
        </w:tc>
        <w:tc>
          <w:tcPr>
            <w:tcW w:w="901" w:type="pct"/>
            <w:vMerge w:val="continue"/>
            <w:vAlign w:val="center"/>
          </w:tcPr>
          <w:p>
            <w:pPr>
              <w:rPr>
                <w:rFonts w:hint="eastAsia" w:ascii="仿宋_GB2312" w:hAnsi="仿宋_GB2312" w:eastAsia="仿宋_GB2312" w:cs="仿宋_GB2312"/>
                <w:szCs w:val="21"/>
              </w:rPr>
            </w:pPr>
          </w:p>
        </w:tc>
        <w:tc>
          <w:tcPr>
            <w:tcW w:w="423" w:type="pct"/>
            <w:vMerge w:val="continue"/>
            <w:vAlign w:val="center"/>
          </w:tcPr>
          <w:p>
            <w:pPr>
              <w:rPr>
                <w:rFonts w:hint="eastAsia" w:ascii="仿宋_GB2312" w:hAnsi="仿宋_GB2312" w:eastAsia="仿宋_GB2312" w:cs="仿宋_GB2312"/>
                <w:szCs w:val="21"/>
              </w:rPr>
            </w:pPr>
          </w:p>
        </w:tc>
        <w:tc>
          <w:tcPr>
            <w:tcW w:w="419" w:type="pct"/>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Cs/>
                <w:color w:val="000000"/>
                <w:szCs w:val="21"/>
              </w:rPr>
              <w:t>一般</w:t>
            </w:r>
          </w:p>
        </w:tc>
        <w:tc>
          <w:tcPr>
            <w:tcW w:w="747" w:type="pc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同一项目中，未按照两条抗震设防强制性标准进行施工的</w:t>
            </w:r>
          </w:p>
        </w:tc>
        <w:tc>
          <w:tcPr>
            <w:tcW w:w="1337" w:type="pc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对施工单位责令改正，处工程合同价款百分之三的罚款；</w:t>
            </w:r>
          </w:p>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rPr>
              <w:t>对单位</w:t>
            </w:r>
            <w:r>
              <w:rPr>
                <w:rFonts w:hint="eastAsia" w:ascii="仿宋_GB2312" w:hAnsi="仿宋_GB2312" w:eastAsia="仿宋_GB2312" w:cs="仿宋_GB2312"/>
                <w:color w:val="000000"/>
                <w:szCs w:val="20"/>
              </w:rPr>
              <w:t>直接负责的主管人员和其他直接责任人员处单位罚款数额7.5%的罚款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318" w:type="pct"/>
            <w:vMerge w:val="continue"/>
            <w:vAlign w:val="center"/>
          </w:tcPr>
          <w:p>
            <w:pPr>
              <w:rPr>
                <w:rFonts w:hint="eastAsia" w:ascii="仿宋_GB2312" w:hAnsi="仿宋_GB2312" w:eastAsia="仿宋_GB2312" w:cs="仿宋_GB2312"/>
                <w:szCs w:val="21"/>
              </w:rPr>
            </w:pPr>
          </w:p>
        </w:tc>
        <w:tc>
          <w:tcPr>
            <w:tcW w:w="427" w:type="pct"/>
            <w:vMerge w:val="continue"/>
            <w:vAlign w:val="center"/>
          </w:tcPr>
          <w:p>
            <w:pPr>
              <w:rPr>
                <w:rFonts w:hint="eastAsia" w:ascii="仿宋_GB2312" w:hAnsi="仿宋_GB2312" w:eastAsia="仿宋_GB2312" w:cs="仿宋_GB2312"/>
                <w:szCs w:val="21"/>
              </w:rPr>
            </w:pPr>
          </w:p>
        </w:tc>
        <w:tc>
          <w:tcPr>
            <w:tcW w:w="427" w:type="pct"/>
            <w:vMerge w:val="continue"/>
            <w:vAlign w:val="center"/>
          </w:tcPr>
          <w:p>
            <w:pPr>
              <w:rPr>
                <w:rFonts w:hint="eastAsia" w:ascii="仿宋_GB2312" w:hAnsi="仿宋_GB2312" w:eastAsia="仿宋_GB2312" w:cs="仿宋_GB2312"/>
                <w:szCs w:val="21"/>
              </w:rPr>
            </w:pPr>
          </w:p>
        </w:tc>
        <w:tc>
          <w:tcPr>
            <w:tcW w:w="901" w:type="pct"/>
            <w:vMerge w:val="continue"/>
            <w:vAlign w:val="center"/>
          </w:tcPr>
          <w:p>
            <w:pPr>
              <w:rPr>
                <w:rFonts w:hint="eastAsia" w:ascii="仿宋_GB2312" w:hAnsi="仿宋_GB2312" w:eastAsia="仿宋_GB2312" w:cs="仿宋_GB2312"/>
                <w:szCs w:val="21"/>
              </w:rPr>
            </w:pPr>
          </w:p>
        </w:tc>
        <w:tc>
          <w:tcPr>
            <w:tcW w:w="423" w:type="pct"/>
            <w:vMerge w:val="continue"/>
            <w:vAlign w:val="center"/>
          </w:tcPr>
          <w:p>
            <w:pPr>
              <w:rPr>
                <w:rFonts w:hint="eastAsia" w:ascii="仿宋_GB2312" w:hAnsi="仿宋_GB2312" w:eastAsia="仿宋_GB2312" w:cs="仿宋_GB2312"/>
                <w:szCs w:val="21"/>
              </w:rPr>
            </w:pPr>
          </w:p>
        </w:tc>
        <w:tc>
          <w:tcPr>
            <w:tcW w:w="419" w:type="pct"/>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Cs/>
                <w:color w:val="000000"/>
                <w:szCs w:val="21"/>
              </w:rPr>
              <w:t>从重</w:t>
            </w:r>
          </w:p>
        </w:tc>
        <w:tc>
          <w:tcPr>
            <w:tcW w:w="747" w:type="pc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同一项目中，未按照三条以上抗震设防强制性标准进行施工；或两次以上违反抗震设防强制性标准进行施工的或造成质量安全事故的</w:t>
            </w:r>
          </w:p>
        </w:tc>
        <w:tc>
          <w:tcPr>
            <w:tcW w:w="1337" w:type="pc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对施工单位责令改正，处工程合同价款超过百分之三、百分之四以下的罚款，责令停业整顿，降低资质等级或者吊销资质证书；</w:t>
            </w:r>
          </w:p>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rPr>
              <w:t>对单位</w:t>
            </w:r>
            <w:r>
              <w:rPr>
                <w:rFonts w:hint="eastAsia" w:ascii="仿宋_GB2312" w:hAnsi="仿宋_GB2312" w:eastAsia="仿宋_GB2312" w:cs="仿宋_GB2312"/>
                <w:color w:val="000000"/>
                <w:szCs w:val="20"/>
              </w:rPr>
              <w:t>直接负责的主管人员和其他直接责任人员处单位罚款数额超过7.5%、10%以下的罚款</w:t>
            </w:r>
          </w:p>
        </w:tc>
      </w:tr>
    </w:tbl>
    <w:p>
      <w:pPr>
        <w:rPr>
          <w:b/>
          <w:bCs/>
          <w:sz w:val="32"/>
          <w:szCs w:val="32"/>
        </w:rPr>
      </w:pPr>
      <w:r>
        <w:rPr>
          <w:rFonts w:hint="eastAsia" w:eastAsia="宋体 (正文)"/>
          <w:bCs/>
          <w:sz w:val="32"/>
          <w:szCs w:val="32"/>
        </w:rPr>
        <w:t>《建设工程抗震管理条例》</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79"/>
        <w:gridCol w:w="1296"/>
        <w:gridCol w:w="1199"/>
        <w:gridCol w:w="2772"/>
        <w:gridCol w:w="1261"/>
        <w:gridCol w:w="1256"/>
        <w:gridCol w:w="1656"/>
        <w:gridCol w:w="35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16"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序号</w:t>
            </w:r>
          </w:p>
        </w:tc>
        <w:tc>
          <w:tcPr>
            <w:tcW w:w="457"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423"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978"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445"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443"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584"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1254"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15" w:hRule="atLeast"/>
          <w:jc w:val="center"/>
        </w:trPr>
        <w:tc>
          <w:tcPr>
            <w:tcW w:w="416" w:type="pct"/>
            <w:vMerge w:val="restart"/>
            <w:vAlign w:val="center"/>
          </w:tcPr>
          <w:p>
            <w:pPr>
              <w:widowControl/>
              <w:jc w:val="center"/>
              <w:rPr>
                <w:rFonts w:hint="eastAsia" w:ascii="宋体" w:hAnsi="宋体" w:eastAsia="宋体" w:cs="黑体"/>
                <w:bCs/>
                <w:color w:val="000000"/>
                <w:kern w:val="0"/>
                <w:szCs w:val="21"/>
                <w:lang w:val="en"/>
              </w:rPr>
            </w:pPr>
            <w:r>
              <w:rPr>
                <w:rFonts w:ascii="仿宋_GB2312" w:eastAsia="仿宋_GB2312"/>
              </w:rPr>
              <w:t>103.8</w:t>
            </w:r>
          </w:p>
        </w:tc>
        <w:tc>
          <w:tcPr>
            <w:tcW w:w="457" w:type="pct"/>
            <w:vMerge w:val="restart"/>
            <w:vAlign w:val="center"/>
          </w:tcPr>
          <w:p>
            <w:pPr>
              <w:rPr>
                <w:rFonts w:hint="eastAsia" w:ascii="宋体" w:hAnsi="宋体" w:eastAsia="宋体" w:cs="黑体"/>
                <w:bCs/>
                <w:color w:val="000000"/>
                <w:szCs w:val="21"/>
              </w:rPr>
            </w:pPr>
            <w:r>
              <w:rPr>
                <w:rFonts w:hint="eastAsia" w:ascii="仿宋_GB2312" w:eastAsia="仿宋_GB2312"/>
              </w:rPr>
              <w:t>施工单位未对隔震减震装置取样送检或者使用不合格隔震减震装置的</w:t>
            </w:r>
          </w:p>
        </w:tc>
        <w:tc>
          <w:tcPr>
            <w:tcW w:w="423" w:type="pct"/>
            <w:vMerge w:val="restart"/>
            <w:vAlign w:val="center"/>
          </w:tcPr>
          <w:p>
            <w:pPr>
              <w:rPr>
                <w:rFonts w:hint="eastAsia" w:ascii="宋体" w:hAnsi="宋体" w:eastAsia="宋体" w:cs="黑体"/>
                <w:bCs/>
                <w:color w:val="000000"/>
              </w:rPr>
            </w:pPr>
            <w:r>
              <w:rPr>
                <w:rFonts w:hint="eastAsia" w:ascii="仿宋_GB2312" w:eastAsia="仿宋_GB2312"/>
              </w:rPr>
              <w:t>第十八条第一款：“隔震减震装置用于建设工程前，施工单位应当在建设单位或者工程监理单位监督下进行取样，送建设单位委托的具有相应建设工程质量检测资质的机构进行检测。禁止使用不合格的隔震减震装置。”</w:t>
            </w:r>
          </w:p>
        </w:tc>
        <w:tc>
          <w:tcPr>
            <w:tcW w:w="978" w:type="pct"/>
            <w:vMerge w:val="restart"/>
            <w:vAlign w:val="center"/>
          </w:tcPr>
          <w:p>
            <w:pPr>
              <w:rPr>
                <w:rFonts w:ascii="仿宋_GB2312" w:eastAsia="仿宋_GB2312"/>
              </w:rPr>
            </w:pPr>
            <w:r>
              <w:rPr>
                <w:rFonts w:hint="eastAsia" w:ascii="仿宋_GB2312" w:eastAsia="仿宋_GB2312"/>
              </w:rPr>
              <w:t>第四十三条：“违反本条例规定，施工单位未对隔震减震装置取样送检或者使用不合格隔震减震装置的，责令改正，处10万元以上20万元以下的罚款；情节严重的，责令停业整顿，并处20万元以上50万元以下的罚款，降低资质等级或者吊销资质证书；造成损失的，依法承担赔偿责任。”</w:t>
            </w:r>
          </w:p>
          <w:p>
            <w:pPr>
              <w:rPr>
                <w:rFonts w:eastAsia="宋体"/>
              </w:rPr>
            </w:pPr>
          </w:p>
          <w:p>
            <w:pPr>
              <w:ind w:firstLine="420" w:firstLineChars="200"/>
              <w:rPr>
                <w:rFonts w:hint="eastAsia" w:ascii="宋体" w:hAnsi="宋体" w:eastAsia="宋体" w:cs="黑体"/>
                <w:bCs/>
                <w:color w:val="000000"/>
              </w:rPr>
            </w:pPr>
            <w:r>
              <w:rPr>
                <w:rFonts w:hint="eastAsia" w:ascii="仿宋_GB2312" w:eastAsia="仿宋_GB2312"/>
              </w:rPr>
              <w:t>第四十七条第一款：“依照本条例规定，给予单位罚款处罚的，对其直接负责的主管人员和其他直接责任人员处单位罚款数额5%以上10%以下的罚款。”</w:t>
            </w:r>
          </w:p>
        </w:tc>
        <w:tc>
          <w:tcPr>
            <w:tcW w:w="445" w:type="pct"/>
            <w:vMerge w:val="restart"/>
            <w:vAlign w:val="center"/>
          </w:tcPr>
          <w:p>
            <w:pPr>
              <w:rPr>
                <w:rFonts w:eastAsia="宋体"/>
              </w:rPr>
            </w:pPr>
            <w:r>
              <w:rPr>
                <w:rFonts w:hint="eastAsia" w:ascii="仿宋_GB2312" w:eastAsia="仿宋_GB2312"/>
              </w:rPr>
              <w:t>罚款；责令停产停业；降低资质等级；吊销许可证件</w:t>
            </w:r>
          </w:p>
          <w:p>
            <w:pPr>
              <w:rPr>
                <w:rFonts w:hint="eastAsia" w:ascii="宋体" w:hAnsi="宋体" w:eastAsia="宋体" w:cs="黑体"/>
                <w:bCs/>
                <w:color w:val="000000"/>
              </w:rPr>
            </w:pPr>
          </w:p>
        </w:tc>
        <w:tc>
          <w:tcPr>
            <w:tcW w:w="443"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从轻</w:t>
            </w:r>
          </w:p>
        </w:tc>
        <w:tc>
          <w:tcPr>
            <w:tcW w:w="584"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1"/>
              </w:rPr>
              <w:t>未造成危害后果</w:t>
            </w:r>
          </w:p>
        </w:tc>
        <w:tc>
          <w:tcPr>
            <w:tcW w:w="1254" w:type="pct"/>
            <w:vAlign w:val="center"/>
          </w:tcPr>
          <w:p>
            <w:pPr>
              <w:rPr>
                <w:rFonts w:hint="eastAsia" w:ascii="仿宋_GB2312" w:hAnsi="仿宋_GB2312" w:eastAsia="仿宋_GB2312" w:cs="仿宋_GB2312"/>
                <w:szCs w:val="21"/>
                <w:lang w:bidi="ar"/>
              </w:rPr>
            </w:pPr>
            <w:r>
              <w:rPr>
                <w:rFonts w:hint="eastAsia" w:ascii="仿宋_GB2312" w:hAnsi="仿宋_GB2312" w:eastAsia="仿宋_GB2312" w:cs="仿宋_GB2312"/>
                <w:szCs w:val="21"/>
                <w:lang w:bidi="ar"/>
              </w:rPr>
              <w:t>对施工单位</w:t>
            </w:r>
            <w:r>
              <w:rPr>
                <w:rFonts w:hint="eastAsia" w:ascii="仿宋_GB2312" w:hAnsi="仿宋_GB2312" w:eastAsia="仿宋_GB2312" w:cs="仿宋_GB2312"/>
                <w:bCs/>
                <w:szCs w:val="21"/>
                <w:lang w:bidi="ar"/>
              </w:rPr>
              <w:t>责令改正，</w:t>
            </w:r>
            <w:r>
              <w:rPr>
                <w:rFonts w:hint="eastAsia" w:ascii="仿宋_GB2312" w:hAnsi="仿宋_GB2312" w:eastAsia="仿宋_GB2312" w:cs="仿宋_GB2312"/>
                <w:szCs w:val="21"/>
                <w:lang w:bidi="ar"/>
              </w:rPr>
              <w:t>处10万元以上、低于15万元的罚款；</w:t>
            </w:r>
          </w:p>
          <w:p>
            <w:pPr>
              <w:rPr>
                <w:rFonts w:hint="eastAsia" w:ascii="仿宋_GB2312" w:hAnsi="仿宋_GB2312" w:eastAsia="仿宋_GB2312" w:cs="仿宋_GB2312"/>
                <w:bCs/>
                <w:color w:val="000000"/>
                <w:szCs w:val="21"/>
              </w:rPr>
            </w:pPr>
            <w:r>
              <w:rPr>
                <w:rFonts w:hint="eastAsia" w:ascii="仿宋_GB2312" w:hAnsi="仿宋_GB2312" w:eastAsia="仿宋_GB2312" w:cs="仿宋_GB2312"/>
                <w:szCs w:val="21"/>
                <w:lang w:bidi="ar"/>
              </w:rPr>
              <w:t>对单位直接负责的主管人员和其他直接责任人员处单位罚款数额5%以上、低于7.5%的罚款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8" w:hRule="atLeast"/>
          <w:jc w:val="center"/>
        </w:trPr>
        <w:tc>
          <w:tcPr>
            <w:tcW w:w="416" w:type="pct"/>
            <w:vMerge w:val="continue"/>
            <w:vAlign w:val="center"/>
          </w:tcPr>
          <w:p>
            <w:pPr>
              <w:rPr>
                <w:rFonts w:hint="eastAsia" w:ascii="宋体" w:hAnsi="宋体" w:eastAsia="宋体" w:cs="黑体"/>
                <w:bCs/>
                <w:color w:val="000000"/>
              </w:rPr>
            </w:pPr>
          </w:p>
        </w:tc>
        <w:tc>
          <w:tcPr>
            <w:tcW w:w="457" w:type="pct"/>
            <w:vMerge w:val="continue"/>
            <w:vAlign w:val="center"/>
          </w:tcPr>
          <w:p>
            <w:pPr>
              <w:rPr>
                <w:rFonts w:hint="eastAsia" w:ascii="宋体" w:hAnsi="宋体" w:eastAsia="宋体" w:cs="黑体"/>
                <w:bCs/>
                <w:color w:val="000000"/>
              </w:rPr>
            </w:pPr>
          </w:p>
        </w:tc>
        <w:tc>
          <w:tcPr>
            <w:tcW w:w="423" w:type="pct"/>
            <w:vMerge w:val="continue"/>
            <w:vAlign w:val="center"/>
          </w:tcPr>
          <w:p>
            <w:pPr>
              <w:rPr>
                <w:rFonts w:hint="eastAsia" w:ascii="宋体" w:hAnsi="宋体" w:eastAsia="宋体" w:cs="黑体"/>
                <w:bCs/>
                <w:color w:val="000000"/>
              </w:rPr>
            </w:pPr>
          </w:p>
        </w:tc>
        <w:tc>
          <w:tcPr>
            <w:tcW w:w="978"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45" w:type="pct"/>
            <w:vMerge w:val="continue"/>
            <w:vAlign w:val="center"/>
          </w:tcPr>
          <w:p>
            <w:pPr>
              <w:jc w:val="center"/>
              <w:rPr>
                <w:rFonts w:hint="eastAsia" w:ascii="宋体" w:hAnsi="宋体" w:eastAsia="宋体" w:cs="黑体"/>
                <w:bCs/>
                <w:color w:val="000000"/>
              </w:rPr>
            </w:pPr>
          </w:p>
        </w:tc>
        <w:tc>
          <w:tcPr>
            <w:tcW w:w="443"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一般</w:t>
            </w:r>
          </w:p>
        </w:tc>
        <w:tc>
          <w:tcPr>
            <w:tcW w:w="584"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1"/>
              </w:rPr>
              <w:t>造成轻微危害后果的</w:t>
            </w:r>
          </w:p>
        </w:tc>
        <w:tc>
          <w:tcPr>
            <w:tcW w:w="1254" w:type="pct"/>
            <w:vAlign w:val="center"/>
          </w:tcPr>
          <w:p>
            <w:pPr>
              <w:rPr>
                <w:rFonts w:hint="eastAsia" w:ascii="仿宋_GB2312" w:hAnsi="仿宋_GB2312" w:eastAsia="仿宋_GB2312" w:cs="仿宋_GB2312"/>
                <w:szCs w:val="21"/>
                <w:lang w:bidi="ar"/>
              </w:rPr>
            </w:pPr>
            <w:r>
              <w:rPr>
                <w:rFonts w:hint="eastAsia" w:ascii="仿宋_GB2312" w:hAnsi="仿宋_GB2312" w:eastAsia="仿宋_GB2312" w:cs="仿宋_GB2312"/>
                <w:szCs w:val="21"/>
                <w:lang w:bidi="ar"/>
              </w:rPr>
              <w:t>对施工单位</w:t>
            </w:r>
            <w:r>
              <w:rPr>
                <w:rFonts w:hint="eastAsia" w:ascii="仿宋_GB2312" w:hAnsi="仿宋_GB2312" w:eastAsia="仿宋_GB2312" w:cs="仿宋_GB2312"/>
                <w:bCs/>
                <w:szCs w:val="21"/>
                <w:lang w:bidi="ar"/>
              </w:rPr>
              <w:t>责令改正，</w:t>
            </w:r>
            <w:r>
              <w:rPr>
                <w:rFonts w:hint="eastAsia" w:ascii="仿宋_GB2312" w:hAnsi="仿宋_GB2312" w:eastAsia="仿宋_GB2312" w:cs="仿宋_GB2312"/>
                <w:szCs w:val="21"/>
                <w:lang w:bidi="ar"/>
              </w:rPr>
              <w:t>处15万元的罚款；</w:t>
            </w:r>
          </w:p>
          <w:p>
            <w:pPr>
              <w:rPr>
                <w:rFonts w:hint="eastAsia" w:ascii="仿宋_GB2312" w:hAnsi="仿宋_GB2312" w:eastAsia="仿宋_GB2312" w:cs="仿宋_GB2312"/>
                <w:bCs/>
                <w:color w:val="000000"/>
              </w:rPr>
            </w:pPr>
            <w:r>
              <w:rPr>
                <w:rFonts w:hint="eastAsia" w:ascii="仿宋_GB2312" w:hAnsi="仿宋_GB2312" w:eastAsia="仿宋_GB2312" w:cs="仿宋_GB2312"/>
                <w:szCs w:val="21"/>
                <w:lang w:bidi="ar"/>
              </w:rPr>
              <w:t>对单位直接负责的主管人员和其他直接责任人员处单位罚款数额7.5%的罚款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5" w:hRule="atLeast"/>
          <w:jc w:val="center"/>
        </w:trPr>
        <w:tc>
          <w:tcPr>
            <w:tcW w:w="416" w:type="pct"/>
            <w:vMerge w:val="continue"/>
            <w:vAlign w:val="center"/>
          </w:tcPr>
          <w:p>
            <w:pPr>
              <w:rPr>
                <w:rFonts w:hint="eastAsia" w:ascii="宋体" w:hAnsi="宋体" w:eastAsia="宋体" w:cs="黑体"/>
                <w:bCs/>
                <w:color w:val="000000"/>
              </w:rPr>
            </w:pPr>
          </w:p>
        </w:tc>
        <w:tc>
          <w:tcPr>
            <w:tcW w:w="457" w:type="pct"/>
            <w:vMerge w:val="continue"/>
            <w:vAlign w:val="center"/>
          </w:tcPr>
          <w:p>
            <w:pPr>
              <w:rPr>
                <w:rFonts w:hint="eastAsia" w:ascii="宋体" w:hAnsi="宋体" w:eastAsia="宋体" w:cs="黑体"/>
                <w:bCs/>
                <w:color w:val="000000"/>
              </w:rPr>
            </w:pPr>
          </w:p>
        </w:tc>
        <w:tc>
          <w:tcPr>
            <w:tcW w:w="423" w:type="pct"/>
            <w:vMerge w:val="continue"/>
            <w:vAlign w:val="center"/>
          </w:tcPr>
          <w:p>
            <w:pPr>
              <w:rPr>
                <w:rFonts w:hint="eastAsia" w:ascii="宋体" w:hAnsi="宋体" w:eastAsia="宋体" w:cs="黑体"/>
                <w:bCs/>
                <w:color w:val="000000"/>
              </w:rPr>
            </w:pPr>
          </w:p>
        </w:tc>
        <w:tc>
          <w:tcPr>
            <w:tcW w:w="978"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45" w:type="pct"/>
            <w:vMerge w:val="continue"/>
            <w:vAlign w:val="center"/>
          </w:tcPr>
          <w:p>
            <w:pPr>
              <w:jc w:val="center"/>
              <w:rPr>
                <w:rFonts w:hint="eastAsia" w:ascii="宋体" w:hAnsi="宋体" w:eastAsia="宋体" w:cs="黑体"/>
                <w:bCs/>
                <w:color w:val="000000"/>
              </w:rPr>
            </w:pPr>
          </w:p>
        </w:tc>
        <w:tc>
          <w:tcPr>
            <w:tcW w:w="443"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从重</w:t>
            </w:r>
          </w:p>
        </w:tc>
        <w:tc>
          <w:tcPr>
            <w:tcW w:w="584"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1"/>
              </w:rPr>
              <w:t>造成一般危害后果的</w:t>
            </w:r>
          </w:p>
        </w:tc>
        <w:tc>
          <w:tcPr>
            <w:tcW w:w="1254" w:type="pct"/>
            <w:vAlign w:val="center"/>
          </w:tcPr>
          <w:p>
            <w:pPr>
              <w:rPr>
                <w:rFonts w:hint="eastAsia" w:ascii="仿宋_GB2312" w:hAnsi="仿宋_GB2312" w:eastAsia="仿宋_GB2312" w:cs="仿宋_GB2312"/>
                <w:szCs w:val="21"/>
                <w:lang w:bidi="ar"/>
              </w:rPr>
            </w:pPr>
            <w:r>
              <w:rPr>
                <w:rFonts w:hint="eastAsia" w:ascii="仿宋_GB2312" w:hAnsi="仿宋_GB2312" w:eastAsia="仿宋_GB2312" w:cs="仿宋_GB2312"/>
                <w:szCs w:val="21"/>
                <w:lang w:bidi="ar"/>
              </w:rPr>
              <w:t>对施工单位责令改正，处超过15万元、20万元以下的罚款；</w:t>
            </w:r>
          </w:p>
          <w:p>
            <w:pPr>
              <w:rPr>
                <w:rFonts w:hint="eastAsia" w:ascii="仿宋_GB2312" w:hAnsi="仿宋_GB2312" w:eastAsia="仿宋_GB2312" w:cs="仿宋_GB2312"/>
                <w:bCs/>
                <w:color w:val="000000"/>
              </w:rPr>
            </w:pPr>
            <w:r>
              <w:rPr>
                <w:rFonts w:hint="eastAsia" w:ascii="仿宋_GB2312" w:hAnsi="仿宋_GB2312" w:eastAsia="仿宋_GB2312" w:cs="仿宋_GB2312"/>
                <w:szCs w:val="21"/>
                <w:lang w:bidi="ar"/>
              </w:rPr>
              <w:t>对单位直接负责的主管人员和其他直接责任人员处单位罚款数额超过7.5%、10%以下的罚款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17" w:hRule="atLeast"/>
          <w:jc w:val="center"/>
        </w:trPr>
        <w:tc>
          <w:tcPr>
            <w:tcW w:w="416" w:type="pct"/>
            <w:vMerge w:val="continue"/>
            <w:vAlign w:val="center"/>
          </w:tcPr>
          <w:p>
            <w:pPr>
              <w:rPr>
                <w:rFonts w:hint="eastAsia" w:ascii="宋体" w:hAnsi="宋体" w:eastAsia="宋体" w:cs="黑体"/>
                <w:bCs/>
                <w:color w:val="000000"/>
              </w:rPr>
            </w:pPr>
          </w:p>
        </w:tc>
        <w:tc>
          <w:tcPr>
            <w:tcW w:w="457" w:type="pct"/>
            <w:vMerge w:val="continue"/>
            <w:vAlign w:val="center"/>
          </w:tcPr>
          <w:p>
            <w:pPr>
              <w:rPr>
                <w:rFonts w:hint="eastAsia" w:ascii="宋体" w:hAnsi="宋体" w:eastAsia="宋体" w:cs="黑体"/>
                <w:bCs/>
                <w:color w:val="000000"/>
              </w:rPr>
            </w:pPr>
          </w:p>
        </w:tc>
        <w:tc>
          <w:tcPr>
            <w:tcW w:w="423" w:type="pct"/>
            <w:vMerge w:val="continue"/>
            <w:vAlign w:val="center"/>
          </w:tcPr>
          <w:p>
            <w:pPr>
              <w:rPr>
                <w:rFonts w:hint="eastAsia" w:ascii="宋体" w:hAnsi="宋体" w:eastAsia="宋体" w:cs="黑体"/>
                <w:bCs/>
                <w:color w:val="000000"/>
              </w:rPr>
            </w:pPr>
          </w:p>
        </w:tc>
        <w:tc>
          <w:tcPr>
            <w:tcW w:w="978"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45" w:type="pct"/>
            <w:vMerge w:val="continue"/>
            <w:vAlign w:val="center"/>
          </w:tcPr>
          <w:p>
            <w:pPr>
              <w:jc w:val="center"/>
              <w:rPr>
                <w:rFonts w:hint="eastAsia" w:ascii="宋体" w:hAnsi="宋体" w:eastAsia="宋体" w:cs="黑体"/>
                <w:bCs/>
                <w:color w:val="000000"/>
              </w:rPr>
            </w:pPr>
          </w:p>
        </w:tc>
        <w:tc>
          <w:tcPr>
            <w:tcW w:w="443"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从轻</w:t>
            </w:r>
          </w:p>
        </w:tc>
        <w:tc>
          <w:tcPr>
            <w:tcW w:w="584"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1"/>
              </w:rPr>
              <w:t>造成严重危害后果未造成质量安全事故的</w:t>
            </w:r>
          </w:p>
        </w:tc>
        <w:tc>
          <w:tcPr>
            <w:tcW w:w="1254" w:type="pct"/>
            <w:vAlign w:val="center"/>
          </w:tcPr>
          <w:p>
            <w:pPr>
              <w:rPr>
                <w:rFonts w:hint="eastAsia" w:ascii="仿宋_GB2312" w:hAnsi="仿宋_GB2312" w:eastAsia="仿宋_GB2312" w:cs="仿宋_GB2312"/>
                <w:szCs w:val="21"/>
                <w:lang w:bidi="ar"/>
              </w:rPr>
            </w:pPr>
            <w:r>
              <w:rPr>
                <w:rFonts w:hint="eastAsia" w:ascii="仿宋_GB2312" w:hAnsi="仿宋_GB2312" w:eastAsia="仿宋_GB2312" w:cs="仿宋_GB2312"/>
                <w:szCs w:val="21"/>
                <w:lang w:bidi="ar"/>
              </w:rPr>
              <w:t>对施工单位责令停业整顿，并处20万元以上、35万元以下的罚款，降低资质等级；</w:t>
            </w:r>
          </w:p>
          <w:p>
            <w:pPr>
              <w:rPr>
                <w:rFonts w:hint="eastAsia" w:ascii="仿宋_GB2312" w:hAnsi="仿宋_GB2312" w:eastAsia="仿宋_GB2312" w:cs="仿宋_GB2312"/>
                <w:bCs/>
                <w:color w:val="000000"/>
              </w:rPr>
            </w:pPr>
            <w:r>
              <w:rPr>
                <w:rFonts w:hint="eastAsia" w:ascii="仿宋_GB2312" w:hAnsi="仿宋_GB2312" w:eastAsia="仿宋_GB2312" w:cs="仿宋_GB2312"/>
                <w:szCs w:val="21"/>
                <w:lang w:bidi="ar"/>
              </w:rPr>
              <w:t>对直接负责的主管人员和其他直接责任人员处单位罚款数额5%以上、低于7.5%的罚款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37" w:hRule="atLeast"/>
          <w:jc w:val="center"/>
        </w:trPr>
        <w:tc>
          <w:tcPr>
            <w:tcW w:w="416" w:type="pct"/>
            <w:vMerge w:val="continue"/>
            <w:vAlign w:val="center"/>
          </w:tcPr>
          <w:p>
            <w:pPr>
              <w:rPr>
                <w:rFonts w:hint="eastAsia" w:ascii="宋体" w:hAnsi="宋体" w:eastAsia="宋体" w:cs="黑体"/>
                <w:bCs/>
                <w:color w:val="000000"/>
              </w:rPr>
            </w:pPr>
          </w:p>
        </w:tc>
        <w:tc>
          <w:tcPr>
            <w:tcW w:w="457" w:type="pct"/>
            <w:vMerge w:val="continue"/>
            <w:vAlign w:val="center"/>
          </w:tcPr>
          <w:p>
            <w:pPr>
              <w:rPr>
                <w:rFonts w:hint="eastAsia" w:ascii="宋体" w:hAnsi="宋体" w:eastAsia="宋体" w:cs="黑体"/>
                <w:bCs/>
                <w:color w:val="000000"/>
              </w:rPr>
            </w:pPr>
          </w:p>
        </w:tc>
        <w:tc>
          <w:tcPr>
            <w:tcW w:w="423" w:type="pct"/>
            <w:vMerge w:val="continue"/>
            <w:vAlign w:val="center"/>
          </w:tcPr>
          <w:p>
            <w:pPr>
              <w:rPr>
                <w:rFonts w:hint="eastAsia" w:ascii="宋体" w:hAnsi="宋体" w:eastAsia="宋体" w:cs="黑体"/>
                <w:bCs/>
                <w:color w:val="000000"/>
              </w:rPr>
            </w:pPr>
          </w:p>
        </w:tc>
        <w:tc>
          <w:tcPr>
            <w:tcW w:w="978"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45" w:type="pct"/>
            <w:vMerge w:val="continue"/>
            <w:vAlign w:val="center"/>
          </w:tcPr>
          <w:p>
            <w:pPr>
              <w:jc w:val="center"/>
              <w:rPr>
                <w:rFonts w:hint="eastAsia" w:ascii="宋体" w:hAnsi="宋体" w:eastAsia="宋体" w:cs="黑体"/>
                <w:bCs/>
                <w:color w:val="000000"/>
              </w:rPr>
            </w:pPr>
          </w:p>
        </w:tc>
        <w:tc>
          <w:tcPr>
            <w:tcW w:w="443"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一般</w:t>
            </w:r>
          </w:p>
        </w:tc>
        <w:tc>
          <w:tcPr>
            <w:tcW w:w="584"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1"/>
              </w:rPr>
              <w:t>造成一般质量安全事故的</w:t>
            </w:r>
          </w:p>
        </w:tc>
        <w:tc>
          <w:tcPr>
            <w:tcW w:w="1254" w:type="pct"/>
            <w:vAlign w:val="center"/>
          </w:tcPr>
          <w:p>
            <w:pPr>
              <w:rPr>
                <w:rFonts w:hint="eastAsia" w:ascii="仿宋_GB2312" w:hAnsi="仿宋_GB2312" w:eastAsia="仿宋_GB2312" w:cs="仿宋_GB2312"/>
                <w:szCs w:val="21"/>
                <w:lang w:bidi="ar"/>
              </w:rPr>
            </w:pPr>
            <w:r>
              <w:rPr>
                <w:rFonts w:hint="eastAsia" w:ascii="仿宋_GB2312" w:hAnsi="仿宋_GB2312" w:eastAsia="仿宋_GB2312" w:cs="仿宋_GB2312"/>
                <w:szCs w:val="21"/>
                <w:lang w:bidi="ar"/>
              </w:rPr>
              <w:t>对施工单位责令停业整顿，并处35万元的罚款，降低资质等级；</w:t>
            </w:r>
          </w:p>
          <w:p>
            <w:pPr>
              <w:rPr>
                <w:rFonts w:hint="eastAsia" w:ascii="仿宋_GB2312" w:hAnsi="仿宋_GB2312" w:eastAsia="仿宋_GB2312" w:cs="仿宋_GB2312"/>
                <w:bCs/>
                <w:color w:val="000000"/>
              </w:rPr>
            </w:pPr>
            <w:r>
              <w:rPr>
                <w:rFonts w:hint="eastAsia" w:ascii="仿宋_GB2312" w:hAnsi="仿宋_GB2312" w:eastAsia="仿宋_GB2312" w:cs="仿宋_GB2312"/>
                <w:szCs w:val="21"/>
                <w:lang w:bidi="ar"/>
              </w:rPr>
              <w:t>对直接负责的主管人员和其他直接责任人员处单位罚款数额7.5%的罚款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37" w:hRule="atLeast"/>
          <w:jc w:val="center"/>
        </w:trPr>
        <w:tc>
          <w:tcPr>
            <w:tcW w:w="416" w:type="pct"/>
            <w:vMerge w:val="continue"/>
            <w:vAlign w:val="center"/>
          </w:tcPr>
          <w:p>
            <w:pPr>
              <w:rPr>
                <w:rFonts w:hint="eastAsia" w:ascii="宋体" w:hAnsi="宋体" w:eastAsia="宋体" w:cs="黑体"/>
                <w:bCs/>
                <w:color w:val="000000"/>
              </w:rPr>
            </w:pPr>
          </w:p>
        </w:tc>
        <w:tc>
          <w:tcPr>
            <w:tcW w:w="457" w:type="pct"/>
            <w:vMerge w:val="continue"/>
            <w:vAlign w:val="center"/>
          </w:tcPr>
          <w:p>
            <w:pPr>
              <w:rPr>
                <w:rFonts w:hint="eastAsia" w:ascii="宋体" w:hAnsi="宋体" w:eastAsia="宋体" w:cs="黑体"/>
                <w:bCs/>
                <w:color w:val="000000"/>
              </w:rPr>
            </w:pPr>
          </w:p>
        </w:tc>
        <w:tc>
          <w:tcPr>
            <w:tcW w:w="423" w:type="pct"/>
            <w:vMerge w:val="continue"/>
            <w:vAlign w:val="center"/>
          </w:tcPr>
          <w:p>
            <w:pPr>
              <w:rPr>
                <w:rFonts w:hint="eastAsia" w:ascii="宋体" w:hAnsi="宋体" w:eastAsia="宋体" w:cs="黑体"/>
                <w:bCs/>
                <w:color w:val="000000"/>
              </w:rPr>
            </w:pPr>
          </w:p>
        </w:tc>
        <w:tc>
          <w:tcPr>
            <w:tcW w:w="978"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45" w:type="pct"/>
            <w:vMerge w:val="continue"/>
            <w:vAlign w:val="center"/>
          </w:tcPr>
          <w:p>
            <w:pPr>
              <w:jc w:val="center"/>
              <w:rPr>
                <w:rFonts w:hint="eastAsia" w:ascii="宋体" w:hAnsi="宋体" w:eastAsia="宋体" w:cs="黑体"/>
                <w:bCs/>
                <w:color w:val="000000"/>
              </w:rPr>
            </w:pPr>
          </w:p>
        </w:tc>
        <w:tc>
          <w:tcPr>
            <w:tcW w:w="443"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从重</w:t>
            </w:r>
          </w:p>
        </w:tc>
        <w:tc>
          <w:tcPr>
            <w:tcW w:w="584"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1"/>
              </w:rPr>
              <w:t>造成较大及以上质量安全事故的</w:t>
            </w:r>
          </w:p>
        </w:tc>
        <w:tc>
          <w:tcPr>
            <w:tcW w:w="1254" w:type="pct"/>
            <w:vAlign w:val="center"/>
          </w:tcPr>
          <w:p>
            <w:pPr>
              <w:rPr>
                <w:rFonts w:hint="eastAsia" w:ascii="仿宋_GB2312" w:hAnsi="仿宋_GB2312" w:eastAsia="仿宋_GB2312" w:cs="仿宋_GB2312"/>
                <w:szCs w:val="21"/>
                <w:lang w:bidi="ar"/>
              </w:rPr>
            </w:pPr>
            <w:r>
              <w:rPr>
                <w:rFonts w:hint="eastAsia" w:ascii="仿宋_GB2312" w:hAnsi="仿宋_GB2312" w:eastAsia="仿宋_GB2312" w:cs="仿宋_GB2312"/>
                <w:szCs w:val="21"/>
                <w:lang w:bidi="ar"/>
              </w:rPr>
              <w:t>对施工单位责令停业整顿，并处超过35万元、50万元以下的罚款，吊销资质证书；</w:t>
            </w:r>
          </w:p>
          <w:p>
            <w:pPr>
              <w:rPr>
                <w:rFonts w:hint="eastAsia" w:ascii="仿宋_GB2312" w:hAnsi="仿宋_GB2312" w:eastAsia="仿宋_GB2312" w:cs="仿宋_GB2312"/>
                <w:bCs/>
                <w:color w:val="000000"/>
              </w:rPr>
            </w:pPr>
            <w:r>
              <w:rPr>
                <w:rFonts w:hint="eastAsia" w:ascii="仿宋_GB2312" w:hAnsi="仿宋_GB2312" w:eastAsia="仿宋_GB2312" w:cs="仿宋_GB2312"/>
                <w:szCs w:val="21"/>
                <w:lang w:bidi="ar"/>
              </w:rPr>
              <w:t>对直接负责的主管人员和其他直接责任人员处单位罚款数额超过7.5%、10%以下的罚款</w:t>
            </w:r>
          </w:p>
        </w:tc>
      </w:tr>
    </w:tbl>
    <w:p>
      <w:pPr>
        <w:outlineLvl w:val="0"/>
        <w:rPr>
          <w:rFonts w:ascii="宋体" w:hAnsi="宋体" w:eastAsia="宋体 (正文)" w:cs="宋体"/>
          <w:color w:val="000000"/>
          <w:kern w:val="44"/>
          <w:sz w:val="32"/>
        </w:rPr>
      </w:pPr>
    </w:p>
    <w:p>
      <w:pPr>
        <w:outlineLvl w:val="0"/>
        <w:rPr>
          <w:rFonts w:hint="eastAsia" w:ascii="宋体" w:hAnsi="宋体" w:cs="宋体"/>
          <w:b/>
          <w:kern w:val="44"/>
          <w:sz w:val="32"/>
          <w:szCs w:val="20"/>
        </w:rPr>
      </w:pPr>
      <w:r>
        <w:rPr>
          <w:rFonts w:hint="eastAsia" w:ascii="宋体" w:hAnsi="宋体" w:eastAsia="宋体 (正文)" w:cs="宋体"/>
          <w:color w:val="000000"/>
          <w:kern w:val="44"/>
          <w:sz w:val="32"/>
        </w:rPr>
        <w:t>《建设工程抗震管理条例》</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75"/>
        <w:gridCol w:w="1333"/>
        <w:gridCol w:w="2146"/>
        <w:gridCol w:w="2881"/>
        <w:gridCol w:w="1219"/>
        <w:gridCol w:w="1154"/>
        <w:gridCol w:w="1270"/>
        <w:gridCol w:w="30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blHeader/>
          <w:jc w:val="center"/>
        </w:trPr>
        <w:tc>
          <w:tcPr>
            <w:tcW w:w="379" w:type="pct"/>
            <w:vAlign w:val="center"/>
          </w:tcPr>
          <w:p>
            <w:pPr>
              <w:jc w:val="center"/>
              <w:rPr>
                <w:rFonts w:hint="eastAsia" w:ascii="仿宋_GB2312" w:hAnsi="仿宋_GB2312" w:eastAsia="仿宋_GB2312" w:cs="仿宋_GB2312"/>
                <w:b/>
                <w:bCs/>
                <w:szCs w:val="21"/>
              </w:rPr>
            </w:pPr>
            <w:r>
              <w:rPr>
                <w:rFonts w:hint="eastAsia" w:ascii="仿宋_GB2312" w:hAnsi="仿宋_GB2312" w:eastAsia="仿宋_GB2312" w:cs="仿宋_GB2312"/>
                <w:b/>
                <w:bCs/>
                <w:szCs w:val="21"/>
              </w:rPr>
              <w:t>序号</w:t>
            </w:r>
          </w:p>
        </w:tc>
        <w:tc>
          <w:tcPr>
            <w:tcW w:w="470" w:type="pct"/>
            <w:vAlign w:val="center"/>
          </w:tcPr>
          <w:p>
            <w:pPr>
              <w:jc w:val="center"/>
              <w:rPr>
                <w:rFonts w:hint="eastAsia" w:ascii="仿宋_GB2312" w:hAnsi="仿宋_GB2312" w:eastAsia="仿宋_GB2312" w:cs="仿宋_GB2312"/>
                <w:b/>
                <w:bCs/>
                <w:szCs w:val="21"/>
              </w:rPr>
            </w:pPr>
            <w:r>
              <w:rPr>
                <w:rFonts w:hint="eastAsia" w:ascii="仿宋_GB2312" w:hAnsi="仿宋_GB2312" w:eastAsia="仿宋_GB2312" w:cs="仿宋_GB2312"/>
                <w:b/>
                <w:bCs/>
                <w:szCs w:val="21"/>
              </w:rPr>
              <w:t>违法行为</w:t>
            </w:r>
          </w:p>
        </w:tc>
        <w:tc>
          <w:tcPr>
            <w:tcW w:w="757" w:type="pct"/>
            <w:vAlign w:val="center"/>
          </w:tcPr>
          <w:p>
            <w:pPr>
              <w:jc w:val="center"/>
              <w:rPr>
                <w:rFonts w:hint="eastAsia" w:ascii="仿宋_GB2312" w:hAnsi="仿宋_GB2312" w:eastAsia="仿宋_GB2312" w:cs="仿宋_GB2312"/>
                <w:b/>
                <w:bCs/>
                <w:szCs w:val="21"/>
                <w:lang w:val="en"/>
              </w:rPr>
            </w:pPr>
            <w:r>
              <w:rPr>
                <w:rFonts w:hint="eastAsia" w:ascii="仿宋_GB2312" w:hAnsi="仿宋_GB2312" w:eastAsia="仿宋_GB2312" w:cs="仿宋_GB2312"/>
                <w:b/>
                <w:bCs/>
                <w:szCs w:val="21"/>
                <w:lang w:val="en"/>
              </w:rPr>
              <w:t>违反条款</w:t>
            </w:r>
          </w:p>
        </w:tc>
        <w:tc>
          <w:tcPr>
            <w:tcW w:w="1016" w:type="pct"/>
            <w:vAlign w:val="center"/>
          </w:tcPr>
          <w:p>
            <w:pPr>
              <w:jc w:val="center"/>
              <w:rPr>
                <w:rFonts w:hint="eastAsia" w:ascii="仿宋_GB2312" w:hAnsi="仿宋_GB2312" w:eastAsia="仿宋_GB2312" w:cs="仿宋_GB2312"/>
                <w:b/>
                <w:bCs/>
                <w:szCs w:val="21"/>
              </w:rPr>
            </w:pPr>
            <w:r>
              <w:rPr>
                <w:rFonts w:hint="eastAsia" w:ascii="仿宋_GB2312" w:hAnsi="仿宋_GB2312" w:eastAsia="仿宋_GB2312" w:cs="仿宋_GB2312"/>
                <w:b/>
                <w:bCs/>
                <w:szCs w:val="21"/>
              </w:rPr>
              <w:t>处罚依据</w:t>
            </w:r>
          </w:p>
        </w:tc>
        <w:tc>
          <w:tcPr>
            <w:tcW w:w="430" w:type="pct"/>
            <w:vAlign w:val="center"/>
          </w:tcPr>
          <w:p>
            <w:pPr>
              <w:jc w:val="center"/>
              <w:rPr>
                <w:rFonts w:hint="eastAsia" w:ascii="仿宋_GB2312" w:hAnsi="仿宋_GB2312" w:eastAsia="仿宋_GB2312" w:cs="仿宋_GB2312"/>
                <w:b/>
                <w:bCs/>
                <w:szCs w:val="21"/>
              </w:rPr>
            </w:pPr>
            <w:r>
              <w:rPr>
                <w:rFonts w:hint="eastAsia" w:ascii="仿宋_GB2312" w:hAnsi="仿宋_GB2312" w:eastAsia="仿宋_GB2312" w:cs="仿宋_GB2312"/>
                <w:b/>
                <w:bCs/>
                <w:szCs w:val="21"/>
              </w:rPr>
              <w:t>处罚种类</w:t>
            </w:r>
          </w:p>
        </w:tc>
        <w:tc>
          <w:tcPr>
            <w:tcW w:w="407" w:type="pct"/>
            <w:vAlign w:val="center"/>
          </w:tcPr>
          <w:p>
            <w:pPr>
              <w:jc w:val="center"/>
              <w:rPr>
                <w:rFonts w:hint="eastAsia" w:ascii="仿宋_GB2312" w:hAnsi="仿宋_GB2312" w:eastAsia="仿宋_GB2312" w:cs="仿宋_GB2312"/>
                <w:b/>
                <w:bCs/>
                <w:szCs w:val="21"/>
              </w:rPr>
            </w:pPr>
            <w:r>
              <w:rPr>
                <w:rFonts w:hint="eastAsia" w:ascii="仿宋_GB2312" w:hAnsi="仿宋_GB2312" w:eastAsia="仿宋_GB2312" w:cs="仿宋_GB2312"/>
                <w:b/>
                <w:bCs/>
                <w:szCs w:val="21"/>
              </w:rPr>
              <w:t>裁量阶次</w:t>
            </w:r>
          </w:p>
        </w:tc>
        <w:tc>
          <w:tcPr>
            <w:tcW w:w="448" w:type="pct"/>
            <w:vAlign w:val="center"/>
          </w:tcPr>
          <w:p>
            <w:pPr>
              <w:jc w:val="center"/>
              <w:rPr>
                <w:rFonts w:hint="eastAsia" w:ascii="仿宋_GB2312" w:hAnsi="仿宋_GB2312" w:eastAsia="仿宋_GB2312" w:cs="仿宋_GB2312"/>
                <w:b/>
                <w:bCs/>
                <w:szCs w:val="21"/>
              </w:rPr>
            </w:pPr>
            <w:r>
              <w:rPr>
                <w:rFonts w:hint="eastAsia" w:ascii="仿宋_GB2312" w:hAnsi="仿宋_GB2312" w:eastAsia="仿宋_GB2312" w:cs="仿宋_GB2312"/>
                <w:b/>
                <w:bCs/>
                <w:szCs w:val="21"/>
              </w:rPr>
              <w:t>适用条件</w:t>
            </w:r>
          </w:p>
        </w:tc>
        <w:tc>
          <w:tcPr>
            <w:tcW w:w="1092" w:type="pct"/>
            <w:vAlign w:val="center"/>
          </w:tcPr>
          <w:p>
            <w:pPr>
              <w:jc w:val="center"/>
              <w:rPr>
                <w:rFonts w:hint="eastAsia" w:ascii="仿宋_GB2312" w:hAnsi="仿宋_GB2312" w:eastAsia="仿宋_GB2312" w:cs="仿宋_GB2312"/>
                <w:b/>
                <w:bCs/>
                <w:szCs w:val="21"/>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379" w:type="pct"/>
            <w:vMerge w:val="restart"/>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lang w:val="en"/>
              </w:rPr>
              <w:t>103.</w:t>
            </w:r>
            <w:r>
              <w:rPr>
                <w:rFonts w:hint="eastAsia" w:ascii="仿宋_GB2312" w:hAnsi="仿宋_GB2312" w:eastAsia="仿宋_GB2312" w:cs="仿宋_GB2312"/>
                <w:szCs w:val="21"/>
              </w:rPr>
              <w:t>9</w:t>
            </w:r>
          </w:p>
        </w:tc>
        <w:tc>
          <w:tcPr>
            <w:tcW w:w="470" w:type="pct"/>
            <w:vMerge w:val="restar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工程质量检测机构未建立建设工程过程数据和结果数据、检测影像资料及检测报告记录与留存制度的</w:t>
            </w:r>
          </w:p>
        </w:tc>
        <w:tc>
          <w:tcPr>
            <w:tcW w:w="757" w:type="pct"/>
            <w:vMerge w:val="restar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第十八条第三款：“工程质量检测机构应当建立建设工程过程数据和结果数据、检测影像资料及检测报告记录与留存制度，对检测数据和检测报告的真实性、准确性负责，不得出具虚假的检测数据和检测报告。”</w:t>
            </w:r>
          </w:p>
        </w:tc>
        <w:tc>
          <w:tcPr>
            <w:tcW w:w="1016" w:type="pct"/>
            <w:vMerge w:val="restar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四十四条第一款：“违反本条例规定，工程质量检测机构未建立建设工程过程数据和结果数据、检测影像资料及检测报告记录与留存制度的，责令改正，处10万元以上30万元以下的罚款；情节严重的，吊销资质证书；造成损失的，依法承担赔偿责任。”</w:t>
            </w:r>
          </w:p>
          <w:p/>
          <w:p>
            <w:pPr>
              <w:rPr>
                <w:rFonts w:hint="eastAsia" w:ascii="仿宋_GB2312" w:hAnsi="仿宋_GB2312" w:eastAsia="仿宋_GB2312" w:cs="仿宋_GB2312"/>
                <w:szCs w:val="21"/>
              </w:rPr>
            </w:pPr>
            <w:r>
              <w:rPr>
                <w:rFonts w:hint="eastAsia" w:ascii="仿宋_GB2312" w:hAnsi="仿宋_GB2312" w:eastAsia="仿宋_GB2312" w:cs="仿宋_GB2312"/>
                <w:szCs w:val="21"/>
              </w:rPr>
              <w:t>第四十七条第一款：“依照本条例规定，给予单位罚款处罚的，对其直接负责的主管人员和其他直接责任人员处单位罚款数额5%以上10%以下的罚款。”</w:t>
            </w:r>
          </w:p>
        </w:tc>
        <w:tc>
          <w:tcPr>
            <w:tcW w:w="430" w:type="pct"/>
            <w:vMerge w:val="restar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罚款；吊销许可证件</w:t>
            </w:r>
          </w:p>
        </w:tc>
        <w:tc>
          <w:tcPr>
            <w:tcW w:w="407" w:type="pct"/>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Cs/>
                <w:color w:val="000000"/>
              </w:rPr>
              <w:t>从轻</w:t>
            </w:r>
          </w:p>
        </w:tc>
        <w:tc>
          <w:tcPr>
            <w:tcW w:w="448" w:type="pc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未造成危害后果或者造成轻微危害后果的</w:t>
            </w:r>
          </w:p>
        </w:tc>
        <w:tc>
          <w:tcPr>
            <w:tcW w:w="1092" w:type="pc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对检测机构责令改正，处</w:t>
            </w:r>
            <w:r>
              <w:rPr>
                <w:rFonts w:hint="eastAsia" w:ascii="仿宋_GB2312" w:hAnsi="仿宋_GB2312" w:eastAsia="仿宋_GB2312" w:cs="仿宋_GB2312"/>
                <w:color w:val="000000"/>
                <w:szCs w:val="20"/>
              </w:rPr>
              <w:t>10万元以上、低于20万元的罚款；</w:t>
            </w:r>
          </w:p>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rPr>
              <w:t>对单位</w:t>
            </w:r>
            <w:r>
              <w:rPr>
                <w:rFonts w:hint="eastAsia" w:ascii="仿宋_GB2312" w:hAnsi="仿宋_GB2312" w:eastAsia="仿宋_GB2312" w:cs="仿宋_GB2312"/>
                <w:color w:val="000000"/>
                <w:szCs w:val="20"/>
              </w:rPr>
              <w:t>直接负责的主管人员和其他直接责任人员处单位罚款数额5%以上、低于7.5%的罚款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379" w:type="pct"/>
            <w:vMerge w:val="continue"/>
            <w:vAlign w:val="center"/>
          </w:tcPr>
          <w:p>
            <w:pPr>
              <w:rPr>
                <w:rFonts w:hint="eastAsia" w:ascii="仿宋_GB2312" w:hAnsi="仿宋_GB2312" w:eastAsia="仿宋_GB2312" w:cs="仿宋_GB2312"/>
                <w:szCs w:val="21"/>
              </w:rPr>
            </w:pPr>
          </w:p>
        </w:tc>
        <w:tc>
          <w:tcPr>
            <w:tcW w:w="470" w:type="pct"/>
            <w:vMerge w:val="continue"/>
            <w:vAlign w:val="center"/>
          </w:tcPr>
          <w:p>
            <w:pPr>
              <w:rPr>
                <w:rFonts w:hint="eastAsia" w:ascii="仿宋_GB2312" w:hAnsi="仿宋_GB2312" w:eastAsia="仿宋_GB2312" w:cs="仿宋_GB2312"/>
                <w:szCs w:val="21"/>
              </w:rPr>
            </w:pPr>
          </w:p>
        </w:tc>
        <w:tc>
          <w:tcPr>
            <w:tcW w:w="757" w:type="pct"/>
            <w:vMerge w:val="continue"/>
            <w:vAlign w:val="center"/>
          </w:tcPr>
          <w:p>
            <w:pPr>
              <w:rPr>
                <w:rFonts w:hint="eastAsia" w:ascii="仿宋_GB2312" w:hAnsi="仿宋_GB2312" w:eastAsia="仿宋_GB2312" w:cs="仿宋_GB2312"/>
                <w:szCs w:val="21"/>
              </w:rPr>
            </w:pPr>
          </w:p>
        </w:tc>
        <w:tc>
          <w:tcPr>
            <w:tcW w:w="1016" w:type="pct"/>
            <w:vMerge w:val="continue"/>
            <w:vAlign w:val="center"/>
          </w:tcPr>
          <w:p>
            <w:pPr>
              <w:rPr>
                <w:rFonts w:hint="eastAsia" w:ascii="仿宋_GB2312" w:hAnsi="仿宋_GB2312" w:eastAsia="仿宋_GB2312" w:cs="仿宋_GB2312"/>
                <w:szCs w:val="21"/>
              </w:rPr>
            </w:pPr>
          </w:p>
        </w:tc>
        <w:tc>
          <w:tcPr>
            <w:tcW w:w="430" w:type="pct"/>
            <w:vMerge w:val="continue"/>
            <w:vAlign w:val="center"/>
          </w:tcPr>
          <w:p>
            <w:pPr>
              <w:rPr>
                <w:rFonts w:hint="eastAsia" w:ascii="仿宋_GB2312" w:hAnsi="仿宋_GB2312" w:eastAsia="仿宋_GB2312" w:cs="仿宋_GB2312"/>
                <w:szCs w:val="21"/>
              </w:rPr>
            </w:pPr>
          </w:p>
        </w:tc>
        <w:tc>
          <w:tcPr>
            <w:tcW w:w="407" w:type="pct"/>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Cs/>
                <w:color w:val="000000"/>
              </w:rPr>
              <w:t>一般</w:t>
            </w:r>
          </w:p>
        </w:tc>
        <w:tc>
          <w:tcPr>
            <w:tcW w:w="448" w:type="pc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造成一般危害后果的</w:t>
            </w:r>
          </w:p>
        </w:tc>
        <w:tc>
          <w:tcPr>
            <w:tcW w:w="1092" w:type="pc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对检测机构责令改正，</w:t>
            </w:r>
            <w:r>
              <w:rPr>
                <w:rFonts w:hint="eastAsia" w:ascii="仿宋_GB2312" w:hAnsi="仿宋_GB2312" w:eastAsia="仿宋_GB2312" w:cs="仿宋_GB2312"/>
                <w:color w:val="000000"/>
                <w:szCs w:val="20"/>
              </w:rPr>
              <w:t>处20万元的罚款；</w:t>
            </w:r>
          </w:p>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rPr>
              <w:t>对单位</w:t>
            </w:r>
            <w:r>
              <w:rPr>
                <w:rFonts w:hint="eastAsia" w:ascii="仿宋_GB2312" w:hAnsi="仿宋_GB2312" w:eastAsia="仿宋_GB2312" w:cs="仿宋_GB2312"/>
                <w:color w:val="000000"/>
                <w:szCs w:val="20"/>
              </w:rPr>
              <w:t>直接负责的主管人员和其他直接责任人员处单位罚款数额7.5%的罚款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379" w:type="pct"/>
            <w:vMerge w:val="continue"/>
            <w:vAlign w:val="center"/>
          </w:tcPr>
          <w:p>
            <w:pPr>
              <w:rPr>
                <w:rFonts w:hint="eastAsia" w:ascii="仿宋_GB2312" w:hAnsi="仿宋_GB2312" w:eastAsia="仿宋_GB2312" w:cs="仿宋_GB2312"/>
                <w:szCs w:val="21"/>
              </w:rPr>
            </w:pPr>
          </w:p>
        </w:tc>
        <w:tc>
          <w:tcPr>
            <w:tcW w:w="470" w:type="pct"/>
            <w:vMerge w:val="continue"/>
            <w:vAlign w:val="center"/>
          </w:tcPr>
          <w:p>
            <w:pPr>
              <w:rPr>
                <w:rFonts w:hint="eastAsia" w:ascii="仿宋_GB2312" w:hAnsi="仿宋_GB2312" w:eastAsia="仿宋_GB2312" w:cs="仿宋_GB2312"/>
                <w:szCs w:val="21"/>
              </w:rPr>
            </w:pPr>
          </w:p>
        </w:tc>
        <w:tc>
          <w:tcPr>
            <w:tcW w:w="757" w:type="pct"/>
            <w:vMerge w:val="continue"/>
            <w:vAlign w:val="center"/>
          </w:tcPr>
          <w:p>
            <w:pPr>
              <w:rPr>
                <w:rFonts w:hint="eastAsia" w:ascii="仿宋_GB2312" w:hAnsi="仿宋_GB2312" w:eastAsia="仿宋_GB2312" w:cs="仿宋_GB2312"/>
                <w:szCs w:val="21"/>
              </w:rPr>
            </w:pPr>
          </w:p>
        </w:tc>
        <w:tc>
          <w:tcPr>
            <w:tcW w:w="1016" w:type="pct"/>
            <w:vMerge w:val="continue"/>
            <w:vAlign w:val="center"/>
          </w:tcPr>
          <w:p>
            <w:pPr>
              <w:rPr>
                <w:rFonts w:hint="eastAsia" w:ascii="仿宋_GB2312" w:hAnsi="仿宋_GB2312" w:eastAsia="仿宋_GB2312" w:cs="仿宋_GB2312"/>
                <w:szCs w:val="21"/>
              </w:rPr>
            </w:pPr>
          </w:p>
        </w:tc>
        <w:tc>
          <w:tcPr>
            <w:tcW w:w="430" w:type="pct"/>
            <w:vMerge w:val="continue"/>
            <w:vAlign w:val="center"/>
          </w:tcPr>
          <w:p>
            <w:pPr>
              <w:rPr>
                <w:rFonts w:hint="eastAsia" w:ascii="仿宋_GB2312" w:hAnsi="仿宋_GB2312" w:eastAsia="仿宋_GB2312" w:cs="仿宋_GB2312"/>
                <w:szCs w:val="21"/>
              </w:rPr>
            </w:pPr>
          </w:p>
        </w:tc>
        <w:tc>
          <w:tcPr>
            <w:tcW w:w="407" w:type="pct"/>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Cs/>
                <w:color w:val="000000"/>
              </w:rPr>
              <w:t>从重</w:t>
            </w:r>
          </w:p>
        </w:tc>
        <w:tc>
          <w:tcPr>
            <w:tcW w:w="448" w:type="pc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造成严重危害后果的</w:t>
            </w:r>
          </w:p>
        </w:tc>
        <w:tc>
          <w:tcPr>
            <w:tcW w:w="1092" w:type="pc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对检测机构责令改正，</w:t>
            </w:r>
            <w:r>
              <w:rPr>
                <w:rFonts w:hint="eastAsia" w:ascii="仿宋_GB2312" w:hAnsi="仿宋_GB2312" w:eastAsia="仿宋_GB2312" w:cs="仿宋_GB2312"/>
                <w:color w:val="000000"/>
                <w:szCs w:val="20"/>
              </w:rPr>
              <w:t>处超过20万元、30万元以下的罚款，</w:t>
            </w:r>
            <w:r>
              <w:rPr>
                <w:rFonts w:hint="eastAsia" w:ascii="仿宋_GB2312" w:hAnsi="仿宋_GB2312" w:eastAsia="仿宋_GB2312" w:cs="仿宋_GB2312"/>
                <w:szCs w:val="21"/>
              </w:rPr>
              <w:t>吊销资质证书；</w:t>
            </w:r>
          </w:p>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rPr>
              <w:t>对单位</w:t>
            </w:r>
            <w:r>
              <w:rPr>
                <w:rFonts w:hint="eastAsia" w:ascii="仿宋_GB2312" w:hAnsi="仿宋_GB2312" w:eastAsia="仿宋_GB2312" w:cs="仿宋_GB2312"/>
                <w:color w:val="000000"/>
                <w:szCs w:val="20"/>
              </w:rPr>
              <w:t>直接负责的主管人员和其他直接责任人员处单位罚款数额超过7.5%、10%以下的罚款</w:t>
            </w:r>
          </w:p>
        </w:tc>
      </w:tr>
    </w:tbl>
    <w:p>
      <w:pPr>
        <w:outlineLvl w:val="0"/>
        <w:rPr>
          <w:rFonts w:hint="eastAsia" w:ascii="宋体" w:hAnsi="宋体" w:cs="宋体"/>
          <w:b/>
          <w:kern w:val="44"/>
          <w:sz w:val="32"/>
          <w:szCs w:val="20"/>
        </w:rPr>
      </w:pPr>
      <w:r>
        <w:rPr>
          <w:rFonts w:hint="eastAsia" w:ascii="宋体" w:hAnsi="宋体" w:eastAsia="宋体 (正文)" w:cs="宋体"/>
          <w:color w:val="000000"/>
          <w:kern w:val="44"/>
          <w:sz w:val="32"/>
        </w:rPr>
        <w:t>《建设工程抗震管理条例》</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66"/>
        <w:gridCol w:w="1160"/>
        <w:gridCol w:w="1588"/>
        <w:gridCol w:w="2847"/>
        <w:gridCol w:w="1259"/>
        <w:gridCol w:w="1191"/>
        <w:gridCol w:w="1183"/>
        <w:gridCol w:w="38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blHeader/>
          <w:jc w:val="center"/>
        </w:trPr>
        <w:tc>
          <w:tcPr>
            <w:tcW w:w="376" w:type="pct"/>
            <w:vAlign w:val="center"/>
          </w:tcPr>
          <w:p>
            <w:pPr>
              <w:jc w:val="center"/>
              <w:rPr>
                <w:rFonts w:hint="eastAsia" w:ascii="仿宋_GB2312" w:hAnsi="仿宋_GB2312" w:eastAsia="仿宋_GB2312" w:cs="仿宋_GB2312"/>
                <w:b/>
                <w:bCs/>
                <w:color w:val="000000"/>
                <w:kern w:val="0"/>
                <w:szCs w:val="21"/>
              </w:rPr>
            </w:pPr>
            <w:r>
              <w:rPr>
                <w:rFonts w:hint="eastAsia" w:ascii="仿宋_GB2312" w:hAnsi="仿宋_GB2312" w:eastAsia="仿宋_GB2312" w:cs="仿宋_GB2312"/>
                <w:b/>
              </w:rPr>
              <w:t>序号</w:t>
            </w:r>
          </w:p>
        </w:tc>
        <w:tc>
          <w:tcPr>
            <w:tcW w:w="409" w:type="pct"/>
            <w:vAlign w:val="center"/>
          </w:tcPr>
          <w:p>
            <w:pPr>
              <w:jc w:val="center"/>
              <w:rPr>
                <w:rFonts w:hint="eastAsia" w:ascii="仿宋_GB2312" w:hAnsi="仿宋_GB2312" w:eastAsia="仿宋_GB2312" w:cs="仿宋_GB2312"/>
                <w:b/>
                <w:bCs/>
                <w:color w:val="000000"/>
                <w:kern w:val="0"/>
                <w:szCs w:val="21"/>
              </w:rPr>
            </w:pPr>
            <w:r>
              <w:rPr>
                <w:rFonts w:hint="eastAsia" w:ascii="仿宋_GB2312" w:hAnsi="仿宋_GB2312" w:eastAsia="仿宋_GB2312" w:cs="仿宋_GB2312"/>
                <w:b/>
              </w:rPr>
              <w:t>违法行为</w:t>
            </w:r>
          </w:p>
        </w:tc>
        <w:tc>
          <w:tcPr>
            <w:tcW w:w="560" w:type="pct"/>
            <w:vAlign w:val="center"/>
          </w:tcPr>
          <w:p>
            <w:pPr>
              <w:jc w:val="center"/>
              <w:rPr>
                <w:rFonts w:hint="eastAsia" w:ascii="仿宋_GB2312" w:hAnsi="仿宋_GB2312" w:eastAsia="仿宋_GB2312" w:cs="仿宋_GB2312"/>
                <w:b/>
                <w:bCs/>
                <w:color w:val="000000"/>
                <w:kern w:val="0"/>
                <w:szCs w:val="21"/>
                <w:lang w:val="en"/>
              </w:rPr>
            </w:pPr>
            <w:r>
              <w:rPr>
                <w:rFonts w:hint="eastAsia" w:ascii="仿宋_GB2312" w:hAnsi="仿宋_GB2312" w:eastAsia="仿宋_GB2312" w:cs="仿宋_GB2312"/>
                <w:b/>
                <w:lang w:val="en"/>
              </w:rPr>
              <w:t>违反条款</w:t>
            </w:r>
          </w:p>
        </w:tc>
        <w:tc>
          <w:tcPr>
            <w:tcW w:w="1004" w:type="pct"/>
            <w:vAlign w:val="center"/>
          </w:tcPr>
          <w:p>
            <w:pPr>
              <w:jc w:val="center"/>
              <w:rPr>
                <w:rFonts w:hint="eastAsia" w:ascii="仿宋_GB2312" w:hAnsi="仿宋_GB2312" w:eastAsia="仿宋_GB2312" w:cs="仿宋_GB2312"/>
                <w:b/>
                <w:bCs/>
                <w:color w:val="000000"/>
                <w:kern w:val="0"/>
                <w:szCs w:val="21"/>
              </w:rPr>
            </w:pPr>
            <w:r>
              <w:rPr>
                <w:rFonts w:hint="eastAsia" w:ascii="仿宋_GB2312" w:hAnsi="仿宋_GB2312" w:eastAsia="仿宋_GB2312" w:cs="仿宋_GB2312"/>
                <w:b/>
              </w:rPr>
              <w:t>处罚依据</w:t>
            </w:r>
          </w:p>
        </w:tc>
        <w:tc>
          <w:tcPr>
            <w:tcW w:w="444" w:type="pct"/>
            <w:vAlign w:val="center"/>
          </w:tcPr>
          <w:p>
            <w:pPr>
              <w:jc w:val="center"/>
              <w:rPr>
                <w:rFonts w:hint="eastAsia" w:ascii="仿宋_GB2312" w:hAnsi="仿宋_GB2312" w:eastAsia="仿宋_GB2312" w:cs="仿宋_GB2312"/>
                <w:b/>
                <w:bCs/>
                <w:color w:val="000000"/>
                <w:kern w:val="0"/>
                <w:szCs w:val="21"/>
              </w:rPr>
            </w:pPr>
            <w:r>
              <w:rPr>
                <w:rFonts w:hint="eastAsia" w:ascii="仿宋_GB2312" w:hAnsi="仿宋_GB2312" w:eastAsia="仿宋_GB2312" w:cs="仿宋_GB2312"/>
                <w:b/>
              </w:rPr>
              <w:t>处罚种类</w:t>
            </w:r>
          </w:p>
        </w:tc>
        <w:tc>
          <w:tcPr>
            <w:tcW w:w="420" w:type="pct"/>
            <w:vAlign w:val="center"/>
          </w:tcPr>
          <w:p>
            <w:pPr>
              <w:jc w:val="center"/>
              <w:rPr>
                <w:rFonts w:hint="eastAsia" w:ascii="仿宋_GB2312" w:hAnsi="仿宋_GB2312" w:eastAsia="仿宋_GB2312" w:cs="仿宋_GB2312"/>
                <w:b/>
                <w:bCs/>
                <w:color w:val="000000"/>
                <w:kern w:val="0"/>
                <w:szCs w:val="21"/>
              </w:rPr>
            </w:pPr>
            <w:r>
              <w:rPr>
                <w:rFonts w:hint="eastAsia" w:ascii="仿宋_GB2312" w:hAnsi="仿宋_GB2312" w:eastAsia="仿宋_GB2312" w:cs="仿宋_GB2312"/>
                <w:b/>
              </w:rPr>
              <w:t>裁量阶次</w:t>
            </w:r>
          </w:p>
        </w:tc>
        <w:tc>
          <w:tcPr>
            <w:tcW w:w="417" w:type="pct"/>
            <w:vAlign w:val="center"/>
          </w:tcPr>
          <w:p>
            <w:pPr>
              <w:jc w:val="center"/>
              <w:rPr>
                <w:rFonts w:hint="eastAsia" w:ascii="仿宋_GB2312" w:hAnsi="仿宋_GB2312" w:eastAsia="仿宋_GB2312" w:cs="仿宋_GB2312"/>
                <w:b/>
                <w:bCs/>
                <w:color w:val="000000"/>
                <w:kern w:val="0"/>
                <w:szCs w:val="21"/>
              </w:rPr>
            </w:pPr>
            <w:r>
              <w:rPr>
                <w:rFonts w:hint="eastAsia" w:ascii="仿宋_GB2312" w:hAnsi="仿宋_GB2312" w:eastAsia="仿宋_GB2312" w:cs="仿宋_GB2312"/>
                <w:b/>
              </w:rPr>
              <w:t>适用条件</w:t>
            </w:r>
          </w:p>
        </w:tc>
        <w:tc>
          <w:tcPr>
            <w:tcW w:w="1368" w:type="pct"/>
            <w:vAlign w:val="center"/>
          </w:tcPr>
          <w:p>
            <w:pPr>
              <w:jc w:val="center"/>
              <w:rPr>
                <w:rFonts w:hint="eastAsia" w:ascii="仿宋_GB2312" w:hAnsi="仿宋_GB2312" w:eastAsia="仿宋_GB2312" w:cs="仿宋_GB2312"/>
                <w:color w:val="000000"/>
                <w:szCs w:val="20"/>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376" w:type="pct"/>
            <w:vMerge w:val="restart"/>
            <w:vAlign w:val="center"/>
          </w:tcPr>
          <w:p>
            <w:pPr>
              <w:widowControl/>
              <w:jc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lang w:val="en"/>
              </w:rPr>
              <w:t>103.1</w:t>
            </w:r>
            <w:r>
              <w:rPr>
                <w:rFonts w:hint="eastAsia" w:ascii="仿宋_GB2312" w:hAnsi="仿宋_GB2312" w:eastAsia="仿宋_GB2312" w:cs="仿宋_GB2312"/>
                <w:color w:val="000000"/>
                <w:kern w:val="0"/>
                <w:szCs w:val="21"/>
              </w:rPr>
              <w:t>0</w:t>
            </w:r>
          </w:p>
        </w:tc>
        <w:tc>
          <w:tcPr>
            <w:tcW w:w="409" w:type="pct"/>
            <w:vMerge w:val="restart"/>
            <w:vAlign w:val="center"/>
          </w:tcPr>
          <w:p>
            <w:pPr>
              <w:rPr>
                <w:rFonts w:hint="eastAsia" w:ascii="仿宋_GB2312" w:hAnsi="仿宋_GB2312" w:eastAsia="仿宋_GB2312" w:cs="仿宋_GB2312"/>
                <w:b/>
                <w:color w:val="000000"/>
                <w:szCs w:val="21"/>
              </w:rPr>
            </w:pPr>
            <w:r>
              <w:rPr>
                <w:rFonts w:hint="eastAsia" w:ascii="仿宋_GB2312" w:hAnsi="仿宋_GB2312" w:eastAsia="仿宋_GB2312" w:cs="仿宋_GB2312"/>
                <w:color w:val="000000"/>
                <w:szCs w:val="20"/>
              </w:rPr>
              <w:t>工程质量检测机构出具虚假的检测数据或者检测报告的</w:t>
            </w:r>
          </w:p>
        </w:tc>
        <w:tc>
          <w:tcPr>
            <w:tcW w:w="560" w:type="pct"/>
            <w:vMerge w:val="restart"/>
            <w:vAlign w:val="center"/>
          </w:tcPr>
          <w:p>
            <w:pPr>
              <w:rPr>
                <w:rFonts w:hint="eastAsia" w:ascii="仿宋_GB2312" w:hAnsi="仿宋_GB2312" w:eastAsia="仿宋_GB2312" w:cs="仿宋_GB2312"/>
                <w:color w:val="000000"/>
                <w:szCs w:val="20"/>
              </w:rPr>
            </w:pPr>
            <w:r>
              <w:rPr>
                <w:rFonts w:hint="eastAsia" w:ascii="仿宋_GB2312" w:hAnsi="仿宋_GB2312" w:eastAsia="仿宋_GB2312" w:cs="仿宋_GB2312"/>
                <w:szCs w:val="21"/>
              </w:rPr>
              <w:t>第十八条第三款：“工程质量检测机构应当建立建设工程过程数据和结果数据、检测影像资料及检测报告记录与留存制度，对检测数据和检测报告的真实性、准确性负责，不得出具虚假的检测数据和检测报告。”</w:t>
            </w:r>
          </w:p>
        </w:tc>
        <w:tc>
          <w:tcPr>
            <w:tcW w:w="1004" w:type="pct"/>
            <w:vMerge w:val="restart"/>
            <w:vAlign w:val="center"/>
          </w:tcPr>
          <w:p>
            <w:pPr>
              <w:rPr>
                <w:rFonts w:hint="eastAsia" w:ascii="仿宋_GB2312" w:hAnsi="仿宋_GB2312" w:eastAsia="仿宋_GB2312" w:cs="仿宋_GB2312"/>
                <w:color w:val="000000"/>
                <w:szCs w:val="20"/>
              </w:rPr>
            </w:pPr>
            <w:r>
              <w:rPr>
                <w:rFonts w:hint="eastAsia" w:ascii="仿宋_GB2312" w:hAnsi="仿宋_GB2312" w:eastAsia="仿宋_GB2312" w:cs="仿宋_GB2312"/>
                <w:color w:val="000000"/>
                <w:szCs w:val="20"/>
              </w:rPr>
              <w:t>第四十四条第二款：“违反本条例规定，工程质量检测机构出具虚假的检测数据或者检测报告的，责令改正，处10万元以上30万元以下的罚款；情节严重的，吊销资质证书和负有直接责任的注册执业人员的执业资格证书，其直接负责的主管人员和其他直接责任人员终身禁止从事工程质量检测业务；造成损失的，依法承担赔偿责任。”</w:t>
            </w:r>
          </w:p>
          <w:p/>
          <w:p>
            <w:pPr>
              <w:rPr>
                <w:rFonts w:hint="eastAsia" w:ascii="仿宋_GB2312" w:hAnsi="仿宋_GB2312" w:eastAsia="仿宋_GB2312" w:cs="仿宋_GB2312"/>
                <w:color w:val="000000"/>
                <w:szCs w:val="20"/>
              </w:rPr>
            </w:pPr>
            <w:r>
              <w:rPr>
                <w:rFonts w:hint="eastAsia" w:ascii="仿宋_GB2312" w:hAnsi="仿宋_GB2312" w:eastAsia="仿宋_GB2312" w:cs="仿宋_GB2312"/>
                <w:color w:val="000000"/>
                <w:szCs w:val="20"/>
              </w:rPr>
              <w:t>第四十七条第一款：“依照本条例规定，给予单位罚款处罚的，对其直接负责的主管人员和其他直接责任人员处单位罚款数额5%以上10%以下的罚款。”</w:t>
            </w:r>
          </w:p>
        </w:tc>
        <w:tc>
          <w:tcPr>
            <w:tcW w:w="444" w:type="pct"/>
            <w:vMerge w:val="restar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rPr>
              <w:t>罚款；</w:t>
            </w:r>
            <w:r>
              <w:rPr>
                <w:rFonts w:hint="eastAsia" w:ascii="仿宋_GB2312" w:hAnsi="仿宋_GB2312" w:eastAsia="仿宋_GB2312" w:cs="仿宋_GB2312"/>
                <w:color w:val="000000"/>
                <w:szCs w:val="20"/>
              </w:rPr>
              <w:t>吊销资质证书；</w:t>
            </w:r>
            <w:r>
              <w:rPr>
                <w:rFonts w:hint="eastAsia" w:ascii="仿宋_GB2312" w:hAnsi="仿宋_GB2312" w:eastAsia="仿宋_GB2312" w:cs="仿宋_GB2312"/>
                <w:bCs/>
                <w:color w:val="000000"/>
                <w:kern w:val="0"/>
                <w:szCs w:val="21"/>
              </w:rPr>
              <w:t>限制从业</w:t>
            </w:r>
          </w:p>
        </w:tc>
        <w:tc>
          <w:tcPr>
            <w:tcW w:w="420"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rPr>
              <w:t>从轻</w:t>
            </w:r>
          </w:p>
        </w:tc>
        <w:tc>
          <w:tcPr>
            <w:tcW w:w="417" w:type="pct"/>
            <w:vAlign w:val="center"/>
          </w:tcPr>
          <w:p>
            <w:pPr>
              <w:jc w:val="left"/>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rPr>
              <w:t>未造成危害后果或者造成轻微危害后果的</w:t>
            </w:r>
          </w:p>
        </w:tc>
        <w:tc>
          <w:tcPr>
            <w:tcW w:w="1368" w:type="pc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对检测机构</w:t>
            </w:r>
            <w:r>
              <w:rPr>
                <w:rFonts w:hint="eastAsia" w:ascii="仿宋_GB2312" w:hAnsi="仿宋_GB2312" w:eastAsia="仿宋_GB2312" w:cs="仿宋_GB2312"/>
                <w:color w:val="000000"/>
                <w:szCs w:val="20"/>
              </w:rPr>
              <w:t>责令改正，</w:t>
            </w:r>
            <w:r>
              <w:rPr>
                <w:rFonts w:hint="eastAsia" w:ascii="仿宋_GB2312" w:hAnsi="仿宋_GB2312" w:eastAsia="仿宋_GB2312" w:cs="仿宋_GB2312"/>
                <w:szCs w:val="21"/>
              </w:rPr>
              <w:t>处</w:t>
            </w:r>
            <w:r>
              <w:rPr>
                <w:rFonts w:hint="eastAsia" w:ascii="仿宋_GB2312" w:hAnsi="仿宋_GB2312" w:eastAsia="仿宋_GB2312" w:cs="仿宋_GB2312"/>
                <w:color w:val="000000"/>
                <w:szCs w:val="20"/>
              </w:rPr>
              <w:t>10万元以上、低于20万元的罚款；</w:t>
            </w:r>
          </w:p>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对单位</w:t>
            </w:r>
            <w:r>
              <w:rPr>
                <w:rFonts w:hint="eastAsia" w:ascii="仿宋_GB2312" w:hAnsi="仿宋_GB2312" w:eastAsia="仿宋_GB2312" w:cs="仿宋_GB2312"/>
                <w:color w:val="000000"/>
                <w:szCs w:val="20"/>
              </w:rPr>
              <w:t>直接负责的主管人员和其他直接责任人员处单位罚款数额5%以上、低于7.5%的罚款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376" w:type="pct"/>
            <w:vMerge w:val="continue"/>
            <w:vAlign w:val="center"/>
          </w:tcPr>
          <w:p>
            <w:pPr>
              <w:rPr>
                <w:rFonts w:hint="eastAsia" w:ascii="仿宋_GB2312" w:hAnsi="仿宋_GB2312" w:eastAsia="仿宋_GB2312" w:cs="仿宋_GB2312"/>
                <w:color w:val="000000"/>
                <w:szCs w:val="20"/>
              </w:rPr>
            </w:pPr>
          </w:p>
        </w:tc>
        <w:tc>
          <w:tcPr>
            <w:tcW w:w="409" w:type="pct"/>
            <w:vMerge w:val="continue"/>
            <w:vAlign w:val="center"/>
          </w:tcPr>
          <w:p>
            <w:pPr>
              <w:rPr>
                <w:rFonts w:hint="eastAsia" w:ascii="仿宋_GB2312" w:hAnsi="仿宋_GB2312" w:eastAsia="仿宋_GB2312" w:cs="仿宋_GB2312"/>
                <w:color w:val="000000"/>
                <w:szCs w:val="20"/>
              </w:rPr>
            </w:pPr>
          </w:p>
        </w:tc>
        <w:tc>
          <w:tcPr>
            <w:tcW w:w="560" w:type="pct"/>
            <w:vMerge w:val="continue"/>
            <w:vAlign w:val="center"/>
          </w:tcPr>
          <w:p>
            <w:pPr>
              <w:rPr>
                <w:rFonts w:hint="eastAsia" w:ascii="仿宋_GB2312" w:hAnsi="仿宋_GB2312" w:eastAsia="仿宋_GB2312" w:cs="仿宋_GB2312"/>
                <w:color w:val="000000"/>
                <w:szCs w:val="20"/>
              </w:rPr>
            </w:pPr>
          </w:p>
        </w:tc>
        <w:tc>
          <w:tcPr>
            <w:tcW w:w="1004" w:type="pct"/>
            <w:vMerge w:val="continue"/>
            <w:vAlign w:val="center"/>
          </w:tcPr>
          <w:p>
            <w:pPr>
              <w:rPr>
                <w:rFonts w:hint="eastAsia" w:ascii="仿宋_GB2312" w:hAnsi="仿宋_GB2312" w:eastAsia="仿宋_GB2312" w:cs="仿宋_GB2312"/>
                <w:color w:val="000000"/>
                <w:szCs w:val="20"/>
              </w:rPr>
            </w:pPr>
          </w:p>
        </w:tc>
        <w:tc>
          <w:tcPr>
            <w:tcW w:w="444" w:type="pct"/>
            <w:vMerge w:val="continue"/>
            <w:vAlign w:val="center"/>
          </w:tcPr>
          <w:p>
            <w:pPr>
              <w:jc w:val="center"/>
              <w:rPr>
                <w:rFonts w:hint="eastAsia" w:ascii="仿宋_GB2312" w:hAnsi="仿宋_GB2312" w:eastAsia="仿宋_GB2312" w:cs="仿宋_GB2312"/>
                <w:bCs/>
                <w:color w:val="000000"/>
                <w:kern w:val="0"/>
                <w:szCs w:val="21"/>
              </w:rPr>
            </w:pPr>
          </w:p>
        </w:tc>
        <w:tc>
          <w:tcPr>
            <w:tcW w:w="420"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rPr>
              <w:t>一般</w:t>
            </w:r>
          </w:p>
        </w:tc>
        <w:tc>
          <w:tcPr>
            <w:tcW w:w="417" w:type="pct"/>
            <w:vAlign w:val="center"/>
          </w:tcPr>
          <w:p>
            <w:pPr>
              <w:jc w:val="left"/>
              <w:rPr>
                <w:rFonts w:hint="eastAsia" w:ascii="仿宋_GB2312" w:hAnsi="仿宋_GB2312" w:eastAsia="仿宋_GB2312" w:cs="仿宋_GB2312"/>
                <w:color w:val="000000"/>
                <w:kern w:val="0"/>
                <w:szCs w:val="21"/>
              </w:rPr>
            </w:pPr>
            <w:r>
              <w:rPr>
                <w:rFonts w:hint="eastAsia" w:ascii="仿宋_GB2312" w:hAnsi="仿宋_GB2312" w:eastAsia="仿宋_GB2312" w:cs="仿宋_GB2312"/>
                <w:bCs/>
                <w:color w:val="000000"/>
                <w:kern w:val="0"/>
                <w:szCs w:val="21"/>
              </w:rPr>
              <w:t>造成一般危害后果的</w:t>
            </w:r>
          </w:p>
        </w:tc>
        <w:tc>
          <w:tcPr>
            <w:tcW w:w="1368" w:type="pc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对检测机构</w:t>
            </w:r>
            <w:r>
              <w:rPr>
                <w:rFonts w:hint="eastAsia" w:ascii="仿宋_GB2312" w:hAnsi="仿宋_GB2312" w:eastAsia="仿宋_GB2312" w:cs="仿宋_GB2312"/>
                <w:color w:val="000000"/>
                <w:szCs w:val="20"/>
              </w:rPr>
              <w:t>责令改正，处20万元的罚款；</w:t>
            </w:r>
          </w:p>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对单位</w:t>
            </w:r>
            <w:r>
              <w:rPr>
                <w:rFonts w:hint="eastAsia" w:ascii="仿宋_GB2312" w:hAnsi="仿宋_GB2312" w:eastAsia="仿宋_GB2312" w:cs="仿宋_GB2312"/>
                <w:color w:val="000000"/>
                <w:szCs w:val="20"/>
              </w:rPr>
              <w:t>直接负责的主管人员和其他直接责任人员处单位罚款数额7.5%的罚款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376" w:type="pct"/>
            <w:vMerge w:val="continue"/>
            <w:vAlign w:val="center"/>
          </w:tcPr>
          <w:p>
            <w:pPr>
              <w:rPr>
                <w:rFonts w:hint="eastAsia" w:ascii="仿宋_GB2312" w:hAnsi="仿宋_GB2312" w:eastAsia="仿宋_GB2312" w:cs="仿宋_GB2312"/>
                <w:color w:val="000000"/>
                <w:szCs w:val="20"/>
              </w:rPr>
            </w:pPr>
          </w:p>
        </w:tc>
        <w:tc>
          <w:tcPr>
            <w:tcW w:w="409" w:type="pct"/>
            <w:vMerge w:val="continue"/>
            <w:vAlign w:val="center"/>
          </w:tcPr>
          <w:p>
            <w:pPr>
              <w:rPr>
                <w:rFonts w:hint="eastAsia" w:ascii="仿宋_GB2312" w:hAnsi="仿宋_GB2312" w:eastAsia="仿宋_GB2312" w:cs="仿宋_GB2312"/>
                <w:color w:val="000000"/>
                <w:szCs w:val="20"/>
              </w:rPr>
            </w:pPr>
          </w:p>
        </w:tc>
        <w:tc>
          <w:tcPr>
            <w:tcW w:w="560" w:type="pct"/>
            <w:vMerge w:val="continue"/>
            <w:vAlign w:val="center"/>
          </w:tcPr>
          <w:p>
            <w:pPr>
              <w:rPr>
                <w:rFonts w:hint="eastAsia" w:ascii="仿宋_GB2312" w:hAnsi="仿宋_GB2312" w:eastAsia="仿宋_GB2312" w:cs="仿宋_GB2312"/>
                <w:color w:val="000000"/>
                <w:szCs w:val="20"/>
              </w:rPr>
            </w:pPr>
          </w:p>
        </w:tc>
        <w:tc>
          <w:tcPr>
            <w:tcW w:w="1004" w:type="pct"/>
            <w:vMerge w:val="continue"/>
            <w:vAlign w:val="center"/>
          </w:tcPr>
          <w:p>
            <w:pPr>
              <w:rPr>
                <w:rFonts w:hint="eastAsia" w:ascii="仿宋_GB2312" w:hAnsi="仿宋_GB2312" w:eastAsia="仿宋_GB2312" w:cs="仿宋_GB2312"/>
                <w:color w:val="000000"/>
                <w:szCs w:val="20"/>
              </w:rPr>
            </w:pPr>
          </w:p>
        </w:tc>
        <w:tc>
          <w:tcPr>
            <w:tcW w:w="444" w:type="pct"/>
            <w:vMerge w:val="continue"/>
            <w:vAlign w:val="center"/>
          </w:tcPr>
          <w:p>
            <w:pPr>
              <w:jc w:val="center"/>
              <w:rPr>
                <w:rFonts w:hint="eastAsia" w:ascii="仿宋_GB2312" w:hAnsi="仿宋_GB2312" w:eastAsia="仿宋_GB2312" w:cs="仿宋_GB2312"/>
                <w:bCs/>
                <w:color w:val="000000"/>
                <w:kern w:val="0"/>
                <w:szCs w:val="21"/>
              </w:rPr>
            </w:pPr>
          </w:p>
        </w:tc>
        <w:tc>
          <w:tcPr>
            <w:tcW w:w="420"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rPr>
              <w:t>从重</w:t>
            </w:r>
          </w:p>
        </w:tc>
        <w:tc>
          <w:tcPr>
            <w:tcW w:w="417" w:type="pct"/>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bCs/>
                <w:color w:val="000000"/>
                <w:kern w:val="0"/>
                <w:szCs w:val="21"/>
              </w:rPr>
              <w:t>造成严重危害后果的</w:t>
            </w:r>
          </w:p>
        </w:tc>
        <w:tc>
          <w:tcPr>
            <w:tcW w:w="1368" w:type="pc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对检测机构</w:t>
            </w:r>
            <w:r>
              <w:rPr>
                <w:rFonts w:hint="eastAsia" w:ascii="仿宋_GB2312" w:hAnsi="仿宋_GB2312" w:eastAsia="仿宋_GB2312" w:cs="仿宋_GB2312"/>
                <w:color w:val="000000"/>
                <w:szCs w:val="20"/>
              </w:rPr>
              <w:t>责令改正，处超过20万元、30万元以下的罚款</w:t>
            </w:r>
            <w:r>
              <w:rPr>
                <w:rFonts w:hint="eastAsia" w:ascii="仿宋_GB2312" w:hAnsi="仿宋_GB2312" w:eastAsia="仿宋_GB2312" w:cs="仿宋_GB2312"/>
                <w:szCs w:val="21"/>
              </w:rPr>
              <w:t>，</w:t>
            </w:r>
            <w:r>
              <w:rPr>
                <w:rFonts w:hint="eastAsia" w:ascii="仿宋_GB2312" w:hAnsi="仿宋_GB2312" w:eastAsia="仿宋_GB2312" w:cs="仿宋_GB2312"/>
                <w:color w:val="000000"/>
                <w:szCs w:val="20"/>
              </w:rPr>
              <w:t>吊销资质证书</w:t>
            </w:r>
            <w:r>
              <w:rPr>
                <w:rFonts w:hint="eastAsia" w:ascii="仿宋_GB2312" w:hAnsi="仿宋_GB2312" w:eastAsia="仿宋_GB2312" w:cs="仿宋_GB2312"/>
                <w:szCs w:val="21"/>
              </w:rPr>
              <w:t>；</w:t>
            </w:r>
          </w:p>
          <w:p>
            <w:pPr>
              <w:rPr>
                <w:rFonts w:hint="eastAsia" w:ascii="仿宋_GB2312" w:hAnsi="仿宋_GB2312" w:eastAsia="仿宋_GB2312" w:cs="仿宋_GB2312"/>
                <w:color w:val="000000"/>
                <w:szCs w:val="20"/>
              </w:rPr>
            </w:pPr>
            <w:r>
              <w:rPr>
                <w:rFonts w:hint="eastAsia" w:ascii="仿宋_GB2312" w:hAnsi="仿宋_GB2312" w:eastAsia="仿宋_GB2312" w:cs="仿宋_GB2312"/>
                <w:color w:val="000000"/>
                <w:szCs w:val="20"/>
              </w:rPr>
              <w:t>对负有直接责任的注册执业人员吊销执业资格证书；直接负责的主管人员和其他直接责任人员终身禁止从事工程质量检测业务，</w:t>
            </w:r>
            <w:r>
              <w:rPr>
                <w:rFonts w:hint="eastAsia" w:ascii="仿宋_GB2312" w:hAnsi="仿宋_GB2312" w:eastAsia="仿宋_GB2312" w:cs="仿宋_GB2312"/>
                <w:color w:val="000000"/>
                <w:szCs w:val="21"/>
              </w:rPr>
              <w:t>并</w:t>
            </w:r>
            <w:r>
              <w:rPr>
                <w:rFonts w:hint="eastAsia" w:ascii="仿宋_GB2312" w:hAnsi="仿宋_GB2312" w:eastAsia="仿宋_GB2312" w:cs="仿宋_GB2312"/>
                <w:color w:val="000000"/>
                <w:szCs w:val="20"/>
              </w:rPr>
              <w:t>处单位罚款数额超过7.5%、10%以下的罚款</w:t>
            </w:r>
          </w:p>
        </w:tc>
      </w:tr>
    </w:tbl>
    <w:p>
      <w:pPr>
        <w:outlineLvl w:val="0"/>
        <w:rPr>
          <w:rFonts w:hint="eastAsia" w:ascii="宋体" w:hAnsi="宋体" w:cs="宋体"/>
          <w:b/>
          <w:kern w:val="44"/>
          <w:sz w:val="32"/>
          <w:szCs w:val="20"/>
        </w:rPr>
      </w:pPr>
      <w:r>
        <w:rPr>
          <w:rFonts w:hint="eastAsia" w:ascii="宋体" w:hAnsi="宋体" w:eastAsia="宋体 (正文)" w:cs="宋体"/>
          <w:color w:val="000000"/>
          <w:kern w:val="44"/>
          <w:sz w:val="32"/>
        </w:rPr>
        <w:t>《建设工程抗震管理条例》</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2"/>
        <w:gridCol w:w="1157"/>
        <w:gridCol w:w="1600"/>
        <w:gridCol w:w="3098"/>
        <w:gridCol w:w="1134"/>
        <w:gridCol w:w="1134"/>
        <w:gridCol w:w="1440"/>
        <w:gridCol w:w="36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46"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序号</w:t>
            </w:r>
          </w:p>
        </w:tc>
        <w:tc>
          <w:tcPr>
            <w:tcW w:w="408"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564"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1093"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400"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400"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508"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1280"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05" w:hRule="atLeast"/>
          <w:jc w:val="center"/>
        </w:trPr>
        <w:tc>
          <w:tcPr>
            <w:tcW w:w="346" w:type="pct"/>
            <w:vMerge w:val="restart"/>
            <w:vAlign w:val="center"/>
          </w:tcPr>
          <w:p>
            <w:pPr>
              <w:widowControl/>
              <w:jc w:val="center"/>
              <w:rPr>
                <w:rFonts w:hint="eastAsia" w:ascii="宋体" w:hAnsi="宋体" w:eastAsia="宋体" w:cs="黑体"/>
                <w:bCs/>
                <w:color w:val="000000"/>
                <w:kern w:val="0"/>
                <w:szCs w:val="21"/>
                <w:lang w:val="en"/>
              </w:rPr>
            </w:pPr>
            <w:r>
              <w:rPr>
                <w:rFonts w:hint="eastAsia" w:ascii="仿宋_GB2312" w:hAnsi="仿宋_GB2312" w:eastAsia="仿宋_GB2312" w:cs="仿宋_GB2312"/>
                <w:color w:val="000000"/>
                <w:kern w:val="0"/>
                <w:szCs w:val="21"/>
                <w:lang w:val="en"/>
              </w:rPr>
              <w:t>103.1</w:t>
            </w:r>
            <w:r>
              <w:rPr>
                <w:rFonts w:hint="eastAsia" w:ascii="仿宋_GB2312" w:hAnsi="仿宋_GB2312" w:eastAsia="仿宋_GB2312" w:cs="仿宋_GB2312"/>
                <w:color w:val="000000"/>
                <w:kern w:val="0"/>
                <w:szCs w:val="21"/>
              </w:rPr>
              <w:t>1</w:t>
            </w:r>
          </w:p>
        </w:tc>
        <w:tc>
          <w:tcPr>
            <w:tcW w:w="408" w:type="pct"/>
            <w:vMerge w:val="restart"/>
            <w:vAlign w:val="center"/>
          </w:tcPr>
          <w:p>
            <w:pPr>
              <w:rPr>
                <w:rFonts w:hint="eastAsia" w:ascii="宋体" w:hAnsi="宋体" w:eastAsia="宋体" w:cs="黑体"/>
                <w:bCs/>
                <w:color w:val="000000"/>
                <w:szCs w:val="21"/>
              </w:rPr>
            </w:pPr>
            <w:r>
              <w:rPr>
                <w:rFonts w:hint="eastAsia" w:ascii="仿宋_GB2312" w:hAnsi="仿宋_GB2312" w:eastAsia="仿宋_GB2312" w:cs="仿宋_GB2312"/>
                <w:color w:val="000000"/>
                <w:szCs w:val="20"/>
              </w:rPr>
              <w:t>抗震性能鉴定机构未按照抗震设防强制性标准进行抗震性能鉴定的</w:t>
            </w:r>
          </w:p>
        </w:tc>
        <w:tc>
          <w:tcPr>
            <w:tcW w:w="564" w:type="pct"/>
            <w:vMerge w:val="restart"/>
            <w:vAlign w:val="center"/>
          </w:tcPr>
          <w:p>
            <w:pPr>
              <w:rPr>
                <w:rFonts w:hint="eastAsia" w:ascii="宋体" w:hAnsi="宋体" w:eastAsia="宋体" w:cs="黑体"/>
                <w:bCs/>
                <w:color w:val="000000"/>
              </w:rPr>
            </w:pPr>
            <w:r>
              <w:rPr>
                <w:rFonts w:hint="eastAsia" w:ascii="仿宋_GB2312" w:hAnsi="仿宋_GB2312" w:eastAsia="仿宋_GB2312" w:cs="仿宋_GB2312"/>
                <w:color w:val="000000"/>
                <w:szCs w:val="20"/>
              </w:rPr>
              <w:t>第二十条第一款：“抗震性能鉴定结果应当对建设工程是否存在严重抗震安全隐患以及是否需要进行抗震加固作出判定。</w:t>
            </w:r>
            <w:r>
              <w:rPr>
                <w:rFonts w:ascii="仿宋_GB2312" w:hAnsi="仿宋_GB2312" w:eastAsia="仿宋_GB2312" w:cs="仿宋_GB2312"/>
                <w:color w:val="000000"/>
                <w:szCs w:val="20"/>
              </w:rPr>
              <w:t>”</w:t>
            </w:r>
          </w:p>
        </w:tc>
        <w:tc>
          <w:tcPr>
            <w:tcW w:w="1093" w:type="pct"/>
            <w:vMerge w:val="restart"/>
            <w:vAlign w:val="center"/>
          </w:tcPr>
          <w:p>
            <w:pPr>
              <w:jc w:val="left"/>
              <w:rPr>
                <w:rFonts w:hint="eastAsia" w:ascii="仿宋_GB2312" w:hAnsi="仿宋_GB2312" w:eastAsia="仿宋_GB2312" w:cs="仿宋_GB2312"/>
                <w:color w:val="000000"/>
                <w:szCs w:val="20"/>
              </w:rPr>
            </w:pPr>
            <w:r>
              <w:rPr>
                <w:rFonts w:hint="eastAsia" w:ascii="仿宋_GB2312" w:hAnsi="仿宋_GB2312" w:eastAsia="仿宋_GB2312" w:cs="仿宋_GB2312"/>
                <w:color w:val="000000"/>
                <w:szCs w:val="20"/>
              </w:rPr>
              <w:t>第四十五条第一款：“违反本条例规定，抗震性能鉴定机构未按照抗震设防强制性标准进行抗震性能鉴定的，责令改正，处10万元以上30万元以下的罚款；情节严重的，责令停业整顿，并处30万元以上50万元以下的罚款；造成损失的，依法承担赔偿责任。”</w:t>
            </w:r>
          </w:p>
          <w:p>
            <w:pPr>
              <w:jc w:val="left"/>
              <w:rPr>
                <w:rFonts w:eastAsia="宋体" w:cs="Times New Roman"/>
              </w:rPr>
            </w:pPr>
          </w:p>
          <w:p>
            <w:pPr>
              <w:jc w:val="left"/>
              <w:rPr>
                <w:rFonts w:hint="eastAsia" w:ascii="宋体" w:hAnsi="宋体" w:eastAsia="宋体" w:cs="黑体"/>
                <w:bCs/>
                <w:color w:val="000000"/>
              </w:rPr>
            </w:pPr>
            <w:r>
              <w:rPr>
                <w:rFonts w:hint="eastAsia" w:ascii="仿宋_GB2312" w:hAnsi="仿宋_GB2312" w:eastAsia="仿宋_GB2312" w:cs="仿宋_GB2312"/>
                <w:color w:val="000000"/>
                <w:szCs w:val="20"/>
              </w:rPr>
              <w:t>第四十七条第一款：“依照本条例规定，给予单位罚款处罚的，对其直接负责的主管人员和其他直接责任人员处单位罚款数额5%以上10%以下的罚款。”</w:t>
            </w:r>
          </w:p>
        </w:tc>
        <w:tc>
          <w:tcPr>
            <w:tcW w:w="400" w:type="pct"/>
            <w:vMerge w:val="restart"/>
            <w:vAlign w:val="center"/>
          </w:tcPr>
          <w:p>
            <w:pPr>
              <w:rPr>
                <w:rFonts w:hint="eastAsia" w:ascii="宋体" w:hAnsi="宋体" w:eastAsia="宋体" w:cs="黑体"/>
                <w:bCs/>
                <w:color w:val="000000"/>
              </w:rPr>
            </w:pPr>
            <w:r>
              <w:rPr>
                <w:rFonts w:hint="eastAsia" w:ascii="仿宋_GB2312" w:hAnsi="仿宋_GB2312" w:eastAsia="仿宋_GB2312" w:cs="仿宋_GB2312"/>
                <w:bCs/>
                <w:color w:val="000000"/>
                <w:kern w:val="0"/>
                <w:szCs w:val="21"/>
              </w:rPr>
              <w:t>罚款；责令停产停业</w:t>
            </w:r>
          </w:p>
        </w:tc>
        <w:tc>
          <w:tcPr>
            <w:tcW w:w="400"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从轻</w:t>
            </w:r>
          </w:p>
        </w:tc>
        <w:tc>
          <w:tcPr>
            <w:tcW w:w="508"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1"/>
              </w:rPr>
              <w:t>未造成危害后果</w:t>
            </w:r>
          </w:p>
        </w:tc>
        <w:tc>
          <w:tcPr>
            <w:tcW w:w="1280" w:type="pct"/>
            <w:vAlign w:val="center"/>
          </w:tcPr>
          <w:p>
            <w:pPr>
              <w:rPr>
                <w:rFonts w:hint="eastAsia" w:ascii="仿宋_GB2312" w:hAnsi="仿宋_GB2312" w:eastAsia="仿宋_GB2312" w:cs="仿宋_GB2312"/>
                <w:szCs w:val="21"/>
                <w:lang w:bidi="ar"/>
              </w:rPr>
            </w:pPr>
            <w:r>
              <w:rPr>
                <w:rFonts w:hint="eastAsia" w:ascii="仿宋_GB2312" w:hAnsi="仿宋_GB2312" w:eastAsia="仿宋_GB2312" w:cs="仿宋_GB2312"/>
                <w:szCs w:val="21"/>
                <w:lang w:bidi="ar"/>
              </w:rPr>
              <w:t>对</w:t>
            </w:r>
            <w:r>
              <w:rPr>
                <w:rFonts w:hint="eastAsia" w:ascii="仿宋_GB2312" w:hAnsi="仿宋_GB2312" w:eastAsia="仿宋_GB2312" w:cs="仿宋_GB2312"/>
                <w:color w:val="000000"/>
                <w:szCs w:val="20"/>
              </w:rPr>
              <w:t>鉴定机构</w:t>
            </w:r>
            <w:r>
              <w:rPr>
                <w:rFonts w:hint="eastAsia" w:ascii="仿宋_GB2312" w:hAnsi="仿宋_GB2312" w:eastAsia="仿宋_GB2312" w:cs="仿宋_GB2312"/>
                <w:bCs/>
                <w:szCs w:val="21"/>
                <w:lang w:bidi="ar"/>
              </w:rPr>
              <w:t>责令改正，</w:t>
            </w:r>
            <w:r>
              <w:rPr>
                <w:rFonts w:hint="eastAsia" w:ascii="仿宋_GB2312" w:hAnsi="仿宋_GB2312" w:eastAsia="仿宋_GB2312" w:cs="仿宋_GB2312"/>
                <w:szCs w:val="21"/>
                <w:lang w:bidi="ar"/>
              </w:rPr>
              <w:t>处10万元以上、低于20万元的罚款；</w:t>
            </w:r>
          </w:p>
          <w:p>
            <w:pPr>
              <w:rPr>
                <w:rFonts w:hint="eastAsia" w:ascii="仿宋_GB2312" w:hAnsi="仿宋_GB2312" w:eastAsia="仿宋_GB2312" w:cs="仿宋_GB2312"/>
                <w:bCs/>
                <w:color w:val="000000"/>
                <w:szCs w:val="21"/>
              </w:rPr>
            </w:pPr>
            <w:r>
              <w:rPr>
                <w:rFonts w:hint="eastAsia" w:ascii="仿宋_GB2312" w:hAnsi="仿宋_GB2312" w:eastAsia="仿宋_GB2312" w:cs="仿宋_GB2312"/>
                <w:szCs w:val="21"/>
                <w:lang w:bidi="ar"/>
              </w:rPr>
              <w:t>对单位直接负责的主管人员和其他直接责任人员处单位罚款数额5%以上、低于7.5%的罚款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8" w:hRule="atLeast"/>
          <w:jc w:val="center"/>
        </w:trPr>
        <w:tc>
          <w:tcPr>
            <w:tcW w:w="346" w:type="pct"/>
            <w:vMerge w:val="continue"/>
            <w:vAlign w:val="center"/>
          </w:tcPr>
          <w:p>
            <w:pPr>
              <w:rPr>
                <w:rFonts w:hint="eastAsia" w:ascii="宋体" w:hAnsi="宋体" w:eastAsia="宋体" w:cs="黑体"/>
                <w:bCs/>
                <w:color w:val="000000"/>
              </w:rPr>
            </w:pPr>
          </w:p>
        </w:tc>
        <w:tc>
          <w:tcPr>
            <w:tcW w:w="408" w:type="pct"/>
            <w:vMerge w:val="continue"/>
            <w:vAlign w:val="center"/>
          </w:tcPr>
          <w:p>
            <w:pPr>
              <w:rPr>
                <w:rFonts w:hint="eastAsia" w:ascii="宋体" w:hAnsi="宋体" w:eastAsia="宋体" w:cs="黑体"/>
                <w:bCs/>
                <w:color w:val="000000"/>
              </w:rPr>
            </w:pPr>
          </w:p>
        </w:tc>
        <w:tc>
          <w:tcPr>
            <w:tcW w:w="564" w:type="pct"/>
            <w:vMerge w:val="continue"/>
            <w:vAlign w:val="center"/>
          </w:tcPr>
          <w:p>
            <w:pPr>
              <w:rPr>
                <w:rFonts w:hint="eastAsia" w:ascii="宋体" w:hAnsi="宋体" w:eastAsia="宋体" w:cs="黑体"/>
                <w:bCs/>
                <w:color w:val="000000"/>
              </w:rPr>
            </w:pPr>
          </w:p>
        </w:tc>
        <w:tc>
          <w:tcPr>
            <w:tcW w:w="1093"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00" w:type="pct"/>
            <w:vMerge w:val="continue"/>
            <w:vAlign w:val="center"/>
          </w:tcPr>
          <w:p>
            <w:pPr>
              <w:jc w:val="center"/>
              <w:rPr>
                <w:rFonts w:hint="eastAsia" w:ascii="宋体" w:hAnsi="宋体" w:eastAsia="宋体" w:cs="黑体"/>
                <w:bCs/>
                <w:color w:val="000000"/>
              </w:rPr>
            </w:pPr>
          </w:p>
        </w:tc>
        <w:tc>
          <w:tcPr>
            <w:tcW w:w="400"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一般</w:t>
            </w:r>
          </w:p>
        </w:tc>
        <w:tc>
          <w:tcPr>
            <w:tcW w:w="508"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1"/>
              </w:rPr>
              <w:t>造成轻微危害后果的</w:t>
            </w:r>
          </w:p>
        </w:tc>
        <w:tc>
          <w:tcPr>
            <w:tcW w:w="1280" w:type="pct"/>
            <w:vAlign w:val="center"/>
          </w:tcPr>
          <w:p>
            <w:pPr>
              <w:rPr>
                <w:rFonts w:hint="eastAsia" w:ascii="仿宋_GB2312" w:hAnsi="仿宋_GB2312" w:eastAsia="仿宋_GB2312" w:cs="仿宋_GB2312"/>
                <w:szCs w:val="21"/>
                <w:lang w:bidi="ar"/>
              </w:rPr>
            </w:pPr>
            <w:r>
              <w:rPr>
                <w:rFonts w:hint="eastAsia" w:ascii="仿宋_GB2312" w:hAnsi="仿宋_GB2312" w:eastAsia="仿宋_GB2312" w:cs="仿宋_GB2312"/>
                <w:szCs w:val="21"/>
                <w:lang w:bidi="ar"/>
              </w:rPr>
              <w:t>对</w:t>
            </w:r>
            <w:r>
              <w:rPr>
                <w:rFonts w:hint="eastAsia" w:ascii="仿宋_GB2312" w:hAnsi="仿宋_GB2312" w:eastAsia="仿宋_GB2312" w:cs="仿宋_GB2312"/>
                <w:color w:val="000000"/>
                <w:szCs w:val="20"/>
              </w:rPr>
              <w:t>鉴定机构</w:t>
            </w:r>
            <w:r>
              <w:rPr>
                <w:rFonts w:hint="eastAsia" w:ascii="仿宋_GB2312" w:hAnsi="仿宋_GB2312" w:eastAsia="仿宋_GB2312" w:cs="仿宋_GB2312"/>
                <w:bCs/>
                <w:szCs w:val="21"/>
                <w:lang w:bidi="ar"/>
              </w:rPr>
              <w:t>责令改正，</w:t>
            </w:r>
            <w:r>
              <w:rPr>
                <w:rFonts w:hint="eastAsia" w:ascii="仿宋_GB2312" w:hAnsi="仿宋_GB2312" w:eastAsia="仿宋_GB2312" w:cs="仿宋_GB2312"/>
                <w:szCs w:val="21"/>
                <w:lang w:bidi="ar"/>
              </w:rPr>
              <w:t>处20万元的罚款；</w:t>
            </w:r>
          </w:p>
          <w:p>
            <w:pPr>
              <w:rPr>
                <w:rFonts w:hint="eastAsia" w:ascii="仿宋_GB2312" w:hAnsi="仿宋_GB2312" w:eastAsia="仿宋_GB2312" w:cs="仿宋_GB2312"/>
                <w:bCs/>
                <w:color w:val="000000"/>
              </w:rPr>
            </w:pPr>
            <w:r>
              <w:rPr>
                <w:rFonts w:hint="eastAsia" w:ascii="仿宋_GB2312" w:hAnsi="仿宋_GB2312" w:eastAsia="仿宋_GB2312" w:cs="仿宋_GB2312"/>
                <w:szCs w:val="21"/>
                <w:lang w:bidi="ar"/>
              </w:rPr>
              <w:t>对单位直接负责的主管人员和其他直接责任人员处单位罚款数额7.5%的罚款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5" w:hRule="atLeast"/>
          <w:jc w:val="center"/>
        </w:trPr>
        <w:tc>
          <w:tcPr>
            <w:tcW w:w="346" w:type="pct"/>
            <w:vMerge w:val="continue"/>
            <w:vAlign w:val="center"/>
          </w:tcPr>
          <w:p>
            <w:pPr>
              <w:rPr>
                <w:rFonts w:hint="eastAsia" w:ascii="宋体" w:hAnsi="宋体" w:eastAsia="宋体" w:cs="黑体"/>
                <w:bCs/>
                <w:color w:val="000000"/>
              </w:rPr>
            </w:pPr>
          </w:p>
        </w:tc>
        <w:tc>
          <w:tcPr>
            <w:tcW w:w="408" w:type="pct"/>
            <w:vMerge w:val="continue"/>
            <w:vAlign w:val="center"/>
          </w:tcPr>
          <w:p>
            <w:pPr>
              <w:rPr>
                <w:rFonts w:hint="eastAsia" w:ascii="宋体" w:hAnsi="宋体" w:eastAsia="宋体" w:cs="黑体"/>
                <w:bCs/>
                <w:color w:val="000000"/>
              </w:rPr>
            </w:pPr>
          </w:p>
        </w:tc>
        <w:tc>
          <w:tcPr>
            <w:tcW w:w="564" w:type="pct"/>
            <w:vMerge w:val="continue"/>
            <w:vAlign w:val="center"/>
          </w:tcPr>
          <w:p>
            <w:pPr>
              <w:rPr>
                <w:rFonts w:hint="eastAsia" w:ascii="宋体" w:hAnsi="宋体" w:eastAsia="宋体" w:cs="黑体"/>
                <w:bCs/>
                <w:color w:val="000000"/>
              </w:rPr>
            </w:pPr>
          </w:p>
        </w:tc>
        <w:tc>
          <w:tcPr>
            <w:tcW w:w="1093"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00" w:type="pct"/>
            <w:vMerge w:val="continue"/>
            <w:vAlign w:val="center"/>
          </w:tcPr>
          <w:p>
            <w:pPr>
              <w:jc w:val="center"/>
              <w:rPr>
                <w:rFonts w:hint="eastAsia" w:ascii="宋体" w:hAnsi="宋体" w:eastAsia="宋体" w:cs="黑体"/>
                <w:bCs/>
                <w:color w:val="000000"/>
              </w:rPr>
            </w:pPr>
          </w:p>
        </w:tc>
        <w:tc>
          <w:tcPr>
            <w:tcW w:w="400"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从重</w:t>
            </w:r>
          </w:p>
        </w:tc>
        <w:tc>
          <w:tcPr>
            <w:tcW w:w="508"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1"/>
              </w:rPr>
              <w:t>造成一般危害后果的</w:t>
            </w:r>
          </w:p>
        </w:tc>
        <w:tc>
          <w:tcPr>
            <w:tcW w:w="1280" w:type="pct"/>
            <w:vAlign w:val="center"/>
          </w:tcPr>
          <w:p>
            <w:pPr>
              <w:rPr>
                <w:rFonts w:hint="eastAsia" w:ascii="仿宋_GB2312" w:hAnsi="仿宋_GB2312" w:eastAsia="仿宋_GB2312" w:cs="仿宋_GB2312"/>
                <w:szCs w:val="21"/>
                <w:lang w:bidi="ar"/>
              </w:rPr>
            </w:pPr>
            <w:r>
              <w:rPr>
                <w:rFonts w:hint="eastAsia" w:ascii="仿宋_GB2312" w:hAnsi="仿宋_GB2312" w:eastAsia="仿宋_GB2312" w:cs="仿宋_GB2312"/>
                <w:szCs w:val="21"/>
                <w:lang w:bidi="ar"/>
              </w:rPr>
              <w:t>对</w:t>
            </w:r>
            <w:r>
              <w:rPr>
                <w:rFonts w:hint="eastAsia" w:ascii="仿宋_GB2312" w:hAnsi="仿宋_GB2312" w:eastAsia="仿宋_GB2312" w:cs="仿宋_GB2312"/>
                <w:color w:val="000000"/>
                <w:szCs w:val="20"/>
              </w:rPr>
              <w:t>鉴定机构</w:t>
            </w:r>
            <w:r>
              <w:rPr>
                <w:rFonts w:hint="eastAsia" w:ascii="仿宋_GB2312" w:hAnsi="仿宋_GB2312" w:eastAsia="仿宋_GB2312" w:cs="仿宋_GB2312"/>
                <w:szCs w:val="21"/>
                <w:lang w:bidi="ar"/>
              </w:rPr>
              <w:t>责令改正，处超过20万元、30万元以下的罚款；</w:t>
            </w:r>
          </w:p>
          <w:p>
            <w:pPr>
              <w:rPr>
                <w:rFonts w:hint="eastAsia" w:ascii="仿宋_GB2312" w:hAnsi="仿宋_GB2312" w:eastAsia="仿宋_GB2312" w:cs="仿宋_GB2312"/>
                <w:bCs/>
                <w:color w:val="000000"/>
              </w:rPr>
            </w:pPr>
            <w:r>
              <w:rPr>
                <w:rFonts w:hint="eastAsia" w:ascii="仿宋_GB2312" w:hAnsi="仿宋_GB2312" w:eastAsia="仿宋_GB2312" w:cs="仿宋_GB2312"/>
                <w:szCs w:val="21"/>
                <w:lang w:bidi="ar"/>
              </w:rPr>
              <w:t>对单位直接负责的主管人员和其他直接责任人员处单位罚款数额超过7.5%、10%以下的罚款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02" w:hRule="atLeast"/>
          <w:jc w:val="center"/>
        </w:trPr>
        <w:tc>
          <w:tcPr>
            <w:tcW w:w="346" w:type="pct"/>
            <w:vMerge w:val="continue"/>
            <w:vAlign w:val="center"/>
          </w:tcPr>
          <w:p>
            <w:pPr>
              <w:rPr>
                <w:rFonts w:hint="eastAsia" w:ascii="宋体" w:hAnsi="宋体" w:eastAsia="宋体" w:cs="黑体"/>
                <w:bCs/>
                <w:color w:val="000000"/>
              </w:rPr>
            </w:pPr>
          </w:p>
        </w:tc>
        <w:tc>
          <w:tcPr>
            <w:tcW w:w="408" w:type="pct"/>
            <w:vMerge w:val="continue"/>
            <w:vAlign w:val="center"/>
          </w:tcPr>
          <w:p>
            <w:pPr>
              <w:rPr>
                <w:rFonts w:hint="eastAsia" w:ascii="宋体" w:hAnsi="宋体" w:eastAsia="宋体" w:cs="黑体"/>
                <w:bCs/>
                <w:color w:val="000000"/>
              </w:rPr>
            </w:pPr>
          </w:p>
        </w:tc>
        <w:tc>
          <w:tcPr>
            <w:tcW w:w="564" w:type="pct"/>
            <w:vMerge w:val="continue"/>
            <w:vAlign w:val="center"/>
          </w:tcPr>
          <w:p>
            <w:pPr>
              <w:rPr>
                <w:rFonts w:hint="eastAsia" w:ascii="宋体" w:hAnsi="宋体" w:eastAsia="宋体" w:cs="黑体"/>
                <w:bCs/>
                <w:color w:val="000000"/>
              </w:rPr>
            </w:pPr>
          </w:p>
        </w:tc>
        <w:tc>
          <w:tcPr>
            <w:tcW w:w="1093"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00" w:type="pct"/>
            <w:vMerge w:val="continue"/>
            <w:vAlign w:val="center"/>
          </w:tcPr>
          <w:p>
            <w:pPr>
              <w:jc w:val="center"/>
              <w:rPr>
                <w:rFonts w:hint="eastAsia" w:ascii="宋体" w:hAnsi="宋体" w:eastAsia="宋体" w:cs="黑体"/>
                <w:bCs/>
                <w:color w:val="000000"/>
              </w:rPr>
            </w:pPr>
          </w:p>
        </w:tc>
        <w:tc>
          <w:tcPr>
            <w:tcW w:w="400"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从轻</w:t>
            </w:r>
          </w:p>
        </w:tc>
        <w:tc>
          <w:tcPr>
            <w:tcW w:w="508"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1"/>
              </w:rPr>
              <w:t>造成严重危害后果但未造成质量安全事故的</w:t>
            </w:r>
          </w:p>
        </w:tc>
        <w:tc>
          <w:tcPr>
            <w:tcW w:w="1280" w:type="pct"/>
            <w:vAlign w:val="center"/>
          </w:tcPr>
          <w:p>
            <w:pPr>
              <w:rPr>
                <w:rFonts w:hint="eastAsia" w:ascii="仿宋_GB2312" w:hAnsi="仿宋_GB2312" w:eastAsia="仿宋_GB2312" w:cs="仿宋_GB2312"/>
                <w:szCs w:val="21"/>
                <w:lang w:bidi="ar"/>
              </w:rPr>
            </w:pPr>
            <w:r>
              <w:rPr>
                <w:rFonts w:hint="eastAsia" w:ascii="仿宋_GB2312" w:hAnsi="仿宋_GB2312" w:eastAsia="仿宋_GB2312" w:cs="仿宋_GB2312"/>
                <w:szCs w:val="21"/>
                <w:lang w:bidi="ar"/>
              </w:rPr>
              <w:t>对</w:t>
            </w:r>
            <w:r>
              <w:rPr>
                <w:rFonts w:hint="eastAsia" w:ascii="仿宋_GB2312" w:hAnsi="仿宋_GB2312" w:eastAsia="仿宋_GB2312" w:cs="仿宋_GB2312"/>
                <w:color w:val="000000"/>
                <w:szCs w:val="20"/>
              </w:rPr>
              <w:t>鉴定机构</w:t>
            </w:r>
            <w:r>
              <w:rPr>
                <w:rFonts w:hint="eastAsia" w:ascii="仿宋_GB2312" w:hAnsi="仿宋_GB2312" w:eastAsia="仿宋_GB2312" w:cs="仿宋_GB2312"/>
                <w:szCs w:val="21"/>
                <w:lang w:bidi="ar"/>
              </w:rPr>
              <w:t>责令停业整顿，并处30万元以上、40万元以下的罚款；</w:t>
            </w:r>
          </w:p>
          <w:p>
            <w:pPr>
              <w:rPr>
                <w:rFonts w:hint="eastAsia" w:ascii="仿宋_GB2312" w:hAnsi="仿宋_GB2312" w:eastAsia="仿宋_GB2312" w:cs="仿宋_GB2312"/>
                <w:bCs/>
                <w:color w:val="000000"/>
              </w:rPr>
            </w:pPr>
            <w:r>
              <w:rPr>
                <w:rFonts w:hint="eastAsia" w:ascii="仿宋_GB2312" w:hAnsi="仿宋_GB2312" w:eastAsia="仿宋_GB2312" w:cs="仿宋_GB2312"/>
                <w:szCs w:val="21"/>
                <w:lang w:bidi="ar"/>
              </w:rPr>
              <w:t>对直接负责的主管人员和其他直接责任人员处单位罚款数额5%以上、低于7.5%的罚款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72" w:hRule="atLeast"/>
          <w:jc w:val="center"/>
        </w:trPr>
        <w:tc>
          <w:tcPr>
            <w:tcW w:w="346" w:type="pct"/>
            <w:vMerge w:val="continue"/>
            <w:vAlign w:val="center"/>
          </w:tcPr>
          <w:p>
            <w:pPr>
              <w:rPr>
                <w:rFonts w:hint="eastAsia" w:ascii="宋体" w:hAnsi="宋体" w:eastAsia="宋体" w:cs="黑体"/>
                <w:bCs/>
                <w:color w:val="000000"/>
              </w:rPr>
            </w:pPr>
          </w:p>
        </w:tc>
        <w:tc>
          <w:tcPr>
            <w:tcW w:w="408" w:type="pct"/>
            <w:vMerge w:val="continue"/>
            <w:vAlign w:val="center"/>
          </w:tcPr>
          <w:p>
            <w:pPr>
              <w:rPr>
                <w:rFonts w:hint="eastAsia" w:ascii="宋体" w:hAnsi="宋体" w:eastAsia="宋体" w:cs="黑体"/>
                <w:bCs/>
                <w:color w:val="000000"/>
              </w:rPr>
            </w:pPr>
          </w:p>
        </w:tc>
        <w:tc>
          <w:tcPr>
            <w:tcW w:w="564" w:type="pct"/>
            <w:vMerge w:val="continue"/>
            <w:vAlign w:val="center"/>
          </w:tcPr>
          <w:p>
            <w:pPr>
              <w:rPr>
                <w:rFonts w:hint="eastAsia" w:ascii="宋体" w:hAnsi="宋体" w:eastAsia="宋体" w:cs="黑体"/>
                <w:bCs/>
                <w:color w:val="000000"/>
              </w:rPr>
            </w:pPr>
          </w:p>
        </w:tc>
        <w:tc>
          <w:tcPr>
            <w:tcW w:w="1093"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00" w:type="pct"/>
            <w:vMerge w:val="continue"/>
            <w:vAlign w:val="center"/>
          </w:tcPr>
          <w:p>
            <w:pPr>
              <w:jc w:val="center"/>
              <w:rPr>
                <w:rFonts w:hint="eastAsia" w:ascii="宋体" w:hAnsi="宋体" w:eastAsia="宋体" w:cs="黑体"/>
                <w:bCs/>
                <w:color w:val="000000"/>
              </w:rPr>
            </w:pPr>
          </w:p>
        </w:tc>
        <w:tc>
          <w:tcPr>
            <w:tcW w:w="400"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一般</w:t>
            </w:r>
          </w:p>
        </w:tc>
        <w:tc>
          <w:tcPr>
            <w:tcW w:w="508"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1"/>
              </w:rPr>
              <w:t>造成一般质量安全事故的</w:t>
            </w:r>
          </w:p>
        </w:tc>
        <w:tc>
          <w:tcPr>
            <w:tcW w:w="1280" w:type="pct"/>
            <w:vAlign w:val="center"/>
          </w:tcPr>
          <w:p>
            <w:pPr>
              <w:rPr>
                <w:rFonts w:hint="eastAsia" w:ascii="仿宋_GB2312" w:hAnsi="仿宋_GB2312" w:eastAsia="仿宋_GB2312" w:cs="仿宋_GB2312"/>
                <w:szCs w:val="21"/>
                <w:lang w:bidi="ar"/>
              </w:rPr>
            </w:pPr>
            <w:r>
              <w:rPr>
                <w:rFonts w:hint="eastAsia" w:ascii="仿宋_GB2312" w:hAnsi="仿宋_GB2312" w:eastAsia="仿宋_GB2312" w:cs="仿宋_GB2312"/>
                <w:szCs w:val="21"/>
                <w:lang w:bidi="ar"/>
              </w:rPr>
              <w:t>对</w:t>
            </w:r>
            <w:r>
              <w:rPr>
                <w:rFonts w:hint="eastAsia" w:ascii="仿宋_GB2312" w:hAnsi="仿宋_GB2312" w:eastAsia="仿宋_GB2312" w:cs="仿宋_GB2312"/>
                <w:color w:val="000000"/>
                <w:szCs w:val="20"/>
              </w:rPr>
              <w:t>鉴定机构</w:t>
            </w:r>
            <w:r>
              <w:rPr>
                <w:rFonts w:hint="eastAsia" w:ascii="仿宋_GB2312" w:hAnsi="仿宋_GB2312" w:eastAsia="仿宋_GB2312" w:cs="仿宋_GB2312"/>
                <w:szCs w:val="21"/>
                <w:lang w:bidi="ar"/>
              </w:rPr>
              <w:t>责令停业整顿，并处40万元的罚款；</w:t>
            </w:r>
          </w:p>
          <w:p>
            <w:pPr>
              <w:rPr>
                <w:rFonts w:hint="eastAsia" w:ascii="仿宋_GB2312" w:hAnsi="仿宋_GB2312" w:eastAsia="仿宋_GB2312" w:cs="仿宋_GB2312"/>
                <w:bCs/>
                <w:color w:val="000000"/>
              </w:rPr>
            </w:pPr>
            <w:r>
              <w:rPr>
                <w:rFonts w:hint="eastAsia" w:ascii="仿宋_GB2312" w:hAnsi="仿宋_GB2312" w:eastAsia="仿宋_GB2312" w:cs="仿宋_GB2312"/>
                <w:szCs w:val="21"/>
                <w:lang w:bidi="ar"/>
              </w:rPr>
              <w:t>对直接负责的主管人员和其他直接责任人员处单位罚款数额7.5%的罚款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97" w:hRule="atLeast"/>
          <w:jc w:val="center"/>
        </w:trPr>
        <w:tc>
          <w:tcPr>
            <w:tcW w:w="346" w:type="pct"/>
            <w:vMerge w:val="continue"/>
            <w:vAlign w:val="center"/>
          </w:tcPr>
          <w:p>
            <w:pPr>
              <w:rPr>
                <w:rFonts w:hint="eastAsia" w:ascii="宋体" w:hAnsi="宋体" w:eastAsia="宋体" w:cs="黑体"/>
                <w:bCs/>
                <w:color w:val="000000"/>
              </w:rPr>
            </w:pPr>
          </w:p>
        </w:tc>
        <w:tc>
          <w:tcPr>
            <w:tcW w:w="408" w:type="pct"/>
            <w:vMerge w:val="continue"/>
            <w:vAlign w:val="center"/>
          </w:tcPr>
          <w:p>
            <w:pPr>
              <w:rPr>
                <w:rFonts w:hint="eastAsia" w:ascii="宋体" w:hAnsi="宋体" w:eastAsia="宋体" w:cs="黑体"/>
                <w:bCs/>
                <w:color w:val="000000"/>
              </w:rPr>
            </w:pPr>
          </w:p>
        </w:tc>
        <w:tc>
          <w:tcPr>
            <w:tcW w:w="564" w:type="pct"/>
            <w:vMerge w:val="continue"/>
            <w:vAlign w:val="center"/>
          </w:tcPr>
          <w:p>
            <w:pPr>
              <w:rPr>
                <w:rFonts w:hint="eastAsia" w:ascii="宋体" w:hAnsi="宋体" w:eastAsia="宋体" w:cs="黑体"/>
                <w:bCs/>
                <w:color w:val="000000"/>
              </w:rPr>
            </w:pPr>
          </w:p>
        </w:tc>
        <w:tc>
          <w:tcPr>
            <w:tcW w:w="1093"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00" w:type="pct"/>
            <w:vMerge w:val="continue"/>
            <w:vAlign w:val="center"/>
          </w:tcPr>
          <w:p>
            <w:pPr>
              <w:jc w:val="center"/>
              <w:rPr>
                <w:rFonts w:hint="eastAsia" w:ascii="宋体" w:hAnsi="宋体" w:eastAsia="宋体" w:cs="黑体"/>
                <w:bCs/>
                <w:color w:val="000000"/>
              </w:rPr>
            </w:pPr>
          </w:p>
        </w:tc>
        <w:tc>
          <w:tcPr>
            <w:tcW w:w="400"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从重</w:t>
            </w:r>
          </w:p>
        </w:tc>
        <w:tc>
          <w:tcPr>
            <w:tcW w:w="508"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1"/>
              </w:rPr>
              <w:t>造成较大及以上质量安全事故的</w:t>
            </w:r>
          </w:p>
        </w:tc>
        <w:tc>
          <w:tcPr>
            <w:tcW w:w="1280" w:type="pct"/>
            <w:vAlign w:val="center"/>
          </w:tcPr>
          <w:p>
            <w:pPr>
              <w:rPr>
                <w:rFonts w:hint="eastAsia" w:ascii="仿宋_GB2312" w:hAnsi="仿宋_GB2312" w:eastAsia="仿宋_GB2312" w:cs="仿宋_GB2312"/>
                <w:szCs w:val="21"/>
                <w:lang w:bidi="ar"/>
              </w:rPr>
            </w:pPr>
            <w:r>
              <w:rPr>
                <w:rFonts w:hint="eastAsia" w:ascii="仿宋_GB2312" w:hAnsi="仿宋_GB2312" w:eastAsia="仿宋_GB2312" w:cs="仿宋_GB2312"/>
                <w:szCs w:val="21"/>
                <w:lang w:bidi="ar"/>
              </w:rPr>
              <w:t>对</w:t>
            </w:r>
            <w:r>
              <w:rPr>
                <w:rFonts w:hint="eastAsia" w:ascii="仿宋_GB2312" w:hAnsi="仿宋_GB2312" w:eastAsia="仿宋_GB2312" w:cs="仿宋_GB2312"/>
                <w:color w:val="000000"/>
                <w:szCs w:val="20"/>
              </w:rPr>
              <w:t>鉴定机构</w:t>
            </w:r>
            <w:r>
              <w:rPr>
                <w:rFonts w:hint="eastAsia" w:ascii="仿宋_GB2312" w:hAnsi="仿宋_GB2312" w:eastAsia="仿宋_GB2312" w:cs="仿宋_GB2312"/>
                <w:szCs w:val="21"/>
                <w:lang w:bidi="ar"/>
              </w:rPr>
              <w:t>责令停业整顿，并处超过40万元、50万元以下的罚款；</w:t>
            </w:r>
          </w:p>
          <w:p>
            <w:pPr>
              <w:rPr>
                <w:rFonts w:hint="eastAsia" w:ascii="仿宋_GB2312" w:hAnsi="仿宋_GB2312" w:eastAsia="仿宋_GB2312" w:cs="仿宋_GB2312"/>
                <w:bCs/>
                <w:color w:val="000000"/>
              </w:rPr>
            </w:pPr>
            <w:r>
              <w:rPr>
                <w:rFonts w:hint="eastAsia" w:ascii="仿宋_GB2312" w:hAnsi="仿宋_GB2312" w:eastAsia="仿宋_GB2312" w:cs="仿宋_GB2312"/>
                <w:szCs w:val="21"/>
                <w:lang w:bidi="ar"/>
              </w:rPr>
              <w:t>对直接负责的主管人员和其他直接责任人员处单位罚款数额超过7.5%、10%以下的罚款</w:t>
            </w:r>
          </w:p>
        </w:tc>
      </w:tr>
    </w:tbl>
    <w:p>
      <w:pPr>
        <w:outlineLvl w:val="0"/>
        <w:rPr>
          <w:rFonts w:ascii="宋体" w:hAnsi="宋体" w:eastAsia="宋体 (正文)" w:cs="宋体"/>
          <w:color w:val="000000"/>
          <w:kern w:val="44"/>
          <w:sz w:val="32"/>
        </w:rPr>
      </w:pPr>
    </w:p>
    <w:p>
      <w:pPr>
        <w:outlineLvl w:val="0"/>
        <w:rPr>
          <w:rFonts w:hint="eastAsia" w:ascii="宋体" w:hAnsi="宋体" w:cs="宋体"/>
          <w:b/>
          <w:color w:val="000000"/>
          <w:kern w:val="44"/>
          <w:sz w:val="32"/>
        </w:rPr>
      </w:pPr>
      <w:r>
        <w:rPr>
          <w:rFonts w:hint="eastAsia" w:ascii="宋体" w:hAnsi="宋体" w:eastAsia="宋体 (正文)" w:cs="宋体"/>
          <w:color w:val="000000"/>
          <w:kern w:val="44"/>
          <w:sz w:val="32"/>
        </w:rPr>
        <w:t>《建设工程抗震管理条例》</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0"/>
        <w:gridCol w:w="1145"/>
        <w:gridCol w:w="1177"/>
        <w:gridCol w:w="2832"/>
        <w:gridCol w:w="1327"/>
        <w:gridCol w:w="1304"/>
        <w:gridCol w:w="1378"/>
        <w:gridCol w:w="40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46"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序号</w:t>
            </w:r>
          </w:p>
        </w:tc>
        <w:tc>
          <w:tcPr>
            <w:tcW w:w="404"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415"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99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468"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460"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486"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1422"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5" w:hRule="atLeast"/>
          <w:jc w:val="center"/>
        </w:trPr>
        <w:tc>
          <w:tcPr>
            <w:tcW w:w="346" w:type="pct"/>
            <w:vMerge w:val="restart"/>
            <w:vAlign w:val="center"/>
          </w:tcPr>
          <w:p>
            <w:pPr>
              <w:widowControl/>
              <w:jc w:val="center"/>
              <w:rPr>
                <w:rFonts w:hint="eastAsia" w:ascii="宋体" w:hAnsi="宋体" w:eastAsia="宋体" w:cs="黑体"/>
                <w:bCs/>
                <w:color w:val="000000"/>
                <w:kern w:val="0"/>
                <w:szCs w:val="21"/>
                <w:lang w:val="en"/>
              </w:rPr>
            </w:pPr>
            <w:r>
              <w:rPr>
                <w:rFonts w:hint="eastAsia" w:ascii="仿宋_GB2312" w:hAnsi="仿宋_GB2312" w:eastAsia="仿宋_GB2312" w:cs="仿宋_GB2312"/>
                <w:color w:val="000000"/>
                <w:kern w:val="0"/>
                <w:szCs w:val="21"/>
                <w:lang w:val="en"/>
              </w:rPr>
              <w:t>103.1</w:t>
            </w:r>
            <w:r>
              <w:rPr>
                <w:rFonts w:hint="eastAsia" w:ascii="仿宋_GB2312" w:hAnsi="仿宋_GB2312" w:eastAsia="仿宋_GB2312" w:cs="仿宋_GB2312"/>
                <w:color w:val="000000"/>
                <w:kern w:val="0"/>
                <w:szCs w:val="21"/>
              </w:rPr>
              <w:t>2</w:t>
            </w:r>
          </w:p>
        </w:tc>
        <w:tc>
          <w:tcPr>
            <w:tcW w:w="404" w:type="pct"/>
            <w:vMerge w:val="restart"/>
            <w:vAlign w:val="center"/>
          </w:tcPr>
          <w:p>
            <w:pPr>
              <w:rPr>
                <w:rFonts w:hint="eastAsia" w:ascii="宋体" w:hAnsi="宋体" w:eastAsia="宋体" w:cs="黑体"/>
                <w:bCs/>
                <w:color w:val="000000"/>
                <w:szCs w:val="21"/>
              </w:rPr>
            </w:pPr>
            <w:r>
              <w:rPr>
                <w:rFonts w:hint="eastAsia" w:ascii="仿宋_GB2312" w:hAnsi="仿宋_GB2312" w:eastAsia="仿宋_GB2312" w:cs="仿宋_GB2312"/>
                <w:color w:val="000000"/>
                <w:szCs w:val="20"/>
              </w:rPr>
              <w:t>抗震性能鉴定机构出具虚假鉴定结果的</w:t>
            </w:r>
          </w:p>
        </w:tc>
        <w:tc>
          <w:tcPr>
            <w:tcW w:w="415" w:type="pct"/>
            <w:vMerge w:val="restart"/>
            <w:vAlign w:val="center"/>
          </w:tcPr>
          <w:p>
            <w:pPr>
              <w:rPr>
                <w:rFonts w:hint="eastAsia" w:ascii="宋体" w:hAnsi="宋体" w:eastAsia="宋体" w:cs="黑体"/>
                <w:bCs/>
                <w:color w:val="000000"/>
              </w:rPr>
            </w:pPr>
            <w:r>
              <w:rPr>
                <w:rFonts w:hint="eastAsia" w:ascii="仿宋_GB2312" w:hAnsi="仿宋_GB2312" w:eastAsia="仿宋_GB2312" w:cs="仿宋_GB2312"/>
                <w:color w:val="000000"/>
                <w:szCs w:val="20"/>
              </w:rPr>
              <w:t>第二十条第二款：“抗震性能鉴定结果应当真实、客观、准确。</w:t>
            </w:r>
            <w:r>
              <w:rPr>
                <w:rFonts w:ascii="仿宋_GB2312" w:hAnsi="仿宋_GB2312" w:eastAsia="仿宋_GB2312" w:cs="仿宋_GB2312"/>
                <w:color w:val="000000"/>
                <w:szCs w:val="20"/>
              </w:rPr>
              <w:t>”</w:t>
            </w:r>
          </w:p>
        </w:tc>
        <w:tc>
          <w:tcPr>
            <w:tcW w:w="999" w:type="pct"/>
            <w:vMerge w:val="restart"/>
            <w:vAlign w:val="center"/>
          </w:tcPr>
          <w:p>
            <w:pPr>
              <w:rPr>
                <w:rFonts w:hint="eastAsia" w:ascii="仿宋_GB2312" w:hAnsi="仿宋_GB2312" w:eastAsia="仿宋_GB2312" w:cs="仿宋_GB2312"/>
                <w:color w:val="000000"/>
                <w:szCs w:val="20"/>
              </w:rPr>
            </w:pPr>
            <w:r>
              <w:rPr>
                <w:rFonts w:hint="eastAsia" w:ascii="仿宋_GB2312" w:hAnsi="仿宋_GB2312" w:eastAsia="仿宋_GB2312" w:cs="仿宋_GB2312"/>
                <w:color w:val="000000"/>
                <w:szCs w:val="20"/>
              </w:rPr>
              <w:t>第四十五条第二款:“违反本条例规定，抗震性能鉴定机构出具虚假鉴定结果的，责令改正，处10万元以上30万元以下的罚款；情节严重的，责令停业整顿，并处30万元以上50万元以下的罚款，吊销负有直接责任的注册执业人员的执业资格证书，其直接负责的主管人员和其他直接责任人员终身禁止从事抗震性能鉴定业务；造成损失的，依法承担赔偿责任。”</w:t>
            </w:r>
          </w:p>
          <w:p/>
          <w:p>
            <w:pPr>
              <w:rPr>
                <w:rFonts w:hint="eastAsia" w:ascii="宋体" w:hAnsi="宋体" w:eastAsia="宋体" w:cs="黑体"/>
                <w:bCs/>
                <w:color w:val="000000"/>
              </w:rPr>
            </w:pPr>
            <w:r>
              <w:rPr>
                <w:rFonts w:hint="eastAsia" w:ascii="仿宋_GB2312" w:hAnsi="仿宋_GB2312" w:eastAsia="仿宋_GB2312" w:cs="仿宋_GB2312"/>
                <w:color w:val="000000"/>
                <w:szCs w:val="20"/>
              </w:rPr>
              <w:t>第四十七条第一款：“依照本条例规定，给予单位罚款处罚的，对其直接负责的主管人员和其他直接责任人员处单位罚款数额5%以上10%以下的罚款。”</w:t>
            </w:r>
          </w:p>
        </w:tc>
        <w:tc>
          <w:tcPr>
            <w:tcW w:w="468" w:type="pct"/>
            <w:vMerge w:val="restart"/>
            <w:vAlign w:val="center"/>
          </w:tcPr>
          <w:p>
            <w:pPr>
              <w:rPr>
                <w:rFonts w:hint="eastAsia" w:ascii="宋体" w:hAnsi="宋体" w:eastAsia="宋体" w:cs="黑体"/>
                <w:bCs/>
                <w:color w:val="000000"/>
              </w:rPr>
            </w:pPr>
            <w:r>
              <w:rPr>
                <w:rFonts w:hint="eastAsia" w:ascii="仿宋_GB2312" w:hAnsi="仿宋_GB2312" w:eastAsia="仿宋_GB2312" w:cs="仿宋_GB2312"/>
                <w:bCs/>
                <w:color w:val="000000"/>
                <w:kern w:val="0"/>
                <w:szCs w:val="21"/>
              </w:rPr>
              <w:t>罚款；责令停产停业；吊销许可证件；限制从业</w:t>
            </w:r>
          </w:p>
        </w:tc>
        <w:tc>
          <w:tcPr>
            <w:tcW w:w="460"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从轻</w:t>
            </w:r>
          </w:p>
        </w:tc>
        <w:tc>
          <w:tcPr>
            <w:tcW w:w="486"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1"/>
              </w:rPr>
              <w:t>未造成危害后果</w:t>
            </w:r>
          </w:p>
        </w:tc>
        <w:tc>
          <w:tcPr>
            <w:tcW w:w="1422" w:type="pct"/>
            <w:vAlign w:val="center"/>
          </w:tcPr>
          <w:p>
            <w:pPr>
              <w:rPr>
                <w:rFonts w:hint="eastAsia" w:ascii="仿宋_GB2312" w:hAnsi="仿宋_GB2312" w:eastAsia="仿宋_GB2312" w:cs="仿宋_GB2312"/>
                <w:szCs w:val="21"/>
                <w:lang w:bidi="ar"/>
              </w:rPr>
            </w:pPr>
            <w:r>
              <w:rPr>
                <w:rFonts w:hint="eastAsia" w:ascii="仿宋_GB2312" w:hAnsi="仿宋_GB2312" w:eastAsia="仿宋_GB2312" w:cs="仿宋_GB2312"/>
                <w:szCs w:val="21"/>
                <w:lang w:bidi="ar"/>
              </w:rPr>
              <w:t>对鉴定机构</w:t>
            </w:r>
            <w:r>
              <w:rPr>
                <w:rFonts w:hint="eastAsia" w:ascii="仿宋_GB2312" w:hAnsi="仿宋_GB2312" w:eastAsia="仿宋_GB2312" w:cs="仿宋_GB2312"/>
                <w:bCs/>
                <w:szCs w:val="21"/>
                <w:lang w:bidi="ar"/>
              </w:rPr>
              <w:t>责令改正，</w:t>
            </w:r>
            <w:r>
              <w:rPr>
                <w:rFonts w:hint="eastAsia" w:ascii="仿宋_GB2312" w:hAnsi="仿宋_GB2312" w:eastAsia="仿宋_GB2312" w:cs="仿宋_GB2312"/>
                <w:szCs w:val="21"/>
                <w:lang w:bidi="ar"/>
              </w:rPr>
              <w:t>处10万元以上、低于20万元的罚款；</w:t>
            </w:r>
          </w:p>
          <w:p>
            <w:pPr>
              <w:rPr>
                <w:rFonts w:hint="eastAsia" w:ascii="仿宋_GB2312" w:hAnsi="仿宋_GB2312" w:eastAsia="仿宋_GB2312" w:cs="仿宋_GB2312"/>
                <w:bCs/>
                <w:color w:val="000000"/>
                <w:szCs w:val="21"/>
              </w:rPr>
            </w:pPr>
            <w:r>
              <w:rPr>
                <w:rFonts w:hint="eastAsia" w:ascii="仿宋_GB2312" w:hAnsi="仿宋_GB2312" w:eastAsia="仿宋_GB2312" w:cs="仿宋_GB2312"/>
                <w:szCs w:val="21"/>
                <w:lang w:bidi="ar"/>
              </w:rPr>
              <w:t>对单位直接负责的主管人员和其他直接责任人员处单位罚款数额5%以上、低于7.5%的罚款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8" w:hRule="atLeast"/>
          <w:jc w:val="center"/>
        </w:trPr>
        <w:tc>
          <w:tcPr>
            <w:tcW w:w="346" w:type="pct"/>
            <w:vMerge w:val="continue"/>
            <w:vAlign w:val="center"/>
          </w:tcPr>
          <w:p>
            <w:pPr>
              <w:rPr>
                <w:rFonts w:hint="eastAsia" w:ascii="宋体" w:hAnsi="宋体" w:eastAsia="宋体" w:cs="黑体"/>
                <w:bCs/>
                <w:color w:val="000000"/>
              </w:rPr>
            </w:pPr>
          </w:p>
        </w:tc>
        <w:tc>
          <w:tcPr>
            <w:tcW w:w="404" w:type="pct"/>
            <w:vMerge w:val="continue"/>
            <w:vAlign w:val="center"/>
          </w:tcPr>
          <w:p>
            <w:pPr>
              <w:rPr>
                <w:rFonts w:hint="eastAsia" w:ascii="宋体" w:hAnsi="宋体" w:eastAsia="宋体" w:cs="黑体"/>
                <w:bCs/>
                <w:color w:val="000000"/>
              </w:rPr>
            </w:pPr>
          </w:p>
        </w:tc>
        <w:tc>
          <w:tcPr>
            <w:tcW w:w="415" w:type="pct"/>
            <w:vMerge w:val="continue"/>
            <w:vAlign w:val="center"/>
          </w:tcPr>
          <w:p>
            <w:pPr>
              <w:rPr>
                <w:rFonts w:hint="eastAsia" w:ascii="宋体" w:hAnsi="宋体" w:eastAsia="宋体" w:cs="黑体"/>
                <w:bCs/>
                <w:color w:val="000000"/>
              </w:rPr>
            </w:pPr>
          </w:p>
        </w:tc>
        <w:tc>
          <w:tcPr>
            <w:tcW w:w="999"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68" w:type="pct"/>
            <w:vMerge w:val="continue"/>
            <w:vAlign w:val="center"/>
          </w:tcPr>
          <w:p>
            <w:pPr>
              <w:jc w:val="center"/>
              <w:rPr>
                <w:rFonts w:hint="eastAsia" w:ascii="宋体" w:hAnsi="宋体" w:eastAsia="宋体" w:cs="黑体"/>
                <w:bCs/>
                <w:color w:val="000000"/>
              </w:rPr>
            </w:pPr>
          </w:p>
        </w:tc>
        <w:tc>
          <w:tcPr>
            <w:tcW w:w="460"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一般</w:t>
            </w:r>
          </w:p>
        </w:tc>
        <w:tc>
          <w:tcPr>
            <w:tcW w:w="486"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1"/>
              </w:rPr>
              <w:t>造成轻微危害后果的</w:t>
            </w:r>
          </w:p>
        </w:tc>
        <w:tc>
          <w:tcPr>
            <w:tcW w:w="1422" w:type="pct"/>
            <w:vAlign w:val="center"/>
          </w:tcPr>
          <w:p>
            <w:pPr>
              <w:rPr>
                <w:rFonts w:hint="eastAsia" w:ascii="仿宋_GB2312" w:hAnsi="仿宋_GB2312" w:eastAsia="仿宋_GB2312" w:cs="仿宋_GB2312"/>
                <w:szCs w:val="21"/>
                <w:lang w:bidi="ar"/>
              </w:rPr>
            </w:pPr>
            <w:r>
              <w:rPr>
                <w:rFonts w:hint="eastAsia" w:ascii="仿宋_GB2312" w:hAnsi="仿宋_GB2312" w:eastAsia="仿宋_GB2312" w:cs="仿宋_GB2312"/>
                <w:szCs w:val="21"/>
                <w:lang w:bidi="ar"/>
              </w:rPr>
              <w:t>对鉴定机构</w:t>
            </w:r>
            <w:r>
              <w:rPr>
                <w:rFonts w:hint="eastAsia" w:ascii="仿宋_GB2312" w:hAnsi="仿宋_GB2312" w:eastAsia="仿宋_GB2312" w:cs="仿宋_GB2312"/>
                <w:bCs/>
                <w:szCs w:val="21"/>
                <w:lang w:bidi="ar"/>
              </w:rPr>
              <w:t>责令改正，</w:t>
            </w:r>
            <w:r>
              <w:rPr>
                <w:rFonts w:hint="eastAsia" w:ascii="仿宋_GB2312" w:hAnsi="仿宋_GB2312" w:eastAsia="仿宋_GB2312" w:cs="仿宋_GB2312"/>
                <w:szCs w:val="21"/>
                <w:lang w:bidi="ar"/>
              </w:rPr>
              <w:t>处20万元的罚款；</w:t>
            </w:r>
          </w:p>
          <w:p>
            <w:pPr>
              <w:rPr>
                <w:rFonts w:hint="eastAsia" w:ascii="仿宋_GB2312" w:hAnsi="仿宋_GB2312" w:eastAsia="仿宋_GB2312" w:cs="仿宋_GB2312"/>
                <w:bCs/>
                <w:color w:val="000000"/>
              </w:rPr>
            </w:pPr>
            <w:r>
              <w:rPr>
                <w:rFonts w:hint="eastAsia" w:ascii="仿宋_GB2312" w:hAnsi="仿宋_GB2312" w:eastAsia="仿宋_GB2312" w:cs="仿宋_GB2312"/>
                <w:szCs w:val="21"/>
                <w:lang w:bidi="ar"/>
              </w:rPr>
              <w:t>对单位直接负责的主管人员和其他直接责任人员处单位罚款数额7.5%的罚款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85" w:hRule="atLeast"/>
          <w:jc w:val="center"/>
        </w:trPr>
        <w:tc>
          <w:tcPr>
            <w:tcW w:w="346" w:type="pct"/>
            <w:vMerge w:val="continue"/>
            <w:vAlign w:val="center"/>
          </w:tcPr>
          <w:p>
            <w:pPr>
              <w:rPr>
                <w:rFonts w:hint="eastAsia" w:ascii="宋体" w:hAnsi="宋体" w:eastAsia="宋体" w:cs="黑体"/>
                <w:bCs/>
                <w:color w:val="000000"/>
              </w:rPr>
            </w:pPr>
          </w:p>
        </w:tc>
        <w:tc>
          <w:tcPr>
            <w:tcW w:w="404" w:type="pct"/>
            <w:vMerge w:val="continue"/>
            <w:vAlign w:val="center"/>
          </w:tcPr>
          <w:p>
            <w:pPr>
              <w:rPr>
                <w:rFonts w:hint="eastAsia" w:ascii="宋体" w:hAnsi="宋体" w:eastAsia="宋体" w:cs="黑体"/>
                <w:bCs/>
                <w:color w:val="000000"/>
              </w:rPr>
            </w:pPr>
          </w:p>
        </w:tc>
        <w:tc>
          <w:tcPr>
            <w:tcW w:w="415" w:type="pct"/>
            <w:vMerge w:val="continue"/>
            <w:vAlign w:val="center"/>
          </w:tcPr>
          <w:p>
            <w:pPr>
              <w:rPr>
                <w:rFonts w:hint="eastAsia" w:ascii="宋体" w:hAnsi="宋体" w:eastAsia="宋体" w:cs="黑体"/>
                <w:bCs/>
                <w:color w:val="000000"/>
              </w:rPr>
            </w:pPr>
          </w:p>
        </w:tc>
        <w:tc>
          <w:tcPr>
            <w:tcW w:w="999"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68" w:type="pct"/>
            <w:vMerge w:val="continue"/>
            <w:vAlign w:val="center"/>
          </w:tcPr>
          <w:p>
            <w:pPr>
              <w:jc w:val="center"/>
              <w:rPr>
                <w:rFonts w:hint="eastAsia" w:ascii="宋体" w:hAnsi="宋体" w:eastAsia="宋体" w:cs="黑体"/>
                <w:bCs/>
                <w:color w:val="000000"/>
              </w:rPr>
            </w:pPr>
          </w:p>
        </w:tc>
        <w:tc>
          <w:tcPr>
            <w:tcW w:w="460"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从重</w:t>
            </w:r>
          </w:p>
        </w:tc>
        <w:tc>
          <w:tcPr>
            <w:tcW w:w="486"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1"/>
              </w:rPr>
              <w:t>造成一般危害后果的</w:t>
            </w:r>
          </w:p>
        </w:tc>
        <w:tc>
          <w:tcPr>
            <w:tcW w:w="1422" w:type="pct"/>
            <w:vAlign w:val="center"/>
          </w:tcPr>
          <w:p>
            <w:pPr>
              <w:rPr>
                <w:rFonts w:hint="eastAsia" w:ascii="仿宋_GB2312" w:hAnsi="仿宋_GB2312" w:eastAsia="仿宋_GB2312" w:cs="仿宋_GB2312"/>
                <w:szCs w:val="21"/>
                <w:lang w:bidi="ar"/>
              </w:rPr>
            </w:pPr>
            <w:r>
              <w:rPr>
                <w:rFonts w:hint="eastAsia" w:ascii="仿宋_GB2312" w:hAnsi="仿宋_GB2312" w:eastAsia="仿宋_GB2312" w:cs="仿宋_GB2312"/>
                <w:szCs w:val="21"/>
                <w:lang w:bidi="ar"/>
              </w:rPr>
              <w:t>对鉴定机构责令改正，处超过20万元、30万元以下的罚款；</w:t>
            </w:r>
          </w:p>
          <w:p>
            <w:pPr>
              <w:rPr>
                <w:rFonts w:hint="eastAsia" w:ascii="仿宋_GB2312" w:hAnsi="仿宋_GB2312" w:eastAsia="仿宋_GB2312" w:cs="仿宋_GB2312"/>
                <w:bCs/>
                <w:color w:val="000000"/>
              </w:rPr>
            </w:pPr>
            <w:r>
              <w:rPr>
                <w:rFonts w:hint="eastAsia" w:ascii="仿宋_GB2312" w:hAnsi="仿宋_GB2312" w:eastAsia="仿宋_GB2312" w:cs="仿宋_GB2312"/>
                <w:szCs w:val="21"/>
                <w:lang w:bidi="ar"/>
              </w:rPr>
              <w:t>对单位直接负责的主管人员和其他直接责任人员处单位罚款数额超过7.5%、10%以下的罚款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92" w:hRule="atLeast"/>
          <w:jc w:val="center"/>
        </w:trPr>
        <w:tc>
          <w:tcPr>
            <w:tcW w:w="346" w:type="pct"/>
            <w:vMerge w:val="continue"/>
            <w:vAlign w:val="center"/>
          </w:tcPr>
          <w:p>
            <w:pPr>
              <w:rPr>
                <w:rFonts w:hint="eastAsia" w:ascii="宋体" w:hAnsi="宋体" w:eastAsia="宋体" w:cs="黑体"/>
                <w:bCs/>
                <w:color w:val="000000"/>
              </w:rPr>
            </w:pPr>
          </w:p>
        </w:tc>
        <w:tc>
          <w:tcPr>
            <w:tcW w:w="404" w:type="pct"/>
            <w:vMerge w:val="continue"/>
            <w:vAlign w:val="center"/>
          </w:tcPr>
          <w:p>
            <w:pPr>
              <w:rPr>
                <w:rFonts w:hint="eastAsia" w:ascii="宋体" w:hAnsi="宋体" w:eastAsia="宋体" w:cs="黑体"/>
                <w:bCs/>
                <w:color w:val="000000"/>
              </w:rPr>
            </w:pPr>
          </w:p>
        </w:tc>
        <w:tc>
          <w:tcPr>
            <w:tcW w:w="415" w:type="pct"/>
            <w:vMerge w:val="continue"/>
            <w:vAlign w:val="center"/>
          </w:tcPr>
          <w:p>
            <w:pPr>
              <w:rPr>
                <w:rFonts w:hint="eastAsia" w:ascii="宋体" w:hAnsi="宋体" w:eastAsia="宋体" w:cs="黑体"/>
                <w:bCs/>
                <w:color w:val="000000"/>
              </w:rPr>
            </w:pPr>
          </w:p>
        </w:tc>
        <w:tc>
          <w:tcPr>
            <w:tcW w:w="999"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68" w:type="pct"/>
            <w:vMerge w:val="continue"/>
            <w:vAlign w:val="center"/>
          </w:tcPr>
          <w:p>
            <w:pPr>
              <w:jc w:val="center"/>
              <w:rPr>
                <w:rFonts w:hint="eastAsia" w:ascii="宋体" w:hAnsi="宋体" w:eastAsia="宋体" w:cs="黑体"/>
                <w:bCs/>
                <w:color w:val="000000"/>
              </w:rPr>
            </w:pPr>
          </w:p>
        </w:tc>
        <w:tc>
          <w:tcPr>
            <w:tcW w:w="460"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从轻</w:t>
            </w:r>
          </w:p>
        </w:tc>
        <w:tc>
          <w:tcPr>
            <w:tcW w:w="486"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1"/>
              </w:rPr>
              <w:t>造成严重危害后果未造成质量安全事故的</w:t>
            </w:r>
          </w:p>
        </w:tc>
        <w:tc>
          <w:tcPr>
            <w:tcW w:w="1422" w:type="pct"/>
            <w:vAlign w:val="center"/>
          </w:tcPr>
          <w:p>
            <w:pPr>
              <w:rPr>
                <w:rFonts w:hint="eastAsia" w:ascii="仿宋_GB2312" w:hAnsi="仿宋_GB2312" w:eastAsia="仿宋_GB2312" w:cs="仿宋_GB2312"/>
                <w:szCs w:val="21"/>
                <w:lang w:bidi="ar"/>
              </w:rPr>
            </w:pPr>
            <w:r>
              <w:rPr>
                <w:rFonts w:hint="eastAsia" w:ascii="仿宋_GB2312" w:hAnsi="仿宋_GB2312" w:eastAsia="仿宋_GB2312" w:cs="仿宋_GB2312"/>
                <w:szCs w:val="21"/>
                <w:lang w:bidi="ar"/>
              </w:rPr>
              <w:t>对鉴定机构责令停业整顿，并处30万元以上、40万元以下的罚款</w:t>
            </w:r>
            <w:r>
              <w:rPr>
                <w:rFonts w:hint="eastAsia" w:ascii="仿宋_GB2312" w:hAnsi="仿宋_GB2312" w:eastAsia="仿宋_GB2312" w:cs="仿宋_GB2312"/>
                <w:color w:val="000000"/>
                <w:szCs w:val="20"/>
              </w:rPr>
              <w:t>，吊销负有直接责任的注册执业人员的执业资格证书</w:t>
            </w:r>
            <w:r>
              <w:rPr>
                <w:rFonts w:hint="eastAsia" w:ascii="仿宋_GB2312" w:hAnsi="仿宋_GB2312" w:eastAsia="仿宋_GB2312" w:cs="仿宋_GB2312"/>
                <w:szCs w:val="21"/>
                <w:lang w:bidi="ar"/>
              </w:rPr>
              <w:t>；</w:t>
            </w:r>
          </w:p>
          <w:p>
            <w:pPr>
              <w:rPr>
                <w:rFonts w:hint="eastAsia" w:ascii="仿宋_GB2312" w:hAnsi="仿宋_GB2312" w:eastAsia="仿宋_GB2312" w:cs="仿宋_GB2312"/>
                <w:bCs/>
                <w:color w:val="000000"/>
              </w:rPr>
            </w:pPr>
            <w:r>
              <w:rPr>
                <w:rFonts w:hint="eastAsia" w:ascii="仿宋_GB2312" w:hAnsi="仿宋_GB2312" w:eastAsia="仿宋_GB2312" w:cs="仿宋_GB2312"/>
                <w:szCs w:val="21"/>
                <w:lang w:bidi="ar"/>
              </w:rPr>
              <w:t>对直接负责的主管人员和其他直接责任人员处单位罚款数额5%以上、低于7.5%的罚款，</w:t>
            </w:r>
            <w:r>
              <w:rPr>
                <w:rFonts w:hint="eastAsia" w:ascii="仿宋_GB2312" w:hAnsi="仿宋_GB2312" w:eastAsia="仿宋_GB2312" w:cs="仿宋_GB2312"/>
                <w:color w:val="000000"/>
                <w:szCs w:val="20"/>
              </w:rPr>
              <w:t>终身禁止从事抗震性能鉴定业务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47" w:hRule="atLeast"/>
          <w:jc w:val="center"/>
        </w:trPr>
        <w:tc>
          <w:tcPr>
            <w:tcW w:w="346" w:type="pct"/>
            <w:vMerge w:val="continue"/>
            <w:vAlign w:val="center"/>
          </w:tcPr>
          <w:p>
            <w:pPr>
              <w:rPr>
                <w:rFonts w:hint="eastAsia" w:ascii="宋体" w:hAnsi="宋体" w:eastAsia="宋体" w:cs="黑体"/>
                <w:bCs/>
                <w:color w:val="000000"/>
              </w:rPr>
            </w:pPr>
          </w:p>
        </w:tc>
        <w:tc>
          <w:tcPr>
            <w:tcW w:w="404" w:type="pct"/>
            <w:vMerge w:val="continue"/>
            <w:vAlign w:val="center"/>
          </w:tcPr>
          <w:p>
            <w:pPr>
              <w:rPr>
                <w:rFonts w:hint="eastAsia" w:ascii="宋体" w:hAnsi="宋体" w:eastAsia="宋体" w:cs="黑体"/>
                <w:bCs/>
                <w:color w:val="000000"/>
              </w:rPr>
            </w:pPr>
          </w:p>
        </w:tc>
        <w:tc>
          <w:tcPr>
            <w:tcW w:w="415" w:type="pct"/>
            <w:vMerge w:val="continue"/>
            <w:vAlign w:val="center"/>
          </w:tcPr>
          <w:p>
            <w:pPr>
              <w:rPr>
                <w:rFonts w:hint="eastAsia" w:ascii="宋体" w:hAnsi="宋体" w:eastAsia="宋体" w:cs="黑体"/>
                <w:bCs/>
                <w:color w:val="000000"/>
              </w:rPr>
            </w:pPr>
          </w:p>
        </w:tc>
        <w:tc>
          <w:tcPr>
            <w:tcW w:w="999"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68" w:type="pct"/>
            <w:vMerge w:val="continue"/>
            <w:vAlign w:val="center"/>
          </w:tcPr>
          <w:p>
            <w:pPr>
              <w:jc w:val="center"/>
              <w:rPr>
                <w:rFonts w:hint="eastAsia" w:ascii="宋体" w:hAnsi="宋体" w:eastAsia="宋体" w:cs="黑体"/>
                <w:bCs/>
                <w:color w:val="000000"/>
              </w:rPr>
            </w:pPr>
          </w:p>
        </w:tc>
        <w:tc>
          <w:tcPr>
            <w:tcW w:w="460"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一般</w:t>
            </w:r>
          </w:p>
        </w:tc>
        <w:tc>
          <w:tcPr>
            <w:tcW w:w="486"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1"/>
              </w:rPr>
              <w:t>造成一般质量安全事故的</w:t>
            </w:r>
          </w:p>
        </w:tc>
        <w:tc>
          <w:tcPr>
            <w:tcW w:w="1422" w:type="pct"/>
            <w:vAlign w:val="center"/>
          </w:tcPr>
          <w:p>
            <w:pPr>
              <w:rPr>
                <w:rFonts w:hint="eastAsia" w:ascii="仿宋_GB2312" w:hAnsi="仿宋_GB2312" w:eastAsia="仿宋_GB2312" w:cs="仿宋_GB2312"/>
                <w:szCs w:val="21"/>
                <w:lang w:bidi="ar"/>
              </w:rPr>
            </w:pPr>
            <w:r>
              <w:rPr>
                <w:rFonts w:hint="eastAsia" w:ascii="仿宋_GB2312" w:hAnsi="仿宋_GB2312" w:eastAsia="仿宋_GB2312" w:cs="仿宋_GB2312"/>
                <w:szCs w:val="21"/>
                <w:lang w:bidi="ar"/>
              </w:rPr>
              <w:t>对鉴定机构责令停业整顿，并处40万元的罚款</w:t>
            </w:r>
            <w:r>
              <w:rPr>
                <w:rFonts w:hint="eastAsia" w:ascii="仿宋_GB2312" w:hAnsi="仿宋_GB2312" w:eastAsia="仿宋_GB2312" w:cs="仿宋_GB2312"/>
                <w:color w:val="000000"/>
                <w:szCs w:val="20"/>
              </w:rPr>
              <w:t>，吊销负有直接责任的注册执业人员的执业资格证书</w:t>
            </w:r>
            <w:r>
              <w:rPr>
                <w:rFonts w:hint="eastAsia" w:ascii="仿宋_GB2312" w:hAnsi="仿宋_GB2312" w:eastAsia="仿宋_GB2312" w:cs="仿宋_GB2312"/>
                <w:szCs w:val="21"/>
                <w:lang w:bidi="ar"/>
              </w:rPr>
              <w:t>；</w:t>
            </w:r>
          </w:p>
          <w:p>
            <w:pPr>
              <w:rPr>
                <w:rFonts w:hint="eastAsia" w:ascii="仿宋_GB2312" w:hAnsi="仿宋_GB2312" w:eastAsia="仿宋_GB2312" w:cs="仿宋_GB2312"/>
                <w:bCs/>
                <w:color w:val="000000"/>
              </w:rPr>
            </w:pPr>
            <w:r>
              <w:rPr>
                <w:rFonts w:hint="eastAsia" w:ascii="仿宋_GB2312" w:hAnsi="仿宋_GB2312" w:eastAsia="仿宋_GB2312" w:cs="仿宋_GB2312"/>
                <w:szCs w:val="21"/>
                <w:lang w:bidi="ar"/>
              </w:rPr>
              <w:t>对直接负责的主管人员和其他直接责任人员处单位罚款数额7.5%的罚款，</w:t>
            </w:r>
            <w:r>
              <w:rPr>
                <w:rFonts w:hint="eastAsia" w:ascii="仿宋_GB2312" w:hAnsi="仿宋_GB2312" w:eastAsia="仿宋_GB2312" w:cs="仿宋_GB2312"/>
                <w:color w:val="000000"/>
                <w:szCs w:val="20"/>
              </w:rPr>
              <w:t>终身禁止从事抗震性能鉴定业务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6" w:hRule="atLeast"/>
          <w:jc w:val="center"/>
        </w:trPr>
        <w:tc>
          <w:tcPr>
            <w:tcW w:w="346" w:type="pct"/>
            <w:vMerge w:val="continue"/>
            <w:vAlign w:val="center"/>
          </w:tcPr>
          <w:p>
            <w:pPr>
              <w:rPr>
                <w:rFonts w:hint="eastAsia" w:ascii="宋体" w:hAnsi="宋体" w:eastAsia="宋体" w:cs="黑体"/>
                <w:bCs/>
                <w:color w:val="000000"/>
              </w:rPr>
            </w:pPr>
          </w:p>
        </w:tc>
        <w:tc>
          <w:tcPr>
            <w:tcW w:w="404" w:type="pct"/>
            <w:vMerge w:val="continue"/>
            <w:vAlign w:val="center"/>
          </w:tcPr>
          <w:p>
            <w:pPr>
              <w:rPr>
                <w:rFonts w:hint="eastAsia" w:ascii="宋体" w:hAnsi="宋体" w:eastAsia="宋体" w:cs="黑体"/>
                <w:bCs/>
                <w:color w:val="000000"/>
              </w:rPr>
            </w:pPr>
          </w:p>
        </w:tc>
        <w:tc>
          <w:tcPr>
            <w:tcW w:w="415" w:type="pct"/>
            <w:vMerge w:val="continue"/>
            <w:vAlign w:val="center"/>
          </w:tcPr>
          <w:p>
            <w:pPr>
              <w:rPr>
                <w:rFonts w:hint="eastAsia" w:ascii="宋体" w:hAnsi="宋体" w:eastAsia="宋体" w:cs="黑体"/>
                <w:bCs/>
                <w:color w:val="000000"/>
              </w:rPr>
            </w:pPr>
          </w:p>
        </w:tc>
        <w:tc>
          <w:tcPr>
            <w:tcW w:w="999"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68" w:type="pct"/>
            <w:vMerge w:val="continue"/>
            <w:vAlign w:val="center"/>
          </w:tcPr>
          <w:p>
            <w:pPr>
              <w:jc w:val="center"/>
              <w:rPr>
                <w:rFonts w:hint="eastAsia" w:ascii="宋体" w:hAnsi="宋体" w:eastAsia="宋体" w:cs="黑体"/>
                <w:bCs/>
                <w:color w:val="000000"/>
              </w:rPr>
            </w:pPr>
          </w:p>
        </w:tc>
        <w:tc>
          <w:tcPr>
            <w:tcW w:w="460"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从重</w:t>
            </w:r>
          </w:p>
        </w:tc>
        <w:tc>
          <w:tcPr>
            <w:tcW w:w="486"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1"/>
              </w:rPr>
              <w:t>造成较大及以上质量安全事故的</w:t>
            </w:r>
          </w:p>
        </w:tc>
        <w:tc>
          <w:tcPr>
            <w:tcW w:w="1422" w:type="pct"/>
            <w:vAlign w:val="center"/>
          </w:tcPr>
          <w:p>
            <w:pPr>
              <w:rPr>
                <w:rFonts w:hint="eastAsia" w:ascii="仿宋_GB2312" w:hAnsi="仿宋_GB2312" w:eastAsia="仿宋_GB2312" w:cs="仿宋_GB2312"/>
                <w:szCs w:val="21"/>
                <w:lang w:bidi="ar"/>
              </w:rPr>
            </w:pPr>
            <w:r>
              <w:rPr>
                <w:rFonts w:hint="eastAsia" w:ascii="仿宋_GB2312" w:hAnsi="仿宋_GB2312" w:eastAsia="仿宋_GB2312" w:cs="仿宋_GB2312"/>
                <w:szCs w:val="21"/>
                <w:lang w:bidi="ar"/>
              </w:rPr>
              <w:t>对鉴定机构责令停业整顿，并处超过40万元、50万元以下的罚款</w:t>
            </w:r>
            <w:r>
              <w:rPr>
                <w:rFonts w:hint="eastAsia" w:ascii="仿宋_GB2312" w:hAnsi="仿宋_GB2312" w:eastAsia="仿宋_GB2312" w:cs="仿宋_GB2312"/>
                <w:color w:val="000000"/>
                <w:szCs w:val="20"/>
              </w:rPr>
              <w:t>，吊销负有直接责任的注册执业人员的执业资格证书</w:t>
            </w:r>
            <w:r>
              <w:rPr>
                <w:rFonts w:hint="eastAsia" w:ascii="仿宋_GB2312" w:hAnsi="仿宋_GB2312" w:eastAsia="仿宋_GB2312" w:cs="仿宋_GB2312"/>
                <w:szCs w:val="21"/>
                <w:lang w:bidi="ar"/>
              </w:rPr>
              <w:t>；</w:t>
            </w:r>
          </w:p>
          <w:p>
            <w:pPr>
              <w:rPr>
                <w:rFonts w:hint="eastAsia" w:ascii="仿宋_GB2312" w:hAnsi="仿宋_GB2312" w:eastAsia="仿宋_GB2312" w:cs="仿宋_GB2312"/>
                <w:bCs/>
                <w:color w:val="000000"/>
              </w:rPr>
            </w:pPr>
            <w:r>
              <w:rPr>
                <w:rFonts w:hint="eastAsia" w:ascii="仿宋_GB2312" w:hAnsi="仿宋_GB2312" w:eastAsia="仿宋_GB2312" w:cs="仿宋_GB2312"/>
                <w:szCs w:val="21"/>
                <w:lang w:bidi="ar"/>
              </w:rPr>
              <w:t>对直接负责的主管人员和其他直接责任人员处单位罚款数额超过7.5%、10%以下的罚款，</w:t>
            </w:r>
            <w:r>
              <w:rPr>
                <w:rFonts w:hint="eastAsia" w:ascii="仿宋_GB2312" w:hAnsi="仿宋_GB2312" w:eastAsia="仿宋_GB2312" w:cs="仿宋_GB2312"/>
                <w:color w:val="000000"/>
                <w:szCs w:val="20"/>
              </w:rPr>
              <w:t>终身禁止从事抗震性能鉴定业务</w:t>
            </w:r>
          </w:p>
        </w:tc>
      </w:tr>
    </w:tbl>
    <w:p>
      <w:pPr>
        <w:pStyle w:val="2"/>
        <w:outlineLvl w:val="0"/>
        <w:rPr>
          <w:rFonts w:ascii="宋体" w:hAnsi="宋体" w:eastAsia="宋体 (正文)" w:cs="宋体"/>
          <w:color w:val="000000"/>
          <w:kern w:val="44"/>
          <w:sz w:val="32"/>
        </w:rPr>
      </w:pPr>
    </w:p>
    <w:p>
      <w:pPr>
        <w:outlineLvl w:val="0"/>
        <w:rPr>
          <w:rFonts w:hint="eastAsia" w:ascii="宋体" w:hAnsi="宋体" w:cs="宋体"/>
          <w:b/>
          <w:kern w:val="44"/>
          <w:sz w:val="32"/>
          <w:szCs w:val="20"/>
        </w:rPr>
      </w:pPr>
      <w:r>
        <w:rPr>
          <w:rFonts w:hint="eastAsia" w:ascii="宋体" w:hAnsi="宋体" w:eastAsia="宋体 (正文)" w:cs="宋体"/>
          <w:color w:val="000000"/>
          <w:kern w:val="44"/>
          <w:sz w:val="32"/>
        </w:rPr>
        <w:t>《建设工程抗震管理条例》</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70"/>
        <w:gridCol w:w="1256"/>
        <w:gridCol w:w="1367"/>
        <w:gridCol w:w="2886"/>
        <w:gridCol w:w="1202"/>
        <w:gridCol w:w="1145"/>
        <w:gridCol w:w="1199"/>
        <w:gridCol w:w="404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blHeader/>
          <w:jc w:val="center"/>
        </w:trPr>
        <w:tc>
          <w:tcPr>
            <w:tcW w:w="378" w:type="pct"/>
            <w:vAlign w:val="center"/>
          </w:tcPr>
          <w:p>
            <w:pPr>
              <w:jc w:val="center"/>
              <w:rPr>
                <w:rFonts w:hint="eastAsia" w:ascii="仿宋_GB2312" w:hAnsi="仿宋_GB2312" w:eastAsia="仿宋_GB2312" w:cs="仿宋_GB2312"/>
                <w:b/>
                <w:bCs/>
                <w:color w:val="000000"/>
                <w:kern w:val="0"/>
                <w:szCs w:val="21"/>
              </w:rPr>
            </w:pPr>
            <w:r>
              <w:rPr>
                <w:rFonts w:hint="eastAsia" w:ascii="仿宋_GB2312" w:hAnsi="仿宋_GB2312" w:eastAsia="仿宋_GB2312" w:cs="仿宋_GB2312"/>
                <w:b/>
              </w:rPr>
              <w:t>序号</w:t>
            </w:r>
          </w:p>
        </w:tc>
        <w:tc>
          <w:tcPr>
            <w:tcW w:w="443" w:type="pct"/>
            <w:vAlign w:val="center"/>
          </w:tcPr>
          <w:p>
            <w:pPr>
              <w:jc w:val="center"/>
              <w:rPr>
                <w:rFonts w:hint="eastAsia" w:ascii="仿宋_GB2312" w:hAnsi="仿宋_GB2312" w:eastAsia="仿宋_GB2312" w:cs="仿宋_GB2312"/>
                <w:b/>
                <w:bCs/>
                <w:color w:val="000000"/>
                <w:kern w:val="0"/>
                <w:szCs w:val="21"/>
              </w:rPr>
            </w:pPr>
            <w:r>
              <w:rPr>
                <w:rFonts w:hint="eastAsia" w:ascii="仿宋_GB2312" w:hAnsi="仿宋_GB2312" w:eastAsia="仿宋_GB2312" w:cs="仿宋_GB2312"/>
                <w:b/>
              </w:rPr>
              <w:t>违法行为</w:t>
            </w:r>
          </w:p>
        </w:tc>
        <w:tc>
          <w:tcPr>
            <w:tcW w:w="482" w:type="pct"/>
            <w:vAlign w:val="center"/>
          </w:tcPr>
          <w:p>
            <w:pPr>
              <w:jc w:val="center"/>
              <w:rPr>
                <w:rFonts w:hint="eastAsia" w:ascii="仿宋_GB2312" w:hAnsi="仿宋_GB2312" w:eastAsia="仿宋_GB2312" w:cs="仿宋_GB2312"/>
                <w:b/>
                <w:bCs/>
                <w:color w:val="000000"/>
                <w:kern w:val="0"/>
                <w:szCs w:val="21"/>
                <w:lang w:val="en"/>
              </w:rPr>
            </w:pPr>
            <w:r>
              <w:rPr>
                <w:rFonts w:hint="eastAsia" w:ascii="仿宋_GB2312" w:hAnsi="仿宋_GB2312" w:eastAsia="仿宋_GB2312" w:cs="仿宋_GB2312"/>
                <w:b/>
                <w:lang w:val="en"/>
              </w:rPr>
              <w:t>违反条款</w:t>
            </w:r>
          </w:p>
        </w:tc>
        <w:tc>
          <w:tcPr>
            <w:tcW w:w="1018" w:type="pct"/>
            <w:vAlign w:val="center"/>
          </w:tcPr>
          <w:p>
            <w:pPr>
              <w:jc w:val="center"/>
              <w:rPr>
                <w:rFonts w:hint="eastAsia" w:ascii="仿宋_GB2312" w:hAnsi="仿宋_GB2312" w:eastAsia="仿宋_GB2312" w:cs="仿宋_GB2312"/>
                <w:b/>
                <w:bCs/>
                <w:color w:val="000000"/>
                <w:kern w:val="0"/>
                <w:szCs w:val="21"/>
              </w:rPr>
            </w:pPr>
            <w:r>
              <w:rPr>
                <w:rFonts w:hint="eastAsia" w:ascii="仿宋_GB2312" w:hAnsi="仿宋_GB2312" w:eastAsia="仿宋_GB2312" w:cs="仿宋_GB2312"/>
                <w:b/>
              </w:rPr>
              <w:t>处罚依据</w:t>
            </w:r>
          </w:p>
        </w:tc>
        <w:tc>
          <w:tcPr>
            <w:tcW w:w="424" w:type="pct"/>
            <w:vAlign w:val="center"/>
          </w:tcPr>
          <w:p>
            <w:pPr>
              <w:jc w:val="center"/>
              <w:rPr>
                <w:rFonts w:hint="eastAsia" w:ascii="仿宋_GB2312" w:hAnsi="仿宋_GB2312" w:eastAsia="仿宋_GB2312" w:cs="仿宋_GB2312"/>
                <w:b/>
                <w:bCs/>
                <w:color w:val="000000"/>
                <w:kern w:val="0"/>
                <w:szCs w:val="21"/>
              </w:rPr>
            </w:pPr>
            <w:r>
              <w:rPr>
                <w:rFonts w:hint="eastAsia" w:ascii="仿宋_GB2312" w:hAnsi="仿宋_GB2312" w:eastAsia="仿宋_GB2312" w:cs="仿宋_GB2312"/>
                <w:b/>
              </w:rPr>
              <w:t>处罚种类</w:t>
            </w:r>
          </w:p>
        </w:tc>
        <w:tc>
          <w:tcPr>
            <w:tcW w:w="404" w:type="pct"/>
            <w:vAlign w:val="center"/>
          </w:tcPr>
          <w:p>
            <w:pPr>
              <w:jc w:val="center"/>
              <w:rPr>
                <w:rFonts w:hint="eastAsia" w:ascii="仿宋_GB2312" w:hAnsi="仿宋_GB2312" w:eastAsia="仿宋_GB2312" w:cs="仿宋_GB2312"/>
                <w:b/>
                <w:bCs/>
                <w:color w:val="000000"/>
                <w:kern w:val="0"/>
                <w:szCs w:val="21"/>
              </w:rPr>
            </w:pPr>
            <w:r>
              <w:rPr>
                <w:rFonts w:hint="eastAsia" w:ascii="仿宋_GB2312" w:hAnsi="仿宋_GB2312" w:eastAsia="仿宋_GB2312" w:cs="仿宋_GB2312"/>
                <w:b/>
              </w:rPr>
              <w:t>裁量阶次</w:t>
            </w:r>
          </w:p>
        </w:tc>
        <w:tc>
          <w:tcPr>
            <w:tcW w:w="423" w:type="pct"/>
            <w:vAlign w:val="center"/>
          </w:tcPr>
          <w:p>
            <w:pPr>
              <w:jc w:val="center"/>
              <w:rPr>
                <w:rFonts w:hint="eastAsia" w:ascii="仿宋_GB2312" w:hAnsi="仿宋_GB2312" w:eastAsia="仿宋_GB2312" w:cs="仿宋_GB2312"/>
                <w:b/>
                <w:bCs/>
                <w:color w:val="000000"/>
                <w:kern w:val="0"/>
                <w:szCs w:val="21"/>
              </w:rPr>
            </w:pPr>
            <w:r>
              <w:rPr>
                <w:rFonts w:hint="eastAsia" w:ascii="仿宋_GB2312" w:hAnsi="仿宋_GB2312" w:eastAsia="仿宋_GB2312" w:cs="仿宋_GB2312"/>
                <w:b/>
              </w:rPr>
              <w:t>适用条件</w:t>
            </w:r>
          </w:p>
        </w:tc>
        <w:tc>
          <w:tcPr>
            <w:tcW w:w="1428" w:type="pct"/>
            <w:vAlign w:val="center"/>
          </w:tcPr>
          <w:p>
            <w:pPr>
              <w:jc w:val="center"/>
              <w:rPr>
                <w:rFonts w:hint="eastAsia" w:ascii="仿宋_GB2312" w:hAnsi="仿宋_GB2312" w:eastAsia="仿宋_GB2312" w:cs="仿宋_GB2312"/>
                <w:color w:val="000000"/>
                <w:szCs w:val="20"/>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378" w:type="pct"/>
            <w:vMerge w:val="restart"/>
            <w:vAlign w:val="center"/>
          </w:tcPr>
          <w:p>
            <w:pPr>
              <w:widowControl/>
              <w:jc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lang w:val="en"/>
              </w:rPr>
              <w:t>103.1</w:t>
            </w:r>
            <w:r>
              <w:rPr>
                <w:rFonts w:hint="eastAsia" w:ascii="仿宋_GB2312" w:hAnsi="仿宋_GB2312" w:eastAsia="仿宋_GB2312" w:cs="仿宋_GB2312"/>
                <w:color w:val="000000"/>
                <w:kern w:val="0"/>
                <w:szCs w:val="21"/>
              </w:rPr>
              <w:t>3</w:t>
            </w:r>
          </w:p>
        </w:tc>
        <w:tc>
          <w:tcPr>
            <w:tcW w:w="443" w:type="pct"/>
            <w:vMerge w:val="restart"/>
            <w:vAlign w:val="center"/>
          </w:tcPr>
          <w:p>
            <w:pPr>
              <w:rPr>
                <w:rFonts w:hint="eastAsia" w:ascii="仿宋_GB2312" w:hAnsi="仿宋_GB2312" w:eastAsia="仿宋_GB2312" w:cs="仿宋_GB2312"/>
                <w:b/>
                <w:color w:val="000000"/>
                <w:szCs w:val="21"/>
              </w:rPr>
            </w:pPr>
            <w:r>
              <w:rPr>
                <w:rFonts w:hint="eastAsia" w:ascii="仿宋_GB2312" w:hAnsi="仿宋_GB2312" w:eastAsia="仿宋_GB2312" w:cs="仿宋_GB2312"/>
                <w:color w:val="000000"/>
                <w:szCs w:val="20"/>
              </w:rPr>
              <w:t>单位和个人擅自变动、损坏或者拆除建设工程抗震构件、隔震沟、隔震缝、隔震减震装置及隔震标识的</w:t>
            </w:r>
          </w:p>
        </w:tc>
        <w:tc>
          <w:tcPr>
            <w:tcW w:w="482" w:type="pct"/>
            <w:vMerge w:val="restart"/>
            <w:vAlign w:val="center"/>
          </w:tcPr>
          <w:p>
            <w:pPr>
              <w:rPr>
                <w:rFonts w:hint="eastAsia" w:ascii="仿宋_GB2312" w:hAnsi="仿宋_GB2312" w:eastAsia="仿宋_GB2312" w:cs="仿宋_GB2312"/>
                <w:color w:val="000000"/>
                <w:szCs w:val="20"/>
              </w:rPr>
            </w:pPr>
            <w:r>
              <w:rPr>
                <w:rFonts w:hint="eastAsia" w:ascii="仿宋_GB2312" w:hAnsi="仿宋_GB2312" w:eastAsia="仿宋_GB2312" w:cs="仿宋_GB2312"/>
                <w:color w:val="000000"/>
                <w:szCs w:val="20"/>
              </w:rPr>
              <w:t>第二十三条第二款：“任何单位和个人不得擅自变动、损坏或者拆除建设工程抗震构件、隔震沟、隔震缝、隔震减震装置及隔震标识。”</w:t>
            </w:r>
          </w:p>
        </w:tc>
        <w:tc>
          <w:tcPr>
            <w:tcW w:w="1018" w:type="pct"/>
            <w:vMerge w:val="restart"/>
            <w:vAlign w:val="center"/>
          </w:tcPr>
          <w:p>
            <w:pPr>
              <w:rPr>
                <w:rFonts w:hint="eastAsia" w:ascii="仿宋_GB2312" w:hAnsi="仿宋_GB2312" w:eastAsia="仿宋_GB2312" w:cs="仿宋_GB2312"/>
                <w:color w:val="000000"/>
                <w:szCs w:val="20"/>
              </w:rPr>
            </w:pPr>
            <w:r>
              <w:rPr>
                <w:rFonts w:hint="eastAsia" w:ascii="仿宋_GB2312" w:hAnsi="仿宋_GB2312" w:eastAsia="仿宋_GB2312" w:cs="仿宋_GB2312"/>
                <w:color w:val="000000"/>
                <w:szCs w:val="20"/>
              </w:rPr>
              <w:t>第四十六条：“违反本条例规定，擅自变动、损坏或者拆除建设工程抗震构件、隔震沟、隔震缝、隔震减震装置及隔震标识的，责令停止违法行为，恢复原状或者采取其他补救措施，对个人处5万元以上10万元以下的罚款，对单位处10万元以上30万元以下的罚款；造成损失的，依法承担赔偿责任。”</w:t>
            </w:r>
          </w:p>
        </w:tc>
        <w:tc>
          <w:tcPr>
            <w:tcW w:w="424" w:type="pct"/>
            <w:vMerge w:val="restar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rPr>
              <w:t>罚款</w:t>
            </w:r>
          </w:p>
        </w:tc>
        <w:tc>
          <w:tcPr>
            <w:tcW w:w="404"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rPr>
              <w:t>从轻</w:t>
            </w:r>
          </w:p>
        </w:tc>
        <w:tc>
          <w:tcPr>
            <w:tcW w:w="423" w:type="pct"/>
            <w:vAlign w:val="center"/>
          </w:tcPr>
          <w:p>
            <w:pPr>
              <w:jc w:val="left"/>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rPr>
              <w:t>未造成危害后果或者造成轻微危害后果的</w:t>
            </w:r>
          </w:p>
        </w:tc>
        <w:tc>
          <w:tcPr>
            <w:tcW w:w="1428" w:type="pct"/>
            <w:vAlign w:val="center"/>
          </w:tcPr>
          <w:p>
            <w:pPr>
              <w:jc w:val="left"/>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rPr>
              <w:t>责令停止违法行为，恢复原状或者采取其他补救措施，对个人处5万元以上、低于7.5万元的罚款，对单位处10万元以上、低于20万元的罚款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378" w:type="pct"/>
            <w:vMerge w:val="continue"/>
            <w:vAlign w:val="center"/>
          </w:tcPr>
          <w:p>
            <w:pPr>
              <w:rPr>
                <w:rFonts w:hint="eastAsia" w:ascii="仿宋_GB2312" w:hAnsi="仿宋_GB2312" w:eastAsia="仿宋_GB2312" w:cs="仿宋_GB2312"/>
                <w:color w:val="000000"/>
                <w:szCs w:val="20"/>
              </w:rPr>
            </w:pPr>
          </w:p>
        </w:tc>
        <w:tc>
          <w:tcPr>
            <w:tcW w:w="443" w:type="pct"/>
            <w:vMerge w:val="continue"/>
            <w:vAlign w:val="center"/>
          </w:tcPr>
          <w:p>
            <w:pPr>
              <w:rPr>
                <w:rFonts w:hint="eastAsia" w:ascii="仿宋_GB2312" w:hAnsi="仿宋_GB2312" w:eastAsia="仿宋_GB2312" w:cs="仿宋_GB2312"/>
                <w:color w:val="000000"/>
                <w:szCs w:val="20"/>
              </w:rPr>
            </w:pPr>
          </w:p>
        </w:tc>
        <w:tc>
          <w:tcPr>
            <w:tcW w:w="482" w:type="pct"/>
            <w:vMerge w:val="continue"/>
            <w:vAlign w:val="center"/>
          </w:tcPr>
          <w:p>
            <w:pPr>
              <w:rPr>
                <w:rFonts w:hint="eastAsia" w:ascii="仿宋_GB2312" w:hAnsi="仿宋_GB2312" w:eastAsia="仿宋_GB2312" w:cs="仿宋_GB2312"/>
                <w:color w:val="000000"/>
                <w:szCs w:val="20"/>
              </w:rPr>
            </w:pPr>
          </w:p>
        </w:tc>
        <w:tc>
          <w:tcPr>
            <w:tcW w:w="1018" w:type="pct"/>
            <w:vMerge w:val="continue"/>
            <w:vAlign w:val="center"/>
          </w:tcPr>
          <w:p>
            <w:pPr>
              <w:rPr>
                <w:rFonts w:hint="eastAsia" w:ascii="仿宋_GB2312" w:hAnsi="仿宋_GB2312" w:eastAsia="仿宋_GB2312" w:cs="仿宋_GB2312"/>
                <w:color w:val="000000"/>
                <w:szCs w:val="20"/>
              </w:rPr>
            </w:pPr>
          </w:p>
        </w:tc>
        <w:tc>
          <w:tcPr>
            <w:tcW w:w="424" w:type="pct"/>
            <w:vMerge w:val="continue"/>
            <w:vAlign w:val="center"/>
          </w:tcPr>
          <w:p>
            <w:pPr>
              <w:jc w:val="center"/>
              <w:rPr>
                <w:rFonts w:hint="eastAsia" w:ascii="仿宋_GB2312" w:hAnsi="仿宋_GB2312" w:eastAsia="仿宋_GB2312" w:cs="仿宋_GB2312"/>
                <w:bCs/>
                <w:color w:val="000000"/>
                <w:kern w:val="0"/>
                <w:szCs w:val="21"/>
              </w:rPr>
            </w:pPr>
          </w:p>
        </w:tc>
        <w:tc>
          <w:tcPr>
            <w:tcW w:w="404"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rPr>
              <w:t>一般</w:t>
            </w:r>
          </w:p>
        </w:tc>
        <w:tc>
          <w:tcPr>
            <w:tcW w:w="423" w:type="pct"/>
            <w:vAlign w:val="center"/>
          </w:tcPr>
          <w:p>
            <w:pPr>
              <w:jc w:val="left"/>
              <w:rPr>
                <w:rFonts w:hint="eastAsia" w:ascii="仿宋_GB2312" w:hAnsi="仿宋_GB2312" w:eastAsia="仿宋_GB2312" w:cs="仿宋_GB2312"/>
                <w:color w:val="000000"/>
                <w:kern w:val="0"/>
                <w:szCs w:val="21"/>
              </w:rPr>
            </w:pPr>
            <w:r>
              <w:rPr>
                <w:rFonts w:hint="eastAsia" w:ascii="仿宋_GB2312" w:hAnsi="仿宋_GB2312" w:eastAsia="仿宋_GB2312" w:cs="仿宋_GB2312"/>
                <w:bCs/>
                <w:color w:val="000000"/>
                <w:kern w:val="0"/>
                <w:szCs w:val="21"/>
              </w:rPr>
              <w:t>造成一般危害后果的</w:t>
            </w:r>
          </w:p>
        </w:tc>
        <w:tc>
          <w:tcPr>
            <w:tcW w:w="1428" w:type="pct"/>
            <w:vAlign w:val="center"/>
          </w:tcPr>
          <w:p>
            <w:pPr>
              <w:jc w:val="left"/>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rPr>
              <w:t>责令停止违法行为，恢复原状或者采取其他补救措施，对个人处7.5万元的罚款，对单位处20万元的罚款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378" w:type="pct"/>
            <w:vMerge w:val="continue"/>
            <w:vAlign w:val="center"/>
          </w:tcPr>
          <w:p>
            <w:pPr>
              <w:rPr>
                <w:rFonts w:hint="eastAsia" w:ascii="仿宋_GB2312" w:hAnsi="仿宋_GB2312" w:eastAsia="仿宋_GB2312" w:cs="仿宋_GB2312"/>
                <w:color w:val="000000"/>
                <w:szCs w:val="20"/>
              </w:rPr>
            </w:pPr>
          </w:p>
        </w:tc>
        <w:tc>
          <w:tcPr>
            <w:tcW w:w="443" w:type="pct"/>
            <w:vMerge w:val="continue"/>
            <w:vAlign w:val="center"/>
          </w:tcPr>
          <w:p>
            <w:pPr>
              <w:rPr>
                <w:rFonts w:hint="eastAsia" w:ascii="仿宋_GB2312" w:hAnsi="仿宋_GB2312" w:eastAsia="仿宋_GB2312" w:cs="仿宋_GB2312"/>
                <w:color w:val="000000"/>
                <w:szCs w:val="20"/>
              </w:rPr>
            </w:pPr>
          </w:p>
        </w:tc>
        <w:tc>
          <w:tcPr>
            <w:tcW w:w="482" w:type="pct"/>
            <w:vMerge w:val="continue"/>
            <w:vAlign w:val="center"/>
          </w:tcPr>
          <w:p>
            <w:pPr>
              <w:rPr>
                <w:rFonts w:hint="eastAsia" w:ascii="仿宋_GB2312" w:hAnsi="仿宋_GB2312" w:eastAsia="仿宋_GB2312" w:cs="仿宋_GB2312"/>
                <w:color w:val="000000"/>
                <w:szCs w:val="20"/>
              </w:rPr>
            </w:pPr>
          </w:p>
        </w:tc>
        <w:tc>
          <w:tcPr>
            <w:tcW w:w="1018" w:type="pct"/>
            <w:vMerge w:val="continue"/>
            <w:vAlign w:val="center"/>
          </w:tcPr>
          <w:p>
            <w:pPr>
              <w:rPr>
                <w:rFonts w:hint="eastAsia" w:ascii="仿宋_GB2312" w:hAnsi="仿宋_GB2312" w:eastAsia="仿宋_GB2312" w:cs="仿宋_GB2312"/>
                <w:color w:val="000000"/>
                <w:szCs w:val="20"/>
              </w:rPr>
            </w:pPr>
          </w:p>
        </w:tc>
        <w:tc>
          <w:tcPr>
            <w:tcW w:w="424" w:type="pct"/>
            <w:vMerge w:val="continue"/>
            <w:vAlign w:val="center"/>
          </w:tcPr>
          <w:p>
            <w:pPr>
              <w:jc w:val="center"/>
              <w:rPr>
                <w:rFonts w:hint="eastAsia" w:ascii="仿宋_GB2312" w:hAnsi="仿宋_GB2312" w:eastAsia="仿宋_GB2312" w:cs="仿宋_GB2312"/>
                <w:bCs/>
                <w:color w:val="000000"/>
                <w:kern w:val="0"/>
                <w:szCs w:val="21"/>
              </w:rPr>
            </w:pPr>
          </w:p>
        </w:tc>
        <w:tc>
          <w:tcPr>
            <w:tcW w:w="404"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rPr>
              <w:t>从重</w:t>
            </w:r>
          </w:p>
        </w:tc>
        <w:tc>
          <w:tcPr>
            <w:tcW w:w="423" w:type="pct"/>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bCs/>
                <w:color w:val="000000"/>
                <w:kern w:val="0"/>
                <w:szCs w:val="21"/>
              </w:rPr>
              <w:t>造成严重危害后果的</w:t>
            </w:r>
          </w:p>
        </w:tc>
        <w:tc>
          <w:tcPr>
            <w:tcW w:w="1428" w:type="pct"/>
            <w:vAlign w:val="center"/>
          </w:tcPr>
          <w:p>
            <w:pPr>
              <w:jc w:val="left"/>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rPr>
              <w:t>责令停止违法行为，恢复原状或者采取其他补救措施，对个人处超过7.5万元、10万元以下罚款，对单位处超过20万元、30万元以下罚款</w:t>
            </w:r>
          </w:p>
        </w:tc>
      </w:tr>
    </w:tbl>
    <w:p>
      <w:pPr>
        <w:jc w:val="left"/>
        <w:rPr>
          <w:rFonts w:hint="eastAsia" w:ascii="宋体" w:hAnsi="宋体"/>
          <w:b/>
          <w:sz w:val="32"/>
          <w:szCs w:val="24"/>
        </w:rPr>
      </w:pPr>
      <w:r>
        <w:rPr>
          <w:rFonts w:hint="eastAsia" w:ascii="宋体" w:hAnsi="宋体" w:eastAsia="宋体 (正文)"/>
          <w:sz w:val="32"/>
          <w:szCs w:val="24"/>
        </w:rPr>
        <w:t>《住宅室内装饰装修管理办法》</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7"/>
        <w:gridCol w:w="1630"/>
        <w:gridCol w:w="2047"/>
        <w:gridCol w:w="2152"/>
        <w:gridCol w:w="1154"/>
        <w:gridCol w:w="1293"/>
        <w:gridCol w:w="2452"/>
        <w:gridCol w:w="25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3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序号</w:t>
            </w:r>
          </w:p>
        </w:tc>
        <w:tc>
          <w:tcPr>
            <w:tcW w:w="57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违法行为</w:t>
            </w:r>
          </w:p>
        </w:tc>
        <w:tc>
          <w:tcPr>
            <w:tcW w:w="72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lang w:val="en"/>
              </w:rPr>
            </w:pPr>
            <w:r>
              <w:rPr>
                <w:rFonts w:hint="eastAsia" w:ascii="仿宋_GB2312" w:hAnsi="仿宋_GB2312" w:eastAsia="仿宋_GB2312" w:cs="仿宋_GB2312"/>
                <w:b/>
                <w:szCs w:val="24"/>
                <w:lang w:val="en"/>
              </w:rPr>
              <w:t>违反条款</w:t>
            </w:r>
          </w:p>
        </w:tc>
        <w:tc>
          <w:tcPr>
            <w:tcW w:w="75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处罚依据</w:t>
            </w:r>
          </w:p>
        </w:tc>
        <w:tc>
          <w:tcPr>
            <w:tcW w:w="40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处罚种类</w:t>
            </w:r>
          </w:p>
        </w:tc>
        <w:tc>
          <w:tcPr>
            <w:tcW w:w="45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裁量幅度</w:t>
            </w:r>
          </w:p>
        </w:tc>
        <w:tc>
          <w:tcPr>
            <w:tcW w:w="86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适用条件</w:t>
            </w:r>
          </w:p>
        </w:tc>
        <w:tc>
          <w:tcPr>
            <w:tcW w:w="88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lang w:val="en"/>
              </w:rPr>
            </w:pPr>
            <w:r>
              <w:rPr>
                <w:rFonts w:hint="eastAsia" w:ascii="仿宋_GB2312" w:hAnsi="仿宋_GB2312" w:eastAsia="仿宋_GB2312" w:cs="仿宋_GB2312"/>
                <w:szCs w:val="24"/>
                <w:lang w:val="en"/>
              </w:rPr>
              <w:t>104.1</w:t>
            </w:r>
          </w:p>
        </w:tc>
        <w:tc>
          <w:tcPr>
            <w:tcW w:w="57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装修人未申报登记进行住宅室内装饰装修活动的</w:t>
            </w:r>
          </w:p>
        </w:tc>
        <w:tc>
          <w:tcPr>
            <w:tcW w:w="722"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第十三条第一款：“装修人在住宅室内装饰装修工程开工前，应当向物业管理企业或者房屋管理机构（以下简称物业管理单位）申报登记。”</w:t>
            </w:r>
          </w:p>
        </w:tc>
        <w:tc>
          <w:tcPr>
            <w:tcW w:w="759"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left"/>
              <w:rPr>
                <w:rFonts w:hint="eastAsia" w:ascii="仿宋_GB2312" w:hAnsi="仿宋_GB2312" w:eastAsia="仿宋_GB2312" w:cs="仿宋_GB2312"/>
                <w:szCs w:val="24"/>
              </w:rPr>
            </w:pPr>
            <w:r>
              <w:rPr>
                <w:rFonts w:hint="eastAsia" w:ascii="仿宋_GB2312" w:hAnsi="仿宋_GB2312" w:eastAsia="仿宋_GB2312" w:cs="仿宋_GB2312"/>
                <w:szCs w:val="24"/>
              </w:rPr>
              <w:t>第三十五条：“装修人未申报登记进行住宅室内装饰装修活动的，由城市房地产行政主管部门责令改正，处5百元以上1千元以下的罚款。”</w:t>
            </w:r>
          </w:p>
        </w:tc>
        <w:tc>
          <w:tcPr>
            <w:tcW w:w="407"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szCs w:val="24"/>
              </w:rPr>
              <w:t>罚款</w:t>
            </w:r>
          </w:p>
        </w:tc>
        <w:tc>
          <w:tcPr>
            <w:tcW w:w="45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color w:val="000000"/>
                <w:kern w:val="0"/>
                <w:szCs w:val="24"/>
              </w:rPr>
              <w:t>从轻</w:t>
            </w:r>
          </w:p>
        </w:tc>
        <w:tc>
          <w:tcPr>
            <w:tcW w:w="865" w:type="pct"/>
            <w:tcBorders>
              <w:top w:val="single" w:color="auto" w:sz="4" w:space="0"/>
              <w:left w:val="single" w:color="auto" w:sz="4" w:space="0"/>
              <w:bottom w:val="single" w:color="auto" w:sz="4" w:space="0"/>
              <w:right w:val="single" w:color="auto" w:sz="4" w:space="0"/>
              <w:tl2br w:val="nil"/>
              <w:tr2bl w:val="nil"/>
            </w:tcBorders>
            <w:vAlign w:val="center"/>
          </w:tcPr>
          <w:p>
            <w:pPr>
              <w:jc w:val="left"/>
              <w:rPr>
                <w:rFonts w:hint="eastAsia" w:ascii="仿宋_GB2312" w:hAnsi="仿宋_GB2312" w:eastAsia="仿宋_GB2312" w:cs="仿宋_GB2312"/>
                <w:szCs w:val="24"/>
              </w:rPr>
            </w:pPr>
            <w:r>
              <w:rPr>
                <w:rFonts w:hint="eastAsia" w:ascii="仿宋_GB2312" w:hAnsi="仿宋_GB2312" w:eastAsia="仿宋_GB2312" w:cs="仿宋_GB2312"/>
                <w:bCs/>
                <w:color w:val="000000"/>
                <w:kern w:val="0"/>
                <w:szCs w:val="21"/>
              </w:rPr>
              <w:t>未造成危害后果或者造成轻微危害后果的</w:t>
            </w:r>
          </w:p>
        </w:tc>
        <w:tc>
          <w:tcPr>
            <w:tcW w:w="88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责令改正,处五百元以上、低于七百五十元的罚款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1"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Cs w:val="24"/>
              </w:rPr>
            </w:pPr>
          </w:p>
        </w:tc>
        <w:tc>
          <w:tcPr>
            <w:tcW w:w="575"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Cs w:val="24"/>
              </w:rPr>
            </w:pPr>
          </w:p>
        </w:tc>
        <w:tc>
          <w:tcPr>
            <w:tcW w:w="722"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Cs w:val="24"/>
              </w:rPr>
            </w:pPr>
          </w:p>
        </w:tc>
        <w:tc>
          <w:tcPr>
            <w:tcW w:w="759"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Cs w:val="24"/>
              </w:rPr>
            </w:pPr>
          </w:p>
        </w:tc>
        <w:tc>
          <w:tcPr>
            <w:tcW w:w="40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45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color w:val="000000"/>
                <w:kern w:val="0"/>
                <w:szCs w:val="24"/>
              </w:rPr>
              <w:t>一般</w:t>
            </w:r>
          </w:p>
        </w:tc>
        <w:tc>
          <w:tcPr>
            <w:tcW w:w="865" w:type="pct"/>
            <w:tcBorders>
              <w:top w:val="single" w:color="auto" w:sz="4" w:space="0"/>
              <w:left w:val="single" w:color="auto" w:sz="4" w:space="0"/>
              <w:bottom w:val="single" w:color="auto" w:sz="4" w:space="0"/>
              <w:right w:val="single" w:color="auto" w:sz="4" w:space="0"/>
              <w:tl2br w:val="nil"/>
              <w:tr2bl w:val="nil"/>
            </w:tcBorders>
            <w:vAlign w:val="center"/>
          </w:tcPr>
          <w:p>
            <w:pPr>
              <w:jc w:val="left"/>
              <w:rPr>
                <w:rFonts w:hint="eastAsia" w:ascii="仿宋_GB2312" w:hAnsi="仿宋_GB2312" w:eastAsia="仿宋_GB2312" w:cs="仿宋_GB2312"/>
                <w:szCs w:val="24"/>
              </w:rPr>
            </w:pPr>
            <w:r>
              <w:rPr>
                <w:rFonts w:hint="eastAsia" w:ascii="仿宋_GB2312" w:hAnsi="仿宋_GB2312" w:eastAsia="仿宋_GB2312" w:cs="仿宋_GB2312"/>
                <w:bCs/>
                <w:color w:val="000000"/>
                <w:kern w:val="0"/>
                <w:szCs w:val="21"/>
              </w:rPr>
              <w:t>造成一般危害后果的</w:t>
            </w:r>
          </w:p>
        </w:tc>
        <w:tc>
          <w:tcPr>
            <w:tcW w:w="88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责令改正,处七百五十元的罚款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1"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Cs w:val="24"/>
              </w:rPr>
            </w:pPr>
          </w:p>
        </w:tc>
        <w:tc>
          <w:tcPr>
            <w:tcW w:w="575"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Cs w:val="24"/>
              </w:rPr>
            </w:pPr>
          </w:p>
        </w:tc>
        <w:tc>
          <w:tcPr>
            <w:tcW w:w="722"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Cs w:val="24"/>
              </w:rPr>
            </w:pPr>
          </w:p>
        </w:tc>
        <w:tc>
          <w:tcPr>
            <w:tcW w:w="759"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Cs w:val="24"/>
              </w:rPr>
            </w:pPr>
          </w:p>
        </w:tc>
        <w:tc>
          <w:tcPr>
            <w:tcW w:w="40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45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color w:val="000000"/>
                <w:kern w:val="0"/>
                <w:szCs w:val="24"/>
              </w:rPr>
              <w:t>从重</w:t>
            </w:r>
          </w:p>
        </w:tc>
        <w:tc>
          <w:tcPr>
            <w:tcW w:w="86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bCs/>
                <w:color w:val="000000"/>
                <w:kern w:val="0"/>
                <w:szCs w:val="21"/>
              </w:rPr>
              <w:t>造成严重危害后果的</w:t>
            </w:r>
          </w:p>
        </w:tc>
        <w:tc>
          <w:tcPr>
            <w:tcW w:w="88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责令改正,处超过七百五十元、一千元以下的罚款</w:t>
            </w:r>
          </w:p>
        </w:tc>
      </w:tr>
    </w:tbl>
    <w:p>
      <w:pPr>
        <w:widowControl/>
        <w:jc w:val="left"/>
        <w:rPr>
          <w:rFonts w:hint="eastAsia" w:ascii="宋体" w:hAnsi="宋体"/>
          <w:b/>
          <w:sz w:val="32"/>
          <w:szCs w:val="24"/>
        </w:rPr>
      </w:pPr>
      <w:r>
        <w:rPr>
          <w:rFonts w:hint="eastAsia" w:ascii="宋体" w:hAnsi="宋体" w:eastAsia="宋体 (正文)"/>
          <w:sz w:val="32"/>
          <w:szCs w:val="24"/>
        </w:rPr>
        <w:t>《住宅室内装饰装修管理办法》</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7"/>
        <w:gridCol w:w="1630"/>
        <w:gridCol w:w="1727"/>
        <w:gridCol w:w="3062"/>
        <w:gridCol w:w="1245"/>
        <w:gridCol w:w="1253"/>
        <w:gridCol w:w="2203"/>
        <w:gridCol w:w="21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3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序号</w:t>
            </w:r>
          </w:p>
        </w:tc>
        <w:tc>
          <w:tcPr>
            <w:tcW w:w="57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违法行为</w:t>
            </w:r>
          </w:p>
        </w:tc>
        <w:tc>
          <w:tcPr>
            <w:tcW w:w="60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lang w:val="en"/>
              </w:rPr>
            </w:pPr>
            <w:r>
              <w:rPr>
                <w:rFonts w:hint="eastAsia" w:ascii="仿宋_GB2312" w:hAnsi="仿宋_GB2312" w:eastAsia="仿宋_GB2312" w:cs="仿宋_GB2312"/>
                <w:b/>
                <w:szCs w:val="24"/>
                <w:lang w:val="en"/>
              </w:rPr>
              <w:t>违反条款</w:t>
            </w:r>
          </w:p>
        </w:tc>
        <w:tc>
          <w:tcPr>
            <w:tcW w:w="108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处罚依据</w:t>
            </w:r>
          </w:p>
        </w:tc>
        <w:tc>
          <w:tcPr>
            <w:tcW w:w="43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处罚种类</w:t>
            </w:r>
          </w:p>
        </w:tc>
        <w:tc>
          <w:tcPr>
            <w:tcW w:w="44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裁量幅度</w:t>
            </w:r>
          </w:p>
        </w:tc>
        <w:tc>
          <w:tcPr>
            <w:tcW w:w="77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适用条件</w:t>
            </w:r>
          </w:p>
        </w:tc>
        <w:tc>
          <w:tcPr>
            <w:tcW w:w="74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lang w:val="en"/>
              </w:rPr>
            </w:pPr>
            <w:r>
              <w:rPr>
                <w:rFonts w:hint="eastAsia" w:ascii="仿宋_GB2312" w:hAnsi="仿宋_GB2312" w:eastAsia="仿宋_GB2312" w:cs="仿宋_GB2312"/>
                <w:szCs w:val="24"/>
                <w:lang w:val="en"/>
              </w:rPr>
              <w:t>104.</w:t>
            </w:r>
            <w:r>
              <w:rPr>
                <w:rFonts w:hint="eastAsia" w:ascii="仿宋_GB2312" w:hAnsi="仿宋_GB2312" w:eastAsia="仿宋_GB2312" w:cs="仿宋_GB2312"/>
                <w:szCs w:val="24"/>
              </w:rPr>
              <w:t>2</w:t>
            </w:r>
          </w:p>
        </w:tc>
        <w:tc>
          <w:tcPr>
            <w:tcW w:w="57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装修人将住宅室内装饰装修工程委托给不具有相应资质等级企业的</w:t>
            </w:r>
          </w:p>
        </w:tc>
        <w:tc>
          <w:tcPr>
            <w:tcW w:w="609"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第二十三条：“装修人委托企业承接其装饰装修工程的，应当选择具有相应资质等级的装饰装修企业。”</w:t>
            </w:r>
          </w:p>
        </w:tc>
        <w:tc>
          <w:tcPr>
            <w:tcW w:w="1080"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第三十六条：“装修人违反本办法规定，将住宅室内装饰装修工程委托给不具有相应资质等级企业的，由城市房地产行政主管部门责令改正，处5百元以上1千元以下的罚款。”</w:t>
            </w:r>
          </w:p>
        </w:tc>
        <w:tc>
          <w:tcPr>
            <w:tcW w:w="439"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szCs w:val="24"/>
              </w:rPr>
              <w:t>罚款</w:t>
            </w:r>
          </w:p>
        </w:tc>
        <w:tc>
          <w:tcPr>
            <w:tcW w:w="44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color w:val="000000"/>
                <w:kern w:val="0"/>
                <w:szCs w:val="24"/>
              </w:rPr>
              <w:t>从轻</w:t>
            </w:r>
          </w:p>
        </w:tc>
        <w:tc>
          <w:tcPr>
            <w:tcW w:w="77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变动建筑主体和承重结构，未造成后果或造成轻微危害后果的</w:t>
            </w:r>
          </w:p>
        </w:tc>
        <w:tc>
          <w:tcPr>
            <w:tcW w:w="74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责令改正,处五百元以上、低于七百五十元的罚款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1"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Cs w:val="24"/>
              </w:rPr>
            </w:pPr>
          </w:p>
        </w:tc>
        <w:tc>
          <w:tcPr>
            <w:tcW w:w="575"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Cs w:val="24"/>
              </w:rPr>
            </w:pPr>
          </w:p>
        </w:tc>
        <w:tc>
          <w:tcPr>
            <w:tcW w:w="609"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Cs w:val="24"/>
              </w:rPr>
            </w:pPr>
          </w:p>
        </w:tc>
        <w:tc>
          <w:tcPr>
            <w:tcW w:w="1080"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Cs w:val="24"/>
              </w:rPr>
            </w:pPr>
          </w:p>
        </w:tc>
        <w:tc>
          <w:tcPr>
            <w:tcW w:w="43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44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color w:val="000000"/>
                <w:kern w:val="0"/>
                <w:szCs w:val="24"/>
              </w:rPr>
              <w:t>一般</w:t>
            </w:r>
          </w:p>
        </w:tc>
        <w:tc>
          <w:tcPr>
            <w:tcW w:w="77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变动建筑主体和承重结构，造成一般危害后果的</w:t>
            </w:r>
          </w:p>
        </w:tc>
        <w:tc>
          <w:tcPr>
            <w:tcW w:w="74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责令改正,处七百五十元的罚款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1"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Cs w:val="24"/>
              </w:rPr>
            </w:pPr>
          </w:p>
        </w:tc>
        <w:tc>
          <w:tcPr>
            <w:tcW w:w="575"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Cs w:val="24"/>
              </w:rPr>
            </w:pPr>
          </w:p>
        </w:tc>
        <w:tc>
          <w:tcPr>
            <w:tcW w:w="609"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Cs w:val="24"/>
              </w:rPr>
            </w:pPr>
          </w:p>
        </w:tc>
        <w:tc>
          <w:tcPr>
            <w:tcW w:w="1080"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Cs w:val="24"/>
              </w:rPr>
            </w:pPr>
          </w:p>
        </w:tc>
        <w:tc>
          <w:tcPr>
            <w:tcW w:w="43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44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color w:val="000000"/>
                <w:kern w:val="0"/>
                <w:szCs w:val="24"/>
              </w:rPr>
              <w:t>从重</w:t>
            </w:r>
          </w:p>
        </w:tc>
        <w:tc>
          <w:tcPr>
            <w:tcW w:w="77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变动建筑主体和承重结构，造成严重危害后果的</w:t>
            </w:r>
          </w:p>
        </w:tc>
        <w:tc>
          <w:tcPr>
            <w:tcW w:w="74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责令改正,处超过七百五十元、一千元以下的罚款</w:t>
            </w:r>
          </w:p>
        </w:tc>
      </w:tr>
    </w:tbl>
    <w:p>
      <w:pPr>
        <w:widowControl/>
        <w:jc w:val="left"/>
        <w:rPr>
          <w:rFonts w:hint="eastAsia" w:ascii="宋体" w:hAnsi="宋体"/>
          <w:b/>
          <w:sz w:val="32"/>
          <w:szCs w:val="24"/>
        </w:rPr>
      </w:pPr>
      <w:r>
        <w:rPr>
          <w:rFonts w:hint="eastAsia" w:ascii="宋体" w:hAnsi="宋体" w:eastAsia="宋体 (正文)"/>
          <w:sz w:val="32"/>
          <w:szCs w:val="24"/>
        </w:rPr>
        <w:t>《住宅室内装饰装修管理办法》</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75"/>
        <w:gridCol w:w="1205"/>
        <w:gridCol w:w="1746"/>
        <w:gridCol w:w="2469"/>
        <w:gridCol w:w="1516"/>
        <w:gridCol w:w="1179"/>
        <w:gridCol w:w="1792"/>
        <w:gridCol w:w="30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1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序号</w:t>
            </w:r>
          </w:p>
        </w:tc>
        <w:tc>
          <w:tcPr>
            <w:tcW w:w="42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违法行为</w:t>
            </w:r>
          </w:p>
        </w:tc>
        <w:tc>
          <w:tcPr>
            <w:tcW w:w="61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lang w:val="en"/>
              </w:rPr>
            </w:pPr>
            <w:r>
              <w:rPr>
                <w:rFonts w:hint="eastAsia" w:ascii="仿宋_GB2312" w:hAnsi="仿宋_GB2312" w:eastAsia="仿宋_GB2312" w:cs="仿宋_GB2312"/>
                <w:b/>
                <w:szCs w:val="24"/>
                <w:lang w:val="en"/>
              </w:rPr>
              <w:t>违反条款</w:t>
            </w:r>
          </w:p>
        </w:tc>
        <w:tc>
          <w:tcPr>
            <w:tcW w:w="87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处罚依据</w:t>
            </w:r>
          </w:p>
        </w:tc>
        <w:tc>
          <w:tcPr>
            <w:tcW w:w="53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处罚种类</w:t>
            </w:r>
          </w:p>
        </w:tc>
        <w:tc>
          <w:tcPr>
            <w:tcW w:w="41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裁量阶次</w:t>
            </w:r>
          </w:p>
        </w:tc>
        <w:tc>
          <w:tcPr>
            <w:tcW w:w="63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适用条件</w:t>
            </w:r>
          </w:p>
        </w:tc>
        <w:tc>
          <w:tcPr>
            <w:tcW w:w="109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4"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lang w:val="en"/>
              </w:rPr>
            </w:pPr>
            <w:r>
              <w:rPr>
                <w:rFonts w:hint="eastAsia" w:ascii="仿宋_GB2312" w:hAnsi="仿宋_GB2312" w:eastAsia="仿宋_GB2312" w:cs="仿宋_GB2312"/>
                <w:szCs w:val="24"/>
                <w:lang w:val="en"/>
              </w:rPr>
              <w:t>104.</w:t>
            </w:r>
            <w:r>
              <w:rPr>
                <w:rFonts w:hint="eastAsia" w:ascii="仿宋_GB2312" w:hAnsi="仿宋_GB2312" w:eastAsia="仿宋_GB2312" w:cs="仿宋_GB2312"/>
                <w:szCs w:val="24"/>
              </w:rPr>
              <w:t>3</w:t>
            </w:r>
          </w:p>
        </w:tc>
        <w:tc>
          <w:tcPr>
            <w:tcW w:w="42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将没有防水要求的房间或者阳台改为卫生间、厨房间的，或者拆除连接阳台的砖、混凝土墙体的</w:t>
            </w:r>
          </w:p>
        </w:tc>
        <w:tc>
          <w:tcPr>
            <w:tcW w:w="61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第五条第一款第二项、第三项：“住宅室内装饰装修活动，禁止下列行为：（二）将没有防水要求的房间或者阳台改为卫生间、厨房间；（三）扩大承重墙上原有的门窗尺寸，拆除连接阳台的砖、混凝土墙体。”</w:t>
            </w:r>
          </w:p>
        </w:tc>
        <w:tc>
          <w:tcPr>
            <w:tcW w:w="87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第三十八条第一项：“住宅室内装饰装修活动有下列行为之一的，由城市房地产行政主管部门责令改正，并处罚款：（一）将没有防水要求的房间或者阳台改为卫生间、厨房间的，或者拆除连接阳台的砖、混凝土墙体的，对装修人处5百元以上1千元以下的罚款，对装饰装修企业处1千元以上1万元以下的罚款。”</w:t>
            </w:r>
          </w:p>
        </w:tc>
        <w:tc>
          <w:tcPr>
            <w:tcW w:w="53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szCs w:val="24"/>
              </w:rPr>
              <w:t>罚款</w:t>
            </w:r>
          </w:p>
        </w:tc>
        <w:tc>
          <w:tcPr>
            <w:tcW w:w="41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color w:val="000000"/>
                <w:kern w:val="0"/>
                <w:szCs w:val="24"/>
              </w:rPr>
              <w:t>从轻</w:t>
            </w:r>
          </w:p>
        </w:tc>
        <w:tc>
          <w:tcPr>
            <w:tcW w:w="632"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未造成后果或造成轻微危害后果的</w:t>
            </w:r>
          </w:p>
        </w:tc>
        <w:tc>
          <w:tcPr>
            <w:tcW w:w="109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责令改正，对装修人处五百元以上、低于七百五十元的罚款，对装饰装修企业处一千元以上、低于五千五百元的罚款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42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61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87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53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41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color w:val="000000"/>
                <w:kern w:val="0"/>
                <w:szCs w:val="24"/>
              </w:rPr>
              <w:t>一般</w:t>
            </w:r>
          </w:p>
        </w:tc>
        <w:tc>
          <w:tcPr>
            <w:tcW w:w="632"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造成一般危害后果的</w:t>
            </w:r>
          </w:p>
        </w:tc>
        <w:tc>
          <w:tcPr>
            <w:tcW w:w="109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责令改正，对装修人处七百五十元的罚款，对装饰装修企业处五千五百元的罚款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42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61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87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53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41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color w:val="000000"/>
                <w:kern w:val="0"/>
                <w:szCs w:val="24"/>
              </w:rPr>
              <w:t>从重</w:t>
            </w:r>
          </w:p>
        </w:tc>
        <w:tc>
          <w:tcPr>
            <w:tcW w:w="632"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造成严重危害后果的</w:t>
            </w:r>
          </w:p>
        </w:tc>
        <w:tc>
          <w:tcPr>
            <w:tcW w:w="109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责令改正，对装修人处超过七百五十元、一千元以下的罚款，</w:t>
            </w:r>
          </w:p>
          <w:p>
            <w:pPr>
              <w:rPr>
                <w:rFonts w:hint="eastAsia" w:ascii="仿宋_GB2312" w:hAnsi="仿宋_GB2312" w:eastAsia="仿宋_GB2312" w:cs="仿宋_GB2312"/>
                <w:szCs w:val="24"/>
              </w:rPr>
            </w:pPr>
            <w:r>
              <w:rPr>
                <w:rFonts w:hint="eastAsia" w:ascii="仿宋_GB2312" w:hAnsi="仿宋_GB2312" w:eastAsia="仿宋_GB2312" w:cs="仿宋_GB2312"/>
                <w:szCs w:val="24"/>
              </w:rPr>
              <w:t>对装饰装修企业处超过五千五百元、一万元以下的罚款</w:t>
            </w:r>
          </w:p>
        </w:tc>
      </w:tr>
    </w:tbl>
    <w:p>
      <w:pPr>
        <w:widowControl/>
        <w:jc w:val="left"/>
        <w:rPr>
          <w:rFonts w:hint="eastAsia" w:ascii="宋体" w:hAnsi="宋体"/>
          <w:b/>
          <w:sz w:val="32"/>
          <w:szCs w:val="24"/>
        </w:rPr>
      </w:pPr>
      <w:r>
        <w:rPr>
          <w:rFonts w:ascii="宋体" w:hAnsi="宋体"/>
          <w:b/>
          <w:sz w:val="32"/>
          <w:szCs w:val="24"/>
        </w:rPr>
        <w:br w:type="page"/>
      </w:r>
      <w:r>
        <w:rPr>
          <w:rFonts w:hint="eastAsia" w:ascii="宋体" w:hAnsi="宋体" w:eastAsia="宋体 (正文)"/>
          <w:sz w:val="32"/>
          <w:szCs w:val="24"/>
        </w:rPr>
        <w:t>《住宅室内装饰装修管理办法》</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8"/>
        <w:gridCol w:w="1242"/>
        <w:gridCol w:w="1774"/>
        <w:gridCol w:w="2438"/>
        <w:gridCol w:w="1335"/>
        <w:gridCol w:w="1630"/>
        <w:gridCol w:w="2118"/>
        <w:gridCol w:w="27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序号</w:t>
            </w:r>
          </w:p>
        </w:tc>
        <w:tc>
          <w:tcPr>
            <w:tcW w:w="43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违法行为</w:t>
            </w:r>
          </w:p>
        </w:tc>
        <w:tc>
          <w:tcPr>
            <w:tcW w:w="62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lang w:val="en"/>
              </w:rPr>
            </w:pPr>
            <w:r>
              <w:rPr>
                <w:rFonts w:hint="eastAsia" w:ascii="仿宋_GB2312" w:hAnsi="仿宋_GB2312" w:eastAsia="仿宋_GB2312" w:cs="仿宋_GB2312"/>
                <w:b/>
                <w:szCs w:val="24"/>
                <w:lang w:val="en"/>
              </w:rPr>
              <w:t>违反条款</w:t>
            </w:r>
          </w:p>
        </w:tc>
        <w:tc>
          <w:tcPr>
            <w:tcW w:w="86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处罚依据</w:t>
            </w:r>
          </w:p>
        </w:tc>
        <w:tc>
          <w:tcPr>
            <w:tcW w:w="47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处罚种类</w:t>
            </w:r>
          </w:p>
        </w:tc>
        <w:tc>
          <w:tcPr>
            <w:tcW w:w="57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裁量阶次</w:t>
            </w:r>
          </w:p>
        </w:tc>
        <w:tc>
          <w:tcPr>
            <w:tcW w:w="74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适用条件</w:t>
            </w:r>
          </w:p>
        </w:tc>
        <w:tc>
          <w:tcPr>
            <w:tcW w:w="97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0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lang w:val="en"/>
              </w:rPr>
            </w:pPr>
            <w:r>
              <w:rPr>
                <w:rFonts w:hint="eastAsia" w:ascii="仿宋_GB2312" w:hAnsi="仿宋_GB2312" w:eastAsia="仿宋_GB2312" w:cs="仿宋_GB2312"/>
                <w:szCs w:val="24"/>
                <w:lang w:val="en"/>
              </w:rPr>
              <w:t>104.</w:t>
            </w:r>
            <w:r>
              <w:rPr>
                <w:rFonts w:hint="eastAsia" w:ascii="仿宋_GB2312" w:hAnsi="仿宋_GB2312" w:eastAsia="仿宋_GB2312" w:cs="仿宋_GB2312"/>
                <w:szCs w:val="24"/>
              </w:rPr>
              <w:t>4</w:t>
            </w:r>
          </w:p>
        </w:tc>
        <w:tc>
          <w:tcPr>
            <w:tcW w:w="43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损坏房屋原有节能设施或者降低节能效果的</w:t>
            </w:r>
          </w:p>
        </w:tc>
        <w:tc>
          <w:tcPr>
            <w:tcW w:w="62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第五条第一款第四项：“住宅室内装饰装修活动，禁止下列行为：（四）损坏房屋原有节能设施，降低节能效果。”</w:t>
            </w:r>
          </w:p>
        </w:tc>
        <w:tc>
          <w:tcPr>
            <w:tcW w:w="860"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第三十八条第二项：“住宅室内装饰装修活动有下列行为之一的，由城市房地产行政主管部门责令改正，并处罚款：（二）损坏房屋原有节能设施或者降低节能效果的，对装饰装修企业处1千元以上5千元以下的罚款。”</w:t>
            </w:r>
          </w:p>
        </w:tc>
        <w:tc>
          <w:tcPr>
            <w:tcW w:w="47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szCs w:val="24"/>
              </w:rPr>
              <w:t>罚款</w:t>
            </w:r>
          </w:p>
        </w:tc>
        <w:tc>
          <w:tcPr>
            <w:tcW w:w="57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color w:val="000000"/>
                <w:kern w:val="0"/>
                <w:szCs w:val="24"/>
              </w:rPr>
              <w:t>从轻</w:t>
            </w:r>
          </w:p>
        </w:tc>
        <w:tc>
          <w:tcPr>
            <w:tcW w:w="74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未造成后果或造成轻微危害后果的</w:t>
            </w:r>
          </w:p>
        </w:tc>
        <w:tc>
          <w:tcPr>
            <w:tcW w:w="97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责令改正，并对装饰装修企业处一千元以上、低于三千元的罚款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43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62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86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47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57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color w:val="000000"/>
                <w:kern w:val="0"/>
                <w:szCs w:val="24"/>
              </w:rPr>
              <w:t>一般</w:t>
            </w:r>
          </w:p>
        </w:tc>
        <w:tc>
          <w:tcPr>
            <w:tcW w:w="74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造成一般危害后果的</w:t>
            </w:r>
          </w:p>
        </w:tc>
        <w:tc>
          <w:tcPr>
            <w:tcW w:w="97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责令改正，并对装饰装修企业处三千元的罚款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43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62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86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47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57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color w:val="000000"/>
                <w:kern w:val="0"/>
                <w:szCs w:val="24"/>
              </w:rPr>
              <w:t>从重</w:t>
            </w:r>
          </w:p>
        </w:tc>
        <w:tc>
          <w:tcPr>
            <w:tcW w:w="74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造成严重危害后果的</w:t>
            </w:r>
          </w:p>
        </w:tc>
        <w:tc>
          <w:tcPr>
            <w:tcW w:w="97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责令改正，并对装饰装修企业处超过三千元、五千元以下的罚款</w:t>
            </w:r>
          </w:p>
        </w:tc>
      </w:tr>
    </w:tbl>
    <w:p>
      <w:pPr>
        <w:widowControl/>
        <w:jc w:val="left"/>
        <w:rPr>
          <w:rFonts w:hint="eastAsia" w:ascii="宋体" w:hAnsi="宋体"/>
          <w:b/>
          <w:sz w:val="32"/>
          <w:szCs w:val="24"/>
        </w:rPr>
      </w:pPr>
      <w:r>
        <w:rPr>
          <w:rFonts w:ascii="宋体" w:hAnsi="宋体"/>
          <w:b/>
          <w:sz w:val="32"/>
          <w:szCs w:val="24"/>
        </w:rPr>
        <w:br w:type="page"/>
      </w:r>
      <w:r>
        <w:rPr>
          <w:rFonts w:hint="eastAsia" w:ascii="宋体" w:hAnsi="宋体" w:eastAsia="宋体 (正文)"/>
          <w:sz w:val="32"/>
          <w:szCs w:val="24"/>
        </w:rPr>
        <w:t>《住宅室内装饰装修管理办法》</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67"/>
        <w:gridCol w:w="1291"/>
        <w:gridCol w:w="2245"/>
        <w:gridCol w:w="3133"/>
        <w:gridCol w:w="1216"/>
        <w:gridCol w:w="1406"/>
        <w:gridCol w:w="1774"/>
        <w:gridCol w:w="194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1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序号</w:t>
            </w:r>
          </w:p>
        </w:tc>
        <w:tc>
          <w:tcPr>
            <w:tcW w:w="45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违法行为</w:t>
            </w:r>
          </w:p>
        </w:tc>
        <w:tc>
          <w:tcPr>
            <w:tcW w:w="79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lang w:val="en"/>
              </w:rPr>
            </w:pPr>
            <w:r>
              <w:rPr>
                <w:rFonts w:hint="eastAsia" w:ascii="仿宋_GB2312" w:hAnsi="仿宋_GB2312" w:eastAsia="仿宋_GB2312" w:cs="仿宋_GB2312"/>
                <w:b/>
                <w:szCs w:val="24"/>
                <w:lang w:val="en"/>
              </w:rPr>
              <w:t>违反条款</w:t>
            </w:r>
          </w:p>
        </w:tc>
        <w:tc>
          <w:tcPr>
            <w:tcW w:w="110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处罚依据</w:t>
            </w:r>
          </w:p>
        </w:tc>
        <w:tc>
          <w:tcPr>
            <w:tcW w:w="42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处罚种类</w:t>
            </w:r>
          </w:p>
        </w:tc>
        <w:tc>
          <w:tcPr>
            <w:tcW w:w="49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裁量阶次</w:t>
            </w:r>
          </w:p>
        </w:tc>
        <w:tc>
          <w:tcPr>
            <w:tcW w:w="62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适用条件</w:t>
            </w:r>
          </w:p>
        </w:tc>
        <w:tc>
          <w:tcPr>
            <w:tcW w:w="68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lang w:val="en"/>
              </w:rPr>
            </w:pPr>
            <w:r>
              <w:rPr>
                <w:rFonts w:hint="eastAsia" w:ascii="仿宋_GB2312" w:hAnsi="仿宋_GB2312" w:eastAsia="仿宋_GB2312" w:cs="仿宋_GB2312"/>
                <w:szCs w:val="24"/>
                <w:lang w:val="en"/>
              </w:rPr>
              <w:t>104.</w:t>
            </w:r>
            <w:r>
              <w:rPr>
                <w:rFonts w:hint="eastAsia" w:ascii="仿宋_GB2312" w:hAnsi="仿宋_GB2312" w:eastAsia="仿宋_GB2312" w:cs="仿宋_GB2312"/>
                <w:szCs w:val="24"/>
              </w:rPr>
              <w:t>5</w:t>
            </w:r>
          </w:p>
        </w:tc>
        <w:tc>
          <w:tcPr>
            <w:tcW w:w="45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擅自拆改供暖、燃气管道和设施的</w:t>
            </w:r>
          </w:p>
        </w:tc>
        <w:tc>
          <w:tcPr>
            <w:tcW w:w="792"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第六条第一款第三项、第四项：“装修人从事住宅室内装饰装修活动，未经批准，不得有下列行为：（三）拆改供暖管道和设施；（四）拆改燃气管道和设施。”</w:t>
            </w:r>
          </w:p>
        </w:tc>
        <w:tc>
          <w:tcPr>
            <w:tcW w:w="110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第三十八条第三项：“住宅室内装饰装修活动有下列行为之一的，由城市房地产行政主管部门责令改正，并处罚款：</w:t>
            </w:r>
          </w:p>
          <w:p>
            <w:pPr>
              <w:rPr>
                <w:rFonts w:hint="eastAsia" w:ascii="仿宋_GB2312" w:hAnsi="仿宋_GB2312" w:eastAsia="仿宋_GB2312" w:cs="仿宋_GB2312"/>
                <w:szCs w:val="24"/>
              </w:rPr>
            </w:pPr>
            <w:r>
              <w:rPr>
                <w:rFonts w:hint="eastAsia" w:ascii="仿宋_GB2312" w:hAnsi="仿宋_GB2312" w:eastAsia="仿宋_GB2312" w:cs="仿宋_GB2312"/>
                <w:szCs w:val="24"/>
              </w:rPr>
              <w:t>（三）擅自拆改供暖、燃气管道和设施的，对装修人处5百元以上1千元以下的罚款。”</w:t>
            </w:r>
          </w:p>
        </w:tc>
        <w:tc>
          <w:tcPr>
            <w:tcW w:w="429"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szCs w:val="24"/>
              </w:rPr>
              <w:t>罚款</w:t>
            </w:r>
          </w:p>
        </w:tc>
        <w:tc>
          <w:tcPr>
            <w:tcW w:w="49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color w:val="000000"/>
                <w:kern w:val="0"/>
                <w:szCs w:val="24"/>
              </w:rPr>
              <w:t>从轻</w:t>
            </w:r>
          </w:p>
        </w:tc>
        <w:tc>
          <w:tcPr>
            <w:tcW w:w="62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未造成后果或造成轻微危害后果的</w:t>
            </w:r>
          </w:p>
        </w:tc>
        <w:tc>
          <w:tcPr>
            <w:tcW w:w="68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责令改正，并处五百元以上、低于七百五十元的罚款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45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79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110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42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49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color w:val="000000"/>
                <w:kern w:val="0"/>
                <w:szCs w:val="24"/>
              </w:rPr>
              <w:t>一般</w:t>
            </w:r>
          </w:p>
        </w:tc>
        <w:tc>
          <w:tcPr>
            <w:tcW w:w="62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造成一般危害后果的</w:t>
            </w:r>
          </w:p>
        </w:tc>
        <w:tc>
          <w:tcPr>
            <w:tcW w:w="68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责令改正，并处七百五十元的罚款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45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79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110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42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49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color w:val="000000"/>
                <w:kern w:val="0"/>
                <w:szCs w:val="24"/>
              </w:rPr>
              <w:t>从重</w:t>
            </w:r>
          </w:p>
        </w:tc>
        <w:tc>
          <w:tcPr>
            <w:tcW w:w="62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造成严重危害后果的</w:t>
            </w:r>
          </w:p>
        </w:tc>
        <w:tc>
          <w:tcPr>
            <w:tcW w:w="68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责令改正，并处超过七百五十元、一千元以下的罚款</w:t>
            </w:r>
          </w:p>
        </w:tc>
      </w:tr>
    </w:tbl>
    <w:p>
      <w:pPr>
        <w:widowControl/>
        <w:jc w:val="left"/>
        <w:rPr>
          <w:rFonts w:hint="eastAsia" w:ascii="宋体" w:hAnsi="宋体"/>
          <w:b/>
          <w:sz w:val="32"/>
          <w:szCs w:val="24"/>
        </w:rPr>
      </w:pPr>
      <w:r>
        <w:rPr>
          <w:rFonts w:hint="eastAsia" w:ascii="宋体" w:hAnsi="宋体" w:eastAsia="宋体 (正文)"/>
          <w:sz w:val="32"/>
          <w:szCs w:val="24"/>
        </w:rPr>
        <w:t>《住宅室内装饰装修管理办法》</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68"/>
        <w:gridCol w:w="1755"/>
        <w:gridCol w:w="1630"/>
        <w:gridCol w:w="2962"/>
        <w:gridCol w:w="1622"/>
        <w:gridCol w:w="1182"/>
        <w:gridCol w:w="1182"/>
        <w:gridCol w:w="267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1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序号</w:t>
            </w:r>
          </w:p>
        </w:tc>
        <w:tc>
          <w:tcPr>
            <w:tcW w:w="61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违法行为</w:t>
            </w:r>
          </w:p>
        </w:tc>
        <w:tc>
          <w:tcPr>
            <w:tcW w:w="57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lang w:val="en"/>
              </w:rPr>
            </w:pPr>
            <w:r>
              <w:rPr>
                <w:rFonts w:hint="eastAsia" w:ascii="仿宋_GB2312" w:hAnsi="仿宋_GB2312" w:eastAsia="仿宋_GB2312" w:cs="仿宋_GB2312"/>
                <w:b/>
                <w:szCs w:val="24"/>
                <w:lang w:val="en"/>
              </w:rPr>
              <w:t>违反条款</w:t>
            </w:r>
          </w:p>
        </w:tc>
        <w:tc>
          <w:tcPr>
            <w:tcW w:w="104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处罚依据</w:t>
            </w:r>
          </w:p>
        </w:tc>
        <w:tc>
          <w:tcPr>
            <w:tcW w:w="57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处罚种类</w:t>
            </w:r>
          </w:p>
        </w:tc>
        <w:tc>
          <w:tcPr>
            <w:tcW w:w="41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裁量阶次</w:t>
            </w:r>
          </w:p>
        </w:tc>
        <w:tc>
          <w:tcPr>
            <w:tcW w:w="41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适用条件</w:t>
            </w:r>
          </w:p>
        </w:tc>
        <w:tc>
          <w:tcPr>
            <w:tcW w:w="94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2"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lang w:val="en"/>
              </w:rPr>
            </w:pPr>
            <w:r>
              <w:rPr>
                <w:rFonts w:hint="eastAsia" w:ascii="仿宋_GB2312" w:hAnsi="仿宋_GB2312" w:eastAsia="仿宋_GB2312" w:cs="仿宋_GB2312"/>
                <w:szCs w:val="24"/>
                <w:lang w:val="en"/>
              </w:rPr>
              <w:t>104.</w:t>
            </w:r>
            <w:r>
              <w:rPr>
                <w:rFonts w:hint="eastAsia" w:ascii="仿宋_GB2312" w:hAnsi="仿宋_GB2312" w:eastAsia="仿宋_GB2312" w:cs="仿宋_GB2312"/>
                <w:szCs w:val="24"/>
              </w:rPr>
              <w:t>6</w:t>
            </w:r>
          </w:p>
        </w:tc>
        <w:tc>
          <w:tcPr>
            <w:tcW w:w="619"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未经原设计单位或者具有相应资质等级的设计单位提出设计方案，擅自超过设计标准或者规范增加楼面荷载的</w:t>
            </w:r>
          </w:p>
        </w:tc>
        <w:tc>
          <w:tcPr>
            <w:tcW w:w="57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第七条：“住宅室内装饰装修超过设计标准或者规范增加楼面荷载的，应当经原设计单位或者具有相应资质等级的设计单位提出设计方案。”</w:t>
            </w:r>
          </w:p>
        </w:tc>
        <w:tc>
          <w:tcPr>
            <w:tcW w:w="104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第三十八条第四项：“住宅室内装饰装修活动有下列行为之一的，由城市房地产行政主管部门责令改正，并处罚款：（四）未经原设计单位或者具有相应资质等级的设计单位提出设计方案，擅自超过设计标准或者规范增加楼面荷载的，对装修人处5百元以上1千元以下的罚款，对装饰装修企业处1千元以上1万元以下的罚款。”</w:t>
            </w:r>
          </w:p>
        </w:tc>
        <w:tc>
          <w:tcPr>
            <w:tcW w:w="572"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szCs w:val="24"/>
              </w:rPr>
              <w:t>罚款</w:t>
            </w:r>
          </w:p>
        </w:tc>
        <w:tc>
          <w:tcPr>
            <w:tcW w:w="41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color w:val="000000"/>
                <w:kern w:val="0"/>
                <w:szCs w:val="24"/>
              </w:rPr>
              <w:t>从轻</w:t>
            </w:r>
          </w:p>
        </w:tc>
        <w:tc>
          <w:tcPr>
            <w:tcW w:w="41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未造成后果或造成轻微危害后果的</w:t>
            </w:r>
          </w:p>
        </w:tc>
        <w:tc>
          <w:tcPr>
            <w:tcW w:w="943"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责令改正，对装修人处五百元以上、低于七百五十元的罚款，对装饰装修企业处一千元以上、低于五千五百元的罚款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61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57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104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57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41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color w:val="000000"/>
                <w:kern w:val="0"/>
                <w:szCs w:val="24"/>
              </w:rPr>
              <w:t>一般</w:t>
            </w:r>
          </w:p>
        </w:tc>
        <w:tc>
          <w:tcPr>
            <w:tcW w:w="41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造成一般危害后果的</w:t>
            </w:r>
          </w:p>
        </w:tc>
        <w:tc>
          <w:tcPr>
            <w:tcW w:w="943"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责令改正，对装修人处七百五十元的罚款，对装饰装修企业处五千五百元的罚款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szCs w:val="24"/>
              </w:rPr>
              <w:t>五百</w:t>
            </w:r>
          </w:p>
        </w:tc>
        <w:tc>
          <w:tcPr>
            <w:tcW w:w="61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57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104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57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41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color w:val="000000"/>
                <w:kern w:val="0"/>
                <w:szCs w:val="24"/>
              </w:rPr>
              <w:t>从重</w:t>
            </w:r>
          </w:p>
        </w:tc>
        <w:tc>
          <w:tcPr>
            <w:tcW w:w="41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造成严重危害后果的</w:t>
            </w:r>
          </w:p>
        </w:tc>
        <w:tc>
          <w:tcPr>
            <w:tcW w:w="943"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责令改正，对装修人处超过七百五十元、一千元以下的罚款，对装饰装修企业处超过五千五百元、一万元以下的罚款</w:t>
            </w:r>
          </w:p>
        </w:tc>
      </w:tr>
    </w:tbl>
    <w:p>
      <w:pPr>
        <w:widowControl/>
        <w:jc w:val="left"/>
        <w:rPr>
          <w:rFonts w:hint="eastAsia" w:ascii="宋体" w:hAnsi="宋体"/>
          <w:b/>
          <w:sz w:val="32"/>
          <w:szCs w:val="24"/>
        </w:rPr>
      </w:pPr>
      <w:r>
        <w:rPr>
          <w:rFonts w:ascii="宋体" w:hAnsi="宋体"/>
          <w:b/>
          <w:sz w:val="32"/>
          <w:szCs w:val="24"/>
        </w:rPr>
        <w:br w:type="page"/>
      </w:r>
      <w:r>
        <w:rPr>
          <w:rFonts w:hint="eastAsia" w:ascii="宋体" w:hAnsi="宋体" w:eastAsia="宋体 (正文)"/>
          <w:sz w:val="32"/>
          <w:szCs w:val="24"/>
        </w:rPr>
        <w:t>《住宅室内装饰装修管理办法》</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4"/>
        <w:gridCol w:w="2109"/>
        <w:gridCol w:w="2237"/>
        <w:gridCol w:w="2608"/>
        <w:gridCol w:w="1202"/>
        <w:gridCol w:w="1199"/>
        <w:gridCol w:w="1508"/>
        <w:gridCol w:w="238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26"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序号</w:t>
            </w:r>
          </w:p>
        </w:tc>
        <w:tc>
          <w:tcPr>
            <w:tcW w:w="744"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789"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920"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424"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423"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532"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842"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6" w:hRule="atLeast"/>
          <w:jc w:val="center"/>
        </w:trPr>
        <w:tc>
          <w:tcPr>
            <w:tcW w:w="326" w:type="pct"/>
            <w:vMerge w:val="restart"/>
            <w:vAlign w:val="center"/>
          </w:tcPr>
          <w:p>
            <w:pPr>
              <w:jc w:val="center"/>
              <w:rPr>
                <w:rFonts w:hint="eastAsia" w:ascii="宋体" w:hAnsi="宋体" w:eastAsia="宋体" w:cs="黑体"/>
                <w:bCs/>
                <w:color w:val="000000"/>
                <w:kern w:val="0"/>
                <w:szCs w:val="21"/>
                <w:lang w:val="en"/>
              </w:rPr>
            </w:pPr>
            <w:r>
              <w:rPr>
                <w:rFonts w:hint="eastAsia" w:ascii="仿宋_GB2312" w:hAnsi="仿宋_GB2312" w:eastAsia="仿宋_GB2312" w:cs="仿宋_GB2312"/>
                <w:szCs w:val="24"/>
                <w:lang w:val="en"/>
              </w:rPr>
              <w:t>104.</w:t>
            </w:r>
            <w:r>
              <w:rPr>
                <w:rFonts w:hint="eastAsia" w:ascii="仿宋_GB2312" w:hAnsi="仿宋_GB2312" w:eastAsia="仿宋_GB2312" w:cs="仿宋_GB2312"/>
                <w:szCs w:val="24"/>
              </w:rPr>
              <w:t>7</w:t>
            </w:r>
          </w:p>
        </w:tc>
        <w:tc>
          <w:tcPr>
            <w:tcW w:w="744" w:type="pct"/>
            <w:vMerge w:val="restart"/>
            <w:vAlign w:val="center"/>
          </w:tcPr>
          <w:p>
            <w:pPr>
              <w:rPr>
                <w:rFonts w:hint="eastAsia" w:ascii="宋体" w:hAnsi="宋体" w:eastAsia="宋体" w:cs="黑体"/>
                <w:bCs/>
                <w:color w:val="000000"/>
                <w:szCs w:val="21"/>
              </w:rPr>
            </w:pPr>
            <w:r>
              <w:rPr>
                <w:rFonts w:hint="eastAsia" w:ascii="仿宋_GB2312" w:hAnsi="仿宋_GB2312" w:eastAsia="仿宋_GB2312" w:cs="仿宋_GB2312"/>
                <w:szCs w:val="24"/>
              </w:rPr>
              <w:t>装饰装修企业违反国家有关安全生产规定和安全生产技术规程，不按照规定采取必要的安全防护和消防措施，擅自动用明火作业和进行焊接作业的，或者对建筑安全事故隐患不采取措施予以消除的</w:t>
            </w:r>
          </w:p>
        </w:tc>
        <w:tc>
          <w:tcPr>
            <w:tcW w:w="789" w:type="pct"/>
            <w:vMerge w:val="restart"/>
            <w:vAlign w:val="center"/>
          </w:tcPr>
          <w:p>
            <w:pPr>
              <w:rPr>
                <w:rFonts w:hint="eastAsia" w:ascii="宋体" w:hAnsi="宋体" w:eastAsia="宋体" w:cs="黑体"/>
                <w:bCs/>
                <w:color w:val="000000"/>
              </w:rPr>
            </w:pPr>
            <w:r>
              <w:rPr>
                <w:rFonts w:hint="eastAsia" w:ascii="仿宋_GB2312" w:hAnsi="仿宋_GB2312" w:eastAsia="仿宋_GB2312" w:cs="仿宋_GB2312"/>
                <w:szCs w:val="24"/>
              </w:rPr>
              <w:t>第十一条：“装饰装修企业从事住宅室内装饰装修活动，应当遵守施工安全操作规程，按照规定采取必要的安全防护和消防措施，不得擅自动用明火和进行焊接作业，保证作业人员和周围住房及财产的安全。”</w:t>
            </w:r>
          </w:p>
        </w:tc>
        <w:tc>
          <w:tcPr>
            <w:tcW w:w="920" w:type="pct"/>
            <w:vMerge w:val="restart"/>
            <w:vAlign w:val="center"/>
          </w:tcPr>
          <w:p>
            <w:pPr>
              <w:rPr>
                <w:rFonts w:hint="eastAsia" w:ascii="宋体" w:hAnsi="宋体" w:eastAsia="宋体" w:cs="黑体"/>
                <w:bCs/>
                <w:color w:val="000000"/>
              </w:rPr>
            </w:pPr>
            <w:r>
              <w:rPr>
                <w:rFonts w:hint="eastAsia" w:ascii="仿宋_GB2312" w:hAnsi="仿宋_GB2312" w:eastAsia="仿宋_GB2312" w:cs="仿宋_GB2312"/>
                <w:szCs w:val="24"/>
              </w:rPr>
              <w:t>第四十一条：“装饰装修企业违反国家有关安全生产规定和安全生产技术规程，不按照规定采取必要的安全防护和消防措施，擅自动用明火作业和进行焊接作业的，或者对建筑安全事故隐患不采取措施予以消除的，由建设行政主管部门责令改正，并处一千元以上一万元以下的罚款；情节严重的，责令停业整顿，并处一万元以上三万元以下的罚款；造成重大安全事故的，降低资质等级或者吊销资质证书。”</w:t>
            </w:r>
          </w:p>
        </w:tc>
        <w:tc>
          <w:tcPr>
            <w:tcW w:w="424" w:type="pct"/>
            <w:vMerge w:val="restart"/>
            <w:vAlign w:val="center"/>
          </w:tcPr>
          <w:p>
            <w:pPr>
              <w:rPr>
                <w:rFonts w:hint="eastAsia" w:ascii="宋体" w:hAnsi="宋体" w:eastAsia="宋体" w:cs="黑体"/>
                <w:bCs/>
                <w:color w:val="000000"/>
              </w:rPr>
            </w:pPr>
            <w:r>
              <w:rPr>
                <w:rFonts w:hint="eastAsia" w:ascii="仿宋_GB2312" w:hAnsi="仿宋_GB2312" w:eastAsia="仿宋_GB2312" w:cs="仿宋_GB2312"/>
                <w:szCs w:val="24"/>
              </w:rPr>
              <w:t>罚款；责令停产停业；降低资质等级；吊销许可证件</w:t>
            </w:r>
          </w:p>
        </w:tc>
        <w:tc>
          <w:tcPr>
            <w:tcW w:w="423"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从轻</w:t>
            </w:r>
          </w:p>
        </w:tc>
        <w:tc>
          <w:tcPr>
            <w:tcW w:w="532"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1"/>
              </w:rPr>
              <w:t>未造成危害后果</w:t>
            </w:r>
          </w:p>
        </w:tc>
        <w:tc>
          <w:tcPr>
            <w:tcW w:w="842"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szCs w:val="24"/>
              </w:rPr>
              <w:t>责令改正，并处一千元以上、低于五千五百元的罚款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6" w:hRule="atLeast"/>
          <w:jc w:val="center"/>
        </w:trPr>
        <w:tc>
          <w:tcPr>
            <w:tcW w:w="326" w:type="pct"/>
            <w:vMerge w:val="continue"/>
            <w:vAlign w:val="center"/>
          </w:tcPr>
          <w:p>
            <w:pPr>
              <w:rPr>
                <w:rFonts w:hint="eastAsia" w:ascii="宋体" w:hAnsi="宋体" w:eastAsia="宋体" w:cs="黑体"/>
                <w:bCs/>
                <w:color w:val="000000"/>
              </w:rPr>
            </w:pPr>
          </w:p>
        </w:tc>
        <w:tc>
          <w:tcPr>
            <w:tcW w:w="744" w:type="pct"/>
            <w:vMerge w:val="continue"/>
            <w:vAlign w:val="center"/>
          </w:tcPr>
          <w:p>
            <w:pPr>
              <w:rPr>
                <w:rFonts w:hint="eastAsia" w:ascii="宋体" w:hAnsi="宋体" w:eastAsia="宋体" w:cs="黑体"/>
                <w:bCs/>
                <w:color w:val="000000"/>
              </w:rPr>
            </w:pPr>
          </w:p>
        </w:tc>
        <w:tc>
          <w:tcPr>
            <w:tcW w:w="789" w:type="pct"/>
            <w:vMerge w:val="continue"/>
            <w:vAlign w:val="center"/>
          </w:tcPr>
          <w:p>
            <w:pPr>
              <w:rPr>
                <w:rFonts w:hint="eastAsia" w:ascii="宋体" w:hAnsi="宋体" w:eastAsia="宋体" w:cs="黑体"/>
                <w:bCs/>
                <w:color w:val="000000"/>
              </w:rPr>
            </w:pPr>
          </w:p>
        </w:tc>
        <w:tc>
          <w:tcPr>
            <w:tcW w:w="920"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24" w:type="pct"/>
            <w:vMerge w:val="continue"/>
            <w:vAlign w:val="center"/>
          </w:tcPr>
          <w:p>
            <w:pPr>
              <w:jc w:val="center"/>
              <w:rPr>
                <w:rFonts w:hint="eastAsia" w:ascii="宋体" w:hAnsi="宋体" w:eastAsia="宋体" w:cs="黑体"/>
                <w:bCs/>
                <w:color w:val="000000"/>
              </w:rPr>
            </w:pPr>
          </w:p>
        </w:tc>
        <w:tc>
          <w:tcPr>
            <w:tcW w:w="423"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一般</w:t>
            </w:r>
          </w:p>
        </w:tc>
        <w:tc>
          <w:tcPr>
            <w:tcW w:w="532"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1"/>
              </w:rPr>
              <w:t>造成轻微危害后果的</w:t>
            </w:r>
          </w:p>
        </w:tc>
        <w:tc>
          <w:tcPr>
            <w:tcW w:w="842"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4"/>
              </w:rPr>
              <w:t>责令改正，并处五千五百元的罚款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6" w:hRule="atLeast"/>
          <w:jc w:val="center"/>
        </w:trPr>
        <w:tc>
          <w:tcPr>
            <w:tcW w:w="326" w:type="pct"/>
            <w:vMerge w:val="continue"/>
            <w:vAlign w:val="center"/>
          </w:tcPr>
          <w:p>
            <w:pPr>
              <w:rPr>
                <w:rFonts w:hint="eastAsia" w:ascii="宋体" w:hAnsi="宋体" w:eastAsia="宋体" w:cs="黑体"/>
                <w:bCs/>
                <w:color w:val="000000"/>
              </w:rPr>
            </w:pPr>
          </w:p>
        </w:tc>
        <w:tc>
          <w:tcPr>
            <w:tcW w:w="744" w:type="pct"/>
            <w:vMerge w:val="continue"/>
            <w:vAlign w:val="center"/>
          </w:tcPr>
          <w:p>
            <w:pPr>
              <w:rPr>
                <w:rFonts w:hint="eastAsia" w:ascii="宋体" w:hAnsi="宋体" w:eastAsia="宋体" w:cs="黑体"/>
                <w:bCs/>
                <w:color w:val="000000"/>
              </w:rPr>
            </w:pPr>
          </w:p>
        </w:tc>
        <w:tc>
          <w:tcPr>
            <w:tcW w:w="789" w:type="pct"/>
            <w:vMerge w:val="continue"/>
            <w:vAlign w:val="center"/>
          </w:tcPr>
          <w:p>
            <w:pPr>
              <w:rPr>
                <w:rFonts w:hint="eastAsia" w:ascii="宋体" w:hAnsi="宋体" w:eastAsia="宋体" w:cs="黑体"/>
                <w:bCs/>
                <w:color w:val="000000"/>
              </w:rPr>
            </w:pPr>
          </w:p>
        </w:tc>
        <w:tc>
          <w:tcPr>
            <w:tcW w:w="920"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24" w:type="pct"/>
            <w:vMerge w:val="continue"/>
            <w:vAlign w:val="center"/>
          </w:tcPr>
          <w:p>
            <w:pPr>
              <w:jc w:val="center"/>
              <w:rPr>
                <w:rFonts w:hint="eastAsia" w:ascii="宋体" w:hAnsi="宋体" w:eastAsia="宋体" w:cs="黑体"/>
                <w:bCs/>
                <w:color w:val="000000"/>
              </w:rPr>
            </w:pPr>
          </w:p>
        </w:tc>
        <w:tc>
          <w:tcPr>
            <w:tcW w:w="423"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从重</w:t>
            </w:r>
          </w:p>
        </w:tc>
        <w:tc>
          <w:tcPr>
            <w:tcW w:w="532"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1"/>
              </w:rPr>
              <w:t>造成一般危害后果的</w:t>
            </w:r>
          </w:p>
        </w:tc>
        <w:tc>
          <w:tcPr>
            <w:tcW w:w="842"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4"/>
              </w:rPr>
              <w:t>责令改正，并处超过五千五百元、一万元以下的罚款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6" w:hRule="atLeast"/>
          <w:jc w:val="center"/>
        </w:trPr>
        <w:tc>
          <w:tcPr>
            <w:tcW w:w="326" w:type="pct"/>
            <w:vMerge w:val="continue"/>
            <w:vAlign w:val="center"/>
          </w:tcPr>
          <w:p>
            <w:pPr>
              <w:rPr>
                <w:rFonts w:hint="eastAsia" w:ascii="宋体" w:hAnsi="宋体" w:eastAsia="宋体" w:cs="黑体"/>
                <w:bCs/>
                <w:color w:val="000000"/>
              </w:rPr>
            </w:pPr>
          </w:p>
        </w:tc>
        <w:tc>
          <w:tcPr>
            <w:tcW w:w="744" w:type="pct"/>
            <w:vMerge w:val="continue"/>
            <w:vAlign w:val="center"/>
          </w:tcPr>
          <w:p>
            <w:pPr>
              <w:rPr>
                <w:rFonts w:hint="eastAsia" w:ascii="宋体" w:hAnsi="宋体" w:eastAsia="宋体" w:cs="黑体"/>
                <w:bCs/>
                <w:color w:val="000000"/>
              </w:rPr>
            </w:pPr>
          </w:p>
        </w:tc>
        <w:tc>
          <w:tcPr>
            <w:tcW w:w="789" w:type="pct"/>
            <w:vMerge w:val="continue"/>
            <w:vAlign w:val="center"/>
          </w:tcPr>
          <w:p>
            <w:pPr>
              <w:rPr>
                <w:rFonts w:hint="eastAsia" w:ascii="宋体" w:hAnsi="宋体" w:eastAsia="宋体" w:cs="黑体"/>
                <w:bCs/>
                <w:color w:val="000000"/>
              </w:rPr>
            </w:pPr>
          </w:p>
        </w:tc>
        <w:tc>
          <w:tcPr>
            <w:tcW w:w="920"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24" w:type="pct"/>
            <w:vMerge w:val="continue"/>
            <w:vAlign w:val="center"/>
          </w:tcPr>
          <w:p>
            <w:pPr>
              <w:jc w:val="center"/>
              <w:rPr>
                <w:rFonts w:hint="eastAsia" w:ascii="宋体" w:hAnsi="宋体" w:eastAsia="宋体" w:cs="黑体"/>
                <w:bCs/>
                <w:color w:val="000000"/>
              </w:rPr>
            </w:pPr>
          </w:p>
        </w:tc>
        <w:tc>
          <w:tcPr>
            <w:tcW w:w="423"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从轻</w:t>
            </w:r>
          </w:p>
        </w:tc>
        <w:tc>
          <w:tcPr>
            <w:tcW w:w="532"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1"/>
              </w:rPr>
              <w:t>造成严重危害后果未造成安全事故的</w:t>
            </w:r>
          </w:p>
        </w:tc>
        <w:tc>
          <w:tcPr>
            <w:tcW w:w="842"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4"/>
              </w:rPr>
              <w:t>责令停业整顿，并处一万元以上、低于二万元以下的罚款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6" w:hRule="atLeast"/>
          <w:jc w:val="center"/>
        </w:trPr>
        <w:tc>
          <w:tcPr>
            <w:tcW w:w="326" w:type="pct"/>
            <w:vMerge w:val="continue"/>
            <w:vAlign w:val="center"/>
          </w:tcPr>
          <w:p>
            <w:pPr>
              <w:rPr>
                <w:rFonts w:hint="eastAsia" w:ascii="宋体" w:hAnsi="宋体" w:eastAsia="宋体" w:cs="黑体"/>
                <w:bCs/>
                <w:color w:val="000000"/>
              </w:rPr>
            </w:pPr>
          </w:p>
        </w:tc>
        <w:tc>
          <w:tcPr>
            <w:tcW w:w="744" w:type="pct"/>
            <w:vMerge w:val="continue"/>
            <w:vAlign w:val="center"/>
          </w:tcPr>
          <w:p>
            <w:pPr>
              <w:rPr>
                <w:rFonts w:hint="eastAsia" w:ascii="宋体" w:hAnsi="宋体" w:eastAsia="宋体" w:cs="黑体"/>
                <w:bCs/>
                <w:color w:val="000000"/>
              </w:rPr>
            </w:pPr>
          </w:p>
        </w:tc>
        <w:tc>
          <w:tcPr>
            <w:tcW w:w="789" w:type="pct"/>
            <w:vMerge w:val="continue"/>
            <w:vAlign w:val="center"/>
          </w:tcPr>
          <w:p>
            <w:pPr>
              <w:rPr>
                <w:rFonts w:hint="eastAsia" w:ascii="宋体" w:hAnsi="宋体" w:eastAsia="宋体" w:cs="黑体"/>
                <w:bCs/>
                <w:color w:val="000000"/>
              </w:rPr>
            </w:pPr>
          </w:p>
        </w:tc>
        <w:tc>
          <w:tcPr>
            <w:tcW w:w="920"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24" w:type="pct"/>
            <w:vMerge w:val="continue"/>
            <w:vAlign w:val="center"/>
          </w:tcPr>
          <w:p>
            <w:pPr>
              <w:jc w:val="center"/>
              <w:rPr>
                <w:rFonts w:hint="eastAsia" w:ascii="宋体" w:hAnsi="宋体" w:eastAsia="宋体" w:cs="黑体"/>
                <w:bCs/>
                <w:color w:val="000000"/>
              </w:rPr>
            </w:pPr>
          </w:p>
        </w:tc>
        <w:tc>
          <w:tcPr>
            <w:tcW w:w="423"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一般</w:t>
            </w:r>
          </w:p>
        </w:tc>
        <w:tc>
          <w:tcPr>
            <w:tcW w:w="532"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1"/>
              </w:rPr>
              <w:t>造成一般安全事故的</w:t>
            </w:r>
          </w:p>
        </w:tc>
        <w:tc>
          <w:tcPr>
            <w:tcW w:w="842"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4"/>
              </w:rPr>
              <w:t>责令停业整顿，并处二万元的罚款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6" w:hRule="atLeast"/>
          <w:jc w:val="center"/>
        </w:trPr>
        <w:tc>
          <w:tcPr>
            <w:tcW w:w="326" w:type="pct"/>
            <w:vMerge w:val="continue"/>
            <w:vAlign w:val="center"/>
          </w:tcPr>
          <w:p>
            <w:pPr>
              <w:rPr>
                <w:rFonts w:hint="eastAsia" w:ascii="宋体" w:hAnsi="宋体" w:eastAsia="宋体" w:cs="黑体"/>
                <w:bCs/>
                <w:color w:val="000000"/>
              </w:rPr>
            </w:pPr>
          </w:p>
        </w:tc>
        <w:tc>
          <w:tcPr>
            <w:tcW w:w="744" w:type="pct"/>
            <w:vMerge w:val="continue"/>
            <w:vAlign w:val="center"/>
          </w:tcPr>
          <w:p>
            <w:pPr>
              <w:rPr>
                <w:rFonts w:hint="eastAsia" w:ascii="宋体" w:hAnsi="宋体" w:eastAsia="宋体" w:cs="黑体"/>
                <w:bCs/>
                <w:color w:val="000000"/>
              </w:rPr>
            </w:pPr>
          </w:p>
        </w:tc>
        <w:tc>
          <w:tcPr>
            <w:tcW w:w="789" w:type="pct"/>
            <w:vMerge w:val="continue"/>
            <w:vAlign w:val="center"/>
          </w:tcPr>
          <w:p>
            <w:pPr>
              <w:rPr>
                <w:rFonts w:hint="eastAsia" w:ascii="宋体" w:hAnsi="宋体" w:eastAsia="宋体" w:cs="黑体"/>
                <w:bCs/>
                <w:color w:val="000000"/>
              </w:rPr>
            </w:pPr>
          </w:p>
        </w:tc>
        <w:tc>
          <w:tcPr>
            <w:tcW w:w="920"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24" w:type="pct"/>
            <w:vMerge w:val="continue"/>
            <w:vAlign w:val="center"/>
          </w:tcPr>
          <w:p>
            <w:pPr>
              <w:jc w:val="center"/>
              <w:rPr>
                <w:rFonts w:hint="eastAsia" w:ascii="宋体" w:hAnsi="宋体" w:eastAsia="宋体" w:cs="黑体"/>
                <w:bCs/>
                <w:color w:val="000000"/>
              </w:rPr>
            </w:pPr>
          </w:p>
        </w:tc>
        <w:tc>
          <w:tcPr>
            <w:tcW w:w="423"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从重</w:t>
            </w:r>
          </w:p>
        </w:tc>
        <w:tc>
          <w:tcPr>
            <w:tcW w:w="532"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1"/>
              </w:rPr>
              <w:t>造成较大及以上安全事故的</w:t>
            </w:r>
          </w:p>
        </w:tc>
        <w:tc>
          <w:tcPr>
            <w:tcW w:w="842"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4"/>
              </w:rPr>
              <w:t>责令停业整顿，并处超过二万元、三万元以下的罚款；造成重大安全事故的，降低资质等级或者吊销资质证书</w:t>
            </w:r>
          </w:p>
        </w:tc>
      </w:tr>
    </w:tbl>
    <w:p>
      <w:pPr>
        <w:widowControl/>
        <w:jc w:val="left"/>
        <w:rPr>
          <w:rFonts w:hint="eastAsia" w:ascii="宋体" w:hAnsi="宋体"/>
          <w:b/>
          <w:sz w:val="32"/>
          <w:szCs w:val="24"/>
        </w:rPr>
      </w:pPr>
      <w:r>
        <w:rPr>
          <w:rFonts w:ascii="宋体" w:hAnsi="宋体"/>
          <w:b/>
          <w:sz w:val="32"/>
          <w:szCs w:val="24"/>
        </w:rPr>
        <w:br w:type="page"/>
      </w:r>
    </w:p>
    <w:p>
      <w:pPr>
        <w:jc w:val="left"/>
        <w:rPr>
          <w:rFonts w:hint="eastAsia" w:ascii="宋体" w:hAnsi="宋体"/>
          <w:b/>
          <w:sz w:val="32"/>
          <w:szCs w:val="24"/>
        </w:rPr>
      </w:pPr>
      <w:r>
        <w:rPr>
          <w:rFonts w:hint="eastAsia" w:ascii="宋体" w:hAnsi="宋体" w:eastAsia="宋体 (正文)"/>
          <w:sz w:val="32"/>
          <w:szCs w:val="24"/>
        </w:rPr>
        <w:t>《住宅室内装饰装修管理办法》</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2"/>
        <w:gridCol w:w="1738"/>
        <w:gridCol w:w="3101"/>
        <w:gridCol w:w="1885"/>
        <w:gridCol w:w="1284"/>
        <w:gridCol w:w="1199"/>
        <w:gridCol w:w="1324"/>
        <w:gridCol w:w="27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2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序号</w:t>
            </w:r>
          </w:p>
        </w:tc>
        <w:tc>
          <w:tcPr>
            <w:tcW w:w="61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违法行为</w:t>
            </w:r>
          </w:p>
        </w:tc>
        <w:tc>
          <w:tcPr>
            <w:tcW w:w="109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lang w:val="en"/>
              </w:rPr>
            </w:pPr>
            <w:r>
              <w:rPr>
                <w:rFonts w:hint="eastAsia" w:ascii="仿宋_GB2312" w:hAnsi="仿宋_GB2312" w:eastAsia="仿宋_GB2312" w:cs="仿宋_GB2312"/>
                <w:b/>
                <w:szCs w:val="24"/>
                <w:lang w:val="en"/>
              </w:rPr>
              <w:t>违反条款</w:t>
            </w:r>
          </w:p>
        </w:tc>
        <w:tc>
          <w:tcPr>
            <w:tcW w:w="66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处罚依据</w:t>
            </w:r>
          </w:p>
        </w:tc>
        <w:tc>
          <w:tcPr>
            <w:tcW w:w="45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处罚种类</w:t>
            </w:r>
          </w:p>
        </w:tc>
        <w:tc>
          <w:tcPr>
            <w:tcW w:w="42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裁量阶次</w:t>
            </w:r>
          </w:p>
        </w:tc>
        <w:tc>
          <w:tcPr>
            <w:tcW w:w="46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适用条件</w:t>
            </w:r>
          </w:p>
        </w:tc>
        <w:tc>
          <w:tcPr>
            <w:tcW w:w="95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29"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lang w:val="en"/>
              </w:rPr>
            </w:pPr>
            <w:r>
              <w:rPr>
                <w:rFonts w:hint="eastAsia" w:ascii="仿宋_GB2312" w:hAnsi="仿宋_GB2312" w:eastAsia="仿宋_GB2312" w:cs="仿宋_GB2312"/>
                <w:szCs w:val="24"/>
                <w:lang w:val="en"/>
              </w:rPr>
              <w:t>104.</w:t>
            </w:r>
            <w:r>
              <w:rPr>
                <w:rFonts w:hint="eastAsia" w:ascii="仿宋_GB2312" w:hAnsi="仿宋_GB2312" w:eastAsia="仿宋_GB2312" w:cs="仿宋_GB2312"/>
                <w:szCs w:val="24"/>
              </w:rPr>
              <w:t>8</w:t>
            </w:r>
          </w:p>
        </w:tc>
        <w:tc>
          <w:tcPr>
            <w:tcW w:w="613"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物业管理单位发现装修人或者装饰装修企业有违反本办法规定的行为不及时向有关部门报告的</w:t>
            </w:r>
          </w:p>
        </w:tc>
        <w:tc>
          <w:tcPr>
            <w:tcW w:w="1094"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第十七条：“物业管理单位应当按照住宅室内装饰装修管理服务协议实施管理，发现装修人或者装饰装修企业有本办法第五条行为的，或者未经有关部门批准实施本办法第六条所列行为的，或者有违反本办法第七条、第八条、第九条规定行为的，应当立即制止；已造成事实后果或者拒不改正的，应当及时报告有关部门依法处理。对装修人或者装饰装修企业违反住宅室内装饰装修管理服务协议的，追究违约责任。”</w:t>
            </w:r>
          </w:p>
        </w:tc>
        <w:tc>
          <w:tcPr>
            <w:tcW w:w="66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第四十二条：“物业管理单位发现装修人或者装饰装修企业有违反本办法规定的行为不及时向有关部门报告的，由房地产行政主管部门给予警告，可处装饰装修管理服务协议约定的装饰装修管理服务费2至3倍的罚款。”</w:t>
            </w:r>
          </w:p>
        </w:tc>
        <w:tc>
          <w:tcPr>
            <w:tcW w:w="453"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szCs w:val="24"/>
              </w:rPr>
              <w:t>警告；罚款</w:t>
            </w:r>
          </w:p>
        </w:tc>
        <w:tc>
          <w:tcPr>
            <w:tcW w:w="42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color w:val="000000"/>
                <w:kern w:val="0"/>
                <w:szCs w:val="24"/>
              </w:rPr>
              <w:t>从轻</w:t>
            </w:r>
          </w:p>
        </w:tc>
        <w:tc>
          <w:tcPr>
            <w:tcW w:w="46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未造成后果或造成轻微危害后果的</w:t>
            </w:r>
          </w:p>
        </w:tc>
        <w:tc>
          <w:tcPr>
            <w:tcW w:w="95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警告，可处装饰装修管理服务协议约定的装饰装修管理服务费2倍以上、低于2.5倍的罚款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2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61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109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66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45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42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color w:val="000000"/>
                <w:kern w:val="0"/>
                <w:szCs w:val="24"/>
              </w:rPr>
              <w:t>一般</w:t>
            </w:r>
          </w:p>
        </w:tc>
        <w:tc>
          <w:tcPr>
            <w:tcW w:w="46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造成一般危害后果的</w:t>
            </w:r>
          </w:p>
        </w:tc>
        <w:tc>
          <w:tcPr>
            <w:tcW w:w="95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警告，可处装饰装修管理服务协议约定的装饰装修管理服务费2.5倍的罚款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2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61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109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66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45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42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color w:val="000000"/>
                <w:kern w:val="0"/>
                <w:szCs w:val="24"/>
              </w:rPr>
              <w:t>从重</w:t>
            </w:r>
          </w:p>
        </w:tc>
        <w:tc>
          <w:tcPr>
            <w:tcW w:w="46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造成严重危害后果的</w:t>
            </w:r>
          </w:p>
        </w:tc>
        <w:tc>
          <w:tcPr>
            <w:tcW w:w="95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警告，可处装饰装修管理服务协议约定的装饰装修管理服务费超过2.5倍、3倍以下的罚款</w:t>
            </w:r>
          </w:p>
        </w:tc>
      </w:tr>
    </w:tbl>
    <w:p>
      <w:pPr>
        <w:widowControl/>
        <w:jc w:val="left"/>
        <w:rPr>
          <w:rFonts w:eastAsia="宋体" w:cs="Times New Roman"/>
          <w:bCs/>
          <w:sz w:val="32"/>
          <w:szCs w:val="32"/>
        </w:rPr>
      </w:pPr>
      <w:r>
        <w:rPr>
          <w:rFonts w:hint="eastAsia" w:eastAsia="宋体" w:cs="Times New Roman"/>
          <w:bCs/>
          <w:sz w:val="32"/>
          <w:szCs w:val="32"/>
        </w:rPr>
        <w:t>《建筑工程五方责任主体项目负责人质量终身责任追究暂行办法》</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68"/>
        <w:gridCol w:w="955"/>
        <w:gridCol w:w="1726"/>
        <w:gridCol w:w="5332"/>
        <w:gridCol w:w="1006"/>
        <w:gridCol w:w="1009"/>
        <w:gridCol w:w="1010"/>
        <w:gridCol w:w="23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71" w:type="pct"/>
            <w:vAlign w:val="center"/>
          </w:tcPr>
          <w:p>
            <w:pPr>
              <w:jc w:val="center"/>
              <w:rPr>
                <w:rFonts w:hint="eastAsia" w:ascii="仿宋_GB2312" w:hAnsi="仿宋_GB2312" w:eastAsia="仿宋_GB2312" w:cs="仿宋_GB2312"/>
                <w:b/>
                <w:bCs/>
                <w:sz w:val="18"/>
                <w:szCs w:val="18"/>
              </w:rPr>
            </w:pPr>
            <w:r>
              <w:rPr>
                <w:rFonts w:hint="eastAsia" w:ascii="仿宋_GB2312" w:hAnsi="仿宋_GB2312" w:eastAsia="仿宋_GB2312" w:cs="仿宋_GB2312"/>
                <w:b/>
                <w:bCs/>
                <w:sz w:val="18"/>
                <w:szCs w:val="18"/>
              </w:rPr>
              <w:t>序号</w:t>
            </w:r>
          </w:p>
        </w:tc>
        <w:tc>
          <w:tcPr>
            <w:tcW w:w="337" w:type="pct"/>
            <w:vAlign w:val="center"/>
          </w:tcPr>
          <w:p>
            <w:pPr>
              <w:jc w:val="center"/>
              <w:rPr>
                <w:rFonts w:hint="eastAsia" w:ascii="仿宋_GB2312" w:hAnsi="仿宋_GB2312" w:eastAsia="仿宋_GB2312" w:cs="仿宋_GB2312"/>
                <w:b/>
                <w:bCs/>
                <w:sz w:val="18"/>
                <w:szCs w:val="18"/>
              </w:rPr>
            </w:pPr>
            <w:r>
              <w:rPr>
                <w:rFonts w:hint="eastAsia" w:ascii="仿宋_GB2312" w:hAnsi="仿宋_GB2312" w:eastAsia="仿宋_GB2312" w:cs="仿宋_GB2312"/>
                <w:b/>
                <w:bCs/>
                <w:sz w:val="18"/>
                <w:szCs w:val="18"/>
              </w:rPr>
              <w:t>违法行为</w:t>
            </w:r>
          </w:p>
        </w:tc>
        <w:tc>
          <w:tcPr>
            <w:tcW w:w="609" w:type="pct"/>
            <w:vAlign w:val="center"/>
          </w:tcPr>
          <w:p>
            <w:pPr>
              <w:jc w:val="center"/>
              <w:rPr>
                <w:rFonts w:hint="eastAsia" w:ascii="仿宋_GB2312" w:hAnsi="仿宋_GB2312" w:eastAsia="仿宋_GB2312" w:cs="仿宋_GB2312"/>
                <w:b/>
                <w:bCs/>
                <w:sz w:val="18"/>
                <w:szCs w:val="18"/>
              </w:rPr>
            </w:pPr>
            <w:r>
              <w:rPr>
                <w:rFonts w:hint="eastAsia" w:ascii="仿宋_GB2312" w:hAnsi="仿宋_GB2312" w:eastAsia="仿宋_GB2312" w:cs="仿宋_GB2312"/>
                <w:b/>
                <w:bCs/>
                <w:sz w:val="18"/>
                <w:szCs w:val="18"/>
                <w:lang w:val="en"/>
              </w:rPr>
              <w:t>违反条款</w:t>
            </w:r>
          </w:p>
        </w:tc>
        <w:tc>
          <w:tcPr>
            <w:tcW w:w="1881" w:type="pct"/>
            <w:vAlign w:val="center"/>
          </w:tcPr>
          <w:p>
            <w:pPr>
              <w:jc w:val="center"/>
              <w:rPr>
                <w:rFonts w:hint="eastAsia" w:ascii="仿宋_GB2312" w:hAnsi="仿宋_GB2312" w:eastAsia="仿宋_GB2312" w:cs="仿宋_GB2312"/>
                <w:b/>
                <w:bCs/>
                <w:sz w:val="18"/>
                <w:szCs w:val="18"/>
              </w:rPr>
            </w:pPr>
            <w:r>
              <w:rPr>
                <w:rFonts w:hint="eastAsia" w:ascii="仿宋_GB2312" w:hAnsi="仿宋_GB2312" w:eastAsia="仿宋_GB2312" w:cs="仿宋_GB2312"/>
                <w:b/>
                <w:bCs/>
                <w:sz w:val="18"/>
                <w:szCs w:val="18"/>
              </w:rPr>
              <w:t>处罚依据</w:t>
            </w:r>
          </w:p>
        </w:tc>
        <w:tc>
          <w:tcPr>
            <w:tcW w:w="355" w:type="pct"/>
            <w:vAlign w:val="center"/>
          </w:tcPr>
          <w:p>
            <w:pPr>
              <w:jc w:val="center"/>
              <w:rPr>
                <w:rFonts w:hint="eastAsia" w:ascii="仿宋_GB2312" w:hAnsi="仿宋_GB2312" w:eastAsia="仿宋_GB2312" w:cs="仿宋_GB2312"/>
                <w:b/>
                <w:bCs/>
                <w:sz w:val="18"/>
                <w:szCs w:val="18"/>
              </w:rPr>
            </w:pPr>
            <w:r>
              <w:rPr>
                <w:rFonts w:hint="eastAsia" w:ascii="仿宋_GB2312" w:hAnsi="仿宋_GB2312" w:eastAsia="仿宋_GB2312" w:cs="仿宋_GB2312"/>
                <w:b/>
                <w:bCs/>
                <w:sz w:val="18"/>
                <w:szCs w:val="18"/>
              </w:rPr>
              <w:t>处罚种类</w:t>
            </w:r>
          </w:p>
        </w:tc>
        <w:tc>
          <w:tcPr>
            <w:tcW w:w="356" w:type="pct"/>
            <w:vAlign w:val="center"/>
          </w:tcPr>
          <w:p>
            <w:pPr>
              <w:jc w:val="center"/>
              <w:rPr>
                <w:rFonts w:hint="eastAsia" w:ascii="仿宋_GB2312" w:hAnsi="仿宋_GB2312" w:eastAsia="仿宋_GB2312" w:cs="仿宋_GB2312"/>
                <w:b/>
                <w:bCs/>
                <w:sz w:val="18"/>
                <w:szCs w:val="18"/>
              </w:rPr>
            </w:pPr>
            <w:r>
              <w:rPr>
                <w:rFonts w:hint="eastAsia" w:ascii="仿宋_GB2312" w:hAnsi="仿宋_GB2312" w:eastAsia="仿宋_GB2312" w:cs="仿宋_GB2312"/>
                <w:b/>
                <w:bCs/>
                <w:sz w:val="18"/>
                <w:szCs w:val="18"/>
              </w:rPr>
              <w:t>裁量阶次</w:t>
            </w:r>
          </w:p>
        </w:tc>
        <w:tc>
          <w:tcPr>
            <w:tcW w:w="356" w:type="pct"/>
            <w:vAlign w:val="center"/>
          </w:tcPr>
          <w:p>
            <w:pPr>
              <w:jc w:val="center"/>
              <w:rPr>
                <w:rFonts w:hint="eastAsia" w:ascii="仿宋_GB2312" w:hAnsi="仿宋_GB2312" w:eastAsia="仿宋_GB2312" w:cs="仿宋_GB2312"/>
                <w:b/>
                <w:bCs/>
                <w:sz w:val="18"/>
                <w:szCs w:val="18"/>
              </w:rPr>
            </w:pPr>
            <w:r>
              <w:rPr>
                <w:rFonts w:hint="eastAsia" w:ascii="仿宋_GB2312" w:hAnsi="仿宋_GB2312" w:eastAsia="仿宋_GB2312" w:cs="仿宋_GB2312"/>
                <w:b/>
                <w:bCs/>
                <w:sz w:val="18"/>
                <w:szCs w:val="18"/>
              </w:rPr>
              <w:t>适用条件</w:t>
            </w:r>
          </w:p>
        </w:tc>
        <w:tc>
          <w:tcPr>
            <w:tcW w:w="835" w:type="pct"/>
            <w:vAlign w:val="center"/>
          </w:tcPr>
          <w:p>
            <w:pPr>
              <w:jc w:val="center"/>
              <w:rPr>
                <w:rFonts w:hint="eastAsia" w:ascii="仿宋_GB2312" w:hAnsi="仿宋_GB2312" w:eastAsia="仿宋_GB2312" w:cs="仿宋_GB2312"/>
                <w:b/>
                <w:bCs/>
                <w:sz w:val="18"/>
                <w:szCs w:val="18"/>
              </w:rPr>
            </w:pPr>
            <w:r>
              <w:rPr>
                <w:rFonts w:hint="eastAsia" w:ascii="仿宋_GB2312" w:hAnsi="仿宋_GB2312" w:eastAsia="仿宋_GB2312" w:cs="仿宋_GB2312"/>
                <w:b/>
                <w:bCs/>
                <w:sz w:val="18"/>
                <w:szCs w:val="18"/>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271" w:type="pct"/>
            <w:vMerge w:val="restart"/>
            <w:vAlign w:val="center"/>
          </w:tcPr>
          <w:p>
            <w:pPr>
              <w:jc w:val="cente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105.</w:t>
            </w:r>
            <w:r>
              <w:rPr>
                <w:rFonts w:hint="eastAsia" w:ascii="仿宋_GB2312" w:hAnsi="仿宋_GB2312" w:eastAsia="仿宋_GB2312" w:cs="仿宋_GB2312"/>
                <w:sz w:val="18"/>
                <w:szCs w:val="18"/>
                <w:highlight w:val="none"/>
              </w:rPr>
              <w:t>1</w:t>
            </w:r>
          </w:p>
        </w:tc>
        <w:tc>
          <w:tcPr>
            <w:tcW w:w="337" w:type="pct"/>
            <w:vMerge w:val="restart"/>
            <w:vAlign w:val="center"/>
          </w:tcPr>
          <w:p>
            <w:pPr>
              <w:jc w:val="left"/>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发生本《办法》第六条规定的违法情形的</w:t>
            </w:r>
          </w:p>
        </w:tc>
        <w:tc>
          <w:tcPr>
            <w:tcW w:w="609" w:type="pct"/>
            <w:vMerge w:val="restart"/>
            <w:vAlign w:val="center"/>
          </w:tcPr>
          <w:p>
            <w:pPr>
              <w:jc w:val="left"/>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第六条：“符合下列情形之一的，县级以上地方人民政府住房城乡建设主管部门应当依法追究项目负责人的质量终身责任：（一）发生工程质量事故；（二）发生投诉、举报、群体性事件、媒体报道并造成恶劣社会影响的严重工程质量问题；（三）由于勘察、设计或施工原因造成尚在设计使用年限内的建筑工程不能正常使用；（四）存在其他需追究责任的违法违规行为。”</w:t>
            </w:r>
          </w:p>
        </w:tc>
        <w:tc>
          <w:tcPr>
            <w:tcW w:w="1881" w:type="pct"/>
            <w:vMerge w:val="restart"/>
            <w:vAlign w:val="center"/>
          </w:tcPr>
          <w:p>
            <w:pPr>
              <w:jc w:val="left"/>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第十一条：“发生本办法第六条所列情形之一的，对建设单位项目负责人按以下方式进行责任追究：（三）处单位罚款数额5％以上10％以下的罚款。”</w:t>
            </w:r>
          </w:p>
          <w:p>
            <w:pPr>
              <w:jc w:val="left"/>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第十二条：“发生本办法第六条所列情形之一的，对勘察单位项目负责人、设计单位项目负责人按以下方式进行责任追究：（一）项目负责人为注册建筑师、勘察设计注册工程师的，责令停止执业1年；造成重大质量事故的，吊销执业资格证书，5年以内不予注册；情节特别恶劣的，终身不予注册；（三）处单位罚款数额5％以上10％以下的罚款。”</w:t>
            </w:r>
          </w:p>
          <w:p>
            <w:pPr>
              <w:jc w:val="left"/>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第十三条：“发生本办法第六条所列情形之一的，对施工单位项目经理按以下方式进行责任追究：（一）项目经理为相关注册执业人员的，责令停止执业1年；造成重大质量事故的，吊销执业资格证书，5年以内不予注册；情节特别恶劣的，终身不予注册；（三）处单位罚款数额5％以上10％以下的罚款。”</w:t>
            </w:r>
          </w:p>
          <w:p>
            <w:pPr>
              <w:jc w:val="left"/>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第十四条：“发生本办法第六条所列情形之一的，对监理单位总监理工程师按以下方式进行责任追究：（一）责令停止注册监理工程师执业1年；造成重大质量事故的，吊销执业资格证书，5年以内不予注册；情节特别恶劣的，终身不予注册；（三）处单位罚款数额5％以上10％以下的罚款。”</w:t>
            </w:r>
          </w:p>
          <w:p>
            <w:pPr>
              <w:jc w:val="left"/>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第十五条第一款：“住房城乡建设主管部门应当及时公布项目负责人质量责任追究情况，将其违法违规等不良行为及处罚结果记入个人信用档案，给予信用惩戒。”</w:t>
            </w:r>
          </w:p>
        </w:tc>
        <w:tc>
          <w:tcPr>
            <w:tcW w:w="355" w:type="pct"/>
            <w:vMerge w:val="restart"/>
            <w:vAlign w:val="center"/>
          </w:tcPr>
          <w:p>
            <w:pPr>
              <w:jc w:val="cente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罚款；限制从业；吊销许可证件</w:t>
            </w:r>
          </w:p>
        </w:tc>
        <w:tc>
          <w:tcPr>
            <w:tcW w:w="356" w:type="pct"/>
            <w:vAlign w:val="center"/>
          </w:tcPr>
          <w:p>
            <w:pPr>
              <w:jc w:val="cente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从轻</w:t>
            </w:r>
          </w:p>
        </w:tc>
        <w:tc>
          <w:tcPr>
            <w:tcW w:w="356" w:type="pct"/>
            <w:vAlign w:val="center"/>
          </w:tcPr>
          <w:p>
            <w:pPr>
              <w:jc w:val="left"/>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造成一般或较大质量事故的</w:t>
            </w:r>
          </w:p>
        </w:tc>
        <w:tc>
          <w:tcPr>
            <w:tcW w:w="835" w:type="pct"/>
            <w:vAlign w:val="center"/>
          </w:tcPr>
          <w:p>
            <w:pPr>
              <w:jc w:val="left"/>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对建设单位项目负责人、勘察单位项目负责人、设计单位项目负责人、施工单位项目经理、监理单位总监理工程师均处单位罚款数额5%以上、低于7.5%的罚款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271" w:type="pct"/>
            <w:vMerge w:val="continue"/>
            <w:vAlign w:val="center"/>
          </w:tcPr>
          <w:p>
            <w:pPr>
              <w:jc w:val="center"/>
              <w:rPr>
                <w:rFonts w:hint="eastAsia" w:ascii="仿宋_GB2312" w:hAnsi="仿宋_GB2312" w:eastAsia="仿宋_GB2312" w:cs="仿宋_GB2312"/>
                <w:sz w:val="18"/>
                <w:szCs w:val="18"/>
              </w:rPr>
            </w:pPr>
          </w:p>
        </w:tc>
        <w:tc>
          <w:tcPr>
            <w:tcW w:w="337" w:type="pct"/>
            <w:vMerge w:val="continue"/>
            <w:vAlign w:val="center"/>
          </w:tcPr>
          <w:p>
            <w:pPr>
              <w:jc w:val="center"/>
              <w:rPr>
                <w:rFonts w:hint="eastAsia" w:ascii="仿宋_GB2312" w:hAnsi="仿宋_GB2312" w:eastAsia="仿宋_GB2312" w:cs="仿宋_GB2312"/>
                <w:sz w:val="18"/>
                <w:szCs w:val="18"/>
              </w:rPr>
            </w:pPr>
          </w:p>
        </w:tc>
        <w:tc>
          <w:tcPr>
            <w:tcW w:w="609" w:type="pct"/>
            <w:vMerge w:val="continue"/>
            <w:vAlign w:val="center"/>
          </w:tcPr>
          <w:p>
            <w:pPr>
              <w:jc w:val="center"/>
              <w:rPr>
                <w:rFonts w:hint="eastAsia" w:ascii="仿宋_GB2312" w:hAnsi="仿宋_GB2312" w:eastAsia="仿宋_GB2312" w:cs="仿宋_GB2312"/>
                <w:sz w:val="18"/>
                <w:szCs w:val="18"/>
              </w:rPr>
            </w:pPr>
          </w:p>
        </w:tc>
        <w:tc>
          <w:tcPr>
            <w:tcW w:w="1881" w:type="pct"/>
            <w:vMerge w:val="continue"/>
            <w:vAlign w:val="center"/>
          </w:tcPr>
          <w:p>
            <w:pPr>
              <w:jc w:val="center"/>
              <w:rPr>
                <w:rFonts w:hint="eastAsia" w:ascii="仿宋_GB2312" w:hAnsi="仿宋_GB2312" w:eastAsia="仿宋_GB2312" w:cs="仿宋_GB2312"/>
                <w:sz w:val="18"/>
                <w:szCs w:val="18"/>
              </w:rPr>
            </w:pPr>
          </w:p>
        </w:tc>
        <w:tc>
          <w:tcPr>
            <w:tcW w:w="355" w:type="pct"/>
            <w:vMerge w:val="continue"/>
            <w:vAlign w:val="center"/>
          </w:tcPr>
          <w:p>
            <w:pPr>
              <w:jc w:val="center"/>
              <w:rPr>
                <w:rFonts w:hint="eastAsia" w:ascii="仿宋_GB2312" w:hAnsi="仿宋_GB2312" w:eastAsia="仿宋_GB2312" w:cs="仿宋_GB2312"/>
                <w:sz w:val="18"/>
                <w:szCs w:val="18"/>
              </w:rPr>
            </w:pPr>
          </w:p>
        </w:tc>
        <w:tc>
          <w:tcPr>
            <w:tcW w:w="356" w:type="pct"/>
            <w:vAlign w:val="center"/>
          </w:tcPr>
          <w:p>
            <w:pPr>
              <w:jc w:val="cente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一般</w:t>
            </w:r>
          </w:p>
        </w:tc>
        <w:tc>
          <w:tcPr>
            <w:tcW w:w="356" w:type="pct"/>
            <w:vAlign w:val="center"/>
          </w:tcPr>
          <w:p>
            <w:pPr>
              <w:jc w:val="left"/>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造成重大质量事故的</w:t>
            </w:r>
          </w:p>
        </w:tc>
        <w:tc>
          <w:tcPr>
            <w:tcW w:w="835" w:type="pct"/>
            <w:vAlign w:val="center"/>
          </w:tcPr>
          <w:p>
            <w:pPr>
              <w:jc w:val="left"/>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对建设单位项目负责人、勘察单位项目负责人、设计单位项目负责人、施工单位项目经理、监理单位总监理工程师均处单位罚款数额7.5%的罚款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271" w:type="pct"/>
            <w:vMerge w:val="continue"/>
            <w:vAlign w:val="center"/>
          </w:tcPr>
          <w:p>
            <w:pPr>
              <w:jc w:val="center"/>
              <w:rPr>
                <w:rFonts w:hint="eastAsia" w:ascii="仿宋_GB2312" w:hAnsi="仿宋_GB2312" w:eastAsia="仿宋_GB2312" w:cs="仿宋_GB2312"/>
                <w:sz w:val="18"/>
                <w:szCs w:val="18"/>
              </w:rPr>
            </w:pPr>
          </w:p>
        </w:tc>
        <w:tc>
          <w:tcPr>
            <w:tcW w:w="337" w:type="pct"/>
            <w:vMerge w:val="continue"/>
            <w:vAlign w:val="center"/>
          </w:tcPr>
          <w:p>
            <w:pPr>
              <w:jc w:val="center"/>
              <w:rPr>
                <w:rFonts w:hint="eastAsia" w:ascii="仿宋_GB2312" w:hAnsi="仿宋_GB2312" w:eastAsia="仿宋_GB2312" w:cs="仿宋_GB2312"/>
                <w:sz w:val="18"/>
                <w:szCs w:val="18"/>
              </w:rPr>
            </w:pPr>
          </w:p>
        </w:tc>
        <w:tc>
          <w:tcPr>
            <w:tcW w:w="609" w:type="pct"/>
            <w:vMerge w:val="continue"/>
            <w:vAlign w:val="center"/>
          </w:tcPr>
          <w:p>
            <w:pPr>
              <w:jc w:val="center"/>
              <w:rPr>
                <w:rFonts w:hint="eastAsia" w:ascii="仿宋_GB2312" w:hAnsi="仿宋_GB2312" w:eastAsia="仿宋_GB2312" w:cs="仿宋_GB2312"/>
                <w:sz w:val="18"/>
                <w:szCs w:val="18"/>
              </w:rPr>
            </w:pPr>
          </w:p>
        </w:tc>
        <w:tc>
          <w:tcPr>
            <w:tcW w:w="1881" w:type="pct"/>
            <w:vMerge w:val="continue"/>
            <w:vAlign w:val="center"/>
          </w:tcPr>
          <w:p>
            <w:pPr>
              <w:jc w:val="center"/>
              <w:rPr>
                <w:rFonts w:hint="eastAsia" w:ascii="仿宋_GB2312" w:hAnsi="仿宋_GB2312" w:eastAsia="仿宋_GB2312" w:cs="仿宋_GB2312"/>
                <w:sz w:val="18"/>
                <w:szCs w:val="18"/>
              </w:rPr>
            </w:pPr>
          </w:p>
        </w:tc>
        <w:tc>
          <w:tcPr>
            <w:tcW w:w="355" w:type="pct"/>
            <w:vMerge w:val="continue"/>
            <w:vAlign w:val="center"/>
          </w:tcPr>
          <w:p>
            <w:pPr>
              <w:jc w:val="center"/>
              <w:rPr>
                <w:rFonts w:hint="eastAsia" w:ascii="仿宋_GB2312" w:hAnsi="仿宋_GB2312" w:eastAsia="仿宋_GB2312" w:cs="仿宋_GB2312"/>
                <w:sz w:val="18"/>
                <w:szCs w:val="18"/>
              </w:rPr>
            </w:pPr>
          </w:p>
        </w:tc>
        <w:tc>
          <w:tcPr>
            <w:tcW w:w="356" w:type="pct"/>
            <w:vAlign w:val="center"/>
          </w:tcPr>
          <w:p>
            <w:pPr>
              <w:jc w:val="cente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从重</w:t>
            </w:r>
          </w:p>
        </w:tc>
        <w:tc>
          <w:tcPr>
            <w:tcW w:w="356" w:type="pct"/>
            <w:vAlign w:val="center"/>
          </w:tcPr>
          <w:p>
            <w:pPr>
              <w:jc w:val="left"/>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造成特别重大质量事故的</w:t>
            </w:r>
          </w:p>
        </w:tc>
        <w:tc>
          <w:tcPr>
            <w:tcW w:w="835" w:type="pct"/>
            <w:vAlign w:val="center"/>
          </w:tcPr>
          <w:p>
            <w:pPr>
              <w:jc w:val="left"/>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对建设单位项目负责人、勘察单位项目负责人、设计单位项目负责人、施工单位项目经理、监理单位总监理工程师均处单位罚款数额超过7.5%、10%以下的罚款</w:t>
            </w:r>
          </w:p>
        </w:tc>
      </w:tr>
    </w:tbl>
    <w:p>
      <w:pPr>
        <w:rPr>
          <w:b/>
          <w:sz w:val="32"/>
          <w:szCs w:val="32"/>
        </w:rPr>
      </w:pPr>
      <w:r>
        <w:rPr>
          <w:rFonts w:hint="eastAsia"/>
          <w:bCs/>
          <w:sz w:val="32"/>
          <w:szCs w:val="32"/>
        </w:rPr>
        <w:t>《深圳经济特区建设工程施工招标投标条例》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2"/>
        <w:gridCol w:w="1193"/>
        <w:gridCol w:w="4142"/>
        <w:gridCol w:w="2251"/>
        <w:gridCol w:w="1193"/>
        <w:gridCol w:w="1205"/>
        <w:gridCol w:w="1253"/>
        <w:gridCol w:w="21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90"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421"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1461"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794"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421"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25"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442"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74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290"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szCs w:val="24"/>
                <w:lang w:val="en"/>
              </w:rPr>
              <w:t>106.1</w:t>
            </w:r>
          </w:p>
        </w:tc>
        <w:tc>
          <w:tcPr>
            <w:tcW w:w="421"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招标人应当招标而未招标、将招标工程化整为零或者以其他方式规避招标，或者应当公开招标而未公开招标的</w:t>
            </w:r>
          </w:p>
        </w:tc>
        <w:tc>
          <w:tcPr>
            <w:tcW w:w="1461"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第四条第一款：“任何组织和个人不得将应当招标的工程化整为零或者以其他任何方式规避招标。”</w:t>
            </w:r>
          </w:p>
          <w:p>
            <w:pPr>
              <w:jc w:val="left"/>
            </w:pPr>
          </w:p>
          <w:p>
            <w:pPr>
              <w:jc w:val="left"/>
              <w:rPr>
                <w:rFonts w:hint="eastAsia" w:ascii="仿宋_GB2312" w:hAnsi="仿宋_GB2312" w:eastAsia="仿宋_GB2312" w:cs="仿宋_GB2312"/>
              </w:rPr>
            </w:pPr>
            <w:r>
              <w:rPr>
                <w:rFonts w:hint="eastAsia" w:ascii="仿宋_GB2312" w:hAnsi="仿宋_GB2312" w:eastAsia="仿宋_GB2312" w:cs="仿宋_GB2312"/>
              </w:rPr>
              <w:t>第七条：“ 建设工程发包有下列情形之一的，应当进行招标：（一）一次发包工程造价在两百万元人民币以上的；（二）一次发包工程造价在一百万元人民币以上不足两百万元人民币，但是工程总造价在两千万元人民币以上的。”</w:t>
            </w:r>
          </w:p>
          <w:p>
            <w:pPr>
              <w:jc w:val="left"/>
            </w:pPr>
          </w:p>
          <w:p>
            <w:pPr>
              <w:jc w:val="left"/>
              <w:rPr>
                <w:rFonts w:hint="eastAsia" w:ascii="仿宋_GB2312" w:hAnsi="仿宋_GB2312" w:eastAsia="仿宋_GB2312" w:cs="仿宋_GB2312"/>
              </w:rPr>
            </w:pPr>
            <w:r>
              <w:rPr>
                <w:rFonts w:hint="eastAsia" w:ascii="仿宋_GB2312" w:hAnsi="仿宋_GB2312" w:eastAsia="仿宋_GB2312" w:cs="仿宋_GB2312"/>
              </w:rPr>
              <w:t>第十一条第三款：“依照本条例规定应当进行施工招标的工程，全部使用国有资金投资或者国有资金投资占控股或者主导地位，一次发包工程造价在两百万元人民币以上的，应当公开招标；其余工程可以邀请招标。”</w:t>
            </w:r>
          </w:p>
        </w:tc>
        <w:tc>
          <w:tcPr>
            <w:tcW w:w="794"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第六十三条第一项：“招标人违反本条例规定有下列行为之一的，责令改正，并按以下规定给予处罚：（一）应当招标而未招标、将招标工程化整为零或者以其他方式规避招标，或者应当公开招标而未公开招标的，处工程合同价款百分之一以上百分之二以下的罚款。”</w:t>
            </w:r>
          </w:p>
        </w:tc>
        <w:tc>
          <w:tcPr>
            <w:tcW w:w="421"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rPr>
              <w:t>罚款</w:t>
            </w:r>
          </w:p>
        </w:tc>
        <w:tc>
          <w:tcPr>
            <w:tcW w:w="425"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442"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工程合同价款五百万元以下的</w:t>
            </w:r>
          </w:p>
        </w:tc>
        <w:tc>
          <w:tcPr>
            <w:tcW w:w="747"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责令改正，处工程合同价款百分之一以上、低于百分之一点五的罚款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290" w:type="pct"/>
            <w:vMerge w:val="continue"/>
            <w:vAlign w:val="center"/>
          </w:tcPr>
          <w:p>
            <w:pPr>
              <w:jc w:val="center"/>
              <w:rPr>
                <w:rFonts w:hint="eastAsia" w:ascii="仿宋_GB2312" w:hAnsi="仿宋_GB2312" w:eastAsia="仿宋_GB2312" w:cs="仿宋_GB2312"/>
              </w:rPr>
            </w:pPr>
          </w:p>
        </w:tc>
        <w:tc>
          <w:tcPr>
            <w:tcW w:w="421" w:type="pct"/>
            <w:vMerge w:val="continue"/>
            <w:vAlign w:val="center"/>
          </w:tcPr>
          <w:p>
            <w:pPr>
              <w:jc w:val="center"/>
              <w:rPr>
                <w:rFonts w:hint="eastAsia" w:ascii="仿宋_GB2312" w:hAnsi="仿宋_GB2312" w:eastAsia="仿宋_GB2312" w:cs="仿宋_GB2312"/>
              </w:rPr>
            </w:pPr>
          </w:p>
        </w:tc>
        <w:tc>
          <w:tcPr>
            <w:tcW w:w="1461" w:type="pct"/>
            <w:vMerge w:val="continue"/>
            <w:vAlign w:val="center"/>
          </w:tcPr>
          <w:p>
            <w:pPr>
              <w:jc w:val="center"/>
              <w:rPr>
                <w:rFonts w:hint="eastAsia" w:ascii="仿宋_GB2312" w:hAnsi="仿宋_GB2312" w:eastAsia="仿宋_GB2312" w:cs="仿宋_GB2312"/>
              </w:rPr>
            </w:pPr>
          </w:p>
        </w:tc>
        <w:tc>
          <w:tcPr>
            <w:tcW w:w="794" w:type="pct"/>
            <w:vMerge w:val="continue"/>
            <w:vAlign w:val="center"/>
          </w:tcPr>
          <w:p>
            <w:pPr>
              <w:jc w:val="center"/>
              <w:rPr>
                <w:rFonts w:hint="eastAsia" w:ascii="仿宋_GB2312" w:hAnsi="仿宋_GB2312" w:eastAsia="仿宋_GB2312" w:cs="仿宋_GB2312"/>
              </w:rPr>
            </w:pPr>
          </w:p>
        </w:tc>
        <w:tc>
          <w:tcPr>
            <w:tcW w:w="421" w:type="pct"/>
            <w:vMerge w:val="continue"/>
            <w:vAlign w:val="center"/>
          </w:tcPr>
          <w:p>
            <w:pPr>
              <w:jc w:val="center"/>
              <w:rPr>
                <w:rFonts w:hint="eastAsia" w:ascii="仿宋_GB2312" w:hAnsi="仿宋_GB2312" w:eastAsia="仿宋_GB2312" w:cs="仿宋_GB2312"/>
              </w:rPr>
            </w:pPr>
          </w:p>
        </w:tc>
        <w:tc>
          <w:tcPr>
            <w:tcW w:w="425"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442"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工程合同价款超过五百万元、二千万元以下的</w:t>
            </w:r>
          </w:p>
        </w:tc>
        <w:tc>
          <w:tcPr>
            <w:tcW w:w="747"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责令改正，处工程合同价款百分之一点五的罚款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290" w:type="pct"/>
            <w:vMerge w:val="continue"/>
            <w:vAlign w:val="center"/>
          </w:tcPr>
          <w:p>
            <w:pPr>
              <w:jc w:val="center"/>
              <w:rPr>
                <w:rFonts w:hint="eastAsia" w:ascii="仿宋_GB2312" w:hAnsi="仿宋_GB2312" w:eastAsia="仿宋_GB2312" w:cs="仿宋_GB2312"/>
              </w:rPr>
            </w:pPr>
          </w:p>
        </w:tc>
        <w:tc>
          <w:tcPr>
            <w:tcW w:w="421" w:type="pct"/>
            <w:vMerge w:val="continue"/>
            <w:vAlign w:val="center"/>
          </w:tcPr>
          <w:p>
            <w:pPr>
              <w:jc w:val="center"/>
              <w:rPr>
                <w:rFonts w:hint="eastAsia" w:ascii="仿宋_GB2312" w:hAnsi="仿宋_GB2312" w:eastAsia="仿宋_GB2312" w:cs="仿宋_GB2312"/>
              </w:rPr>
            </w:pPr>
          </w:p>
        </w:tc>
        <w:tc>
          <w:tcPr>
            <w:tcW w:w="1461" w:type="pct"/>
            <w:vMerge w:val="continue"/>
            <w:vAlign w:val="center"/>
          </w:tcPr>
          <w:p>
            <w:pPr>
              <w:jc w:val="center"/>
              <w:rPr>
                <w:rFonts w:hint="eastAsia" w:ascii="仿宋_GB2312" w:hAnsi="仿宋_GB2312" w:eastAsia="仿宋_GB2312" w:cs="仿宋_GB2312"/>
              </w:rPr>
            </w:pPr>
          </w:p>
        </w:tc>
        <w:tc>
          <w:tcPr>
            <w:tcW w:w="794" w:type="pct"/>
            <w:vMerge w:val="continue"/>
            <w:vAlign w:val="center"/>
          </w:tcPr>
          <w:p>
            <w:pPr>
              <w:jc w:val="center"/>
              <w:rPr>
                <w:rFonts w:hint="eastAsia" w:ascii="仿宋_GB2312" w:hAnsi="仿宋_GB2312" w:eastAsia="仿宋_GB2312" w:cs="仿宋_GB2312"/>
              </w:rPr>
            </w:pPr>
          </w:p>
        </w:tc>
        <w:tc>
          <w:tcPr>
            <w:tcW w:w="421" w:type="pct"/>
            <w:vMerge w:val="continue"/>
            <w:vAlign w:val="center"/>
          </w:tcPr>
          <w:p>
            <w:pPr>
              <w:jc w:val="center"/>
              <w:rPr>
                <w:rFonts w:hint="eastAsia" w:ascii="仿宋_GB2312" w:hAnsi="仿宋_GB2312" w:eastAsia="仿宋_GB2312" w:cs="仿宋_GB2312"/>
              </w:rPr>
            </w:pPr>
          </w:p>
        </w:tc>
        <w:tc>
          <w:tcPr>
            <w:tcW w:w="425"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442"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工程合同价款超过二千万元的</w:t>
            </w:r>
          </w:p>
        </w:tc>
        <w:tc>
          <w:tcPr>
            <w:tcW w:w="747"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责令改正，处工程合同价款超过百分之一点五、百分之二以下的罚款</w:t>
            </w:r>
          </w:p>
        </w:tc>
      </w:tr>
    </w:tbl>
    <w:p>
      <w:pPr>
        <w:widowControl/>
        <w:jc w:val="left"/>
        <w:rPr>
          <w:bCs/>
          <w:sz w:val="32"/>
          <w:szCs w:val="32"/>
        </w:rPr>
      </w:pPr>
      <w:r>
        <w:rPr>
          <w:rFonts w:hint="eastAsia"/>
          <w:bCs/>
          <w:sz w:val="32"/>
          <w:szCs w:val="32"/>
        </w:rPr>
        <w:t>《深圳经济特区建设工程施工招标投标条例》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40"/>
        <w:gridCol w:w="1281"/>
        <w:gridCol w:w="1905"/>
        <w:gridCol w:w="2809"/>
        <w:gridCol w:w="1202"/>
        <w:gridCol w:w="1239"/>
        <w:gridCol w:w="1999"/>
        <w:gridCol w:w="26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6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452"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672"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991"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424"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3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705"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952"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67"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rPr>
              <w:t>106.2</w:t>
            </w:r>
          </w:p>
        </w:tc>
        <w:tc>
          <w:tcPr>
            <w:tcW w:w="452"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招标人未依本条例在交易中心进行招标的</w:t>
            </w:r>
          </w:p>
        </w:tc>
        <w:tc>
          <w:tcPr>
            <w:tcW w:w="672"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第十四条第一款：“依照本条例规定应当进行施工招标的工程，应当进入建设工程交易服务中心（以下简称交易中心）进行招标投标活动。”</w:t>
            </w:r>
          </w:p>
        </w:tc>
        <w:tc>
          <w:tcPr>
            <w:tcW w:w="991"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第六十三条第二项：“招标人违反本条例规定有下列行为之一的，责令改正，并按以下规定给予处罚：（二）未依本条例在交易中心进行招标的，处工程合同价款千分之五以上千分之十以下的罚款。”</w:t>
            </w:r>
          </w:p>
          <w:p>
            <w:pPr>
              <w:rPr>
                <w:rFonts w:hint="eastAsia" w:ascii="仿宋_GB2312" w:hAnsi="仿宋_GB2312" w:eastAsia="仿宋_GB2312" w:cs="仿宋_GB2312"/>
              </w:rPr>
            </w:pPr>
          </w:p>
        </w:tc>
        <w:tc>
          <w:tcPr>
            <w:tcW w:w="424"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rPr>
              <w:t>罚款</w:t>
            </w:r>
          </w:p>
        </w:tc>
        <w:tc>
          <w:tcPr>
            <w:tcW w:w="437"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705" w:type="pct"/>
            <w:vAlign w:val="center"/>
          </w:tcPr>
          <w:p>
            <w:pPr>
              <w:rPr>
                <w:rFonts w:hint="eastAsia" w:ascii="仿宋_GB2312" w:hAnsi="仿宋_GB2312" w:eastAsia="仿宋_GB2312" w:cs="仿宋_GB2312"/>
              </w:rPr>
            </w:pPr>
            <w:r>
              <w:rPr>
                <w:rFonts w:hint="eastAsia" w:ascii="仿宋_GB2312" w:hAnsi="仿宋_GB2312" w:eastAsia="仿宋_GB2312" w:cs="仿宋_GB2312"/>
              </w:rPr>
              <w:t>工程合同价款五百万元以下的</w:t>
            </w:r>
          </w:p>
        </w:tc>
        <w:tc>
          <w:tcPr>
            <w:tcW w:w="952"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责令改正，处工程合同价款千分之五以上、低于千分之七点五的罚款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67" w:type="pct"/>
            <w:vMerge w:val="continue"/>
            <w:vAlign w:val="center"/>
          </w:tcPr>
          <w:p>
            <w:pPr>
              <w:rPr>
                <w:rFonts w:hint="eastAsia" w:ascii="仿宋_GB2312" w:hAnsi="仿宋_GB2312" w:eastAsia="仿宋_GB2312" w:cs="仿宋_GB2312"/>
              </w:rPr>
            </w:pPr>
          </w:p>
        </w:tc>
        <w:tc>
          <w:tcPr>
            <w:tcW w:w="452" w:type="pct"/>
            <w:vMerge w:val="continue"/>
            <w:vAlign w:val="center"/>
          </w:tcPr>
          <w:p>
            <w:pPr>
              <w:rPr>
                <w:rFonts w:hint="eastAsia" w:ascii="仿宋_GB2312" w:hAnsi="仿宋_GB2312" w:eastAsia="仿宋_GB2312" w:cs="仿宋_GB2312"/>
              </w:rPr>
            </w:pPr>
          </w:p>
        </w:tc>
        <w:tc>
          <w:tcPr>
            <w:tcW w:w="672" w:type="pct"/>
            <w:vMerge w:val="continue"/>
            <w:vAlign w:val="center"/>
          </w:tcPr>
          <w:p>
            <w:pPr>
              <w:rPr>
                <w:rFonts w:hint="eastAsia" w:ascii="仿宋_GB2312" w:hAnsi="仿宋_GB2312" w:eastAsia="仿宋_GB2312" w:cs="仿宋_GB2312"/>
              </w:rPr>
            </w:pPr>
          </w:p>
        </w:tc>
        <w:tc>
          <w:tcPr>
            <w:tcW w:w="991" w:type="pct"/>
            <w:vMerge w:val="continue"/>
            <w:vAlign w:val="center"/>
          </w:tcPr>
          <w:p>
            <w:pPr>
              <w:rPr>
                <w:rFonts w:hint="eastAsia" w:ascii="仿宋_GB2312" w:hAnsi="仿宋_GB2312" w:eastAsia="仿宋_GB2312" w:cs="仿宋_GB2312"/>
              </w:rPr>
            </w:pPr>
          </w:p>
        </w:tc>
        <w:tc>
          <w:tcPr>
            <w:tcW w:w="424" w:type="pct"/>
            <w:vMerge w:val="continue"/>
            <w:vAlign w:val="center"/>
          </w:tcPr>
          <w:p>
            <w:pPr>
              <w:rPr>
                <w:rFonts w:hint="eastAsia" w:ascii="仿宋_GB2312" w:hAnsi="仿宋_GB2312" w:eastAsia="仿宋_GB2312" w:cs="仿宋_GB2312"/>
              </w:rPr>
            </w:pPr>
          </w:p>
        </w:tc>
        <w:tc>
          <w:tcPr>
            <w:tcW w:w="437"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705" w:type="pct"/>
            <w:vAlign w:val="center"/>
          </w:tcPr>
          <w:p>
            <w:pPr>
              <w:rPr>
                <w:rFonts w:hint="eastAsia" w:ascii="仿宋_GB2312" w:hAnsi="仿宋_GB2312" w:eastAsia="仿宋_GB2312" w:cs="仿宋_GB2312"/>
              </w:rPr>
            </w:pPr>
            <w:r>
              <w:rPr>
                <w:rFonts w:hint="eastAsia" w:ascii="仿宋_GB2312" w:hAnsi="仿宋_GB2312" w:eastAsia="仿宋_GB2312" w:cs="仿宋_GB2312"/>
              </w:rPr>
              <w:t>工程合同价款超过五百万元、二千万元以下的</w:t>
            </w:r>
          </w:p>
        </w:tc>
        <w:tc>
          <w:tcPr>
            <w:tcW w:w="952"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责令改正，处工程合同价款千分之七点五的罚款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67" w:type="pct"/>
            <w:vMerge w:val="continue"/>
            <w:vAlign w:val="center"/>
          </w:tcPr>
          <w:p>
            <w:pPr>
              <w:rPr>
                <w:rFonts w:hint="eastAsia" w:ascii="仿宋_GB2312" w:hAnsi="仿宋_GB2312" w:eastAsia="仿宋_GB2312" w:cs="仿宋_GB2312"/>
              </w:rPr>
            </w:pPr>
          </w:p>
        </w:tc>
        <w:tc>
          <w:tcPr>
            <w:tcW w:w="452" w:type="pct"/>
            <w:vMerge w:val="continue"/>
            <w:vAlign w:val="center"/>
          </w:tcPr>
          <w:p>
            <w:pPr>
              <w:rPr>
                <w:rFonts w:hint="eastAsia" w:ascii="仿宋_GB2312" w:hAnsi="仿宋_GB2312" w:eastAsia="仿宋_GB2312" w:cs="仿宋_GB2312"/>
              </w:rPr>
            </w:pPr>
          </w:p>
        </w:tc>
        <w:tc>
          <w:tcPr>
            <w:tcW w:w="672" w:type="pct"/>
            <w:vMerge w:val="continue"/>
            <w:vAlign w:val="center"/>
          </w:tcPr>
          <w:p>
            <w:pPr>
              <w:rPr>
                <w:rFonts w:hint="eastAsia" w:ascii="仿宋_GB2312" w:hAnsi="仿宋_GB2312" w:eastAsia="仿宋_GB2312" w:cs="仿宋_GB2312"/>
              </w:rPr>
            </w:pPr>
          </w:p>
        </w:tc>
        <w:tc>
          <w:tcPr>
            <w:tcW w:w="991" w:type="pct"/>
            <w:vMerge w:val="continue"/>
            <w:vAlign w:val="center"/>
          </w:tcPr>
          <w:p>
            <w:pPr>
              <w:rPr>
                <w:rFonts w:hint="eastAsia" w:ascii="仿宋_GB2312" w:hAnsi="仿宋_GB2312" w:eastAsia="仿宋_GB2312" w:cs="仿宋_GB2312"/>
              </w:rPr>
            </w:pPr>
          </w:p>
        </w:tc>
        <w:tc>
          <w:tcPr>
            <w:tcW w:w="424" w:type="pct"/>
            <w:vMerge w:val="continue"/>
            <w:vAlign w:val="center"/>
          </w:tcPr>
          <w:p>
            <w:pPr>
              <w:rPr>
                <w:rFonts w:hint="eastAsia" w:ascii="仿宋_GB2312" w:hAnsi="仿宋_GB2312" w:eastAsia="仿宋_GB2312" w:cs="仿宋_GB2312"/>
              </w:rPr>
            </w:pPr>
          </w:p>
        </w:tc>
        <w:tc>
          <w:tcPr>
            <w:tcW w:w="437"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705" w:type="pct"/>
            <w:vAlign w:val="center"/>
          </w:tcPr>
          <w:p>
            <w:pPr>
              <w:rPr>
                <w:rFonts w:hint="eastAsia" w:ascii="仿宋_GB2312" w:hAnsi="仿宋_GB2312" w:eastAsia="仿宋_GB2312" w:cs="仿宋_GB2312"/>
              </w:rPr>
            </w:pPr>
            <w:r>
              <w:rPr>
                <w:rFonts w:hint="eastAsia" w:ascii="仿宋_GB2312" w:hAnsi="仿宋_GB2312" w:eastAsia="仿宋_GB2312" w:cs="仿宋_GB2312"/>
              </w:rPr>
              <w:t>工程合同价款超过二千万元的</w:t>
            </w:r>
          </w:p>
        </w:tc>
        <w:tc>
          <w:tcPr>
            <w:tcW w:w="952"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责令改正，处工程合同价款超过千分之七点五、千分之十以下的罚款</w:t>
            </w:r>
          </w:p>
        </w:tc>
      </w:tr>
    </w:tbl>
    <w:p>
      <w:pPr>
        <w:widowControl/>
        <w:jc w:val="left"/>
        <w:rPr>
          <w:bCs/>
          <w:sz w:val="32"/>
          <w:szCs w:val="32"/>
        </w:rPr>
      </w:pPr>
      <w:r>
        <w:rPr>
          <w:rFonts w:hint="eastAsia"/>
          <w:bCs/>
          <w:sz w:val="32"/>
          <w:szCs w:val="32"/>
        </w:rPr>
        <w:t>《深圳经济特区建设工程施工招标投标条例》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45"/>
        <w:gridCol w:w="1314"/>
        <w:gridCol w:w="1863"/>
        <w:gridCol w:w="3374"/>
        <w:gridCol w:w="1228"/>
        <w:gridCol w:w="1253"/>
        <w:gridCol w:w="1893"/>
        <w:gridCol w:w="22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68"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463"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657"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1190"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433"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42"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668"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778"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68"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lang w:val="en"/>
              </w:rPr>
              <w:t>106.3</w:t>
            </w:r>
          </w:p>
        </w:tc>
        <w:tc>
          <w:tcPr>
            <w:tcW w:w="463"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招标人未办理有关备案、报告、批准、确认手续的</w:t>
            </w:r>
          </w:p>
        </w:tc>
        <w:tc>
          <w:tcPr>
            <w:tcW w:w="657"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第九条、第十条、第十七条、第二十七条、第二十八条、第二十九条、第四十四条、第五十六条</w:t>
            </w:r>
          </w:p>
        </w:tc>
        <w:tc>
          <w:tcPr>
            <w:tcW w:w="1190"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第六十三条第三项：“招标人违反本条例规定有下列行为之一的，责令改正，并按以下规定给予处罚：（三）未办理有关备案、报告、批准、确认手续的，处一万元以上三万元以下的罚款。”</w:t>
            </w:r>
          </w:p>
        </w:tc>
        <w:tc>
          <w:tcPr>
            <w:tcW w:w="433"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rPr>
              <w:t>罚款</w:t>
            </w:r>
          </w:p>
          <w:p>
            <w:pPr>
              <w:jc w:val="left"/>
              <w:rPr>
                <w:rFonts w:hint="eastAsia" w:ascii="仿宋_GB2312" w:hAnsi="仿宋_GB2312" w:eastAsia="仿宋_GB2312" w:cs="仿宋_GB2312"/>
              </w:rPr>
            </w:pPr>
          </w:p>
        </w:tc>
        <w:tc>
          <w:tcPr>
            <w:tcW w:w="442"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668"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招标项目估算价（编制标底的项目按标底计算）五百万元以下的</w:t>
            </w:r>
          </w:p>
        </w:tc>
        <w:tc>
          <w:tcPr>
            <w:tcW w:w="778"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责令改正，处一万元以上、低于二万元的罚款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68" w:type="pct"/>
            <w:vMerge w:val="continue"/>
            <w:vAlign w:val="center"/>
          </w:tcPr>
          <w:p>
            <w:pPr>
              <w:jc w:val="center"/>
              <w:rPr>
                <w:rFonts w:hint="eastAsia" w:ascii="仿宋_GB2312" w:hAnsi="仿宋_GB2312" w:eastAsia="仿宋_GB2312" w:cs="仿宋_GB2312"/>
              </w:rPr>
            </w:pPr>
          </w:p>
        </w:tc>
        <w:tc>
          <w:tcPr>
            <w:tcW w:w="463" w:type="pct"/>
            <w:vMerge w:val="continue"/>
            <w:vAlign w:val="center"/>
          </w:tcPr>
          <w:p>
            <w:pPr>
              <w:jc w:val="center"/>
              <w:rPr>
                <w:rFonts w:hint="eastAsia" w:ascii="仿宋_GB2312" w:hAnsi="仿宋_GB2312" w:eastAsia="仿宋_GB2312" w:cs="仿宋_GB2312"/>
              </w:rPr>
            </w:pPr>
          </w:p>
        </w:tc>
        <w:tc>
          <w:tcPr>
            <w:tcW w:w="657" w:type="pct"/>
            <w:vMerge w:val="continue"/>
            <w:vAlign w:val="center"/>
          </w:tcPr>
          <w:p>
            <w:pPr>
              <w:jc w:val="center"/>
              <w:rPr>
                <w:rFonts w:hint="eastAsia" w:ascii="仿宋_GB2312" w:hAnsi="仿宋_GB2312" w:eastAsia="仿宋_GB2312" w:cs="仿宋_GB2312"/>
              </w:rPr>
            </w:pPr>
          </w:p>
        </w:tc>
        <w:tc>
          <w:tcPr>
            <w:tcW w:w="1190" w:type="pct"/>
            <w:vMerge w:val="continue"/>
            <w:vAlign w:val="center"/>
          </w:tcPr>
          <w:p>
            <w:pPr>
              <w:jc w:val="center"/>
              <w:rPr>
                <w:rFonts w:hint="eastAsia" w:ascii="仿宋_GB2312" w:hAnsi="仿宋_GB2312" w:eastAsia="仿宋_GB2312" w:cs="仿宋_GB2312"/>
              </w:rPr>
            </w:pPr>
          </w:p>
        </w:tc>
        <w:tc>
          <w:tcPr>
            <w:tcW w:w="433" w:type="pct"/>
            <w:vMerge w:val="continue"/>
            <w:vAlign w:val="center"/>
          </w:tcPr>
          <w:p>
            <w:pPr>
              <w:jc w:val="center"/>
              <w:rPr>
                <w:rFonts w:hint="eastAsia" w:ascii="仿宋_GB2312" w:hAnsi="仿宋_GB2312" w:eastAsia="仿宋_GB2312" w:cs="仿宋_GB2312"/>
              </w:rPr>
            </w:pPr>
          </w:p>
        </w:tc>
        <w:tc>
          <w:tcPr>
            <w:tcW w:w="442"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668"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招标项目估算价（编制标底的项目按标底计算）超过五百万元、二千万元以下的</w:t>
            </w:r>
          </w:p>
        </w:tc>
        <w:tc>
          <w:tcPr>
            <w:tcW w:w="778"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责令改正，处二万元的罚款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68" w:type="pct"/>
            <w:vMerge w:val="continue"/>
            <w:vAlign w:val="center"/>
          </w:tcPr>
          <w:p>
            <w:pPr>
              <w:jc w:val="center"/>
              <w:rPr>
                <w:rFonts w:hint="eastAsia" w:ascii="仿宋_GB2312" w:hAnsi="仿宋_GB2312" w:eastAsia="仿宋_GB2312" w:cs="仿宋_GB2312"/>
              </w:rPr>
            </w:pPr>
          </w:p>
        </w:tc>
        <w:tc>
          <w:tcPr>
            <w:tcW w:w="463" w:type="pct"/>
            <w:vMerge w:val="continue"/>
            <w:vAlign w:val="center"/>
          </w:tcPr>
          <w:p>
            <w:pPr>
              <w:jc w:val="center"/>
              <w:rPr>
                <w:rFonts w:hint="eastAsia" w:ascii="仿宋_GB2312" w:hAnsi="仿宋_GB2312" w:eastAsia="仿宋_GB2312" w:cs="仿宋_GB2312"/>
              </w:rPr>
            </w:pPr>
          </w:p>
        </w:tc>
        <w:tc>
          <w:tcPr>
            <w:tcW w:w="657" w:type="pct"/>
            <w:vMerge w:val="continue"/>
            <w:vAlign w:val="center"/>
          </w:tcPr>
          <w:p>
            <w:pPr>
              <w:jc w:val="center"/>
              <w:rPr>
                <w:rFonts w:hint="eastAsia" w:ascii="仿宋_GB2312" w:hAnsi="仿宋_GB2312" w:eastAsia="仿宋_GB2312" w:cs="仿宋_GB2312"/>
              </w:rPr>
            </w:pPr>
          </w:p>
        </w:tc>
        <w:tc>
          <w:tcPr>
            <w:tcW w:w="1190" w:type="pct"/>
            <w:vMerge w:val="continue"/>
            <w:vAlign w:val="center"/>
          </w:tcPr>
          <w:p>
            <w:pPr>
              <w:jc w:val="center"/>
              <w:rPr>
                <w:rFonts w:hint="eastAsia" w:ascii="仿宋_GB2312" w:hAnsi="仿宋_GB2312" w:eastAsia="仿宋_GB2312" w:cs="仿宋_GB2312"/>
              </w:rPr>
            </w:pPr>
          </w:p>
        </w:tc>
        <w:tc>
          <w:tcPr>
            <w:tcW w:w="433" w:type="pct"/>
            <w:vMerge w:val="continue"/>
            <w:vAlign w:val="center"/>
          </w:tcPr>
          <w:p>
            <w:pPr>
              <w:jc w:val="center"/>
              <w:rPr>
                <w:rFonts w:hint="eastAsia" w:ascii="仿宋_GB2312" w:hAnsi="仿宋_GB2312" w:eastAsia="仿宋_GB2312" w:cs="仿宋_GB2312"/>
              </w:rPr>
            </w:pPr>
          </w:p>
        </w:tc>
        <w:tc>
          <w:tcPr>
            <w:tcW w:w="442"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668"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招标项目估算价（编制标底的项目按标底计算）超过二千万元的</w:t>
            </w:r>
          </w:p>
        </w:tc>
        <w:tc>
          <w:tcPr>
            <w:tcW w:w="778"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责令改正，处超过二万元、三万元以下的罚款</w:t>
            </w:r>
          </w:p>
        </w:tc>
      </w:tr>
    </w:tbl>
    <w:p>
      <w:pPr>
        <w:widowControl/>
        <w:jc w:val="left"/>
        <w:rPr>
          <w:bCs/>
          <w:sz w:val="32"/>
          <w:szCs w:val="32"/>
        </w:rPr>
      </w:pPr>
      <w:r>
        <w:rPr>
          <w:rFonts w:hint="eastAsia"/>
          <w:bCs/>
          <w:sz w:val="32"/>
          <w:szCs w:val="32"/>
        </w:rPr>
        <w:t>《深圳经济特区建设工程施工招标投标条例》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32"/>
        <w:gridCol w:w="1180"/>
        <w:gridCol w:w="2639"/>
        <w:gridCol w:w="2611"/>
        <w:gridCol w:w="1233"/>
        <w:gridCol w:w="1221"/>
        <w:gridCol w:w="2081"/>
        <w:gridCol w:w="21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64"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416"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931"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921"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435"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31"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734"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768"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64"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lang w:val="en"/>
              </w:rPr>
              <w:t>106.4</w:t>
            </w:r>
          </w:p>
        </w:tc>
        <w:tc>
          <w:tcPr>
            <w:tcW w:w="416"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招标人泄露应当保密的招标投标事项的</w:t>
            </w:r>
          </w:p>
        </w:tc>
        <w:tc>
          <w:tcPr>
            <w:tcW w:w="931"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第六十三条第四项：“招标人违反本条例规定有下列行为之一的，责令改正，并按以下规定给予处罚：（四）泄露应当保密的招标投标事项的，处十五万元以上二十五万元以下的罚款。”</w:t>
            </w:r>
          </w:p>
        </w:tc>
        <w:tc>
          <w:tcPr>
            <w:tcW w:w="921"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第六十三条第四项：“招标人违反本条例规定有下列行为之一的，责令改正，并按以下规定给予处罚：（四）泄露应当保密的招标投标事项的，处十五万元以上二十五万元以下的罚款。”</w:t>
            </w:r>
          </w:p>
        </w:tc>
        <w:tc>
          <w:tcPr>
            <w:tcW w:w="435"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rPr>
              <w:t>罚款</w:t>
            </w:r>
          </w:p>
          <w:p>
            <w:pPr>
              <w:jc w:val="center"/>
              <w:rPr>
                <w:rFonts w:hint="eastAsia" w:ascii="仿宋_GB2312" w:hAnsi="仿宋_GB2312" w:eastAsia="仿宋_GB2312" w:cs="仿宋_GB2312"/>
              </w:rPr>
            </w:pPr>
          </w:p>
        </w:tc>
        <w:tc>
          <w:tcPr>
            <w:tcW w:w="431"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734"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招标项目估算价（编制标底的项目按标底计算）五百万元以下的</w:t>
            </w:r>
          </w:p>
        </w:tc>
        <w:tc>
          <w:tcPr>
            <w:tcW w:w="768"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责令改正，并处十五万元以上、低于二十万元的罚款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64" w:type="pct"/>
            <w:vMerge w:val="continue"/>
            <w:vAlign w:val="center"/>
          </w:tcPr>
          <w:p>
            <w:pPr>
              <w:jc w:val="center"/>
              <w:rPr>
                <w:rFonts w:hint="eastAsia" w:ascii="仿宋_GB2312" w:hAnsi="仿宋_GB2312" w:eastAsia="仿宋_GB2312" w:cs="仿宋_GB2312"/>
              </w:rPr>
            </w:pPr>
          </w:p>
        </w:tc>
        <w:tc>
          <w:tcPr>
            <w:tcW w:w="416" w:type="pct"/>
            <w:vMerge w:val="continue"/>
            <w:vAlign w:val="center"/>
          </w:tcPr>
          <w:p>
            <w:pPr>
              <w:jc w:val="center"/>
              <w:rPr>
                <w:rFonts w:hint="eastAsia" w:ascii="仿宋_GB2312" w:hAnsi="仿宋_GB2312" w:eastAsia="仿宋_GB2312" w:cs="仿宋_GB2312"/>
              </w:rPr>
            </w:pPr>
          </w:p>
        </w:tc>
        <w:tc>
          <w:tcPr>
            <w:tcW w:w="931" w:type="pct"/>
            <w:vMerge w:val="continue"/>
            <w:vAlign w:val="center"/>
          </w:tcPr>
          <w:p>
            <w:pPr>
              <w:jc w:val="center"/>
              <w:rPr>
                <w:rFonts w:hint="eastAsia" w:ascii="仿宋_GB2312" w:hAnsi="仿宋_GB2312" w:eastAsia="仿宋_GB2312" w:cs="仿宋_GB2312"/>
              </w:rPr>
            </w:pPr>
          </w:p>
        </w:tc>
        <w:tc>
          <w:tcPr>
            <w:tcW w:w="921" w:type="pct"/>
            <w:vMerge w:val="continue"/>
            <w:vAlign w:val="center"/>
          </w:tcPr>
          <w:p>
            <w:pPr>
              <w:jc w:val="center"/>
              <w:rPr>
                <w:rFonts w:hint="eastAsia" w:ascii="仿宋_GB2312" w:hAnsi="仿宋_GB2312" w:eastAsia="仿宋_GB2312" w:cs="仿宋_GB2312"/>
              </w:rPr>
            </w:pPr>
          </w:p>
        </w:tc>
        <w:tc>
          <w:tcPr>
            <w:tcW w:w="435" w:type="pct"/>
            <w:vMerge w:val="continue"/>
            <w:vAlign w:val="center"/>
          </w:tcPr>
          <w:p>
            <w:pPr>
              <w:jc w:val="center"/>
              <w:rPr>
                <w:rFonts w:hint="eastAsia" w:ascii="仿宋_GB2312" w:hAnsi="仿宋_GB2312" w:eastAsia="仿宋_GB2312" w:cs="仿宋_GB2312"/>
              </w:rPr>
            </w:pPr>
          </w:p>
        </w:tc>
        <w:tc>
          <w:tcPr>
            <w:tcW w:w="431"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734"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招标项目估算价（编制标底的项目按标底计算）超过五百万元以上二千万元以下的</w:t>
            </w:r>
          </w:p>
        </w:tc>
        <w:tc>
          <w:tcPr>
            <w:tcW w:w="768"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责令改正，并处二十万元的罚款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64" w:type="pct"/>
            <w:vMerge w:val="continue"/>
            <w:vAlign w:val="center"/>
          </w:tcPr>
          <w:p>
            <w:pPr>
              <w:jc w:val="center"/>
              <w:rPr>
                <w:rFonts w:hint="eastAsia" w:ascii="仿宋_GB2312" w:hAnsi="仿宋_GB2312" w:eastAsia="仿宋_GB2312" w:cs="仿宋_GB2312"/>
              </w:rPr>
            </w:pPr>
          </w:p>
        </w:tc>
        <w:tc>
          <w:tcPr>
            <w:tcW w:w="416" w:type="pct"/>
            <w:vMerge w:val="continue"/>
            <w:vAlign w:val="center"/>
          </w:tcPr>
          <w:p>
            <w:pPr>
              <w:jc w:val="center"/>
              <w:rPr>
                <w:rFonts w:hint="eastAsia" w:ascii="仿宋_GB2312" w:hAnsi="仿宋_GB2312" w:eastAsia="仿宋_GB2312" w:cs="仿宋_GB2312"/>
              </w:rPr>
            </w:pPr>
          </w:p>
        </w:tc>
        <w:tc>
          <w:tcPr>
            <w:tcW w:w="931" w:type="pct"/>
            <w:vMerge w:val="continue"/>
            <w:vAlign w:val="center"/>
          </w:tcPr>
          <w:p>
            <w:pPr>
              <w:jc w:val="center"/>
              <w:rPr>
                <w:rFonts w:hint="eastAsia" w:ascii="仿宋_GB2312" w:hAnsi="仿宋_GB2312" w:eastAsia="仿宋_GB2312" w:cs="仿宋_GB2312"/>
              </w:rPr>
            </w:pPr>
          </w:p>
        </w:tc>
        <w:tc>
          <w:tcPr>
            <w:tcW w:w="921" w:type="pct"/>
            <w:vMerge w:val="continue"/>
            <w:vAlign w:val="center"/>
          </w:tcPr>
          <w:p>
            <w:pPr>
              <w:jc w:val="center"/>
              <w:rPr>
                <w:rFonts w:hint="eastAsia" w:ascii="仿宋_GB2312" w:hAnsi="仿宋_GB2312" w:eastAsia="仿宋_GB2312" w:cs="仿宋_GB2312"/>
              </w:rPr>
            </w:pPr>
          </w:p>
        </w:tc>
        <w:tc>
          <w:tcPr>
            <w:tcW w:w="435" w:type="pct"/>
            <w:vMerge w:val="continue"/>
            <w:vAlign w:val="center"/>
          </w:tcPr>
          <w:p>
            <w:pPr>
              <w:jc w:val="center"/>
              <w:rPr>
                <w:rFonts w:hint="eastAsia" w:ascii="仿宋_GB2312" w:hAnsi="仿宋_GB2312" w:eastAsia="仿宋_GB2312" w:cs="仿宋_GB2312"/>
              </w:rPr>
            </w:pPr>
          </w:p>
        </w:tc>
        <w:tc>
          <w:tcPr>
            <w:tcW w:w="431"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734"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招标项目估算价（编制标底的项目按标底计算）超过二千万元的</w:t>
            </w:r>
          </w:p>
        </w:tc>
        <w:tc>
          <w:tcPr>
            <w:tcW w:w="768"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责令改正，并处超过二十万元、二十五万元以下的罚款</w:t>
            </w:r>
          </w:p>
        </w:tc>
      </w:tr>
    </w:tbl>
    <w:p>
      <w:pPr>
        <w:widowControl/>
        <w:jc w:val="left"/>
        <w:rPr>
          <w:bCs/>
          <w:sz w:val="32"/>
          <w:szCs w:val="32"/>
        </w:rPr>
      </w:pPr>
      <w:r>
        <w:rPr>
          <w:b/>
          <w:sz w:val="32"/>
          <w:szCs w:val="32"/>
        </w:rPr>
        <w:br w:type="page"/>
      </w:r>
      <w:r>
        <w:rPr>
          <w:rFonts w:hint="eastAsia"/>
          <w:bCs/>
          <w:sz w:val="32"/>
          <w:szCs w:val="32"/>
        </w:rPr>
        <w:t>《深圳经济特区建设工程施工招标投标条例》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44"/>
        <w:gridCol w:w="1624"/>
        <w:gridCol w:w="2591"/>
        <w:gridCol w:w="2793"/>
        <w:gridCol w:w="1210"/>
        <w:gridCol w:w="1199"/>
        <w:gridCol w:w="1785"/>
        <w:gridCol w:w="19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68"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573"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914"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985"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42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23"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630"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681"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68"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lang w:val="en"/>
              </w:rPr>
              <w:t>106.5</w:t>
            </w:r>
          </w:p>
        </w:tc>
        <w:tc>
          <w:tcPr>
            <w:tcW w:w="573"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招标人在中标候选人以外确定中标人，或者在所有投标被评标委员会否决后自行确定中标人的</w:t>
            </w:r>
          </w:p>
        </w:tc>
        <w:tc>
          <w:tcPr>
            <w:tcW w:w="914"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 xml:space="preserve">第四十八条第二款：“评标委员会根据前款规定否决不合格投标或者界定为废标后，因有效投标不足三个使得投标明显缺乏竞争的，评标委员会可以否决所有投标。投标人少于三个或者所有投标被否决的，招标人应当依照本条例重新招标。” </w:t>
            </w:r>
          </w:p>
        </w:tc>
        <w:tc>
          <w:tcPr>
            <w:tcW w:w="985"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六十三条第五项：“招标人违反本条例规定有下列行为之一的，责令改正，并按以下规定给予处罚：（五）在中标候选人以外确定中标人的，或者在所有投标被评标委员会否决后自行确定中标人的，处工程合同价款百分之一以上百分之二以下的罚款。”</w:t>
            </w:r>
          </w:p>
        </w:tc>
        <w:tc>
          <w:tcPr>
            <w:tcW w:w="427"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rPr>
              <w:t>罚款</w:t>
            </w:r>
          </w:p>
        </w:tc>
        <w:tc>
          <w:tcPr>
            <w:tcW w:w="423"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630"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工程合同价款五百万元以下的</w:t>
            </w:r>
          </w:p>
        </w:tc>
        <w:tc>
          <w:tcPr>
            <w:tcW w:w="681"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责令改正，处工程合同价款百分之一以上、低于百分之一点五的罚款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68" w:type="pct"/>
            <w:vMerge w:val="continue"/>
            <w:vAlign w:val="center"/>
          </w:tcPr>
          <w:p>
            <w:pPr>
              <w:jc w:val="center"/>
              <w:rPr>
                <w:rFonts w:hint="eastAsia" w:ascii="仿宋_GB2312" w:hAnsi="仿宋_GB2312" w:eastAsia="仿宋_GB2312" w:cs="仿宋_GB2312"/>
              </w:rPr>
            </w:pPr>
          </w:p>
        </w:tc>
        <w:tc>
          <w:tcPr>
            <w:tcW w:w="573" w:type="pct"/>
            <w:vMerge w:val="continue"/>
            <w:vAlign w:val="center"/>
          </w:tcPr>
          <w:p>
            <w:pPr>
              <w:jc w:val="center"/>
              <w:rPr>
                <w:rFonts w:hint="eastAsia" w:ascii="仿宋_GB2312" w:hAnsi="仿宋_GB2312" w:eastAsia="仿宋_GB2312" w:cs="仿宋_GB2312"/>
              </w:rPr>
            </w:pPr>
          </w:p>
        </w:tc>
        <w:tc>
          <w:tcPr>
            <w:tcW w:w="914" w:type="pct"/>
            <w:vMerge w:val="continue"/>
            <w:vAlign w:val="center"/>
          </w:tcPr>
          <w:p>
            <w:pPr>
              <w:jc w:val="center"/>
              <w:rPr>
                <w:rFonts w:hint="eastAsia" w:ascii="仿宋_GB2312" w:hAnsi="仿宋_GB2312" w:eastAsia="仿宋_GB2312" w:cs="仿宋_GB2312"/>
              </w:rPr>
            </w:pPr>
          </w:p>
        </w:tc>
        <w:tc>
          <w:tcPr>
            <w:tcW w:w="985" w:type="pct"/>
            <w:vMerge w:val="continue"/>
            <w:vAlign w:val="center"/>
          </w:tcPr>
          <w:p>
            <w:pPr>
              <w:jc w:val="center"/>
              <w:rPr>
                <w:rFonts w:hint="eastAsia" w:ascii="仿宋_GB2312" w:hAnsi="仿宋_GB2312" w:eastAsia="仿宋_GB2312" w:cs="仿宋_GB2312"/>
              </w:rPr>
            </w:pPr>
          </w:p>
        </w:tc>
        <w:tc>
          <w:tcPr>
            <w:tcW w:w="427" w:type="pct"/>
            <w:vMerge w:val="continue"/>
            <w:vAlign w:val="center"/>
          </w:tcPr>
          <w:p>
            <w:pPr>
              <w:jc w:val="center"/>
              <w:rPr>
                <w:rFonts w:hint="eastAsia" w:ascii="仿宋_GB2312" w:hAnsi="仿宋_GB2312" w:eastAsia="仿宋_GB2312" w:cs="仿宋_GB2312"/>
              </w:rPr>
            </w:pPr>
          </w:p>
        </w:tc>
        <w:tc>
          <w:tcPr>
            <w:tcW w:w="423"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630"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工程合同价款超过五百万元、二千万元以下的</w:t>
            </w:r>
          </w:p>
        </w:tc>
        <w:tc>
          <w:tcPr>
            <w:tcW w:w="681"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责令改正，处工程合同价款百分之一点五的罚款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68" w:type="pct"/>
            <w:vMerge w:val="continue"/>
            <w:vAlign w:val="center"/>
          </w:tcPr>
          <w:p>
            <w:pPr>
              <w:jc w:val="center"/>
              <w:rPr>
                <w:rFonts w:hint="eastAsia" w:ascii="仿宋_GB2312" w:hAnsi="仿宋_GB2312" w:eastAsia="仿宋_GB2312" w:cs="仿宋_GB2312"/>
              </w:rPr>
            </w:pPr>
          </w:p>
        </w:tc>
        <w:tc>
          <w:tcPr>
            <w:tcW w:w="573" w:type="pct"/>
            <w:vMerge w:val="continue"/>
            <w:vAlign w:val="center"/>
          </w:tcPr>
          <w:p>
            <w:pPr>
              <w:jc w:val="center"/>
              <w:rPr>
                <w:rFonts w:hint="eastAsia" w:ascii="仿宋_GB2312" w:hAnsi="仿宋_GB2312" w:eastAsia="仿宋_GB2312" w:cs="仿宋_GB2312"/>
              </w:rPr>
            </w:pPr>
          </w:p>
        </w:tc>
        <w:tc>
          <w:tcPr>
            <w:tcW w:w="914" w:type="pct"/>
            <w:vMerge w:val="continue"/>
            <w:vAlign w:val="center"/>
          </w:tcPr>
          <w:p>
            <w:pPr>
              <w:jc w:val="center"/>
              <w:rPr>
                <w:rFonts w:hint="eastAsia" w:ascii="仿宋_GB2312" w:hAnsi="仿宋_GB2312" w:eastAsia="仿宋_GB2312" w:cs="仿宋_GB2312"/>
              </w:rPr>
            </w:pPr>
          </w:p>
        </w:tc>
        <w:tc>
          <w:tcPr>
            <w:tcW w:w="985" w:type="pct"/>
            <w:vMerge w:val="continue"/>
            <w:vAlign w:val="center"/>
          </w:tcPr>
          <w:p>
            <w:pPr>
              <w:jc w:val="center"/>
              <w:rPr>
                <w:rFonts w:hint="eastAsia" w:ascii="仿宋_GB2312" w:hAnsi="仿宋_GB2312" w:eastAsia="仿宋_GB2312" w:cs="仿宋_GB2312"/>
              </w:rPr>
            </w:pPr>
          </w:p>
        </w:tc>
        <w:tc>
          <w:tcPr>
            <w:tcW w:w="427" w:type="pct"/>
            <w:vMerge w:val="continue"/>
            <w:vAlign w:val="center"/>
          </w:tcPr>
          <w:p>
            <w:pPr>
              <w:jc w:val="center"/>
              <w:rPr>
                <w:rFonts w:hint="eastAsia" w:ascii="仿宋_GB2312" w:hAnsi="仿宋_GB2312" w:eastAsia="仿宋_GB2312" w:cs="仿宋_GB2312"/>
              </w:rPr>
            </w:pPr>
          </w:p>
        </w:tc>
        <w:tc>
          <w:tcPr>
            <w:tcW w:w="423"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630"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工程合同价款超过二千万元的</w:t>
            </w:r>
          </w:p>
        </w:tc>
        <w:tc>
          <w:tcPr>
            <w:tcW w:w="681"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责令改正，处超过工程合同价款百分之一点五、百分之二以下的罚款</w:t>
            </w:r>
          </w:p>
        </w:tc>
      </w:tr>
    </w:tbl>
    <w:p>
      <w:pPr>
        <w:widowControl/>
        <w:jc w:val="left"/>
        <w:rPr>
          <w:bCs/>
          <w:sz w:val="32"/>
          <w:szCs w:val="32"/>
        </w:rPr>
      </w:pPr>
      <w:r>
        <w:rPr>
          <w:b/>
          <w:sz w:val="32"/>
          <w:szCs w:val="32"/>
        </w:rPr>
        <w:br w:type="page"/>
      </w:r>
      <w:r>
        <w:rPr>
          <w:rFonts w:hint="eastAsia"/>
          <w:bCs/>
          <w:sz w:val="32"/>
          <w:szCs w:val="32"/>
        </w:rPr>
        <w:t>《深圳经济特区建设工程施工招标投标条例》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41"/>
        <w:gridCol w:w="1783"/>
        <w:gridCol w:w="2409"/>
        <w:gridCol w:w="3056"/>
        <w:gridCol w:w="1233"/>
        <w:gridCol w:w="1185"/>
        <w:gridCol w:w="1307"/>
        <w:gridCol w:w="21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6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629"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850"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1078"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435"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18"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461"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762"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67"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lang w:val="en"/>
              </w:rPr>
              <w:t>106.6</w:t>
            </w:r>
          </w:p>
        </w:tc>
        <w:tc>
          <w:tcPr>
            <w:tcW w:w="629"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招标人不按照招标文件和中标人的投标文件与中标人订立合同的，或者订立背离合同实质性内容的协议的，或者拒绝与中标人签订合同的</w:t>
            </w:r>
          </w:p>
        </w:tc>
        <w:tc>
          <w:tcPr>
            <w:tcW w:w="850"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第五十七条第一款：“招标人和中标人应当自中标通知书发出之日起三十日内，按照招标文件和中标人的投标文件订立书面合同，中标人的投标报价为合同价；招标人和中标人不得另行订立背离合同实质性内容的其他协议。”</w:t>
            </w:r>
          </w:p>
        </w:tc>
        <w:tc>
          <w:tcPr>
            <w:tcW w:w="1078"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第六十三条第六项：“招标人违反本条例规定有下列行为之一的，责令改正，并按以下规定给予处罚：（六）不按照招标文件和中标人的投标文件与中标人订立合同的，或者订立背离合同实质性内容的协议的，或者拒绝与中标人签订合同的，处工程合同价款百分之一以上百分之二以下的罚款。”</w:t>
            </w:r>
          </w:p>
        </w:tc>
        <w:tc>
          <w:tcPr>
            <w:tcW w:w="435"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rPr>
              <w:t>罚款</w:t>
            </w:r>
          </w:p>
        </w:tc>
        <w:tc>
          <w:tcPr>
            <w:tcW w:w="418"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461"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工程合同价款五百万元以下的</w:t>
            </w:r>
          </w:p>
        </w:tc>
        <w:tc>
          <w:tcPr>
            <w:tcW w:w="762"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责令改正，处工程合同价款百分之一以上、低于百分之一点五的罚款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67" w:type="pct"/>
            <w:vMerge w:val="continue"/>
            <w:vAlign w:val="center"/>
          </w:tcPr>
          <w:p>
            <w:pPr>
              <w:jc w:val="center"/>
              <w:rPr>
                <w:rFonts w:hint="eastAsia" w:ascii="仿宋_GB2312" w:hAnsi="仿宋_GB2312" w:eastAsia="仿宋_GB2312" w:cs="仿宋_GB2312"/>
              </w:rPr>
            </w:pPr>
          </w:p>
        </w:tc>
        <w:tc>
          <w:tcPr>
            <w:tcW w:w="629" w:type="pct"/>
            <w:vMerge w:val="continue"/>
            <w:vAlign w:val="center"/>
          </w:tcPr>
          <w:p>
            <w:pPr>
              <w:jc w:val="center"/>
              <w:rPr>
                <w:rFonts w:hint="eastAsia" w:ascii="仿宋_GB2312" w:hAnsi="仿宋_GB2312" w:eastAsia="仿宋_GB2312" w:cs="仿宋_GB2312"/>
              </w:rPr>
            </w:pPr>
          </w:p>
        </w:tc>
        <w:tc>
          <w:tcPr>
            <w:tcW w:w="850" w:type="pct"/>
            <w:vMerge w:val="continue"/>
            <w:vAlign w:val="center"/>
          </w:tcPr>
          <w:p>
            <w:pPr>
              <w:jc w:val="center"/>
              <w:rPr>
                <w:rFonts w:hint="eastAsia" w:ascii="仿宋_GB2312" w:hAnsi="仿宋_GB2312" w:eastAsia="仿宋_GB2312" w:cs="仿宋_GB2312"/>
              </w:rPr>
            </w:pPr>
          </w:p>
        </w:tc>
        <w:tc>
          <w:tcPr>
            <w:tcW w:w="1078" w:type="pct"/>
            <w:vMerge w:val="continue"/>
            <w:vAlign w:val="center"/>
          </w:tcPr>
          <w:p>
            <w:pPr>
              <w:jc w:val="center"/>
              <w:rPr>
                <w:rFonts w:hint="eastAsia" w:ascii="仿宋_GB2312" w:hAnsi="仿宋_GB2312" w:eastAsia="仿宋_GB2312" w:cs="仿宋_GB2312"/>
              </w:rPr>
            </w:pPr>
          </w:p>
        </w:tc>
        <w:tc>
          <w:tcPr>
            <w:tcW w:w="435" w:type="pct"/>
            <w:vMerge w:val="continue"/>
            <w:vAlign w:val="center"/>
          </w:tcPr>
          <w:p>
            <w:pPr>
              <w:jc w:val="center"/>
              <w:rPr>
                <w:rFonts w:hint="eastAsia" w:ascii="仿宋_GB2312" w:hAnsi="仿宋_GB2312" w:eastAsia="仿宋_GB2312" w:cs="仿宋_GB2312"/>
              </w:rPr>
            </w:pPr>
          </w:p>
        </w:tc>
        <w:tc>
          <w:tcPr>
            <w:tcW w:w="418"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461"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工程合同价款超过五百万元、二千万元以下的</w:t>
            </w:r>
          </w:p>
        </w:tc>
        <w:tc>
          <w:tcPr>
            <w:tcW w:w="762"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责令改正，处工程合同价款百分之一点五的罚款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67" w:type="pct"/>
            <w:vMerge w:val="continue"/>
            <w:vAlign w:val="center"/>
          </w:tcPr>
          <w:p>
            <w:pPr>
              <w:jc w:val="center"/>
              <w:rPr>
                <w:rFonts w:hint="eastAsia" w:ascii="仿宋_GB2312" w:hAnsi="仿宋_GB2312" w:eastAsia="仿宋_GB2312" w:cs="仿宋_GB2312"/>
              </w:rPr>
            </w:pPr>
          </w:p>
        </w:tc>
        <w:tc>
          <w:tcPr>
            <w:tcW w:w="629" w:type="pct"/>
            <w:vMerge w:val="continue"/>
            <w:vAlign w:val="center"/>
          </w:tcPr>
          <w:p>
            <w:pPr>
              <w:jc w:val="center"/>
              <w:rPr>
                <w:rFonts w:hint="eastAsia" w:ascii="仿宋_GB2312" w:hAnsi="仿宋_GB2312" w:eastAsia="仿宋_GB2312" w:cs="仿宋_GB2312"/>
              </w:rPr>
            </w:pPr>
          </w:p>
        </w:tc>
        <w:tc>
          <w:tcPr>
            <w:tcW w:w="850" w:type="pct"/>
            <w:vMerge w:val="continue"/>
            <w:vAlign w:val="center"/>
          </w:tcPr>
          <w:p>
            <w:pPr>
              <w:jc w:val="center"/>
              <w:rPr>
                <w:rFonts w:hint="eastAsia" w:ascii="仿宋_GB2312" w:hAnsi="仿宋_GB2312" w:eastAsia="仿宋_GB2312" w:cs="仿宋_GB2312"/>
              </w:rPr>
            </w:pPr>
          </w:p>
        </w:tc>
        <w:tc>
          <w:tcPr>
            <w:tcW w:w="1078" w:type="pct"/>
            <w:vMerge w:val="continue"/>
            <w:vAlign w:val="center"/>
          </w:tcPr>
          <w:p>
            <w:pPr>
              <w:jc w:val="center"/>
              <w:rPr>
                <w:rFonts w:hint="eastAsia" w:ascii="仿宋_GB2312" w:hAnsi="仿宋_GB2312" w:eastAsia="仿宋_GB2312" w:cs="仿宋_GB2312"/>
              </w:rPr>
            </w:pPr>
          </w:p>
        </w:tc>
        <w:tc>
          <w:tcPr>
            <w:tcW w:w="435" w:type="pct"/>
            <w:vMerge w:val="continue"/>
            <w:vAlign w:val="center"/>
          </w:tcPr>
          <w:p>
            <w:pPr>
              <w:jc w:val="center"/>
              <w:rPr>
                <w:rFonts w:hint="eastAsia" w:ascii="仿宋_GB2312" w:hAnsi="仿宋_GB2312" w:eastAsia="仿宋_GB2312" w:cs="仿宋_GB2312"/>
              </w:rPr>
            </w:pPr>
          </w:p>
        </w:tc>
        <w:tc>
          <w:tcPr>
            <w:tcW w:w="418"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461"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工程合同价款超过二千万元的</w:t>
            </w:r>
          </w:p>
        </w:tc>
        <w:tc>
          <w:tcPr>
            <w:tcW w:w="762"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责令改正，处超过工程合同价款百分之一点五、百分之二以下的罚款</w:t>
            </w:r>
          </w:p>
        </w:tc>
      </w:tr>
    </w:tbl>
    <w:p>
      <w:pPr>
        <w:widowControl/>
        <w:jc w:val="left"/>
        <w:rPr>
          <w:bCs/>
          <w:sz w:val="32"/>
          <w:szCs w:val="32"/>
        </w:rPr>
      </w:pPr>
      <w:r>
        <w:rPr>
          <w:rFonts w:hint="eastAsia"/>
          <w:bCs/>
          <w:sz w:val="32"/>
          <w:szCs w:val="32"/>
        </w:rPr>
        <w:t>《深圳经济特区建设工程施工招标投标条例》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1"/>
        <w:gridCol w:w="1550"/>
        <w:gridCol w:w="1715"/>
        <w:gridCol w:w="3600"/>
        <w:gridCol w:w="1219"/>
        <w:gridCol w:w="1219"/>
        <w:gridCol w:w="2069"/>
        <w:gridCol w:w="18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25"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54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605"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1270"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430"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30"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730"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663"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25"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lang w:val="en"/>
              </w:rPr>
              <w:t>106.7</w:t>
            </w:r>
          </w:p>
        </w:tc>
        <w:tc>
          <w:tcPr>
            <w:tcW w:w="547"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招标人以不合理条件限制或者排斥潜在投标人的</w:t>
            </w:r>
          </w:p>
        </w:tc>
        <w:tc>
          <w:tcPr>
            <w:tcW w:w="605"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第二十二条第一款：“禁止以不合理条件限制或者排斥潜在投标人参加投标。”</w:t>
            </w:r>
          </w:p>
        </w:tc>
        <w:tc>
          <w:tcPr>
            <w:tcW w:w="1270"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第六十三条第七项：“招标人违反本条例规定有下列行为之一的，责令改正，并按以下规定给予处罚：（七）以不合理条件限制或者排斥潜在投标人的，处三万元以上五万元以下的罚款。”</w:t>
            </w:r>
          </w:p>
        </w:tc>
        <w:tc>
          <w:tcPr>
            <w:tcW w:w="430"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rPr>
              <w:t>罚款</w:t>
            </w:r>
          </w:p>
        </w:tc>
        <w:tc>
          <w:tcPr>
            <w:tcW w:w="430"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730"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招标项目估算价（编制标底的项目按标底计算）五百万元以下的</w:t>
            </w:r>
          </w:p>
        </w:tc>
        <w:tc>
          <w:tcPr>
            <w:tcW w:w="663"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责令改正，处三万元以上、低于四万元的罚款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25" w:type="pct"/>
            <w:vMerge w:val="continue"/>
            <w:vAlign w:val="center"/>
          </w:tcPr>
          <w:p>
            <w:pPr>
              <w:jc w:val="center"/>
              <w:rPr>
                <w:rFonts w:hint="eastAsia" w:ascii="仿宋_GB2312" w:hAnsi="仿宋_GB2312" w:eastAsia="仿宋_GB2312" w:cs="仿宋_GB2312"/>
              </w:rPr>
            </w:pPr>
          </w:p>
        </w:tc>
        <w:tc>
          <w:tcPr>
            <w:tcW w:w="547" w:type="pct"/>
            <w:vMerge w:val="continue"/>
            <w:vAlign w:val="center"/>
          </w:tcPr>
          <w:p>
            <w:pPr>
              <w:jc w:val="center"/>
              <w:rPr>
                <w:rFonts w:hint="eastAsia" w:ascii="仿宋_GB2312" w:hAnsi="仿宋_GB2312" w:eastAsia="仿宋_GB2312" w:cs="仿宋_GB2312"/>
              </w:rPr>
            </w:pPr>
          </w:p>
        </w:tc>
        <w:tc>
          <w:tcPr>
            <w:tcW w:w="605" w:type="pct"/>
            <w:vMerge w:val="continue"/>
            <w:vAlign w:val="center"/>
          </w:tcPr>
          <w:p>
            <w:pPr>
              <w:jc w:val="center"/>
              <w:rPr>
                <w:rFonts w:hint="eastAsia" w:ascii="仿宋_GB2312" w:hAnsi="仿宋_GB2312" w:eastAsia="仿宋_GB2312" w:cs="仿宋_GB2312"/>
              </w:rPr>
            </w:pPr>
          </w:p>
        </w:tc>
        <w:tc>
          <w:tcPr>
            <w:tcW w:w="1270" w:type="pct"/>
            <w:vMerge w:val="continue"/>
            <w:vAlign w:val="center"/>
          </w:tcPr>
          <w:p>
            <w:pPr>
              <w:jc w:val="center"/>
              <w:rPr>
                <w:rFonts w:hint="eastAsia" w:ascii="仿宋_GB2312" w:hAnsi="仿宋_GB2312" w:eastAsia="仿宋_GB2312" w:cs="仿宋_GB2312"/>
              </w:rPr>
            </w:pPr>
          </w:p>
        </w:tc>
        <w:tc>
          <w:tcPr>
            <w:tcW w:w="430" w:type="pct"/>
            <w:vMerge w:val="continue"/>
            <w:vAlign w:val="center"/>
          </w:tcPr>
          <w:p>
            <w:pPr>
              <w:jc w:val="center"/>
              <w:rPr>
                <w:rFonts w:hint="eastAsia" w:ascii="仿宋_GB2312" w:hAnsi="仿宋_GB2312" w:eastAsia="仿宋_GB2312" w:cs="仿宋_GB2312"/>
              </w:rPr>
            </w:pPr>
          </w:p>
        </w:tc>
        <w:tc>
          <w:tcPr>
            <w:tcW w:w="430"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730"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招标项目估算价（编制标底的项目按标底计算）超过五百万元、二千万元以下的</w:t>
            </w:r>
          </w:p>
        </w:tc>
        <w:tc>
          <w:tcPr>
            <w:tcW w:w="663"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责令改正，处四万元的罚款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25" w:type="pct"/>
            <w:vMerge w:val="continue"/>
            <w:vAlign w:val="center"/>
          </w:tcPr>
          <w:p>
            <w:pPr>
              <w:jc w:val="center"/>
              <w:rPr>
                <w:rFonts w:hint="eastAsia" w:ascii="仿宋_GB2312" w:hAnsi="仿宋_GB2312" w:eastAsia="仿宋_GB2312" w:cs="仿宋_GB2312"/>
              </w:rPr>
            </w:pPr>
          </w:p>
        </w:tc>
        <w:tc>
          <w:tcPr>
            <w:tcW w:w="547" w:type="pct"/>
            <w:vMerge w:val="continue"/>
            <w:vAlign w:val="center"/>
          </w:tcPr>
          <w:p>
            <w:pPr>
              <w:jc w:val="center"/>
              <w:rPr>
                <w:rFonts w:hint="eastAsia" w:ascii="仿宋_GB2312" w:hAnsi="仿宋_GB2312" w:eastAsia="仿宋_GB2312" w:cs="仿宋_GB2312"/>
              </w:rPr>
            </w:pPr>
          </w:p>
        </w:tc>
        <w:tc>
          <w:tcPr>
            <w:tcW w:w="605" w:type="pct"/>
            <w:vMerge w:val="continue"/>
            <w:vAlign w:val="center"/>
          </w:tcPr>
          <w:p>
            <w:pPr>
              <w:jc w:val="center"/>
              <w:rPr>
                <w:rFonts w:hint="eastAsia" w:ascii="仿宋_GB2312" w:hAnsi="仿宋_GB2312" w:eastAsia="仿宋_GB2312" w:cs="仿宋_GB2312"/>
              </w:rPr>
            </w:pPr>
          </w:p>
        </w:tc>
        <w:tc>
          <w:tcPr>
            <w:tcW w:w="1270" w:type="pct"/>
            <w:vMerge w:val="continue"/>
            <w:vAlign w:val="center"/>
          </w:tcPr>
          <w:p>
            <w:pPr>
              <w:jc w:val="center"/>
              <w:rPr>
                <w:rFonts w:hint="eastAsia" w:ascii="仿宋_GB2312" w:hAnsi="仿宋_GB2312" w:eastAsia="仿宋_GB2312" w:cs="仿宋_GB2312"/>
              </w:rPr>
            </w:pPr>
          </w:p>
        </w:tc>
        <w:tc>
          <w:tcPr>
            <w:tcW w:w="430" w:type="pct"/>
            <w:vMerge w:val="continue"/>
            <w:vAlign w:val="center"/>
          </w:tcPr>
          <w:p>
            <w:pPr>
              <w:jc w:val="center"/>
              <w:rPr>
                <w:rFonts w:hint="eastAsia" w:ascii="仿宋_GB2312" w:hAnsi="仿宋_GB2312" w:eastAsia="仿宋_GB2312" w:cs="仿宋_GB2312"/>
              </w:rPr>
            </w:pPr>
          </w:p>
        </w:tc>
        <w:tc>
          <w:tcPr>
            <w:tcW w:w="430"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730"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招标项目估算价（编制标底的项目按标底计算）超过二千万元以上的</w:t>
            </w:r>
          </w:p>
        </w:tc>
        <w:tc>
          <w:tcPr>
            <w:tcW w:w="663"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责令改正，处超过四万元、五万元以下的罚款</w:t>
            </w:r>
          </w:p>
        </w:tc>
      </w:tr>
    </w:tbl>
    <w:p>
      <w:pPr>
        <w:widowControl/>
        <w:jc w:val="left"/>
        <w:rPr>
          <w:bCs/>
          <w:sz w:val="32"/>
          <w:szCs w:val="32"/>
        </w:rPr>
      </w:pPr>
      <w:r>
        <w:rPr>
          <w:b/>
          <w:sz w:val="32"/>
          <w:szCs w:val="32"/>
        </w:rPr>
        <w:br w:type="page"/>
      </w:r>
      <w:r>
        <w:rPr>
          <w:rFonts w:hint="eastAsia"/>
          <w:bCs/>
          <w:sz w:val="32"/>
          <w:szCs w:val="32"/>
        </w:rPr>
        <w:t>《深圳经济特区建设工程施工招标投标条例》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38"/>
        <w:gridCol w:w="1256"/>
        <w:gridCol w:w="1831"/>
        <w:gridCol w:w="3121"/>
        <w:gridCol w:w="1219"/>
        <w:gridCol w:w="1412"/>
        <w:gridCol w:w="1723"/>
        <w:gridCol w:w="257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66"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443"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646"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1101"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430"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98"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608"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908"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66"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lang w:val="en"/>
              </w:rPr>
              <w:t>106.8</w:t>
            </w:r>
          </w:p>
        </w:tc>
        <w:tc>
          <w:tcPr>
            <w:tcW w:w="443"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招标人与投标人串通招标投标的</w:t>
            </w:r>
          </w:p>
        </w:tc>
        <w:tc>
          <w:tcPr>
            <w:tcW w:w="646"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第三十九条第二款：“投标人不得与招标人串通投标，不得损害国家利益、社会公共利益或者他人的合法权益。”</w:t>
            </w:r>
          </w:p>
        </w:tc>
        <w:tc>
          <w:tcPr>
            <w:tcW w:w="1101"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第六十三条第八项：“招标人违反本条例规定有下列行为之一的，责令改正，并按以下规定给予处罚：（八）与投标人串通招标投标的，处工程合同价款百分之一以上百分之二以下的罚款。”</w:t>
            </w:r>
          </w:p>
        </w:tc>
        <w:tc>
          <w:tcPr>
            <w:tcW w:w="430"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rPr>
              <w:t>罚款</w:t>
            </w:r>
          </w:p>
        </w:tc>
        <w:tc>
          <w:tcPr>
            <w:tcW w:w="498"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608"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工程合同价款五百万元以下的</w:t>
            </w:r>
          </w:p>
        </w:tc>
        <w:tc>
          <w:tcPr>
            <w:tcW w:w="908"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责令改正，处工程合同价款百分之一以上、低于百分之一点五的罚款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66" w:type="pct"/>
            <w:vMerge w:val="continue"/>
            <w:vAlign w:val="center"/>
          </w:tcPr>
          <w:p>
            <w:pPr>
              <w:jc w:val="center"/>
              <w:rPr>
                <w:rFonts w:hint="eastAsia" w:ascii="仿宋_GB2312" w:hAnsi="仿宋_GB2312" w:eastAsia="仿宋_GB2312" w:cs="仿宋_GB2312"/>
              </w:rPr>
            </w:pPr>
          </w:p>
        </w:tc>
        <w:tc>
          <w:tcPr>
            <w:tcW w:w="443" w:type="pct"/>
            <w:vMerge w:val="continue"/>
            <w:vAlign w:val="center"/>
          </w:tcPr>
          <w:p>
            <w:pPr>
              <w:jc w:val="center"/>
              <w:rPr>
                <w:rFonts w:hint="eastAsia" w:ascii="仿宋_GB2312" w:hAnsi="仿宋_GB2312" w:eastAsia="仿宋_GB2312" w:cs="仿宋_GB2312"/>
              </w:rPr>
            </w:pPr>
          </w:p>
        </w:tc>
        <w:tc>
          <w:tcPr>
            <w:tcW w:w="646" w:type="pct"/>
            <w:vMerge w:val="continue"/>
            <w:vAlign w:val="center"/>
          </w:tcPr>
          <w:p>
            <w:pPr>
              <w:jc w:val="center"/>
              <w:rPr>
                <w:rFonts w:hint="eastAsia" w:ascii="仿宋_GB2312" w:hAnsi="仿宋_GB2312" w:eastAsia="仿宋_GB2312" w:cs="仿宋_GB2312"/>
              </w:rPr>
            </w:pPr>
          </w:p>
        </w:tc>
        <w:tc>
          <w:tcPr>
            <w:tcW w:w="1101" w:type="pct"/>
            <w:vMerge w:val="continue"/>
            <w:vAlign w:val="center"/>
          </w:tcPr>
          <w:p>
            <w:pPr>
              <w:jc w:val="center"/>
              <w:rPr>
                <w:rFonts w:hint="eastAsia" w:ascii="仿宋_GB2312" w:hAnsi="仿宋_GB2312" w:eastAsia="仿宋_GB2312" w:cs="仿宋_GB2312"/>
              </w:rPr>
            </w:pPr>
          </w:p>
        </w:tc>
        <w:tc>
          <w:tcPr>
            <w:tcW w:w="430" w:type="pct"/>
            <w:vMerge w:val="continue"/>
            <w:vAlign w:val="center"/>
          </w:tcPr>
          <w:p>
            <w:pPr>
              <w:jc w:val="center"/>
              <w:rPr>
                <w:rFonts w:hint="eastAsia" w:ascii="仿宋_GB2312" w:hAnsi="仿宋_GB2312" w:eastAsia="仿宋_GB2312" w:cs="仿宋_GB2312"/>
              </w:rPr>
            </w:pPr>
          </w:p>
        </w:tc>
        <w:tc>
          <w:tcPr>
            <w:tcW w:w="498"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608"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工程合同价款超过五百万元、二千万元以下的</w:t>
            </w:r>
          </w:p>
        </w:tc>
        <w:tc>
          <w:tcPr>
            <w:tcW w:w="908"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责令改正，处工程合同价款百分之一点五的罚款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66" w:type="pct"/>
            <w:vMerge w:val="continue"/>
            <w:vAlign w:val="center"/>
          </w:tcPr>
          <w:p>
            <w:pPr>
              <w:jc w:val="center"/>
              <w:rPr>
                <w:rFonts w:hint="eastAsia" w:ascii="仿宋_GB2312" w:hAnsi="仿宋_GB2312" w:eastAsia="仿宋_GB2312" w:cs="仿宋_GB2312"/>
              </w:rPr>
            </w:pPr>
          </w:p>
        </w:tc>
        <w:tc>
          <w:tcPr>
            <w:tcW w:w="443" w:type="pct"/>
            <w:vMerge w:val="continue"/>
            <w:vAlign w:val="center"/>
          </w:tcPr>
          <w:p>
            <w:pPr>
              <w:jc w:val="center"/>
              <w:rPr>
                <w:rFonts w:hint="eastAsia" w:ascii="仿宋_GB2312" w:hAnsi="仿宋_GB2312" w:eastAsia="仿宋_GB2312" w:cs="仿宋_GB2312"/>
              </w:rPr>
            </w:pPr>
          </w:p>
        </w:tc>
        <w:tc>
          <w:tcPr>
            <w:tcW w:w="646" w:type="pct"/>
            <w:vMerge w:val="continue"/>
            <w:vAlign w:val="center"/>
          </w:tcPr>
          <w:p>
            <w:pPr>
              <w:jc w:val="center"/>
              <w:rPr>
                <w:rFonts w:hint="eastAsia" w:ascii="仿宋_GB2312" w:hAnsi="仿宋_GB2312" w:eastAsia="仿宋_GB2312" w:cs="仿宋_GB2312"/>
              </w:rPr>
            </w:pPr>
          </w:p>
        </w:tc>
        <w:tc>
          <w:tcPr>
            <w:tcW w:w="1101" w:type="pct"/>
            <w:vMerge w:val="continue"/>
            <w:vAlign w:val="center"/>
          </w:tcPr>
          <w:p>
            <w:pPr>
              <w:jc w:val="center"/>
              <w:rPr>
                <w:rFonts w:hint="eastAsia" w:ascii="仿宋_GB2312" w:hAnsi="仿宋_GB2312" w:eastAsia="仿宋_GB2312" w:cs="仿宋_GB2312"/>
              </w:rPr>
            </w:pPr>
          </w:p>
        </w:tc>
        <w:tc>
          <w:tcPr>
            <w:tcW w:w="430" w:type="pct"/>
            <w:vMerge w:val="continue"/>
            <w:vAlign w:val="center"/>
          </w:tcPr>
          <w:p>
            <w:pPr>
              <w:jc w:val="center"/>
              <w:rPr>
                <w:rFonts w:hint="eastAsia" w:ascii="仿宋_GB2312" w:hAnsi="仿宋_GB2312" w:eastAsia="仿宋_GB2312" w:cs="仿宋_GB2312"/>
              </w:rPr>
            </w:pPr>
          </w:p>
        </w:tc>
        <w:tc>
          <w:tcPr>
            <w:tcW w:w="498"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608"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工程合同价款超过二千万元的</w:t>
            </w:r>
          </w:p>
        </w:tc>
        <w:tc>
          <w:tcPr>
            <w:tcW w:w="908"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责令改正，处超过工程合同价款百分之一点五、百分之二以下的罚款</w:t>
            </w:r>
          </w:p>
        </w:tc>
      </w:tr>
    </w:tbl>
    <w:p>
      <w:pPr>
        <w:widowControl/>
        <w:jc w:val="left"/>
        <w:rPr>
          <w:bCs/>
          <w:sz w:val="32"/>
          <w:szCs w:val="32"/>
        </w:rPr>
      </w:pPr>
      <w:r>
        <w:rPr>
          <w:b/>
          <w:sz w:val="32"/>
          <w:szCs w:val="32"/>
        </w:rPr>
        <w:br w:type="page"/>
      </w:r>
      <w:r>
        <w:rPr>
          <w:rFonts w:hint="eastAsia"/>
          <w:bCs/>
          <w:sz w:val="32"/>
          <w:szCs w:val="32"/>
        </w:rPr>
        <w:t>《深圳经济特区建设工程施工招标投标条例》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4"/>
        <w:gridCol w:w="1247"/>
        <w:gridCol w:w="1247"/>
        <w:gridCol w:w="3816"/>
        <w:gridCol w:w="1273"/>
        <w:gridCol w:w="1437"/>
        <w:gridCol w:w="2549"/>
        <w:gridCol w:w="17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01"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440"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440"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1346"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449"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50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899"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618"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01"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lang w:val="en"/>
              </w:rPr>
              <w:t>106.9</w:t>
            </w:r>
          </w:p>
        </w:tc>
        <w:tc>
          <w:tcPr>
            <w:tcW w:w="440"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招标人未按本条例规定的期限招标的</w:t>
            </w:r>
          </w:p>
        </w:tc>
        <w:tc>
          <w:tcPr>
            <w:tcW w:w="440"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第十八条、第二十四条、第二十八条、第三十条</w:t>
            </w:r>
          </w:p>
        </w:tc>
        <w:tc>
          <w:tcPr>
            <w:tcW w:w="1346"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第六十三条第九项：“招标人违反本条例规定有下列行为之一的，责令改正，并按以下规定给予处罚：（九）未按照本条例规定的期限招标的，处五万元以上十万元以下的罚款。”</w:t>
            </w:r>
          </w:p>
        </w:tc>
        <w:tc>
          <w:tcPr>
            <w:tcW w:w="449"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rPr>
              <w:t>罚款</w:t>
            </w:r>
          </w:p>
        </w:tc>
        <w:tc>
          <w:tcPr>
            <w:tcW w:w="507"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899"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招标项目估算价（编制标底的项目按标底计算）五百万元以下的</w:t>
            </w:r>
          </w:p>
        </w:tc>
        <w:tc>
          <w:tcPr>
            <w:tcW w:w="618"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责令改正，处五万元以上、低于七万五千元的罚款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01" w:type="pct"/>
            <w:vMerge w:val="continue"/>
            <w:vAlign w:val="center"/>
          </w:tcPr>
          <w:p>
            <w:pPr>
              <w:jc w:val="center"/>
              <w:rPr>
                <w:rFonts w:hint="eastAsia" w:ascii="仿宋_GB2312" w:hAnsi="仿宋_GB2312" w:eastAsia="仿宋_GB2312" w:cs="仿宋_GB2312"/>
              </w:rPr>
            </w:pPr>
          </w:p>
        </w:tc>
        <w:tc>
          <w:tcPr>
            <w:tcW w:w="440" w:type="pct"/>
            <w:vMerge w:val="continue"/>
            <w:vAlign w:val="center"/>
          </w:tcPr>
          <w:p>
            <w:pPr>
              <w:jc w:val="center"/>
              <w:rPr>
                <w:rFonts w:hint="eastAsia" w:ascii="仿宋_GB2312" w:hAnsi="仿宋_GB2312" w:eastAsia="仿宋_GB2312" w:cs="仿宋_GB2312"/>
              </w:rPr>
            </w:pPr>
          </w:p>
        </w:tc>
        <w:tc>
          <w:tcPr>
            <w:tcW w:w="440" w:type="pct"/>
            <w:vMerge w:val="continue"/>
            <w:vAlign w:val="center"/>
          </w:tcPr>
          <w:p>
            <w:pPr>
              <w:jc w:val="center"/>
              <w:rPr>
                <w:rFonts w:hint="eastAsia" w:ascii="仿宋_GB2312" w:hAnsi="仿宋_GB2312" w:eastAsia="仿宋_GB2312" w:cs="仿宋_GB2312"/>
              </w:rPr>
            </w:pPr>
          </w:p>
        </w:tc>
        <w:tc>
          <w:tcPr>
            <w:tcW w:w="1346" w:type="pct"/>
            <w:vMerge w:val="continue"/>
            <w:vAlign w:val="center"/>
          </w:tcPr>
          <w:p>
            <w:pPr>
              <w:jc w:val="center"/>
              <w:rPr>
                <w:rFonts w:hint="eastAsia" w:ascii="仿宋_GB2312" w:hAnsi="仿宋_GB2312" w:eastAsia="仿宋_GB2312" w:cs="仿宋_GB2312"/>
              </w:rPr>
            </w:pPr>
          </w:p>
        </w:tc>
        <w:tc>
          <w:tcPr>
            <w:tcW w:w="449" w:type="pct"/>
            <w:vMerge w:val="continue"/>
            <w:vAlign w:val="center"/>
          </w:tcPr>
          <w:p>
            <w:pPr>
              <w:jc w:val="center"/>
              <w:rPr>
                <w:rFonts w:hint="eastAsia" w:ascii="仿宋_GB2312" w:hAnsi="仿宋_GB2312" w:eastAsia="仿宋_GB2312" w:cs="仿宋_GB2312"/>
              </w:rPr>
            </w:pPr>
          </w:p>
        </w:tc>
        <w:tc>
          <w:tcPr>
            <w:tcW w:w="507"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899"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招标项目估算价（编制标底的项目按标底计算）超过五百万元、二千万元以下的</w:t>
            </w:r>
          </w:p>
        </w:tc>
        <w:tc>
          <w:tcPr>
            <w:tcW w:w="618"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责令改正，处七万五千元的罚款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01" w:type="pct"/>
            <w:vMerge w:val="continue"/>
            <w:vAlign w:val="center"/>
          </w:tcPr>
          <w:p>
            <w:pPr>
              <w:jc w:val="center"/>
              <w:rPr>
                <w:rFonts w:hint="eastAsia" w:ascii="仿宋_GB2312" w:hAnsi="仿宋_GB2312" w:eastAsia="仿宋_GB2312" w:cs="仿宋_GB2312"/>
              </w:rPr>
            </w:pPr>
          </w:p>
        </w:tc>
        <w:tc>
          <w:tcPr>
            <w:tcW w:w="440" w:type="pct"/>
            <w:vMerge w:val="continue"/>
            <w:vAlign w:val="center"/>
          </w:tcPr>
          <w:p>
            <w:pPr>
              <w:jc w:val="center"/>
              <w:rPr>
                <w:rFonts w:hint="eastAsia" w:ascii="仿宋_GB2312" w:hAnsi="仿宋_GB2312" w:eastAsia="仿宋_GB2312" w:cs="仿宋_GB2312"/>
              </w:rPr>
            </w:pPr>
          </w:p>
        </w:tc>
        <w:tc>
          <w:tcPr>
            <w:tcW w:w="440" w:type="pct"/>
            <w:vMerge w:val="continue"/>
            <w:vAlign w:val="center"/>
          </w:tcPr>
          <w:p>
            <w:pPr>
              <w:jc w:val="center"/>
              <w:rPr>
                <w:rFonts w:hint="eastAsia" w:ascii="仿宋_GB2312" w:hAnsi="仿宋_GB2312" w:eastAsia="仿宋_GB2312" w:cs="仿宋_GB2312"/>
              </w:rPr>
            </w:pPr>
          </w:p>
        </w:tc>
        <w:tc>
          <w:tcPr>
            <w:tcW w:w="1346" w:type="pct"/>
            <w:vMerge w:val="continue"/>
            <w:vAlign w:val="center"/>
          </w:tcPr>
          <w:p>
            <w:pPr>
              <w:jc w:val="center"/>
              <w:rPr>
                <w:rFonts w:hint="eastAsia" w:ascii="仿宋_GB2312" w:hAnsi="仿宋_GB2312" w:eastAsia="仿宋_GB2312" w:cs="仿宋_GB2312"/>
              </w:rPr>
            </w:pPr>
          </w:p>
        </w:tc>
        <w:tc>
          <w:tcPr>
            <w:tcW w:w="449" w:type="pct"/>
            <w:vMerge w:val="continue"/>
            <w:vAlign w:val="center"/>
          </w:tcPr>
          <w:p>
            <w:pPr>
              <w:jc w:val="center"/>
              <w:rPr>
                <w:rFonts w:hint="eastAsia" w:ascii="仿宋_GB2312" w:hAnsi="仿宋_GB2312" w:eastAsia="仿宋_GB2312" w:cs="仿宋_GB2312"/>
              </w:rPr>
            </w:pPr>
          </w:p>
        </w:tc>
        <w:tc>
          <w:tcPr>
            <w:tcW w:w="507"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899"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招标项目估算价（编制标底的项目按标底计算）超过二千万元以上的</w:t>
            </w:r>
          </w:p>
        </w:tc>
        <w:tc>
          <w:tcPr>
            <w:tcW w:w="618"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责令改正，处超过七万五千元、十万元以下的罚款</w:t>
            </w:r>
          </w:p>
        </w:tc>
      </w:tr>
    </w:tbl>
    <w:p>
      <w:pPr>
        <w:widowControl/>
        <w:jc w:val="left"/>
        <w:rPr>
          <w:bCs/>
          <w:sz w:val="32"/>
          <w:szCs w:val="32"/>
        </w:rPr>
      </w:pPr>
      <w:r>
        <w:rPr>
          <w:b/>
          <w:sz w:val="32"/>
          <w:szCs w:val="32"/>
        </w:rPr>
        <w:br w:type="page"/>
      </w:r>
      <w:r>
        <w:rPr>
          <w:rFonts w:hint="eastAsia"/>
          <w:bCs/>
          <w:sz w:val="32"/>
          <w:szCs w:val="32"/>
        </w:rPr>
        <w:t>《深圳经济特区建设工程施工招标投标条例》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8"/>
        <w:gridCol w:w="1293"/>
        <w:gridCol w:w="1364"/>
        <w:gridCol w:w="3659"/>
        <w:gridCol w:w="1264"/>
        <w:gridCol w:w="1301"/>
        <w:gridCol w:w="2279"/>
        <w:gridCol w:w="195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73"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456"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481"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1291"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446"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59"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804"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690"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3"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lang w:val="en"/>
              </w:rPr>
              <w:t>106.10</w:t>
            </w:r>
          </w:p>
        </w:tc>
        <w:tc>
          <w:tcPr>
            <w:tcW w:w="456"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招标人未按照本条例规定开标的</w:t>
            </w:r>
          </w:p>
        </w:tc>
        <w:tc>
          <w:tcPr>
            <w:tcW w:w="481"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第四十一条、第四十二条</w:t>
            </w:r>
          </w:p>
        </w:tc>
        <w:tc>
          <w:tcPr>
            <w:tcW w:w="1291"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第六十三条第十项：“招标人违反本条例规定有下列行为之一的，责令改正，并按以下规定给予处罚：（十）未按照本条例规定开标的，处五万元以上十万元以下的罚款。”</w:t>
            </w:r>
          </w:p>
        </w:tc>
        <w:tc>
          <w:tcPr>
            <w:tcW w:w="446"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rPr>
              <w:t>罚款</w:t>
            </w:r>
          </w:p>
        </w:tc>
        <w:tc>
          <w:tcPr>
            <w:tcW w:w="459"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804"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招标项目估算价（编制标底的项目按标底计算）五百万元以下的</w:t>
            </w:r>
          </w:p>
        </w:tc>
        <w:tc>
          <w:tcPr>
            <w:tcW w:w="690"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责令改正，处五万元以上、低于七万五千元的罚款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3" w:type="pct"/>
            <w:vMerge w:val="continue"/>
            <w:vAlign w:val="center"/>
          </w:tcPr>
          <w:p>
            <w:pPr>
              <w:jc w:val="center"/>
              <w:rPr>
                <w:rFonts w:hint="eastAsia" w:ascii="仿宋_GB2312" w:hAnsi="仿宋_GB2312" w:eastAsia="仿宋_GB2312" w:cs="仿宋_GB2312"/>
              </w:rPr>
            </w:pPr>
          </w:p>
        </w:tc>
        <w:tc>
          <w:tcPr>
            <w:tcW w:w="456" w:type="pct"/>
            <w:vMerge w:val="continue"/>
            <w:vAlign w:val="center"/>
          </w:tcPr>
          <w:p>
            <w:pPr>
              <w:jc w:val="center"/>
              <w:rPr>
                <w:rFonts w:hint="eastAsia" w:ascii="仿宋_GB2312" w:hAnsi="仿宋_GB2312" w:eastAsia="仿宋_GB2312" w:cs="仿宋_GB2312"/>
              </w:rPr>
            </w:pPr>
          </w:p>
        </w:tc>
        <w:tc>
          <w:tcPr>
            <w:tcW w:w="481" w:type="pct"/>
            <w:vMerge w:val="continue"/>
            <w:vAlign w:val="center"/>
          </w:tcPr>
          <w:p>
            <w:pPr>
              <w:jc w:val="center"/>
              <w:rPr>
                <w:rFonts w:hint="eastAsia" w:ascii="仿宋_GB2312" w:hAnsi="仿宋_GB2312" w:eastAsia="仿宋_GB2312" w:cs="仿宋_GB2312"/>
              </w:rPr>
            </w:pPr>
          </w:p>
        </w:tc>
        <w:tc>
          <w:tcPr>
            <w:tcW w:w="1291" w:type="pct"/>
            <w:vMerge w:val="continue"/>
            <w:vAlign w:val="center"/>
          </w:tcPr>
          <w:p>
            <w:pPr>
              <w:jc w:val="center"/>
              <w:rPr>
                <w:rFonts w:hint="eastAsia" w:ascii="仿宋_GB2312" w:hAnsi="仿宋_GB2312" w:eastAsia="仿宋_GB2312" w:cs="仿宋_GB2312"/>
              </w:rPr>
            </w:pPr>
          </w:p>
        </w:tc>
        <w:tc>
          <w:tcPr>
            <w:tcW w:w="446" w:type="pct"/>
            <w:vMerge w:val="continue"/>
            <w:vAlign w:val="center"/>
          </w:tcPr>
          <w:p>
            <w:pPr>
              <w:jc w:val="center"/>
              <w:rPr>
                <w:rFonts w:hint="eastAsia" w:ascii="仿宋_GB2312" w:hAnsi="仿宋_GB2312" w:eastAsia="仿宋_GB2312" w:cs="仿宋_GB2312"/>
              </w:rPr>
            </w:pPr>
          </w:p>
        </w:tc>
        <w:tc>
          <w:tcPr>
            <w:tcW w:w="459"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804"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招标项目估算价（编制标底的项目按标底计算）超过五百万元、二千万元以下的</w:t>
            </w:r>
          </w:p>
        </w:tc>
        <w:tc>
          <w:tcPr>
            <w:tcW w:w="690"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责令改正，处七万五千元的罚款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3" w:type="pct"/>
            <w:vMerge w:val="continue"/>
            <w:vAlign w:val="center"/>
          </w:tcPr>
          <w:p>
            <w:pPr>
              <w:jc w:val="center"/>
              <w:rPr>
                <w:rFonts w:hint="eastAsia" w:ascii="仿宋_GB2312" w:hAnsi="仿宋_GB2312" w:eastAsia="仿宋_GB2312" w:cs="仿宋_GB2312"/>
              </w:rPr>
            </w:pPr>
          </w:p>
        </w:tc>
        <w:tc>
          <w:tcPr>
            <w:tcW w:w="456" w:type="pct"/>
            <w:vMerge w:val="continue"/>
            <w:vAlign w:val="center"/>
          </w:tcPr>
          <w:p>
            <w:pPr>
              <w:jc w:val="center"/>
              <w:rPr>
                <w:rFonts w:hint="eastAsia" w:ascii="仿宋_GB2312" w:hAnsi="仿宋_GB2312" w:eastAsia="仿宋_GB2312" w:cs="仿宋_GB2312"/>
              </w:rPr>
            </w:pPr>
          </w:p>
        </w:tc>
        <w:tc>
          <w:tcPr>
            <w:tcW w:w="481" w:type="pct"/>
            <w:vMerge w:val="continue"/>
            <w:vAlign w:val="center"/>
          </w:tcPr>
          <w:p>
            <w:pPr>
              <w:jc w:val="center"/>
              <w:rPr>
                <w:rFonts w:hint="eastAsia" w:ascii="仿宋_GB2312" w:hAnsi="仿宋_GB2312" w:eastAsia="仿宋_GB2312" w:cs="仿宋_GB2312"/>
              </w:rPr>
            </w:pPr>
          </w:p>
        </w:tc>
        <w:tc>
          <w:tcPr>
            <w:tcW w:w="1291" w:type="pct"/>
            <w:vMerge w:val="continue"/>
            <w:vAlign w:val="center"/>
          </w:tcPr>
          <w:p>
            <w:pPr>
              <w:jc w:val="center"/>
              <w:rPr>
                <w:rFonts w:hint="eastAsia" w:ascii="仿宋_GB2312" w:hAnsi="仿宋_GB2312" w:eastAsia="仿宋_GB2312" w:cs="仿宋_GB2312"/>
              </w:rPr>
            </w:pPr>
          </w:p>
        </w:tc>
        <w:tc>
          <w:tcPr>
            <w:tcW w:w="446" w:type="pct"/>
            <w:vMerge w:val="continue"/>
            <w:vAlign w:val="center"/>
          </w:tcPr>
          <w:p>
            <w:pPr>
              <w:jc w:val="center"/>
              <w:rPr>
                <w:rFonts w:hint="eastAsia" w:ascii="仿宋_GB2312" w:hAnsi="仿宋_GB2312" w:eastAsia="仿宋_GB2312" w:cs="仿宋_GB2312"/>
              </w:rPr>
            </w:pPr>
          </w:p>
        </w:tc>
        <w:tc>
          <w:tcPr>
            <w:tcW w:w="459"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804"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招标项目估算价（编制标底的项目按标底计算）超过二千万元以上的</w:t>
            </w:r>
          </w:p>
        </w:tc>
        <w:tc>
          <w:tcPr>
            <w:tcW w:w="690"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责令改正，处超过七万五千元、十万元以下的罚款</w:t>
            </w:r>
          </w:p>
        </w:tc>
      </w:tr>
    </w:tbl>
    <w:p>
      <w:pPr>
        <w:widowControl/>
        <w:jc w:val="left"/>
        <w:rPr>
          <w:bCs/>
          <w:sz w:val="32"/>
          <w:szCs w:val="32"/>
        </w:rPr>
      </w:pPr>
      <w:r>
        <w:rPr>
          <w:rFonts w:hint="eastAsia"/>
          <w:bCs/>
          <w:sz w:val="32"/>
          <w:szCs w:val="32"/>
        </w:rPr>
        <w:t>《深圳经济特区建设工程施工招标投标条例》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5"/>
        <w:gridCol w:w="1304"/>
        <w:gridCol w:w="3212"/>
        <w:gridCol w:w="1579"/>
        <w:gridCol w:w="1221"/>
        <w:gridCol w:w="1321"/>
        <w:gridCol w:w="2365"/>
        <w:gridCol w:w="223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30"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460"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1133"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55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431"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66"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834"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789"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330" w:type="pct"/>
            <w:vMerge w:val="restart"/>
            <w:vAlign w:val="center"/>
          </w:tcPr>
          <w:p>
            <w:pPr>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lang w:val="en"/>
              </w:rPr>
              <w:t>106.11</w:t>
            </w:r>
          </w:p>
        </w:tc>
        <w:tc>
          <w:tcPr>
            <w:tcW w:w="460" w:type="pct"/>
            <w:vMerge w:val="restart"/>
            <w:vAlign w:val="center"/>
          </w:tcPr>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招标人未按照本条例规定组建评标委员会的</w:t>
            </w:r>
          </w:p>
        </w:tc>
        <w:tc>
          <w:tcPr>
            <w:tcW w:w="1133" w:type="pct"/>
            <w:vMerge w:val="restart"/>
            <w:vAlign w:val="center"/>
          </w:tcPr>
          <w:p>
            <w:pPr>
              <w:jc w:val="left"/>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第四十四条：“评标工作由招标人依法组建的评标委员会负责。评标委员会由工程技术、经济等方面的专业人员组成，总人数为五人以上单数。评标委员会三分之二以上的成员应当由招标人从市住房建设部门或者有关部门的专家库中随机抽取。专家库中的专家不能满足评标需要的，经住房建设部门或者有关部门批准，招标人可另聘专家。</w:t>
            </w:r>
          </w:p>
          <w:p>
            <w:pPr>
              <w:jc w:val="left"/>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　　与投标人有利害关系的人员不得担任评标委员会成员。评标委员会成员名单在中标结果确定前应当保密。”</w:t>
            </w:r>
          </w:p>
        </w:tc>
        <w:tc>
          <w:tcPr>
            <w:tcW w:w="557" w:type="pct"/>
            <w:vMerge w:val="restart"/>
            <w:vAlign w:val="center"/>
          </w:tcPr>
          <w:p>
            <w:pPr>
              <w:jc w:val="left"/>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第六十三条第十一项：“招标人违反本条例规定有下列行为之一的，责令改正，并按以下规定给予处罚：（十一）未按照本条例规定组建评标委员会的，评标无效，处五万元以上十万元以下的罚款。”</w:t>
            </w:r>
          </w:p>
        </w:tc>
        <w:tc>
          <w:tcPr>
            <w:tcW w:w="431" w:type="pct"/>
            <w:vMerge w:val="restart"/>
            <w:vAlign w:val="center"/>
          </w:tcPr>
          <w:p>
            <w:pPr>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罚款</w:t>
            </w:r>
          </w:p>
        </w:tc>
        <w:tc>
          <w:tcPr>
            <w:tcW w:w="466" w:type="pct"/>
            <w:vAlign w:val="center"/>
          </w:tcPr>
          <w:p>
            <w:pPr>
              <w:jc w:val="center"/>
              <w:rPr>
                <w:rFonts w:hint="eastAsia" w:ascii="仿宋_GB2312" w:hAnsi="仿宋_GB2312" w:eastAsia="仿宋_GB2312" w:cs="仿宋_GB2312"/>
                <w:sz w:val="21"/>
                <w:szCs w:val="21"/>
              </w:rPr>
            </w:pPr>
            <w:r>
              <w:rPr>
                <w:rFonts w:hint="eastAsia" w:ascii="仿宋_GB2312" w:hAnsi="仿宋_GB2312" w:eastAsia="仿宋_GB2312" w:cs="仿宋_GB2312"/>
                <w:bCs/>
                <w:color w:val="000000"/>
                <w:kern w:val="0"/>
                <w:sz w:val="21"/>
                <w:szCs w:val="21"/>
              </w:rPr>
              <w:t>从轻</w:t>
            </w:r>
          </w:p>
        </w:tc>
        <w:tc>
          <w:tcPr>
            <w:tcW w:w="834" w:type="pct"/>
            <w:vAlign w:val="center"/>
          </w:tcPr>
          <w:p>
            <w:pPr>
              <w:jc w:val="left"/>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招标项目估算价（编制标底的项目按标底计算）五百万元以下的</w:t>
            </w:r>
          </w:p>
        </w:tc>
        <w:tc>
          <w:tcPr>
            <w:tcW w:w="789" w:type="pct"/>
            <w:vAlign w:val="center"/>
          </w:tcPr>
          <w:p>
            <w:pPr>
              <w:jc w:val="left"/>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责令改正，处五万元以上、低于七万五千元的罚款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330" w:type="pct"/>
            <w:vMerge w:val="continue"/>
            <w:vAlign w:val="center"/>
          </w:tcPr>
          <w:p>
            <w:pPr>
              <w:jc w:val="center"/>
              <w:rPr>
                <w:rFonts w:hint="eastAsia" w:ascii="仿宋_GB2312" w:hAnsi="仿宋_GB2312" w:eastAsia="仿宋_GB2312" w:cs="仿宋_GB2312"/>
                <w:sz w:val="21"/>
                <w:szCs w:val="21"/>
              </w:rPr>
            </w:pPr>
          </w:p>
        </w:tc>
        <w:tc>
          <w:tcPr>
            <w:tcW w:w="460" w:type="pct"/>
            <w:vMerge w:val="continue"/>
            <w:vAlign w:val="center"/>
          </w:tcPr>
          <w:p>
            <w:pPr>
              <w:jc w:val="center"/>
              <w:rPr>
                <w:rFonts w:hint="eastAsia" w:ascii="仿宋_GB2312" w:hAnsi="仿宋_GB2312" w:eastAsia="仿宋_GB2312" w:cs="仿宋_GB2312"/>
                <w:sz w:val="21"/>
                <w:szCs w:val="21"/>
              </w:rPr>
            </w:pPr>
          </w:p>
        </w:tc>
        <w:tc>
          <w:tcPr>
            <w:tcW w:w="1133" w:type="pct"/>
            <w:vMerge w:val="continue"/>
            <w:vAlign w:val="center"/>
          </w:tcPr>
          <w:p>
            <w:pPr>
              <w:jc w:val="center"/>
              <w:rPr>
                <w:rFonts w:hint="eastAsia" w:ascii="仿宋_GB2312" w:hAnsi="仿宋_GB2312" w:eastAsia="仿宋_GB2312" w:cs="仿宋_GB2312"/>
                <w:sz w:val="21"/>
                <w:szCs w:val="21"/>
              </w:rPr>
            </w:pPr>
          </w:p>
        </w:tc>
        <w:tc>
          <w:tcPr>
            <w:tcW w:w="557" w:type="pct"/>
            <w:vMerge w:val="continue"/>
            <w:vAlign w:val="center"/>
          </w:tcPr>
          <w:p>
            <w:pPr>
              <w:jc w:val="center"/>
              <w:rPr>
                <w:rFonts w:hint="eastAsia" w:ascii="仿宋_GB2312" w:hAnsi="仿宋_GB2312" w:eastAsia="仿宋_GB2312" w:cs="仿宋_GB2312"/>
                <w:sz w:val="21"/>
                <w:szCs w:val="21"/>
              </w:rPr>
            </w:pPr>
          </w:p>
        </w:tc>
        <w:tc>
          <w:tcPr>
            <w:tcW w:w="431" w:type="pct"/>
            <w:vMerge w:val="continue"/>
            <w:vAlign w:val="center"/>
          </w:tcPr>
          <w:p>
            <w:pPr>
              <w:jc w:val="center"/>
              <w:rPr>
                <w:rFonts w:hint="eastAsia" w:ascii="仿宋_GB2312" w:hAnsi="仿宋_GB2312" w:eastAsia="仿宋_GB2312" w:cs="仿宋_GB2312"/>
                <w:sz w:val="21"/>
                <w:szCs w:val="21"/>
              </w:rPr>
            </w:pPr>
          </w:p>
        </w:tc>
        <w:tc>
          <w:tcPr>
            <w:tcW w:w="466" w:type="pct"/>
            <w:vAlign w:val="center"/>
          </w:tcPr>
          <w:p>
            <w:pPr>
              <w:jc w:val="center"/>
              <w:rPr>
                <w:rFonts w:hint="eastAsia" w:ascii="仿宋_GB2312" w:hAnsi="仿宋_GB2312" w:eastAsia="仿宋_GB2312" w:cs="仿宋_GB2312"/>
                <w:sz w:val="21"/>
                <w:szCs w:val="21"/>
              </w:rPr>
            </w:pPr>
            <w:r>
              <w:rPr>
                <w:rFonts w:hint="eastAsia" w:ascii="仿宋_GB2312" w:hAnsi="仿宋_GB2312" w:eastAsia="仿宋_GB2312" w:cs="仿宋_GB2312"/>
                <w:bCs/>
                <w:color w:val="000000"/>
                <w:kern w:val="0"/>
                <w:sz w:val="21"/>
                <w:szCs w:val="21"/>
              </w:rPr>
              <w:t>一般</w:t>
            </w:r>
          </w:p>
        </w:tc>
        <w:tc>
          <w:tcPr>
            <w:tcW w:w="834" w:type="pct"/>
            <w:vAlign w:val="center"/>
          </w:tcPr>
          <w:p>
            <w:pPr>
              <w:jc w:val="left"/>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招标项目估算价（编制标底的项目按标底计算）超过五百万元、二千万元以下的</w:t>
            </w:r>
          </w:p>
        </w:tc>
        <w:tc>
          <w:tcPr>
            <w:tcW w:w="789" w:type="pct"/>
            <w:vAlign w:val="center"/>
          </w:tcPr>
          <w:p>
            <w:pPr>
              <w:jc w:val="left"/>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责令改正，处七万五千元的罚款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330" w:type="pct"/>
            <w:vMerge w:val="continue"/>
            <w:vAlign w:val="center"/>
          </w:tcPr>
          <w:p>
            <w:pPr>
              <w:jc w:val="center"/>
              <w:rPr>
                <w:rFonts w:hint="eastAsia" w:ascii="仿宋_GB2312" w:hAnsi="仿宋_GB2312" w:eastAsia="仿宋_GB2312" w:cs="仿宋_GB2312"/>
                <w:sz w:val="21"/>
                <w:szCs w:val="21"/>
              </w:rPr>
            </w:pPr>
          </w:p>
        </w:tc>
        <w:tc>
          <w:tcPr>
            <w:tcW w:w="460" w:type="pct"/>
            <w:vMerge w:val="continue"/>
            <w:vAlign w:val="center"/>
          </w:tcPr>
          <w:p>
            <w:pPr>
              <w:jc w:val="center"/>
              <w:rPr>
                <w:rFonts w:hint="eastAsia" w:ascii="仿宋_GB2312" w:hAnsi="仿宋_GB2312" w:eastAsia="仿宋_GB2312" w:cs="仿宋_GB2312"/>
                <w:sz w:val="21"/>
                <w:szCs w:val="21"/>
              </w:rPr>
            </w:pPr>
          </w:p>
        </w:tc>
        <w:tc>
          <w:tcPr>
            <w:tcW w:w="1133" w:type="pct"/>
            <w:vMerge w:val="continue"/>
            <w:vAlign w:val="center"/>
          </w:tcPr>
          <w:p>
            <w:pPr>
              <w:jc w:val="center"/>
              <w:rPr>
                <w:rFonts w:hint="eastAsia" w:ascii="仿宋_GB2312" w:hAnsi="仿宋_GB2312" w:eastAsia="仿宋_GB2312" w:cs="仿宋_GB2312"/>
                <w:sz w:val="21"/>
                <w:szCs w:val="21"/>
              </w:rPr>
            </w:pPr>
          </w:p>
        </w:tc>
        <w:tc>
          <w:tcPr>
            <w:tcW w:w="557" w:type="pct"/>
            <w:vMerge w:val="continue"/>
            <w:vAlign w:val="center"/>
          </w:tcPr>
          <w:p>
            <w:pPr>
              <w:jc w:val="center"/>
              <w:rPr>
                <w:rFonts w:hint="eastAsia" w:ascii="仿宋_GB2312" w:hAnsi="仿宋_GB2312" w:eastAsia="仿宋_GB2312" w:cs="仿宋_GB2312"/>
                <w:sz w:val="21"/>
                <w:szCs w:val="21"/>
              </w:rPr>
            </w:pPr>
          </w:p>
        </w:tc>
        <w:tc>
          <w:tcPr>
            <w:tcW w:w="431" w:type="pct"/>
            <w:vMerge w:val="continue"/>
            <w:vAlign w:val="center"/>
          </w:tcPr>
          <w:p>
            <w:pPr>
              <w:jc w:val="center"/>
              <w:rPr>
                <w:rFonts w:hint="eastAsia" w:ascii="仿宋_GB2312" w:hAnsi="仿宋_GB2312" w:eastAsia="仿宋_GB2312" w:cs="仿宋_GB2312"/>
                <w:sz w:val="21"/>
                <w:szCs w:val="21"/>
              </w:rPr>
            </w:pPr>
          </w:p>
        </w:tc>
        <w:tc>
          <w:tcPr>
            <w:tcW w:w="466" w:type="pct"/>
            <w:vAlign w:val="center"/>
          </w:tcPr>
          <w:p>
            <w:pPr>
              <w:jc w:val="center"/>
              <w:rPr>
                <w:rFonts w:hint="eastAsia" w:ascii="仿宋_GB2312" w:hAnsi="仿宋_GB2312" w:eastAsia="仿宋_GB2312" w:cs="仿宋_GB2312"/>
                <w:sz w:val="21"/>
                <w:szCs w:val="21"/>
              </w:rPr>
            </w:pPr>
            <w:r>
              <w:rPr>
                <w:rFonts w:hint="eastAsia" w:ascii="仿宋_GB2312" w:hAnsi="仿宋_GB2312" w:eastAsia="仿宋_GB2312" w:cs="仿宋_GB2312"/>
                <w:bCs/>
                <w:color w:val="000000"/>
                <w:kern w:val="0"/>
                <w:sz w:val="21"/>
                <w:szCs w:val="21"/>
              </w:rPr>
              <w:t>从重</w:t>
            </w:r>
          </w:p>
        </w:tc>
        <w:tc>
          <w:tcPr>
            <w:tcW w:w="834" w:type="pct"/>
            <w:vAlign w:val="center"/>
          </w:tcPr>
          <w:p>
            <w:pPr>
              <w:jc w:val="left"/>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招标项目估算价（编制标底的项目按标底计算）超过二千万元以上的</w:t>
            </w:r>
          </w:p>
        </w:tc>
        <w:tc>
          <w:tcPr>
            <w:tcW w:w="789" w:type="pct"/>
            <w:vAlign w:val="center"/>
          </w:tcPr>
          <w:p>
            <w:pPr>
              <w:jc w:val="left"/>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责令改正，处超过七万五千元、十万元以下的罚款</w:t>
            </w:r>
          </w:p>
        </w:tc>
      </w:tr>
    </w:tbl>
    <w:p>
      <w:pPr>
        <w:widowControl/>
        <w:jc w:val="left"/>
        <w:rPr>
          <w:b/>
          <w:sz w:val="32"/>
          <w:szCs w:val="32"/>
        </w:rPr>
      </w:pPr>
      <w:r>
        <w:rPr>
          <w:b/>
          <w:sz w:val="32"/>
          <w:szCs w:val="32"/>
        </w:rPr>
        <w:br w:type="page"/>
      </w:r>
    </w:p>
    <w:p>
      <w:pPr>
        <w:rPr>
          <w:bCs/>
          <w:sz w:val="32"/>
          <w:szCs w:val="32"/>
        </w:rPr>
      </w:pPr>
      <w:r>
        <w:rPr>
          <w:rFonts w:hint="eastAsia"/>
          <w:bCs/>
          <w:sz w:val="32"/>
          <w:szCs w:val="32"/>
        </w:rPr>
        <w:t>《深圳经济特区建设工程施工招标投标条例》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9"/>
        <w:gridCol w:w="1372"/>
        <w:gridCol w:w="1792"/>
        <w:gridCol w:w="2523"/>
        <w:gridCol w:w="1290"/>
        <w:gridCol w:w="1253"/>
        <w:gridCol w:w="2350"/>
        <w:gridCol w:w="25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56"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484"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632"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890"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455"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42"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829"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912"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56" w:type="pct"/>
            <w:vMerge w:val="restart"/>
            <w:vAlign w:val="center"/>
          </w:tcPr>
          <w:p>
            <w:pPr>
              <w:jc w:val="center"/>
              <w:rPr>
                <w:rFonts w:hint="eastAsia" w:ascii="仿宋_GB2312" w:hAnsi="仿宋_GB2312" w:eastAsia="仿宋_GB2312" w:cs="仿宋_GB2312"/>
                <w:lang w:val="en"/>
              </w:rPr>
            </w:pPr>
            <w:r>
              <w:rPr>
                <w:rFonts w:hint="eastAsia" w:ascii="仿宋_GB2312" w:hAnsi="仿宋_GB2312" w:eastAsia="仿宋_GB2312" w:cs="仿宋_GB2312"/>
                <w:lang w:val="en"/>
              </w:rPr>
              <w:t>106.12</w:t>
            </w:r>
          </w:p>
        </w:tc>
        <w:tc>
          <w:tcPr>
            <w:tcW w:w="484"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招标代理机构未取得招标代理资质而以招标代理机构名义从事招标代理业务的</w:t>
            </w:r>
          </w:p>
        </w:tc>
        <w:tc>
          <w:tcPr>
            <w:tcW w:w="632"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第十六条第二款：“招标代理机构应当按照其招标代理资质从事招标代理业务，禁止招标代理机构从事同一工程的招标代理和投标咨询，禁止转让招标代理业务。”</w:t>
            </w:r>
          </w:p>
        </w:tc>
        <w:tc>
          <w:tcPr>
            <w:tcW w:w="890"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第六十四条第一款第一项：“招标代理机构违反本条例规定有下列行为之一的，责令改正，没收违法所得，并按以下规定给予处罚:（一）未取得招标代理资质而以招标代理机构名义从事招标代理业务的，处五万元以上十万元以下罚款。”</w:t>
            </w:r>
          </w:p>
        </w:tc>
        <w:tc>
          <w:tcPr>
            <w:tcW w:w="455"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没收违法所得；罚款</w:t>
            </w:r>
          </w:p>
        </w:tc>
        <w:tc>
          <w:tcPr>
            <w:tcW w:w="442"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829"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招标项目估算价（编制标底的项目按标底计算）五百万元以下的</w:t>
            </w:r>
          </w:p>
        </w:tc>
        <w:tc>
          <w:tcPr>
            <w:tcW w:w="912"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责令改正，没收违法所得，并处五万元以上、低于七万五千元的罚款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56" w:type="pct"/>
            <w:vMerge w:val="continue"/>
            <w:vAlign w:val="center"/>
          </w:tcPr>
          <w:p>
            <w:pPr>
              <w:jc w:val="center"/>
              <w:rPr>
                <w:rFonts w:hint="eastAsia" w:ascii="仿宋_GB2312" w:hAnsi="仿宋_GB2312" w:eastAsia="仿宋_GB2312" w:cs="仿宋_GB2312"/>
              </w:rPr>
            </w:pPr>
          </w:p>
        </w:tc>
        <w:tc>
          <w:tcPr>
            <w:tcW w:w="484" w:type="pct"/>
            <w:vMerge w:val="continue"/>
            <w:vAlign w:val="center"/>
          </w:tcPr>
          <w:p>
            <w:pPr>
              <w:jc w:val="center"/>
              <w:rPr>
                <w:rFonts w:hint="eastAsia" w:ascii="仿宋_GB2312" w:hAnsi="仿宋_GB2312" w:eastAsia="仿宋_GB2312" w:cs="仿宋_GB2312"/>
              </w:rPr>
            </w:pPr>
          </w:p>
        </w:tc>
        <w:tc>
          <w:tcPr>
            <w:tcW w:w="632" w:type="pct"/>
            <w:vMerge w:val="continue"/>
            <w:vAlign w:val="center"/>
          </w:tcPr>
          <w:p>
            <w:pPr>
              <w:jc w:val="center"/>
              <w:rPr>
                <w:rFonts w:hint="eastAsia" w:ascii="仿宋_GB2312" w:hAnsi="仿宋_GB2312" w:eastAsia="仿宋_GB2312" w:cs="仿宋_GB2312"/>
              </w:rPr>
            </w:pPr>
          </w:p>
        </w:tc>
        <w:tc>
          <w:tcPr>
            <w:tcW w:w="890" w:type="pct"/>
            <w:vMerge w:val="continue"/>
            <w:vAlign w:val="center"/>
          </w:tcPr>
          <w:p>
            <w:pPr>
              <w:jc w:val="center"/>
              <w:rPr>
                <w:rFonts w:hint="eastAsia" w:ascii="仿宋_GB2312" w:hAnsi="仿宋_GB2312" w:eastAsia="仿宋_GB2312" w:cs="仿宋_GB2312"/>
              </w:rPr>
            </w:pPr>
          </w:p>
        </w:tc>
        <w:tc>
          <w:tcPr>
            <w:tcW w:w="455" w:type="pct"/>
            <w:vMerge w:val="continue"/>
            <w:vAlign w:val="center"/>
          </w:tcPr>
          <w:p>
            <w:pPr>
              <w:jc w:val="center"/>
              <w:rPr>
                <w:rFonts w:hint="eastAsia" w:ascii="仿宋_GB2312" w:hAnsi="仿宋_GB2312" w:eastAsia="仿宋_GB2312" w:cs="仿宋_GB2312"/>
              </w:rPr>
            </w:pPr>
          </w:p>
        </w:tc>
        <w:tc>
          <w:tcPr>
            <w:tcW w:w="442"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829"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招标项目估算价（编制标底的项目按标底计算）超过五百万元、二千万元以下的</w:t>
            </w:r>
          </w:p>
        </w:tc>
        <w:tc>
          <w:tcPr>
            <w:tcW w:w="912"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责令改正，没收违法所得，并处七万五千元的罚款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56" w:type="pct"/>
            <w:vMerge w:val="continue"/>
            <w:vAlign w:val="center"/>
          </w:tcPr>
          <w:p>
            <w:pPr>
              <w:jc w:val="center"/>
              <w:rPr>
                <w:rFonts w:hint="eastAsia" w:ascii="仿宋_GB2312" w:hAnsi="仿宋_GB2312" w:eastAsia="仿宋_GB2312" w:cs="仿宋_GB2312"/>
              </w:rPr>
            </w:pPr>
          </w:p>
        </w:tc>
        <w:tc>
          <w:tcPr>
            <w:tcW w:w="484" w:type="pct"/>
            <w:vMerge w:val="continue"/>
            <w:vAlign w:val="center"/>
          </w:tcPr>
          <w:p>
            <w:pPr>
              <w:jc w:val="center"/>
              <w:rPr>
                <w:rFonts w:hint="eastAsia" w:ascii="仿宋_GB2312" w:hAnsi="仿宋_GB2312" w:eastAsia="仿宋_GB2312" w:cs="仿宋_GB2312"/>
              </w:rPr>
            </w:pPr>
          </w:p>
        </w:tc>
        <w:tc>
          <w:tcPr>
            <w:tcW w:w="632" w:type="pct"/>
            <w:vMerge w:val="continue"/>
            <w:vAlign w:val="center"/>
          </w:tcPr>
          <w:p>
            <w:pPr>
              <w:jc w:val="center"/>
              <w:rPr>
                <w:rFonts w:hint="eastAsia" w:ascii="仿宋_GB2312" w:hAnsi="仿宋_GB2312" w:eastAsia="仿宋_GB2312" w:cs="仿宋_GB2312"/>
              </w:rPr>
            </w:pPr>
          </w:p>
        </w:tc>
        <w:tc>
          <w:tcPr>
            <w:tcW w:w="890" w:type="pct"/>
            <w:vMerge w:val="continue"/>
            <w:vAlign w:val="center"/>
          </w:tcPr>
          <w:p>
            <w:pPr>
              <w:jc w:val="center"/>
              <w:rPr>
                <w:rFonts w:hint="eastAsia" w:ascii="仿宋_GB2312" w:hAnsi="仿宋_GB2312" w:eastAsia="仿宋_GB2312" w:cs="仿宋_GB2312"/>
              </w:rPr>
            </w:pPr>
          </w:p>
        </w:tc>
        <w:tc>
          <w:tcPr>
            <w:tcW w:w="455" w:type="pct"/>
            <w:vMerge w:val="continue"/>
            <w:vAlign w:val="center"/>
          </w:tcPr>
          <w:p>
            <w:pPr>
              <w:jc w:val="center"/>
              <w:rPr>
                <w:rFonts w:hint="eastAsia" w:ascii="仿宋_GB2312" w:hAnsi="仿宋_GB2312" w:eastAsia="仿宋_GB2312" w:cs="仿宋_GB2312"/>
              </w:rPr>
            </w:pPr>
          </w:p>
        </w:tc>
        <w:tc>
          <w:tcPr>
            <w:tcW w:w="442"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829"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招标项目估算价（编制标底的项目按标底计算）超过二千万元以上的</w:t>
            </w:r>
          </w:p>
        </w:tc>
        <w:tc>
          <w:tcPr>
            <w:tcW w:w="912"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责令改正，没收违法所得，并处超过七万五千元、十万元以下的罚款</w:t>
            </w:r>
          </w:p>
        </w:tc>
      </w:tr>
    </w:tbl>
    <w:p>
      <w:pPr>
        <w:rPr>
          <w:bCs/>
          <w:sz w:val="32"/>
          <w:szCs w:val="32"/>
        </w:rPr>
      </w:pPr>
      <w:r>
        <w:rPr>
          <w:b/>
          <w:sz w:val="32"/>
          <w:szCs w:val="32"/>
        </w:rPr>
        <w:br w:type="page"/>
      </w:r>
      <w:r>
        <w:rPr>
          <w:rFonts w:hint="eastAsia"/>
          <w:bCs/>
          <w:sz w:val="32"/>
          <w:szCs w:val="32"/>
        </w:rPr>
        <w:t>《深圳经济特区建设工程施工招标投标条例》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9"/>
        <w:gridCol w:w="1372"/>
        <w:gridCol w:w="1792"/>
        <w:gridCol w:w="2523"/>
        <w:gridCol w:w="1290"/>
        <w:gridCol w:w="1253"/>
        <w:gridCol w:w="2350"/>
        <w:gridCol w:w="25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56"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484"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632"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890"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455"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42"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829"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912"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56" w:type="pct"/>
            <w:vMerge w:val="restart"/>
            <w:vAlign w:val="center"/>
          </w:tcPr>
          <w:p>
            <w:pPr>
              <w:jc w:val="center"/>
              <w:rPr>
                <w:rFonts w:hint="eastAsia" w:ascii="仿宋_GB2312" w:hAnsi="仿宋_GB2312" w:eastAsia="仿宋_GB2312" w:cs="仿宋_GB2312"/>
                <w:lang w:val="en"/>
              </w:rPr>
            </w:pPr>
            <w:r>
              <w:rPr>
                <w:rFonts w:hint="eastAsia" w:ascii="仿宋_GB2312" w:hAnsi="仿宋_GB2312" w:eastAsia="仿宋_GB2312" w:cs="仿宋_GB2312"/>
                <w:lang w:val="en"/>
              </w:rPr>
              <w:t>106.1</w:t>
            </w:r>
            <w:r>
              <w:rPr>
                <w:rFonts w:hint="eastAsia" w:ascii="仿宋_GB2312" w:hAnsi="仿宋_GB2312" w:eastAsia="仿宋_GB2312" w:cs="仿宋_GB2312"/>
              </w:rPr>
              <w:t>3</w:t>
            </w:r>
          </w:p>
        </w:tc>
        <w:tc>
          <w:tcPr>
            <w:tcW w:w="484"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招标代理机构超越资质等级承接招标代理业务的</w:t>
            </w:r>
          </w:p>
        </w:tc>
        <w:tc>
          <w:tcPr>
            <w:tcW w:w="632"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第十六条第二款：“招标代理机构应当按照其招标代理资质从事招标代理业务，禁止招标代理机构从事同一工程的招标代理和投标咨询，禁止转让招标代理业务。”</w:t>
            </w:r>
          </w:p>
        </w:tc>
        <w:tc>
          <w:tcPr>
            <w:tcW w:w="890"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第六十四条第一款第二项：“招标代理机构违反本条例规定有下列行为之一的，责令改正，没收违法所得，并按以下规定给予处罚:（二）超越资质等级承接招标代理业务的，处三万元以上五万元以下罚款。”</w:t>
            </w:r>
          </w:p>
        </w:tc>
        <w:tc>
          <w:tcPr>
            <w:tcW w:w="455"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没收违法所得；罚款</w:t>
            </w:r>
          </w:p>
        </w:tc>
        <w:tc>
          <w:tcPr>
            <w:tcW w:w="442"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829"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招标项目估算价（编制标底的项目按标底计算）五百万元以下的</w:t>
            </w:r>
          </w:p>
        </w:tc>
        <w:tc>
          <w:tcPr>
            <w:tcW w:w="912"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责令改正，没收违法所得，并处三万元以上、低于四万元的罚款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56" w:type="pct"/>
            <w:vMerge w:val="continue"/>
            <w:vAlign w:val="center"/>
          </w:tcPr>
          <w:p>
            <w:pPr>
              <w:jc w:val="center"/>
              <w:rPr>
                <w:rFonts w:hint="eastAsia" w:ascii="仿宋_GB2312" w:hAnsi="仿宋_GB2312" w:eastAsia="仿宋_GB2312" w:cs="仿宋_GB2312"/>
              </w:rPr>
            </w:pPr>
          </w:p>
        </w:tc>
        <w:tc>
          <w:tcPr>
            <w:tcW w:w="484" w:type="pct"/>
            <w:vMerge w:val="continue"/>
            <w:vAlign w:val="center"/>
          </w:tcPr>
          <w:p>
            <w:pPr>
              <w:jc w:val="center"/>
              <w:rPr>
                <w:rFonts w:hint="eastAsia" w:ascii="仿宋_GB2312" w:hAnsi="仿宋_GB2312" w:eastAsia="仿宋_GB2312" w:cs="仿宋_GB2312"/>
              </w:rPr>
            </w:pPr>
          </w:p>
        </w:tc>
        <w:tc>
          <w:tcPr>
            <w:tcW w:w="632" w:type="pct"/>
            <w:vMerge w:val="continue"/>
            <w:vAlign w:val="center"/>
          </w:tcPr>
          <w:p>
            <w:pPr>
              <w:jc w:val="center"/>
              <w:rPr>
                <w:rFonts w:hint="eastAsia" w:ascii="仿宋_GB2312" w:hAnsi="仿宋_GB2312" w:eastAsia="仿宋_GB2312" w:cs="仿宋_GB2312"/>
              </w:rPr>
            </w:pPr>
          </w:p>
        </w:tc>
        <w:tc>
          <w:tcPr>
            <w:tcW w:w="890" w:type="pct"/>
            <w:vMerge w:val="continue"/>
            <w:vAlign w:val="center"/>
          </w:tcPr>
          <w:p>
            <w:pPr>
              <w:jc w:val="center"/>
              <w:rPr>
                <w:rFonts w:hint="eastAsia" w:ascii="仿宋_GB2312" w:hAnsi="仿宋_GB2312" w:eastAsia="仿宋_GB2312" w:cs="仿宋_GB2312"/>
              </w:rPr>
            </w:pPr>
          </w:p>
        </w:tc>
        <w:tc>
          <w:tcPr>
            <w:tcW w:w="455" w:type="pct"/>
            <w:vMerge w:val="continue"/>
            <w:vAlign w:val="center"/>
          </w:tcPr>
          <w:p>
            <w:pPr>
              <w:jc w:val="center"/>
              <w:rPr>
                <w:rFonts w:hint="eastAsia" w:ascii="仿宋_GB2312" w:hAnsi="仿宋_GB2312" w:eastAsia="仿宋_GB2312" w:cs="仿宋_GB2312"/>
              </w:rPr>
            </w:pPr>
          </w:p>
        </w:tc>
        <w:tc>
          <w:tcPr>
            <w:tcW w:w="442"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829"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招标项目估算价（编制标底的项目按标底计算）超过五百万元、二千万元以下的</w:t>
            </w:r>
          </w:p>
        </w:tc>
        <w:tc>
          <w:tcPr>
            <w:tcW w:w="912"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责令改正，没收违法所得，并处四万元的罚款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56" w:type="pct"/>
            <w:vMerge w:val="continue"/>
            <w:vAlign w:val="center"/>
          </w:tcPr>
          <w:p>
            <w:pPr>
              <w:jc w:val="center"/>
              <w:rPr>
                <w:rFonts w:hint="eastAsia" w:ascii="仿宋_GB2312" w:hAnsi="仿宋_GB2312" w:eastAsia="仿宋_GB2312" w:cs="仿宋_GB2312"/>
              </w:rPr>
            </w:pPr>
          </w:p>
        </w:tc>
        <w:tc>
          <w:tcPr>
            <w:tcW w:w="484" w:type="pct"/>
            <w:vMerge w:val="continue"/>
            <w:vAlign w:val="center"/>
          </w:tcPr>
          <w:p>
            <w:pPr>
              <w:jc w:val="center"/>
              <w:rPr>
                <w:rFonts w:hint="eastAsia" w:ascii="仿宋_GB2312" w:hAnsi="仿宋_GB2312" w:eastAsia="仿宋_GB2312" w:cs="仿宋_GB2312"/>
              </w:rPr>
            </w:pPr>
          </w:p>
        </w:tc>
        <w:tc>
          <w:tcPr>
            <w:tcW w:w="632" w:type="pct"/>
            <w:vMerge w:val="continue"/>
            <w:vAlign w:val="center"/>
          </w:tcPr>
          <w:p>
            <w:pPr>
              <w:jc w:val="center"/>
              <w:rPr>
                <w:rFonts w:hint="eastAsia" w:ascii="仿宋_GB2312" w:hAnsi="仿宋_GB2312" w:eastAsia="仿宋_GB2312" w:cs="仿宋_GB2312"/>
              </w:rPr>
            </w:pPr>
          </w:p>
        </w:tc>
        <w:tc>
          <w:tcPr>
            <w:tcW w:w="890" w:type="pct"/>
            <w:vMerge w:val="continue"/>
            <w:vAlign w:val="center"/>
          </w:tcPr>
          <w:p>
            <w:pPr>
              <w:jc w:val="center"/>
              <w:rPr>
                <w:rFonts w:hint="eastAsia" w:ascii="仿宋_GB2312" w:hAnsi="仿宋_GB2312" w:eastAsia="仿宋_GB2312" w:cs="仿宋_GB2312"/>
              </w:rPr>
            </w:pPr>
          </w:p>
        </w:tc>
        <w:tc>
          <w:tcPr>
            <w:tcW w:w="455" w:type="pct"/>
            <w:vMerge w:val="continue"/>
            <w:vAlign w:val="center"/>
          </w:tcPr>
          <w:p>
            <w:pPr>
              <w:jc w:val="center"/>
              <w:rPr>
                <w:rFonts w:hint="eastAsia" w:ascii="仿宋_GB2312" w:hAnsi="仿宋_GB2312" w:eastAsia="仿宋_GB2312" w:cs="仿宋_GB2312"/>
              </w:rPr>
            </w:pPr>
          </w:p>
        </w:tc>
        <w:tc>
          <w:tcPr>
            <w:tcW w:w="442"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829"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招标项目估算价（编制标底的项目按标底计算）超过二千万元以上的</w:t>
            </w:r>
          </w:p>
        </w:tc>
        <w:tc>
          <w:tcPr>
            <w:tcW w:w="912"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责令改正，没收违法所得，并处超过四万元、五万元以下的罚款</w:t>
            </w:r>
          </w:p>
        </w:tc>
      </w:tr>
    </w:tbl>
    <w:p>
      <w:pPr>
        <w:rPr>
          <w:bCs/>
          <w:sz w:val="32"/>
          <w:szCs w:val="32"/>
        </w:rPr>
      </w:pPr>
      <w:r>
        <w:rPr>
          <w:b/>
          <w:sz w:val="32"/>
          <w:szCs w:val="32"/>
        </w:rPr>
        <w:br w:type="page"/>
      </w:r>
      <w:r>
        <w:rPr>
          <w:rFonts w:hint="eastAsia"/>
          <w:bCs/>
          <w:sz w:val="32"/>
          <w:szCs w:val="32"/>
        </w:rPr>
        <w:t>《深圳经济特区建设工程施工招标投标条例》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6"/>
        <w:gridCol w:w="1372"/>
        <w:gridCol w:w="1698"/>
        <w:gridCol w:w="2441"/>
        <w:gridCol w:w="1460"/>
        <w:gridCol w:w="1253"/>
        <w:gridCol w:w="2347"/>
        <w:gridCol w:w="25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55"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484"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599"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861"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515"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42"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828"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91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55" w:type="pct"/>
            <w:vMerge w:val="restart"/>
            <w:vAlign w:val="center"/>
          </w:tcPr>
          <w:p>
            <w:pPr>
              <w:jc w:val="center"/>
              <w:rPr>
                <w:rFonts w:hint="eastAsia" w:ascii="仿宋_GB2312" w:hAnsi="仿宋_GB2312" w:eastAsia="仿宋_GB2312" w:cs="仿宋_GB2312"/>
                <w:lang w:val="en"/>
              </w:rPr>
            </w:pPr>
            <w:r>
              <w:rPr>
                <w:rFonts w:hint="eastAsia" w:ascii="仿宋_GB2312" w:hAnsi="仿宋_GB2312" w:eastAsia="仿宋_GB2312" w:cs="仿宋_GB2312"/>
                <w:lang w:val="en"/>
              </w:rPr>
              <w:t>106.1</w:t>
            </w:r>
            <w:r>
              <w:rPr>
                <w:rFonts w:hint="eastAsia" w:ascii="仿宋_GB2312" w:hAnsi="仿宋_GB2312" w:eastAsia="仿宋_GB2312" w:cs="仿宋_GB2312"/>
              </w:rPr>
              <w:t>4</w:t>
            </w:r>
          </w:p>
        </w:tc>
        <w:tc>
          <w:tcPr>
            <w:tcW w:w="484"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招标代理机构转让招标代理业务，或者从事同一工程招标代理和投标咨询的</w:t>
            </w:r>
          </w:p>
        </w:tc>
        <w:tc>
          <w:tcPr>
            <w:tcW w:w="599"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第十六条第二款：“招标代理机构应当按照其招标代理资质从事招标代理业务，禁止招标代理机构从事同一工程的招标代理和投标咨询，禁止转让招标代理业务。”</w:t>
            </w:r>
          </w:p>
        </w:tc>
        <w:tc>
          <w:tcPr>
            <w:tcW w:w="861"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第六十四条第一款第三项：“招标代理机构违反本条例规定有下列行为之一的，责令改正，没收违法所得，并按以下规定给予处罚:（三）转让招标代理业务，或者从事同一工程招标代理和投标咨询的，处三万元以上五万元以下的罚款；情节严重的，暂停其工程招标代理业务六个月。”</w:t>
            </w:r>
          </w:p>
        </w:tc>
        <w:tc>
          <w:tcPr>
            <w:tcW w:w="515"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没收违法所得；罚款；限制开展生产经营活动</w:t>
            </w:r>
          </w:p>
        </w:tc>
        <w:tc>
          <w:tcPr>
            <w:tcW w:w="442"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828"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招标项目估算价（编制标底的项目按标底计算）五百万元以下的</w:t>
            </w:r>
          </w:p>
        </w:tc>
        <w:tc>
          <w:tcPr>
            <w:tcW w:w="917"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责令改正，没收违法所得，并处三万元以上、低于四万元的罚款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55" w:type="pct"/>
            <w:vMerge w:val="continue"/>
            <w:vAlign w:val="center"/>
          </w:tcPr>
          <w:p>
            <w:pPr>
              <w:jc w:val="center"/>
              <w:rPr>
                <w:rFonts w:hint="eastAsia" w:ascii="仿宋_GB2312" w:hAnsi="仿宋_GB2312" w:eastAsia="仿宋_GB2312" w:cs="仿宋_GB2312"/>
              </w:rPr>
            </w:pPr>
          </w:p>
        </w:tc>
        <w:tc>
          <w:tcPr>
            <w:tcW w:w="484" w:type="pct"/>
            <w:vMerge w:val="continue"/>
            <w:vAlign w:val="center"/>
          </w:tcPr>
          <w:p>
            <w:pPr>
              <w:jc w:val="center"/>
              <w:rPr>
                <w:rFonts w:hint="eastAsia" w:ascii="仿宋_GB2312" w:hAnsi="仿宋_GB2312" w:eastAsia="仿宋_GB2312" w:cs="仿宋_GB2312"/>
              </w:rPr>
            </w:pPr>
          </w:p>
        </w:tc>
        <w:tc>
          <w:tcPr>
            <w:tcW w:w="599" w:type="pct"/>
            <w:vMerge w:val="continue"/>
            <w:vAlign w:val="center"/>
          </w:tcPr>
          <w:p>
            <w:pPr>
              <w:jc w:val="center"/>
              <w:rPr>
                <w:rFonts w:hint="eastAsia" w:ascii="仿宋_GB2312" w:hAnsi="仿宋_GB2312" w:eastAsia="仿宋_GB2312" w:cs="仿宋_GB2312"/>
              </w:rPr>
            </w:pPr>
          </w:p>
        </w:tc>
        <w:tc>
          <w:tcPr>
            <w:tcW w:w="861" w:type="pct"/>
            <w:vMerge w:val="continue"/>
            <w:vAlign w:val="center"/>
          </w:tcPr>
          <w:p>
            <w:pPr>
              <w:jc w:val="center"/>
              <w:rPr>
                <w:rFonts w:hint="eastAsia" w:ascii="仿宋_GB2312" w:hAnsi="仿宋_GB2312" w:eastAsia="仿宋_GB2312" w:cs="仿宋_GB2312"/>
              </w:rPr>
            </w:pPr>
          </w:p>
        </w:tc>
        <w:tc>
          <w:tcPr>
            <w:tcW w:w="515" w:type="pct"/>
            <w:vMerge w:val="continue"/>
            <w:vAlign w:val="center"/>
          </w:tcPr>
          <w:p>
            <w:pPr>
              <w:jc w:val="center"/>
              <w:rPr>
                <w:rFonts w:hint="eastAsia" w:ascii="仿宋_GB2312" w:hAnsi="仿宋_GB2312" w:eastAsia="仿宋_GB2312" w:cs="仿宋_GB2312"/>
              </w:rPr>
            </w:pPr>
          </w:p>
        </w:tc>
        <w:tc>
          <w:tcPr>
            <w:tcW w:w="442"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828"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招标项目估算价（编制标底的项目按标底计算）超过五百万元、二千万元以下的</w:t>
            </w:r>
          </w:p>
        </w:tc>
        <w:tc>
          <w:tcPr>
            <w:tcW w:w="917"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责令改正，没收违法所得，并处四万元的罚款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55" w:type="pct"/>
            <w:vMerge w:val="continue"/>
            <w:vAlign w:val="center"/>
          </w:tcPr>
          <w:p>
            <w:pPr>
              <w:jc w:val="center"/>
              <w:rPr>
                <w:rFonts w:hint="eastAsia" w:ascii="仿宋_GB2312" w:hAnsi="仿宋_GB2312" w:eastAsia="仿宋_GB2312" w:cs="仿宋_GB2312"/>
              </w:rPr>
            </w:pPr>
          </w:p>
        </w:tc>
        <w:tc>
          <w:tcPr>
            <w:tcW w:w="484" w:type="pct"/>
            <w:vMerge w:val="continue"/>
            <w:vAlign w:val="center"/>
          </w:tcPr>
          <w:p>
            <w:pPr>
              <w:jc w:val="center"/>
              <w:rPr>
                <w:rFonts w:hint="eastAsia" w:ascii="仿宋_GB2312" w:hAnsi="仿宋_GB2312" w:eastAsia="仿宋_GB2312" w:cs="仿宋_GB2312"/>
              </w:rPr>
            </w:pPr>
          </w:p>
        </w:tc>
        <w:tc>
          <w:tcPr>
            <w:tcW w:w="599" w:type="pct"/>
            <w:vMerge w:val="continue"/>
            <w:vAlign w:val="center"/>
          </w:tcPr>
          <w:p>
            <w:pPr>
              <w:jc w:val="center"/>
              <w:rPr>
                <w:rFonts w:hint="eastAsia" w:ascii="仿宋_GB2312" w:hAnsi="仿宋_GB2312" w:eastAsia="仿宋_GB2312" w:cs="仿宋_GB2312"/>
              </w:rPr>
            </w:pPr>
          </w:p>
        </w:tc>
        <w:tc>
          <w:tcPr>
            <w:tcW w:w="861" w:type="pct"/>
            <w:vMerge w:val="continue"/>
            <w:vAlign w:val="center"/>
          </w:tcPr>
          <w:p>
            <w:pPr>
              <w:jc w:val="center"/>
              <w:rPr>
                <w:rFonts w:hint="eastAsia" w:ascii="仿宋_GB2312" w:hAnsi="仿宋_GB2312" w:eastAsia="仿宋_GB2312" w:cs="仿宋_GB2312"/>
              </w:rPr>
            </w:pPr>
          </w:p>
        </w:tc>
        <w:tc>
          <w:tcPr>
            <w:tcW w:w="515" w:type="pct"/>
            <w:vMerge w:val="continue"/>
            <w:vAlign w:val="center"/>
          </w:tcPr>
          <w:p>
            <w:pPr>
              <w:jc w:val="center"/>
              <w:rPr>
                <w:rFonts w:hint="eastAsia" w:ascii="仿宋_GB2312" w:hAnsi="仿宋_GB2312" w:eastAsia="仿宋_GB2312" w:cs="仿宋_GB2312"/>
              </w:rPr>
            </w:pPr>
          </w:p>
        </w:tc>
        <w:tc>
          <w:tcPr>
            <w:tcW w:w="442"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828"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招标项目估算价（编制标底的项目按标底计算）超过二千万元以上的</w:t>
            </w:r>
          </w:p>
        </w:tc>
        <w:tc>
          <w:tcPr>
            <w:tcW w:w="917"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责令改正，没收违法所得，并处超过四万元、五万元以下的罚款，暂停其工程招标代理业务六个月</w:t>
            </w:r>
          </w:p>
        </w:tc>
      </w:tr>
    </w:tbl>
    <w:p>
      <w:pPr>
        <w:rPr>
          <w:b/>
          <w:sz w:val="32"/>
          <w:szCs w:val="32"/>
        </w:rPr>
      </w:pPr>
      <w:r>
        <w:rPr>
          <w:b/>
          <w:sz w:val="32"/>
          <w:szCs w:val="32"/>
        </w:rPr>
        <w:br w:type="page"/>
      </w:r>
      <w:r>
        <w:rPr>
          <w:rFonts w:hint="eastAsia"/>
          <w:bCs/>
          <w:sz w:val="32"/>
          <w:szCs w:val="32"/>
        </w:rPr>
        <w:t>《深圳经济特区建设工程施工招标投标条例》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9"/>
        <w:gridCol w:w="1174"/>
        <w:gridCol w:w="2151"/>
        <w:gridCol w:w="2243"/>
        <w:gridCol w:w="1193"/>
        <w:gridCol w:w="1273"/>
        <w:gridCol w:w="1845"/>
        <w:gridCol w:w="33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42"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414"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759"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791"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421"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49"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651"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1173"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342"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lang w:val="en"/>
              </w:rPr>
              <w:t>106.1</w:t>
            </w:r>
            <w:r>
              <w:rPr>
                <w:rFonts w:hint="eastAsia" w:ascii="仿宋_GB2312" w:hAnsi="仿宋_GB2312" w:eastAsia="仿宋_GB2312" w:cs="仿宋_GB2312"/>
              </w:rPr>
              <w:t>5</w:t>
            </w:r>
          </w:p>
        </w:tc>
        <w:tc>
          <w:tcPr>
            <w:tcW w:w="414"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投标人相互串通或者与招标人串通投标，或者向招标人或者评标委员会成员行贿谋取中标的</w:t>
            </w:r>
          </w:p>
        </w:tc>
        <w:tc>
          <w:tcPr>
            <w:tcW w:w="759"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第三十九条：“投标人不得相互串通投标，不得排挤其他投标人参与公平竞争，不得损害招标人或者其他投标人的合法权益。</w:t>
            </w:r>
          </w:p>
          <w:p>
            <w:pPr>
              <w:jc w:val="left"/>
              <w:rPr>
                <w:rFonts w:hint="eastAsia" w:ascii="仿宋_GB2312" w:hAnsi="仿宋_GB2312" w:eastAsia="仿宋_GB2312" w:cs="仿宋_GB2312"/>
              </w:rPr>
            </w:pPr>
            <w:r>
              <w:rPr>
                <w:rFonts w:hint="eastAsia" w:ascii="仿宋_GB2312" w:hAnsi="仿宋_GB2312" w:eastAsia="仿宋_GB2312" w:cs="仿宋_GB2312"/>
              </w:rPr>
              <w:t>　　投标人不得与招标人串通投标，不得损害国家利益、社会公共利益或者他人的合法权益。</w:t>
            </w:r>
          </w:p>
          <w:p>
            <w:pPr>
              <w:jc w:val="left"/>
              <w:rPr>
                <w:rFonts w:hint="eastAsia" w:ascii="仿宋_GB2312" w:hAnsi="仿宋_GB2312" w:eastAsia="仿宋_GB2312" w:cs="仿宋_GB2312"/>
              </w:rPr>
            </w:pPr>
            <w:r>
              <w:rPr>
                <w:rFonts w:hint="eastAsia" w:ascii="仿宋_GB2312" w:hAnsi="仿宋_GB2312" w:eastAsia="仿宋_GB2312" w:cs="仿宋_GB2312"/>
              </w:rPr>
              <w:t>　　禁止投标人以向招标人或者评标委员会成员行贿等手段谋取中标。”</w:t>
            </w:r>
          </w:p>
        </w:tc>
        <w:tc>
          <w:tcPr>
            <w:tcW w:w="791"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第六十五条第一项：“投标人违反本条例规定有下列行为之一者，责令改正，并按以下规定给予处罚:（一）相互串通或者与招标人串通投标，或者向招标人或者评标委员会成员行贿谋取中标的，处工程合同价款百分之一以上百分之二以下的罚款，并暂停其投标资格三个月以上六个月以下；未中标的，处十万元以上二十万元以下的罚款。”</w:t>
            </w:r>
          </w:p>
        </w:tc>
        <w:tc>
          <w:tcPr>
            <w:tcW w:w="421"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罚款；限制开展生产经营活动</w:t>
            </w:r>
          </w:p>
        </w:tc>
        <w:tc>
          <w:tcPr>
            <w:tcW w:w="449"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651"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工程合同价款或者招标项目估算价（编制标底的项目按标底计算）五百万元以下的</w:t>
            </w:r>
          </w:p>
        </w:tc>
        <w:tc>
          <w:tcPr>
            <w:tcW w:w="1173"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责令改正，处工程合同价款百分之一以上、低于百分之一点五的罚款，并暂停投标资格三个月以上、低于四个月十五日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342" w:type="pct"/>
            <w:vMerge w:val="continue"/>
            <w:vAlign w:val="center"/>
          </w:tcPr>
          <w:p>
            <w:pPr>
              <w:jc w:val="center"/>
              <w:rPr>
                <w:rFonts w:hint="eastAsia" w:ascii="仿宋_GB2312" w:hAnsi="仿宋_GB2312" w:eastAsia="仿宋_GB2312" w:cs="仿宋_GB2312"/>
                <w:lang w:val="en"/>
              </w:rPr>
            </w:pPr>
          </w:p>
        </w:tc>
        <w:tc>
          <w:tcPr>
            <w:tcW w:w="414" w:type="pct"/>
            <w:vMerge w:val="continue"/>
            <w:vAlign w:val="center"/>
          </w:tcPr>
          <w:p>
            <w:pPr>
              <w:jc w:val="left"/>
              <w:rPr>
                <w:rFonts w:hint="eastAsia" w:ascii="仿宋_GB2312" w:hAnsi="仿宋_GB2312" w:eastAsia="仿宋_GB2312" w:cs="仿宋_GB2312"/>
              </w:rPr>
            </w:pPr>
          </w:p>
        </w:tc>
        <w:tc>
          <w:tcPr>
            <w:tcW w:w="759" w:type="pct"/>
            <w:vMerge w:val="continue"/>
            <w:vAlign w:val="center"/>
          </w:tcPr>
          <w:p>
            <w:pPr>
              <w:jc w:val="left"/>
              <w:rPr>
                <w:rFonts w:hint="eastAsia" w:ascii="仿宋_GB2312" w:hAnsi="仿宋_GB2312" w:eastAsia="仿宋_GB2312" w:cs="仿宋_GB2312"/>
              </w:rPr>
            </w:pPr>
          </w:p>
        </w:tc>
        <w:tc>
          <w:tcPr>
            <w:tcW w:w="791" w:type="pct"/>
            <w:vMerge w:val="continue"/>
            <w:vAlign w:val="center"/>
          </w:tcPr>
          <w:p>
            <w:pPr>
              <w:jc w:val="left"/>
              <w:rPr>
                <w:rFonts w:hint="eastAsia" w:ascii="仿宋_GB2312" w:hAnsi="仿宋_GB2312" w:eastAsia="仿宋_GB2312" w:cs="仿宋_GB2312"/>
              </w:rPr>
            </w:pPr>
          </w:p>
        </w:tc>
        <w:tc>
          <w:tcPr>
            <w:tcW w:w="421" w:type="pct"/>
            <w:vMerge w:val="continue"/>
            <w:vAlign w:val="center"/>
          </w:tcPr>
          <w:p>
            <w:pPr>
              <w:jc w:val="left"/>
              <w:rPr>
                <w:rFonts w:hint="eastAsia" w:ascii="仿宋_GB2312" w:hAnsi="仿宋_GB2312" w:eastAsia="仿宋_GB2312" w:cs="仿宋_GB2312"/>
              </w:rPr>
            </w:pPr>
          </w:p>
        </w:tc>
        <w:tc>
          <w:tcPr>
            <w:tcW w:w="449" w:type="pct"/>
            <w:vMerge w:val="continue"/>
            <w:vAlign w:val="center"/>
          </w:tcPr>
          <w:p>
            <w:pPr>
              <w:jc w:val="center"/>
              <w:rPr>
                <w:rFonts w:hint="eastAsia" w:ascii="仿宋_GB2312" w:hAnsi="仿宋_GB2312" w:eastAsia="仿宋_GB2312" w:cs="仿宋_GB2312"/>
                <w:bCs/>
                <w:color w:val="000000"/>
                <w:kern w:val="0"/>
                <w:szCs w:val="21"/>
              </w:rPr>
            </w:pPr>
          </w:p>
        </w:tc>
        <w:tc>
          <w:tcPr>
            <w:tcW w:w="651" w:type="pct"/>
            <w:vMerge w:val="continue"/>
            <w:vAlign w:val="center"/>
          </w:tcPr>
          <w:p>
            <w:pPr>
              <w:jc w:val="left"/>
              <w:rPr>
                <w:rFonts w:hint="eastAsia" w:ascii="仿宋_GB2312" w:hAnsi="仿宋_GB2312" w:eastAsia="仿宋_GB2312" w:cs="仿宋_GB2312"/>
              </w:rPr>
            </w:pPr>
          </w:p>
        </w:tc>
        <w:tc>
          <w:tcPr>
            <w:tcW w:w="1173" w:type="pct"/>
            <w:vAlign w:val="center"/>
          </w:tcPr>
          <w:p>
            <w:pPr>
              <w:jc w:val="left"/>
              <w:rPr>
                <w:rFonts w:hint="eastAsia" w:ascii="仿宋_GB2312" w:hAnsi="仿宋_GB2312" w:eastAsia="仿宋_GB2312" w:cs="仿宋_GB2312"/>
                <w:b/>
                <w:bCs/>
              </w:rPr>
            </w:pPr>
            <w:r>
              <w:rPr>
                <w:rFonts w:hint="eastAsia" w:ascii="仿宋_GB2312" w:hAnsi="仿宋_GB2312" w:eastAsia="仿宋_GB2312" w:cs="仿宋_GB2312"/>
                <w:b/>
                <w:bCs/>
              </w:rPr>
              <w:t>未中标的</w:t>
            </w:r>
            <w:r>
              <w:rPr>
                <w:rFonts w:hint="eastAsia" w:ascii="仿宋_GB2312" w:hAnsi="仿宋_GB2312" w:eastAsia="仿宋_GB2312" w:cs="仿宋_GB2312"/>
              </w:rPr>
              <w:t>，责令改正，处十万元以上、低于十五万元的罚款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342" w:type="pct"/>
            <w:vMerge w:val="continue"/>
            <w:vAlign w:val="center"/>
          </w:tcPr>
          <w:p>
            <w:pPr>
              <w:jc w:val="center"/>
              <w:rPr>
                <w:rFonts w:hint="eastAsia" w:ascii="仿宋_GB2312" w:hAnsi="仿宋_GB2312" w:eastAsia="仿宋_GB2312" w:cs="仿宋_GB2312"/>
              </w:rPr>
            </w:pPr>
          </w:p>
        </w:tc>
        <w:tc>
          <w:tcPr>
            <w:tcW w:w="414" w:type="pct"/>
            <w:vMerge w:val="continue"/>
            <w:vAlign w:val="center"/>
          </w:tcPr>
          <w:p>
            <w:pPr>
              <w:jc w:val="center"/>
              <w:rPr>
                <w:rFonts w:hint="eastAsia" w:ascii="仿宋_GB2312" w:hAnsi="仿宋_GB2312" w:eastAsia="仿宋_GB2312" w:cs="仿宋_GB2312"/>
              </w:rPr>
            </w:pPr>
          </w:p>
        </w:tc>
        <w:tc>
          <w:tcPr>
            <w:tcW w:w="759" w:type="pct"/>
            <w:vMerge w:val="continue"/>
            <w:vAlign w:val="center"/>
          </w:tcPr>
          <w:p>
            <w:pPr>
              <w:jc w:val="center"/>
              <w:rPr>
                <w:rFonts w:hint="eastAsia" w:ascii="仿宋_GB2312" w:hAnsi="仿宋_GB2312" w:eastAsia="仿宋_GB2312" w:cs="仿宋_GB2312"/>
              </w:rPr>
            </w:pPr>
          </w:p>
        </w:tc>
        <w:tc>
          <w:tcPr>
            <w:tcW w:w="791" w:type="pct"/>
            <w:vMerge w:val="continue"/>
            <w:vAlign w:val="center"/>
          </w:tcPr>
          <w:p>
            <w:pPr>
              <w:jc w:val="center"/>
              <w:rPr>
                <w:rFonts w:hint="eastAsia" w:ascii="仿宋_GB2312" w:hAnsi="仿宋_GB2312" w:eastAsia="仿宋_GB2312" w:cs="仿宋_GB2312"/>
              </w:rPr>
            </w:pPr>
          </w:p>
        </w:tc>
        <w:tc>
          <w:tcPr>
            <w:tcW w:w="421" w:type="pct"/>
            <w:vMerge w:val="continue"/>
            <w:vAlign w:val="center"/>
          </w:tcPr>
          <w:p>
            <w:pPr>
              <w:jc w:val="center"/>
              <w:rPr>
                <w:rFonts w:hint="eastAsia" w:ascii="仿宋_GB2312" w:hAnsi="仿宋_GB2312" w:eastAsia="仿宋_GB2312" w:cs="仿宋_GB2312"/>
              </w:rPr>
            </w:pPr>
          </w:p>
        </w:tc>
        <w:tc>
          <w:tcPr>
            <w:tcW w:w="449"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651"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工程合同价款或者招标项目估算价（编制标底的项目按标底计算）超过五百万元、二千万元以下的</w:t>
            </w:r>
          </w:p>
        </w:tc>
        <w:tc>
          <w:tcPr>
            <w:tcW w:w="1173"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责令改正，处工程合同价款百分之一点五的罚款，并暂停投标资格四个月十五日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342" w:type="pct"/>
            <w:vMerge w:val="continue"/>
            <w:vAlign w:val="center"/>
          </w:tcPr>
          <w:p>
            <w:pPr>
              <w:jc w:val="center"/>
              <w:rPr>
                <w:rFonts w:hint="eastAsia" w:ascii="仿宋_GB2312" w:hAnsi="仿宋_GB2312" w:eastAsia="仿宋_GB2312" w:cs="仿宋_GB2312"/>
              </w:rPr>
            </w:pPr>
          </w:p>
        </w:tc>
        <w:tc>
          <w:tcPr>
            <w:tcW w:w="414" w:type="pct"/>
            <w:vMerge w:val="continue"/>
            <w:vAlign w:val="center"/>
          </w:tcPr>
          <w:p>
            <w:pPr>
              <w:jc w:val="center"/>
              <w:rPr>
                <w:rFonts w:hint="eastAsia" w:ascii="仿宋_GB2312" w:hAnsi="仿宋_GB2312" w:eastAsia="仿宋_GB2312" w:cs="仿宋_GB2312"/>
              </w:rPr>
            </w:pPr>
          </w:p>
        </w:tc>
        <w:tc>
          <w:tcPr>
            <w:tcW w:w="759" w:type="pct"/>
            <w:vMerge w:val="continue"/>
            <w:vAlign w:val="center"/>
          </w:tcPr>
          <w:p>
            <w:pPr>
              <w:jc w:val="center"/>
              <w:rPr>
                <w:rFonts w:hint="eastAsia" w:ascii="仿宋_GB2312" w:hAnsi="仿宋_GB2312" w:eastAsia="仿宋_GB2312" w:cs="仿宋_GB2312"/>
              </w:rPr>
            </w:pPr>
          </w:p>
        </w:tc>
        <w:tc>
          <w:tcPr>
            <w:tcW w:w="791" w:type="pct"/>
            <w:vMerge w:val="continue"/>
            <w:vAlign w:val="center"/>
          </w:tcPr>
          <w:p>
            <w:pPr>
              <w:jc w:val="center"/>
              <w:rPr>
                <w:rFonts w:hint="eastAsia" w:ascii="仿宋_GB2312" w:hAnsi="仿宋_GB2312" w:eastAsia="仿宋_GB2312" w:cs="仿宋_GB2312"/>
              </w:rPr>
            </w:pPr>
          </w:p>
        </w:tc>
        <w:tc>
          <w:tcPr>
            <w:tcW w:w="421" w:type="pct"/>
            <w:vMerge w:val="continue"/>
            <w:vAlign w:val="center"/>
          </w:tcPr>
          <w:p>
            <w:pPr>
              <w:jc w:val="center"/>
              <w:rPr>
                <w:rFonts w:hint="eastAsia" w:ascii="仿宋_GB2312" w:hAnsi="仿宋_GB2312" w:eastAsia="仿宋_GB2312" w:cs="仿宋_GB2312"/>
              </w:rPr>
            </w:pPr>
          </w:p>
        </w:tc>
        <w:tc>
          <w:tcPr>
            <w:tcW w:w="449" w:type="pct"/>
            <w:vMerge w:val="continue"/>
            <w:vAlign w:val="center"/>
          </w:tcPr>
          <w:p>
            <w:pPr>
              <w:jc w:val="center"/>
              <w:rPr>
                <w:rFonts w:hint="eastAsia" w:ascii="仿宋_GB2312" w:hAnsi="仿宋_GB2312" w:eastAsia="仿宋_GB2312" w:cs="仿宋_GB2312"/>
                <w:bCs/>
                <w:color w:val="000000"/>
                <w:kern w:val="0"/>
                <w:szCs w:val="21"/>
              </w:rPr>
            </w:pPr>
          </w:p>
        </w:tc>
        <w:tc>
          <w:tcPr>
            <w:tcW w:w="651" w:type="pct"/>
            <w:vMerge w:val="continue"/>
            <w:vAlign w:val="center"/>
          </w:tcPr>
          <w:p>
            <w:pPr>
              <w:jc w:val="left"/>
              <w:rPr>
                <w:rFonts w:hint="eastAsia" w:ascii="仿宋_GB2312" w:hAnsi="仿宋_GB2312" w:eastAsia="仿宋_GB2312" w:cs="仿宋_GB2312"/>
              </w:rPr>
            </w:pPr>
          </w:p>
        </w:tc>
        <w:tc>
          <w:tcPr>
            <w:tcW w:w="1173" w:type="pct"/>
            <w:vAlign w:val="center"/>
          </w:tcPr>
          <w:p>
            <w:pPr>
              <w:jc w:val="left"/>
              <w:rPr>
                <w:rFonts w:hint="eastAsia" w:ascii="仿宋_GB2312" w:hAnsi="仿宋_GB2312" w:eastAsia="仿宋_GB2312" w:cs="仿宋_GB2312"/>
                <w:b/>
                <w:bCs/>
              </w:rPr>
            </w:pPr>
            <w:r>
              <w:rPr>
                <w:rFonts w:hint="eastAsia" w:ascii="仿宋_GB2312" w:hAnsi="仿宋_GB2312" w:eastAsia="仿宋_GB2312" w:cs="仿宋_GB2312"/>
                <w:b/>
                <w:bCs/>
              </w:rPr>
              <w:t>未中标的</w:t>
            </w:r>
            <w:r>
              <w:rPr>
                <w:rFonts w:hint="eastAsia" w:ascii="仿宋_GB2312" w:hAnsi="仿宋_GB2312" w:eastAsia="仿宋_GB2312" w:cs="仿宋_GB2312"/>
              </w:rPr>
              <w:t>，责令改正，处十五万元的罚款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342" w:type="pct"/>
            <w:vMerge w:val="continue"/>
            <w:vAlign w:val="center"/>
          </w:tcPr>
          <w:p>
            <w:pPr>
              <w:jc w:val="center"/>
              <w:rPr>
                <w:rFonts w:hint="eastAsia" w:ascii="仿宋_GB2312" w:hAnsi="仿宋_GB2312" w:eastAsia="仿宋_GB2312" w:cs="仿宋_GB2312"/>
              </w:rPr>
            </w:pPr>
          </w:p>
        </w:tc>
        <w:tc>
          <w:tcPr>
            <w:tcW w:w="414" w:type="pct"/>
            <w:vMerge w:val="continue"/>
            <w:vAlign w:val="center"/>
          </w:tcPr>
          <w:p>
            <w:pPr>
              <w:jc w:val="center"/>
              <w:rPr>
                <w:rFonts w:hint="eastAsia" w:ascii="仿宋_GB2312" w:hAnsi="仿宋_GB2312" w:eastAsia="仿宋_GB2312" w:cs="仿宋_GB2312"/>
              </w:rPr>
            </w:pPr>
          </w:p>
        </w:tc>
        <w:tc>
          <w:tcPr>
            <w:tcW w:w="759" w:type="pct"/>
            <w:vMerge w:val="continue"/>
            <w:vAlign w:val="center"/>
          </w:tcPr>
          <w:p>
            <w:pPr>
              <w:jc w:val="center"/>
              <w:rPr>
                <w:rFonts w:hint="eastAsia" w:ascii="仿宋_GB2312" w:hAnsi="仿宋_GB2312" w:eastAsia="仿宋_GB2312" w:cs="仿宋_GB2312"/>
              </w:rPr>
            </w:pPr>
          </w:p>
        </w:tc>
        <w:tc>
          <w:tcPr>
            <w:tcW w:w="791" w:type="pct"/>
            <w:vMerge w:val="continue"/>
            <w:vAlign w:val="center"/>
          </w:tcPr>
          <w:p>
            <w:pPr>
              <w:jc w:val="center"/>
              <w:rPr>
                <w:rFonts w:hint="eastAsia" w:ascii="仿宋_GB2312" w:hAnsi="仿宋_GB2312" w:eastAsia="仿宋_GB2312" w:cs="仿宋_GB2312"/>
              </w:rPr>
            </w:pPr>
          </w:p>
        </w:tc>
        <w:tc>
          <w:tcPr>
            <w:tcW w:w="421" w:type="pct"/>
            <w:vMerge w:val="continue"/>
            <w:vAlign w:val="center"/>
          </w:tcPr>
          <w:p>
            <w:pPr>
              <w:jc w:val="center"/>
              <w:rPr>
                <w:rFonts w:hint="eastAsia" w:ascii="仿宋_GB2312" w:hAnsi="仿宋_GB2312" w:eastAsia="仿宋_GB2312" w:cs="仿宋_GB2312"/>
              </w:rPr>
            </w:pPr>
          </w:p>
        </w:tc>
        <w:tc>
          <w:tcPr>
            <w:tcW w:w="449"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651"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工程合同价款或者招标项目估算价（编制标底的项目按标底计算）超过二千万元以上的</w:t>
            </w:r>
          </w:p>
        </w:tc>
        <w:tc>
          <w:tcPr>
            <w:tcW w:w="1173"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责令改正，处超过工程合同价款百分之一点五、百分之二以下的罚款，并暂停投标资格超过四个月十五日、六个月以下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342" w:type="pct"/>
            <w:vMerge w:val="continue"/>
            <w:vAlign w:val="center"/>
          </w:tcPr>
          <w:p>
            <w:pPr>
              <w:jc w:val="center"/>
              <w:rPr>
                <w:rFonts w:hint="eastAsia" w:ascii="仿宋_GB2312" w:hAnsi="仿宋_GB2312" w:eastAsia="仿宋_GB2312" w:cs="仿宋_GB2312"/>
              </w:rPr>
            </w:pPr>
          </w:p>
        </w:tc>
        <w:tc>
          <w:tcPr>
            <w:tcW w:w="414" w:type="pct"/>
            <w:vMerge w:val="continue"/>
            <w:vAlign w:val="center"/>
          </w:tcPr>
          <w:p>
            <w:pPr>
              <w:jc w:val="center"/>
              <w:rPr>
                <w:rFonts w:hint="eastAsia" w:ascii="仿宋_GB2312" w:hAnsi="仿宋_GB2312" w:eastAsia="仿宋_GB2312" w:cs="仿宋_GB2312"/>
              </w:rPr>
            </w:pPr>
          </w:p>
        </w:tc>
        <w:tc>
          <w:tcPr>
            <w:tcW w:w="759" w:type="pct"/>
            <w:vMerge w:val="continue"/>
            <w:vAlign w:val="center"/>
          </w:tcPr>
          <w:p>
            <w:pPr>
              <w:jc w:val="center"/>
              <w:rPr>
                <w:rFonts w:hint="eastAsia" w:ascii="仿宋_GB2312" w:hAnsi="仿宋_GB2312" w:eastAsia="仿宋_GB2312" w:cs="仿宋_GB2312"/>
              </w:rPr>
            </w:pPr>
          </w:p>
        </w:tc>
        <w:tc>
          <w:tcPr>
            <w:tcW w:w="791" w:type="pct"/>
            <w:vMerge w:val="continue"/>
            <w:vAlign w:val="center"/>
          </w:tcPr>
          <w:p>
            <w:pPr>
              <w:jc w:val="center"/>
              <w:rPr>
                <w:rFonts w:hint="eastAsia" w:ascii="仿宋_GB2312" w:hAnsi="仿宋_GB2312" w:eastAsia="仿宋_GB2312" w:cs="仿宋_GB2312"/>
              </w:rPr>
            </w:pPr>
          </w:p>
        </w:tc>
        <w:tc>
          <w:tcPr>
            <w:tcW w:w="421" w:type="pct"/>
            <w:vMerge w:val="continue"/>
            <w:vAlign w:val="center"/>
          </w:tcPr>
          <w:p>
            <w:pPr>
              <w:jc w:val="center"/>
              <w:rPr>
                <w:rFonts w:hint="eastAsia" w:ascii="仿宋_GB2312" w:hAnsi="仿宋_GB2312" w:eastAsia="仿宋_GB2312" w:cs="仿宋_GB2312"/>
              </w:rPr>
            </w:pPr>
          </w:p>
        </w:tc>
        <w:tc>
          <w:tcPr>
            <w:tcW w:w="449" w:type="pct"/>
            <w:vMerge w:val="continue"/>
            <w:vAlign w:val="center"/>
          </w:tcPr>
          <w:p>
            <w:pPr>
              <w:jc w:val="center"/>
              <w:rPr>
                <w:rFonts w:hint="eastAsia" w:ascii="仿宋_GB2312" w:hAnsi="仿宋_GB2312" w:eastAsia="仿宋_GB2312" w:cs="仿宋_GB2312"/>
                <w:bCs/>
                <w:color w:val="000000"/>
                <w:kern w:val="0"/>
                <w:szCs w:val="21"/>
              </w:rPr>
            </w:pPr>
          </w:p>
        </w:tc>
        <w:tc>
          <w:tcPr>
            <w:tcW w:w="651" w:type="pct"/>
            <w:vMerge w:val="continue"/>
            <w:vAlign w:val="center"/>
          </w:tcPr>
          <w:p>
            <w:pPr>
              <w:jc w:val="left"/>
              <w:rPr>
                <w:rFonts w:hint="eastAsia" w:ascii="仿宋_GB2312" w:hAnsi="仿宋_GB2312" w:eastAsia="仿宋_GB2312" w:cs="仿宋_GB2312"/>
              </w:rPr>
            </w:pPr>
          </w:p>
        </w:tc>
        <w:tc>
          <w:tcPr>
            <w:tcW w:w="1173" w:type="pct"/>
            <w:vAlign w:val="center"/>
          </w:tcPr>
          <w:p>
            <w:pPr>
              <w:jc w:val="left"/>
              <w:rPr>
                <w:rFonts w:hint="eastAsia" w:ascii="仿宋_GB2312" w:hAnsi="仿宋_GB2312" w:eastAsia="仿宋_GB2312" w:cs="仿宋_GB2312"/>
                <w:b/>
                <w:bCs/>
              </w:rPr>
            </w:pPr>
            <w:r>
              <w:rPr>
                <w:rFonts w:hint="eastAsia" w:ascii="仿宋_GB2312" w:hAnsi="仿宋_GB2312" w:eastAsia="仿宋_GB2312" w:cs="仿宋_GB2312"/>
                <w:b/>
                <w:bCs/>
              </w:rPr>
              <w:t>未中标的</w:t>
            </w:r>
            <w:r>
              <w:rPr>
                <w:rFonts w:hint="eastAsia" w:ascii="仿宋_GB2312" w:hAnsi="仿宋_GB2312" w:eastAsia="仿宋_GB2312" w:cs="仿宋_GB2312"/>
              </w:rPr>
              <w:t>，责令改正，处超过十五万元、二十万元以下的罚款</w:t>
            </w:r>
          </w:p>
        </w:tc>
      </w:tr>
    </w:tbl>
    <w:p>
      <w:pPr>
        <w:widowControl/>
        <w:jc w:val="left"/>
        <w:rPr>
          <w:b/>
          <w:sz w:val="32"/>
          <w:szCs w:val="32"/>
        </w:rPr>
      </w:pPr>
      <w:r>
        <w:rPr>
          <w:b/>
          <w:sz w:val="32"/>
          <w:szCs w:val="32"/>
        </w:rPr>
        <w:br w:type="page"/>
      </w:r>
    </w:p>
    <w:p>
      <w:pPr>
        <w:rPr>
          <w:bCs/>
          <w:sz w:val="32"/>
          <w:szCs w:val="32"/>
        </w:rPr>
      </w:pPr>
      <w:r>
        <w:rPr>
          <w:rFonts w:hint="eastAsia"/>
          <w:bCs/>
          <w:sz w:val="32"/>
          <w:szCs w:val="32"/>
        </w:rPr>
        <w:t>《深圳经济特区建设工程施工招标投标条例》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3"/>
        <w:gridCol w:w="1183"/>
        <w:gridCol w:w="1248"/>
        <w:gridCol w:w="2645"/>
        <w:gridCol w:w="1199"/>
        <w:gridCol w:w="1259"/>
        <w:gridCol w:w="2359"/>
        <w:gridCol w:w="33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36"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41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440"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933"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423"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44"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832"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1174"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336" w:type="pct"/>
            <w:vMerge w:val="restart"/>
            <w:vAlign w:val="center"/>
          </w:tcPr>
          <w:p>
            <w:pPr>
              <w:jc w:val="center"/>
              <w:rPr>
                <w:rFonts w:hint="eastAsia" w:ascii="仿宋_GB2312" w:hAnsi="仿宋_GB2312" w:eastAsia="仿宋_GB2312" w:cs="仿宋_GB2312"/>
                <w:lang w:val="en"/>
              </w:rPr>
            </w:pPr>
            <w:r>
              <w:rPr>
                <w:rFonts w:hint="eastAsia" w:ascii="仿宋_GB2312" w:hAnsi="仿宋_GB2312" w:eastAsia="仿宋_GB2312" w:cs="仿宋_GB2312"/>
                <w:lang w:val="en"/>
              </w:rPr>
              <w:t>106.1</w:t>
            </w:r>
            <w:r>
              <w:rPr>
                <w:rFonts w:hint="eastAsia" w:ascii="仿宋_GB2312" w:hAnsi="仿宋_GB2312" w:eastAsia="仿宋_GB2312" w:cs="仿宋_GB2312"/>
              </w:rPr>
              <w:t>6</w:t>
            </w:r>
          </w:p>
        </w:tc>
        <w:tc>
          <w:tcPr>
            <w:tcW w:w="417"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投标人以他人名义投标、允许他人以自己名义投标或者以其他方式弄虚作假投标的</w:t>
            </w:r>
          </w:p>
        </w:tc>
        <w:tc>
          <w:tcPr>
            <w:tcW w:w="440"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第四十条：“投标人不得以低于其企业成本的报价竞标，不得以他人名义投标或者以其他方式弄虚作假骗取中标。”</w:t>
            </w:r>
          </w:p>
        </w:tc>
        <w:tc>
          <w:tcPr>
            <w:tcW w:w="933"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第六十五条第二项：“投标人违反本条例规定有下列行为之一者，责令改正，并按以下规定给予处罚:（二）以他人名义投标、允许他人以自己名义投标或者以其他方式弄虚作假投标的，处工程合同价款千分之五以上千分之十以下的罚款，并暂停其投标资格三个月以上六个月以下；未中标的，处十万元以上二十万元以下的罚款。”</w:t>
            </w:r>
          </w:p>
        </w:tc>
        <w:tc>
          <w:tcPr>
            <w:tcW w:w="423"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罚款；限制开展生产经营活动</w:t>
            </w:r>
          </w:p>
        </w:tc>
        <w:tc>
          <w:tcPr>
            <w:tcW w:w="444"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832"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工程合同价款或者招标项目估算价（编制标底的项目按标底计算）五百万元以下的</w:t>
            </w:r>
          </w:p>
        </w:tc>
        <w:tc>
          <w:tcPr>
            <w:tcW w:w="1174"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责令改正，处工程合同价款千分之五以上、低于千分之七点五以下的罚款，并暂停投标资格三个月以上、低于四个月十五日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336" w:type="pct"/>
            <w:vMerge w:val="continue"/>
            <w:vAlign w:val="center"/>
          </w:tcPr>
          <w:p>
            <w:pPr>
              <w:jc w:val="center"/>
              <w:rPr>
                <w:rFonts w:hint="eastAsia" w:ascii="仿宋_GB2312" w:hAnsi="仿宋_GB2312" w:eastAsia="仿宋_GB2312" w:cs="仿宋_GB2312"/>
                <w:lang w:val="en"/>
              </w:rPr>
            </w:pPr>
          </w:p>
        </w:tc>
        <w:tc>
          <w:tcPr>
            <w:tcW w:w="417" w:type="pct"/>
            <w:vMerge w:val="continue"/>
            <w:vAlign w:val="center"/>
          </w:tcPr>
          <w:p>
            <w:pPr>
              <w:jc w:val="left"/>
              <w:rPr>
                <w:rFonts w:hint="eastAsia" w:ascii="仿宋_GB2312" w:hAnsi="仿宋_GB2312" w:eastAsia="仿宋_GB2312" w:cs="仿宋_GB2312"/>
              </w:rPr>
            </w:pPr>
          </w:p>
        </w:tc>
        <w:tc>
          <w:tcPr>
            <w:tcW w:w="440" w:type="pct"/>
            <w:vMerge w:val="continue"/>
            <w:vAlign w:val="center"/>
          </w:tcPr>
          <w:p>
            <w:pPr>
              <w:rPr>
                <w:rFonts w:hint="eastAsia" w:ascii="仿宋_GB2312" w:hAnsi="仿宋_GB2312" w:eastAsia="仿宋_GB2312" w:cs="仿宋_GB2312"/>
              </w:rPr>
            </w:pPr>
          </w:p>
        </w:tc>
        <w:tc>
          <w:tcPr>
            <w:tcW w:w="933" w:type="pct"/>
            <w:vMerge w:val="continue"/>
            <w:vAlign w:val="center"/>
          </w:tcPr>
          <w:p>
            <w:pPr>
              <w:jc w:val="left"/>
              <w:rPr>
                <w:rFonts w:hint="eastAsia" w:ascii="仿宋_GB2312" w:hAnsi="仿宋_GB2312" w:eastAsia="仿宋_GB2312" w:cs="仿宋_GB2312"/>
              </w:rPr>
            </w:pPr>
          </w:p>
        </w:tc>
        <w:tc>
          <w:tcPr>
            <w:tcW w:w="423" w:type="pct"/>
            <w:vMerge w:val="continue"/>
            <w:vAlign w:val="center"/>
          </w:tcPr>
          <w:p>
            <w:pPr>
              <w:jc w:val="left"/>
              <w:rPr>
                <w:rFonts w:hint="eastAsia" w:ascii="仿宋_GB2312" w:hAnsi="仿宋_GB2312" w:eastAsia="仿宋_GB2312" w:cs="仿宋_GB2312"/>
              </w:rPr>
            </w:pPr>
          </w:p>
        </w:tc>
        <w:tc>
          <w:tcPr>
            <w:tcW w:w="444" w:type="pct"/>
            <w:vMerge w:val="continue"/>
            <w:vAlign w:val="center"/>
          </w:tcPr>
          <w:p>
            <w:pPr>
              <w:jc w:val="center"/>
              <w:rPr>
                <w:rFonts w:hint="eastAsia" w:ascii="仿宋_GB2312" w:hAnsi="仿宋_GB2312" w:eastAsia="仿宋_GB2312" w:cs="仿宋_GB2312"/>
                <w:bCs/>
                <w:color w:val="000000"/>
                <w:kern w:val="0"/>
                <w:szCs w:val="21"/>
              </w:rPr>
            </w:pPr>
          </w:p>
        </w:tc>
        <w:tc>
          <w:tcPr>
            <w:tcW w:w="832" w:type="pct"/>
            <w:vMerge w:val="continue"/>
            <w:vAlign w:val="center"/>
          </w:tcPr>
          <w:p>
            <w:pPr>
              <w:jc w:val="left"/>
              <w:rPr>
                <w:rFonts w:hint="eastAsia" w:ascii="仿宋_GB2312" w:hAnsi="仿宋_GB2312" w:eastAsia="仿宋_GB2312" w:cs="仿宋_GB2312"/>
              </w:rPr>
            </w:pPr>
          </w:p>
        </w:tc>
        <w:tc>
          <w:tcPr>
            <w:tcW w:w="1174"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b/>
                <w:bCs/>
              </w:rPr>
              <w:t>未中标的</w:t>
            </w:r>
            <w:r>
              <w:rPr>
                <w:rFonts w:hint="eastAsia" w:ascii="仿宋_GB2312" w:hAnsi="仿宋_GB2312" w:eastAsia="仿宋_GB2312" w:cs="仿宋_GB2312"/>
              </w:rPr>
              <w:t>，责令改正，处十万元以上、低于十五万元的罚款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336" w:type="pct"/>
            <w:vMerge w:val="continue"/>
            <w:vAlign w:val="center"/>
          </w:tcPr>
          <w:p>
            <w:pPr>
              <w:jc w:val="center"/>
              <w:rPr>
                <w:rFonts w:hint="eastAsia" w:ascii="仿宋_GB2312" w:hAnsi="仿宋_GB2312" w:eastAsia="仿宋_GB2312" w:cs="仿宋_GB2312"/>
              </w:rPr>
            </w:pPr>
          </w:p>
        </w:tc>
        <w:tc>
          <w:tcPr>
            <w:tcW w:w="417" w:type="pct"/>
            <w:vMerge w:val="continue"/>
            <w:vAlign w:val="center"/>
          </w:tcPr>
          <w:p>
            <w:pPr>
              <w:jc w:val="center"/>
              <w:rPr>
                <w:rFonts w:hint="eastAsia" w:ascii="仿宋_GB2312" w:hAnsi="仿宋_GB2312" w:eastAsia="仿宋_GB2312" w:cs="仿宋_GB2312"/>
              </w:rPr>
            </w:pPr>
          </w:p>
        </w:tc>
        <w:tc>
          <w:tcPr>
            <w:tcW w:w="440" w:type="pct"/>
            <w:vMerge w:val="continue"/>
            <w:vAlign w:val="center"/>
          </w:tcPr>
          <w:p>
            <w:pPr>
              <w:jc w:val="center"/>
              <w:rPr>
                <w:rFonts w:hint="eastAsia" w:ascii="仿宋_GB2312" w:hAnsi="仿宋_GB2312" w:eastAsia="仿宋_GB2312" w:cs="仿宋_GB2312"/>
              </w:rPr>
            </w:pPr>
          </w:p>
        </w:tc>
        <w:tc>
          <w:tcPr>
            <w:tcW w:w="933" w:type="pct"/>
            <w:vMerge w:val="continue"/>
            <w:vAlign w:val="center"/>
          </w:tcPr>
          <w:p>
            <w:pPr>
              <w:jc w:val="center"/>
              <w:rPr>
                <w:rFonts w:hint="eastAsia" w:ascii="仿宋_GB2312" w:hAnsi="仿宋_GB2312" w:eastAsia="仿宋_GB2312" w:cs="仿宋_GB2312"/>
              </w:rPr>
            </w:pPr>
          </w:p>
        </w:tc>
        <w:tc>
          <w:tcPr>
            <w:tcW w:w="423" w:type="pct"/>
            <w:vMerge w:val="continue"/>
            <w:vAlign w:val="center"/>
          </w:tcPr>
          <w:p>
            <w:pPr>
              <w:jc w:val="center"/>
              <w:rPr>
                <w:rFonts w:hint="eastAsia" w:ascii="仿宋_GB2312" w:hAnsi="仿宋_GB2312" w:eastAsia="仿宋_GB2312" w:cs="仿宋_GB2312"/>
              </w:rPr>
            </w:pPr>
          </w:p>
        </w:tc>
        <w:tc>
          <w:tcPr>
            <w:tcW w:w="444"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832"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工程合同价款或者招标项目估算价（编制标底的项目按标底计算）超过五百万元、二千万元以下的</w:t>
            </w:r>
          </w:p>
        </w:tc>
        <w:tc>
          <w:tcPr>
            <w:tcW w:w="1174"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责令改正，处工程合同价款千分之七点五的罚款，并暂停投标资格四个月十五日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336" w:type="pct"/>
            <w:vMerge w:val="continue"/>
            <w:vAlign w:val="center"/>
          </w:tcPr>
          <w:p>
            <w:pPr>
              <w:jc w:val="center"/>
              <w:rPr>
                <w:rFonts w:hint="eastAsia" w:ascii="仿宋_GB2312" w:hAnsi="仿宋_GB2312" w:eastAsia="仿宋_GB2312" w:cs="仿宋_GB2312"/>
              </w:rPr>
            </w:pPr>
          </w:p>
        </w:tc>
        <w:tc>
          <w:tcPr>
            <w:tcW w:w="417" w:type="pct"/>
            <w:vMerge w:val="continue"/>
            <w:vAlign w:val="center"/>
          </w:tcPr>
          <w:p>
            <w:pPr>
              <w:jc w:val="center"/>
              <w:rPr>
                <w:rFonts w:hint="eastAsia" w:ascii="仿宋_GB2312" w:hAnsi="仿宋_GB2312" w:eastAsia="仿宋_GB2312" w:cs="仿宋_GB2312"/>
              </w:rPr>
            </w:pPr>
          </w:p>
        </w:tc>
        <w:tc>
          <w:tcPr>
            <w:tcW w:w="440" w:type="pct"/>
            <w:vMerge w:val="continue"/>
            <w:vAlign w:val="center"/>
          </w:tcPr>
          <w:p>
            <w:pPr>
              <w:jc w:val="center"/>
              <w:rPr>
                <w:rFonts w:hint="eastAsia" w:ascii="仿宋_GB2312" w:hAnsi="仿宋_GB2312" w:eastAsia="仿宋_GB2312" w:cs="仿宋_GB2312"/>
              </w:rPr>
            </w:pPr>
          </w:p>
        </w:tc>
        <w:tc>
          <w:tcPr>
            <w:tcW w:w="933" w:type="pct"/>
            <w:vMerge w:val="continue"/>
            <w:vAlign w:val="center"/>
          </w:tcPr>
          <w:p>
            <w:pPr>
              <w:jc w:val="center"/>
              <w:rPr>
                <w:rFonts w:hint="eastAsia" w:ascii="仿宋_GB2312" w:hAnsi="仿宋_GB2312" w:eastAsia="仿宋_GB2312" w:cs="仿宋_GB2312"/>
              </w:rPr>
            </w:pPr>
          </w:p>
        </w:tc>
        <w:tc>
          <w:tcPr>
            <w:tcW w:w="423" w:type="pct"/>
            <w:vMerge w:val="continue"/>
            <w:vAlign w:val="center"/>
          </w:tcPr>
          <w:p>
            <w:pPr>
              <w:jc w:val="center"/>
              <w:rPr>
                <w:rFonts w:hint="eastAsia" w:ascii="仿宋_GB2312" w:hAnsi="仿宋_GB2312" w:eastAsia="仿宋_GB2312" w:cs="仿宋_GB2312"/>
              </w:rPr>
            </w:pPr>
          </w:p>
        </w:tc>
        <w:tc>
          <w:tcPr>
            <w:tcW w:w="444" w:type="pct"/>
            <w:vMerge w:val="continue"/>
            <w:vAlign w:val="center"/>
          </w:tcPr>
          <w:p>
            <w:pPr>
              <w:jc w:val="center"/>
              <w:rPr>
                <w:rFonts w:hint="eastAsia" w:ascii="仿宋_GB2312" w:hAnsi="仿宋_GB2312" w:eastAsia="仿宋_GB2312" w:cs="仿宋_GB2312"/>
                <w:bCs/>
                <w:color w:val="000000"/>
                <w:kern w:val="0"/>
                <w:szCs w:val="21"/>
              </w:rPr>
            </w:pPr>
          </w:p>
        </w:tc>
        <w:tc>
          <w:tcPr>
            <w:tcW w:w="832" w:type="pct"/>
            <w:vMerge w:val="continue"/>
            <w:vAlign w:val="center"/>
          </w:tcPr>
          <w:p>
            <w:pPr>
              <w:jc w:val="left"/>
              <w:rPr>
                <w:rFonts w:hint="eastAsia" w:ascii="仿宋_GB2312" w:hAnsi="仿宋_GB2312" w:eastAsia="仿宋_GB2312" w:cs="仿宋_GB2312"/>
              </w:rPr>
            </w:pPr>
          </w:p>
        </w:tc>
        <w:tc>
          <w:tcPr>
            <w:tcW w:w="1174"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b/>
                <w:bCs/>
              </w:rPr>
              <w:t>未中标的</w:t>
            </w:r>
            <w:r>
              <w:rPr>
                <w:rFonts w:hint="eastAsia" w:ascii="仿宋_GB2312" w:hAnsi="仿宋_GB2312" w:eastAsia="仿宋_GB2312" w:cs="仿宋_GB2312"/>
              </w:rPr>
              <w:t>，责令改正，处十五万元的罚款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336" w:type="pct"/>
            <w:vMerge w:val="continue"/>
            <w:vAlign w:val="center"/>
          </w:tcPr>
          <w:p>
            <w:pPr>
              <w:jc w:val="center"/>
              <w:rPr>
                <w:rFonts w:hint="eastAsia" w:ascii="仿宋_GB2312" w:hAnsi="仿宋_GB2312" w:eastAsia="仿宋_GB2312" w:cs="仿宋_GB2312"/>
              </w:rPr>
            </w:pPr>
          </w:p>
        </w:tc>
        <w:tc>
          <w:tcPr>
            <w:tcW w:w="417" w:type="pct"/>
            <w:vMerge w:val="continue"/>
            <w:vAlign w:val="center"/>
          </w:tcPr>
          <w:p>
            <w:pPr>
              <w:jc w:val="center"/>
              <w:rPr>
                <w:rFonts w:hint="eastAsia" w:ascii="仿宋_GB2312" w:hAnsi="仿宋_GB2312" w:eastAsia="仿宋_GB2312" w:cs="仿宋_GB2312"/>
              </w:rPr>
            </w:pPr>
          </w:p>
        </w:tc>
        <w:tc>
          <w:tcPr>
            <w:tcW w:w="440" w:type="pct"/>
            <w:vMerge w:val="continue"/>
            <w:vAlign w:val="center"/>
          </w:tcPr>
          <w:p>
            <w:pPr>
              <w:jc w:val="center"/>
              <w:rPr>
                <w:rFonts w:hint="eastAsia" w:ascii="仿宋_GB2312" w:hAnsi="仿宋_GB2312" w:eastAsia="仿宋_GB2312" w:cs="仿宋_GB2312"/>
              </w:rPr>
            </w:pPr>
          </w:p>
        </w:tc>
        <w:tc>
          <w:tcPr>
            <w:tcW w:w="933" w:type="pct"/>
            <w:vMerge w:val="continue"/>
            <w:vAlign w:val="center"/>
          </w:tcPr>
          <w:p>
            <w:pPr>
              <w:jc w:val="center"/>
              <w:rPr>
                <w:rFonts w:hint="eastAsia" w:ascii="仿宋_GB2312" w:hAnsi="仿宋_GB2312" w:eastAsia="仿宋_GB2312" w:cs="仿宋_GB2312"/>
              </w:rPr>
            </w:pPr>
          </w:p>
        </w:tc>
        <w:tc>
          <w:tcPr>
            <w:tcW w:w="423" w:type="pct"/>
            <w:vMerge w:val="continue"/>
            <w:vAlign w:val="center"/>
          </w:tcPr>
          <w:p>
            <w:pPr>
              <w:jc w:val="center"/>
              <w:rPr>
                <w:rFonts w:hint="eastAsia" w:ascii="仿宋_GB2312" w:hAnsi="仿宋_GB2312" w:eastAsia="仿宋_GB2312" w:cs="仿宋_GB2312"/>
              </w:rPr>
            </w:pPr>
          </w:p>
        </w:tc>
        <w:tc>
          <w:tcPr>
            <w:tcW w:w="444"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832"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工程合同价款或者招标项目估算价（编制标底的项目按标底计算）超过二千万元以上的</w:t>
            </w:r>
          </w:p>
        </w:tc>
        <w:tc>
          <w:tcPr>
            <w:tcW w:w="1174"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责令改正，处超过工程合同价款千分之七点五、千分之十以下的罚款，并暂停投标资格超过四个月十五日、六个月以下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336" w:type="pct"/>
            <w:vMerge w:val="continue"/>
            <w:vAlign w:val="center"/>
          </w:tcPr>
          <w:p>
            <w:pPr>
              <w:jc w:val="center"/>
              <w:rPr>
                <w:rFonts w:hint="eastAsia" w:ascii="仿宋_GB2312" w:hAnsi="仿宋_GB2312" w:eastAsia="仿宋_GB2312" w:cs="仿宋_GB2312"/>
              </w:rPr>
            </w:pPr>
          </w:p>
        </w:tc>
        <w:tc>
          <w:tcPr>
            <w:tcW w:w="417" w:type="pct"/>
            <w:vMerge w:val="continue"/>
            <w:vAlign w:val="center"/>
          </w:tcPr>
          <w:p>
            <w:pPr>
              <w:jc w:val="center"/>
              <w:rPr>
                <w:rFonts w:hint="eastAsia" w:ascii="仿宋_GB2312" w:hAnsi="仿宋_GB2312" w:eastAsia="仿宋_GB2312" w:cs="仿宋_GB2312"/>
              </w:rPr>
            </w:pPr>
          </w:p>
        </w:tc>
        <w:tc>
          <w:tcPr>
            <w:tcW w:w="440" w:type="pct"/>
            <w:vMerge w:val="continue"/>
            <w:vAlign w:val="center"/>
          </w:tcPr>
          <w:p>
            <w:pPr>
              <w:jc w:val="center"/>
              <w:rPr>
                <w:rFonts w:hint="eastAsia" w:ascii="仿宋_GB2312" w:hAnsi="仿宋_GB2312" w:eastAsia="仿宋_GB2312" w:cs="仿宋_GB2312"/>
              </w:rPr>
            </w:pPr>
          </w:p>
        </w:tc>
        <w:tc>
          <w:tcPr>
            <w:tcW w:w="933" w:type="pct"/>
            <w:vMerge w:val="continue"/>
            <w:vAlign w:val="center"/>
          </w:tcPr>
          <w:p>
            <w:pPr>
              <w:jc w:val="center"/>
              <w:rPr>
                <w:rFonts w:hint="eastAsia" w:ascii="仿宋_GB2312" w:hAnsi="仿宋_GB2312" w:eastAsia="仿宋_GB2312" w:cs="仿宋_GB2312"/>
              </w:rPr>
            </w:pPr>
          </w:p>
        </w:tc>
        <w:tc>
          <w:tcPr>
            <w:tcW w:w="423" w:type="pct"/>
            <w:vMerge w:val="continue"/>
            <w:vAlign w:val="center"/>
          </w:tcPr>
          <w:p>
            <w:pPr>
              <w:jc w:val="center"/>
              <w:rPr>
                <w:rFonts w:hint="eastAsia" w:ascii="仿宋_GB2312" w:hAnsi="仿宋_GB2312" w:eastAsia="仿宋_GB2312" w:cs="仿宋_GB2312"/>
              </w:rPr>
            </w:pPr>
          </w:p>
        </w:tc>
        <w:tc>
          <w:tcPr>
            <w:tcW w:w="444" w:type="pct"/>
            <w:vMerge w:val="continue"/>
            <w:vAlign w:val="center"/>
          </w:tcPr>
          <w:p>
            <w:pPr>
              <w:jc w:val="center"/>
              <w:rPr>
                <w:rFonts w:hint="eastAsia" w:ascii="仿宋_GB2312" w:hAnsi="仿宋_GB2312" w:eastAsia="仿宋_GB2312" w:cs="仿宋_GB2312"/>
                <w:bCs/>
                <w:color w:val="000000"/>
                <w:kern w:val="0"/>
                <w:szCs w:val="21"/>
              </w:rPr>
            </w:pPr>
          </w:p>
        </w:tc>
        <w:tc>
          <w:tcPr>
            <w:tcW w:w="832" w:type="pct"/>
            <w:vMerge w:val="continue"/>
            <w:vAlign w:val="center"/>
          </w:tcPr>
          <w:p>
            <w:pPr>
              <w:jc w:val="left"/>
              <w:rPr>
                <w:rFonts w:hint="eastAsia" w:ascii="仿宋_GB2312" w:hAnsi="仿宋_GB2312" w:eastAsia="仿宋_GB2312" w:cs="仿宋_GB2312"/>
              </w:rPr>
            </w:pPr>
          </w:p>
        </w:tc>
        <w:tc>
          <w:tcPr>
            <w:tcW w:w="1174"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b/>
                <w:bCs/>
              </w:rPr>
              <w:t>未中标的</w:t>
            </w:r>
            <w:r>
              <w:rPr>
                <w:rFonts w:hint="eastAsia" w:ascii="仿宋_GB2312" w:hAnsi="仿宋_GB2312" w:eastAsia="仿宋_GB2312" w:cs="仿宋_GB2312"/>
              </w:rPr>
              <w:t>，责令改正，处超过十五万元、二十万元以下的罚款</w:t>
            </w:r>
          </w:p>
        </w:tc>
      </w:tr>
    </w:tbl>
    <w:p>
      <w:pPr>
        <w:widowControl/>
        <w:jc w:val="left"/>
        <w:rPr>
          <w:bCs/>
          <w:sz w:val="32"/>
          <w:szCs w:val="32"/>
        </w:rPr>
      </w:pPr>
      <w:r>
        <w:rPr>
          <w:b/>
          <w:sz w:val="32"/>
          <w:szCs w:val="32"/>
        </w:rPr>
        <w:br w:type="page"/>
      </w:r>
      <w:r>
        <w:rPr>
          <w:rFonts w:hint="eastAsia"/>
          <w:bCs/>
          <w:sz w:val="32"/>
          <w:szCs w:val="32"/>
        </w:rPr>
        <w:t>《深圳经济特区建设工程施工招标投标条例》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9"/>
        <w:gridCol w:w="1267"/>
        <w:gridCol w:w="1792"/>
        <w:gridCol w:w="2560"/>
        <w:gridCol w:w="1239"/>
        <w:gridCol w:w="1261"/>
        <w:gridCol w:w="2203"/>
        <w:gridCol w:w="28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56"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44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632"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903"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43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45"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77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1004"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56"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lang w:val="en"/>
              </w:rPr>
              <w:t>106.1</w:t>
            </w:r>
            <w:r>
              <w:rPr>
                <w:rFonts w:hint="eastAsia" w:ascii="仿宋_GB2312" w:hAnsi="仿宋_GB2312" w:eastAsia="仿宋_GB2312" w:cs="仿宋_GB2312"/>
              </w:rPr>
              <w:t>7</w:t>
            </w:r>
          </w:p>
        </w:tc>
        <w:tc>
          <w:tcPr>
            <w:tcW w:w="447"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投标人将中标工程整体或者肢解后转让给他人的</w:t>
            </w:r>
          </w:p>
        </w:tc>
        <w:tc>
          <w:tcPr>
            <w:tcW w:w="632"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第六十二条：“中标人应当按照合同约定履行义务。不得向他人转让中标工程，也不得将中标工程肢解后分项转让。”</w:t>
            </w:r>
          </w:p>
        </w:tc>
        <w:tc>
          <w:tcPr>
            <w:tcW w:w="903"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第六十五条第三项：“投标人违反本条例规定有下列行为之一者，责令改正，并按以下规定给予处罚:（三）将中标工程整体或者肢解后转让给他人的，转让无效，处转让工程合同价款百分之一以上百分之二以下的罚款。”</w:t>
            </w:r>
          </w:p>
        </w:tc>
        <w:tc>
          <w:tcPr>
            <w:tcW w:w="437"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rPr>
              <w:t>罚款</w:t>
            </w:r>
          </w:p>
        </w:tc>
        <w:tc>
          <w:tcPr>
            <w:tcW w:w="445"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777"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工程合同价款五百万元以下的</w:t>
            </w:r>
          </w:p>
        </w:tc>
        <w:tc>
          <w:tcPr>
            <w:tcW w:w="1004"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责令改正，并处转让工程合同价款百分之一以上、低于百分之一点五的罚款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56" w:type="pct"/>
            <w:vMerge w:val="continue"/>
            <w:vAlign w:val="center"/>
          </w:tcPr>
          <w:p>
            <w:pPr>
              <w:jc w:val="center"/>
              <w:rPr>
                <w:rFonts w:hint="eastAsia" w:ascii="仿宋_GB2312" w:hAnsi="仿宋_GB2312" w:eastAsia="仿宋_GB2312" w:cs="仿宋_GB2312"/>
              </w:rPr>
            </w:pPr>
          </w:p>
        </w:tc>
        <w:tc>
          <w:tcPr>
            <w:tcW w:w="447" w:type="pct"/>
            <w:vMerge w:val="continue"/>
            <w:vAlign w:val="center"/>
          </w:tcPr>
          <w:p>
            <w:pPr>
              <w:jc w:val="center"/>
              <w:rPr>
                <w:rFonts w:hint="eastAsia" w:ascii="仿宋_GB2312" w:hAnsi="仿宋_GB2312" w:eastAsia="仿宋_GB2312" w:cs="仿宋_GB2312"/>
              </w:rPr>
            </w:pPr>
          </w:p>
        </w:tc>
        <w:tc>
          <w:tcPr>
            <w:tcW w:w="632" w:type="pct"/>
            <w:vMerge w:val="continue"/>
            <w:vAlign w:val="center"/>
          </w:tcPr>
          <w:p>
            <w:pPr>
              <w:jc w:val="center"/>
              <w:rPr>
                <w:rFonts w:hint="eastAsia" w:ascii="仿宋_GB2312" w:hAnsi="仿宋_GB2312" w:eastAsia="仿宋_GB2312" w:cs="仿宋_GB2312"/>
              </w:rPr>
            </w:pPr>
          </w:p>
        </w:tc>
        <w:tc>
          <w:tcPr>
            <w:tcW w:w="903" w:type="pct"/>
            <w:vMerge w:val="continue"/>
            <w:vAlign w:val="center"/>
          </w:tcPr>
          <w:p>
            <w:pPr>
              <w:jc w:val="center"/>
              <w:rPr>
                <w:rFonts w:hint="eastAsia" w:ascii="仿宋_GB2312" w:hAnsi="仿宋_GB2312" w:eastAsia="仿宋_GB2312" w:cs="仿宋_GB2312"/>
              </w:rPr>
            </w:pPr>
          </w:p>
        </w:tc>
        <w:tc>
          <w:tcPr>
            <w:tcW w:w="437" w:type="pct"/>
            <w:vMerge w:val="continue"/>
            <w:vAlign w:val="center"/>
          </w:tcPr>
          <w:p>
            <w:pPr>
              <w:jc w:val="center"/>
              <w:rPr>
                <w:rFonts w:hint="eastAsia" w:ascii="仿宋_GB2312" w:hAnsi="仿宋_GB2312" w:eastAsia="仿宋_GB2312" w:cs="仿宋_GB2312"/>
              </w:rPr>
            </w:pPr>
          </w:p>
        </w:tc>
        <w:tc>
          <w:tcPr>
            <w:tcW w:w="445"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777"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工程合同价款超过五百万元、二千万元以下的</w:t>
            </w:r>
          </w:p>
        </w:tc>
        <w:tc>
          <w:tcPr>
            <w:tcW w:w="1004"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责令改正，并处转让工程合同价款百分之一点五的罚款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56" w:type="pct"/>
            <w:vMerge w:val="continue"/>
            <w:vAlign w:val="center"/>
          </w:tcPr>
          <w:p>
            <w:pPr>
              <w:jc w:val="center"/>
              <w:rPr>
                <w:rFonts w:hint="eastAsia" w:ascii="仿宋_GB2312" w:hAnsi="仿宋_GB2312" w:eastAsia="仿宋_GB2312" w:cs="仿宋_GB2312"/>
              </w:rPr>
            </w:pPr>
          </w:p>
        </w:tc>
        <w:tc>
          <w:tcPr>
            <w:tcW w:w="447" w:type="pct"/>
            <w:vMerge w:val="continue"/>
            <w:vAlign w:val="center"/>
          </w:tcPr>
          <w:p>
            <w:pPr>
              <w:jc w:val="center"/>
              <w:rPr>
                <w:rFonts w:hint="eastAsia" w:ascii="仿宋_GB2312" w:hAnsi="仿宋_GB2312" w:eastAsia="仿宋_GB2312" w:cs="仿宋_GB2312"/>
              </w:rPr>
            </w:pPr>
          </w:p>
        </w:tc>
        <w:tc>
          <w:tcPr>
            <w:tcW w:w="632" w:type="pct"/>
            <w:vMerge w:val="continue"/>
            <w:vAlign w:val="center"/>
          </w:tcPr>
          <w:p>
            <w:pPr>
              <w:jc w:val="center"/>
              <w:rPr>
                <w:rFonts w:hint="eastAsia" w:ascii="仿宋_GB2312" w:hAnsi="仿宋_GB2312" w:eastAsia="仿宋_GB2312" w:cs="仿宋_GB2312"/>
              </w:rPr>
            </w:pPr>
          </w:p>
        </w:tc>
        <w:tc>
          <w:tcPr>
            <w:tcW w:w="903" w:type="pct"/>
            <w:vMerge w:val="continue"/>
            <w:vAlign w:val="center"/>
          </w:tcPr>
          <w:p>
            <w:pPr>
              <w:jc w:val="center"/>
              <w:rPr>
                <w:rFonts w:hint="eastAsia" w:ascii="仿宋_GB2312" w:hAnsi="仿宋_GB2312" w:eastAsia="仿宋_GB2312" w:cs="仿宋_GB2312"/>
              </w:rPr>
            </w:pPr>
          </w:p>
        </w:tc>
        <w:tc>
          <w:tcPr>
            <w:tcW w:w="437" w:type="pct"/>
            <w:vMerge w:val="continue"/>
            <w:vAlign w:val="center"/>
          </w:tcPr>
          <w:p>
            <w:pPr>
              <w:jc w:val="center"/>
              <w:rPr>
                <w:rFonts w:hint="eastAsia" w:ascii="仿宋_GB2312" w:hAnsi="仿宋_GB2312" w:eastAsia="仿宋_GB2312" w:cs="仿宋_GB2312"/>
              </w:rPr>
            </w:pPr>
          </w:p>
        </w:tc>
        <w:tc>
          <w:tcPr>
            <w:tcW w:w="445"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777"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工程合同价款超过二千万元的</w:t>
            </w:r>
          </w:p>
        </w:tc>
        <w:tc>
          <w:tcPr>
            <w:tcW w:w="1004"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责令改正，并处超过转让工程合同价款百分之一点五、百分之二以下的罚款</w:t>
            </w:r>
          </w:p>
        </w:tc>
      </w:tr>
    </w:tbl>
    <w:p>
      <w:pPr>
        <w:widowControl/>
        <w:jc w:val="left"/>
        <w:rPr>
          <w:bCs/>
          <w:sz w:val="32"/>
          <w:szCs w:val="32"/>
        </w:rPr>
      </w:pPr>
      <w:r>
        <w:rPr>
          <w:b/>
          <w:sz w:val="32"/>
          <w:szCs w:val="32"/>
        </w:rPr>
        <w:br w:type="page"/>
      </w:r>
      <w:r>
        <w:rPr>
          <w:rFonts w:hint="eastAsia"/>
          <w:bCs/>
          <w:sz w:val="32"/>
          <w:szCs w:val="32"/>
        </w:rPr>
        <w:t>《深圳经济特区建设工程施工招标投标条例》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1"/>
        <w:gridCol w:w="1569"/>
        <w:gridCol w:w="2014"/>
        <w:gridCol w:w="2750"/>
        <w:gridCol w:w="1264"/>
        <w:gridCol w:w="1678"/>
        <w:gridCol w:w="1511"/>
        <w:gridCol w:w="236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60"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553"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710"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970"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446"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592"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533"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835"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60" w:type="pct"/>
            <w:vMerge w:val="restart"/>
            <w:vAlign w:val="center"/>
          </w:tcPr>
          <w:p>
            <w:pPr>
              <w:jc w:val="center"/>
              <w:rPr>
                <w:rFonts w:hint="eastAsia" w:ascii="仿宋_GB2312" w:hAnsi="仿宋_GB2312" w:eastAsia="仿宋_GB2312" w:cs="仿宋_GB2312"/>
                <w:lang w:val="en"/>
              </w:rPr>
            </w:pPr>
            <w:r>
              <w:rPr>
                <w:rFonts w:hint="eastAsia" w:ascii="仿宋_GB2312" w:hAnsi="仿宋_GB2312" w:eastAsia="仿宋_GB2312" w:cs="仿宋_GB2312"/>
                <w:lang w:val="en"/>
              </w:rPr>
              <w:t>106.1</w:t>
            </w:r>
            <w:r>
              <w:rPr>
                <w:rFonts w:hint="eastAsia" w:ascii="仿宋_GB2312" w:hAnsi="仿宋_GB2312" w:eastAsia="仿宋_GB2312" w:cs="仿宋_GB2312"/>
              </w:rPr>
              <w:t>8</w:t>
            </w:r>
          </w:p>
        </w:tc>
        <w:tc>
          <w:tcPr>
            <w:tcW w:w="553"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以征地、拆迁、设计、垫资和介绍用地等为条件，或者以供水、供电、供气、通讯、消防等专业为理由，要求招标人将建设工程发包给其指定的单位或者个人承包的</w:t>
            </w:r>
          </w:p>
        </w:tc>
        <w:tc>
          <w:tcPr>
            <w:tcW w:w="710"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第四条第二款：“任何组织和个人不得以征地、拆迁、设计、垫资和介绍建设用地等为条件，或者以供水、供电、供气、通讯、消防等专业为理由，要求工程发包人将建设工程发包给其指定的单位或者个人承包。”</w:t>
            </w:r>
          </w:p>
        </w:tc>
        <w:tc>
          <w:tcPr>
            <w:tcW w:w="970"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第六十六条：“违反本条例规定，以征地、拆迁、设计、垫资和介绍用地等为条件，或者以供水、供电、供气、通讯、消防等专业为理由，要求招标人将建设工程发包给其指定的单位或者个人承包的，所签承包合同无效，对承包人及供水、供电、供气、通讯、消防等部门各处工程合同价款百分之一以上百分之二以下的罚款。”</w:t>
            </w:r>
          </w:p>
        </w:tc>
        <w:tc>
          <w:tcPr>
            <w:tcW w:w="446"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rPr>
              <w:t>罚款</w:t>
            </w:r>
          </w:p>
        </w:tc>
        <w:tc>
          <w:tcPr>
            <w:tcW w:w="592"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533"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工程合同价款五百万元以下的</w:t>
            </w:r>
          </w:p>
        </w:tc>
        <w:tc>
          <w:tcPr>
            <w:tcW w:w="835"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对承包人及供水、供电、供气、通讯、消防等部门各处工程合同价款百分之一以上、低于百分之一点五的罚款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60" w:type="pct"/>
            <w:vMerge w:val="continue"/>
            <w:vAlign w:val="center"/>
          </w:tcPr>
          <w:p>
            <w:pPr>
              <w:jc w:val="center"/>
              <w:rPr>
                <w:rFonts w:hint="eastAsia" w:ascii="仿宋_GB2312" w:hAnsi="仿宋_GB2312" w:eastAsia="仿宋_GB2312" w:cs="仿宋_GB2312"/>
              </w:rPr>
            </w:pPr>
          </w:p>
        </w:tc>
        <w:tc>
          <w:tcPr>
            <w:tcW w:w="553" w:type="pct"/>
            <w:vMerge w:val="continue"/>
            <w:vAlign w:val="center"/>
          </w:tcPr>
          <w:p>
            <w:pPr>
              <w:jc w:val="center"/>
              <w:rPr>
                <w:rFonts w:hint="eastAsia" w:ascii="仿宋_GB2312" w:hAnsi="仿宋_GB2312" w:eastAsia="仿宋_GB2312" w:cs="仿宋_GB2312"/>
              </w:rPr>
            </w:pPr>
          </w:p>
        </w:tc>
        <w:tc>
          <w:tcPr>
            <w:tcW w:w="710" w:type="pct"/>
            <w:vMerge w:val="continue"/>
            <w:vAlign w:val="center"/>
          </w:tcPr>
          <w:p>
            <w:pPr>
              <w:jc w:val="center"/>
              <w:rPr>
                <w:rFonts w:hint="eastAsia" w:ascii="仿宋_GB2312" w:hAnsi="仿宋_GB2312" w:eastAsia="仿宋_GB2312" w:cs="仿宋_GB2312"/>
              </w:rPr>
            </w:pPr>
          </w:p>
        </w:tc>
        <w:tc>
          <w:tcPr>
            <w:tcW w:w="970" w:type="pct"/>
            <w:vMerge w:val="continue"/>
            <w:vAlign w:val="center"/>
          </w:tcPr>
          <w:p>
            <w:pPr>
              <w:jc w:val="center"/>
              <w:rPr>
                <w:rFonts w:hint="eastAsia" w:ascii="仿宋_GB2312" w:hAnsi="仿宋_GB2312" w:eastAsia="仿宋_GB2312" w:cs="仿宋_GB2312"/>
              </w:rPr>
            </w:pPr>
          </w:p>
        </w:tc>
        <w:tc>
          <w:tcPr>
            <w:tcW w:w="446" w:type="pct"/>
            <w:vMerge w:val="continue"/>
            <w:vAlign w:val="center"/>
          </w:tcPr>
          <w:p>
            <w:pPr>
              <w:jc w:val="center"/>
              <w:rPr>
                <w:rFonts w:hint="eastAsia" w:ascii="仿宋_GB2312" w:hAnsi="仿宋_GB2312" w:eastAsia="仿宋_GB2312" w:cs="仿宋_GB2312"/>
              </w:rPr>
            </w:pPr>
          </w:p>
        </w:tc>
        <w:tc>
          <w:tcPr>
            <w:tcW w:w="592"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533"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工程合同价款超过五百万元、二千万元以下的</w:t>
            </w:r>
          </w:p>
        </w:tc>
        <w:tc>
          <w:tcPr>
            <w:tcW w:w="835"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对承包人及供水、供电、供气、通讯、消防等部门各处工程合同价款百分之一点五的罚款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60" w:type="pct"/>
            <w:vMerge w:val="continue"/>
            <w:vAlign w:val="center"/>
          </w:tcPr>
          <w:p>
            <w:pPr>
              <w:jc w:val="center"/>
              <w:rPr>
                <w:rFonts w:hint="eastAsia" w:ascii="仿宋_GB2312" w:hAnsi="仿宋_GB2312" w:eastAsia="仿宋_GB2312" w:cs="仿宋_GB2312"/>
              </w:rPr>
            </w:pPr>
          </w:p>
        </w:tc>
        <w:tc>
          <w:tcPr>
            <w:tcW w:w="553" w:type="pct"/>
            <w:vMerge w:val="continue"/>
            <w:vAlign w:val="center"/>
          </w:tcPr>
          <w:p>
            <w:pPr>
              <w:jc w:val="center"/>
              <w:rPr>
                <w:rFonts w:hint="eastAsia" w:ascii="仿宋_GB2312" w:hAnsi="仿宋_GB2312" w:eastAsia="仿宋_GB2312" w:cs="仿宋_GB2312"/>
              </w:rPr>
            </w:pPr>
          </w:p>
        </w:tc>
        <w:tc>
          <w:tcPr>
            <w:tcW w:w="710" w:type="pct"/>
            <w:vMerge w:val="continue"/>
            <w:vAlign w:val="center"/>
          </w:tcPr>
          <w:p>
            <w:pPr>
              <w:jc w:val="center"/>
              <w:rPr>
                <w:rFonts w:hint="eastAsia" w:ascii="仿宋_GB2312" w:hAnsi="仿宋_GB2312" w:eastAsia="仿宋_GB2312" w:cs="仿宋_GB2312"/>
              </w:rPr>
            </w:pPr>
          </w:p>
        </w:tc>
        <w:tc>
          <w:tcPr>
            <w:tcW w:w="970" w:type="pct"/>
            <w:vMerge w:val="continue"/>
            <w:vAlign w:val="center"/>
          </w:tcPr>
          <w:p>
            <w:pPr>
              <w:jc w:val="center"/>
              <w:rPr>
                <w:rFonts w:hint="eastAsia" w:ascii="仿宋_GB2312" w:hAnsi="仿宋_GB2312" w:eastAsia="仿宋_GB2312" w:cs="仿宋_GB2312"/>
              </w:rPr>
            </w:pPr>
          </w:p>
        </w:tc>
        <w:tc>
          <w:tcPr>
            <w:tcW w:w="446" w:type="pct"/>
            <w:vMerge w:val="continue"/>
            <w:vAlign w:val="center"/>
          </w:tcPr>
          <w:p>
            <w:pPr>
              <w:jc w:val="center"/>
              <w:rPr>
                <w:rFonts w:hint="eastAsia" w:ascii="仿宋_GB2312" w:hAnsi="仿宋_GB2312" w:eastAsia="仿宋_GB2312" w:cs="仿宋_GB2312"/>
              </w:rPr>
            </w:pPr>
          </w:p>
        </w:tc>
        <w:tc>
          <w:tcPr>
            <w:tcW w:w="592"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533"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工程合同价款超过二千万元的</w:t>
            </w:r>
          </w:p>
        </w:tc>
        <w:tc>
          <w:tcPr>
            <w:tcW w:w="835"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对承包人及供水、供电、供气、通讯、消防等部门各处超过工程合同价款百分之一点五、百分之二以下的罚款</w:t>
            </w:r>
          </w:p>
        </w:tc>
      </w:tr>
    </w:tbl>
    <w:p>
      <w:pPr>
        <w:widowControl/>
        <w:jc w:val="left"/>
        <w:rPr>
          <w:bCs/>
          <w:sz w:val="32"/>
          <w:szCs w:val="32"/>
        </w:rPr>
      </w:pPr>
      <w:r>
        <w:rPr>
          <w:b/>
          <w:sz w:val="32"/>
          <w:szCs w:val="32"/>
        </w:rPr>
        <w:br w:type="page"/>
      </w:r>
      <w:r>
        <w:rPr>
          <w:rFonts w:hint="eastAsia"/>
          <w:bCs/>
          <w:sz w:val="32"/>
          <w:szCs w:val="32"/>
        </w:rPr>
        <w:t>《深圳经济特区建设工程施工招标投标条例》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4"/>
        <w:gridCol w:w="1216"/>
        <w:gridCol w:w="1893"/>
        <w:gridCol w:w="2653"/>
        <w:gridCol w:w="1480"/>
        <w:gridCol w:w="1418"/>
        <w:gridCol w:w="2362"/>
        <w:gridCol w:w="22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33"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429"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668"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936"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522"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500"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833"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779"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3" w:type="pct"/>
            <w:vMerge w:val="restart"/>
            <w:vAlign w:val="center"/>
          </w:tcPr>
          <w:p>
            <w:pPr>
              <w:jc w:val="center"/>
              <w:rPr>
                <w:rFonts w:hint="eastAsia" w:ascii="仿宋_GB2312" w:hAnsi="仿宋_GB2312" w:eastAsia="仿宋_GB2312" w:cs="仿宋_GB2312"/>
                <w:lang w:val="en"/>
              </w:rPr>
            </w:pPr>
            <w:r>
              <w:rPr>
                <w:rFonts w:hint="eastAsia" w:ascii="仿宋_GB2312" w:hAnsi="仿宋_GB2312" w:eastAsia="仿宋_GB2312" w:cs="仿宋_GB2312"/>
                <w:lang w:val="en"/>
              </w:rPr>
              <w:t>106.1</w:t>
            </w:r>
            <w:r>
              <w:rPr>
                <w:rFonts w:hint="eastAsia" w:ascii="仿宋_GB2312" w:hAnsi="仿宋_GB2312" w:eastAsia="仿宋_GB2312" w:cs="仿宋_GB2312"/>
              </w:rPr>
              <w:t>9</w:t>
            </w:r>
          </w:p>
        </w:tc>
        <w:tc>
          <w:tcPr>
            <w:tcW w:w="429"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评标委员会成员收受贿赂、私自接触投标人或者泄露应当保密的招标投标事项的</w:t>
            </w:r>
          </w:p>
        </w:tc>
        <w:tc>
          <w:tcPr>
            <w:tcW w:w="668"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第四十六条第二款：“评标活动实行封闭式管理，在中标结果公布前，禁止评标委员会成员及招标人的工作人员以任何方式私自接触投标人。”</w:t>
            </w:r>
          </w:p>
        </w:tc>
        <w:tc>
          <w:tcPr>
            <w:tcW w:w="936"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第六十七条：“评标委员会成员收受贿赂、私自接触投标人或者泄露应当保密的招标投标事项的，没收其收受的财物，处一万元以上三万元以下的罚款，并取消其评标资格，禁止参加任何招标工程的评标。”</w:t>
            </w:r>
          </w:p>
        </w:tc>
        <w:tc>
          <w:tcPr>
            <w:tcW w:w="522"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没收非法财</w:t>
            </w:r>
            <w:r>
              <w:rPr>
                <w:rFonts w:hint="eastAsia" w:ascii="仿宋_GB2312" w:hAnsi="仿宋_GB2312" w:eastAsia="仿宋_GB2312" w:cs="仿宋_GB2312"/>
                <w:lang w:val="en-US" w:eastAsia="zh-CN"/>
              </w:rPr>
              <w:t>物</w:t>
            </w:r>
            <w:r>
              <w:rPr>
                <w:rFonts w:hint="eastAsia" w:ascii="仿宋_GB2312" w:hAnsi="仿宋_GB2312" w:eastAsia="仿宋_GB2312" w:cs="仿宋_GB2312"/>
              </w:rPr>
              <w:t>；罚款；限制从业</w:t>
            </w:r>
          </w:p>
        </w:tc>
        <w:tc>
          <w:tcPr>
            <w:tcW w:w="500"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833" w:type="pct"/>
            <w:vAlign w:val="center"/>
          </w:tcPr>
          <w:p>
            <w:pPr>
              <w:rPr>
                <w:rFonts w:hint="eastAsia" w:ascii="仿宋_GB2312" w:hAnsi="仿宋_GB2312" w:eastAsia="仿宋_GB2312" w:cs="仿宋_GB2312"/>
              </w:rPr>
            </w:pPr>
            <w:r>
              <w:rPr>
                <w:rFonts w:hint="eastAsia" w:ascii="仿宋_GB2312" w:hAnsi="仿宋_GB2312" w:eastAsia="仿宋_GB2312" w:cs="仿宋_GB2312"/>
              </w:rPr>
              <w:t>工程合同价款或者招标项目估算价（编制标底的项目按标底计算）五百万元以下的</w:t>
            </w:r>
          </w:p>
        </w:tc>
        <w:tc>
          <w:tcPr>
            <w:tcW w:w="779" w:type="pct"/>
            <w:vAlign w:val="center"/>
          </w:tcPr>
          <w:p>
            <w:pPr>
              <w:rPr>
                <w:rFonts w:hint="eastAsia" w:ascii="仿宋_GB2312" w:hAnsi="仿宋_GB2312" w:eastAsia="仿宋_GB2312" w:cs="仿宋_GB2312"/>
                <w:lang w:val="en"/>
              </w:rPr>
            </w:pPr>
            <w:r>
              <w:rPr>
                <w:rFonts w:hint="eastAsia" w:ascii="仿宋_GB2312" w:hAnsi="仿宋_GB2312" w:eastAsia="仿宋_GB2312" w:cs="仿宋_GB2312"/>
              </w:rPr>
              <w:t>没收收受的财物</w:t>
            </w:r>
            <w:r>
              <w:rPr>
                <w:rFonts w:ascii="仿宋_GB2312" w:hAnsi="仿宋_GB2312" w:eastAsia="仿宋_GB2312" w:cs="仿宋_GB2312"/>
                <w:lang w:val="en"/>
              </w:rPr>
              <w:t>,</w:t>
            </w:r>
          </w:p>
          <w:p>
            <w:pPr>
              <w:rPr>
                <w:rFonts w:hint="eastAsia" w:ascii="仿宋_GB2312" w:hAnsi="仿宋_GB2312" w:eastAsia="仿宋_GB2312" w:cs="仿宋_GB2312"/>
              </w:rPr>
            </w:pPr>
            <w:r>
              <w:rPr>
                <w:rFonts w:hint="eastAsia" w:ascii="仿宋_GB2312" w:hAnsi="仿宋_GB2312" w:eastAsia="仿宋_GB2312" w:cs="仿宋_GB2312"/>
              </w:rPr>
              <w:t>处一万元以上、低于二万元的罚款，并取消评标资格，禁止参加任何招标工程的评标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3" w:type="pct"/>
            <w:vMerge w:val="continue"/>
            <w:vAlign w:val="center"/>
          </w:tcPr>
          <w:p>
            <w:pPr>
              <w:jc w:val="center"/>
              <w:rPr>
                <w:rFonts w:hint="eastAsia" w:ascii="仿宋_GB2312" w:hAnsi="仿宋_GB2312" w:eastAsia="仿宋_GB2312" w:cs="仿宋_GB2312"/>
              </w:rPr>
            </w:pPr>
          </w:p>
        </w:tc>
        <w:tc>
          <w:tcPr>
            <w:tcW w:w="429" w:type="pct"/>
            <w:vMerge w:val="continue"/>
            <w:vAlign w:val="center"/>
          </w:tcPr>
          <w:p>
            <w:pPr>
              <w:jc w:val="center"/>
              <w:rPr>
                <w:rFonts w:hint="eastAsia" w:ascii="仿宋_GB2312" w:hAnsi="仿宋_GB2312" w:eastAsia="仿宋_GB2312" w:cs="仿宋_GB2312"/>
              </w:rPr>
            </w:pPr>
          </w:p>
        </w:tc>
        <w:tc>
          <w:tcPr>
            <w:tcW w:w="668" w:type="pct"/>
            <w:vMerge w:val="continue"/>
            <w:vAlign w:val="center"/>
          </w:tcPr>
          <w:p>
            <w:pPr>
              <w:jc w:val="center"/>
              <w:rPr>
                <w:rFonts w:hint="eastAsia" w:ascii="仿宋_GB2312" w:hAnsi="仿宋_GB2312" w:eastAsia="仿宋_GB2312" w:cs="仿宋_GB2312"/>
              </w:rPr>
            </w:pPr>
          </w:p>
        </w:tc>
        <w:tc>
          <w:tcPr>
            <w:tcW w:w="936" w:type="pct"/>
            <w:vMerge w:val="continue"/>
            <w:vAlign w:val="center"/>
          </w:tcPr>
          <w:p>
            <w:pPr>
              <w:jc w:val="center"/>
              <w:rPr>
                <w:rFonts w:hint="eastAsia" w:ascii="仿宋_GB2312" w:hAnsi="仿宋_GB2312" w:eastAsia="仿宋_GB2312" w:cs="仿宋_GB2312"/>
              </w:rPr>
            </w:pPr>
          </w:p>
        </w:tc>
        <w:tc>
          <w:tcPr>
            <w:tcW w:w="522" w:type="pct"/>
            <w:vMerge w:val="continue"/>
            <w:vAlign w:val="center"/>
          </w:tcPr>
          <w:p>
            <w:pPr>
              <w:jc w:val="center"/>
              <w:rPr>
                <w:rFonts w:hint="eastAsia" w:ascii="仿宋_GB2312" w:hAnsi="仿宋_GB2312" w:eastAsia="仿宋_GB2312" w:cs="仿宋_GB2312"/>
              </w:rPr>
            </w:pPr>
          </w:p>
        </w:tc>
        <w:tc>
          <w:tcPr>
            <w:tcW w:w="500"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833" w:type="pct"/>
            <w:vAlign w:val="center"/>
          </w:tcPr>
          <w:p>
            <w:pPr>
              <w:rPr>
                <w:rFonts w:hint="eastAsia" w:ascii="仿宋_GB2312" w:hAnsi="仿宋_GB2312" w:eastAsia="仿宋_GB2312" w:cs="仿宋_GB2312"/>
              </w:rPr>
            </w:pPr>
            <w:r>
              <w:rPr>
                <w:rFonts w:hint="eastAsia" w:ascii="仿宋_GB2312" w:hAnsi="仿宋_GB2312" w:eastAsia="仿宋_GB2312" w:cs="仿宋_GB2312"/>
              </w:rPr>
              <w:t>工程合同价款或者招标项目估算价（编制标底的项目按标底计算）超过五百万元、二千万元以下的</w:t>
            </w:r>
          </w:p>
        </w:tc>
        <w:tc>
          <w:tcPr>
            <w:tcW w:w="779" w:type="pct"/>
            <w:vAlign w:val="center"/>
          </w:tcPr>
          <w:p>
            <w:pPr>
              <w:rPr>
                <w:rFonts w:hint="eastAsia" w:ascii="仿宋_GB2312" w:hAnsi="仿宋_GB2312" w:eastAsia="仿宋_GB2312" w:cs="仿宋_GB2312"/>
                <w:lang w:val="en"/>
              </w:rPr>
            </w:pPr>
            <w:r>
              <w:rPr>
                <w:rFonts w:hint="eastAsia" w:ascii="仿宋_GB2312" w:hAnsi="仿宋_GB2312" w:eastAsia="仿宋_GB2312" w:cs="仿宋_GB2312"/>
              </w:rPr>
              <w:t>没收收受的财物</w:t>
            </w:r>
            <w:r>
              <w:rPr>
                <w:rFonts w:ascii="仿宋_GB2312" w:hAnsi="仿宋_GB2312" w:eastAsia="仿宋_GB2312" w:cs="仿宋_GB2312"/>
                <w:lang w:val="en"/>
              </w:rPr>
              <w:t>,</w:t>
            </w:r>
          </w:p>
          <w:p>
            <w:pPr>
              <w:rPr>
                <w:rFonts w:hint="eastAsia" w:ascii="仿宋_GB2312" w:hAnsi="仿宋_GB2312" w:eastAsia="仿宋_GB2312" w:cs="仿宋_GB2312"/>
              </w:rPr>
            </w:pPr>
            <w:r>
              <w:rPr>
                <w:rFonts w:hint="eastAsia" w:ascii="仿宋_GB2312" w:hAnsi="仿宋_GB2312" w:eastAsia="仿宋_GB2312" w:cs="仿宋_GB2312"/>
              </w:rPr>
              <w:t>处二万元的罚款，并取消其评标资格，禁止参加任何招标工程的评标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3" w:type="pct"/>
            <w:vMerge w:val="continue"/>
            <w:vAlign w:val="center"/>
          </w:tcPr>
          <w:p>
            <w:pPr>
              <w:jc w:val="center"/>
              <w:rPr>
                <w:rFonts w:hint="eastAsia" w:ascii="仿宋_GB2312" w:hAnsi="仿宋_GB2312" w:eastAsia="仿宋_GB2312" w:cs="仿宋_GB2312"/>
              </w:rPr>
            </w:pPr>
          </w:p>
        </w:tc>
        <w:tc>
          <w:tcPr>
            <w:tcW w:w="429" w:type="pct"/>
            <w:vMerge w:val="continue"/>
            <w:vAlign w:val="center"/>
          </w:tcPr>
          <w:p>
            <w:pPr>
              <w:jc w:val="center"/>
              <w:rPr>
                <w:rFonts w:hint="eastAsia" w:ascii="仿宋_GB2312" w:hAnsi="仿宋_GB2312" w:eastAsia="仿宋_GB2312" w:cs="仿宋_GB2312"/>
              </w:rPr>
            </w:pPr>
          </w:p>
        </w:tc>
        <w:tc>
          <w:tcPr>
            <w:tcW w:w="668" w:type="pct"/>
            <w:vMerge w:val="continue"/>
            <w:vAlign w:val="center"/>
          </w:tcPr>
          <w:p>
            <w:pPr>
              <w:jc w:val="center"/>
              <w:rPr>
                <w:rFonts w:hint="eastAsia" w:ascii="仿宋_GB2312" w:hAnsi="仿宋_GB2312" w:eastAsia="仿宋_GB2312" w:cs="仿宋_GB2312"/>
              </w:rPr>
            </w:pPr>
          </w:p>
        </w:tc>
        <w:tc>
          <w:tcPr>
            <w:tcW w:w="936" w:type="pct"/>
            <w:vMerge w:val="continue"/>
            <w:vAlign w:val="center"/>
          </w:tcPr>
          <w:p>
            <w:pPr>
              <w:jc w:val="center"/>
              <w:rPr>
                <w:rFonts w:hint="eastAsia" w:ascii="仿宋_GB2312" w:hAnsi="仿宋_GB2312" w:eastAsia="仿宋_GB2312" w:cs="仿宋_GB2312"/>
              </w:rPr>
            </w:pPr>
          </w:p>
        </w:tc>
        <w:tc>
          <w:tcPr>
            <w:tcW w:w="522" w:type="pct"/>
            <w:vMerge w:val="continue"/>
            <w:vAlign w:val="center"/>
          </w:tcPr>
          <w:p>
            <w:pPr>
              <w:jc w:val="center"/>
              <w:rPr>
                <w:rFonts w:hint="eastAsia" w:ascii="仿宋_GB2312" w:hAnsi="仿宋_GB2312" w:eastAsia="仿宋_GB2312" w:cs="仿宋_GB2312"/>
              </w:rPr>
            </w:pPr>
          </w:p>
        </w:tc>
        <w:tc>
          <w:tcPr>
            <w:tcW w:w="500"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833" w:type="pct"/>
            <w:vAlign w:val="center"/>
          </w:tcPr>
          <w:p>
            <w:pPr>
              <w:rPr>
                <w:rFonts w:hint="eastAsia" w:ascii="仿宋_GB2312" w:hAnsi="仿宋_GB2312" w:eastAsia="仿宋_GB2312" w:cs="仿宋_GB2312"/>
              </w:rPr>
            </w:pPr>
            <w:r>
              <w:rPr>
                <w:rFonts w:hint="eastAsia" w:ascii="仿宋_GB2312" w:hAnsi="仿宋_GB2312" w:eastAsia="仿宋_GB2312" w:cs="仿宋_GB2312"/>
              </w:rPr>
              <w:t>工程合同价款或者招标项目估算价（编制标底的项目按标底计算）超过二千万元以上的</w:t>
            </w:r>
          </w:p>
        </w:tc>
        <w:tc>
          <w:tcPr>
            <w:tcW w:w="779" w:type="pct"/>
            <w:vAlign w:val="center"/>
          </w:tcPr>
          <w:p>
            <w:pPr>
              <w:rPr>
                <w:rFonts w:hint="eastAsia" w:ascii="仿宋_GB2312" w:hAnsi="仿宋_GB2312" w:eastAsia="仿宋_GB2312" w:cs="仿宋_GB2312"/>
                <w:lang w:val="en"/>
              </w:rPr>
            </w:pPr>
            <w:r>
              <w:rPr>
                <w:rFonts w:hint="eastAsia" w:ascii="仿宋_GB2312" w:hAnsi="仿宋_GB2312" w:eastAsia="仿宋_GB2312" w:cs="仿宋_GB2312"/>
              </w:rPr>
              <w:t>没收收受的财物</w:t>
            </w:r>
            <w:r>
              <w:rPr>
                <w:rFonts w:ascii="仿宋_GB2312" w:hAnsi="仿宋_GB2312" w:eastAsia="仿宋_GB2312" w:cs="仿宋_GB2312"/>
                <w:lang w:val="en"/>
              </w:rPr>
              <w:t>,</w:t>
            </w:r>
          </w:p>
          <w:p>
            <w:pPr>
              <w:rPr>
                <w:rFonts w:hint="eastAsia" w:ascii="仿宋_GB2312" w:hAnsi="仿宋_GB2312" w:eastAsia="仿宋_GB2312" w:cs="仿宋_GB2312"/>
              </w:rPr>
            </w:pPr>
            <w:r>
              <w:rPr>
                <w:rFonts w:hint="eastAsia" w:ascii="仿宋_GB2312" w:hAnsi="仿宋_GB2312" w:eastAsia="仿宋_GB2312" w:cs="仿宋_GB2312"/>
              </w:rPr>
              <w:t>处超过二万元、三万元以下的罚款，并取消其评标资格，禁止参加任何招标工程的评标</w:t>
            </w:r>
          </w:p>
        </w:tc>
      </w:tr>
    </w:tbl>
    <w:p>
      <w:pPr>
        <w:widowControl/>
        <w:jc w:val="left"/>
        <w:rPr>
          <w:bCs/>
          <w:sz w:val="32"/>
          <w:szCs w:val="32"/>
        </w:rPr>
      </w:pPr>
      <w:r>
        <w:rPr>
          <w:b/>
          <w:sz w:val="32"/>
          <w:szCs w:val="32"/>
        </w:rPr>
        <w:br w:type="page"/>
      </w:r>
      <w:r>
        <w:rPr>
          <w:rFonts w:hint="eastAsia"/>
          <w:bCs/>
          <w:sz w:val="32"/>
          <w:szCs w:val="32"/>
        </w:rPr>
        <w:t>《深圳经济特区建设工程施工安全条例》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0"/>
        <w:gridCol w:w="1853"/>
        <w:gridCol w:w="1423"/>
        <w:gridCol w:w="3051"/>
        <w:gridCol w:w="1253"/>
        <w:gridCol w:w="1253"/>
        <w:gridCol w:w="1877"/>
        <w:gridCol w:w="25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310"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653"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502"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1076"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442"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42"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662"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912"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10" w:type="pct"/>
            <w:vMerge w:val="restart"/>
            <w:vAlign w:val="center"/>
          </w:tcPr>
          <w:p>
            <w:pPr>
              <w:jc w:val="center"/>
              <w:rPr>
                <w:rFonts w:hint="eastAsia" w:ascii="仿宋_GB2312" w:hAnsi="仿宋_GB2312" w:eastAsia="仿宋_GB2312" w:cs="仿宋_GB2312"/>
                <w:lang w:val="en"/>
              </w:rPr>
            </w:pPr>
            <w:r>
              <w:rPr>
                <w:rFonts w:hint="eastAsia" w:ascii="仿宋_GB2312" w:hAnsi="仿宋_GB2312" w:eastAsia="仿宋_GB2312" w:cs="仿宋_GB2312"/>
                <w:lang w:val="en"/>
              </w:rPr>
              <w:t>107.1</w:t>
            </w:r>
          </w:p>
        </w:tc>
        <w:tc>
          <w:tcPr>
            <w:tcW w:w="653" w:type="pct"/>
            <w:vMerge w:val="restart"/>
            <w:vAlign w:val="center"/>
          </w:tcPr>
          <w:p>
            <w:pPr>
              <w:jc w:val="both"/>
              <w:rPr>
                <w:rFonts w:hint="eastAsia" w:ascii="仿宋_GB2312" w:hAnsi="仿宋_GB2312" w:eastAsia="仿宋_GB2312" w:cs="仿宋_GB2312"/>
              </w:rPr>
            </w:pPr>
            <w:r>
              <w:rPr>
                <w:rFonts w:hint="eastAsia" w:ascii="仿宋_GB2312" w:hAnsi="仿宋_GB2312" w:eastAsia="仿宋_GB2312" w:cs="仿宋_GB2312"/>
              </w:rPr>
              <w:t>建设单位在工程开工前，未对相邻建筑物、构筑物、地下管线、市政公用设施等进行安全防护的</w:t>
            </w:r>
          </w:p>
        </w:tc>
        <w:tc>
          <w:tcPr>
            <w:tcW w:w="502"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第十四条：“建设单位在工程开工前，应当对相邻建筑物、构筑物、地下管线、市政公用设施等进行安全防护。”</w:t>
            </w:r>
          </w:p>
        </w:tc>
        <w:tc>
          <w:tcPr>
            <w:tcW w:w="1076"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第四十七条：“建设单位违反本条例第十四条规定，未采取有效防护措施的，主管部门应当责令其限期整改。逾期未整改或者整改不合格的，可责令该工程项目停工直至整改合格，并处以三万元以上五万元以下的罚款；造成相邻建筑物和设施损毁的，应当赔偿损失。”</w:t>
            </w:r>
          </w:p>
        </w:tc>
        <w:tc>
          <w:tcPr>
            <w:tcW w:w="442"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rPr>
              <w:t>罚款</w:t>
            </w:r>
          </w:p>
        </w:tc>
        <w:tc>
          <w:tcPr>
            <w:tcW w:w="442"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662"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未造成危害后果或造成轻微危害后果的</w:t>
            </w:r>
          </w:p>
        </w:tc>
        <w:tc>
          <w:tcPr>
            <w:tcW w:w="912"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责令其限期整改；逾期未整改或者整改不合格的，可责令工程项目停工直至整改合格，并处以三万元以上、低于四万元的罚款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10" w:type="pct"/>
            <w:vMerge w:val="continue"/>
            <w:vAlign w:val="center"/>
          </w:tcPr>
          <w:p>
            <w:pPr>
              <w:jc w:val="center"/>
              <w:rPr>
                <w:rFonts w:hint="eastAsia" w:ascii="仿宋_GB2312" w:hAnsi="仿宋_GB2312" w:eastAsia="仿宋_GB2312" w:cs="仿宋_GB2312"/>
              </w:rPr>
            </w:pPr>
          </w:p>
        </w:tc>
        <w:tc>
          <w:tcPr>
            <w:tcW w:w="653" w:type="pct"/>
            <w:vMerge w:val="continue"/>
            <w:vAlign w:val="center"/>
          </w:tcPr>
          <w:p>
            <w:pPr>
              <w:jc w:val="center"/>
              <w:rPr>
                <w:rFonts w:hint="eastAsia" w:ascii="仿宋_GB2312" w:hAnsi="仿宋_GB2312" w:eastAsia="仿宋_GB2312" w:cs="仿宋_GB2312"/>
              </w:rPr>
            </w:pPr>
          </w:p>
        </w:tc>
        <w:tc>
          <w:tcPr>
            <w:tcW w:w="502" w:type="pct"/>
            <w:vMerge w:val="continue"/>
            <w:vAlign w:val="center"/>
          </w:tcPr>
          <w:p>
            <w:pPr>
              <w:jc w:val="center"/>
              <w:rPr>
                <w:rFonts w:hint="eastAsia" w:ascii="仿宋_GB2312" w:hAnsi="仿宋_GB2312" w:eastAsia="仿宋_GB2312" w:cs="仿宋_GB2312"/>
              </w:rPr>
            </w:pPr>
          </w:p>
        </w:tc>
        <w:tc>
          <w:tcPr>
            <w:tcW w:w="1076" w:type="pct"/>
            <w:vMerge w:val="continue"/>
            <w:vAlign w:val="center"/>
          </w:tcPr>
          <w:p>
            <w:pPr>
              <w:jc w:val="center"/>
              <w:rPr>
                <w:rFonts w:hint="eastAsia" w:ascii="仿宋_GB2312" w:hAnsi="仿宋_GB2312" w:eastAsia="仿宋_GB2312" w:cs="仿宋_GB2312"/>
              </w:rPr>
            </w:pPr>
          </w:p>
        </w:tc>
        <w:tc>
          <w:tcPr>
            <w:tcW w:w="442" w:type="pct"/>
            <w:vMerge w:val="continue"/>
            <w:vAlign w:val="center"/>
          </w:tcPr>
          <w:p>
            <w:pPr>
              <w:jc w:val="center"/>
              <w:rPr>
                <w:rFonts w:hint="eastAsia" w:ascii="仿宋_GB2312" w:hAnsi="仿宋_GB2312" w:eastAsia="仿宋_GB2312" w:cs="仿宋_GB2312"/>
              </w:rPr>
            </w:pPr>
          </w:p>
        </w:tc>
        <w:tc>
          <w:tcPr>
            <w:tcW w:w="442"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662"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造成一般危害后果的</w:t>
            </w:r>
          </w:p>
        </w:tc>
        <w:tc>
          <w:tcPr>
            <w:tcW w:w="912"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责令其限期整改；逾期未整改或者整改不合格的，可责令工程项目停工直至整改合格，并处以四万元的罚款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10" w:type="pct"/>
            <w:vMerge w:val="continue"/>
            <w:vAlign w:val="center"/>
          </w:tcPr>
          <w:p>
            <w:pPr>
              <w:jc w:val="center"/>
              <w:rPr>
                <w:rFonts w:hint="eastAsia" w:ascii="仿宋_GB2312" w:hAnsi="仿宋_GB2312" w:eastAsia="仿宋_GB2312" w:cs="仿宋_GB2312"/>
              </w:rPr>
            </w:pPr>
          </w:p>
        </w:tc>
        <w:tc>
          <w:tcPr>
            <w:tcW w:w="653" w:type="pct"/>
            <w:vMerge w:val="continue"/>
            <w:vAlign w:val="center"/>
          </w:tcPr>
          <w:p>
            <w:pPr>
              <w:jc w:val="center"/>
              <w:rPr>
                <w:rFonts w:hint="eastAsia" w:ascii="仿宋_GB2312" w:hAnsi="仿宋_GB2312" w:eastAsia="仿宋_GB2312" w:cs="仿宋_GB2312"/>
              </w:rPr>
            </w:pPr>
          </w:p>
        </w:tc>
        <w:tc>
          <w:tcPr>
            <w:tcW w:w="502" w:type="pct"/>
            <w:vMerge w:val="continue"/>
            <w:vAlign w:val="center"/>
          </w:tcPr>
          <w:p>
            <w:pPr>
              <w:jc w:val="center"/>
              <w:rPr>
                <w:rFonts w:hint="eastAsia" w:ascii="仿宋_GB2312" w:hAnsi="仿宋_GB2312" w:eastAsia="仿宋_GB2312" w:cs="仿宋_GB2312"/>
              </w:rPr>
            </w:pPr>
          </w:p>
        </w:tc>
        <w:tc>
          <w:tcPr>
            <w:tcW w:w="1076" w:type="pct"/>
            <w:vMerge w:val="continue"/>
            <w:vAlign w:val="center"/>
          </w:tcPr>
          <w:p>
            <w:pPr>
              <w:jc w:val="center"/>
              <w:rPr>
                <w:rFonts w:hint="eastAsia" w:ascii="仿宋_GB2312" w:hAnsi="仿宋_GB2312" w:eastAsia="仿宋_GB2312" w:cs="仿宋_GB2312"/>
              </w:rPr>
            </w:pPr>
          </w:p>
        </w:tc>
        <w:tc>
          <w:tcPr>
            <w:tcW w:w="442" w:type="pct"/>
            <w:vMerge w:val="continue"/>
            <w:vAlign w:val="center"/>
          </w:tcPr>
          <w:p>
            <w:pPr>
              <w:jc w:val="center"/>
              <w:rPr>
                <w:rFonts w:hint="eastAsia" w:ascii="仿宋_GB2312" w:hAnsi="仿宋_GB2312" w:eastAsia="仿宋_GB2312" w:cs="仿宋_GB2312"/>
              </w:rPr>
            </w:pPr>
          </w:p>
        </w:tc>
        <w:tc>
          <w:tcPr>
            <w:tcW w:w="442"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662"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szCs w:val="24"/>
              </w:rPr>
              <w:t>造成严重危害后果或</w:t>
            </w:r>
            <w:r>
              <w:rPr>
                <w:rFonts w:hint="eastAsia" w:ascii="仿宋_GB2312" w:hAnsi="仿宋_GB2312" w:eastAsia="仿宋_GB2312" w:cs="仿宋_GB2312"/>
              </w:rPr>
              <w:t>造成安全事故的</w:t>
            </w:r>
          </w:p>
        </w:tc>
        <w:tc>
          <w:tcPr>
            <w:tcW w:w="912"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责令其限期整改；逾期未整改或者整改不合格的，可责令工程项目停工直至整改合格，并处以超过四万元、五万元以下的罚款</w:t>
            </w:r>
          </w:p>
        </w:tc>
      </w:tr>
    </w:tbl>
    <w:p>
      <w:pPr>
        <w:widowControl/>
        <w:jc w:val="left"/>
        <w:rPr>
          <w:bCs/>
          <w:sz w:val="32"/>
          <w:szCs w:val="32"/>
        </w:rPr>
      </w:pPr>
      <w:r>
        <w:rPr>
          <w:b/>
          <w:sz w:val="32"/>
          <w:szCs w:val="32"/>
        </w:rPr>
        <w:br w:type="page"/>
      </w:r>
      <w:r>
        <w:rPr>
          <w:rFonts w:hint="eastAsia"/>
          <w:bCs/>
          <w:sz w:val="32"/>
          <w:szCs w:val="32"/>
        </w:rPr>
        <w:t>《深圳经济特区建设工程施工安全条例》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4"/>
        <w:gridCol w:w="1375"/>
        <w:gridCol w:w="1519"/>
        <w:gridCol w:w="2679"/>
        <w:gridCol w:w="1381"/>
        <w:gridCol w:w="1296"/>
        <w:gridCol w:w="2424"/>
        <w:gridCol w:w="26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312"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485"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536"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945"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48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5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855"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924"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12" w:type="pct"/>
            <w:vMerge w:val="restart"/>
            <w:vAlign w:val="center"/>
          </w:tcPr>
          <w:p>
            <w:pPr>
              <w:jc w:val="center"/>
              <w:rPr>
                <w:rFonts w:hint="eastAsia" w:ascii="仿宋_GB2312" w:hAnsi="仿宋_GB2312" w:eastAsia="仿宋_GB2312" w:cs="仿宋_GB2312"/>
                <w:lang w:val="en"/>
              </w:rPr>
            </w:pPr>
            <w:r>
              <w:rPr>
                <w:rFonts w:hint="eastAsia" w:ascii="仿宋_GB2312" w:hAnsi="仿宋_GB2312" w:eastAsia="仿宋_GB2312" w:cs="仿宋_GB2312"/>
                <w:lang w:val="en"/>
              </w:rPr>
              <w:t>107.2</w:t>
            </w:r>
          </w:p>
        </w:tc>
        <w:tc>
          <w:tcPr>
            <w:tcW w:w="485"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设计单位设计文件不符合施工作业安全要求而造成伤亡事故的</w:t>
            </w:r>
          </w:p>
        </w:tc>
        <w:tc>
          <w:tcPr>
            <w:tcW w:w="536"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第十五条第一款：“设计单位的设计文件应当符合施工作业人员安全、健康的要求。”</w:t>
            </w:r>
          </w:p>
        </w:tc>
        <w:tc>
          <w:tcPr>
            <w:tcW w:w="945"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第四十八条：“设计单位违反本条例第十五条第一款规定，设计文件不符合施工作业安全要求而造成伤亡事故的，主管部门可处以设计费百分之五十至一倍的罚款；情节严重的，可核减其设计范围、降低设计资质等级直至吊销设计资格证书。”</w:t>
            </w:r>
          </w:p>
        </w:tc>
        <w:tc>
          <w:tcPr>
            <w:tcW w:w="487"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罚款；限制开展生产经营活动；降低资质等级；吊销许可证件</w:t>
            </w:r>
          </w:p>
        </w:tc>
        <w:tc>
          <w:tcPr>
            <w:tcW w:w="457"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855"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造成一般事故的</w:t>
            </w:r>
          </w:p>
        </w:tc>
        <w:tc>
          <w:tcPr>
            <w:tcW w:w="924"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处以设计费百分之五十以上、低于百分之七十五的罚款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12" w:type="pct"/>
            <w:vMerge w:val="continue"/>
            <w:vAlign w:val="center"/>
          </w:tcPr>
          <w:p>
            <w:pPr>
              <w:jc w:val="center"/>
              <w:rPr>
                <w:rFonts w:hint="eastAsia" w:ascii="仿宋_GB2312" w:hAnsi="仿宋_GB2312" w:eastAsia="仿宋_GB2312" w:cs="仿宋_GB2312"/>
              </w:rPr>
            </w:pPr>
          </w:p>
        </w:tc>
        <w:tc>
          <w:tcPr>
            <w:tcW w:w="485" w:type="pct"/>
            <w:vMerge w:val="continue"/>
            <w:vAlign w:val="center"/>
          </w:tcPr>
          <w:p>
            <w:pPr>
              <w:jc w:val="center"/>
              <w:rPr>
                <w:rFonts w:hint="eastAsia" w:ascii="仿宋_GB2312" w:hAnsi="仿宋_GB2312" w:eastAsia="仿宋_GB2312" w:cs="仿宋_GB2312"/>
              </w:rPr>
            </w:pPr>
          </w:p>
        </w:tc>
        <w:tc>
          <w:tcPr>
            <w:tcW w:w="536" w:type="pct"/>
            <w:vMerge w:val="continue"/>
            <w:vAlign w:val="center"/>
          </w:tcPr>
          <w:p>
            <w:pPr>
              <w:jc w:val="center"/>
              <w:rPr>
                <w:rFonts w:hint="eastAsia" w:ascii="仿宋_GB2312" w:hAnsi="仿宋_GB2312" w:eastAsia="仿宋_GB2312" w:cs="仿宋_GB2312"/>
              </w:rPr>
            </w:pPr>
          </w:p>
        </w:tc>
        <w:tc>
          <w:tcPr>
            <w:tcW w:w="945" w:type="pct"/>
            <w:vMerge w:val="continue"/>
            <w:vAlign w:val="center"/>
          </w:tcPr>
          <w:p>
            <w:pPr>
              <w:jc w:val="center"/>
              <w:rPr>
                <w:rFonts w:hint="eastAsia" w:ascii="仿宋_GB2312" w:hAnsi="仿宋_GB2312" w:eastAsia="仿宋_GB2312" w:cs="仿宋_GB2312"/>
              </w:rPr>
            </w:pPr>
          </w:p>
        </w:tc>
        <w:tc>
          <w:tcPr>
            <w:tcW w:w="487" w:type="pct"/>
            <w:vMerge w:val="continue"/>
            <w:vAlign w:val="center"/>
          </w:tcPr>
          <w:p>
            <w:pPr>
              <w:jc w:val="center"/>
              <w:rPr>
                <w:rFonts w:hint="eastAsia" w:ascii="仿宋_GB2312" w:hAnsi="仿宋_GB2312" w:eastAsia="仿宋_GB2312" w:cs="仿宋_GB2312"/>
              </w:rPr>
            </w:pPr>
          </w:p>
        </w:tc>
        <w:tc>
          <w:tcPr>
            <w:tcW w:w="457"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855"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造成较大事故的</w:t>
            </w:r>
          </w:p>
        </w:tc>
        <w:tc>
          <w:tcPr>
            <w:tcW w:w="924"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处以设计费百分之七十五的罚款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12" w:type="pct"/>
            <w:vMerge w:val="continue"/>
            <w:vAlign w:val="center"/>
          </w:tcPr>
          <w:p>
            <w:pPr>
              <w:jc w:val="center"/>
              <w:rPr>
                <w:rFonts w:hint="eastAsia" w:ascii="仿宋_GB2312" w:hAnsi="仿宋_GB2312" w:eastAsia="仿宋_GB2312" w:cs="仿宋_GB2312"/>
              </w:rPr>
            </w:pPr>
          </w:p>
        </w:tc>
        <w:tc>
          <w:tcPr>
            <w:tcW w:w="485" w:type="pct"/>
            <w:vMerge w:val="continue"/>
            <w:vAlign w:val="center"/>
          </w:tcPr>
          <w:p>
            <w:pPr>
              <w:jc w:val="center"/>
              <w:rPr>
                <w:rFonts w:hint="eastAsia" w:ascii="仿宋_GB2312" w:hAnsi="仿宋_GB2312" w:eastAsia="仿宋_GB2312" w:cs="仿宋_GB2312"/>
              </w:rPr>
            </w:pPr>
          </w:p>
        </w:tc>
        <w:tc>
          <w:tcPr>
            <w:tcW w:w="536" w:type="pct"/>
            <w:vMerge w:val="continue"/>
            <w:vAlign w:val="center"/>
          </w:tcPr>
          <w:p>
            <w:pPr>
              <w:jc w:val="center"/>
              <w:rPr>
                <w:rFonts w:hint="eastAsia" w:ascii="仿宋_GB2312" w:hAnsi="仿宋_GB2312" w:eastAsia="仿宋_GB2312" w:cs="仿宋_GB2312"/>
              </w:rPr>
            </w:pPr>
          </w:p>
        </w:tc>
        <w:tc>
          <w:tcPr>
            <w:tcW w:w="945" w:type="pct"/>
            <w:vMerge w:val="continue"/>
            <w:vAlign w:val="center"/>
          </w:tcPr>
          <w:p>
            <w:pPr>
              <w:jc w:val="center"/>
              <w:rPr>
                <w:rFonts w:hint="eastAsia" w:ascii="仿宋_GB2312" w:hAnsi="仿宋_GB2312" w:eastAsia="仿宋_GB2312" w:cs="仿宋_GB2312"/>
              </w:rPr>
            </w:pPr>
          </w:p>
        </w:tc>
        <w:tc>
          <w:tcPr>
            <w:tcW w:w="487" w:type="pct"/>
            <w:vMerge w:val="continue"/>
            <w:vAlign w:val="center"/>
          </w:tcPr>
          <w:p>
            <w:pPr>
              <w:jc w:val="center"/>
              <w:rPr>
                <w:rFonts w:hint="eastAsia" w:ascii="仿宋_GB2312" w:hAnsi="仿宋_GB2312" w:eastAsia="仿宋_GB2312" w:cs="仿宋_GB2312"/>
              </w:rPr>
            </w:pPr>
          </w:p>
        </w:tc>
        <w:tc>
          <w:tcPr>
            <w:tcW w:w="457"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rPr>
              <w:t>从重</w:t>
            </w:r>
          </w:p>
        </w:tc>
        <w:tc>
          <w:tcPr>
            <w:tcW w:w="855"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造成重大及以上事故的</w:t>
            </w:r>
          </w:p>
        </w:tc>
        <w:tc>
          <w:tcPr>
            <w:tcW w:w="924"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处以设计费超过百分之七十五、一倍以下的罚款，并核减其设计范围、降低设计资质等级直至吊销设计资格证书</w:t>
            </w:r>
          </w:p>
        </w:tc>
      </w:tr>
    </w:tbl>
    <w:p>
      <w:pPr>
        <w:widowControl/>
        <w:jc w:val="left"/>
        <w:rPr>
          <w:bCs/>
          <w:sz w:val="32"/>
          <w:szCs w:val="32"/>
        </w:rPr>
      </w:pPr>
      <w:r>
        <w:rPr>
          <w:b/>
          <w:sz w:val="32"/>
          <w:szCs w:val="32"/>
        </w:rPr>
        <w:br w:type="page"/>
      </w:r>
      <w:r>
        <w:rPr>
          <w:rFonts w:hint="eastAsia"/>
          <w:bCs/>
          <w:sz w:val="32"/>
          <w:szCs w:val="32"/>
        </w:rPr>
        <w:t>《深圳经济特区建设工程施工安全条例》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0"/>
        <w:gridCol w:w="1469"/>
        <w:gridCol w:w="1534"/>
        <w:gridCol w:w="2642"/>
        <w:gridCol w:w="1415"/>
        <w:gridCol w:w="1462"/>
        <w:gridCol w:w="2042"/>
        <w:gridCol w:w="27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310"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518"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541"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932"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499"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516"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720"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963"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10" w:type="pct"/>
            <w:vMerge w:val="restart"/>
            <w:vAlign w:val="center"/>
          </w:tcPr>
          <w:p>
            <w:pPr>
              <w:jc w:val="center"/>
              <w:rPr>
                <w:rFonts w:hint="eastAsia" w:ascii="仿宋_GB2312" w:hAnsi="仿宋_GB2312" w:eastAsia="仿宋_GB2312" w:cs="仿宋_GB2312"/>
                <w:lang w:val="en"/>
              </w:rPr>
            </w:pPr>
            <w:r>
              <w:rPr>
                <w:rFonts w:hint="eastAsia" w:ascii="仿宋_GB2312" w:hAnsi="仿宋_GB2312" w:eastAsia="仿宋_GB2312" w:cs="仿宋_GB2312"/>
                <w:lang w:val="en"/>
              </w:rPr>
              <w:t>107.3</w:t>
            </w:r>
          </w:p>
        </w:tc>
        <w:tc>
          <w:tcPr>
            <w:tcW w:w="518"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施工企业开工前不申请安全前提条件审查或者审查不合格而擅自开工的</w:t>
            </w:r>
          </w:p>
        </w:tc>
        <w:tc>
          <w:tcPr>
            <w:tcW w:w="541"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第二十六条：“施工企业应当在工程开工前向安监机构申请安全施工前提条件审查，经审查合格后方可开工。”</w:t>
            </w:r>
          </w:p>
        </w:tc>
        <w:tc>
          <w:tcPr>
            <w:tcW w:w="932"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第四十九条：“施工企业违反本条例第二十六条规定，开工前不申请安全前提条件审查或者审查不合格而擅自开工的，主管部门应当责令该工程项目停工，并处以三万元以上五万元以下的罚款。”</w:t>
            </w:r>
          </w:p>
        </w:tc>
        <w:tc>
          <w:tcPr>
            <w:tcW w:w="499"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rPr>
              <w:t>罚款</w:t>
            </w:r>
          </w:p>
        </w:tc>
        <w:tc>
          <w:tcPr>
            <w:tcW w:w="516"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720"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未造成危害后果或造成轻微危害后果的</w:t>
            </w:r>
          </w:p>
        </w:tc>
        <w:tc>
          <w:tcPr>
            <w:tcW w:w="963"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责令工程项目停工，并处以三万元以上、低于四万元的罚款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10" w:type="pct"/>
            <w:vMerge w:val="continue"/>
            <w:vAlign w:val="center"/>
          </w:tcPr>
          <w:p>
            <w:pPr>
              <w:jc w:val="center"/>
              <w:rPr>
                <w:rFonts w:hint="eastAsia" w:ascii="仿宋_GB2312" w:hAnsi="仿宋_GB2312" w:eastAsia="仿宋_GB2312" w:cs="仿宋_GB2312"/>
              </w:rPr>
            </w:pPr>
          </w:p>
        </w:tc>
        <w:tc>
          <w:tcPr>
            <w:tcW w:w="518" w:type="pct"/>
            <w:vMerge w:val="continue"/>
            <w:vAlign w:val="center"/>
          </w:tcPr>
          <w:p>
            <w:pPr>
              <w:jc w:val="center"/>
              <w:rPr>
                <w:rFonts w:hint="eastAsia" w:ascii="仿宋_GB2312" w:hAnsi="仿宋_GB2312" w:eastAsia="仿宋_GB2312" w:cs="仿宋_GB2312"/>
              </w:rPr>
            </w:pPr>
          </w:p>
        </w:tc>
        <w:tc>
          <w:tcPr>
            <w:tcW w:w="541" w:type="pct"/>
            <w:vMerge w:val="continue"/>
            <w:vAlign w:val="center"/>
          </w:tcPr>
          <w:p>
            <w:pPr>
              <w:jc w:val="center"/>
              <w:rPr>
                <w:rFonts w:hint="eastAsia" w:ascii="仿宋_GB2312" w:hAnsi="仿宋_GB2312" w:eastAsia="仿宋_GB2312" w:cs="仿宋_GB2312"/>
              </w:rPr>
            </w:pPr>
          </w:p>
        </w:tc>
        <w:tc>
          <w:tcPr>
            <w:tcW w:w="932" w:type="pct"/>
            <w:vMerge w:val="continue"/>
            <w:vAlign w:val="center"/>
          </w:tcPr>
          <w:p>
            <w:pPr>
              <w:jc w:val="center"/>
              <w:rPr>
                <w:rFonts w:hint="eastAsia" w:ascii="仿宋_GB2312" w:hAnsi="仿宋_GB2312" w:eastAsia="仿宋_GB2312" w:cs="仿宋_GB2312"/>
              </w:rPr>
            </w:pPr>
          </w:p>
        </w:tc>
        <w:tc>
          <w:tcPr>
            <w:tcW w:w="499" w:type="pct"/>
            <w:vMerge w:val="continue"/>
            <w:vAlign w:val="center"/>
          </w:tcPr>
          <w:p>
            <w:pPr>
              <w:jc w:val="center"/>
              <w:rPr>
                <w:rFonts w:hint="eastAsia" w:ascii="仿宋_GB2312" w:hAnsi="仿宋_GB2312" w:eastAsia="仿宋_GB2312" w:cs="仿宋_GB2312"/>
              </w:rPr>
            </w:pPr>
          </w:p>
        </w:tc>
        <w:tc>
          <w:tcPr>
            <w:tcW w:w="516"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720"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造成一般危害后果的</w:t>
            </w:r>
          </w:p>
        </w:tc>
        <w:tc>
          <w:tcPr>
            <w:tcW w:w="963"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责令工程项目停工，并处以四万元的罚款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10" w:type="pct"/>
            <w:vMerge w:val="continue"/>
            <w:vAlign w:val="center"/>
          </w:tcPr>
          <w:p>
            <w:pPr>
              <w:jc w:val="center"/>
              <w:rPr>
                <w:rFonts w:hint="eastAsia" w:ascii="仿宋_GB2312" w:hAnsi="仿宋_GB2312" w:eastAsia="仿宋_GB2312" w:cs="仿宋_GB2312"/>
              </w:rPr>
            </w:pPr>
          </w:p>
        </w:tc>
        <w:tc>
          <w:tcPr>
            <w:tcW w:w="518" w:type="pct"/>
            <w:vMerge w:val="continue"/>
            <w:vAlign w:val="center"/>
          </w:tcPr>
          <w:p>
            <w:pPr>
              <w:jc w:val="center"/>
              <w:rPr>
                <w:rFonts w:hint="eastAsia" w:ascii="仿宋_GB2312" w:hAnsi="仿宋_GB2312" w:eastAsia="仿宋_GB2312" w:cs="仿宋_GB2312"/>
              </w:rPr>
            </w:pPr>
          </w:p>
        </w:tc>
        <w:tc>
          <w:tcPr>
            <w:tcW w:w="541" w:type="pct"/>
            <w:vMerge w:val="continue"/>
            <w:vAlign w:val="center"/>
          </w:tcPr>
          <w:p>
            <w:pPr>
              <w:jc w:val="center"/>
              <w:rPr>
                <w:rFonts w:hint="eastAsia" w:ascii="仿宋_GB2312" w:hAnsi="仿宋_GB2312" w:eastAsia="仿宋_GB2312" w:cs="仿宋_GB2312"/>
              </w:rPr>
            </w:pPr>
          </w:p>
        </w:tc>
        <w:tc>
          <w:tcPr>
            <w:tcW w:w="932" w:type="pct"/>
            <w:vMerge w:val="continue"/>
            <w:vAlign w:val="center"/>
          </w:tcPr>
          <w:p>
            <w:pPr>
              <w:jc w:val="center"/>
              <w:rPr>
                <w:rFonts w:hint="eastAsia" w:ascii="仿宋_GB2312" w:hAnsi="仿宋_GB2312" w:eastAsia="仿宋_GB2312" w:cs="仿宋_GB2312"/>
              </w:rPr>
            </w:pPr>
          </w:p>
        </w:tc>
        <w:tc>
          <w:tcPr>
            <w:tcW w:w="499" w:type="pct"/>
            <w:vMerge w:val="continue"/>
            <w:vAlign w:val="center"/>
          </w:tcPr>
          <w:p>
            <w:pPr>
              <w:jc w:val="center"/>
              <w:rPr>
                <w:rFonts w:hint="eastAsia" w:ascii="仿宋_GB2312" w:hAnsi="仿宋_GB2312" w:eastAsia="仿宋_GB2312" w:cs="仿宋_GB2312"/>
              </w:rPr>
            </w:pPr>
          </w:p>
        </w:tc>
        <w:tc>
          <w:tcPr>
            <w:tcW w:w="516"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720"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szCs w:val="24"/>
              </w:rPr>
              <w:t>造成严重危害后果或</w:t>
            </w:r>
            <w:r>
              <w:rPr>
                <w:rFonts w:hint="eastAsia" w:ascii="仿宋_GB2312" w:hAnsi="仿宋_GB2312" w:eastAsia="仿宋_GB2312" w:cs="仿宋_GB2312"/>
              </w:rPr>
              <w:t>造成安全事故的</w:t>
            </w:r>
          </w:p>
        </w:tc>
        <w:tc>
          <w:tcPr>
            <w:tcW w:w="963"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责令工程项目停工，并处以超过四万元、五万元以下的罚款</w:t>
            </w:r>
          </w:p>
        </w:tc>
      </w:tr>
    </w:tbl>
    <w:p>
      <w:pPr>
        <w:widowControl/>
        <w:jc w:val="left"/>
        <w:rPr>
          <w:bCs/>
          <w:sz w:val="32"/>
          <w:szCs w:val="32"/>
        </w:rPr>
      </w:pPr>
      <w:r>
        <w:rPr>
          <w:b/>
          <w:sz w:val="32"/>
          <w:szCs w:val="32"/>
        </w:rPr>
        <w:br w:type="page"/>
      </w:r>
      <w:r>
        <w:rPr>
          <w:rFonts w:hint="eastAsia"/>
          <w:bCs/>
          <w:sz w:val="32"/>
          <w:szCs w:val="32"/>
        </w:rPr>
        <w:t>《深圳经济特区建设工程施工安全条例》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1"/>
        <w:gridCol w:w="1306"/>
        <w:gridCol w:w="2013"/>
        <w:gridCol w:w="2826"/>
        <w:gridCol w:w="1596"/>
        <w:gridCol w:w="1256"/>
        <w:gridCol w:w="1880"/>
        <w:gridCol w:w="24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311"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461"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710"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99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563"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43"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663"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853"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11" w:type="pct"/>
            <w:vMerge w:val="restart"/>
            <w:vAlign w:val="center"/>
          </w:tcPr>
          <w:p>
            <w:pPr>
              <w:jc w:val="center"/>
              <w:rPr>
                <w:rFonts w:hint="eastAsia" w:ascii="仿宋_GB2312" w:hAnsi="仿宋_GB2312" w:eastAsia="仿宋_GB2312" w:cs="仿宋_GB2312"/>
                <w:lang w:val="en"/>
              </w:rPr>
            </w:pPr>
            <w:r>
              <w:rPr>
                <w:rFonts w:hint="eastAsia" w:ascii="仿宋_GB2312" w:hAnsi="仿宋_GB2312" w:eastAsia="仿宋_GB2312" w:cs="仿宋_GB2312"/>
                <w:lang w:val="en"/>
              </w:rPr>
              <w:t>107.4</w:t>
            </w:r>
          </w:p>
        </w:tc>
        <w:tc>
          <w:tcPr>
            <w:tcW w:w="461"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施工企业违章施工或者施工安全防护不符合标准的</w:t>
            </w:r>
          </w:p>
        </w:tc>
        <w:tc>
          <w:tcPr>
            <w:tcW w:w="710"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第二十七条：“施工企业应当根据不同施工阶段的施工防护要求，采取相应的施工安全防护措施。现场施工安全防护措施应当符合国家劳动安全、卫生标准。”</w:t>
            </w:r>
          </w:p>
        </w:tc>
        <w:tc>
          <w:tcPr>
            <w:tcW w:w="997"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五十条：“施工企业违反本条例第二十七条规定，违章施工或者施工安全防护不符合标准的，主管部门应当责令其限期整改；逾期未整改或者整改不合格的，可责令该工程项目停工，并处以三万元以上五万元以下的罚款。”</w:t>
            </w:r>
          </w:p>
        </w:tc>
        <w:tc>
          <w:tcPr>
            <w:tcW w:w="563"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rPr>
              <w:t>罚款</w:t>
            </w:r>
          </w:p>
        </w:tc>
        <w:tc>
          <w:tcPr>
            <w:tcW w:w="443"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663"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未造成危害后果或造成轻微危害后果的</w:t>
            </w:r>
          </w:p>
        </w:tc>
        <w:tc>
          <w:tcPr>
            <w:tcW w:w="853"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责令限期整改；逾期未整改或者整改不合格的，可责令该工程项目停工，并处以三万元以上、低于四万元以下的罚款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11" w:type="pct"/>
            <w:vMerge w:val="continue"/>
            <w:vAlign w:val="center"/>
          </w:tcPr>
          <w:p>
            <w:pPr>
              <w:jc w:val="center"/>
              <w:rPr>
                <w:rFonts w:hint="eastAsia" w:ascii="仿宋_GB2312" w:hAnsi="仿宋_GB2312" w:eastAsia="仿宋_GB2312" w:cs="仿宋_GB2312"/>
              </w:rPr>
            </w:pPr>
          </w:p>
        </w:tc>
        <w:tc>
          <w:tcPr>
            <w:tcW w:w="461" w:type="pct"/>
            <w:vMerge w:val="continue"/>
            <w:vAlign w:val="center"/>
          </w:tcPr>
          <w:p>
            <w:pPr>
              <w:jc w:val="center"/>
              <w:rPr>
                <w:rFonts w:hint="eastAsia" w:ascii="仿宋_GB2312" w:hAnsi="仿宋_GB2312" w:eastAsia="仿宋_GB2312" w:cs="仿宋_GB2312"/>
              </w:rPr>
            </w:pPr>
          </w:p>
        </w:tc>
        <w:tc>
          <w:tcPr>
            <w:tcW w:w="710" w:type="pct"/>
            <w:vMerge w:val="continue"/>
            <w:vAlign w:val="center"/>
          </w:tcPr>
          <w:p>
            <w:pPr>
              <w:jc w:val="center"/>
              <w:rPr>
                <w:rFonts w:hint="eastAsia" w:ascii="仿宋_GB2312" w:hAnsi="仿宋_GB2312" w:eastAsia="仿宋_GB2312" w:cs="仿宋_GB2312"/>
              </w:rPr>
            </w:pPr>
          </w:p>
        </w:tc>
        <w:tc>
          <w:tcPr>
            <w:tcW w:w="997" w:type="pct"/>
            <w:vMerge w:val="continue"/>
            <w:vAlign w:val="center"/>
          </w:tcPr>
          <w:p>
            <w:pPr>
              <w:jc w:val="center"/>
              <w:rPr>
                <w:rFonts w:hint="eastAsia" w:ascii="仿宋_GB2312" w:hAnsi="仿宋_GB2312" w:eastAsia="仿宋_GB2312" w:cs="仿宋_GB2312"/>
              </w:rPr>
            </w:pPr>
          </w:p>
        </w:tc>
        <w:tc>
          <w:tcPr>
            <w:tcW w:w="563" w:type="pct"/>
            <w:vMerge w:val="continue"/>
            <w:vAlign w:val="center"/>
          </w:tcPr>
          <w:p>
            <w:pPr>
              <w:jc w:val="center"/>
              <w:rPr>
                <w:rFonts w:hint="eastAsia" w:ascii="仿宋_GB2312" w:hAnsi="仿宋_GB2312" w:eastAsia="仿宋_GB2312" w:cs="仿宋_GB2312"/>
              </w:rPr>
            </w:pPr>
          </w:p>
        </w:tc>
        <w:tc>
          <w:tcPr>
            <w:tcW w:w="443"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663"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造成一般危害后果的</w:t>
            </w:r>
          </w:p>
        </w:tc>
        <w:tc>
          <w:tcPr>
            <w:tcW w:w="853"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责令限期整改；逾期未整改或者整改不合格的，可责令该工程项目停工，并处以四万元的罚款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11" w:type="pct"/>
            <w:vMerge w:val="continue"/>
            <w:vAlign w:val="center"/>
          </w:tcPr>
          <w:p>
            <w:pPr>
              <w:jc w:val="center"/>
              <w:rPr>
                <w:rFonts w:hint="eastAsia" w:ascii="仿宋_GB2312" w:hAnsi="仿宋_GB2312" w:eastAsia="仿宋_GB2312" w:cs="仿宋_GB2312"/>
              </w:rPr>
            </w:pPr>
          </w:p>
        </w:tc>
        <w:tc>
          <w:tcPr>
            <w:tcW w:w="461" w:type="pct"/>
            <w:vMerge w:val="continue"/>
            <w:vAlign w:val="center"/>
          </w:tcPr>
          <w:p>
            <w:pPr>
              <w:jc w:val="center"/>
              <w:rPr>
                <w:rFonts w:hint="eastAsia" w:ascii="仿宋_GB2312" w:hAnsi="仿宋_GB2312" w:eastAsia="仿宋_GB2312" w:cs="仿宋_GB2312"/>
              </w:rPr>
            </w:pPr>
          </w:p>
        </w:tc>
        <w:tc>
          <w:tcPr>
            <w:tcW w:w="710" w:type="pct"/>
            <w:vMerge w:val="continue"/>
            <w:vAlign w:val="center"/>
          </w:tcPr>
          <w:p>
            <w:pPr>
              <w:jc w:val="center"/>
              <w:rPr>
                <w:rFonts w:hint="eastAsia" w:ascii="仿宋_GB2312" w:hAnsi="仿宋_GB2312" w:eastAsia="仿宋_GB2312" w:cs="仿宋_GB2312"/>
              </w:rPr>
            </w:pPr>
          </w:p>
        </w:tc>
        <w:tc>
          <w:tcPr>
            <w:tcW w:w="997" w:type="pct"/>
            <w:vMerge w:val="continue"/>
            <w:vAlign w:val="center"/>
          </w:tcPr>
          <w:p>
            <w:pPr>
              <w:jc w:val="center"/>
              <w:rPr>
                <w:rFonts w:hint="eastAsia" w:ascii="仿宋_GB2312" w:hAnsi="仿宋_GB2312" w:eastAsia="仿宋_GB2312" w:cs="仿宋_GB2312"/>
              </w:rPr>
            </w:pPr>
          </w:p>
        </w:tc>
        <w:tc>
          <w:tcPr>
            <w:tcW w:w="563" w:type="pct"/>
            <w:vMerge w:val="continue"/>
            <w:vAlign w:val="center"/>
          </w:tcPr>
          <w:p>
            <w:pPr>
              <w:jc w:val="center"/>
              <w:rPr>
                <w:rFonts w:hint="eastAsia" w:ascii="仿宋_GB2312" w:hAnsi="仿宋_GB2312" w:eastAsia="仿宋_GB2312" w:cs="仿宋_GB2312"/>
              </w:rPr>
            </w:pPr>
          </w:p>
        </w:tc>
        <w:tc>
          <w:tcPr>
            <w:tcW w:w="443"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663"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szCs w:val="24"/>
              </w:rPr>
              <w:t>造成严重危害后果或</w:t>
            </w:r>
            <w:r>
              <w:rPr>
                <w:rFonts w:hint="eastAsia" w:ascii="仿宋_GB2312" w:hAnsi="仿宋_GB2312" w:eastAsia="仿宋_GB2312" w:cs="仿宋_GB2312"/>
              </w:rPr>
              <w:t>造成安全事故的</w:t>
            </w:r>
          </w:p>
        </w:tc>
        <w:tc>
          <w:tcPr>
            <w:tcW w:w="853"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责令限期整改；逾期未整改或者整改不合格的，可责令该工程项目停工，并处以超过四万元、五万元以下的罚款</w:t>
            </w:r>
          </w:p>
        </w:tc>
      </w:tr>
    </w:tbl>
    <w:p>
      <w:pPr>
        <w:widowControl/>
        <w:jc w:val="left"/>
        <w:rPr>
          <w:bCs/>
          <w:sz w:val="32"/>
          <w:szCs w:val="32"/>
        </w:rPr>
      </w:pPr>
      <w:r>
        <w:rPr>
          <w:b/>
          <w:sz w:val="32"/>
          <w:szCs w:val="32"/>
        </w:rPr>
        <w:br w:type="page"/>
      </w:r>
      <w:r>
        <w:rPr>
          <w:rFonts w:hint="eastAsia"/>
          <w:bCs/>
          <w:sz w:val="32"/>
          <w:szCs w:val="32"/>
        </w:rPr>
        <w:t>《深圳经济特区建设工程施工安全条例》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4"/>
        <w:gridCol w:w="1329"/>
        <w:gridCol w:w="1868"/>
        <w:gridCol w:w="2593"/>
        <w:gridCol w:w="1275"/>
        <w:gridCol w:w="1593"/>
        <w:gridCol w:w="2390"/>
        <w:gridCol w:w="22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315"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469"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659"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915"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450"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562"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843"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78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15" w:type="pct"/>
            <w:vMerge w:val="restart"/>
            <w:vAlign w:val="center"/>
          </w:tcPr>
          <w:p>
            <w:pPr>
              <w:jc w:val="center"/>
              <w:rPr>
                <w:rFonts w:hint="eastAsia" w:ascii="仿宋_GB2312" w:hAnsi="仿宋_GB2312" w:eastAsia="仿宋_GB2312" w:cs="仿宋_GB2312"/>
                <w:lang w:val="en"/>
              </w:rPr>
            </w:pPr>
            <w:r>
              <w:rPr>
                <w:rFonts w:hint="eastAsia" w:ascii="仿宋_GB2312" w:hAnsi="仿宋_GB2312" w:eastAsia="仿宋_GB2312" w:cs="仿宋_GB2312"/>
                <w:lang w:val="en"/>
              </w:rPr>
              <w:t>107.5</w:t>
            </w:r>
          </w:p>
        </w:tc>
        <w:tc>
          <w:tcPr>
            <w:tcW w:w="469"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建设单位或者施工企业将施工场地挪作他用的</w:t>
            </w:r>
          </w:p>
        </w:tc>
        <w:tc>
          <w:tcPr>
            <w:tcW w:w="659"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第三十二条：“用地红线范围内或者经有关部门批准临时占用的场地和道路，应当全部用于施工，不得挪作他用。”</w:t>
            </w:r>
          </w:p>
        </w:tc>
        <w:tc>
          <w:tcPr>
            <w:tcW w:w="915"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第五十一条：“建设单位或者施工企业违反本条例第三十二条规定，将施工场地挪作他用的，主管部门应当责令其限期整改，并处以五万元以上十万元以下的罚款。”</w:t>
            </w:r>
          </w:p>
        </w:tc>
        <w:tc>
          <w:tcPr>
            <w:tcW w:w="450"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rPr>
              <w:t>罚款</w:t>
            </w:r>
          </w:p>
        </w:tc>
        <w:tc>
          <w:tcPr>
            <w:tcW w:w="562"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843"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未造成危害后果或造成轻微危害后果的</w:t>
            </w:r>
          </w:p>
        </w:tc>
        <w:tc>
          <w:tcPr>
            <w:tcW w:w="787"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责令限期整改，并处以五万元以上、低于七万五千元的罚款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15" w:type="pct"/>
            <w:vMerge w:val="continue"/>
            <w:vAlign w:val="center"/>
          </w:tcPr>
          <w:p>
            <w:pPr>
              <w:jc w:val="center"/>
              <w:rPr>
                <w:rFonts w:hint="eastAsia" w:ascii="仿宋_GB2312" w:hAnsi="仿宋_GB2312" w:eastAsia="仿宋_GB2312" w:cs="仿宋_GB2312"/>
              </w:rPr>
            </w:pPr>
          </w:p>
        </w:tc>
        <w:tc>
          <w:tcPr>
            <w:tcW w:w="469" w:type="pct"/>
            <w:vMerge w:val="continue"/>
            <w:vAlign w:val="center"/>
          </w:tcPr>
          <w:p>
            <w:pPr>
              <w:jc w:val="center"/>
              <w:rPr>
                <w:rFonts w:hint="eastAsia" w:ascii="仿宋_GB2312" w:hAnsi="仿宋_GB2312" w:eastAsia="仿宋_GB2312" w:cs="仿宋_GB2312"/>
              </w:rPr>
            </w:pPr>
          </w:p>
        </w:tc>
        <w:tc>
          <w:tcPr>
            <w:tcW w:w="659" w:type="pct"/>
            <w:vMerge w:val="continue"/>
            <w:vAlign w:val="center"/>
          </w:tcPr>
          <w:p>
            <w:pPr>
              <w:jc w:val="center"/>
              <w:rPr>
                <w:rFonts w:hint="eastAsia" w:ascii="仿宋_GB2312" w:hAnsi="仿宋_GB2312" w:eastAsia="仿宋_GB2312" w:cs="仿宋_GB2312"/>
              </w:rPr>
            </w:pPr>
          </w:p>
        </w:tc>
        <w:tc>
          <w:tcPr>
            <w:tcW w:w="915" w:type="pct"/>
            <w:vMerge w:val="continue"/>
            <w:vAlign w:val="center"/>
          </w:tcPr>
          <w:p>
            <w:pPr>
              <w:jc w:val="center"/>
              <w:rPr>
                <w:rFonts w:hint="eastAsia" w:ascii="仿宋_GB2312" w:hAnsi="仿宋_GB2312" w:eastAsia="仿宋_GB2312" w:cs="仿宋_GB2312"/>
              </w:rPr>
            </w:pPr>
          </w:p>
        </w:tc>
        <w:tc>
          <w:tcPr>
            <w:tcW w:w="450" w:type="pct"/>
            <w:vMerge w:val="continue"/>
            <w:vAlign w:val="center"/>
          </w:tcPr>
          <w:p>
            <w:pPr>
              <w:jc w:val="center"/>
              <w:rPr>
                <w:rFonts w:hint="eastAsia" w:ascii="仿宋_GB2312" w:hAnsi="仿宋_GB2312" w:eastAsia="仿宋_GB2312" w:cs="仿宋_GB2312"/>
              </w:rPr>
            </w:pPr>
          </w:p>
        </w:tc>
        <w:tc>
          <w:tcPr>
            <w:tcW w:w="562"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843"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造成一般危害后果的</w:t>
            </w:r>
          </w:p>
        </w:tc>
        <w:tc>
          <w:tcPr>
            <w:tcW w:w="787"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责令限期整改，并处以七万五千元的罚款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15" w:type="pct"/>
            <w:vMerge w:val="continue"/>
            <w:vAlign w:val="center"/>
          </w:tcPr>
          <w:p>
            <w:pPr>
              <w:jc w:val="center"/>
              <w:rPr>
                <w:rFonts w:hint="eastAsia" w:ascii="仿宋_GB2312" w:hAnsi="仿宋_GB2312" w:eastAsia="仿宋_GB2312" w:cs="仿宋_GB2312"/>
              </w:rPr>
            </w:pPr>
          </w:p>
        </w:tc>
        <w:tc>
          <w:tcPr>
            <w:tcW w:w="469" w:type="pct"/>
            <w:vMerge w:val="continue"/>
            <w:vAlign w:val="center"/>
          </w:tcPr>
          <w:p>
            <w:pPr>
              <w:jc w:val="center"/>
              <w:rPr>
                <w:rFonts w:hint="eastAsia" w:ascii="仿宋_GB2312" w:hAnsi="仿宋_GB2312" w:eastAsia="仿宋_GB2312" w:cs="仿宋_GB2312"/>
              </w:rPr>
            </w:pPr>
          </w:p>
        </w:tc>
        <w:tc>
          <w:tcPr>
            <w:tcW w:w="659" w:type="pct"/>
            <w:vMerge w:val="continue"/>
            <w:vAlign w:val="center"/>
          </w:tcPr>
          <w:p>
            <w:pPr>
              <w:jc w:val="center"/>
              <w:rPr>
                <w:rFonts w:hint="eastAsia" w:ascii="仿宋_GB2312" w:hAnsi="仿宋_GB2312" w:eastAsia="仿宋_GB2312" w:cs="仿宋_GB2312"/>
              </w:rPr>
            </w:pPr>
          </w:p>
        </w:tc>
        <w:tc>
          <w:tcPr>
            <w:tcW w:w="915" w:type="pct"/>
            <w:vMerge w:val="continue"/>
            <w:vAlign w:val="center"/>
          </w:tcPr>
          <w:p>
            <w:pPr>
              <w:jc w:val="center"/>
              <w:rPr>
                <w:rFonts w:hint="eastAsia" w:ascii="仿宋_GB2312" w:hAnsi="仿宋_GB2312" w:eastAsia="仿宋_GB2312" w:cs="仿宋_GB2312"/>
              </w:rPr>
            </w:pPr>
          </w:p>
        </w:tc>
        <w:tc>
          <w:tcPr>
            <w:tcW w:w="450" w:type="pct"/>
            <w:vMerge w:val="continue"/>
            <w:vAlign w:val="center"/>
          </w:tcPr>
          <w:p>
            <w:pPr>
              <w:jc w:val="center"/>
              <w:rPr>
                <w:rFonts w:hint="eastAsia" w:ascii="仿宋_GB2312" w:hAnsi="仿宋_GB2312" w:eastAsia="仿宋_GB2312" w:cs="仿宋_GB2312"/>
              </w:rPr>
            </w:pPr>
          </w:p>
        </w:tc>
        <w:tc>
          <w:tcPr>
            <w:tcW w:w="562"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843"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szCs w:val="24"/>
              </w:rPr>
              <w:t>造成严重危害后果或</w:t>
            </w:r>
            <w:r>
              <w:rPr>
                <w:rFonts w:hint="eastAsia" w:ascii="仿宋_GB2312" w:hAnsi="仿宋_GB2312" w:eastAsia="仿宋_GB2312" w:cs="仿宋_GB2312"/>
              </w:rPr>
              <w:t>造成安全事故的</w:t>
            </w:r>
          </w:p>
        </w:tc>
        <w:tc>
          <w:tcPr>
            <w:tcW w:w="787"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责令限期整改，并处以超过七万五千元、十万元以下的罚款</w:t>
            </w:r>
          </w:p>
        </w:tc>
      </w:tr>
    </w:tbl>
    <w:p>
      <w:pPr>
        <w:widowControl/>
        <w:jc w:val="left"/>
        <w:rPr>
          <w:bCs/>
          <w:sz w:val="32"/>
          <w:szCs w:val="32"/>
        </w:rPr>
      </w:pPr>
      <w:r>
        <w:rPr>
          <w:b/>
          <w:sz w:val="32"/>
          <w:szCs w:val="32"/>
        </w:rPr>
        <w:br w:type="page"/>
      </w:r>
      <w:r>
        <w:rPr>
          <w:rFonts w:hint="eastAsia"/>
          <w:bCs/>
          <w:sz w:val="32"/>
          <w:szCs w:val="32"/>
        </w:rPr>
        <w:t>《深圳经济特区建设工程施工安全条例》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7"/>
        <w:gridCol w:w="2086"/>
        <w:gridCol w:w="1798"/>
        <w:gridCol w:w="2526"/>
        <w:gridCol w:w="1346"/>
        <w:gridCol w:w="1261"/>
        <w:gridCol w:w="1891"/>
        <w:gridCol w:w="22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373"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736"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634"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891"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475"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45"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66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779"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61" w:hRule="atLeast"/>
        </w:trPr>
        <w:tc>
          <w:tcPr>
            <w:tcW w:w="373" w:type="pct"/>
            <w:vMerge w:val="restart"/>
            <w:vAlign w:val="center"/>
          </w:tcPr>
          <w:p>
            <w:pPr>
              <w:jc w:val="center"/>
              <w:rPr>
                <w:rFonts w:hint="eastAsia" w:ascii="仿宋_GB2312" w:hAnsi="仿宋_GB2312" w:eastAsia="仿宋_GB2312" w:cs="仿宋_GB2312"/>
                <w:lang w:val="en"/>
              </w:rPr>
            </w:pPr>
            <w:r>
              <w:rPr>
                <w:rFonts w:hint="eastAsia" w:ascii="仿宋_GB2312" w:hAnsi="仿宋_GB2312" w:eastAsia="仿宋_GB2312" w:cs="仿宋_GB2312"/>
                <w:lang w:val="en"/>
              </w:rPr>
              <w:t>107.6</w:t>
            </w:r>
          </w:p>
        </w:tc>
        <w:tc>
          <w:tcPr>
            <w:tcW w:w="736"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施工企业施工现场的道路不平整、不干净、不畅通，没有设交通指示标志；施工现场的沟、坎、井没有填平、没有设围栏或者没有盖板；危险地区没有悬挂警戒标志，夜间没有设置红灯示警的</w:t>
            </w:r>
          </w:p>
        </w:tc>
        <w:tc>
          <w:tcPr>
            <w:tcW w:w="634"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第三十四条：“施工现场的道路应当平整、干净、畅通，有交通指示标志。</w:t>
            </w:r>
          </w:p>
          <w:p>
            <w:pPr>
              <w:ind w:firstLine="420" w:firstLineChars="200"/>
              <w:rPr>
                <w:rFonts w:hint="eastAsia" w:ascii="仿宋_GB2312" w:hAnsi="仿宋_GB2312" w:eastAsia="仿宋_GB2312" w:cs="仿宋_GB2312"/>
              </w:rPr>
            </w:pPr>
            <w:r>
              <w:rPr>
                <w:rFonts w:hint="eastAsia" w:ascii="仿宋_GB2312" w:hAnsi="仿宋_GB2312" w:eastAsia="仿宋_GB2312" w:cs="仿宋_GB2312"/>
              </w:rPr>
              <w:t>施工现场的沟、坎、井应当填平、设围栏或者盖板；危险地区应当悬挂警戒标志，夜间应当设置红灯示警。”</w:t>
            </w:r>
          </w:p>
        </w:tc>
        <w:tc>
          <w:tcPr>
            <w:tcW w:w="891"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五十二条：“施工企业违反本条例第三十四、三十五、三十六、三十七、三十八、三十九条规定，施工现场不符合安全标准的，主管部门应当责令其限期整改；逾期未整改或者整改不合格的，可继续责令其限期整改，并处以三万元以上五万元以下的罚款。”</w:t>
            </w:r>
          </w:p>
        </w:tc>
        <w:tc>
          <w:tcPr>
            <w:tcW w:w="475"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rPr>
              <w:t>罚款</w:t>
            </w:r>
          </w:p>
        </w:tc>
        <w:tc>
          <w:tcPr>
            <w:tcW w:w="445"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667"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未造成危害后果或造成轻微危害后果的</w:t>
            </w:r>
          </w:p>
        </w:tc>
        <w:tc>
          <w:tcPr>
            <w:tcW w:w="779"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责令其限期整改；逾期未整改或者整改不合格的，可继续责令其限期整改，并处以三万元以上、低于四万元的罚款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74" w:hRule="atLeast"/>
        </w:trPr>
        <w:tc>
          <w:tcPr>
            <w:tcW w:w="373" w:type="pct"/>
            <w:vMerge w:val="continue"/>
            <w:vAlign w:val="center"/>
          </w:tcPr>
          <w:p>
            <w:pPr>
              <w:rPr>
                <w:rFonts w:hint="eastAsia" w:ascii="仿宋_GB2312" w:hAnsi="仿宋_GB2312" w:eastAsia="仿宋_GB2312" w:cs="仿宋_GB2312"/>
              </w:rPr>
            </w:pPr>
          </w:p>
        </w:tc>
        <w:tc>
          <w:tcPr>
            <w:tcW w:w="736" w:type="pct"/>
            <w:vMerge w:val="continue"/>
            <w:vAlign w:val="center"/>
          </w:tcPr>
          <w:p>
            <w:pPr>
              <w:rPr>
                <w:rFonts w:hint="eastAsia" w:ascii="仿宋_GB2312" w:hAnsi="仿宋_GB2312" w:eastAsia="仿宋_GB2312" w:cs="仿宋_GB2312"/>
              </w:rPr>
            </w:pPr>
          </w:p>
        </w:tc>
        <w:tc>
          <w:tcPr>
            <w:tcW w:w="634" w:type="pct"/>
            <w:vMerge w:val="continue"/>
            <w:vAlign w:val="center"/>
          </w:tcPr>
          <w:p>
            <w:pPr>
              <w:rPr>
                <w:rFonts w:hint="eastAsia" w:ascii="仿宋_GB2312" w:hAnsi="仿宋_GB2312" w:eastAsia="仿宋_GB2312" w:cs="仿宋_GB2312"/>
              </w:rPr>
            </w:pPr>
          </w:p>
        </w:tc>
        <w:tc>
          <w:tcPr>
            <w:tcW w:w="891" w:type="pct"/>
            <w:vMerge w:val="continue"/>
            <w:vAlign w:val="center"/>
          </w:tcPr>
          <w:p>
            <w:pPr>
              <w:rPr>
                <w:rFonts w:hint="eastAsia" w:ascii="仿宋_GB2312" w:hAnsi="仿宋_GB2312" w:eastAsia="仿宋_GB2312" w:cs="仿宋_GB2312"/>
              </w:rPr>
            </w:pPr>
          </w:p>
        </w:tc>
        <w:tc>
          <w:tcPr>
            <w:tcW w:w="475" w:type="pct"/>
            <w:vMerge w:val="continue"/>
            <w:vAlign w:val="center"/>
          </w:tcPr>
          <w:p>
            <w:pPr>
              <w:jc w:val="center"/>
              <w:rPr>
                <w:rFonts w:hint="eastAsia" w:ascii="仿宋_GB2312" w:hAnsi="仿宋_GB2312" w:eastAsia="仿宋_GB2312" w:cs="仿宋_GB2312"/>
              </w:rPr>
            </w:pPr>
          </w:p>
        </w:tc>
        <w:tc>
          <w:tcPr>
            <w:tcW w:w="445"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667"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造成一般危害后果的</w:t>
            </w:r>
          </w:p>
        </w:tc>
        <w:tc>
          <w:tcPr>
            <w:tcW w:w="779"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责令其限期整改；逾期未整改或者整改不合格的，可继续责令其限期整改，并处以四万元的罚款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18" w:hRule="atLeast"/>
        </w:trPr>
        <w:tc>
          <w:tcPr>
            <w:tcW w:w="373" w:type="pct"/>
            <w:vMerge w:val="continue"/>
            <w:vAlign w:val="center"/>
          </w:tcPr>
          <w:p>
            <w:pPr>
              <w:rPr>
                <w:rFonts w:hint="eastAsia" w:ascii="仿宋_GB2312" w:hAnsi="仿宋_GB2312" w:eastAsia="仿宋_GB2312" w:cs="仿宋_GB2312"/>
              </w:rPr>
            </w:pPr>
          </w:p>
        </w:tc>
        <w:tc>
          <w:tcPr>
            <w:tcW w:w="736" w:type="pct"/>
            <w:vMerge w:val="continue"/>
            <w:vAlign w:val="center"/>
          </w:tcPr>
          <w:p>
            <w:pPr>
              <w:rPr>
                <w:rFonts w:hint="eastAsia" w:ascii="仿宋_GB2312" w:hAnsi="仿宋_GB2312" w:eastAsia="仿宋_GB2312" w:cs="仿宋_GB2312"/>
              </w:rPr>
            </w:pPr>
          </w:p>
        </w:tc>
        <w:tc>
          <w:tcPr>
            <w:tcW w:w="634" w:type="pct"/>
            <w:vMerge w:val="continue"/>
            <w:vAlign w:val="center"/>
          </w:tcPr>
          <w:p>
            <w:pPr>
              <w:rPr>
                <w:rFonts w:hint="eastAsia" w:ascii="仿宋_GB2312" w:hAnsi="仿宋_GB2312" w:eastAsia="仿宋_GB2312" w:cs="仿宋_GB2312"/>
              </w:rPr>
            </w:pPr>
          </w:p>
        </w:tc>
        <w:tc>
          <w:tcPr>
            <w:tcW w:w="891" w:type="pct"/>
            <w:vMerge w:val="continue"/>
            <w:vAlign w:val="center"/>
          </w:tcPr>
          <w:p>
            <w:pPr>
              <w:rPr>
                <w:rFonts w:hint="eastAsia" w:ascii="仿宋_GB2312" w:hAnsi="仿宋_GB2312" w:eastAsia="仿宋_GB2312" w:cs="仿宋_GB2312"/>
              </w:rPr>
            </w:pPr>
          </w:p>
        </w:tc>
        <w:tc>
          <w:tcPr>
            <w:tcW w:w="475" w:type="pct"/>
            <w:vMerge w:val="continue"/>
            <w:vAlign w:val="center"/>
          </w:tcPr>
          <w:p>
            <w:pPr>
              <w:jc w:val="center"/>
              <w:rPr>
                <w:rFonts w:hint="eastAsia" w:ascii="仿宋_GB2312" w:hAnsi="仿宋_GB2312" w:eastAsia="仿宋_GB2312" w:cs="仿宋_GB2312"/>
              </w:rPr>
            </w:pPr>
          </w:p>
        </w:tc>
        <w:tc>
          <w:tcPr>
            <w:tcW w:w="445"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667"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szCs w:val="24"/>
              </w:rPr>
              <w:t>造成严重危害后果或</w:t>
            </w:r>
            <w:r>
              <w:rPr>
                <w:rFonts w:hint="eastAsia" w:ascii="仿宋_GB2312" w:hAnsi="仿宋_GB2312" w:eastAsia="仿宋_GB2312" w:cs="仿宋_GB2312"/>
              </w:rPr>
              <w:t>造成安全事故的</w:t>
            </w:r>
          </w:p>
        </w:tc>
        <w:tc>
          <w:tcPr>
            <w:tcW w:w="779"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责令其限期整改；逾期未整改或者整改不合格的，可继续责令其限期整改，并处以超过四万元、五万元以下的罚款</w:t>
            </w:r>
          </w:p>
        </w:tc>
      </w:tr>
    </w:tbl>
    <w:p>
      <w:pPr>
        <w:widowControl/>
        <w:jc w:val="left"/>
        <w:rPr>
          <w:bCs/>
          <w:sz w:val="32"/>
          <w:szCs w:val="32"/>
        </w:rPr>
      </w:pPr>
      <w:r>
        <w:rPr>
          <w:b/>
          <w:sz w:val="32"/>
          <w:szCs w:val="32"/>
        </w:rPr>
        <w:br w:type="page"/>
      </w:r>
      <w:r>
        <w:rPr>
          <w:rFonts w:hint="eastAsia"/>
          <w:bCs/>
          <w:sz w:val="32"/>
          <w:szCs w:val="32"/>
        </w:rPr>
        <w:t>《深圳经济特区建设工程施工安全条例》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69"/>
        <w:gridCol w:w="1514"/>
        <w:gridCol w:w="1568"/>
        <w:gridCol w:w="2855"/>
        <w:gridCol w:w="1752"/>
        <w:gridCol w:w="1275"/>
        <w:gridCol w:w="1910"/>
        <w:gridCol w:w="22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37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534"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553"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100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618"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50"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674"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78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77"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lang w:val="en"/>
              </w:rPr>
              <w:t>107.7</w:t>
            </w:r>
          </w:p>
        </w:tc>
        <w:tc>
          <w:tcPr>
            <w:tcW w:w="534"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施工企业施工现场的各种设施布置和材料堆放不符合安全卫生和施工总平面图的要求，排水系统未保持畅通的</w:t>
            </w:r>
          </w:p>
        </w:tc>
        <w:tc>
          <w:tcPr>
            <w:tcW w:w="553"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第三十五条：“施工现场的各种设施布置和材料堆放应当符合安全卫生和施工总平面图的要求，排水系统应当保持畅通。”</w:t>
            </w:r>
          </w:p>
        </w:tc>
        <w:tc>
          <w:tcPr>
            <w:tcW w:w="1007"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五十二条：“施工企业违反本条例第三十四、三十五、三十六、三十七、三十八、三十九条规定，施工现场不符合安全标准的，主管部门应当责令其限期整改；逾期未整改或者整改不合格的，可继续责令其限期整改，并处以三万元以上五万元以下的罚款。”</w:t>
            </w:r>
          </w:p>
        </w:tc>
        <w:tc>
          <w:tcPr>
            <w:tcW w:w="618"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rPr>
              <w:t>罚款</w:t>
            </w:r>
          </w:p>
        </w:tc>
        <w:tc>
          <w:tcPr>
            <w:tcW w:w="450"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674"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未造成危害后果或造成轻微危害后果的</w:t>
            </w:r>
          </w:p>
        </w:tc>
        <w:tc>
          <w:tcPr>
            <w:tcW w:w="787"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责令其限期整改；逾期未整改或者整改不合格的，可继续责令其限期整改，并处以三万元以上、低于四万元的罚款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77" w:type="pct"/>
            <w:vMerge w:val="continue"/>
            <w:vAlign w:val="center"/>
          </w:tcPr>
          <w:p>
            <w:pPr>
              <w:rPr>
                <w:rFonts w:hint="eastAsia" w:ascii="仿宋_GB2312" w:hAnsi="仿宋_GB2312" w:eastAsia="仿宋_GB2312" w:cs="仿宋_GB2312"/>
              </w:rPr>
            </w:pPr>
          </w:p>
        </w:tc>
        <w:tc>
          <w:tcPr>
            <w:tcW w:w="534" w:type="pct"/>
            <w:vMerge w:val="continue"/>
            <w:vAlign w:val="center"/>
          </w:tcPr>
          <w:p>
            <w:pPr>
              <w:rPr>
                <w:rFonts w:hint="eastAsia" w:ascii="仿宋_GB2312" w:hAnsi="仿宋_GB2312" w:eastAsia="仿宋_GB2312" w:cs="仿宋_GB2312"/>
              </w:rPr>
            </w:pPr>
          </w:p>
        </w:tc>
        <w:tc>
          <w:tcPr>
            <w:tcW w:w="553" w:type="pct"/>
            <w:vMerge w:val="continue"/>
            <w:vAlign w:val="center"/>
          </w:tcPr>
          <w:p>
            <w:pPr>
              <w:rPr>
                <w:rFonts w:hint="eastAsia" w:ascii="仿宋_GB2312" w:hAnsi="仿宋_GB2312" w:eastAsia="仿宋_GB2312" w:cs="仿宋_GB2312"/>
              </w:rPr>
            </w:pPr>
          </w:p>
        </w:tc>
        <w:tc>
          <w:tcPr>
            <w:tcW w:w="1007" w:type="pct"/>
            <w:vMerge w:val="continue"/>
            <w:vAlign w:val="center"/>
          </w:tcPr>
          <w:p>
            <w:pPr>
              <w:rPr>
                <w:rFonts w:hint="eastAsia" w:ascii="仿宋_GB2312" w:hAnsi="仿宋_GB2312" w:eastAsia="仿宋_GB2312" w:cs="仿宋_GB2312"/>
              </w:rPr>
            </w:pPr>
          </w:p>
        </w:tc>
        <w:tc>
          <w:tcPr>
            <w:tcW w:w="618" w:type="pct"/>
            <w:vMerge w:val="continue"/>
            <w:vAlign w:val="center"/>
          </w:tcPr>
          <w:p>
            <w:pPr>
              <w:jc w:val="center"/>
              <w:rPr>
                <w:rFonts w:hint="eastAsia" w:ascii="仿宋_GB2312" w:hAnsi="仿宋_GB2312" w:eastAsia="仿宋_GB2312" w:cs="仿宋_GB2312"/>
              </w:rPr>
            </w:pPr>
          </w:p>
        </w:tc>
        <w:tc>
          <w:tcPr>
            <w:tcW w:w="450"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674"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造成一般危害后果的</w:t>
            </w:r>
          </w:p>
        </w:tc>
        <w:tc>
          <w:tcPr>
            <w:tcW w:w="787"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责令其限期整改；逾期未整改或者整改不合格的，可继续责令其限期整改，并处以四万元的罚款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77" w:type="pct"/>
            <w:vMerge w:val="continue"/>
            <w:vAlign w:val="center"/>
          </w:tcPr>
          <w:p>
            <w:pPr>
              <w:rPr>
                <w:rFonts w:hint="eastAsia" w:ascii="仿宋_GB2312" w:hAnsi="仿宋_GB2312" w:eastAsia="仿宋_GB2312" w:cs="仿宋_GB2312"/>
              </w:rPr>
            </w:pPr>
          </w:p>
        </w:tc>
        <w:tc>
          <w:tcPr>
            <w:tcW w:w="534" w:type="pct"/>
            <w:vMerge w:val="continue"/>
            <w:vAlign w:val="center"/>
          </w:tcPr>
          <w:p>
            <w:pPr>
              <w:rPr>
                <w:rFonts w:hint="eastAsia" w:ascii="仿宋_GB2312" w:hAnsi="仿宋_GB2312" w:eastAsia="仿宋_GB2312" w:cs="仿宋_GB2312"/>
              </w:rPr>
            </w:pPr>
          </w:p>
        </w:tc>
        <w:tc>
          <w:tcPr>
            <w:tcW w:w="553" w:type="pct"/>
            <w:vMerge w:val="continue"/>
            <w:vAlign w:val="center"/>
          </w:tcPr>
          <w:p>
            <w:pPr>
              <w:rPr>
                <w:rFonts w:hint="eastAsia" w:ascii="仿宋_GB2312" w:hAnsi="仿宋_GB2312" w:eastAsia="仿宋_GB2312" w:cs="仿宋_GB2312"/>
              </w:rPr>
            </w:pPr>
          </w:p>
        </w:tc>
        <w:tc>
          <w:tcPr>
            <w:tcW w:w="1007" w:type="pct"/>
            <w:vMerge w:val="continue"/>
            <w:vAlign w:val="center"/>
          </w:tcPr>
          <w:p>
            <w:pPr>
              <w:rPr>
                <w:rFonts w:hint="eastAsia" w:ascii="仿宋_GB2312" w:hAnsi="仿宋_GB2312" w:eastAsia="仿宋_GB2312" w:cs="仿宋_GB2312"/>
              </w:rPr>
            </w:pPr>
          </w:p>
        </w:tc>
        <w:tc>
          <w:tcPr>
            <w:tcW w:w="618" w:type="pct"/>
            <w:vMerge w:val="continue"/>
            <w:vAlign w:val="center"/>
          </w:tcPr>
          <w:p>
            <w:pPr>
              <w:jc w:val="center"/>
              <w:rPr>
                <w:rFonts w:hint="eastAsia" w:ascii="仿宋_GB2312" w:hAnsi="仿宋_GB2312" w:eastAsia="仿宋_GB2312" w:cs="仿宋_GB2312"/>
              </w:rPr>
            </w:pPr>
          </w:p>
        </w:tc>
        <w:tc>
          <w:tcPr>
            <w:tcW w:w="450"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674"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szCs w:val="24"/>
              </w:rPr>
              <w:t>造成严重危害后果或</w:t>
            </w:r>
            <w:r>
              <w:rPr>
                <w:rFonts w:hint="eastAsia" w:ascii="仿宋_GB2312" w:hAnsi="仿宋_GB2312" w:eastAsia="仿宋_GB2312" w:cs="仿宋_GB2312"/>
              </w:rPr>
              <w:t>造成安全事故的</w:t>
            </w:r>
          </w:p>
        </w:tc>
        <w:tc>
          <w:tcPr>
            <w:tcW w:w="787"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责令其限期整改；逾期未整改或者整改不合格的，可继续责令其限期整改，并处以超过四万元、五万元以下的罚款</w:t>
            </w:r>
          </w:p>
        </w:tc>
      </w:tr>
    </w:tbl>
    <w:p>
      <w:pPr>
        <w:widowControl/>
        <w:jc w:val="left"/>
        <w:rPr>
          <w:bCs/>
          <w:sz w:val="32"/>
          <w:szCs w:val="32"/>
        </w:rPr>
      </w:pPr>
      <w:r>
        <w:rPr>
          <w:b/>
          <w:sz w:val="32"/>
          <w:szCs w:val="32"/>
        </w:rPr>
        <w:br w:type="page"/>
      </w:r>
      <w:r>
        <w:rPr>
          <w:rFonts w:hint="eastAsia"/>
          <w:bCs/>
          <w:sz w:val="32"/>
          <w:szCs w:val="32"/>
        </w:rPr>
        <w:t>《深圳经济特区建设工程施工安全条例》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8"/>
        <w:gridCol w:w="1774"/>
        <w:gridCol w:w="1735"/>
        <w:gridCol w:w="2988"/>
        <w:gridCol w:w="1261"/>
        <w:gridCol w:w="1259"/>
        <w:gridCol w:w="1891"/>
        <w:gridCol w:w="22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373"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626"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612"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1054"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445"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44"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66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779"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73"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lang w:val="en"/>
              </w:rPr>
              <w:t>107.8</w:t>
            </w:r>
          </w:p>
        </w:tc>
        <w:tc>
          <w:tcPr>
            <w:tcW w:w="626"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施工企业施工现场未建立防火和危险品保管使用制度，未设置符合消防要求的设施，或者未保持其完好的备用状态的</w:t>
            </w:r>
          </w:p>
        </w:tc>
        <w:tc>
          <w:tcPr>
            <w:tcW w:w="612"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第三十六条：“施工现场应当建立防火和危险品保管使用制度，设置符合消防要求的设施，并保持其完好的备用状态。”</w:t>
            </w:r>
          </w:p>
        </w:tc>
        <w:tc>
          <w:tcPr>
            <w:tcW w:w="1054"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五十二条：“施工企业违反本条例第三十四、三十五、三十六、三十七、三十八、三十九条规定，施工现场不符合安全标准的，主管部门应当责令其限期整改；逾期未整改或者整改不合格的，可继续责令其限期整改，并处以三万元以上五万元以下的罚款。”</w:t>
            </w:r>
          </w:p>
        </w:tc>
        <w:tc>
          <w:tcPr>
            <w:tcW w:w="445"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rPr>
              <w:t>罚款</w:t>
            </w:r>
          </w:p>
        </w:tc>
        <w:tc>
          <w:tcPr>
            <w:tcW w:w="444"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667"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未造成危害后果或造成轻微危害后果的</w:t>
            </w:r>
          </w:p>
        </w:tc>
        <w:tc>
          <w:tcPr>
            <w:tcW w:w="779"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责令其限期整改；逾期未整改或者整改不合格的，可继续责令其限期整改，并处以三万元以上、低于四万元的罚款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73" w:type="pct"/>
            <w:vMerge w:val="continue"/>
            <w:vAlign w:val="center"/>
          </w:tcPr>
          <w:p>
            <w:pPr>
              <w:rPr>
                <w:rFonts w:hint="eastAsia" w:ascii="仿宋_GB2312" w:hAnsi="仿宋_GB2312" w:eastAsia="仿宋_GB2312" w:cs="仿宋_GB2312"/>
              </w:rPr>
            </w:pPr>
          </w:p>
        </w:tc>
        <w:tc>
          <w:tcPr>
            <w:tcW w:w="626" w:type="pct"/>
            <w:vMerge w:val="continue"/>
            <w:vAlign w:val="center"/>
          </w:tcPr>
          <w:p>
            <w:pPr>
              <w:rPr>
                <w:rFonts w:hint="eastAsia" w:ascii="仿宋_GB2312" w:hAnsi="仿宋_GB2312" w:eastAsia="仿宋_GB2312" w:cs="仿宋_GB2312"/>
              </w:rPr>
            </w:pPr>
          </w:p>
        </w:tc>
        <w:tc>
          <w:tcPr>
            <w:tcW w:w="612" w:type="pct"/>
            <w:vMerge w:val="continue"/>
            <w:vAlign w:val="center"/>
          </w:tcPr>
          <w:p>
            <w:pPr>
              <w:rPr>
                <w:rFonts w:hint="eastAsia" w:ascii="仿宋_GB2312" w:hAnsi="仿宋_GB2312" w:eastAsia="仿宋_GB2312" w:cs="仿宋_GB2312"/>
              </w:rPr>
            </w:pPr>
          </w:p>
        </w:tc>
        <w:tc>
          <w:tcPr>
            <w:tcW w:w="1054" w:type="pct"/>
            <w:vMerge w:val="continue"/>
            <w:vAlign w:val="center"/>
          </w:tcPr>
          <w:p>
            <w:pPr>
              <w:rPr>
                <w:rFonts w:hint="eastAsia" w:ascii="仿宋_GB2312" w:hAnsi="仿宋_GB2312" w:eastAsia="仿宋_GB2312" w:cs="仿宋_GB2312"/>
              </w:rPr>
            </w:pPr>
          </w:p>
        </w:tc>
        <w:tc>
          <w:tcPr>
            <w:tcW w:w="445" w:type="pct"/>
            <w:vMerge w:val="continue"/>
            <w:vAlign w:val="center"/>
          </w:tcPr>
          <w:p>
            <w:pPr>
              <w:jc w:val="center"/>
              <w:rPr>
                <w:rFonts w:hint="eastAsia" w:ascii="仿宋_GB2312" w:hAnsi="仿宋_GB2312" w:eastAsia="仿宋_GB2312" w:cs="仿宋_GB2312"/>
              </w:rPr>
            </w:pPr>
          </w:p>
        </w:tc>
        <w:tc>
          <w:tcPr>
            <w:tcW w:w="444"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667"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造成一般危害后果的</w:t>
            </w:r>
          </w:p>
        </w:tc>
        <w:tc>
          <w:tcPr>
            <w:tcW w:w="779"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责令其限期整改；逾期未整改或者整改不合格的，可继续责令其限期整改，并处以四万元的罚款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73" w:type="pct"/>
            <w:vMerge w:val="continue"/>
            <w:vAlign w:val="center"/>
          </w:tcPr>
          <w:p>
            <w:pPr>
              <w:rPr>
                <w:rFonts w:hint="eastAsia" w:ascii="仿宋_GB2312" w:hAnsi="仿宋_GB2312" w:eastAsia="仿宋_GB2312" w:cs="仿宋_GB2312"/>
              </w:rPr>
            </w:pPr>
          </w:p>
        </w:tc>
        <w:tc>
          <w:tcPr>
            <w:tcW w:w="626" w:type="pct"/>
            <w:vMerge w:val="continue"/>
            <w:vAlign w:val="center"/>
          </w:tcPr>
          <w:p>
            <w:pPr>
              <w:rPr>
                <w:rFonts w:hint="eastAsia" w:ascii="仿宋_GB2312" w:hAnsi="仿宋_GB2312" w:eastAsia="仿宋_GB2312" w:cs="仿宋_GB2312"/>
              </w:rPr>
            </w:pPr>
          </w:p>
        </w:tc>
        <w:tc>
          <w:tcPr>
            <w:tcW w:w="612" w:type="pct"/>
            <w:vMerge w:val="continue"/>
            <w:vAlign w:val="center"/>
          </w:tcPr>
          <w:p>
            <w:pPr>
              <w:rPr>
                <w:rFonts w:hint="eastAsia" w:ascii="仿宋_GB2312" w:hAnsi="仿宋_GB2312" w:eastAsia="仿宋_GB2312" w:cs="仿宋_GB2312"/>
              </w:rPr>
            </w:pPr>
          </w:p>
        </w:tc>
        <w:tc>
          <w:tcPr>
            <w:tcW w:w="1054" w:type="pct"/>
            <w:vMerge w:val="continue"/>
            <w:vAlign w:val="center"/>
          </w:tcPr>
          <w:p>
            <w:pPr>
              <w:rPr>
                <w:rFonts w:hint="eastAsia" w:ascii="仿宋_GB2312" w:hAnsi="仿宋_GB2312" w:eastAsia="仿宋_GB2312" w:cs="仿宋_GB2312"/>
              </w:rPr>
            </w:pPr>
          </w:p>
        </w:tc>
        <w:tc>
          <w:tcPr>
            <w:tcW w:w="445" w:type="pct"/>
            <w:vMerge w:val="continue"/>
            <w:vAlign w:val="center"/>
          </w:tcPr>
          <w:p>
            <w:pPr>
              <w:jc w:val="center"/>
              <w:rPr>
                <w:rFonts w:hint="eastAsia" w:ascii="仿宋_GB2312" w:hAnsi="仿宋_GB2312" w:eastAsia="仿宋_GB2312" w:cs="仿宋_GB2312"/>
              </w:rPr>
            </w:pPr>
          </w:p>
        </w:tc>
        <w:tc>
          <w:tcPr>
            <w:tcW w:w="444"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667"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szCs w:val="24"/>
              </w:rPr>
              <w:t>造成严重危害后果或</w:t>
            </w:r>
            <w:r>
              <w:rPr>
                <w:rFonts w:hint="eastAsia" w:ascii="仿宋_GB2312" w:hAnsi="仿宋_GB2312" w:eastAsia="仿宋_GB2312" w:cs="仿宋_GB2312"/>
              </w:rPr>
              <w:t>造成安全事故的</w:t>
            </w:r>
          </w:p>
        </w:tc>
        <w:tc>
          <w:tcPr>
            <w:tcW w:w="779"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责令其限期整改；逾期未整改或者整改不合格的，可继续责令其限期整改，并处以超过四万元、五万元以下的罚款</w:t>
            </w:r>
          </w:p>
        </w:tc>
      </w:tr>
    </w:tbl>
    <w:p>
      <w:pPr>
        <w:widowControl/>
        <w:jc w:val="left"/>
        <w:rPr>
          <w:bCs/>
          <w:sz w:val="32"/>
          <w:szCs w:val="32"/>
        </w:rPr>
      </w:pPr>
      <w:r>
        <w:rPr>
          <w:b/>
          <w:sz w:val="32"/>
          <w:szCs w:val="32"/>
        </w:rPr>
        <w:br w:type="page"/>
      </w:r>
      <w:r>
        <w:rPr>
          <w:rFonts w:hint="eastAsia"/>
          <w:bCs/>
          <w:sz w:val="32"/>
          <w:szCs w:val="32"/>
        </w:rPr>
        <w:t>《深圳经济特区建设工程施工安全条例》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69"/>
        <w:gridCol w:w="1383"/>
        <w:gridCol w:w="1528"/>
        <w:gridCol w:w="3025"/>
        <w:gridCol w:w="1752"/>
        <w:gridCol w:w="1275"/>
        <w:gridCol w:w="1910"/>
        <w:gridCol w:w="22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37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488"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539"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106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618"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50"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674"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78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77"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lang w:val="en"/>
              </w:rPr>
              <w:t>107.</w:t>
            </w:r>
            <w:r>
              <w:rPr>
                <w:rFonts w:hint="eastAsia" w:ascii="仿宋_GB2312" w:hAnsi="仿宋_GB2312" w:eastAsia="仿宋_GB2312" w:cs="仿宋_GB2312"/>
              </w:rPr>
              <w:t>9</w:t>
            </w:r>
          </w:p>
        </w:tc>
        <w:tc>
          <w:tcPr>
            <w:tcW w:w="488"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施工企业施工现场未设置必要的职工生活设施，或职工生活设施不符合卫生、通风、照明、消防等要求的</w:t>
            </w:r>
          </w:p>
        </w:tc>
        <w:tc>
          <w:tcPr>
            <w:tcW w:w="539"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第三十七条：“施工现场应当设置必要的职工生活设施。职工生活设施应当符合卫生、通风、照明、消防等要求。”</w:t>
            </w:r>
          </w:p>
        </w:tc>
        <w:tc>
          <w:tcPr>
            <w:tcW w:w="1067"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五十二条：“施工企业违反本条例第三十四、三十五、三十六、三十七、三十八、三十九条规定，施工现场不符合安全标准的，主管部门应当责令其限期整改；逾期未整改或者整改不合格的，可继续责令其限期整改，并处以三万元以上五万元以下的罚款。”</w:t>
            </w:r>
          </w:p>
        </w:tc>
        <w:tc>
          <w:tcPr>
            <w:tcW w:w="618"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rPr>
              <w:t>罚款</w:t>
            </w:r>
          </w:p>
        </w:tc>
        <w:tc>
          <w:tcPr>
            <w:tcW w:w="450"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674"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未造成危害后果或造成轻微危害后果的</w:t>
            </w:r>
          </w:p>
        </w:tc>
        <w:tc>
          <w:tcPr>
            <w:tcW w:w="787"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责令其限期整改；逾期未整改或者整改不合格的，可继续责令其限期整改，并处以三万元以上、低于四万元的罚款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77" w:type="pct"/>
            <w:vMerge w:val="continue"/>
            <w:vAlign w:val="center"/>
          </w:tcPr>
          <w:p>
            <w:pPr>
              <w:rPr>
                <w:rFonts w:hint="eastAsia" w:ascii="仿宋_GB2312" w:hAnsi="仿宋_GB2312" w:eastAsia="仿宋_GB2312" w:cs="仿宋_GB2312"/>
              </w:rPr>
            </w:pPr>
          </w:p>
        </w:tc>
        <w:tc>
          <w:tcPr>
            <w:tcW w:w="488" w:type="pct"/>
            <w:vMerge w:val="continue"/>
            <w:vAlign w:val="center"/>
          </w:tcPr>
          <w:p>
            <w:pPr>
              <w:rPr>
                <w:rFonts w:hint="eastAsia" w:ascii="仿宋_GB2312" w:hAnsi="仿宋_GB2312" w:eastAsia="仿宋_GB2312" w:cs="仿宋_GB2312"/>
              </w:rPr>
            </w:pPr>
          </w:p>
        </w:tc>
        <w:tc>
          <w:tcPr>
            <w:tcW w:w="539" w:type="pct"/>
            <w:vMerge w:val="continue"/>
            <w:vAlign w:val="center"/>
          </w:tcPr>
          <w:p>
            <w:pPr>
              <w:rPr>
                <w:rFonts w:hint="eastAsia" w:ascii="仿宋_GB2312" w:hAnsi="仿宋_GB2312" w:eastAsia="仿宋_GB2312" w:cs="仿宋_GB2312"/>
              </w:rPr>
            </w:pPr>
          </w:p>
        </w:tc>
        <w:tc>
          <w:tcPr>
            <w:tcW w:w="1067" w:type="pct"/>
            <w:vMerge w:val="continue"/>
            <w:vAlign w:val="center"/>
          </w:tcPr>
          <w:p>
            <w:pPr>
              <w:rPr>
                <w:rFonts w:hint="eastAsia" w:ascii="仿宋_GB2312" w:hAnsi="仿宋_GB2312" w:eastAsia="仿宋_GB2312" w:cs="仿宋_GB2312"/>
              </w:rPr>
            </w:pPr>
          </w:p>
        </w:tc>
        <w:tc>
          <w:tcPr>
            <w:tcW w:w="618" w:type="pct"/>
            <w:vMerge w:val="continue"/>
            <w:vAlign w:val="center"/>
          </w:tcPr>
          <w:p>
            <w:pPr>
              <w:jc w:val="center"/>
              <w:rPr>
                <w:rFonts w:hint="eastAsia" w:ascii="仿宋_GB2312" w:hAnsi="仿宋_GB2312" w:eastAsia="仿宋_GB2312" w:cs="仿宋_GB2312"/>
              </w:rPr>
            </w:pPr>
          </w:p>
        </w:tc>
        <w:tc>
          <w:tcPr>
            <w:tcW w:w="450"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674"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造成一般危害后果的</w:t>
            </w:r>
          </w:p>
        </w:tc>
        <w:tc>
          <w:tcPr>
            <w:tcW w:w="787"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责令其限期整改；逾期未整改或者整改不合格的，可继续责令其限期整改，并处以四万元的罚款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77" w:type="pct"/>
            <w:vMerge w:val="continue"/>
            <w:vAlign w:val="center"/>
          </w:tcPr>
          <w:p>
            <w:pPr>
              <w:rPr>
                <w:rFonts w:hint="eastAsia" w:ascii="仿宋_GB2312" w:hAnsi="仿宋_GB2312" w:eastAsia="仿宋_GB2312" w:cs="仿宋_GB2312"/>
              </w:rPr>
            </w:pPr>
          </w:p>
        </w:tc>
        <w:tc>
          <w:tcPr>
            <w:tcW w:w="488" w:type="pct"/>
            <w:vMerge w:val="continue"/>
            <w:vAlign w:val="center"/>
          </w:tcPr>
          <w:p>
            <w:pPr>
              <w:rPr>
                <w:rFonts w:hint="eastAsia" w:ascii="仿宋_GB2312" w:hAnsi="仿宋_GB2312" w:eastAsia="仿宋_GB2312" w:cs="仿宋_GB2312"/>
              </w:rPr>
            </w:pPr>
          </w:p>
        </w:tc>
        <w:tc>
          <w:tcPr>
            <w:tcW w:w="539" w:type="pct"/>
            <w:vMerge w:val="continue"/>
            <w:vAlign w:val="center"/>
          </w:tcPr>
          <w:p>
            <w:pPr>
              <w:rPr>
                <w:rFonts w:hint="eastAsia" w:ascii="仿宋_GB2312" w:hAnsi="仿宋_GB2312" w:eastAsia="仿宋_GB2312" w:cs="仿宋_GB2312"/>
              </w:rPr>
            </w:pPr>
          </w:p>
        </w:tc>
        <w:tc>
          <w:tcPr>
            <w:tcW w:w="1067" w:type="pct"/>
            <w:vMerge w:val="continue"/>
            <w:vAlign w:val="center"/>
          </w:tcPr>
          <w:p>
            <w:pPr>
              <w:rPr>
                <w:rFonts w:hint="eastAsia" w:ascii="仿宋_GB2312" w:hAnsi="仿宋_GB2312" w:eastAsia="仿宋_GB2312" w:cs="仿宋_GB2312"/>
              </w:rPr>
            </w:pPr>
          </w:p>
        </w:tc>
        <w:tc>
          <w:tcPr>
            <w:tcW w:w="618" w:type="pct"/>
            <w:vMerge w:val="continue"/>
            <w:vAlign w:val="center"/>
          </w:tcPr>
          <w:p>
            <w:pPr>
              <w:jc w:val="center"/>
              <w:rPr>
                <w:rFonts w:hint="eastAsia" w:ascii="仿宋_GB2312" w:hAnsi="仿宋_GB2312" w:eastAsia="仿宋_GB2312" w:cs="仿宋_GB2312"/>
              </w:rPr>
            </w:pPr>
          </w:p>
        </w:tc>
        <w:tc>
          <w:tcPr>
            <w:tcW w:w="450"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674"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szCs w:val="24"/>
              </w:rPr>
              <w:t>造成严重危害后果或</w:t>
            </w:r>
            <w:r>
              <w:rPr>
                <w:rFonts w:hint="eastAsia" w:ascii="仿宋_GB2312" w:hAnsi="仿宋_GB2312" w:eastAsia="仿宋_GB2312" w:cs="仿宋_GB2312"/>
              </w:rPr>
              <w:t>造成安全事故的</w:t>
            </w:r>
          </w:p>
        </w:tc>
        <w:tc>
          <w:tcPr>
            <w:tcW w:w="787"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责令其限期整改；逾期未整改或者整改不合格的，可继续责令其限期整改，并处以超过四万元、五万元以下的罚款</w:t>
            </w:r>
          </w:p>
        </w:tc>
      </w:tr>
    </w:tbl>
    <w:p>
      <w:pPr>
        <w:widowControl/>
        <w:jc w:val="left"/>
        <w:rPr>
          <w:bCs/>
          <w:sz w:val="32"/>
          <w:szCs w:val="32"/>
        </w:rPr>
      </w:pPr>
      <w:r>
        <w:rPr>
          <w:b/>
          <w:sz w:val="32"/>
          <w:szCs w:val="32"/>
        </w:rPr>
        <w:br w:type="page"/>
      </w:r>
      <w:r>
        <w:rPr>
          <w:rFonts w:hint="eastAsia"/>
          <w:bCs/>
          <w:sz w:val="32"/>
          <w:szCs w:val="32"/>
        </w:rPr>
        <w:t>《深圳经济特区建设工程施工安全条例》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69"/>
        <w:gridCol w:w="1383"/>
        <w:gridCol w:w="1528"/>
        <w:gridCol w:w="3025"/>
        <w:gridCol w:w="1752"/>
        <w:gridCol w:w="1275"/>
        <w:gridCol w:w="1910"/>
        <w:gridCol w:w="22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37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488"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539"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106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618"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50"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674"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78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77"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lang w:val="en"/>
              </w:rPr>
              <w:t>107.</w:t>
            </w:r>
            <w:r>
              <w:rPr>
                <w:rFonts w:hint="eastAsia" w:ascii="仿宋_GB2312" w:hAnsi="仿宋_GB2312" w:eastAsia="仿宋_GB2312" w:cs="仿宋_GB2312"/>
              </w:rPr>
              <w:t>10</w:t>
            </w:r>
          </w:p>
        </w:tc>
        <w:tc>
          <w:tcPr>
            <w:tcW w:w="488"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施工企业施工现场未设有必要的预防危害人体健康和安全急救的设施及抢救措施的</w:t>
            </w:r>
          </w:p>
        </w:tc>
        <w:tc>
          <w:tcPr>
            <w:tcW w:w="539"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第三十八条：“施工现场应当设有必要的预防危害人体健康和安全急救的设施及抢救措施。”</w:t>
            </w:r>
          </w:p>
        </w:tc>
        <w:tc>
          <w:tcPr>
            <w:tcW w:w="1067"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五十二条：“施工企业违反本条例第三十四、三十五、三十六、三十七、三十八、三十九条规定，施工现场不符合安全标准的，主管部门应当责令其限期整改；逾期未整改或者整改不合格的，可继续责令其限期整改，并处以三万元以上五万元以下的罚款。”</w:t>
            </w:r>
          </w:p>
        </w:tc>
        <w:tc>
          <w:tcPr>
            <w:tcW w:w="618"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rPr>
              <w:t>罚款</w:t>
            </w:r>
          </w:p>
        </w:tc>
        <w:tc>
          <w:tcPr>
            <w:tcW w:w="450"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674"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未造成危害后果或造成轻微危害后果的</w:t>
            </w:r>
          </w:p>
        </w:tc>
        <w:tc>
          <w:tcPr>
            <w:tcW w:w="787"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责令其限期整改；逾期未整改或者整改不合格的，可继续责令其限期整改，并处以三万元以上、低于四万元的罚款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77" w:type="pct"/>
            <w:vMerge w:val="continue"/>
            <w:vAlign w:val="center"/>
          </w:tcPr>
          <w:p>
            <w:pPr>
              <w:rPr>
                <w:rFonts w:hint="eastAsia" w:ascii="仿宋_GB2312" w:hAnsi="仿宋_GB2312" w:eastAsia="仿宋_GB2312" w:cs="仿宋_GB2312"/>
              </w:rPr>
            </w:pPr>
          </w:p>
        </w:tc>
        <w:tc>
          <w:tcPr>
            <w:tcW w:w="488" w:type="pct"/>
            <w:vMerge w:val="continue"/>
            <w:vAlign w:val="center"/>
          </w:tcPr>
          <w:p>
            <w:pPr>
              <w:rPr>
                <w:rFonts w:hint="eastAsia" w:ascii="仿宋_GB2312" w:hAnsi="仿宋_GB2312" w:eastAsia="仿宋_GB2312" w:cs="仿宋_GB2312"/>
              </w:rPr>
            </w:pPr>
          </w:p>
        </w:tc>
        <w:tc>
          <w:tcPr>
            <w:tcW w:w="539" w:type="pct"/>
            <w:vMerge w:val="continue"/>
            <w:vAlign w:val="center"/>
          </w:tcPr>
          <w:p>
            <w:pPr>
              <w:rPr>
                <w:rFonts w:hint="eastAsia" w:ascii="仿宋_GB2312" w:hAnsi="仿宋_GB2312" w:eastAsia="仿宋_GB2312" w:cs="仿宋_GB2312"/>
              </w:rPr>
            </w:pPr>
          </w:p>
        </w:tc>
        <w:tc>
          <w:tcPr>
            <w:tcW w:w="1067" w:type="pct"/>
            <w:vMerge w:val="continue"/>
            <w:vAlign w:val="center"/>
          </w:tcPr>
          <w:p>
            <w:pPr>
              <w:rPr>
                <w:rFonts w:hint="eastAsia" w:ascii="仿宋_GB2312" w:hAnsi="仿宋_GB2312" w:eastAsia="仿宋_GB2312" w:cs="仿宋_GB2312"/>
              </w:rPr>
            </w:pPr>
          </w:p>
        </w:tc>
        <w:tc>
          <w:tcPr>
            <w:tcW w:w="618" w:type="pct"/>
            <w:vMerge w:val="continue"/>
            <w:vAlign w:val="center"/>
          </w:tcPr>
          <w:p>
            <w:pPr>
              <w:jc w:val="center"/>
              <w:rPr>
                <w:rFonts w:hint="eastAsia" w:ascii="仿宋_GB2312" w:hAnsi="仿宋_GB2312" w:eastAsia="仿宋_GB2312" w:cs="仿宋_GB2312"/>
              </w:rPr>
            </w:pPr>
          </w:p>
        </w:tc>
        <w:tc>
          <w:tcPr>
            <w:tcW w:w="450"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674"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造成一般危害后果的</w:t>
            </w:r>
          </w:p>
        </w:tc>
        <w:tc>
          <w:tcPr>
            <w:tcW w:w="787"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责令其限期整改；逾期未整改或者整改不合格的，可继续责令其限期整改，并处以四万元的罚款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77" w:type="pct"/>
            <w:vMerge w:val="continue"/>
            <w:vAlign w:val="center"/>
          </w:tcPr>
          <w:p>
            <w:pPr>
              <w:rPr>
                <w:rFonts w:hint="eastAsia" w:ascii="仿宋_GB2312" w:hAnsi="仿宋_GB2312" w:eastAsia="仿宋_GB2312" w:cs="仿宋_GB2312"/>
              </w:rPr>
            </w:pPr>
          </w:p>
        </w:tc>
        <w:tc>
          <w:tcPr>
            <w:tcW w:w="488" w:type="pct"/>
            <w:vMerge w:val="continue"/>
            <w:vAlign w:val="center"/>
          </w:tcPr>
          <w:p>
            <w:pPr>
              <w:rPr>
                <w:rFonts w:hint="eastAsia" w:ascii="仿宋_GB2312" w:hAnsi="仿宋_GB2312" w:eastAsia="仿宋_GB2312" w:cs="仿宋_GB2312"/>
              </w:rPr>
            </w:pPr>
          </w:p>
        </w:tc>
        <w:tc>
          <w:tcPr>
            <w:tcW w:w="539" w:type="pct"/>
            <w:vMerge w:val="continue"/>
            <w:vAlign w:val="center"/>
          </w:tcPr>
          <w:p>
            <w:pPr>
              <w:rPr>
                <w:rFonts w:hint="eastAsia" w:ascii="仿宋_GB2312" w:hAnsi="仿宋_GB2312" w:eastAsia="仿宋_GB2312" w:cs="仿宋_GB2312"/>
              </w:rPr>
            </w:pPr>
          </w:p>
        </w:tc>
        <w:tc>
          <w:tcPr>
            <w:tcW w:w="1067" w:type="pct"/>
            <w:vMerge w:val="continue"/>
            <w:vAlign w:val="center"/>
          </w:tcPr>
          <w:p>
            <w:pPr>
              <w:rPr>
                <w:rFonts w:hint="eastAsia" w:ascii="仿宋_GB2312" w:hAnsi="仿宋_GB2312" w:eastAsia="仿宋_GB2312" w:cs="仿宋_GB2312"/>
              </w:rPr>
            </w:pPr>
          </w:p>
        </w:tc>
        <w:tc>
          <w:tcPr>
            <w:tcW w:w="618" w:type="pct"/>
            <w:vMerge w:val="continue"/>
            <w:vAlign w:val="center"/>
          </w:tcPr>
          <w:p>
            <w:pPr>
              <w:jc w:val="center"/>
              <w:rPr>
                <w:rFonts w:hint="eastAsia" w:ascii="仿宋_GB2312" w:hAnsi="仿宋_GB2312" w:eastAsia="仿宋_GB2312" w:cs="仿宋_GB2312"/>
              </w:rPr>
            </w:pPr>
          </w:p>
        </w:tc>
        <w:tc>
          <w:tcPr>
            <w:tcW w:w="450"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674"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szCs w:val="24"/>
              </w:rPr>
              <w:t>造成严重危害后果或</w:t>
            </w:r>
            <w:r>
              <w:rPr>
                <w:rFonts w:hint="eastAsia" w:ascii="仿宋_GB2312" w:hAnsi="仿宋_GB2312" w:eastAsia="仿宋_GB2312" w:cs="仿宋_GB2312"/>
              </w:rPr>
              <w:t>造成安全事故的</w:t>
            </w:r>
          </w:p>
        </w:tc>
        <w:tc>
          <w:tcPr>
            <w:tcW w:w="787"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责令其限期整改；逾期未整改或者整改不合格的，可继续责令其限期整改，并处以超过四万元、五万元以下的罚款</w:t>
            </w:r>
          </w:p>
        </w:tc>
      </w:tr>
    </w:tbl>
    <w:p>
      <w:pPr>
        <w:widowControl/>
        <w:jc w:val="left"/>
        <w:rPr>
          <w:bCs/>
          <w:sz w:val="32"/>
          <w:szCs w:val="32"/>
        </w:rPr>
      </w:pPr>
      <w:r>
        <w:rPr>
          <w:b/>
          <w:sz w:val="32"/>
          <w:szCs w:val="32"/>
        </w:rPr>
        <w:br w:type="page"/>
      </w:r>
      <w:r>
        <w:rPr>
          <w:rFonts w:hint="eastAsia"/>
          <w:bCs/>
          <w:sz w:val="32"/>
          <w:szCs w:val="32"/>
        </w:rPr>
        <w:t>《深圳经济特区建设工程施工安全条例》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70"/>
        <w:gridCol w:w="1383"/>
        <w:gridCol w:w="1361"/>
        <w:gridCol w:w="3192"/>
        <w:gridCol w:w="1752"/>
        <w:gridCol w:w="1275"/>
        <w:gridCol w:w="1910"/>
        <w:gridCol w:w="22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37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488"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480"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1126"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618"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50"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674"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78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77"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lang w:val="en"/>
              </w:rPr>
              <w:t>107.</w:t>
            </w:r>
            <w:r>
              <w:rPr>
                <w:rFonts w:hint="eastAsia" w:ascii="仿宋_GB2312" w:hAnsi="仿宋_GB2312" w:eastAsia="仿宋_GB2312" w:cs="仿宋_GB2312"/>
              </w:rPr>
              <w:t>11</w:t>
            </w:r>
          </w:p>
        </w:tc>
        <w:tc>
          <w:tcPr>
            <w:tcW w:w="488"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施工企业作业人员未遵守施工安全的技术标准、操作规程和制度的</w:t>
            </w:r>
          </w:p>
        </w:tc>
        <w:tc>
          <w:tcPr>
            <w:tcW w:w="480"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第三十九条：“作业人员应当遵守施工安全的技术标准、操作规程和制度，提高自我保护意识。”</w:t>
            </w:r>
          </w:p>
        </w:tc>
        <w:tc>
          <w:tcPr>
            <w:tcW w:w="1126"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五十二条：“施工企业违反本条例第三十四、三十五、三十六、三十七、三十八、三十九条规定，施工现场不符合安全标准的，主管部门应当责令其限期整改；逾期未整改或者整改不合格的，可继续责令其限期整改，并处以三万元以上五万元以下的罚款。”</w:t>
            </w:r>
          </w:p>
        </w:tc>
        <w:tc>
          <w:tcPr>
            <w:tcW w:w="618"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rPr>
              <w:t>罚款</w:t>
            </w:r>
          </w:p>
        </w:tc>
        <w:tc>
          <w:tcPr>
            <w:tcW w:w="450"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674"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未造成危害后果或造成轻微危害后果的</w:t>
            </w:r>
          </w:p>
        </w:tc>
        <w:tc>
          <w:tcPr>
            <w:tcW w:w="787"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责令其限期整改；逾期未整改或者整改不合格的，可继续责令其限期整改，并处以三万元以上、低于四万元的罚款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77" w:type="pct"/>
            <w:vMerge w:val="continue"/>
            <w:vAlign w:val="center"/>
          </w:tcPr>
          <w:p>
            <w:pPr>
              <w:rPr>
                <w:rFonts w:hint="eastAsia" w:ascii="仿宋_GB2312" w:hAnsi="仿宋_GB2312" w:eastAsia="仿宋_GB2312" w:cs="仿宋_GB2312"/>
              </w:rPr>
            </w:pPr>
          </w:p>
        </w:tc>
        <w:tc>
          <w:tcPr>
            <w:tcW w:w="488" w:type="pct"/>
            <w:vMerge w:val="continue"/>
            <w:vAlign w:val="center"/>
          </w:tcPr>
          <w:p>
            <w:pPr>
              <w:rPr>
                <w:rFonts w:hint="eastAsia" w:ascii="仿宋_GB2312" w:hAnsi="仿宋_GB2312" w:eastAsia="仿宋_GB2312" w:cs="仿宋_GB2312"/>
              </w:rPr>
            </w:pPr>
          </w:p>
        </w:tc>
        <w:tc>
          <w:tcPr>
            <w:tcW w:w="480" w:type="pct"/>
            <w:vMerge w:val="continue"/>
            <w:vAlign w:val="center"/>
          </w:tcPr>
          <w:p>
            <w:pPr>
              <w:rPr>
                <w:rFonts w:hint="eastAsia" w:ascii="仿宋_GB2312" w:hAnsi="仿宋_GB2312" w:eastAsia="仿宋_GB2312" w:cs="仿宋_GB2312"/>
              </w:rPr>
            </w:pPr>
          </w:p>
        </w:tc>
        <w:tc>
          <w:tcPr>
            <w:tcW w:w="1126" w:type="pct"/>
            <w:vMerge w:val="continue"/>
            <w:vAlign w:val="center"/>
          </w:tcPr>
          <w:p>
            <w:pPr>
              <w:rPr>
                <w:rFonts w:hint="eastAsia" w:ascii="仿宋_GB2312" w:hAnsi="仿宋_GB2312" w:eastAsia="仿宋_GB2312" w:cs="仿宋_GB2312"/>
              </w:rPr>
            </w:pPr>
          </w:p>
        </w:tc>
        <w:tc>
          <w:tcPr>
            <w:tcW w:w="618" w:type="pct"/>
            <w:vMerge w:val="continue"/>
            <w:vAlign w:val="center"/>
          </w:tcPr>
          <w:p>
            <w:pPr>
              <w:jc w:val="center"/>
              <w:rPr>
                <w:rFonts w:hint="eastAsia" w:ascii="仿宋_GB2312" w:hAnsi="仿宋_GB2312" w:eastAsia="仿宋_GB2312" w:cs="仿宋_GB2312"/>
              </w:rPr>
            </w:pPr>
          </w:p>
        </w:tc>
        <w:tc>
          <w:tcPr>
            <w:tcW w:w="450"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674"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造成一般危害后果的</w:t>
            </w:r>
          </w:p>
        </w:tc>
        <w:tc>
          <w:tcPr>
            <w:tcW w:w="787"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责令其限期整改；逾期未整改或者整改不合格的，可继续责令其限期整改，并处以四万元的罚款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77" w:type="pct"/>
            <w:vMerge w:val="continue"/>
            <w:vAlign w:val="center"/>
          </w:tcPr>
          <w:p>
            <w:pPr>
              <w:rPr>
                <w:rFonts w:hint="eastAsia" w:ascii="仿宋_GB2312" w:hAnsi="仿宋_GB2312" w:eastAsia="仿宋_GB2312" w:cs="仿宋_GB2312"/>
              </w:rPr>
            </w:pPr>
          </w:p>
        </w:tc>
        <w:tc>
          <w:tcPr>
            <w:tcW w:w="488" w:type="pct"/>
            <w:vMerge w:val="continue"/>
            <w:vAlign w:val="center"/>
          </w:tcPr>
          <w:p>
            <w:pPr>
              <w:rPr>
                <w:rFonts w:hint="eastAsia" w:ascii="仿宋_GB2312" w:hAnsi="仿宋_GB2312" w:eastAsia="仿宋_GB2312" w:cs="仿宋_GB2312"/>
              </w:rPr>
            </w:pPr>
          </w:p>
        </w:tc>
        <w:tc>
          <w:tcPr>
            <w:tcW w:w="480" w:type="pct"/>
            <w:vMerge w:val="continue"/>
            <w:vAlign w:val="center"/>
          </w:tcPr>
          <w:p>
            <w:pPr>
              <w:rPr>
                <w:rFonts w:hint="eastAsia" w:ascii="仿宋_GB2312" w:hAnsi="仿宋_GB2312" w:eastAsia="仿宋_GB2312" w:cs="仿宋_GB2312"/>
              </w:rPr>
            </w:pPr>
          </w:p>
        </w:tc>
        <w:tc>
          <w:tcPr>
            <w:tcW w:w="1126" w:type="pct"/>
            <w:vMerge w:val="continue"/>
            <w:vAlign w:val="center"/>
          </w:tcPr>
          <w:p>
            <w:pPr>
              <w:rPr>
                <w:rFonts w:hint="eastAsia" w:ascii="仿宋_GB2312" w:hAnsi="仿宋_GB2312" w:eastAsia="仿宋_GB2312" w:cs="仿宋_GB2312"/>
              </w:rPr>
            </w:pPr>
          </w:p>
        </w:tc>
        <w:tc>
          <w:tcPr>
            <w:tcW w:w="618" w:type="pct"/>
            <w:vMerge w:val="continue"/>
            <w:vAlign w:val="center"/>
          </w:tcPr>
          <w:p>
            <w:pPr>
              <w:jc w:val="center"/>
              <w:rPr>
                <w:rFonts w:hint="eastAsia" w:ascii="仿宋_GB2312" w:hAnsi="仿宋_GB2312" w:eastAsia="仿宋_GB2312" w:cs="仿宋_GB2312"/>
              </w:rPr>
            </w:pPr>
          </w:p>
        </w:tc>
        <w:tc>
          <w:tcPr>
            <w:tcW w:w="450"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674"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szCs w:val="24"/>
              </w:rPr>
              <w:t>造成严重危害后果或</w:t>
            </w:r>
            <w:r>
              <w:rPr>
                <w:rFonts w:hint="eastAsia" w:ascii="仿宋_GB2312" w:hAnsi="仿宋_GB2312" w:eastAsia="仿宋_GB2312" w:cs="仿宋_GB2312"/>
              </w:rPr>
              <w:t>造成安全事故的</w:t>
            </w:r>
          </w:p>
        </w:tc>
        <w:tc>
          <w:tcPr>
            <w:tcW w:w="787"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责令其限期整改；逾期未整改或者整改不合格的，可继续责令其限期整改，并处以超过四万元、五万元以下的罚款</w:t>
            </w:r>
          </w:p>
        </w:tc>
      </w:tr>
    </w:tbl>
    <w:p>
      <w:pPr>
        <w:rPr>
          <w:rFonts w:eastAsia="宋体" w:cs="Times New Roman"/>
          <w:bCs/>
          <w:sz w:val="32"/>
          <w:szCs w:val="32"/>
        </w:rPr>
      </w:pPr>
      <w:r>
        <w:rPr>
          <w:rFonts w:hint="eastAsia" w:eastAsia="宋体" w:cs="Times New Roman"/>
          <w:bCs/>
          <w:sz w:val="32"/>
          <w:szCs w:val="32"/>
        </w:rPr>
        <w:t>《深圳经济特区建设工程施工安全条例》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70"/>
        <w:gridCol w:w="1383"/>
        <w:gridCol w:w="2180"/>
        <w:gridCol w:w="2373"/>
        <w:gridCol w:w="1752"/>
        <w:gridCol w:w="1275"/>
        <w:gridCol w:w="1910"/>
        <w:gridCol w:w="22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37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488"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769"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83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618"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50"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674"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78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77"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lang w:val="en"/>
              </w:rPr>
              <w:t>107.</w:t>
            </w:r>
            <w:r>
              <w:rPr>
                <w:rFonts w:hint="eastAsia" w:ascii="仿宋_GB2312" w:hAnsi="仿宋_GB2312" w:eastAsia="仿宋_GB2312" w:cs="仿宋_GB2312"/>
              </w:rPr>
              <w:t>12</w:t>
            </w:r>
          </w:p>
        </w:tc>
        <w:tc>
          <w:tcPr>
            <w:tcW w:w="488"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施工企业违反本条例规定，导致发生重伤一至二人的施工事故的</w:t>
            </w:r>
          </w:p>
        </w:tc>
        <w:tc>
          <w:tcPr>
            <w:tcW w:w="769"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第五十三条第一项：“施工企业违反本条例规定，有下列行为之一的，主管部门应当给予处罚：（一）发生重伤一至二人的施工事故的，责令该工程项目停工三至五天。”</w:t>
            </w:r>
          </w:p>
        </w:tc>
        <w:tc>
          <w:tcPr>
            <w:tcW w:w="837"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第五十三条第一项：“施工企业违反本条例规定，有下列行为之一的，主管部门应当给予处罚：（一）发生重伤一至二人的施工事故的，责令该工程项目停工三至五天。”</w:t>
            </w:r>
          </w:p>
        </w:tc>
        <w:tc>
          <w:tcPr>
            <w:tcW w:w="618"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rPr>
              <w:t>责令停产停业</w:t>
            </w:r>
          </w:p>
        </w:tc>
        <w:tc>
          <w:tcPr>
            <w:tcW w:w="450"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674" w:type="pct"/>
            <w:vAlign w:val="center"/>
          </w:tcPr>
          <w:p>
            <w:pPr>
              <w:rPr>
                <w:rFonts w:hint="eastAsia" w:ascii="仿宋_GB2312" w:hAnsi="仿宋_GB2312" w:eastAsia="仿宋_GB2312" w:cs="仿宋_GB2312"/>
              </w:rPr>
            </w:pPr>
            <w:r>
              <w:rPr>
                <w:rFonts w:hint="eastAsia" w:ascii="仿宋_GB2312" w:hAnsi="仿宋_GB2312" w:eastAsia="仿宋_GB2312" w:cs="仿宋_GB2312"/>
              </w:rPr>
              <w:t>发生重伤一人施工事故，</w:t>
            </w:r>
            <w:r>
              <w:rPr>
                <w:rFonts w:hint="eastAsia" w:ascii="仿宋_GB2312" w:hAnsi="仿宋_GB2312" w:eastAsia="仿宋_GB2312" w:cs="仿宋_GB2312"/>
                <w:bCs/>
                <w:color w:val="000000"/>
                <w:kern w:val="0"/>
                <w:szCs w:val="21"/>
              </w:rPr>
              <w:t>未造成其他危害后果的</w:t>
            </w:r>
          </w:p>
        </w:tc>
        <w:tc>
          <w:tcPr>
            <w:tcW w:w="787"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责令工程项目停工三天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77" w:type="pct"/>
            <w:vMerge w:val="continue"/>
            <w:vAlign w:val="center"/>
          </w:tcPr>
          <w:p>
            <w:pPr>
              <w:rPr>
                <w:rFonts w:hint="eastAsia" w:ascii="仿宋_GB2312" w:hAnsi="仿宋_GB2312" w:eastAsia="仿宋_GB2312" w:cs="仿宋_GB2312"/>
              </w:rPr>
            </w:pPr>
          </w:p>
        </w:tc>
        <w:tc>
          <w:tcPr>
            <w:tcW w:w="488" w:type="pct"/>
            <w:vMerge w:val="continue"/>
            <w:vAlign w:val="center"/>
          </w:tcPr>
          <w:p>
            <w:pPr>
              <w:rPr>
                <w:rFonts w:hint="eastAsia" w:ascii="仿宋_GB2312" w:hAnsi="仿宋_GB2312" w:eastAsia="仿宋_GB2312" w:cs="仿宋_GB2312"/>
              </w:rPr>
            </w:pPr>
          </w:p>
        </w:tc>
        <w:tc>
          <w:tcPr>
            <w:tcW w:w="769" w:type="pct"/>
            <w:vMerge w:val="continue"/>
            <w:vAlign w:val="center"/>
          </w:tcPr>
          <w:p>
            <w:pPr>
              <w:rPr>
                <w:rFonts w:hint="eastAsia" w:ascii="仿宋_GB2312" w:hAnsi="仿宋_GB2312" w:eastAsia="仿宋_GB2312" w:cs="仿宋_GB2312"/>
              </w:rPr>
            </w:pPr>
          </w:p>
        </w:tc>
        <w:tc>
          <w:tcPr>
            <w:tcW w:w="837" w:type="pct"/>
            <w:vMerge w:val="continue"/>
            <w:vAlign w:val="center"/>
          </w:tcPr>
          <w:p>
            <w:pPr>
              <w:rPr>
                <w:rFonts w:hint="eastAsia" w:ascii="仿宋_GB2312" w:hAnsi="仿宋_GB2312" w:eastAsia="仿宋_GB2312" w:cs="仿宋_GB2312"/>
              </w:rPr>
            </w:pPr>
          </w:p>
        </w:tc>
        <w:tc>
          <w:tcPr>
            <w:tcW w:w="618" w:type="pct"/>
            <w:vMerge w:val="continue"/>
            <w:vAlign w:val="center"/>
          </w:tcPr>
          <w:p>
            <w:pPr>
              <w:jc w:val="center"/>
              <w:rPr>
                <w:rFonts w:hint="eastAsia" w:ascii="仿宋_GB2312" w:hAnsi="仿宋_GB2312" w:eastAsia="仿宋_GB2312" w:cs="仿宋_GB2312"/>
              </w:rPr>
            </w:pPr>
          </w:p>
        </w:tc>
        <w:tc>
          <w:tcPr>
            <w:tcW w:w="450"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674" w:type="pct"/>
            <w:vAlign w:val="center"/>
          </w:tcPr>
          <w:p>
            <w:pPr>
              <w:rPr>
                <w:rFonts w:hint="eastAsia" w:ascii="仿宋_GB2312" w:hAnsi="仿宋_GB2312" w:eastAsia="仿宋_GB2312" w:cs="仿宋_GB2312"/>
              </w:rPr>
            </w:pPr>
            <w:r>
              <w:rPr>
                <w:rFonts w:hint="eastAsia" w:ascii="仿宋_GB2312" w:hAnsi="仿宋_GB2312" w:eastAsia="仿宋_GB2312" w:cs="仿宋_GB2312"/>
              </w:rPr>
              <w:t>发生重伤一人施工事故，</w:t>
            </w:r>
            <w:r>
              <w:rPr>
                <w:rFonts w:hint="eastAsia" w:ascii="仿宋_GB2312" w:hAnsi="仿宋_GB2312" w:eastAsia="仿宋_GB2312" w:cs="仿宋_GB2312"/>
                <w:bCs/>
                <w:color w:val="000000"/>
                <w:kern w:val="0"/>
                <w:szCs w:val="21"/>
              </w:rPr>
              <w:t>造成其他轻微危害后果的</w:t>
            </w:r>
          </w:p>
        </w:tc>
        <w:tc>
          <w:tcPr>
            <w:tcW w:w="787"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责令工程项目停工四天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77" w:type="pct"/>
            <w:vMerge w:val="continue"/>
            <w:vAlign w:val="center"/>
          </w:tcPr>
          <w:p>
            <w:pPr>
              <w:rPr>
                <w:rFonts w:hint="eastAsia" w:ascii="仿宋_GB2312" w:hAnsi="仿宋_GB2312" w:eastAsia="仿宋_GB2312" w:cs="仿宋_GB2312"/>
              </w:rPr>
            </w:pPr>
          </w:p>
        </w:tc>
        <w:tc>
          <w:tcPr>
            <w:tcW w:w="488" w:type="pct"/>
            <w:vMerge w:val="continue"/>
            <w:vAlign w:val="center"/>
          </w:tcPr>
          <w:p>
            <w:pPr>
              <w:rPr>
                <w:rFonts w:hint="eastAsia" w:ascii="仿宋_GB2312" w:hAnsi="仿宋_GB2312" w:eastAsia="仿宋_GB2312" w:cs="仿宋_GB2312"/>
              </w:rPr>
            </w:pPr>
          </w:p>
        </w:tc>
        <w:tc>
          <w:tcPr>
            <w:tcW w:w="769" w:type="pct"/>
            <w:vMerge w:val="continue"/>
            <w:vAlign w:val="center"/>
          </w:tcPr>
          <w:p>
            <w:pPr>
              <w:rPr>
                <w:rFonts w:hint="eastAsia" w:ascii="仿宋_GB2312" w:hAnsi="仿宋_GB2312" w:eastAsia="仿宋_GB2312" w:cs="仿宋_GB2312"/>
              </w:rPr>
            </w:pPr>
          </w:p>
        </w:tc>
        <w:tc>
          <w:tcPr>
            <w:tcW w:w="837" w:type="pct"/>
            <w:vMerge w:val="continue"/>
            <w:vAlign w:val="center"/>
          </w:tcPr>
          <w:p>
            <w:pPr>
              <w:rPr>
                <w:rFonts w:hint="eastAsia" w:ascii="仿宋_GB2312" w:hAnsi="仿宋_GB2312" w:eastAsia="仿宋_GB2312" w:cs="仿宋_GB2312"/>
              </w:rPr>
            </w:pPr>
          </w:p>
        </w:tc>
        <w:tc>
          <w:tcPr>
            <w:tcW w:w="618" w:type="pct"/>
            <w:vMerge w:val="continue"/>
            <w:vAlign w:val="center"/>
          </w:tcPr>
          <w:p>
            <w:pPr>
              <w:jc w:val="center"/>
              <w:rPr>
                <w:rFonts w:hint="eastAsia" w:ascii="仿宋_GB2312" w:hAnsi="仿宋_GB2312" w:eastAsia="仿宋_GB2312" w:cs="仿宋_GB2312"/>
              </w:rPr>
            </w:pPr>
          </w:p>
        </w:tc>
        <w:tc>
          <w:tcPr>
            <w:tcW w:w="450"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674" w:type="pct"/>
            <w:vAlign w:val="center"/>
          </w:tcPr>
          <w:p>
            <w:pPr>
              <w:rPr>
                <w:rFonts w:hint="eastAsia" w:ascii="仿宋_GB2312" w:hAnsi="仿宋_GB2312" w:eastAsia="仿宋_GB2312" w:cs="仿宋_GB2312"/>
              </w:rPr>
            </w:pPr>
            <w:r>
              <w:rPr>
                <w:rFonts w:hint="eastAsia" w:ascii="仿宋_GB2312" w:hAnsi="仿宋_GB2312" w:eastAsia="仿宋_GB2312" w:cs="仿宋_GB2312"/>
              </w:rPr>
              <w:t>发生重伤一人施工事故，</w:t>
            </w:r>
            <w:r>
              <w:rPr>
                <w:rFonts w:hint="eastAsia" w:ascii="仿宋_GB2312" w:hAnsi="仿宋_GB2312" w:eastAsia="仿宋_GB2312" w:cs="仿宋_GB2312"/>
                <w:bCs/>
                <w:color w:val="000000"/>
                <w:kern w:val="0"/>
                <w:szCs w:val="21"/>
              </w:rPr>
              <w:t>造成其他一般以上危害后果的，或</w:t>
            </w:r>
            <w:r>
              <w:rPr>
                <w:rFonts w:hint="eastAsia" w:ascii="仿宋_GB2312" w:hAnsi="仿宋_GB2312" w:eastAsia="仿宋_GB2312" w:cs="仿宋_GB2312"/>
              </w:rPr>
              <w:t>发生重伤二人以上施工事故的</w:t>
            </w:r>
          </w:p>
        </w:tc>
        <w:tc>
          <w:tcPr>
            <w:tcW w:w="787"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责令工程项目停工五天</w:t>
            </w:r>
          </w:p>
        </w:tc>
      </w:tr>
    </w:tbl>
    <w:p>
      <w:pPr>
        <w:rPr>
          <w:rFonts w:eastAsia="宋体" w:cs="Times New Roman"/>
          <w:bCs/>
          <w:sz w:val="32"/>
          <w:szCs w:val="32"/>
        </w:rPr>
      </w:pPr>
      <w:r>
        <w:rPr>
          <w:rFonts w:hint="eastAsia" w:eastAsia="宋体" w:cs="Times New Roman"/>
          <w:bCs/>
          <w:sz w:val="32"/>
          <w:szCs w:val="32"/>
        </w:rPr>
        <w:t>《深圳经济特区建设工程施工安全条例》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7"/>
        <w:gridCol w:w="1363"/>
        <w:gridCol w:w="2268"/>
        <w:gridCol w:w="2229"/>
        <w:gridCol w:w="1730"/>
        <w:gridCol w:w="1259"/>
        <w:gridCol w:w="1885"/>
        <w:gridCol w:w="23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373"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481"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800"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786"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610"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44"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665"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841"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999" w:hRule="atLeast"/>
        </w:trPr>
        <w:tc>
          <w:tcPr>
            <w:tcW w:w="373"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lang w:val="en"/>
              </w:rPr>
              <w:t>107.</w:t>
            </w:r>
            <w:r>
              <w:rPr>
                <w:rFonts w:hint="eastAsia" w:ascii="仿宋_GB2312" w:hAnsi="仿宋_GB2312" w:eastAsia="仿宋_GB2312" w:cs="仿宋_GB2312"/>
              </w:rPr>
              <w:t>13</w:t>
            </w:r>
          </w:p>
        </w:tc>
        <w:tc>
          <w:tcPr>
            <w:tcW w:w="481"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施工企业违反本条例规定，导致发生四级重大事故的</w:t>
            </w:r>
          </w:p>
        </w:tc>
        <w:tc>
          <w:tcPr>
            <w:tcW w:w="800"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第五十三条第二项：“施工企业违反本条例规定，有下列行为之一的，主管部门应当给予处罚：（二）发生四级重大事故的，主管部门应当责令该工程项目停工七天，暂扣承建资格证书三十日至六十日。”</w:t>
            </w:r>
          </w:p>
        </w:tc>
        <w:tc>
          <w:tcPr>
            <w:tcW w:w="786"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第五十三条第二项：“施工企业违反本条例规定，有下列行为之一的，主管部门应当给予处罚：（二）发生四级重大事故的，主管部门应当责令该工程项目停工七天，暂扣承建资格证书三十日至六十日。”</w:t>
            </w:r>
          </w:p>
        </w:tc>
        <w:tc>
          <w:tcPr>
            <w:tcW w:w="610"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责令停产停业；暂扣许可证件</w:t>
            </w:r>
          </w:p>
        </w:tc>
        <w:tc>
          <w:tcPr>
            <w:tcW w:w="444"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665" w:type="pct"/>
            <w:vAlign w:val="center"/>
          </w:tcPr>
          <w:p>
            <w:pPr>
              <w:rPr>
                <w:rFonts w:hint="eastAsia" w:ascii="仿宋_GB2312" w:hAnsi="仿宋_GB2312" w:eastAsia="仿宋_GB2312" w:cs="仿宋_GB2312"/>
              </w:rPr>
            </w:pPr>
            <w:r>
              <w:rPr>
                <w:rFonts w:hint="eastAsia" w:ascii="仿宋_GB2312" w:hAnsi="仿宋_GB2312" w:eastAsia="仿宋_GB2312" w:cs="仿宋_GB2312"/>
              </w:rPr>
              <w:t>未造成人员死亡，或者2人重伤，或者200万元以下直接经济损失的事故</w:t>
            </w:r>
          </w:p>
        </w:tc>
        <w:tc>
          <w:tcPr>
            <w:tcW w:w="841"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责令工程项目停工七天，暂扣承建资格证书三十日以上、低于四十五日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01" w:hRule="atLeast"/>
        </w:trPr>
        <w:tc>
          <w:tcPr>
            <w:tcW w:w="373" w:type="pct"/>
            <w:vMerge w:val="continue"/>
            <w:vAlign w:val="center"/>
          </w:tcPr>
          <w:p>
            <w:pPr>
              <w:rPr>
                <w:rFonts w:hint="eastAsia" w:ascii="仿宋_GB2312" w:hAnsi="仿宋_GB2312" w:eastAsia="仿宋_GB2312" w:cs="仿宋_GB2312"/>
              </w:rPr>
            </w:pPr>
          </w:p>
        </w:tc>
        <w:tc>
          <w:tcPr>
            <w:tcW w:w="481" w:type="pct"/>
            <w:vMerge w:val="continue"/>
            <w:vAlign w:val="center"/>
          </w:tcPr>
          <w:p>
            <w:pPr>
              <w:rPr>
                <w:rFonts w:hint="eastAsia" w:ascii="仿宋_GB2312" w:hAnsi="仿宋_GB2312" w:eastAsia="仿宋_GB2312" w:cs="仿宋_GB2312"/>
              </w:rPr>
            </w:pPr>
          </w:p>
        </w:tc>
        <w:tc>
          <w:tcPr>
            <w:tcW w:w="800" w:type="pct"/>
            <w:vMerge w:val="continue"/>
            <w:vAlign w:val="center"/>
          </w:tcPr>
          <w:p>
            <w:pPr>
              <w:rPr>
                <w:rFonts w:hint="eastAsia" w:ascii="仿宋_GB2312" w:hAnsi="仿宋_GB2312" w:eastAsia="仿宋_GB2312" w:cs="仿宋_GB2312"/>
              </w:rPr>
            </w:pPr>
          </w:p>
        </w:tc>
        <w:tc>
          <w:tcPr>
            <w:tcW w:w="786" w:type="pct"/>
            <w:vMerge w:val="continue"/>
            <w:vAlign w:val="center"/>
          </w:tcPr>
          <w:p>
            <w:pPr>
              <w:rPr>
                <w:rFonts w:hint="eastAsia" w:ascii="仿宋_GB2312" w:hAnsi="仿宋_GB2312" w:eastAsia="仿宋_GB2312" w:cs="仿宋_GB2312"/>
              </w:rPr>
            </w:pPr>
          </w:p>
        </w:tc>
        <w:tc>
          <w:tcPr>
            <w:tcW w:w="610" w:type="pct"/>
            <w:vMerge w:val="continue"/>
            <w:vAlign w:val="center"/>
          </w:tcPr>
          <w:p>
            <w:pPr>
              <w:jc w:val="center"/>
              <w:rPr>
                <w:rFonts w:hint="eastAsia" w:ascii="仿宋_GB2312" w:hAnsi="仿宋_GB2312" w:eastAsia="仿宋_GB2312" w:cs="仿宋_GB2312"/>
              </w:rPr>
            </w:pPr>
          </w:p>
        </w:tc>
        <w:tc>
          <w:tcPr>
            <w:tcW w:w="444"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665" w:type="pct"/>
            <w:vAlign w:val="center"/>
          </w:tcPr>
          <w:p>
            <w:pPr>
              <w:rPr>
                <w:rFonts w:hint="eastAsia" w:ascii="仿宋_GB2312" w:hAnsi="仿宋_GB2312" w:eastAsia="仿宋_GB2312" w:cs="仿宋_GB2312"/>
              </w:rPr>
            </w:pPr>
            <w:r>
              <w:rPr>
                <w:rFonts w:hint="eastAsia" w:ascii="仿宋_GB2312" w:hAnsi="仿宋_GB2312" w:eastAsia="仿宋_GB2312" w:cs="仿宋_GB2312"/>
              </w:rPr>
              <w:t>造成1人死亡，或者超过2人、5人以下重伤，或者超过200万元、500万元以下直接经济损失的事故</w:t>
            </w:r>
          </w:p>
        </w:tc>
        <w:tc>
          <w:tcPr>
            <w:tcW w:w="841"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责令工程项目停工七天，暂扣承建资格证书四十五日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71" w:hRule="atLeast"/>
        </w:trPr>
        <w:tc>
          <w:tcPr>
            <w:tcW w:w="373" w:type="pct"/>
            <w:vMerge w:val="continue"/>
            <w:vAlign w:val="center"/>
          </w:tcPr>
          <w:p>
            <w:pPr>
              <w:rPr>
                <w:rFonts w:hint="eastAsia" w:ascii="仿宋_GB2312" w:hAnsi="仿宋_GB2312" w:eastAsia="仿宋_GB2312" w:cs="仿宋_GB2312"/>
              </w:rPr>
            </w:pPr>
          </w:p>
        </w:tc>
        <w:tc>
          <w:tcPr>
            <w:tcW w:w="481" w:type="pct"/>
            <w:vMerge w:val="continue"/>
            <w:vAlign w:val="center"/>
          </w:tcPr>
          <w:p>
            <w:pPr>
              <w:rPr>
                <w:rFonts w:hint="eastAsia" w:ascii="仿宋_GB2312" w:hAnsi="仿宋_GB2312" w:eastAsia="仿宋_GB2312" w:cs="仿宋_GB2312"/>
              </w:rPr>
            </w:pPr>
          </w:p>
        </w:tc>
        <w:tc>
          <w:tcPr>
            <w:tcW w:w="800" w:type="pct"/>
            <w:vMerge w:val="continue"/>
            <w:vAlign w:val="center"/>
          </w:tcPr>
          <w:p>
            <w:pPr>
              <w:rPr>
                <w:rFonts w:hint="eastAsia" w:ascii="仿宋_GB2312" w:hAnsi="仿宋_GB2312" w:eastAsia="仿宋_GB2312" w:cs="仿宋_GB2312"/>
              </w:rPr>
            </w:pPr>
          </w:p>
        </w:tc>
        <w:tc>
          <w:tcPr>
            <w:tcW w:w="786" w:type="pct"/>
            <w:vMerge w:val="continue"/>
            <w:vAlign w:val="center"/>
          </w:tcPr>
          <w:p>
            <w:pPr>
              <w:rPr>
                <w:rFonts w:hint="eastAsia" w:ascii="仿宋_GB2312" w:hAnsi="仿宋_GB2312" w:eastAsia="仿宋_GB2312" w:cs="仿宋_GB2312"/>
              </w:rPr>
            </w:pPr>
          </w:p>
        </w:tc>
        <w:tc>
          <w:tcPr>
            <w:tcW w:w="610" w:type="pct"/>
            <w:vMerge w:val="continue"/>
            <w:vAlign w:val="center"/>
          </w:tcPr>
          <w:p>
            <w:pPr>
              <w:jc w:val="center"/>
              <w:rPr>
                <w:rFonts w:hint="eastAsia" w:ascii="仿宋_GB2312" w:hAnsi="仿宋_GB2312" w:eastAsia="仿宋_GB2312" w:cs="仿宋_GB2312"/>
              </w:rPr>
            </w:pPr>
          </w:p>
        </w:tc>
        <w:tc>
          <w:tcPr>
            <w:tcW w:w="444"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665" w:type="pct"/>
            <w:vAlign w:val="center"/>
          </w:tcPr>
          <w:p>
            <w:pPr>
              <w:rPr>
                <w:rFonts w:hint="eastAsia" w:ascii="仿宋_GB2312" w:hAnsi="仿宋_GB2312" w:eastAsia="仿宋_GB2312" w:cs="仿宋_GB2312"/>
              </w:rPr>
            </w:pPr>
            <w:r>
              <w:rPr>
                <w:rFonts w:hint="eastAsia" w:ascii="仿宋_GB2312" w:hAnsi="仿宋_GB2312" w:eastAsia="仿宋_GB2312" w:cs="仿宋_GB2312"/>
              </w:rPr>
              <w:t>造成2人死亡，或者超过5人、10人以下重伤，或者超过500万元、低于1000万元直接经济损失的事故</w:t>
            </w:r>
          </w:p>
        </w:tc>
        <w:tc>
          <w:tcPr>
            <w:tcW w:w="841"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责令工程项目停工七天，暂扣承建资格证书超过四十五日、六十日以下</w:t>
            </w:r>
          </w:p>
        </w:tc>
      </w:tr>
    </w:tbl>
    <w:p>
      <w:pPr>
        <w:rPr>
          <w:bCs/>
          <w:sz w:val="32"/>
          <w:szCs w:val="32"/>
        </w:rPr>
      </w:pPr>
      <w:r>
        <w:rPr>
          <w:rFonts w:hint="eastAsia"/>
          <w:bCs/>
          <w:sz w:val="32"/>
          <w:szCs w:val="32"/>
        </w:rPr>
        <w:t>《深圳经济特区建设工程监理条例》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49"/>
        <w:gridCol w:w="1392"/>
        <w:gridCol w:w="2931"/>
        <w:gridCol w:w="2107"/>
        <w:gridCol w:w="1210"/>
        <w:gridCol w:w="1321"/>
        <w:gridCol w:w="2472"/>
        <w:gridCol w:w="16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70"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491"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1034"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743"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42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66"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872"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59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0"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lang w:val="en"/>
              </w:rPr>
              <w:t>108.1</w:t>
            </w:r>
          </w:p>
        </w:tc>
        <w:tc>
          <w:tcPr>
            <w:tcW w:w="491"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建设单位应当委托监理而未委托的</w:t>
            </w:r>
          </w:p>
        </w:tc>
        <w:tc>
          <w:tcPr>
            <w:tcW w:w="1034"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六条：“下列建设工程的施工阶段和保修阶段应当实行监理：（一）总投资额在人民币三百万元以上的建设工程；（二）总投资额在人民币三百万元以下的桥梁、地下通道、燃气管道、锅炉、压力容器和压力管道等涉及公众安全的建设工程；（三）国家规定应当实行监理的其他建设工程。”</w:t>
            </w:r>
          </w:p>
        </w:tc>
        <w:tc>
          <w:tcPr>
            <w:tcW w:w="743"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第四十二条第一项：“建设单位有下列行为之一的，应当责令改正，并按以下规定处罚：（一）违反本条例第六条规定，应当委托监理而未委托的，处工程总造价百分之二以上百分之四以下罚款。”</w:t>
            </w:r>
          </w:p>
        </w:tc>
        <w:tc>
          <w:tcPr>
            <w:tcW w:w="427"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rPr>
              <w:t>罚款</w:t>
            </w:r>
          </w:p>
        </w:tc>
        <w:tc>
          <w:tcPr>
            <w:tcW w:w="466"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872" w:type="pct"/>
            <w:vAlign w:val="center"/>
          </w:tcPr>
          <w:p>
            <w:pPr>
              <w:rPr>
                <w:rFonts w:hint="eastAsia" w:ascii="仿宋_GB2312" w:hAnsi="仿宋_GB2312" w:eastAsia="仿宋_GB2312" w:cs="仿宋_GB2312"/>
              </w:rPr>
            </w:pPr>
            <w:r>
              <w:rPr>
                <w:rFonts w:hint="eastAsia" w:ascii="仿宋_GB2312" w:hAnsi="仿宋_GB2312" w:eastAsia="仿宋_GB2312" w:cs="仿宋_GB2312"/>
              </w:rPr>
              <w:t>工程已开工，但未涉及结构安全及重要使用功能且未发生工程质量事故的</w:t>
            </w:r>
          </w:p>
        </w:tc>
        <w:tc>
          <w:tcPr>
            <w:tcW w:w="597"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责令改正，并处工程总造价百分之二以上、低于百分之三的罚款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0" w:type="pct"/>
            <w:vMerge w:val="continue"/>
            <w:vAlign w:val="center"/>
          </w:tcPr>
          <w:p>
            <w:pPr>
              <w:rPr>
                <w:rFonts w:hint="eastAsia" w:ascii="仿宋_GB2312" w:hAnsi="仿宋_GB2312" w:eastAsia="仿宋_GB2312" w:cs="仿宋_GB2312"/>
              </w:rPr>
            </w:pPr>
          </w:p>
        </w:tc>
        <w:tc>
          <w:tcPr>
            <w:tcW w:w="491" w:type="pct"/>
            <w:vMerge w:val="continue"/>
            <w:vAlign w:val="center"/>
          </w:tcPr>
          <w:p>
            <w:pPr>
              <w:rPr>
                <w:rFonts w:hint="eastAsia" w:ascii="仿宋_GB2312" w:hAnsi="仿宋_GB2312" w:eastAsia="仿宋_GB2312" w:cs="仿宋_GB2312"/>
              </w:rPr>
            </w:pPr>
          </w:p>
        </w:tc>
        <w:tc>
          <w:tcPr>
            <w:tcW w:w="1034" w:type="pct"/>
            <w:vMerge w:val="continue"/>
            <w:vAlign w:val="center"/>
          </w:tcPr>
          <w:p>
            <w:pPr>
              <w:rPr>
                <w:rFonts w:hint="eastAsia" w:ascii="仿宋_GB2312" w:hAnsi="仿宋_GB2312" w:eastAsia="仿宋_GB2312" w:cs="仿宋_GB2312"/>
              </w:rPr>
            </w:pPr>
          </w:p>
        </w:tc>
        <w:tc>
          <w:tcPr>
            <w:tcW w:w="743" w:type="pct"/>
            <w:vMerge w:val="continue"/>
            <w:vAlign w:val="center"/>
          </w:tcPr>
          <w:p>
            <w:pPr>
              <w:rPr>
                <w:rFonts w:hint="eastAsia" w:ascii="仿宋_GB2312" w:hAnsi="仿宋_GB2312" w:eastAsia="仿宋_GB2312" w:cs="仿宋_GB2312"/>
              </w:rPr>
            </w:pPr>
          </w:p>
        </w:tc>
        <w:tc>
          <w:tcPr>
            <w:tcW w:w="427" w:type="pct"/>
            <w:vMerge w:val="continue"/>
            <w:vAlign w:val="center"/>
          </w:tcPr>
          <w:p>
            <w:pPr>
              <w:jc w:val="center"/>
              <w:rPr>
                <w:rFonts w:hint="eastAsia" w:ascii="仿宋_GB2312" w:hAnsi="仿宋_GB2312" w:eastAsia="仿宋_GB2312" w:cs="仿宋_GB2312"/>
              </w:rPr>
            </w:pPr>
          </w:p>
        </w:tc>
        <w:tc>
          <w:tcPr>
            <w:tcW w:w="466"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872" w:type="pct"/>
            <w:vAlign w:val="center"/>
          </w:tcPr>
          <w:p>
            <w:pPr>
              <w:rPr>
                <w:rFonts w:hint="eastAsia" w:ascii="仿宋_GB2312" w:hAnsi="仿宋_GB2312" w:eastAsia="仿宋_GB2312" w:cs="仿宋_GB2312"/>
              </w:rPr>
            </w:pPr>
            <w:r>
              <w:rPr>
                <w:rFonts w:hint="eastAsia" w:ascii="仿宋_GB2312" w:hAnsi="仿宋_GB2312" w:eastAsia="仿宋_GB2312" w:cs="仿宋_GB2312"/>
              </w:rPr>
              <w:t>工程已开工，且已施工工程总量的百分之五十以下但未发生安全事故的</w:t>
            </w:r>
          </w:p>
        </w:tc>
        <w:tc>
          <w:tcPr>
            <w:tcW w:w="597"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责令改正，并处工程总造价百分之三的罚款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0" w:type="pct"/>
            <w:vMerge w:val="continue"/>
            <w:vAlign w:val="center"/>
          </w:tcPr>
          <w:p>
            <w:pPr>
              <w:rPr>
                <w:rFonts w:hint="eastAsia" w:ascii="仿宋_GB2312" w:hAnsi="仿宋_GB2312" w:eastAsia="仿宋_GB2312" w:cs="仿宋_GB2312"/>
              </w:rPr>
            </w:pPr>
          </w:p>
        </w:tc>
        <w:tc>
          <w:tcPr>
            <w:tcW w:w="491" w:type="pct"/>
            <w:vMerge w:val="continue"/>
            <w:vAlign w:val="center"/>
          </w:tcPr>
          <w:p>
            <w:pPr>
              <w:rPr>
                <w:rFonts w:hint="eastAsia" w:ascii="仿宋_GB2312" w:hAnsi="仿宋_GB2312" w:eastAsia="仿宋_GB2312" w:cs="仿宋_GB2312"/>
              </w:rPr>
            </w:pPr>
          </w:p>
        </w:tc>
        <w:tc>
          <w:tcPr>
            <w:tcW w:w="1034" w:type="pct"/>
            <w:vMerge w:val="continue"/>
            <w:vAlign w:val="center"/>
          </w:tcPr>
          <w:p>
            <w:pPr>
              <w:rPr>
                <w:rFonts w:hint="eastAsia" w:ascii="仿宋_GB2312" w:hAnsi="仿宋_GB2312" w:eastAsia="仿宋_GB2312" w:cs="仿宋_GB2312"/>
              </w:rPr>
            </w:pPr>
          </w:p>
        </w:tc>
        <w:tc>
          <w:tcPr>
            <w:tcW w:w="743" w:type="pct"/>
            <w:vMerge w:val="continue"/>
            <w:vAlign w:val="center"/>
          </w:tcPr>
          <w:p>
            <w:pPr>
              <w:rPr>
                <w:rFonts w:hint="eastAsia" w:ascii="仿宋_GB2312" w:hAnsi="仿宋_GB2312" w:eastAsia="仿宋_GB2312" w:cs="仿宋_GB2312"/>
              </w:rPr>
            </w:pPr>
          </w:p>
        </w:tc>
        <w:tc>
          <w:tcPr>
            <w:tcW w:w="427" w:type="pct"/>
            <w:vMerge w:val="continue"/>
            <w:vAlign w:val="center"/>
          </w:tcPr>
          <w:p>
            <w:pPr>
              <w:jc w:val="center"/>
              <w:rPr>
                <w:rFonts w:hint="eastAsia" w:ascii="仿宋_GB2312" w:hAnsi="仿宋_GB2312" w:eastAsia="仿宋_GB2312" w:cs="仿宋_GB2312"/>
              </w:rPr>
            </w:pPr>
          </w:p>
        </w:tc>
        <w:tc>
          <w:tcPr>
            <w:tcW w:w="466"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872" w:type="pct"/>
            <w:vAlign w:val="center"/>
          </w:tcPr>
          <w:p>
            <w:pPr>
              <w:rPr>
                <w:rFonts w:hint="eastAsia" w:ascii="仿宋_GB2312" w:hAnsi="仿宋_GB2312" w:eastAsia="仿宋_GB2312" w:cs="仿宋_GB2312"/>
              </w:rPr>
            </w:pPr>
            <w:r>
              <w:rPr>
                <w:rFonts w:hint="eastAsia" w:ascii="仿宋_GB2312" w:hAnsi="仿宋_GB2312" w:eastAsia="仿宋_GB2312" w:cs="仿宋_GB2312"/>
              </w:rPr>
              <w:t>工程已开工，且已施工至工程总量的超过百分之五十；或未施工至工程总量百分之五十以上，但发生工程质量安全事故的</w:t>
            </w:r>
          </w:p>
        </w:tc>
        <w:tc>
          <w:tcPr>
            <w:tcW w:w="597"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责令改正，并处超过工程总造价百分之三、百分之四以下罚款</w:t>
            </w:r>
          </w:p>
        </w:tc>
      </w:tr>
    </w:tbl>
    <w:p>
      <w:pPr>
        <w:widowControl/>
        <w:jc w:val="left"/>
        <w:rPr>
          <w:bCs/>
          <w:sz w:val="32"/>
          <w:szCs w:val="32"/>
        </w:rPr>
      </w:pPr>
      <w:r>
        <w:rPr>
          <w:b/>
          <w:sz w:val="32"/>
          <w:szCs w:val="32"/>
        </w:rPr>
        <w:br w:type="page"/>
      </w:r>
      <w:r>
        <w:rPr>
          <w:rFonts w:hint="eastAsia"/>
          <w:bCs/>
          <w:sz w:val="32"/>
          <w:szCs w:val="32"/>
        </w:rPr>
        <w:t>《深圳经济特区建设工程监理条例》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69"/>
        <w:gridCol w:w="1519"/>
        <w:gridCol w:w="2455"/>
        <w:gridCol w:w="2455"/>
        <w:gridCol w:w="1259"/>
        <w:gridCol w:w="1275"/>
        <w:gridCol w:w="1910"/>
        <w:gridCol w:w="22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7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536"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866"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866"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444"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50"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674"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78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7"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lang w:val="en"/>
              </w:rPr>
              <w:t>108.2</w:t>
            </w:r>
          </w:p>
        </w:tc>
        <w:tc>
          <w:tcPr>
            <w:tcW w:w="536"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建设单位应当采用招标方式确定监理单位而未招标或者虚假招标的</w:t>
            </w:r>
          </w:p>
        </w:tc>
        <w:tc>
          <w:tcPr>
            <w:tcW w:w="866"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二十条：“工程总造价在人民币二千万元以上或者监理服务单项合同估算价在人民币五十万元以上的建设工程，建设单位应当通过招标方式确定监理单位，但是《深圳经济特区建设工程施工招标投标条例》规定可以不进行施工招标的建设工程，是否采用招标方式确定监理单位，由建设单位自行决定。”</w:t>
            </w:r>
          </w:p>
        </w:tc>
        <w:tc>
          <w:tcPr>
            <w:tcW w:w="866"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四十二条第二项：“建设单位有下列行为之一的，应当责令改正，并按以下规定处罚：（二）违反本条例第二十条规定，应当采用招标方式确定监理单位而未招标或者虚假招标的，违反本条例第二十三条规定，未按监理评标规定确定中标人的，处工程总造价百分之一以上百分之三以下罚款。”</w:t>
            </w:r>
          </w:p>
        </w:tc>
        <w:tc>
          <w:tcPr>
            <w:tcW w:w="444"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rPr>
              <w:t>罚款</w:t>
            </w:r>
          </w:p>
        </w:tc>
        <w:tc>
          <w:tcPr>
            <w:tcW w:w="450"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674" w:type="pct"/>
            <w:vAlign w:val="center"/>
          </w:tcPr>
          <w:p>
            <w:pPr>
              <w:rPr>
                <w:rFonts w:hint="eastAsia" w:ascii="仿宋_GB2312" w:hAnsi="仿宋_GB2312" w:eastAsia="仿宋_GB2312" w:cs="仿宋_GB2312"/>
              </w:rPr>
            </w:pPr>
            <w:r>
              <w:rPr>
                <w:rFonts w:hint="eastAsia" w:ascii="仿宋_GB2312" w:hAnsi="仿宋_GB2312" w:eastAsia="仿宋_GB2312" w:cs="仿宋_GB2312"/>
              </w:rPr>
              <w:t>工程尚未开工或者虽已开工但未造成危害后果或轻微危害后果的</w:t>
            </w:r>
          </w:p>
        </w:tc>
        <w:tc>
          <w:tcPr>
            <w:tcW w:w="787"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责令改正，并处工程总造价百分之一以上、低于百分之二罚款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7" w:type="pct"/>
            <w:vMerge w:val="continue"/>
            <w:vAlign w:val="center"/>
          </w:tcPr>
          <w:p>
            <w:pPr>
              <w:rPr>
                <w:rFonts w:hint="eastAsia" w:ascii="仿宋_GB2312" w:hAnsi="仿宋_GB2312" w:eastAsia="仿宋_GB2312" w:cs="仿宋_GB2312"/>
              </w:rPr>
            </w:pPr>
          </w:p>
        </w:tc>
        <w:tc>
          <w:tcPr>
            <w:tcW w:w="536" w:type="pct"/>
            <w:vMerge w:val="continue"/>
            <w:vAlign w:val="center"/>
          </w:tcPr>
          <w:p>
            <w:pPr>
              <w:rPr>
                <w:rFonts w:hint="eastAsia" w:ascii="仿宋_GB2312" w:hAnsi="仿宋_GB2312" w:eastAsia="仿宋_GB2312" w:cs="仿宋_GB2312"/>
              </w:rPr>
            </w:pPr>
          </w:p>
        </w:tc>
        <w:tc>
          <w:tcPr>
            <w:tcW w:w="866" w:type="pct"/>
            <w:vMerge w:val="continue"/>
            <w:vAlign w:val="center"/>
          </w:tcPr>
          <w:p>
            <w:pPr>
              <w:rPr>
                <w:rFonts w:hint="eastAsia" w:ascii="仿宋_GB2312" w:hAnsi="仿宋_GB2312" w:eastAsia="仿宋_GB2312" w:cs="仿宋_GB2312"/>
              </w:rPr>
            </w:pPr>
          </w:p>
        </w:tc>
        <w:tc>
          <w:tcPr>
            <w:tcW w:w="866" w:type="pct"/>
            <w:vMerge w:val="continue"/>
            <w:vAlign w:val="center"/>
          </w:tcPr>
          <w:p>
            <w:pPr>
              <w:rPr>
                <w:rFonts w:hint="eastAsia" w:ascii="仿宋_GB2312" w:hAnsi="仿宋_GB2312" w:eastAsia="仿宋_GB2312" w:cs="仿宋_GB2312"/>
              </w:rPr>
            </w:pPr>
          </w:p>
        </w:tc>
        <w:tc>
          <w:tcPr>
            <w:tcW w:w="444" w:type="pct"/>
            <w:vMerge w:val="continue"/>
            <w:vAlign w:val="center"/>
          </w:tcPr>
          <w:p>
            <w:pPr>
              <w:jc w:val="center"/>
              <w:rPr>
                <w:rFonts w:hint="eastAsia" w:ascii="仿宋_GB2312" w:hAnsi="仿宋_GB2312" w:eastAsia="仿宋_GB2312" w:cs="仿宋_GB2312"/>
              </w:rPr>
            </w:pPr>
          </w:p>
        </w:tc>
        <w:tc>
          <w:tcPr>
            <w:tcW w:w="450"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674" w:type="pct"/>
            <w:vAlign w:val="center"/>
          </w:tcPr>
          <w:p>
            <w:pPr>
              <w:rPr>
                <w:rFonts w:hint="eastAsia" w:ascii="仿宋_GB2312" w:hAnsi="仿宋_GB2312" w:eastAsia="仿宋_GB2312" w:cs="仿宋_GB2312"/>
              </w:rPr>
            </w:pPr>
            <w:r>
              <w:rPr>
                <w:rFonts w:hint="eastAsia" w:ascii="仿宋_GB2312" w:hAnsi="仿宋_GB2312" w:eastAsia="仿宋_GB2312" w:cs="仿宋_GB2312"/>
              </w:rPr>
              <w:t>工程已经开工且造成一般危害后果的</w:t>
            </w:r>
          </w:p>
        </w:tc>
        <w:tc>
          <w:tcPr>
            <w:tcW w:w="787"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责令改正，并处工程总造价百分之二罚款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7" w:type="pct"/>
            <w:vMerge w:val="continue"/>
            <w:vAlign w:val="center"/>
          </w:tcPr>
          <w:p>
            <w:pPr>
              <w:rPr>
                <w:rFonts w:hint="eastAsia" w:ascii="仿宋_GB2312" w:hAnsi="仿宋_GB2312" w:eastAsia="仿宋_GB2312" w:cs="仿宋_GB2312"/>
              </w:rPr>
            </w:pPr>
          </w:p>
        </w:tc>
        <w:tc>
          <w:tcPr>
            <w:tcW w:w="536" w:type="pct"/>
            <w:vMerge w:val="continue"/>
            <w:vAlign w:val="center"/>
          </w:tcPr>
          <w:p>
            <w:pPr>
              <w:rPr>
                <w:rFonts w:hint="eastAsia" w:ascii="仿宋_GB2312" w:hAnsi="仿宋_GB2312" w:eastAsia="仿宋_GB2312" w:cs="仿宋_GB2312"/>
              </w:rPr>
            </w:pPr>
          </w:p>
        </w:tc>
        <w:tc>
          <w:tcPr>
            <w:tcW w:w="866" w:type="pct"/>
            <w:vMerge w:val="continue"/>
            <w:vAlign w:val="center"/>
          </w:tcPr>
          <w:p>
            <w:pPr>
              <w:rPr>
                <w:rFonts w:hint="eastAsia" w:ascii="仿宋_GB2312" w:hAnsi="仿宋_GB2312" w:eastAsia="仿宋_GB2312" w:cs="仿宋_GB2312"/>
              </w:rPr>
            </w:pPr>
          </w:p>
        </w:tc>
        <w:tc>
          <w:tcPr>
            <w:tcW w:w="866" w:type="pct"/>
            <w:vMerge w:val="continue"/>
            <w:vAlign w:val="center"/>
          </w:tcPr>
          <w:p>
            <w:pPr>
              <w:rPr>
                <w:rFonts w:hint="eastAsia" w:ascii="仿宋_GB2312" w:hAnsi="仿宋_GB2312" w:eastAsia="仿宋_GB2312" w:cs="仿宋_GB2312"/>
              </w:rPr>
            </w:pPr>
          </w:p>
        </w:tc>
        <w:tc>
          <w:tcPr>
            <w:tcW w:w="444" w:type="pct"/>
            <w:vMerge w:val="continue"/>
            <w:vAlign w:val="center"/>
          </w:tcPr>
          <w:p>
            <w:pPr>
              <w:jc w:val="center"/>
              <w:rPr>
                <w:rFonts w:hint="eastAsia" w:ascii="仿宋_GB2312" w:hAnsi="仿宋_GB2312" w:eastAsia="仿宋_GB2312" w:cs="仿宋_GB2312"/>
              </w:rPr>
            </w:pPr>
          </w:p>
        </w:tc>
        <w:tc>
          <w:tcPr>
            <w:tcW w:w="450"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674" w:type="pct"/>
            <w:vAlign w:val="center"/>
          </w:tcPr>
          <w:p>
            <w:pPr>
              <w:rPr>
                <w:rFonts w:hint="eastAsia" w:ascii="仿宋_GB2312" w:hAnsi="仿宋_GB2312" w:eastAsia="仿宋_GB2312" w:cs="仿宋_GB2312"/>
              </w:rPr>
            </w:pPr>
            <w:r>
              <w:rPr>
                <w:rFonts w:hint="eastAsia" w:ascii="仿宋_GB2312" w:hAnsi="仿宋_GB2312" w:eastAsia="仿宋_GB2312" w:cs="仿宋_GB2312"/>
              </w:rPr>
              <w:t>工程已经开工且造成质量安全事故或其他严重危害后果的</w:t>
            </w:r>
          </w:p>
        </w:tc>
        <w:tc>
          <w:tcPr>
            <w:tcW w:w="787"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责令改正，并处超过工程总造价百分之二、百分之三以下罚款</w:t>
            </w:r>
          </w:p>
        </w:tc>
      </w:tr>
    </w:tbl>
    <w:p>
      <w:pPr>
        <w:widowControl/>
        <w:jc w:val="left"/>
        <w:rPr>
          <w:bCs/>
          <w:sz w:val="32"/>
          <w:szCs w:val="32"/>
        </w:rPr>
      </w:pPr>
      <w:r>
        <w:rPr>
          <w:b/>
          <w:sz w:val="32"/>
          <w:szCs w:val="32"/>
        </w:rPr>
        <w:br w:type="page"/>
      </w:r>
      <w:r>
        <w:rPr>
          <w:rFonts w:hint="eastAsia"/>
          <w:bCs/>
          <w:sz w:val="32"/>
          <w:szCs w:val="32"/>
        </w:rPr>
        <w:t>《深圳经济特区建设工程监理条例》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6"/>
        <w:gridCol w:w="1196"/>
        <w:gridCol w:w="3835"/>
        <w:gridCol w:w="1961"/>
        <w:gridCol w:w="1199"/>
        <w:gridCol w:w="1293"/>
        <w:gridCol w:w="1885"/>
        <w:gridCol w:w="174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72"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422"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1353"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692"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423"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56"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665"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61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2" w:type="pct"/>
            <w:vMerge w:val="restart"/>
            <w:vAlign w:val="center"/>
          </w:tcPr>
          <w:p>
            <w:pPr>
              <w:jc w:val="center"/>
              <w:rPr>
                <w:rFonts w:hint="eastAsia" w:ascii="仿宋_GB2312" w:hAnsi="仿宋_GB2312" w:eastAsia="仿宋_GB2312" w:cs="仿宋_GB2312"/>
                <w:lang w:val="en"/>
              </w:rPr>
            </w:pPr>
            <w:r>
              <w:rPr>
                <w:rFonts w:hint="eastAsia" w:ascii="仿宋_GB2312" w:hAnsi="仿宋_GB2312" w:eastAsia="仿宋_GB2312" w:cs="仿宋_GB2312"/>
                <w:lang w:val="en"/>
              </w:rPr>
              <w:t>108.3</w:t>
            </w:r>
          </w:p>
        </w:tc>
        <w:tc>
          <w:tcPr>
            <w:tcW w:w="422"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建设单位未按监理评标规定确定中标人的</w:t>
            </w:r>
          </w:p>
        </w:tc>
        <w:tc>
          <w:tcPr>
            <w:tcW w:w="1353" w:type="pct"/>
            <w:vMerge w:val="restart"/>
            <w:vAlign w:val="center"/>
          </w:tcPr>
          <w:p>
            <w:pPr>
              <w:rPr>
                <w:rFonts w:hint="eastAsia" w:ascii="仿宋_GB2312" w:hAnsi="仿宋_GB2312" w:eastAsia="仿宋_GB2312" w:cs="仿宋_GB2312"/>
                <w:sz w:val="18"/>
                <w:szCs w:val="20"/>
              </w:rPr>
            </w:pPr>
            <w:r>
              <w:rPr>
                <w:rFonts w:hint="eastAsia" w:ascii="仿宋_GB2312" w:hAnsi="仿宋_GB2312" w:eastAsia="仿宋_GB2312" w:cs="仿宋_GB2312"/>
                <w:sz w:val="18"/>
                <w:szCs w:val="20"/>
              </w:rPr>
              <w:t>第二十三条：“监理评标可以采用综合评估法、方案优先法或者法律、法规规定的其他方法。</w:t>
            </w:r>
          </w:p>
          <w:p>
            <w:pPr>
              <w:rPr>
                <w:rFonts w:hint="eastAsia" w:ascii="仿宋_GB2312" w:hAnsi="仿宋_GB2312" w:eastAsia="仿宋_GB2312" w:cs="仿宋_GB2312"/>
                <w:sz w:val="18"/>
                <w:szCs w:val="20"/>
              </w:rPr>
            </w:pPr>
            <w:r>
              <w:rPr>
                <w:rFonts w:hint="eastAsia" w:ascii="仿宋_GB2312" w:hAnsi="仿宋_GB2312" w:eastAsia="仿宋_GB2312" w:cs="仿宋_GB2312"/>
                <w:sz w:val="18"/>
                <w:szCs w:val="20"/>
              </w:rPr>
              <w:t xml:space="preserve">    采用综合评估法，评标委员会应当按照招标文件的规定，对投标文件和总监理工程师答辩等进行评审记分，推荐不超过两名有排序的中标候选人，招标人按排序确定中标人。第一中标候选人放弃中标或者因不可抗力不能履行合同的，招标人可以确定第二中标候选人为中标人。本方法确定的中标人的监理报价为合同价。</w:t>
            </w:r>
          </w:p>
          <w:p>
            <w:pPr>
              <w:rPr>
                <w:rFonts w:hint="eastAsia" w:ascii="仿宋_GB2312" w:hAnsi="仿宋_GB2312" w:eastAsia="仿宋_GB2312" w:cs="仿宋_GB2312"/>
              </w:rPr>
            </w:pPr>
            <w:r>
              <w:rPr>
                <w:rFonts w:hint="eastAsia" w:ascii="仿宋_GB2312" w:hAnsi="仿宋_GB2312" w:eastAsia="仿宋_GB2312" w:cs="仿宋_GB2312"/>
                <w:sz w:val="18"/>
                <w:szCs w:val="20"/>
              </w:rPr>
              <w:t xml:space="preserve">    采用方案优先法，评标委员会应当按照招标文件的规定，对监理报价标以外的其他投标文件和总监理工程师答辩等进行评审记分，推荐不超过两名有排序的中标候选人，招标人认可第一中标候选人的报价或者与其另行达成取费协议的，第一中标候选人为中标人；未达成协议的，第二中标候选人为中标人，但其中标价应当低于第一中标候选人承诺的监理报价。”</w:t>
            </w:r>
          </w:p>
        </w:tc>
        <w:tc>
          <w:tcPr>
            <w:tcW w:w="692"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四十二条第二项：“建设单位有下列行为之一的，应当责令改正，并按以下规定处罚：（二）违反本条例第二十条规定，应当采用招标方式确定监理单位而未招标或者虚假招标的，违反本条例第二十三条规定，未按监理评标规定确定中标人的，处工程总造价百分之一以上百分之三以下罚款。”</w:t>
            </w:r>
          </w:p>
        </w:tc>
        <w:tc>
          <w:tcPr>
            <w:tcW w:w="423"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rPr>
              <w:t>罚款</w:t>
            </w:r>
          </w:p>
        </w:tc>
        <w:tc>
          <w:tcPr>
            <w:tcW w:w="456"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665" w:type="pct"/>
            <w:vAlign w:val="center"/>
          </w:tcPr>
          <w:p>
            <w:pPr>
              <w:rPr>
                <w:rFonts w:hint="eastAsia" w:ascii="仿宋_GB2312" w:hAnsi="仿宋_GB2312" w:eastAsia="仿宋_GB2312" w:cs="仿宋_GB2312"/>
              </w:rPr>
            </w:pPr>
            <w:r>
              <w:rPr>
                <w:rFonts w:hint="eastAsia" w:ascii="仿宋_GB2312" w:hAnsi="仿宋_GB2312" w:eastAsia="仿宋_GB2312" w:cs="仿宋_GB2312"/>
              </w:rPr>
              <w:t>工程尚未开工或者虽已开工但未造成危害后果或轻微危害后果的</w:t>
            </w:r>
          </w:p>
        </w:tc>
        <w:tc>
          <w:tcPr>
            <w:tcW w:w="617"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责令改正，并处工程总造价百分之一以上、低于百分之二罚款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2" w:type="pct"/>
            <w:vMerge w:val="continue"/>
            <w:vAlign w:val="center"/>
          </w:tcPr>
          <w:p>
            <w:pPr>
              <w:rPr>
                <w:rFonts w:hint="eastAsia" w:ascii="仿宋_GB2312" w:hAnsi="仿宋_GB2312" w:eastAsia="仿宋_GB2312" w:cs="仿宋_GB2312"/>
              </w:rPr>
            </w:pPr>
          </w:p>
        </w:tc>
        <w:tc>
          <w:tcPr>
            <w:tcW w:w="422" w:type="pct"/>
            <w:vMerge w:val="continue"/>
            <w:vAlign w:val="center"/>
          </w:tcPr>
          <w:p>
            <w:pPr>
              <w:rPr>
                <w:rFonts w:hint="eastAsia" w:ascii="仿宋_GB2312" w:hAnsi="仿宋_GB2312" w:eastAsia="仿宋_GB2312" w:cs="仿宋_GB2312"/>
              </w:rPr>
            </w:pPr>
          </w:p>
        </w:tc>
        <w:tc>
          <w:tcPr>
            <w:tcW w:w="1353" w:type="pct"/>
            <w:vMerge w:val="continue"/>
            <w:vAlign w:val="center"/>
          </w:tcPr>
          <w:p>
            <w:pPr>
              <w:rPr>
                <w:rFonts w:hint="eastAsia" w:ascii="仿宋_GB2312" w:hAnsi="仿宋_GB2312" w:eastAsia="仿宋_GB2312" w:cs="仿宋_GB2312"/>
              </w:rPr>
            </w:pPr>
          </w:p>
        </w:tc>
        <w:tc>
          <w:tcPr>
            <w:tcW w:w="692" w:type="pct"/>
            <w:vMerge w:val="continue"/>
            <w:vAlign w:val="center"/>
          </w:tcPr>
          <w:p>
            <w:pPr>
              <w:rPr>
                <w:rFonts w:hint="eastAsia" w:ascii="仿宋_GB2312" w:hAnsi="仿宋_GB2312" w:eastAsia="仿宋_GB2312" w:cs="仿宋_GB2312"/>
              </w:rPr>
            </w:pPr>
          </w:p>
        </w:tc>
        <w:tc>
          <w:tcPr>
            <w:tcW w:w="423" w:type="pct"/>
            <w:vMerge w:val="continue"/>
            <w:vAlign w:val="center"/>
          </w:tcPr>
          <w:p>
            <w:pPr>
              <w:jc w:val="center"/>
              <w:rPr>
                <w:rFonts w:hint="eastAsia" w:ascii="仿宋_GB2312" w:hAnsi="仿宋_GB2312" w:eastAsia="仿宋_GB2312" w:cs="仿宋_GB2312"/>
              </w:rPr>
            </w:pPr>
          </w:p>
        </w:tc>
        <w:tc>
          <w:tcPr>
            <w:tcW w:w="456"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665" w:type="pct"/>
            <w:vAlign w:val="center"/>
          </w:tcPr>
          <w:p>
            <w:pPr>
              <w:rPr>
                <w:rFonts w:hint="eastAsia" w:ascii="仿宋_GB2312" w:hAnsi="仿宋_GB2312" w:eastAsia="仿宋_GB2312" w:cs="仿宋_GB2312"/>
              </w:rPr>
            </w:pPr>
            <w:r>
              <w:rPr>
                <w:rFonts w:hint="eastAsia" w:ascii="仿宋_GB2312" w:hAnsi="仿宋_GB2312" w:eastAsia="仿宋_GB2312" w:cs="仿宋_GB2312"/>
              </w:rPr>
              <w:t>工程已经开工且造成一般危害后果的</w:t>
            </w:r>
          </w:p>
        </w:tc>
        <w:tc>
          <w:tcPr>
            <w:tcW w:w="617"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责令改正，并处工程总造价百分之二罚款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2" w:type="pct"/>
            <w:vMerge w:val="continue"/>
            <w:vAlign w:val="center"/>
          </w:tcPr>
          <w:p>
            <w:pPr>
              <w:rPr>
                <w:rFonts w:hint="eastAsia" w:ascii="仿宋_GB2312" w:hAnsi="仿宋_GB2312" w:eastAsia="仿宋_GB2312" w:cs="仿宋_GB2312"/>
              </w:rPr>
            </w:pPr>
          </w:p>
        </w:tc>
        <w:tc>
          <w:tcPr>
            <w:tcW w:w="422" w:type="pct"/>
            <w:vMerge w:val="continue"/>
            <w:vAlign w:val="center"/>
          </w:tcPr>
          <w:p>
            <w:pPr>
              <w:rPr>
                <w:rFonts w:hint="eastAsia" w:ascii="仿宋_GB2312" w:hAnsi="仿宋_GB2312" w:eastAsia="仿宋_GB2312" w:cs="仿宋_GB2312"/>
              </w:rPr>
            </w:pPr>
          </w:p>
        </w:tc>
        <w:tc>
          <w:tcPr>
            <w:tcW w:w="1353" w:type="pct"/>
            <w:vMerge w:val="continue"/>
            <w:vAlign w:val="center"/>
          </w:tcPr>
          <w:p>
            <w:pPr>
              <w:rPr>
                <w:rFonts w:hint="eastAsia" w:ascii="仿宋_GB2312" w:hAnsi="仿宋_GB2312" w:eastAsia="仿宋_GB2312" w:cs="仿宋_GB2312"/>
              </w:rPr>
            </w:pPr>
          </w:p>
        </w:tc>
        <w:tc>
          <w:tcPr>
            <w:tcW w:w="692" w:type="pct"/>
            <w:vMerge w:val="continue"/>
            <w:vAlign w:val="center"/>
          </w:tcPr>
          <w:p>
            <w:pPr>
              <w:rPr>
                <w:rFonts w:hint="eastAsia" w:ascii="仿宋_GB2312" w:hAnsi="仿宋_GB2312" w:eastAsia="仿宋_GB2312" w:cs="仿宋_GB2312"/>
              </w:rPr>
            </w:pPr>
          </w:p>
        </w:tc>
        <w:tc>
          <w:tcPr>
            <w:tcW w:w="423" w:type="pct"/>
            <w:vMerge w:val="continue"/>
            <w:vAlign w:val="center"/>
          </w:tcPr>
          <w:p>
            <w:pPr>
              <w:jc w:val="center"/>
              <w:rPr>
                <w:rFonts w:hint="eastAsia" w:ascii="仿宋_GB2312" w:hAnsi="仿宋_GB2312" w:eastAsia="仿宋_GB2312" w:cs="仿宋_GB2312"/>
              </w:rPr>
            </w:pPr>
          </w:p>
        </w:tc>
        <w:tc>
          <w:tcPr>
            <w:tcW w:w="456"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665" w:type="pct"/>
            <w:vAlign w:val="center"/>
          </w:tcPr>
          <w:p>
            <w:pPr>
              <w:rPr>
                <w:rFonts w:hint="eastAsia" w:ascii="仿宋_GB2312" w:hAnsi="仿宋_GB2312" w:eastAsia="仿宋_GB2312" w:cs="仿宋_GB2312"/>
              </w:rPr>
            </w:pPr>
            <w:r>
              <w:rPr>
                <w:rFonts w:hint="eastAsia" w:ascii="仿宋_GB2312" w:hAnsi="仿宋_GB2312" w:eastAsia="仿宋_GB2312" w:cs="仿宋_GB2312"/>
              </w:rPr>
              <w:t>工程已经开工且造成质量安全事故或其他严重危害后果的</w:t>
            </w:r>
          </w:p>
        </w:tc>
        <w:tc>
          <w:tcPr>
            <w:tcW w:w="617"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责令改正，并处超过工程总造价百分之二、百分之三以下罚款</w:t>
            </w:r>
          </w:p>
        </w:tc>
      </w:tr>
    </w:tbl>
    <w:p>
      <w:pPr>
        <w:widowControl/>
        <w:jc w:val="left"/>
        <w:rPr>
          <w:bCs/>
          <w:sz w:val="32"/>
          <w:szCs w:val="32"/>
        </w:rPr>
      </w:pPr>
      <w:r>
        <w:rPr>
          <w:b/>
          <w:sz w:val="32"/>
          <w:szCs w:val="32"/>
        </w:rPr>
        <w:br w:type="page"/>
      </w:r>
      <w:r>
        <w:rPr>
          <w:rFonts w:hint="eastAsia"/>
          <w:bCs/>
          <w:sz w:val="32"/>
          <w:szCs w:val="32"/>
        </w:rPr>
        <w:t>《深圳经济特区建设工程监理条例》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7"/>
        <w:gridCol w:w="1190"/>
        <w:gridCol w:w="2115"/>
        <w:gridCol w:w="3062"/>
        <w:gridCol w:w="1392"/>
        <w:gridCol w:w="1259"/>
        <w:gridCol w:w="1891"/>
        <w:gridCol w:w="22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73"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420"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746"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1080"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491"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44"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66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779"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3" w:type="pct"/>
            <w:vMerge w:val="restart"/>
            <w:vAlign w:val="center"/>
          </w:tcPr>
          <w:p>
            <w:pPr>
              <w:jc w:val="center"/>
              <w:rPr>
                <w:rFonts w:hint="eastAsia" w:ascii="仿宋_GB2312" w:hAnsi="仿宋_GB2312" w:eastAsia="仿宋_GB2312" w:cs="仿宋_GB2312"/>
                <w:lang w:val="en"/>
              </w:rPr>
            </w:pPr>
            <w:r>
              <w:rPr>
                <w:rFonts w:hint="eastAsia" w:ascii="仿宋_GB2312" w:hAnsi="仿宋_GB2312" w:eastAsia="仿宋_GB2312" w:cs="仿宋_GB2312"/>
                <w:lang w:val="en"/>
              </w:rPr>
              <w:t>108.4</w:t>
            </w:r>
          </w:p>
        </w:tc>
        <w:tc>
          <w:tcPr>
            <w:tcW w:w="420"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建设单位委托不具有相应监理资质等级的单位监理的</w:t>
            </w:r>
          </w:p>
        </w:tc>
        <w:tc>
          <w:tcPr>
            <w:tcW w:w="746"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第二十五条：“建设单位委托监理业务时，应当核验监理单位的资质，不得将监理业务委托给不具有相应监理资质等级的监理单位。”</w:t>
            </w:r>
          </w:p>
        </w:tc>
        <w:tc>
          <w:tcPr>
            <w:tcW w:w="1080"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四十二条第三项：“建设单位有下列行为之一的，应当责令改正，并按以下规定处罚：（三）违反本条例第二十五条规定，委托不具有相应监理资质等级的单位监理的，处工程总造价百分之一以上百分之三以下罚款。”</w:t>
            </w:r>
          </w:p>
        </w:tc>
        <w:tc>
          <w:tcPr>
            <w:tcW w:w="491"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rPr>
              <w:t>罚款</w:t>
            </w:r>
          </w:p>
        </w:tc>
        <w:tc>
          <w:tcPr>
            <w:tcW w:w="444"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667" w:type="pct"/>
            <w:vAlign w:val="center"/>
          </w:tcPr>
          <w:p>
            <w:pPr>
              <w:rPr>
                <w:rFonts w:hint="eastAsia" w:ascii="仿宋_GB2312" w:hAnsi="仿宋_GB2312" w:eastAsia="仿宋_GB2312" w:cs="仿宋_GB2312"/>
              </w:rPr>
            </w:pPr>
            <w:r>
              <w:rPr>
                <w:rFonts w:hint="eastAsia" w:ascii="仿宋_GB2312" w:hAnsi="仿宋_GB2312" w:eastAsia="仿宋_GB2312" w:cs="仿宋_GB2312"/>
              </w:rPr>
              <w:t>工程尚未开工或者虽已开工但未造成危害后果或轻微危害后果的</w:t>
            </w:r>
          </w:p>
        </w:tc>
        <w:tc>
          <w:tcPr>
            <w:tcW w:w="779"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责令改正，并处工程总造价百分之一以上、低于百分之二罚款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3" w:type="pct"/>
            <w:vMerge w:val="continue"/>
            <w:vAlign w:val="center"/>
          </w:tcPr>
          <w:p>
            <w:pPr>
              <w:jc w:val="center"/>
              <w:rPr>
                <w:rFonts w:hint="eastAsia" w:ascii="仿宋_GB2312" w:hAnsi="仿宋_GB2312" w:eastAsia="仿宋_GB2312" w:cs="仿宋_GB2312"/>
              </w:rPr>
            </w:pPr>
          </w:p>
        </w:tc>
        <w:tc>
          <w:tcPr>
            <w:tcW w:w="420" w:type="pct"/>
            <w:vMerge w:val="continue"/>
            <w:vAlign w:val="center"/>
          </w:tcPr>
          <w:p>
            <w:pPr>
              <w:jc w:val="center"/>
              <w:rPr>
                <w:rFonts w:hint="eastAsia" w:ascii="仿宋_GB2312" w:hAnsi="仿宋_GB2312" w:eastAsia="仿宋_GB2312" w:cs="仿宋_GB2312"/>
              </w:rPr>
            </w:pPr>
          </w:p>
        </w:tc>
        <w:tc>
          <w:tcPr>
            <w:tcW w:w="746" w:type="pct"/>
            <w:vMerge w:val="continue"/>
            <w:vAlign w:val="center"/>
          </w:tcPr>
          <w:p>
            <w:pPr>
              <w:jc w:val="center"/>
              <w:rPr>
                <w:rFonts w:hint="eastAsia" w:ascii="仿宋_GB2312" w:hAnsi="仿宋_GB2312" w:eastAsia="仿宋_GB2312" w:cs="仿宋_GB2312"/>
              </w:rPr>
            </w:pPr>
          </w:p>
        </w:tc>
        <w:tc>
          <w:tcPr>
            <w:tcW w:w="1080" w:type="pct"/>
            <w:vMerge w:val="continue"/>
            <w:vAlign w:val="center"/>
          </w:tcPr>
          <w:p>
            <w:pPr>
              <w:jc w:val="center"/>
              <w:rPr>
                <w:rFonts w:hint="eastAsia" w:ascii="仿宋_GB2312" w:hAnsi="仿宋_GB2312" w:eastAsia="仿宋_GB2312" w:cs="仿宋_GB2312"/>
              </w:rPr>
            </w:pPr>
          </w:p>
        </w:tc>
        <w:tc>
          <w:tcPr>
            <w:tcW w:w="491" w:type="pct"/>
            <w:vMerge w:val="continue"/>
            <w:vAlign w:val="center"/>
          </w:tcPr>
          <w:p>
            <w:pPr>
              <w:jc w:val="center"/>
              <w:rPr>
                <w:rFonts w:hint="eastAsia" w:ascii="仿宋_GB2312" w:hAnsi="仿宋_GB2312" w:eastAsia="仿宋_GB2312" w:cs="仿宋_GB2312"/>
              </w:rPr>
            </w:pPr>
          </w:p>
        </w:tc>
        <w:tc>
          <w:tcPr>
            <w:tcW w:w="444"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667" w:type="pct"/>
            <w:vAlign w:val="center"/>
          </w:tcPr>
          <w:p>
            <w:pPr>
              <w:rPr>
                <w:rFonts w:hint="eastAsia" w:ascii="仿宋_GB2312" w:hAnsi="仿宋_GB2312" w:eastAsia="仿宋_GB2312" w:cs="仿宋_GB2312"/>
              </w:rPr>
            </w:pPr>
            <w:r>
              <w:rPr>
                <w:rFonts w:hint="eastAsia" w:ascii="仿宋_GB2312" w:hAnsi="仿宋_GB2312" w:eastAsia="仿宋_GB2312" w:cs="仿宋_GB2312"/>
              </w:rPr>
              <w:t>工程已经开工且造成一般危害后果的</w:t>
            </w:r>
          </w:p>
        </w:tc>
        <w:tc>
          <w:tcPr>
            <w:tcW w:w="779"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责令改正，并处工程总造价百分之二罚款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3" w:type="pct"/>
            <w:vMerge w:val="continue"/>
            <w:vAlign w:val="center"/>
          </w:tcPr>
          <w:p>
            <w:pPr>
              <w:jc w:val="center"/>
              <w:rPr>
                <w:rFonts w:hint="eastAsia" w:ascii="仿宋_GB2312" w:hAnsi="仿宋_GB2312" w:eastAsia="仿宋_GB2312" w:cs="仿宋_GB2312"/>
              </w:rPr>
            </w:pPr>
          </w:p>
        </w:tc>
        <w:tc>
          <w:tcPr>
            <w:tcW w:w="420" w:type="pct"/>
            <w:vMerge w:val="continue"/>
            <w:vAlign w:val="center"/>
          </w:tcPr>
          <w:p>
            <w:pPr>
              <w:jc w:val="center"/>
              <w:rPr>
                <w:rFonts w:hint="eastAsia" w:ascii="仿宋_GB2312" w:hAnsi="仿宋_GB2312" w:eastAsia="仿宋_GB2312" w:cs="仿宋_GB2312"/>
              </w:rPr>
            </w:pPr>
          </w:p>
        </w:tc>
        <w:tc>
          <w:tcPr>
            <w:tcW w:w="746" w:type="pct"/>
            <w:vMerge w:val="continue"/>
            <w:vAlign w:val="center"/>
          </w:tcPr>
          <w:p>
            <w:pPr>
              <w:jc w:val="center"/>
              <w:rPr>
                <w:rFonts w:hint="eastAsia" w:ascii="仿宋_GB2312" w:hAnsi="仿宋_GB2312" w:eastAsia="仿宋_GB2312" w:cs="仿宋_GB2312"/>
              </w:rPr>
            </w:pPr>
          </w:p>
        </w:tc>
        <w:tc>
          <w:tcPr>
            <w:tcW w:w="1080" w:type="pct"/>
            <w:vMerge w:val="continue"/>
            <w:vAlign w:val="center"/>
          </w:tcPr>
          <w:p>
            <w:pPr>
              <w:jc w:val="center"/>
              <w:rPr>
                <w:rFonts w:hint="eastAsia" w:ascii="仿宋_GB2312" w:hAnsi="仿宋_GB2312" w:eastAsia="仿宋_GB2312" w:cs="仿宋_GB2312"/>
              </w:rPr>
            </w:pPr>
          </w:p>
        </w:tc>
        <w:tc>
          <w:tcPr>
            <w:tcW w:w="491" w:type="pct"/>
            <w:vMerge w:val="continue"/>
            <w:vAlign w:val="center"/>
          </w:tcPr>
          <w:p>
            <w:pPr>
              <w:jc w:val="center"/>
              <w:rPr>
                <w:rFonts w:hint="eastAsia" w:ascii="仿宋_GB2312" w:hAnsi="仿宋_GB2312" w:eastAsia="仿宋_GB2312" w:cs="仿宋_GB2312"/>
              </w:rPr>
            </w:pPr>
          </w:p>
        </w:tc>
        <w:tc>
          <w:tcPr>
            <w:tcW w:w="444"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667" w:type="pct"/>
            <w:vAlign w:val="center"/>
          </w:tcPr>
          <w:p>
            <w:pPr>
              <w:rPr>
                <w:rFonts w:hint="eastAsia" w:ascii="仿宋_GB2312" w:hAnsi="仿宋_GB2312" w:eastAsia="仿宋_GB2312" w:cs="仿宋_GB2312"/>
              </w:rPr>
            </w:pPr>
            <w:r>
              <w:rPr>
                <w:rFonts w:hint="eastAsia" w:ascii="仿宋_GB2312" w:hAnsi="仿宋_GB2312" w:eastAsia="仿宋_GB2312" w:cs="仿宋_GB2312"/>
              </w:rPr>
              <w:t>工程已经开工且造成质量安全事故或其他严重危害后果的</w:t>
            </w:r>
          </w:p>
        </w:tc>
        <w:tc>
          <w:tcPr>
            <w:tcW w:w="779"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责令改正，并处超过工程总造价百分之二、百分之三以下罚款</w:t>
            </w:r>
          </w:p>
        </w:tc>
      </w:tr>
    </w:tbl>
    <w:p>
      <w:pPr>
        <w:widowControl/>
        <w:jc w:val="left"/>
        <w:rPr>
          <w:bCs/>
          <w:sz w:val="32"/>
          <w:szCs w:val="32"/>
        </w:rPr>
      </w:pPr>
      <w:r>
        <w:rPr>
          <w:b/>
          <w:sz w:val="32"/>
          <w:szCs w:val="32"/>
        </w:rPr>
        <w:br w:type="page"/>
      </w:r>
      <w:r>
        <w:rPr>
          <w:rFonts w:hint="eastAsia"/>
          <w:bCs/>
          <w:sz w:val="32"/>
          <w:szCs w:val="32"/>
        </w:rPr>
        <w:t>《深圳经济特区建设工程监理条例》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4"/>
        <w:gridCol w:w="1290"/>
        <w:gridCol w:w="1477"/>
        <w:gridCol w:w="2216"/>
        <w:gridCol w:w="1593"/>
        <w:gridCol w:w="1605"/>
        <w:gridCol w:w="2069"/>
        <w:gridCol w:w="30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455"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521"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782"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562"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566"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730"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1069"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15" w:type="pct"/>
            <w:vMerge w:val="restart"/>
            <w:vAlign w:val="center"/>
          </w:tcPr>
          <w:p>
            <w:pPr>
              <w:jc w:val="center"/>
              <w:rPr>
                <w:rFonts w:hint="eastAsia" w:ascii="仿宋_GB2312" w:hAnsi="仿宋_GB2312" w:eastAsia="仿宋_GB2312" w:cs="仿宋_GB2312"/>
                <w:lang w:val="en"/>
              </w:rPr>
            </w:pPr>
            <w:r>
              <w:rPr>
                <w:rFonts w:hint="eastAsia" w:ascii="仿宋_GB2312" w:hAnsi="仿宋_GB2312" w:eastAsia="仿宋_GB2312" w:cs="仿宋_GB2312"/>
                <w:lang w:val="en"/>
              </w:rPr>
              <w:t>108.5</w:t>
            </w:r>
          </w:p>
        </w:tc>
        <w:tc>
          <w:tcPr>
            <w:tcW w:w="455"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未取得相应监理资格而承接监理业务的</w:t>
            </w:r>
          </w:p>
        </w:tc>
        <w:tc>
          <w:tcPr>
            <w:tcW w:w="521"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rPr>
              <w:t>第十条：“从事监理活动的单位和个人应当取得相应的工程监理从业资格，并在其资格许可的范围内从事监理活动。”</w:t>
            </w:r>
          </w:p>
        </w:tc>
        <w:tc>
          <w:tcPr>
            <w:tcW w:w="782"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第四十三条：“违反本条例第十条规定，未取得相应监理资格而承接监理业务的，应当责令改正，没收违法所得，并对违法行为人处合同约定的监理酬金一倍以上三倍以下罚款。”</w:t>
            </w:r>
          </w:p>
        </w:tc>
        <w:tc>
          <w:tcPr>
            <w:tcW w:w="562"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rPr>
              <w:t>没收违法所得；罚款</w:t>
            </w:r>
          </w:p>
        </w:tc>
        <w:tc>
          <w:tcPr>
            <w:tcW w:w="566"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730" w:type="pct"/>
            <w:vAlign w:val="center"/>
          </w:tcPr>
          <w:p>
            <w:pPr>
              <w:rPr>
                <w:rFonts w:hint="eastAsia" w:ascii="仿宋_GB2312" w:hAnsi="仿宋_GB2312" w:eastAsia="仿宋_GB2312" w:cs="仿宋_GB2312"/>
              </w:rPr>
            </w:pPr>
            <w:r>
              <w:rPr>
                <w:rFonts w:hint="eastAsia" w:ascii="仿宋_GB2312" w:hAnsi="仿宋_GB2312" w:eastAsia="仿宋_GB2312" w:cs="仿宋_GB2312"/>
              </w:rPr>
              <w:t>未取得相应监理资格而承接监理业务一次的</w:t>
            </w:r>
          </w:p>
        </w:tc>
        <w:tc>
          <w:tcPr>
            <w:tcW w:w="1069"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责令改正，没收违法所得，并处合同约定的监理酬金一倍以上、低于二倍罚款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15" w:type="pct"/>
            <w:vMerge w:val="continue"/>
            <w:vAlign w:val="center"/>
          </w:tcPr>
          <w:p>
            <w:pPr>
              <w:rPr>
                <w:rFonts w:hint="eastAsia" w:ascii="仿宋_GB2312" w:hAnsi="仿宋_GB2312" w:eastAsia="仿宋_GB2312" w:cs="仿宋_GB2312"/>
              </w:rPr>
            </w:pPr>
          </w:p>
        </w:tc>
        <w:tc>
          <w:tcPr>
            <w:tcW w:w="455" w:type="pct"/>
            <w:vMerge w:val="continue"/>
            <w:vAlign w:val="center"/>
          </w:tcPr>
          <w:p>
            <w:pPr>
              <w:rPr>
                <w:rFonts w:hint="eastAsia" w:ascii="仿宋_GB2312" w:hAnsi="仿宋_GB2312" w:eastAsia="仿宋_GB2312" w:cs="仿宋_GB2312"/>
              </w:rPr>
            </w:pPr>
          </w:p>
        </w:tc>
        <w:tc>
          <w:tcPr>
            <w:tcW w:w="521" w:type="pct"/>
            <w:vMerge w:val="continue"/>
            <w:vAlign w:val="center"/>
          </w:tcPr>
          <w:p>
            <w:pPr>
              <w:rPr>
                <w:rFonts w:hint="eastAsia" w:ascii="仿宋_GB2312" w:hAnsi="仿宋_GB2312" w:eastAsia="仿宋_GB2312" w:cs="仿宋_GB2312"/>
              </w:rPr>
            </w:pPr>
          </w:p>
        </w:tc>
        <w:tc>
          <w:tcPr>
            <w:tcW w:w="782" w:type="pct"/>
            <w:vMerge w:val="continue"/>
            <w:vAlign w:val="center"/>
          </w:tcPr>
          <w:p>
            <w:pPr>
              <w:rPr>
                <w:rFonts w:hint="eastAsia" w:ascii="仿宋_GB2312" w:hAnsi="仿宋_GB2312" w:eastAsia="仿宋_GB2312" w:cs="仿宋_GB2312"/>
              </w:rPr>
            </w:pPr>
          </w:p>
        </w:tc>
        <w:tc>
          <w:tcPr>
            <w:tcW w:w="562" w:type="pct"/>
            <w:vMerge w:val="continue"/>
            <w:vAlign w:val="center"/>
          </w:tcPr>
          <w:p>
            <w:pPr>
              <w:jc w:val="center"/>
              <w:rPr>
                <w:rFonts w:hint="eastAsia" w:ascii="仿宋_GB2312" w:hAnsi="仿宋_GB2312" w:eastAsia="仿宋_GB2312" w:cs="仿宋_GB2312"/>
              </w:rPr>
            </w:pPr>
          </w:p>
        </w:tc>
        <w:tc>
          <w:tcPr>
            <w:tcW w:w="566"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730" w:type="pct"/>
            <w:vAlign w:val="center"/>
          </w:tcPr>
          <w:p>
            <w:pPr>
              <w:rPr>
                <w:rFonts w:hint="eastAsia" w:ascii="仿宋_GB2312" w:hAnsi="仿宋_GB2312" w:eastAsia="仿宋_GB2312" w:cs="仿宋_GB2312"/>
              </w:rPr>
            </w:pPr>
            <w:r>
              <w:rPr>
                <w:rFonts w:hint="eastAsia" w:ascii="仿宋_GB2312" w:hAnsi="仿宋_GB2312" w:eastAsia="仿宋_GB2312" w:cs="仿宋_GB2312"/>
              </w:rPr>
              <w:t>未取得相应监理资格而承接监理业务两次的</w:t>
            </w:r>
          </w:p>
        </w:tc>
        <w:tc>
          <w:tcPr>
            <w:tcW w:w="1069"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责令改正，没收违法所得，并处合同约定的监理酬金二倍罚款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15" w:type="pct"/>
            <w:vMerge w:val="continue"/>
            <w:vAlign w:val="center"/>
          </w:tcPr>
          <w:p>
            <w:pPr>
              <w:rPr>
                <w:rFonts w:hint="eastAsia" w:ascii="仿宋_GB2312" w:hAnsi="仿宋_GB2312" w:eastAsia="仿宋_GB2312" w:cs="仿宋_GB2312"/>
              </w:rPr>
            </w:pPr>
          </w:p>
        </w:tc>
        <w:tc>
          <w:tcPr>
            <w:tcW w:w="455" w:type="pct"/>
            <w:vMerge w:val="continue"/>
            <w:vAlign w:val="center"/>
          </w:tcPr>
          <w:p>
            <w:pPr>
              <w:rPr>
                <w:rFonts w:hint="eastAsia" w:ascii="仿宋_GB2312" w:hAnsi="仿宋_GB2312" w:eastAsia="仿宋_GB2312" w:cs="仿宋_GB2312"/>
              </w:rPr>
            </w:pPr>
          </w:p>
        </w:tc>
        <w:tc>
          <w:tcPr>
            <w:tcW w:w="521" w:type="pct"/>
            <w:vMerge w:val="continue"/>
            <w:vAlign w:val="center"/>
          </w:tcPr>
          <w:p>
            <w:pPr>
              <w:rPr>
                <w:rFonts w:hint="eastAsia" w:ascii="仿宋_GB2312" w:hAnsi="仿宋_GB2312" w:eastAsia="仿宋_GB2312" w:cs="仿宋_GB2312"/>
              </w:rPr>
            </w:pPr>
          </w:p>
        </w:tc>
        <w:tc>
          <w:tcPr>
            <w:tcW w:w="782" w:type="pct"/>
            <w:vMerge w:val="continue"/>
            <w:vAlign w:val="center"/>
          </w:tcPr>
          <w:p>
            <w:pPr>
              <w:rPr>
                <w:rFonts w:hint="eastAsia" w:ascii="仿宋_GB2312" w:hAnsi="仿宋_GB2312" w:eastAsia="仿宋_GB2312" w:cs="仿宋_GB2312"/>
              </w:rPr>
            </w:pPr>
          </w:p>
        </w:tc>
        <w:tc>
          <w:tcPr>
            <w:tcW w:w="562" w:type="pct"/>
            <w:vMerge w:val="continue"/>
            <w:vAlign w:val="center"/>
          </w:tcPr>
          <w:p>
            <w:pPr>
              <w:jc w:val="center"/>
              <w:rPr>
                <w:rFonts w:hint="eastAsia" w:ascii="仿宋_GB2312" w:hAnsi="仿宋_GB2312" w:eastAsia="仿宋_GB2312" w:cs="仿宋_GB2312"/>
              </w:rPr>
            </w:pPr>
          </w:p>
        </w:tc>
        <w:tc>
          <w:tcPr>
            <w:tcW w:w="566"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730" w:type="pct"/>
            <w:vAlign w:val="center"/>
          </w:tcPr>
          <w:p>
            <w:pPr>
              <w:rPr>
                <w:rFonts w:hint="eastAsia" w:ascii="仿宋_GB2312" w:hAnsi="仿宋_GB2312" w:eastAsia="仿宋_GB2312" w:cs="仿宋_GB2312"/>
              </w:rPr>
            </w:pPr>
            <w:r>
              <w:rPr>
                <w:rFonts w:hint="eastAsia" w:ascii="仿宋_GB2312" w:hAnsi="仿宋_GB2312" w:eastAsia="仿宋_GB2312" w:cs="仿宋_GB2312"/>
              </w:rPr>
              <w:t>未取得相应监理资格而承接监理业务三次以上或发生质量安全事故的</w:t>
            </w:r>
          </w:p>
        </w:tc>
        <w:tc>
          <w:tcPr>
            <w:tcW w:w="1069"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责令改正，没收违法所得，并处超过合同约定的监理酬金二倍、三倍以下罚款</w:t>
            </w:r>
          </w:p>
        </w:tc>
      </w:tr>
    </w:tbl>
    <w:p>
      <w:pPr>
        <w:widowControl/>
        <w:jc w:val="left"/>
        <w:rPr>
          <w:bCs/>
          <w:sz w:val="32"/>
          <w:szCs w:val="32"/>
        </w:rPr>
      </w:pPr>
      <w:r>
        <w:rPr>
          <w:b/>
          <w:sz w:val="32"/>
          <w:szCs w:val="32"/>
        </w:rPr>
        <w:br w:type="page"/>
      </w:r>
      <w:r>
        <w:rPr>
          <w:rFonts w:hint="eastAsia"/>
          <w:bCs/>
          <w:sz w:val="32"/>
          <w:szCs w:val="32"/>
        </w:rPr>
        <w:t>《深圳经济特区建设工程监理条例》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68"/>
        <w:gridCol w:w="1421"/>
        <w:gridCol w:w="1364"/>
        <w:gridCol w:w="3166"/>
        <w:gridCol w:w="1259"/>
        <w:gridCol w:w="1275"/>
        <w:gridCol w:w="2390"/>
        <w:gridCol w:w="22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7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501"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481"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111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444"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50"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843"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78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7" w:type="pct"/>
            <w:vMerge w:val="restart"/>
            <w:vAlign w:val="center"/>
          </w:tcPr>
          <w:p>
            <w:pPr>
              <w:jc w:val="center"/>
              <w:rPr>
                <w:rFonts w:hint="eastAsia" w:ascii="仿宋_GB2312" w:hAnsi="仿宋_GB2312" w:eastAsia="仿宋_GB2312" w:cs="仿宋_GB2312"/>
                <w:lang w:val="en"/>
              </w:rPr>
            </w:pPr>
            <w:r>
              <w:rPr>
                <w:rFonts w:hint="eastAsia" w:ascii="仿宋_GB2312" w:hAnsi="仿宋_GB2312" w:eastAsia="仿宋_GB2312" w:cs="仿宋_GB2312"/>
                <w:lang w:val="en"/>
              </w:rPr>
              <w:t>108.6</w:t>
            </w:r>
          </w:p>
        </w:tc>
        <w:tc>
          <w:tcPr>
            <w:tcW w:w="501"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监理单位委派未办理注册手续的人员以注册监理工程师名义执业的</w:t>
            </w:r>
          </w:p>
        </w:tc>
        <w:tc>
          <w:tcPr>
            <w:tcW w:w="481"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第十四条第二款：“未经注册的人员不得以注册监理工程师的名义从事监理活动。”</w:t>
            </w:r>
          </w:p>
        </w:tc>
        <w:tc>
          <w:tcPr>
            <w:tcW w:w="1117"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四十四条第二项：“监理单位有下列行为之一的，应当责令改正，并按以下规定处罚：（二）违反本条例第十四条第二款规定，委派未办理注册手续的人员以注册监理工程师名义执业的，处一万元以上三万元以下罚款。”</w:t>
            </w:r>
          </w:p>
        </w:tc>
        <w:tc>
          <w:tcPr>
            <w:tcW w:w="444"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rPr>
              <w:t>罚款</w:t>
            </w:r>
          </w:p>
        </w:tc>
        <w:tc>
          <w:tcPr>
            <w:tcW w:w="450"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843" w:type="pct"/>
            <w:vAlign w:val="center"/>
          </w:tcPr>
          <w:p>
            <w:pPr>
              <w:rPr>
                <w:rFonts w:hint="eastAsia" w:ascii="仿宋_GB2312" w:hAnsi="仿宋_GB2312" w:eastAsia="仿宋_GB2312" w:cs="仿宋_GB2312"/>
              </w:rPr>
            </w:pPr>
            <w:r>
              <w:rPr>
                <w:rFonts w:hint="eastAsia" w:ascii="仿宋_GB2312" w:hAnsi="仿宋_GB2312" w:eastAsia="仿宋_GB2312" w:cs="仿宋_GB2312"/>
              </w:rPr>
              <w:t>委派一位未办理注册手续的人员以注册监理工程师名义执业的</w:t>
            </w:r>
          </w:p>
        </w:tc>
        <w:tc>
          <w:tcPr>
            <w:tcW w:w="787"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责令改正，并处一万元以上、低于二万元罚款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7" w:type="pct"/>
            <w:vMerge w:val="continue"/>
            <w:vAlign w:val="center"/>
          </w:tcPr>
          <w:p>
            <w:pPr>
              <w:jc w:val="center"/>
              <w:rPr>
                <w:rFonts w:hint="eastAsia" w:ascii="仿宋_GB2312" w:hAnsi="仿宋_GB2312" w:eastAsia="仿宋_GB2312" w:cs="仿宋_GB2312"/>
              </w:rPr>
            </w:pPr>
          </w:p>
        </w:tc>
        <w:tc>
          <w:tcPr>
            <w:tcW w:w="501" w:type="pct"/>
            <w:vMerge w:val="continue"/>
            <w:vAlign w:val="center"/>
          </w:tcPr>
          <w:p>
            <w:pPr>
              <w:jc w:val="center"/>
              <w:rPr>
                <w:rFonts w:hint="eastAsia" w:ascii="仿宋_GB2312" w:hAnsi="仿宋_GB2312" w:eastAsia="仿宋_GB2312" w:cs="仿宋_GB2312"/>
              </w:rPr>
            </w:pPr>
          </w:p>
        </w:tc>
        <w:tc>
          <w:tcPr>
            <w:tcW w:w="481" w:type="pct"/>
            <w:vMerge w:val="continue"/>
            <w:vAlign w:val="center"/>
          </w:tcPr>
          <w:p>
            <w:pPr>
              <w:jc w:val="center"/>
              <w:rPr>
                <w:rFonts w:hint="eastAsia" w:ascii="仿宋_GB2312" w:hAnsi="仿宋_GB2312" w:eastAsia="仿宋_GB2312" w:cs="仿宋_GB2312"/>
              </w:rPr>
            </w:pPr>
          </w:p>
        </w:tc>
        <w:tc>
          <w:tcPr>
            <w:tcW w:w="1117" w:type="pct"/>
            <w:vMerge w:val="continue"/>
            <w:vAlign w:val="center"/>
          </w:tcPr>
          <w:p>
            <w:pPr>
              <w:jc w:val="center"/>
              <w:rPr>
                <w:rFonts w:hint="eastAsia" w:ascii="仿宋_GB2312" w:hAnsi="仿宋_GB2312" w:eastAsia="仿宋_GB2312" w:cs="仿宋_GB2312"/>
              </w:rPr>
            </w:pPr>
          </w:p>
        </w:tc>
        <w:tc>
          <w:tcPr>
            <w:tcW w:w="444" w:type="pct"/>
            <w:vMerge w:val="continue"/>
            <w:vAlign w:val="center"/>
          </w:tcPr>
          <w:p>
            <w:pPr>
              <w:jc w:val="center"/>
              <w:rPr>
                <w:rFonts w:hint="eastAsia" w:ascii="仿宋_GB2312" w:hAnsi="仿宋_GB2312" w:eastAsia="仿宋_GB2312" w:cs="仿宋_GB2312"/>
              </w:rPr>
            </w:pPr>
          </w:p>
        </w:tc>
        <w:tc>
          <w:tcPr>
            <w:tcW w:w="450"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843" w:type="pct"/>
            <w:vAlign w:val="center"/>
          </w:tcPr>
          <w:p>
            <w:pPr>
              <w:rPr>
                <w:rFonts w:hint="eastAsia" w:ascii="仿宋_GB2312" w:hAnsi="仿宋_GB2312" w:eastAsia="仿宋_GB2312" w:cs="仿宋_GB2312"/>
              </w:rPr>
            </w:pPr>
            <w:r>
              <w:rPr>
                <w:rFonts w:hint="eastAsia" w:ascii="仿宋_GB2312" w:hAnsi="仿宋_GB2312" w:eastAsia="仿宋_GB2312" w:cs="仿宋_GB2312"/>
              </w:rPr>
              <w:t>委派两位未办理注册手续的人员以注册监理工程师名义执业的</w:t>
            </w:r>
          </w:p>
        </w:tc>
        <w:tc>
          <w:tcPr>
            <w:tcW w:w="787"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责令改正，并处二万元罚款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7" w:type="pct"/>
            <w:vMerge w:val="continue"/>
            <w:vAlign w:val="center"/>
          </w:tcPr>
          <w:p>
            <w:pPr>
              <w:jc w:val="center"/>
              <w:rPr>
                <w:rFonts w:hint="eastAsia" w:ascii="仿宋_GB2312" w:hAnsi="仿宋_GB2312" w:eastAsia="仿宋_GB2312" w:cs="仿宋_GB2312"/>
              </w:rPr>
            </w:pPr>
          </w:p>
        </w:tc>
        <w:tc>
          <w:tcPr>
            <w:tcW w:w="501" w:type="pct"/>
            <w:vMerge w:val="continue"/>
            <w:vAlign w:val="center"/>
          </w:tcPr>
          <w:p>
            <w:pPr>
              <w:jc w:val="center"/>
              <w:rPr>
                <w:rFonts w:hint="eastAsia" w:ascii="仿宋_GB2312" w:hAnsi="仿宋_GB2312" w:eastAsia="仿宋_GB2312" w:cs="仿宋_GB2312"/>
              </w:rPr>
            </w:pPr>
          </w:p>
        </w:tc>
        <w:tc>
          <w:tcPr>
            <w:tcW w:w="481" w:type="pct"/>
            <w:vMerge w:val="continue"/>
            <w:vAlign w:val="center"/>
          </w:tcPr>
          <w:p>
            <w:pPr>
              <w:jc w:val="center"/>
              <w:rPr>
                <w:rFonts w:hint="eastAsia" w:ascii="仿宋_GB2312" w:hAnsi="仿宋_GB2312" w:eastAsia="仿宋_GB2312" w:cs="仿宋_GB2312"/>
              </w:rPr>
            </w:pPr>
          </w:p>
        </w:tc>
        <w:tc>
          <w:tcPr>
            <w:tcW w:w="1117" w:type="pct"/>
            <w:vMerge w:val="continue"/>
            <w:vAlign w:val="center"/>
          </w:tcPr>
          <w:p>
            <w:pPr>
              <w:jc w:val="center"/>
              <w:rPr>
                <w:rFonts w:hint="eastAsia" w:ascii="仿宋_GB2312" w:hAnsi="仿宋_GB2312" w:eastAsia="仿宋_GB2312" w:cs="仿宋_GB2312"/>
              </w:rPr>
            </w:pPr>
          </w:p>
        </w:tc>
        <w:tc>
          <w:tcPr>
            <w:tcW w:w="444" w:type="pct"/>
            <w:vMerge w:val="continue"/>
            <w:vAlign w:val="center"/>
          </w:tcPr>
          <w:p>
            <w:pPr>
              <w:jc w:val="center"/>
              <w:rPr>
                <w:rFonts w:hint="eastAsia" w:ascii="仿宋_GB2312" w:hAnsi="仿宋_GB2312" w:eastAsia="仿宋_GB2312" w:cs="仿宋_GB2312"/>
              </w:rPr>
            </w:pPr>
          </w:p>
        </w:tc>
        <w:tc>
          <w:tcPr>
            <w:tcW w:w="450"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843" w:type="pc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委派三位以上未办理注册手续的人员以注册监理工程师名义执业或发生质量安全事故的</w:t>
            </w:r>
          </w:p>
        </w:tc>
        <w:tc>
          <w:tcPr>
            <w:tcW w:w="787"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责令改正，并处超过二万元、三万元以下罚款</w:t>
            </w:r>
          </w:p>
        </w:tc>
      </w:tr>
    </w:tbl>
    <w:p>
      <w:pPr>
        <w:widowControl/>
        <w:jc w:val="left"/>
        <w:rPr>
          <w:bCs/>
          <w:sz w:val="32"/>
          <w:szCs w:val="32"/>
        </w:rPr>
      </w:pPr>
      <w:r>
        <w:rPr>
          <w:b/>
          <w:sz w:val="32"/>
          <w:szCs w:val="32"/>
        </w:rPr>
        <w:br w:type="page"/>
      </w:r>
      <w:r>
        <w:rPr>
          <w:rFonts w:hint="eastAsia"/>
          <w:bCs/>
          <w:sz w:val="32"/>
          <w:szCs w:val="32"/>
        </w:rPr>
        <w:t>《深圳经济特区建设工程监理条例》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2"/>
        <w:gridCol w:w="1605"/>
        <w:gridCol w:w="1205"/>
        <w:gridCol w:w="3331"/>
        <w:gridCol w:w="1250"/>
        <w:gridCol w:w="1253"/>
        <w:gridCol w:w="1613"/>
        <w:gridCol w:w="28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71"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566"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425"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1175"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441"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42"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569"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1012"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1" w:type="pct"/>
            <w:vMerge w:val="restart"/>
            <w:vAlign w:val="center"/>
          </w:tcPr>
          <w:p>
            <w:pPr>
              <w:jc w:val="center"/>
              <w:rPr>
                <w:rFonts w:hint="eastAsia" w:ascii="仿宋_GB2312" w:hAnsi="仿宋_GB2312" w:eastAsia="仿宋_GB2312" w:cs="仿宋_GB2312"/>
                <w:lang w:val="en"/>
              </w:rPr>
            </w:pPr>
            <w:r>
              <w:rPr>
                <w:rFonts w:hint="eastAsia" w:ascii="仿宋_GB2312" w:hAnsi="仿宋_GB2312" w:eastAsia="仿宋_GB2312" w:cs="仿宋_GB2312"/>
                <w:lang w:val="en"/>
              </w:rPr>
              <w:t>108.7</w:t>
            </w:r>
          </w:p>
        </w:tc>
        <w:tc>
          <w:tcPr>
            <w:tcW w:w="566"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监理单位出租、出借监理单位资质证书，允许其他单位以本单位名义承接业务的</w:t>
            </w:r>
          </w:p>
        </w:tc>
        <w:tc>
          <w:tcPr>
            <w:tcW w:w="425"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第十七条：“禁止以任何形式出租、出借监理单位资质证书或者注册监理工程师执业证书。”</w:t>
            </w:r>
          </w:p>
        </w:tc>
        <w:tc>
          <w:tcPr>
            <w:tcW w:w="1175"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四十四条第三项：“监理单位有下列行为之一的，应当责令改正，并按以下规定处罚：（三）违反本条例第十七条规定，出租、出借监理单位资质证书，允许其他单位以本单位名义承接业务的，没收违法所得，并处合同约定的监理酬金一倍以上三倍以下罚款，情节严重的，暂扣其资质证书三个月以上六个月以下。”</w:t>
            </w:r>
          </w:p>
        </w:tc>
        <w:tc>
          <w:tcPr>
            <w:tcW w:w="441"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rPr>
              <w:t>没收违法所得；罚款；暂扣许可证件</w:t>
            </w:r>
          </w:p>
        </w:tc>
        <w:tc>
          <w:tcPr>
            <w:tcW w:w="442"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569" w:type="pct"/>
            <w:vAlign w:val="center"/>
          </w:tcPr>
          <w:p>
            <w:pPr>
              <w:rPr>
                <w:rFonts w:hint="eastAsia" w:ascii="仿宋_GB2312" w:hAnsi="仿宋_GB2312" w:eastAsia="仿宋_GB2312" w:cs="仿宋_GB2312"/>
              </w:rPr>
            </w:pPr>
            <w:r>
              <w:rPr>
                <w:rFonts w:hint="eastAsia" w:ascii="仿宋_GB2312" w:hAnsi="仿宋_GB2312" w:eastAsia="仿宋_GB2312" w:cs="仿宋_GB2312"/>
              </w:rPr>
              <w:t>未造成后果或造成轻微危害后果的</w:t>
            </w:r>
          </w:p>
        </w:tc>
        <w:tc>
          <w:tcPr>
            <w:tcW w:w="1012"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责令改正，没收违法所得，</w:t>
            </w:r>
          </w:p>
          <w:p>
            <w:pPr>
              <w:rPr>
                <w:rFonts w:hint="eastAsia" w:ascii="仿宋_GB2312" w:hAnsi="仿宋_GB2312" w:eastAsia="仿宋_GB2312" w:cs="仿宋_GB2312"/>
              </w:rPr>
            </w:pPr>
            <w:r>
              <w:rPr>
                <w:rFonts w:hint="eastAsia" w:ascii="仿宋_GB2312" w:hAnsi="仿宋_GB2312" w:eastAsia="仿宋_GB2312" w:cs="仿宋_GB2312"/>
              </w:rPr>
              <w:t>并处合同约定的监理酬金一倍以上、低于二倍罚款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1" w:type="pct"/>
            <w:vMerge w:val="continue"/>
            <w:vAlign w:val="center"/>
          </w:tcPr>
          <w:p>
            <w:pPr>
              <w:rPr>
                <w:rFonts w:hint="eastAsia" w:ascii="仿宋_GB2312" w:hAnsi="仿宋_GB2312" w:eastAsia="仿宋_GB2312" w:cs="仿宋_GB2312"/>
              </w:rPr>
            </w:pPr>
          </w:p>
        </w:tc>
        <w:tc>
          <w:tcPr>
            <w:tcW w:w="566" w:type="pct"/>
            <w:vMerge w:val="continue"/>
            <w:vAlign w:val="center"/>
          </w:tcPr>
          <w:p>
            <w:pPr>
              <w:rPr>
                <w:rFonts w:hint="eastAsia" w:ascii="仿宋_GB2312" w:hAnsi="仿宋_GB2312" w:eastAsia="仿宋_GB2312" w:cs="仿宋_GB2312"/>
              </w:rPr>
            </w:pPr>
          </w:p>
        </w:tc>
        <w:tc>
          <w:tcPr>
            <w:tcW w:w="425" w:type="pct"/>
            <w:vMerge w:val="continue"/>
            <w:vAlign w:val="center"/>
          </w:tcPr>
          <w:p>
            <w:pPr>
              <w:rPr>
                <w:rFonts w:hint="eastAsia" w:ascii="仿宋_GB2312" w:hAnsi="仿宋_GB2312" w:eastAsia="仿宋_GB2312" w:cs="仿宋_GB2312"/>
              </w:rPr>
            </w:pPr>
          </w:p>
        </w:tc>
        <w:tc>
          <w:tcPr>
            <w:tcW w:w="1175" w:type="pct"/>
            <w:vMerge w:val="continue"/>
            <w:vAlign w:val="center"/>
          </w:tcPr>
          <w:p>
            <w:pPr>
              <w:rPr>
                <w:rFonts w:hint="eastAsia" w:ascii="仿宋_GB2312" w:hAnsi="仿宋_GB2312" w:eastAsia="仿宋_GB2312" w:cs="仿宋_GB2312"/>
              </w:rPr>
            </w:pPr>
          </w:p>
        </w:tc>
        <w:tc>
          <w:tcPr>
            <w:tcW w:w="441" w:type="pct"/>
            <w:vMerge w:val="continue"/>
            <w:vAlign w:val="center"/>
          </w:tcPr>
          <w:p>
            <w:pPr>
              <w:jc w:val="center"/>
              <w:rPr>
                <w:rFonts w:hint="eastAsia" w:ascii="仿宋_GB2312" w:hAnsi="仿宋_GB2312" w:eastAsia="仿宋_GB2312" w:cs="仿宋_GB2312"/>
              </w:rPr>
            </w:pPr>
          </w:p>
        </w:tc>
        <w:tc>
          <w:tcPr>
            <w:tcW w:w="442"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569" w:type="pct"/>
            <w:vAlign w:val="center"/>
          </w:tcPr>
          <w:p>
            <w:pPr>
              <w:rPr>
                <w:rFonts w:hint="eastAsia" w:ascii="仿宋_GB2312" w:hAnsi="仿宋_GB2312" w:eastAsia="仿宋_GB2312" w:cs="仿宋_GB2312"/>
              </w:rPr>
            </w:pPr>
            <w:r>
              <w:rPr>
                <w:rFonts w:hint="eastAsia" w:ascii="仿宋_GB2312" w:hAnsi="仿宋_GB2312" w:eastAsia="仿宋_GB2312" w:cs="仿宋_GB2312"/>
              </w:rPr>
              <w:t>造成一般危害后果的</w:t>
            </w:r>
          </w:p>
        </w:tc>
        <w:tc>
          <w:tcPr>
            <w:tcW w:w="1012"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责令改正，没收违法所得，</w:t>
            </w:r>
          </w:p>
          <w:p>
            <w:pPr>
              <w:rPr>
                <w:rFonts w:hint="eastAsia" w:ascii="仿宋_GB2312" w:hAnsi="仿宋_GB2312" w:eastAsia="仿宋_GB2312" w:cs="仿宋_GB2312"/>
              </w:rPr>
            </w:pPr>
            <w:r>
              <w:rPr>
                <w:rFonts w:hint="eastAsia" w:ascii="仿宋_GB2312" w:hAnsi="仿宋_GB2312" w:eastAsia="仿宋_GB2312" w:cs="仿宋_GB2312"/>
              </w:rPr>
              <w:t>并处合同约定的监理酬金二倍罚款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1" w:type="pct"/>
            <w:vMerge w:val="continue"/>
            <w:vAlign w:val="center"/>
          </w:tcPr>
          <w:p>
            <w:pPr>
              <w:rPr>
                <w:rFonts w:hint="eastAsia" w:ascii="仿宋_GB2312" w:hAnsi="仿宋_GB2312" w:eastAsia="仿宋_GB2312" w:cs="仿宋_GB2312"/>
              </w:rPr>
            </w:pPr>
          </w:p>
        </w:tc>
        <w:tc>
          <w:tcPr>
            <w:tcW w:w="566" w:type="pct"/>
            <w:vMerge w:val="continue"/>
            <w:vAlign w:val="center"/>
          </w:tcPr>
          <w:p>
            <w:pPr>
              <w:rPr>
                <w:rFonts w:hint="eastAsia" w:ascii="仿宋_GB2312" w:hAnsi="仿宋_GB2312" w:eastAsia="仿宋_GB2312" w:cs="仿宋_GB2312"/>
              </w:rPr>
            </w:pPr>
          </w:p>
        </w:tc>
        <w:tc>
          <w:tcPr>
            <w:tcW w:w="425" w:type="pct"/>
            <w:vMerge w:val="continue"/>
            <w:vAlign w:val="center"/>
          </w:tcPr>
          <w:p>
            <w:pPr>
              <w:rPr>
                <w:rFonts w:hint="eastAsia" w:ascii="仿宋_GB2312" w:hAnsi="仿宋_GB2312" w:eastAsia="仿宋_GB2312" w:cs="仿宋_GB2312"/>
              </w:rPr>
            </w:pPr>
          </w:p>
        </w:tc>
        <w:tc>
          <w:tcPr>
            <w:tcW w:w="1175" w:type="pct"/>
            <w:vMerge w:val="continue"/>
            <w:vAlign w:val="center"/>
          </w:tcPr>
          <w:p>
            <w:pPr>
              <w:rPr>
                <w:rFonts w:hint="eastAsia" w:ascii="仿宋_GB2312" w:hAnsi="仿宋_GB2312" w:eastAsia="仿宋_GB2312" w:cs="仿宋_GB2312"/>
              </w:rPr>
            </w:pPr>
          </w:p>
        </w:tc>
        <w:tc>
          <w:tcPr>
            <w:tcW w:w="441" w:type="pct"/>
            <w:vMerge w:val="continue"/>
            <w:vAlign w:val="center"/>
          </w:tcPr>
          <w:p>
            <w:pPr>
              <w:jc w:val="center"/>
              <w:rPr>
                <w:rFonts w:hint="eastAsia" w:ascii="仿宋_GB2312" w:hAnsi="仿宋_GB2312" w:eastAsia="仿宋_GB2312" w:cs="仿宋_GB2312"/>
              </w:rPr>
            </w:pPr>
          </w:p>
        </w:tc>
        <w:tc>
          <w:tcPr>
            <w:tcW w:w="442"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569" w:type="pct"/>
            <w:vAlign w:val="center"/>
          </w:tcPr>
          <w:p>
            <w:pPr>
              <w:rPr>
                <w:rFonts w:hint="eastAsia" w:ascii="仿宋_GB2312" w:hAnsi="仿宋_GB2312" w:eastAsia="仿宋_GB2312" w:cs="仿宋_GB2312"/>
              </w:rPr>
            </w:pPr>
            <w:r>
              <w:rPr>
                <w:rFonts w:hint="eastAsia" w:ascii="仿宋_GB2312" w:hAnsi="仿宋_GB2312" w:eastAsia="仿宋_GB2312" w:cs="仿宋_GB2312"/>
              </w:rPr>
              <w:t>造成严重危害后果</w:t>
            </w:r>
            <w:r>
              <w:rPr>
                <w:rFonts w:hint="eastAsia" w:ascii="仿宋_GB2312" w:hAnsi="仿宋_GB2312" w:eastAsia="仿宋_GB2312" w:cs="仿宋_GB2312"/>
                <w:lang w:val="en"/>
              </w:rPr>
              <w:t>或</w:t>
            </w:r>
            <w:r>
              <w:rPr>
                <w:rFonts w:hint="eastAsia" w:ascii="仿宋_GB2312" w:hAnsi="仿宋_GB2312" w:eastAsia="仿宋_GB2312" w:cs="仿宋_GB2312"/>
              </w:rPr>
              <w:t>造成质量安全事故的</w:t>
            </w:r>
          </w:p>
        </w:tc>
        <w:tc>
          <w:tcPr>
            <w:tcW w:w="1012"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责令改正，没收违法所得；</w:t>
            </w:r>
          </w:p>
          <w:p>
            <w:pPr>
              <w:rPr>
                <w:rFonts w:hint="eastAsia" w:ascii="仿宋_GB2312" w:hAnsi="仿宋_GB2312" w:eastAsia="仿宋_GB2312" w:cs="仿宋_GB2312"/>
              </w:rPr>
            </w:pPr>
            <w:r>
              <w:rPr>
                <w:rFonts w:hint="eastAsia" w:ascii="仿宋_GB2312" w:hAnsi="仿宋_GB2312" w:eastAsia="仿宋_GB2312" w:cs="仿宋_GB2312"/>
              </w:rPr>
              <w:t>并处超过合同约定的监理酬金二倍、三倍以下罚款，暂扣其资质证书三个月以上、六个月以下</w:t>
            </w:r>
          </w:p>
        </w:tc>
      </w:tr>
    </w:tbl>
    <w:p>
      <w:pPr>
        <w:widowControl/>
        <w:jc w:val="left"/>
        <w:rPr>
          <w:bCs/>
          <w:sz w:val="32"/>
          <w:szCs w:val="32"/>
        </w:rPr>
      </w:pPr>
      <w:r>
        <w:rPr>
          <w:b/>
          <w:sz w:val="32"/>
          <w:szCs w:val="32"/>
        </w:rPr>
        <w:br w:type="page"/>
      </w:r>
      <w:r>
        <w:rPr>
          <w:rFonts w:hint="eastAsia"/>
          <w:bCs/>
          <w:sz w:val="32"/>
          <w:szCs w:val="32"/>
        </w:rPr>
        <w:t>《深圳经济特区建设工程监理条例》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3"/>
        <w:gridCol w:w="1422"/>
        <w:gridCol w:w="1262"/>
        <w:gridCol w:w="2988"/>
        <w:gridCol w:w="1327"/>
        <w:gridCol w:w="1233"/>
        <w:gridCol w:w="1415"/>
        <w:gridCol w:w="34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71"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501"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445"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1054"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468"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35"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499"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1226"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1" w:type="pct"/>
            <w:vMerge w:val="restart"/>
            <w:vAlign w:val="center"/>
          </w:tcPr>
          <w:p>
            <w:pPr>
              <w:jc w:val="center"/>
              <w:rPr>
                <w:rFonts w:hint="eastAsia" w:ascii="仿宋_GB2312" w:hAnsi="仿宋_GB2312" w:eastAsia="仿宋_GB2312" w:cs="仿宋_GB2312"/>
                <w:lang w:val="en"/>
              </w:rPr>
            </w:pPr>
            <w:r>
              <w:rPr>
                <w:rFonts w:hint="eastAsia" w:ascii="仿宋_GB2312" w:hAnsi="仿宋_GB2312" w:eastAsia="仿宋_GB2312" w:cs="仿宋_GB2312"/>
                <w:lang w:val="en"/>
              </w:rPr>
              <w:t>108.8</w:t>
            </w:r>
          </w:p>
        </w:tc>
        <w:tc>
          <w:tcPr>
            <w:tcW w:w="501"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监理单位转让监理业务的</w:t>
            </w:r>
          </w:p>
        </w:tc>
        <w:tc>
          <w:tcPr>
            <w:tcW w:w="445"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第二十七条：“禁止监理单位转让监理业务。”</w:t>
            </w:r>
          </w:p>
        </w:tc>
        <w:tc>
          <w:tcPr>
            <w:tcW w:w="1054"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四十四条第四项：“监理单位有下列行为之一的，应当责令改正，并按以下规定处罚：（四）违反本条例第二十七条规定，转让监理业务的，没收违法所得，并处合同约定的监理酬金百分之二十五以上百分之五十以下罚款，情节严重的，暂扣其资质证书三个月以上六个月以下。”</w:t>
            </w:r>
          </w:p>
        </w:tc>
        <w:tc>
          <w:tcPr>
            <w:tcW w:w="468"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没收违法所得；罚款；暂扣许可证件</w:t>
            </w:r>
          </w:p>
        </w:tc>
        <w:tc>
          <w:tcPr>
            <w:tcW w:w="435"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499" w:type="pct"/>
            <w:vAlign w:val="center"/>
          </w:tcPr>
          <w:p>
            <w:pPr>
              <w:rPr>
                <w:rFonts w:hint="eastAsia" w:ascii="仿宋_GB2312" w:hAnsi="仿宋_GB2312" w:eastAsia="仿宋_GB2312" w:cs="仿宋_GB2312"/>
              </w:rPr>
            </w:pPr>
            <w:r>
              <w:rPr>
                <w:rFonts w:hint="eastAsia" w:ascii="仿宋_GB2312" w:hAnsi="仿宋_GB2312" w:eastAsia="仿宋_GB2312" w:cs="仿宋_GB2312"/>
              </w:rPr>
              <w:t>未造成后果或造成轻微危害后果的</w:t>
            </w:r>
          </w:p>
        </w:tc>
        <w:tc>
          <w:tcPr>
            <w:tcW w:w="1226"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责令改正，没收违法所得，并处合同约定的监理酬金百分之二十五以上、低于百分之三十七点五罚款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1" w:type="pct"/>
            <w:vMerge w:val="continue"/>
            <w:vAlign w:val="center"/>
          </w:tcPr>
          <w:p>
            <w:pPr>
              <w:rPr>
                <w:rFonts w:hint="eastAsia" w:ascii="仿宋_GB2312" w:hAnsi="仿宋_GB2312" w:eastAsia="仿宋_GB2312" w:cs="仿宋_GB2312"/>
              </w:rPr>
            </w:pPr>
          </w:p>
        </w:tc>
        <w:tc>
          <w:tcPr>
            <w:tcW w:w="501" w:type="pct"/>
            <w:vMerge w:val="continue"/>
            <w:vAlign w:val="center"/>
          </w:tcPr>
          <w:p>
            <w:pPr>
              <w:rPr>
                <w:rFonts w:hint="eastAsia" w:ascii="仿宋_GB2312" w:hAnsi="仿宋_GB2312" w:eastAsia="仿宋_GB2312" w:cs="仿宋_GB2312"/>
              </w:rPr>
            </w:pPr>
          </w:p>
        </w:tc>
        <w:tc>
          <w:tcPr>
            <w:tcW w:w="445" w:type="pct"/>
            <w:vMerge w:val="continue"/>
            <w:vAlign w:val="center"/>
          </w:tcPr>
          <w:p>
            <w:pPr>
              <w:rPr>
                <w:rFonts w:hint="eastAsia" w:ascii="仿宋_GB2312" w:hAnsi="仿宋_GB2312" w:eastAsia="仿宋_GB2312" w:cs="仿宋_GB2312"/>
              </w:rPr>
            </w:pPr>
          </w:p>
        </w:tc>
        <w:tc>
          <w:tcPr>
            <w:tcW w:w="1054" w:type="pct"/>
            <w:vMerge w:val="continue"/>
            <w:vAlign w:val="center"/>
          </w:tcPr>
          <w:p>
            <w:pPr>
              <w:rPr>
                <w:rFonts w:hint="eastAsia" w:ascii="仿宋_GB2312" w:hAnsi="仿宋_GB2312" w:eastAsia="仿宋_GB2312" w:cs="仿宋_GB2312"/>
              </w:rPr>
            </w:pPr>
          </w:p>
        </w:tc>
        <w:tc>
          <w:tcPr>
            <w:tcW w:w="468" w:type="pct"/>
            <w:vMerge w:val="continue"/>
            <w:vAlign w:val="center"/>
          </w:tcPr>
          <w:p>
            <w:pPr>
              <w:jc w:val="center"/>
              <w:rPr>
                <w:rFonts w:hint="eastAsia" w:ascii="仿宋_GB2312" w:hAnsi="仿宋_GB2312" w:eastAsia="仿宋_GB2312" w:cs="仿宋_GB2312"/>
              </w:rPr>
            </w:pPr>
          </w:p>
        </w:tc>
        <w:tc>
          <w:tcPr>
            <w:tcW w:w="435"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499" w:type="pct"/>
            <w:vAlign w:val="center"/>
          </w:tcPr>
          <w:p>
            <w:pPr>
              <w:rPr>
                <w:rFonts w:hint="eastAsia" w:ascii="仿宋_GB2312" w:hAnsi="仿宋_GB2312" w:eastAsia="仿宋_GB2312" w:cs="仿宋_GB2312"/>
              </w:rPr>
            </w:pPr>
            <w:r>
              <w:rPr>
                <w:rFonts w:hint="eastAsia" w:ascii="仿宋_GB2312" w:hAnsi="仿宋_GB2312" w:eastAsia="仿宋_GB2312" w:cs="仿宋_GB2312"/>
              </w:rPr>
              <w:t>造成一般危害后果的</w:t>
            </w:r>
          </w:p>
        </w:tc>
        <w:tc>
          <w:tcPr>
            <w:tcW w:w="1226"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责令改正，没收违法所得，并处合同约定的监理酬金百分之三十七点五罚款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1" w:type="pct"/>
            <w:vMerge w:val="continue"/>
            <w:vAlign w:val="center"/>
          </w:tcPr>
          <w:p>
            <w:pPr>
              <w:rPr>
                <w:rFonts w:hint="eastAsia" w:ascii="仿宋_GB2312" w:hAnsi="仿宋_GB2312" w:eastAsia="仿宋_GB2312" w:cs="仿宋_GB2312"/>
              </w:rPr>
            </w:pPr>
          </w:p>
        </w:tc>
        <w:tc>
          <w:tcPr>
            <w:tcW w:w="501" w:type="pct"/>
            <w:vMerge w:val="continue"/>
            <w:vAlign w:val="center"/>
          </w:tcPr>
          <w:p>
            <w:pPr>
              <w:rPr>
                <w:rFonts w:hint="eastAsia" w:ascii="仿宋_GB2312" w:hAnsi="仿宋_GB2312" w:eastAsia="仿宋_GB2312" w:cs="仿宋_GB2312"/>
              </w:rPr>
            </w:pPr>
          </w:p>
        </w:tc>
        <w:tc>
          <w:tcPr>
            <w:tcW w:w="445" w:type="pct"/>
            <w:vMerge w:val="continue"/>
            <w:vAlign w:val="center"/>
          </w:tcPr>
          <w:p>
            <w:pPr>
              <w:rPr>
                <w:rFonts w:hint="eastAsia" w:ascii="仿宋_GB2312" w:hAnsi="仿宋_GB2312" w:eastAsia="仿宋_GB2312" w:cs="仿宋_GB2312"/>
              </w:rPr>
            </w:pPr>
          </w:p>
        </w:tc>
        <w:tc>
          <w:tcPr>
            <w:tcW w:w="1054" w:type="pct"/>
            <w:vMerge w:val="continue"/>
            <w:vAlign w:val="center"/>
          </w:tcPr>
          <w:p>
            <w:pPr>
              <w:rPr>
                <w:rFonts w:hint="eastAsia" w:ascii="仿宋_GB2312" w:hAnsi="仿宋_GB2312" w:eastAsia="仿宋_GB2312" w:cs="仿宋_GB2312"/>
              </w:rPr>
            </w:pPr>
          </w:p>
        </w:tc>
        <w:tc>
          <w:tcPr>
            <w:tcW w:w="468" w:type="pct"/>
            <w:vMerge w:val="continue"/>
            <w:vAlign w:val="center"/>
          </w:tcPr>
          <w:p>
            <w:pPr>
              <w:jc w:val="center"/>
              <w:rPr>
                <w:rFonts w:hint="eastAsia" w:ascii="仿宋_GB2312" w:hAnsi="仿宋_GB2312" w:eastAsia="仿宋_GB2312" w:cs="仿宋_GB2312"/>
              </w:rPr>
            </w:pPr>
          </w:p>
        </w:tc>
        <w:tc>
          <w:tcPr>
            <w:tcW w:w="435"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499" w:type="pct"/>
            <w:vAlign w:val="center"/>
          </w:tcPr>
          <w:p>
            <w:pPr>
              <w:rPr>
                <w:rFonts w:hint="eastAsia" w:ascii="仿宋_GB2312" w:hAnsi="仿宋_GB2312" w:eastAsia="仿宋_GB2312" w:cs="仿宋_GB2312"/>
              </w:rPr>
            </w:pPr>
            <w:r>
              <w:rPr>
                <w:rFonts w:hint="eastAsia" w:ascii="仿宋_GB2312" w:hAnsi="仿宋_GB2312" w:eastAsia="仿宋_GB2312" w:cs="仿宋_GB2312"/>
              </w:rPr>
              <w:t>造成严重危害后果或造成质量安全事故的</w:t>
            </w:r>
          </w:p>
        </w:tc>
        <w:tc>
          <w:tcPr>
            <w:tcW w:w="1226"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责令改正，没收违法所得，并处超过合同约定的监理酬金百分之三十七点五、百分之五十以下罚款，暂扣其资质证书三个月以上、六个月以下</w:t>
            </w:r>
          </w:p>
        </w:tc>
      </w:tr>
    </w:tbl>
    <w:p>
      <w:pPr>
        <w:widowControl/>
        <w:jc w:val="left"/>
        <w:rPr>
          <w:bCs/>
          <w:sz w:val="32"/>
          <w:szCs w:val="32"/>
        </w:rPr>
      </w:pPr>
      <w:r>
        <w:rPr>
          <w:b/>
          <w:sz w:val="32"/>
          <w:szCs w:val="32"/>
        </w:rPr>
        <w:br w:type="page"/>
      </w:r>
      <w:r>
        <w:rPr>
          <w:rFonts w:hint="eastAsia"/>
          <w:bCs/>
          <w:sz w:val="32"/>
          <w:szCs w:val="32"/>
        </w:rPr>
        <w:t>《深圳经济特区建设工程监理条例》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2"/>
        <w:gridCol w:w="1421"/>
        <w:gridCol w:w="1598"/>
        <w:gridCol w:w="2980"/>
        <w:gridCol w:w="1412"/>
        <w:gridCol w:w="1256"/>
        <w:gridCol w:w="2035"/>
        <w:gridCol w:w="24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71"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501"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564"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1051"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498"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43"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718"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854"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1" w:type="pct"/>
            <w:vMerge w:val="restart"/>
            <w:vAlign w:val="center"/>
          </w:tcPr>
          <w:p>
            <w:pPr>
              <w:jc w:val="center"/>
              <w:rPr>
                <w:rFonts w:hint="eastAsia" w:ascii="仿宋_GB2312" w:hAnsi="仿宋_GB2312" w:eastAsia="仿宋_GB2312" w:cs="仿宋_GB2312"/>
                <w:lang w:val="en"/>
              </w:rPr>
            </w:pPr>
            <w:r>
              <w:rPr>
                <w:rFonts w:hint="eastAsia" w:ascii="仿宋_GB2312" w:hAnsi="仿宋_GB2312" w:eastAsia="仿宋_GB2312" w:cs="仿宋_GB2312"/>
                <w:lang w:val="en"/>
              </w:rPr>
              <w:t>108.9</w:t>
            </w:r>
          </w:p>
        </w:tc>
        <w:tc>
          <w:tcPr>
            <w:tcW w:w="501"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注册监理工程师同时在二个或者二个以上监理单位执业的</w:t>
            </w:r>
          </w:p>
        </w:tc>
        <w:tc>
          <w:tcPr>
            <w:tcW w:w="564"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第十五条：“注册监理工程师不得同时在两个或者两个以上的监理单位执业。”</w:t>
            </w:r>
          </w:p>
        </w:tc>
        <w:tc>
          <w:tcPr>
            <w:tcW w:w="1051"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第四十五条第一项：“注册监理工程师有下列行为之一的，应当责令改正，并按以下规定处罚：（一）违反本条例十五条规定，同时在二个或者二个以上监理单位执业的，处五千元以上一万元以下罚款。”</w:t>
            </w:r>
          </w:p>
        </w:tc>
        <w:tc>
          <w:tcPr>
            <w:tcW w:w="498"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rPr>
              <w:t>罚款</w:t>
            </w:r>
          </w:p>
        </w:tc>
        <w:tc>
          <w:tcPr>
            <w:tcW w:w="443"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718" w:type="pct"/>
            <w:vAlign w:val="center"/>
          </w:tcPr>
          <w:p>
            <w:pPr>
              <w:rPr>
                <w:rFonts w:hint="eastAsia" w:ascii="仿宋_GB2312" w:hAnsi="仿宋_GB2312" w:eastAsia="仿宋_GB2312" w:cs="仿宋_GB2312"/>
              </w:rPr>
            </w:pPr>
            <w:r>
              <w:rPr>
                <w:rFonts w:hint="eastAsia" w:ascii="仿宋_GB2312" w:hAnsi="仿宋_GB2312" w:eastAsia="仿宋_GB2312" w:cs="仿宋_GB2312"/>
              </w:rPr>
              <w:t>未造成危害后果或造成轻微危害后果的</w:t>
            </w:r>
          </w:p>
        </w:tc>
        <w:tc>
          <w:tcPr>
            <w:tcW w:w="854"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责令改正，并处五千元以上、低于七千五百元罚款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1" w:type="pct"/>
            <w:vMerge w:val="continue"/>
            <w:vAlign w:val="center"/>
          </w:tcPr>
          <w:p>
            <w:pPr>
              <w:rPr>
                <w:rFonts w:hint="eastAsia" w:ascii="仿宋_GB2312" w:hAnsi="仿宋_GB2312" w:eastAsia="仿宋_GB2312" w:cs="仿宋_GB2312"/>
              </w:rPr>
            </w:pPr>
          </w:p>
        </w:tc>
        <w:tc>
          <w:tcPr>
            <w:tcW w:w="501" w:type="pct"/>
            <w:vMerge w:val="continue"/>
            <w:vAlign w:val="center"/>
          </w:tcPr>
          <w:p>
            <w:pPr>
              <w:rPr>
                <w:rFonts w:hint="eastAsia" w:ascii="仿宋_GB2312" w:hAnsi="仿宋_GB2312" w:eastAsia="仿宋_GB2312" w:cs="仿宋_GB2312"/>
              </w:rPr>
            </w:pPr>
          </w:p>
        </w:tc>
        <w:tc>
          <w:tcPr>
            <w:tcW w:w="564" w:type="pct"/>
            <w:vMerge w:val="continue"/>
            <w:vAlign w:val="center"/>
          </w:tcPr>
          <w:p>
            <w:pPr>
              <w:rPr>
                <w:rFonts w:hint="eastAsia" w:ascii="仿宋_GB2312" w:hAnsi="仿宋_GB2312" w:eastAsia="仿宋_GB2312" w:cs="仿宋_GB2312"/>
              </w:rPr>
            </w:pPr>
          </w:p>
        </w:tc>
        <w:tc>
          <w:tcPr>
            <w:tcW w:w="1051" w:type="pct"/>
            <w:vMerge w:val="continue"/>
            <w:vAlign w:val="center"/>
          </w:tcPr>
          <w:p>
            <w:pPr>
              <w:rPr>
                <w:rFonts w:hint="eastAsia" w:ascii="仿宋_GB2312" w:hAnsi="仿宋_GB2312" w:eastAsia="仿宋_GB2312" w:cs="仿宋_GB2312"/>
              </w:rPr>
            </w:pPr>
          </w:p>
        </w:tc>
        <w:tc>
          <w:tcPr>
            <w:tcW w:w="498" w:type="pct"/>
            <w:vMerge w:val="continue"/>
            <w:vAlign w:val="center"/>
          </w:tcPr>
          <w:p>
            <w:pPr>
              <w:jc w:val="center"/>
              <w:rPr>
                <w:rFonts w:hint="eastAsia" w:ascii="仿宋_GB2312" w:hAnsi="仿宋_GB2312" w:eastAsia="仿宋_GB2312" w:cs="仿宋_GB2312"/>
              </w:rPr>
            </w:pPr>
          </w:p>
        </w:tc>
        <w:tc>
          <w:tcPr>
            <w:tcW w:w="443"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718" w:type="pct"/>
            <w:vAlign w:val="center"/>
          </w:tcPr>
          <w:p>
            <w:pPr>
              <w:rPr>
                <w:rFonts w:hint="eastAsia" w:ascii="仿宋_GB2312" w:hAnsi="仿宋_GB2312" w:eastAsia="仿宋_GB2312" w:cs="仿宋_GB2312"/>
              </w:rPr>
            </w:pPr>
            <w:r>
              <w:rPr>
                <w:rFonts w:hint="eastAsia" w:ascii="仿宋_GB2312" w:hAnsi="仿宋_GB2312" w:eastAsia="仿宋_GB2312" w:cs="仿宋_GB2312"/>
              </w:rPr>
              <w:t>造成一般危害后果的</w:t>
            </w:r>
          </w:p>
        </w:tc>
        <w:tc>
          <w:tcPr>
            <w:tcW w:w="854"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责令改正，并处七千五百元罚款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1" w:type="pct"/>
            <w:vMerge w:val="continue"/>
            <w:vAlign w:val="center"/>
          </w:tcPr>
          <w:p>
            <w:pPr>
              <w:rPr>
                <w:rFonts w:hint="eastAsia" w:ascii="仿宋_GB2312" w:hAnsi="仿宋_GB2312" w:eastAsia="仿宋_GB2312" w:cs="仿宋_GB2312"/>
              </w:rPr>
            </w:pPr>
          </w:p>
        </w:tc>
        <w:tc>
          <w:tcPr>
            <w:tcW w:w="501" w:type="pct"/>
            <w:vMerge w:val="continue"/>
            <w:vAlign w:val="center"/>
          </w:tcPr>
          <w:p>
            <w:pPr>
              <w:rPr>
                <w:rFonts w:hint="eastAsia" w:ascii="仿宋_GB2312" w:hAnsi="仿宋_GB2312" w:eastAsia="仿宋_GB2312" w:cs="仿宋_GB2312"/>
              </w:rPr>
            </w:pPr>
          </w:p>
        </w:tc>
        <w:tc>
          <w:tcPr>
            <w:tcW w:w="564" w:type="pct"/>
            <w:vMerge w:val="continue"/>
            <w:vAlign w:val="center"/>
          </w:tcPr>
          <w:p>
            <w:pPr>
              <w:rPr>
                <w:rFonts w:hint="eastAsia" w:ascii="仿宋_GB2312" w:hAnsi="仿宋_GB2312" w:eastAsia="仿宋_GB2312" w:cs="仿宋_GB2312"/>
              </w:rPr>
            </w:pPr>
          </w:p>
        </w:tc>
        <w:tc>
          <w:tcPr>
            <w:tcW w:w="1051" w:type="pct"/>
            <w:vMerge w:val="continue"/>
            <w:vAlign w:val="center"/>
          </w:tcPr>
          <w:p>
            <w:pPr>
              <w:rPr>
                <w:rFonts w:hint="eastAsia" w:ascii="仿宋_GB2312" w:hAnsi="仿宋_GB2312" w:eastAsia="仿宋_GB2312" w:cs="仿宋_GB2312"/>
              </w:rPr>
            </w:pPr>
          </w:p>
        </w:tc>
        <w:tc>
          <w:tcPr>
            <w:tcW w:w="498" w:type="pct"/>
            <w:vMerge w:val="continue"/>
            <w:vAlign w:val="center"/>
          </w:tcPr>
          <w:p>
            <w:pPr>
              <w:jc w:val="center"/>
              <w:rPr>
                <w:rFonts w:hint="eastAsia" w:ascii="仿宋_GB2312" w:hAnsi="仿宋_GB2312" w:eastAsia="仿宋_GB2312" w:cs="仿宋_GB2312"/>
              </w:rPr>
            </w:pPr>
          </w:p>
        </w:tc>
        <w:tc>
          <w:tcPr>
            <w:tcW w:w="443"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718" w:type="pct"/>
            <w:vAlign w:val="center"/>
          </w:tcPr>
          <w:p>
            <w:pPr>
              <w:rPr>
                <w:rFonts w:hint="eastAsia" w:ascii="仿宋_GB2312" w:hAnsi="仿宋_GB2312" w:eastAsia="仿宋_GB2312" w:cs="仿宋_GB2312"/>
              </w:rPr>
            </w:pPr>
            <w:r>
              <w:rPr>
                <w:rFonts w:hint="eastAsia" w:ascii="仿宋_GB2312" w:hAnsi="仿宋_GB2312" w:eastAsia="仿宋_GB2312" w:cs="仿宋_GB2312"/>
              </w:rPr>
              <w:t>造成严重危害后果或造成质量安全事故的</w:t>
            </w:r>
          </w:p>
        </w:tc>
        <w:tc>
          <w:tcPr>
            <w:tcW w:w="854"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责令改正，并处超过七千五百元、一万元以下罚款</w:t>
            </w:r>
          </w:p>
        </w:tc>
      </w:tr>
    </w:tbl>
    <w:p>
      <w:pPr>
        <w:widowControl/>
        <w:jc w:val="left"/>
        <w:rPr>
          <w:bCs/>
          <w:sz w:val="32"/>
          <w:szCs w:val="32"/>
        </w:rPr>
      </w:pPr>
      <w:r>
        <w:rPr>
          <w:b/>
          <w:sz w:val="32"/>
          <w:szCs w:val="32"/>
        </w:rPr>
        <w:br w:type="page"/>
      </w:r>
      <w:r>
        <w:rPr>
          <w:rFonts w:hint="eastAsia"/>
          <w:bCs/>
          <w:sz w:val="32"/>
          <w:szCs w:val="32"/>
        </w:rPr>
        <w:t>《深圳经济特区建设工程监理条例》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52"/>
        <w:gridCol w:w="1293"/>
        <w:gridCol w:w="1908"/>
        <w:gridCol w:w="2792"/>
        <w:gridCol w:w="1270"/>
        <w:gridCol w:w="1545"/>
        <w:gridCol w:w="1882"/>
        <w:gridCol w:w="24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71"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456"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673"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985"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448"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545"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664"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859"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1" w:type="pct"/>
            <w:vMerge w:val="restart"/>
            <w:vAlign w:val="center"/>
          </w:tcPr>
          <w:p>
            <w:pPr>
              <w:jc w:val="center"/>
              <w:rPr>
                <w:rFonts w:hint="eastAsia" w:ascii="仿宋_GB2312" w:hAnsi="仿宋_GB2312" w:eastAsia="仿宋_GB2312" w:cs="仿宋_GB2312"/>
                <w:lang w:val="en"/>
              </w:rPr>
            </w:pPr>
            <w:r>
              <w:rPr>
                <w:rFonts w:hint="eastAsia" w:ascii="仿宋_GB2312" w:hAnsi="仿宋_GB2312" w:eastAsia="仿宋_GB2312" w:cs="仿宋_GB2312"/>
                <w:lang w:val="en"/>
              </w:rPr>
              <w:t>108.10</w:t>
            </w:r>
          </w:p>
        </w:tc>
        <w:tc>
          <w:tcPr>
            <w:tcW w:w="456"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注册监理工程师未按规定签发相关文件的</w:t>
            </w:r>
          </w:p>
        </w:tc>
        <w:tc>
          <w:tcPr>
            <w:tcW w:w="673"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第三十四条第一款：“实施监理过程中，工程所用材料进场验收合格书、工序交接验收合格书、工程款支付通知及停工通知、复工通知均应当由总监理工程师或者其代表签发。”</w:t>
            </w:r>
          </w:p>
        </w:tc>
        <w:tc>
          <w:tcPr>
            <w:tcW w:w="985"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四十五条第二项：“注册监理工程师有下列行为之一的，应当责令改正，并按以下规定处罚：（二）违反本条例第三十四条第一款规定，未按规定签发相关文件的，处三万元以上五万元以下罚款，情节严重的，暂扣其执业证书六个月以上十二个月以下。”</w:t>
            </w:r>
          </w:p>
        </w:tc>
        <w:tc>
          <w:tcPr>
            <w:tcW w:w="448"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罚款；暂扣许可证件</w:t>
            </w:r>
          </w:p>
        </w:tc>
        <w:tc>
          <w:tcPr>
            <w:tcW w:w="545"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664" w:type="pct"/>
            <w:vAlign w:val="center"/>
          </w:tcPr>
          <w:p>
            <w:pPr>
              <w:rPr>
                <w:rFonts w:hint="eastAsia" w:ascii="仿宋_GB2312" w:hAnsi="仿宋_GB2312" w:eastAsia="仿宋_GB2312" w:cs="仿宋_GB2312"/>
              </w:rPr>
            </w:pPr>
            <w:r>
              <w:rPr>
                <w:rFonts w:hint="eastAsia" w:ascii="仿宋_GB2312" w:hAnsi="仿宋_GB2312" w:eastAsia="仿宋_GB2312" w:cs="仿宋_GB2312"/>
              </w:rPr>
              <w:t>同一项目中，一次同类违法的</w:t>
            </w:r>
          </w:p>
        </w:tc>
        <w:tc>
          <w:tcPr>
            <w:tcW w:w="859"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责令改正，并处三万元以上、低于四万元罚款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1" w:type="pct"/>
            <w:vMerge w:val="continue"/>
            <w:vAlign w:val="center"/>
          </w:tcPr>
          <w:p>
            <w:pPr>
              <w:rPr>
                <w:rFonts w:hint="eastAsia" w:ascii="仿宋_GB2312" w:hAnsi="仿宋_GB2312" w:eastAsia="仿宋_GB2312" w:cs="仿宋_GB2312"/>
              </w:rPr>
            </w:pPr>
          </w:p>
        </w:tc>
        <w:tc>
          <w:tcPr>
            <w:tcW w:w="456" w:type="pct"/>
            <w:vMerge w:val="continue"/>
            <w:vAlign w:val="center"/>
          </w:tcPr>
          <w:p>
            <w:pPr>
              <w:rPr>
                <w:rFonts w:hint="eastAsia" w:ascii="仿宋_GB2312" w:hAnsi="仿宋_GB2312" w:eastAsia="仿宋_GB2312" w:cs="仿宋_GB2312"/>
              </w:rPr>
            </w:pPr>
          </w:p>
        </w:tc>
        <w:tc>
          <w:tcPr>
            <w:tcW w:w="673" w:type="pct"/>
            <w:vMerge w:val="continue"/>
            <w:vAlign w:val="center"/>
          </w:tcPr>
          <w:p>
            <w:pPr>
              <w:rPr>
                <w:rFonts w:hint="eastAsia" w:ascii="仿宋_GB2312" w:hAnsi="仿宋_GB2312" w:eastAsia="仿宋_GB2312" w:cs="仿宋_GB2312"/>
              </w:rPr>
            </w:pPr>
          </w:p>
        </w:tc>
        <w:tc>
          <w:tcPr>
            <w:tcW w:w="985" w:type="pct"/>
            <w:vMerge w:val="continue"/>
            <w:vAlign w:val="center"/>
          </w:tcPr>
          <w:p>
            <w:pPr>
              <w:rPr>
                <w:rFonts w:hint="eastAsia" w:ascii="仿宋_GB2312" w:hAnsi="仿宋_GB2312" w:eastAsia="仿宋_GB2312" w:cs="仿宋_GB2312"/>
              </w:rPr>
            </w:pPr>
          </w:p>
        </w:tc>
        <w:tc>
          <w:tcPr>
            <w:tcW w:w="448" w:type="pct"/>
            <w:vMerge w:val="continue"/>
            <w:vAlign w:val="center"/>
          </w:tcPr>
          <w:p>
            <w:pPr>
              <w:rPr>
                <w:rFonts w:hint="eastAsia" w:ascii="仿宋_GB2312" w:hAnsi="仿宋_GB2312" w:eastAsia="仿宋_GB2312" w:cs="仿宋_GB2312"/>
              </w:rPr>
            </w:pPr>
          </w:p>
        </w:tc>
        <w:tc>
          <w:tcPr>
            <w:tcW w:w="545"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664" w:type="pct"/>
            <w:vAlign w:val="center"/>
          </w:tcPr>
          <w:p>
            <w:pPr>
              <w:rPr>
                <w:rFonts w:hint="eastAsia" w:ascii="仿宋_GB2312" w:hAnsi="仿宋_GB2312" w:eastAsia="仿宋_GB2312" w:cs="仿宋_GB2312"/>
              </w:rPr>
            </w:pPr>
            <w:r>
              <w:rPr>
                <w:rFonts w:hint="eastAsia" w:ascii="仿宋_GB2312" w:hAnsi="仿宋_GB2312" w:eastAsia="仿宋_GB2312" w:cs="仿宋_GB2312"/>
              </w:rPr>
              <w:t>同一项目中，两次同类违法的</w:t>
            </w:r>
          </w:p>
        </w:tc>
        <w:tc>
          <w:tcPr>
            <w:tcW w:w="859"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责令改正，并处四万元罚款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1" w:type="pct"/>
            <w:vMerge w:val="continue"/>
            <w:vAlign w:val="center"/>
          </w:tcPr>
          <w:p>
            <w:pPr>
              <w:rPr>
                <w:rFonts w:hint="eastAsia" w:ascii="仿宋_GB2312" w:hAnsi="仿宋_GB2312" w:eastAsia="仿宋_GB2312" w:cs="仿宋_GB2312"/>
              </w:rPr>
            </w:pPr>
          </w:p>
        </w:tc>
        <w:tc>
          <w:tcPr>
            <w:tcW w:w="456" w:type="pct"/>
            <w:vMerge w:val="continue"/>
            <w:vAlign w:val="center"/>
          </w:tcPr>
          <w:p>
            <w:pPr>
              <w:rPr>
                <w:rFonts w:hint="eastAsia" w:ascii="仿宋_GB2312" w:hAnsi="仿宋_GB2312" w:eastAsia="仿宋_GB2312" w:cs="仿宋_GB2312"/>
              </w:rPr>
            </w:pPr>
          </w:p>
        </w:tc>
        <w:tc>
          <w:tcPr>
            <w:tcW w:w="673" w:type="pct"/>
            <w:vMerge w:val="continue"/>
            <w:vAlign w:val="center"/>
          </w:tcPr>
          <w:p>
            <w:pPr>
              <w:rPr>
                <w:rFonts w:hint="eastAsia" w:ascii="仿宋_GB2312" w:hAnsi="仿宋_GB2312" w:eastAsia="仿宋_GB2312" w:cs="仿宋_GB2312"/>
              </w:rPr>
            </w:pPr>
          </w:p>
        </w:tc>
        <w:tc>
          <w:tcPr>
            <w:tcW w:w="985" w:type="pct"/>
            <w:vMerge w:val="continue"/>
            <w:vAlign w:val="center"/>
          </w:tcPr>
          <w:p>
            <w:pPr>
              <w:rPr>
                <w:rFonts w:hint="eastAsia" w:ascii="仿宋_GB2312" w:hAnsi="仿宋_GB2312" w:eastAsia="仿宋_GB2312" w:cs="仿宋_GB2312"/>
              </w:rPr>
            </w:pPr>
          </w:p>
        </w:tc>
        <w:tc>
          <w:tcPr>
            <w:tcW w:w="448" w:type="pct"/>
            <w:vMerge w:val="continue"/>
            <w:vAlign w:val="center"/>
          </w:tcPr>
          <w:p>
            <w:pPr>
              <w:rPr>
                <w:rFonts w:hint="eastAsia" w:ascii="仿宋_GB2312" w:hAnsi="仿宋_GB2312" w:eastAsia="仿宋_GB2312" w:cs="仿宋_GB2312"/>
              </w:rPr>
            </w:pPr>
          </w:p>
        </w:tc>
        <w:tc>
          <w:tcPr>
            <w:tcW w:w="545"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664" w:type="pct"/>
            <w:vAlign w:val="center"/>
          </w:tcPr>
          <w:p>
            <w:pPr>
              <w:rPr>
                <w:rFonts w:hint="eastAsia" w:ascii="仿宋_GB2312" w:hAnsi="仿宋_GB2312" w:eastAsia="仿宋_GB2312" w:cs="仿宋_GB2312"/>
              </w:rPr>
            </w:pPr>
            <w:r>
              <w:rPr>
                <w:rFonts w:hint="eastAsia" w:ascii="仿宋_GB2312" w:hAnsi="仿宋_GB2312" w:eastAsia="仿宋_GB2312" w:cs="仿宋_GB2312"/>
              </w:rPr>
              <w:t>同一项目中，三次以上同类违法或造成质量安全事故的</w:t>
            </w:r>
          </w:p>
        </w:tc>
        <w:tc>
          <w:tcPr>
            <w:tcW w:w="859"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责令改正，并处超过四万元、五万元以下罚款，暂扣其执业证书六个月以上十二个月以下</w:t>
            </w:r>
          </w:p>
        </w:tc>
      </w:tr>
    </w:tbl>
    <w:p>
      <w:pPr>
        <w:widowControl/>
        <w:jc w:val="left"/>
        <w:rPr>
          <w:bCs/>
          <w:sz w:val="32"/>
          <w:szCs w:val="32"/>
        </w:rPr>
      </w:pPr>
      <w:r>
        <w:rPr>
          <w:rFonts w:hint="eastAsia"/>
          <w:bCs/>
          <w:sz w:val="32"/>
          <w:szCs w:val="32"/>
        </w:rPr>
        <w:t>《深圳经济特区建设工程监理条例》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8"/>
        <w:gridCol w:w="1199"/>
        <w:gridCol w:w="2311"/>
        <w:gridCol w:w="2338"/>
        <w:gridCol w:w="1179"/>
        <w:gridCol w:w="1202"/>
        <w:gridCol w:w="2679"/>
        <w:gridCol w:w="22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73"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423"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815"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825"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416"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24"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945"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779"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3" w:type="pct"/>
            <w:vMerge w:val="restart"/>
            <w:vAlign w:val="center"/>
          </w:tcPr>
          <w:p>
            <w:pPr>
              <w:jc w:val="center"/>
              <w:rPr>
                <w:rFonts w:hint="eastAsia" w:ascii="仿宋_GB2312" w:hAnsi="仿宋_GB2312" w:eastAsia="仿宋_GB2312" w:cs="仿宋_GB2312"/>
                <w:lang w:val="en"/>
              </w:rPr>
            </w:pPr>
            <w:r>
              <w:rPr>
                <w:rFonts w:hint="eastAsia" w:ascii="仿宋_GB2312" w:hAnsi="仿宋_GB2312" w:eastAsia="仿宋_GB2312" w:cs="仿宋_GB2312"/>
                <w:lang w:val="en"/>
              </w:rPr>
              <w:t>108.11</w:t>
            </w:r>
          </w:p>
        </w:tc>
        <w:tc>
          <w:tcPr>
            <w:tcW w:w="423"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注册监理工程师未采取措施制止或者报告的</w:t>
            </w:r>
          </w:p>
        </w:tc>
        <w:tc>
          <w:tcPr>
            <w:tcW w:w="815"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第三十七条：“监理机构在履行职责时，发现工程建设中存在质量或者施工安全隐患以及违法行为的，应当采取措施制止；不能有效制止的，应当报告主管部门、工程质量监督或者施工安全监督机构处理。”</w:t>
            </w:r>
          </w:p>
        </w:tc>
        <w:tc>
          <w:tcPr>
            <w:tcW w:w="825"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第四十五条第三项：“注册监理工程师有下列行为之一的，应当责令改正，并按以下规定处罚：（三）违反本条例第三十七条规定，未采取措施制止或者报告的，对总监理工程师处三万元以上五万元以下罚款。”</w:t>
            </w:r>
          </w:p>
        </w:tc>
        <w:tc>
          <w:tcPr>
            <w:tcW w:w="416"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rPr>
              <w:t>罚款</w:t>
            </w:r>
          </w:p>
        </w:tc>
        <w:tc>
          <w:tcPr>
            <w:tcW w:w="424"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945" w:type="pct"/>
            <w:vAlign w:val="center"/>
          </w:tcPr>
          <w:p>
            <w:pPr>
              <w:rPr>
                <w:rFonts w:hint="eastAsia" w:ascii="仿宋_GB2312" w:hAnsi="仿宋_GB2312" w:eastAsia="仿宋_GB2312" w:cs="仿宋_GB2312"/>
              </w:rPr>
            </w:pPr>
            <w:r>
              <w:rPr>
                <w:rFonts w:hint="eastAsia" w:ascii="仿宋_GB2312" w:hAnsi="仿宋_GB2312" w:eastAsia="仿宋_GB2312" w:cs="仿宋_GB2312"/>
              </w:rPr>
              <w:t>不涉及结构安全、主要使用功能和施工安全隐患，且未造成质量安全事故的</w:t>
            </w:r>
          </w:p>
        </w:tc>
        <w:tc>
          <w:tcPr>
            <w:tcW w:w="779"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责令改正，并对总监理工程师处三万元以上、低于四万元罚款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3" w:type="pct"/>
            <w:vMerge w:val="continue"/>
            <w:vAlign w:val="center"/>
          </w:tcPr>
          <w:p>
            <w:pPr>
              <w:rPr>
                <w:rFonts w:hint="eastAsia" w:ascii="仿宋_GB2312" w:hAnsi="仿宋_GB2312" w:eastAsia="仿宋_GB2312" w:cs="仿宋_GB2312"/>
              </w:rPr>
            </w:pPr>
          </w:p>
        </w:tc>
        <w:tc>
          <w:tcPr>
            <w:tcW w:w="423" w:type="pct"/>
            <w:vMerge w:val="continue"/>
            <w:vAlign w:val="center"/>
          </w:tcPr>
          <w:p>
            <w:pPr>
              <w:rPr>
                <w:rFonts w:hint="eastAsia" w:ascii="仿宋_GB2312" w:hAnsi="仿宋_GB2312" w:eastAsia="仿宋_GB2312" w:cs="仿宋_GB2312"/>
              </w:rPr>
            </w:pPr>
          </w:p>
        </w:tc>
        <w:tc>
          <w:tcPr>
            <w:tcW w:w="815" w:type="pct"/>
            <w:vMerge w:val="continue"/>
            <w:vAlign w:val="center"/>
          </w:tcPr>
          <w:p>
            <w:pPr>
              <w:rPr>
                <w:rFonts w:hint="eastAsia" w:ascii="仿宋_GB2312" w:hAnsi="仿宋_GB2312" w:eastAsia="仿宋_GB2312" w:cs="仿宋_GB2312"/>
              </w:rPr>
            </w:pPr>
          </w:p>
        </w:tc>
        <w:tc>
          <w:tcPr>
            <w:tcW w:w="825" w:type="pct"/>
            <w:vMerge w:val="continue"/>
            <w:vAlign w:val="center"/>
          </w:tcPr>
          <w:p>
            <w:pPr>
              <w:rPr>
                <w:rFonts w:hint="eastAsia" w:ascii="仿宋_GB2312" w:hAnsi="仿宋_GB2312" w:eastAsia="仿宋_GB2312" w:cs="仿宋_GB2312"/>
              </w:rPr>
            </w:pPr>
          </w:p>
        </w:tc>
        <w:tc>
          <w:tcPr>
            <w:tcW w:w="416" w:type="pct"/>
            <w:vMerge w:val="continue"/>
            <w:vAlign w:val="center"/>
          </w:tcPr>
          <w:p>
            <w:pPr>
              <w:jc w:val="center"/>
              <w:rPr>
                <w:rFonts w:hint="eastAsia" w:ascii="仿宋_GB2312" w:hAnsi="仿宋_GB2312" w:eastAsia="仿宋_GB2312" w:cs="仿宋_GB2312"/>
              </w:rPr>
            </w:pPr>
          </w:p>
        </w:tc>
        <w:tc>
          <w:tcPr>
            <w:tcW w:w="424"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945" w:type="pct"/>
            <w:vAlign w:val="center"/>
          </w:tcPr>
          <w:p>
            <w:pPr>
              <w:rPr>
                <w:rFonts w:hint="eastAsia" w:ascii="仿宋_GB2312" w:hAnsi="仿宋_GB2312" w:eastAsia="仿宋_GB2312" w:cs="仿宋_GB2312"/>
              </w:rPr>
            </w:pPr>
            <w:r>
              <w:rPr>
                <w:rFonts w:hint="eastAsia" w:ascii="仿宋_GB2312" w:hAnsi="仿宋_GB2312" w:eastAsia="仿宋_GB2312" w:cs="仿宋_GB2312"/>
              </w:rPr>
              <w:t>涉及结构安全、主要使用功能或施工安全隐患，未造成质量安全事故的</w:t>
            </w:r>
          </w:p>
        </w:tc>
        <w:tc>
          <w:tcPr>
            <w:tcW w:w="779"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责令改正，并对总监理工程师处四万元罚款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3" w:type="pct"/>
            <w:vMerge w:val="continue"/>
            <w:vAlign w:val="center"/>
          </w:tcPr>
          <w:p>
            <w:pPr>
              <w:rPr>
                <w:rFonts w:hint="eastAsia" w:ascii="仿宋_GB2312" w:hAnsi="仿宋_GB2312" w:eastAsia="仿宋_GB2312" w:cs="仿宋_GB2312"/>
              </w:rPr>
            </w:pPr>
          </w:p>
        </w:tc>
        <w:tc>
          <w:tcPr>
            <w:tcW w:w="423" w:type="pct"/>
            <w:vMerge w:val="continue"/>
            <w:vAlign w:val="center"/>
          </w:tcPr>
          <w:p>
            <w:pPr>
              <w:rPr>
                <w:rFonts w:hint="eastAsia" w:ascii="仿宋_GB2312" w:hAnsi="仿宋_GB2312" w:eastAsia="仿宋_GB2312" w:cs="仿宋_GB2312"/>
              </w:rPr>
            </w:pPr>
          </w:p>
        </w:tc>
        <w:tc>
          <w:tcPr>
            <w:tcW w:w="815" w:type="pct"/>
            <w:vMerge w:val="continue"/>
            <w:vAlign w:val="center"/>
          </w:tcPr>
          <w:p>
            <w:pPr>
              <w:rPr>
                <w:rFonts w:hint="eastAsia" w:ascii="仿宋_GB2312" w:hAnsi="仿宋_GB2312" w:eastAsia="仿宋_GB2312" w:cs="仿宋_GB2312"/>
              </w:rPr>
            </w:pPr>
          </w:p>
        </w:tc>
        <w:tc>
          <w:tcPr>
            <w:tcW w:w="825" w:type="pct"/>
            <w:vMerge w:val="continue"/>
            <w:vAlign w:val="center"/>
          </w:tcPr>
          <w:p>
            <w:pPr>
              <w:rPr>
                <w:rFonts w:hint="eastAsia" w:ascii="仿宋_GB2312" w:hAnsi="仿宋_GB2312" w:eastAsia="仿宋_GB2312" w:cs="仿宋_GB2312"/>
              </w:rPr>
            </w:pPr>
          </w:p>
        </w:tc>
        <w:tc>
          <w:tcPr>
            <w:tcW w:w="416" w:type="pct"/>
            <w:vMerge w:val="continue"/>
            <w:vAlign w:val="center"/>
          </w:tcPr>
          <w:p>
            <w:pPr>
              <w:jc w:val="center"/>
              <w:rPr>
                <w:rFonts w:hint="eastAsia" w:ascii="仿宋_GB2312" w:hAnsi="仿宋_GB2312" w:eastAsia="仿宋_GB2312" w:cs="仿宋_GB2312"/>
              </w:rPr>
            </w:pPr>
          </w:p>
        </w:tc>
        <w:tc>
          <w:tcPr>
            <w:tcW w:w="424"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945" w:type="pct"/>
            <w:vAlign w:val="center"/>
          </w:tcPr>
          <w:p>
            <w:pPr>
              <w:rPr>
                <w:rFonts w:hint="eastAsia" w:ascii="仿宋_GB2312" w:hAnsi="仿宋_GB2312" w:eastAsia="仿宋_GB2312" w:cs="仿宋_GB2312"/>
              </w:rPr>
            </w:pPr>
            <w:r>
              <w:rPr>
                <w:rFonts w:hint="eastAsia" w:ascii="仿宋_GB2312" w:hAnsi="仿宋_GB2312" w:eastAsia="仿宋_GB2312" w:cs="仿宋_GB2312"/>
              </w:rPr>
              <w:t>造成质量安全事故的</w:t>
            </w:r>
          </w:p>
        </w:tc>
        <w:tc>
          <w:tcPr>
            <w:tcW w:w="779"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责令改正，并对总监理工程师处超过四万元、五万元以下罚款</w:t>
            </w:r>
          </w:p>
        </w:tc>
      </w:tr>
    </w:tbl>
    <w:p>
      <w:pPr>
        <w:widowControl/>
        <w:jc w:val="left"/>
        <w:rPr>
          <w:bCs/>
          <w:sz w:val="32"/>
          <w:szCs w:val="32"/>
        </w:rPr>
      </w:pPr>
      <w:r>
        <w:rPr>
          <w:b/>
          <w:sz w:val="32"/>
          <w:szCs w:val="32"/>
        </w:rPr>
        <w:br w:type="page"/>
      </w:r>
      <w:r>
        <w:rPr>
          <w:rFonts w:hint="eastAsia"/>
          <w:bCs/>
          <w:sz w:val="32"/>
          <w:szCs w:val="32"/>
        </w:rPr>
        <w:t>《深圳经济特区建设工程监理条例》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9"/>
        <w:gridCol w:w="1415"/>
        <w:gridCol w:w="2568"/>
        <w:gridCol w:w="2568"/>
        <w:gridCol w:w="1221"/>
        <w:gridCol w:w="1247"/>
        <w:gridCol w:w="1891"/>
        <w:gridCol w:w="22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73"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499"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906"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906"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431"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40"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66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779"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3" w:type="pct"/>
            <w:vMerge w:val="restart"/>
            <w:vAlign w:val="center"/>
          </w:tcPr>
          <w:p>
            <w:pPr>
              <w:jc w:val="center"/>
              <w:rPr>
                <w:rFonts w:hint="eastAsia" w:ascii="仿宋_GB2312" w:hAnsi="仿宋_GB2312" w:eastAsia="仿宋_GB2312" w:cs="仿宋_GB2312"/>
                <w:lang w:val="en"/>
              </w:rPr>
            </w:pPr>
            <w:r>
              <w:rPr>
                <w:rFonts w:hint="eastAsia" w:ascii="仿宋_GB2312" w:hAnsi="仿宋_GB2312" w:eastAsia="仿宋_GB2312" w:cs="仿宋_GB2312"/>
                <w:lang w:val="en"/>
              </w:rPr>
              <w:t>108.12</w:t>
            </w:r>
          </w:p>
        </w:tc>
        <w:tc>
          <w:tcPr>
            <w:tcW w:w="499"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承建商拒绝向监理单位提供必要资料的，或者承建商擅自将建筑材料、建筑构配件和设备在工程上使用、安装或者擅自进行下一道工序施工的</w:t>
            </w:r>
          </w:p>
        </w:tc>
        <w:tc>
          <w:tcPr>
            <w:tcW w:w="906"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第三十二条：“承建商和有关单位应当接受监理单位的监督管理，向监理单位提供勘察、设计、施工、检测等必要的资料。”</w:t>
            </w:r>
          </w:p>
          <w:p>
            <w:pPr>
              <w:pStyle w:val="2"/>
              <w:jc w:val="left"/>
              <w:rPr>
                <w:rFonts w:hint="eastAsia" w:ascii="仿宋_GB2312" w:hAnsi="仿宋_GB2312" w:eastAsia="仿宋_GB2312" w:cs="仿宋_GB2312"/>
              </w:rPr>
            </w:pPr>
            <w:r>
              <w:rPr>
                <w:rFonts w:hint="eastAsia" w:ascii="仿宋_GB2312" w:hAnsi="仿宋_GB2312" w:eastAsia="仿宋_GB2312" w:cs="仿宋_GB2312"/>
                <w:sz w:val="21"/>
                <w:szCs w:val="22"/>
              </w:rPr>
              <w:t>第三十四条第二款：“未经注册监理工程师签字认可，建筑材料、建筑构配件和设备不得在工程上使用或者安装，承建商不得进行下一道工序的施工。未经总监理工程师签字认可，建设单位不得拨付工程款，不得进行竣工验收。”</w:t>
            </w:r>
          </w:p>
        </w:tc>
        <w:tc>
          <w:tcPr>
            <w:tcW w:w="906" w:type="pct"/>
            <w:vMerge w:val="restart"/>
            <w:vAlign w:val="center"/>
          </w:tcPr>
          <w:p>
            <w:pPr>
              <w:jc w:val="left"/>
              <w:rPr>
                <w:rFonts w:hint="eastAsia" w:ascii="仿宋_GB2312" w:hAnsi="仿宋_GB2312" w:eastAsia="仿宋_GB2312" w:cs="仿宋_GB2312"/>
              </w:rPr>
            </w:pPr>
            <w:r>
              <w:rPr>
                <w:rFonts w:hint="eastAsia" w:ascii="仿宋_GB2312" w:hAnsi="仿宋_GB2312" w:eastAsia="仿宋_GB2312" w:cs="仿宋_GB2312"/>
              </w:rPr>
              <w:t>第四十六条：“违反本条例第三十二条、第三十四条第二款规定，承建商拒绝向监理单位提供必要资料的，或者擅自将建筑材料、建筑构配件和设备在工程上使用、安装或者擅自进行下一道工序施工的，应当责令改正，并处一万元以上五万元以下罚款。”</w:t>
            </w:r>
          </w:p>
        </w:tc>
        <w:tc>
          <w:tcPr>
            <w:tcW w:w="431"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rPr>
              <w:t>罚款</w:t>
            </w:r>
          </w:p>
        </w:tc>
        <w:tc>
          <w:tcPr>
            <w:tcW w:w="440"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667" w:type="pct"/>
            <w:vAlign w:val="center"/>
          </w:tcPr>
          <w:p>
            <w:pPr>
              <w:rPr>
                <w:rFonts w:hint="eastAsia" w:ascii="仿宋_GB2312" w:hAnsi="仿宋_GB2312" w:eastAsia="仿宋_GB2312" w:cs="仿宋_GB2312"/>
              </w:rPr>
            </w:pPr>
            <w:r>
              <w:rPr>
                <w:rFonts w:hint="eastAsia" w:ascii="仿宋_GB2312" w:hAnsi="仿宋_GB2312" w:eastAsia="仿宋_GB2312" w:cs="仿宋_GB2312"/>
              </w:rPr>
              <w:t>同一项目中，一次同类违法的</w:t>
            </w:r>
          </w:p>
        </w:tc>
        <w:tc>
          <w:tcPr>
            <w:tcW w:w="779"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责令改正，并处一万元以上、低于三万元罚款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3" w:type="pct"/>
            <w:vMerge w:val="continue"/>
            <w:vAlign w:val="center"/>
          </w:tcPr>
          <w:p>
            <w:pPr>
              <w:rPr>
                <w:rFonts w:hint="eastAsia" w:ascii="仿宋_GB2312" w:hAnsi="仿宋_GB2312" w:eastAsia="仿宋_GB2312" w:cs="仿宋_GB2312"/>
              </w:rPr>
            </w:pPr>
          </w:p>
        </w:tc>
        <w:tc>
          <w:tcPr>
            <w:tcW w:w="499" w:type="pct"/>
            <w:vMerge w:val="continue"/>
            <w:vAlign w:val="center"/>
          </w:tcPr>
          <w:p>
            <w:pPr>
              <w:rPr>
                <w:rFonts w:hint="eastAsia" w:ascii="仿宋_GB2312" w:hAnsi="仿宋_GB2312" w:eastAsia="仿宋_GB2312" w:cs="仿宋_GB2312"/>
              </w:rPr>
            </w:pPr>
          </w:p>
        </w:tc>
        <w:tc>
          <w:tcPr>
            <w:tcW w:w="906" w:type="pct"/>
            <w:vMerge w:val="continue"/>
            <w:vAlign w:val="center"/>
          </w:tcPr>
          <w:p>
            <w:pPr>
              <w:rPr>
                <w:rFonts w:hint="eastAsia" w:ascii="仿宋_GB2312" w:hAnsi="仿宋_GB2312" w:eastAsia="仿宋_GB2312" w:cs="仿宋_GB2312"/>
              </w:rPr>
            </w:pPr>
          </w:p>
        </w:tc>
        <w:tc>
          <w:tcPr>
            <w:tcW w:w="906" w:type="pct"/>
            <w:vMerge w:val="continue"/>
            <w:vAlign w:val="center"/>
          </w:tcPr>
          <w:p>
            <w:pPr>
              <w:rPr>
                <w:rFonts w:hint="eastAsia" w:ascii="仿宋_GB2312" w:hAnsi="仿宋_GB2312" w:eastAsia="仿宋_GB2312" w:cs="仿宋_GB2312"/>
              </w:rPr>
            </w:pPr>
          </w:p>
        </w:tc>
        <w:tc>
          <w:tcPr>
            <w:tcW w:w="431" w:type="pct"/>
            <w:vMerge w:val="continue"/>
            <w:vAlign w:val="center"/>
          </w:tcPr>
          <w:p>
            <w:pPr>
              <w:jc w:val="center"/>
              <w:rPr>
                <w:rFonts w:hint="eastAsia" w:ascii="仿宋_GB2312" w:hAnsi="仿宋_GB2312" w:eastAsia="仿宋_GB2312" w:cs="仿宋_GB2312"/>
              </w:rPr>
            </w:pPr>
          </w:p>
        </w:tc>
        <w:tc>
          <w:tcPr>
            <w:tcW w:w="440"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667" w:type="pct"/>
            <w:vAlign w:val="center"/>
          </w:tcPr>
          <w:p>
            <w:pPr>
              <w:rPr>
                <w:rFonts w:hint="eastAsia" w:ascii="仿宋_GB2312" w:hAnsi="仿宋_GB2312" w:eastAsia="仿宋_GB2312" w:cs="仿宋_GB2312"/>
              </w:rPr>
            </w:pPr>
            <w:r>
              <w:rPr>
                <w:rFonts w:hint="eastAsia" w:ascii="仿宋_GB2312" w:hAnsi="仿宋_GB2312" w:eastAsia="仿宋_GB2312" w:cs="仿宋_GB2312"/>
              </w:rPr>
              <w:t>同一项目中，两次同类违法</w:t>
            </w:r>
          </w:p>
        </w:tc>
        <w:tc>
          <w:tcPr>
            <w:tcW w:w="779"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责令改正，并处三万元罚款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3" w:type="pct"/>
            <w:vMerge w:val="continue"/>
            <w:vAlign w:val="center"/>
          </w:tcPr>
          <w:p>
            <w:pPr>
              <w:rPr>
                <w:rFonts w:hint="eastAsia" w:ascii="仿宋_GB2312" w:hAnsi="仿宋_GB2312" w:eastAsia="仿宋_GB2312" w:cs="仿宋_GB2312"/>
              </w:rPr>
            </w:pPr>
          </w:p>
        </w:tc>
        <w:tc>
          <w:tcPr>
            <w:tcW w:w="499" w:type="pct"/>
            <w:vMerge w:val="continue"/>
            <w:vAlign w:val="center"/>
          </w:tcPr>
          <w:p>
            <w:pPr>
              <w:rPr>
                <w:rFonts w:hint="eastAsia" w:ascii="仿宋_GB2312" w:hAnsi="仿宋_GB2312" w:eastAsia="仿宋_GB2312" w:cs="仿宋_GB2312"/>
              </w:rPr>
            </w:pPr>
          </w:p>
        </w:tc>
        <w:tc>
          <w:tcPr>
            <w:tcW w:w="906" w:type="pct"/>
            <w:vMerge w:val="continue"/>
            <w:vAlign w:val="center"/>
          </w:tcPr>
          <w:p>
            <w:pPr>
              <w:rPr>
                <w:rFonts w:hint="eastAsia" w:ascii="仿宋_GB2312" w:hAnsi="仿宋_GB2312" w:eastAsia="仿宋_GB2312" w:cs="仿宋_GB2312"/>
              </w:rPr>
            </w:pPr>
          </w:p>
        </w:tc>
        <w:tc>
          <w:tcPr>
            <w:tcW w:w="906" w:type="pct"/>
            <w:vMerge w:val="continue"/>
            <w:vAlign w:val="center"/>
          </w:tcPr>
          <w:p>
            <w:pPr>
              <w:rPr>
                <w:rFonts w:hint="eastAsia" w:ascii="仿宋_GB2312" w:hAnsi="仿宋_GB2312" w:eastAsia="仿宋_GB2312" w:cs="仿宋_GB2312"/>
              </w:rPr>
            </w:pPr>
          </w:p>
        </w:tc>
        <w:tc>
          <w:tcPr>
            <w:tcW w:w="431" w:type="pct"/>
            <w:vMerge w:val="continue"/>
            <w:vAlign w:val="center"/>
          </w:tcPr>
          <w:p>
            <w:pPr>
              <w:jc w:val="center"/>
              <w:rPr>
                <w:rFonts w:hint="eastAsia" w:ascii="仿宋_GB2312" w:hAnsi="仿宋_GB2312" w:eastAsia="仿宋_GB2312" w:cs="仿宋_GB2312"/>
              </w:rPr>
            </w:pPr>
          </w:p>
        </w:tc>
        <w:tc>
          <w:tcPr>
            <w:tcW w:w="440"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667" w:type="pct"/>
            <w:vAlign w:val="center"/>
          </w:tcPr>
          <w:p>
            <w:pPr>
              <w:rPr>
                <w:rFonts w:hint="eastAsia" w:ascii="仿宋_GB2312" w:hAnsi="仿宋_GB2312" w:eastAsia="仿宋_GB2312" w:cs="仿宋_GB2312"/>
              </w:rPr>
            </w:pPr>
            <w:r>
              <w:rPr>
                <w:rFonts w:hint="eastAsia" w:ascii="仿宋_GB2312" w:hAnsi="仿宋_GB2312" w:eastAsia="仿宋_GB2312" w:cs="仿宋_GB2312"/>
              </w:rPr>
              <w:t>同一项目中，三次以上同类违法或造成质量安全事故的</w:t>
            </w:r>
          </w:p>
        </w:tc>
        <w:tc>
          <w:tcPr>
            <w:tcW w:w="779"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责令改正，并处超过三万元、五万元以下罚款</w:t>
            </w:r>
          </w:p>
        </w:tc>
      </w:tr>
    </w:tbl>
    <w:p>
      <w:pPr>
        <w:widowControl/>
        <w:jc w:val="left"/>
        <w:rPr>
          <w:bCs/>
          <w:sz w:val="32"/>
          <w:szCs w:val="32"/>
        </w:rPr>
      </w:pPr>
      <w:r>
        <w:rPr>
          <w:rFonts w:hint="eastAsia"/>
          <w:bCs/>
          <w:sz w:val="32"/>
          <w:szCs w:val="32"/>
        </w:rPr>
        <w:t>《深圳经济特区建设工程监理条例》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01"/>
        <w:gridCol w:w="1222"/>
        <w:gridCol w:w="1163"/>
        <w:gridCol w:w="3190"/>
        <w:gridCol w:w="1154"/>
        <w:gridCol w:w="1151"/>
        <w:gridCol w:w="2450"/>
        <w:gridCol w:w="29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8"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431"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410"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1125"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40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06"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864"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1038"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18" w:type="pct"/>
            <w:vMerge w:val="restart"/>
            <w:vAlign w:val="center"/>
          </w:tcPr>
          <w:p>
            <w:pPr>
              <w:jc w:val="center"/>
              <w:rPr>
                <w:rFonts w:hint="eastAsia" w:ascii="仿宋_GB2312" w:hAnsi="仿宋_GB2312" w:eastAsia="仿宋_GB2312" w:cs="仿宋_GB2312"/>
                <w:sz w:val="21"/>
                <w:szCs w:val="21"/>
                <w:lang w:val="en"/>
              </w:rPr>
            </w:pPr>
            <w:r>
              <w:rPr>
                <w:rFonts w:hint="eastAsia" w:ascii="仿宋_GB2312" w:hAnsi="仿宋_GB2312" w:eastAsia="仿宋_GB2312" w:cs="仿宋_GB2312"/>
                <w:sz w:val="21"/>
                <w:szCs w:val="21"/>
                <w:lang w:val="en"/>
              </w:rPr>
              <w:t>108.1</w:t>
            </w:r>
            <w:r>
              <w:rPr>
                <w:rFonts w:hint="eastAsia" w:ascii="仿宋_GB2312" w:hAnsi="仿宋_GB2312" w:eastAsia="仿宋_GB2312" w:cs="仿宋_GB2312"/>
                <w:sz w:val="21"/>
                <w:szCs w:val="21"/>
              </w:rPr>
              <w:t>3</w:t>
            </w:r>
          </w:p>
        </w:tc>
        <w:tc>
          <w:tcPr>
            <w:tcW w:w="431" w:type="pct"/>
            <w:vMerge w:val="restart"/>
            <w:vAlign w:val="center"/>
          </w:tcPr>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监理单位和监理从业人员未履行监理职责，造成工程质量和施工安全事故的</w:t>
            </w:r>
          </w:p>
        </w:tc>
        <w:tc>
          <w:tcPr>
            <w:tcW w:w="410" w:type="pct"/>
            <w:vMerge w:val="restart"/>
            <w:vAlign w:val="center"/>
          </w:tcPr>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第三十五条：“监理单位和监理从业人员应当严格履行监理职责。根据监理合同规定应当实施监理的事项，注册监理工程师事先未申明又不按时实施的，视为其予以认可。”</w:t>
            </w:r>
          </w:p>
        </w:tc>
        <w:tc>
          <w:tcPr>
            <w:tcW w:w="1125" w:type="pct"/>
            <w:vMerge w:val="restart"/>
            <w:vAlign w:val="center"/>
          </w:tcPr>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第四十七条第一项：“监理单位和监理从业人员未履行监理职责，造成工程质量和施工安全事故的，除依法承担赔偿责任外，应当按下列规定予以处罚：</w:t>
            </w:r>
          </w:p>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一）造成四级重大工程质量和施工安全事故的，对监理单位处三万元以上五万元以下的罚款，暂扣其资质证书三个月以上六个月以下；对总监理工程师及直接责任人员处三千元以上五千元以下的罚款，暂扣执业证书三个月以上六个月以下；</w:t>
            </w:r>
          </w:p>
        </w:tc>
        <w:tc>
          <w:tcPr>
            <w:tcW w:w="407" w:type="pct"/>
            <w:vMerge w:val="restart"/>
            <w:vAlign w:val="center"/>
          </w:tcPr>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罚款；暂扣许可证件</w:t>
            </w:r>
          </w:p>
        </w:tc>
        <w:tc>
          <w:tcPr>
            <w:tcW w:w="406" w:type="pct"/>
            <w:vAlign w:val="center"/>
          </w:tcPr>
          <w:p>
            <w:pPr>
              <w:jc w:val="center"/>
              <w:rPr>
                <w:rFonts w:hint="eastAsia" w:ascii="仿宋_GB2312" w:hAnsi="仿宋_GB2312" w:eastAsia="仿宋_GB2312" w:cs="仿宋_GB2312"/>
                <w:sz w:val="21"/>
                <w:szCs w:val="21"/>
              </w:rPr>
            </w:pPr>
            <w:r>
              <w:rPr>
                <w:rFonts w:hint="eastAsia" w:ascii="仿宋_GB2312" w:hAnsi="仿宋_GB2312" w:eastAsia="仿宋_GB2312" w:cs="仿宋_GB2312"/>
                <w:bCs/>
                <w:color w:val="000000"/>
                <w:kern w:val="0"/>
                <w:sz w:val="21"/>
                <w:szCs w:val="21"/>
              </w:rPr>
              <w:t>从轻</w:t>
            </w:r>
          </w:p>
        </w:tc>
        <w:tc>
          <w:tcPr>
            <w:tcW w:w="864" w:type="pct"/>
            <w:vAlign w:val="center"/>
          </w:tcPr>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未造成人员死亡，或者2人重伤，或者200万元以下直接经济损失的事故</w:t>
            </w:r>
          </w:p>
        </w:tc>
        <w:tc>
          <w:tcPr>
            <w:tcW w:w="1038" w:type="pct"/>
            <w:vAlign w:val="center"/>
          </w:tcPr>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对监理单位处三万元以上、低于四万元以下的罚款，暂扣其资质证书三个月以上、低于四个半月；对总监理工程师及直接责任人员处三千元以上、低于四千元以下的罚款，暂扣执业证书三个月以上、低于四个半月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18" w:type="pct"/>
            <w:vMerge w:val="continue"/>
            <w:vAlign w:val="center"/>
          </w:tcPr>
          <w:p>
            <w:pPr>
              <w:rPr>
                <w:rFonts w:hint="eastAsia" w:ascii="仿宋_GB2312" w:hAnsi="仿宋_GB2312" w:eastAsia="仿宋_GB2312" w:cs="仿宋_GB2312"/>
                <w:sz w:val="21"/>
                <w:szCs w:val="21"/>
              </w:rPr>
            </w:pPr>
          </w:p>
        </w:tc>
        <w:tc>
          <w:tcPr>
            <w:tcW w:w="431" w:type="pct"/>
            <w:vMerge w:val="continue"/>
            <w:vAlign w:val="center"/>
          </w:tcPr>
          <w:p>
            <w:pPr>
              <w:rPr>
                <w:rFonts w:hint="eastAsia" w:ascii="仿宋_GB2312" w:hAnsi="仿宋_GB2312" w:eastAsia="仿宋_GB2312" w:cs="仿宋_GB2312"/>
                <w:sz w:val="21"/>
                <w:szCs w:val="21"/>
              </w:rPr>
            </w:pPr>
          </w:p>
        </w:tc>
        <w:tc>
          <w:tcPr>
            <w:tcW w:w="410" w:type="pct"/>
            <w:vMerge w:val="continue"/>
            <w:vAlign w:val="center"/>
          </w:tcPr>
          <w:p>
            <w:pPr>
              <w:rPr>
                <w:rFonts w:hint="eastAsia" w:ascii="仿宋_GB2312" w:hAnsi="仿宋_GB2312" w:eastAsia="仿宋_GB2312" w:cs="仿宋_GB2312"/>
                <w:sz w:val="21"/>
                <w:szCs w:val="21"/>
              </w:rPr>
            </w:pPr>
          </w:p>
        </w:tc>
        <w:tc>
          <w:tcPr>
            <w:tcW w:w="1125" w:type="pct"/>
            <w:vMerge w:val="continue"/>
            <w:vAlign w:val="center"/>
          </w:tcPr>
          <w:p>
            <w:pPr>
              <w:rPr>
                <w:rFonts w:hint="eastAsia" w:ascii="仿宋_GB2312" w:hAnsi="仿宋_GB2312" w:eastAsia="仿宋_GB2312" w:cs="仿宋_GB2312"/>
                <w:sz w:val="21"/>
                <w:szCs w:val="21"/>
              </w:rPr>
            </w:pPr>
          </w:p>
        </w:tc>
        <w:tc>
          <w:tcPr>
            <w:tcW w:w="407" w:type="pct"/>
            <w:vMerge w:val="continue"/>
            <w:vAlign w:val="center"/>
          </w:tcPr>
          <w:p>
            <w:pPr>
              <w:rPr>
                <w:rFonts w:hint="eastAsia" w:ascii="仿宋_GB2312" w:hAnsi="仿宋_GB2312" w:eastAsia="仿宋_GB2312" w:cs="仿宋_GB2312"/>
                <w:sz w:val="21"/>
                <w:szCs w:val="21"/>
              </w:rPr>
            </w:pPr>
          </w:p>
        </w:tc>
        <w:tc>
          <w:tcPr>
            <w:tcW w:w="406" w:type="pct"/>
            <w:vAlign w:val="center"/>
          </w:tcPr>
          <w:p>
            <w:pPr>
              <w:jc w:val="center"/>
              <w:rPr>
                <w:rFonts w:hint="eastAsia" w:ascii="仿宋_GB2312" w:hAnsi="仿宋_GB2312" w:eastAsia="仿宋_GB2312" w:cs="仿宋_GB2312"/>
                <w:sz w:val="21"/>
                <w:szCs w:val="21"/>
              </w:rPr>
            </w:pPr>
            <w:r>
              <w:rPr>
                <w:rFonts w:hint="eastAsia" w:ascii="仿宋_GB2312" w:hAnsi="仿宋_GB2312" w:eastAsia="仿宋_GB2312" w:cs="仿宋_GB2312"/>
                <w:bCs/>
                <w:color w:val="000000"/>
                <w:kern w:val="0"/>
                <w:sz w:val="21"/>
                <w:szCs w:val="21"/>
              </w:rPr>
              <w:t>一般</w:t>
            </w:r>
          </w:p>
        </w:tc>
        <w:tc>
          <w:tcPr>
            <w:tcW w:w="864" w:type="pct"/>
            <w:vAlign w:val="center"/>
          </w:tcPr>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造成1人死亡，或者超过2人、5人以下重伤，或者超过200万元、500万元以下直接经济损失的事故</w:t>
            </w:r>
          </w:p>
        </w:tc>
        <w:tc>
          <w:tcPr>
            <w:tcW w:w="1038" w:type="pct"/>
            <w:vAlign w:val="center"/>
          </w:tcPr>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对监理单位处四万元的罚款，暂扣其资质证书四个半月；对总监理工程师及直接责任人员处四千元的罚款，暂扣其执业证书四个半月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18" w:type="pct"/>
            <w:vMerge w:val="continue"/>
            <w:vAlign w:val="center"/>
          </w:tcPr>
          <w:p>
            <w:pPr>
              <w:rPr>
                <w:rFonts w:hint="eastAsia" w:ascii="仿宋_GB2312" w:hAnsi="仿宋_GB2312" w:eastAsia="仿宋_GB2312" w:cs="仿宋_GB2312"/>
                <w:sz w:val="21"/>
                <w:szCs w:val="21"/>
              </w:rPr>
            </w:pPr>
          </w:p>
        </w:tc>
        <w:tc>
          <w:tcPr>
            <w:tcW w:w="431" w:type="pct"/>
            <w:vMerge w:val="continue"/>
            <w:vAlign w:val="center"/>
          </w:tcPr>
          <w:p>
            <w:pPr>
              <w:rPr>
                <w:rFonts w:hint="eastAsia" w:ascii="仿宋_GB2312" w:hAnsi="仿宋_GB2312" w:eastAsia="仿宋_GB2312" w:cs="仿宋_GB2312"/>
                <w:sz w:val="21"/>
                <w:szCs w:val="21"/>
              </w:rPr>
            </w:pPr>
          </w:p>
        </w:tc>
        <w:tc>
          <w:tcPr>
            <w:tcW w:w="410" w:type="pct"/>
            <w:vMerge w:val="continue"/>
            <w:vAlign w:val="center"/>
          </w:tcPr>
          <w:p>
            <w:pPr>
              <w:rPr>
                <w:rFonts w:hint="eastAsia" w:ascii="仿宋_GB2312" w:hAnsi="仿宋_GB2312" w:eastAsia="仿宋_GB2312" w:cs="仿宋_GB2312"/>
                <w:sz w:val="21"/>
                <w:szCs w:val="21"/>
              </w:rPr>
            </w:pPr>
          </w:p>
        </w:tc>
        <w:tc>
          <w:tcPr>
            <w:tcW w:w="1125" w:type="pct"/>
            <w:vMerge w:val="continue"/>
            <w:vAlign w:val="center"/>
          </w:tcPr>
          <w:p>
            <w:pPr>
              <w:rPr>
                <w:rFonts w:hint="eastAsia" w:ascii="仿宋_GB2312" w:hAnsi="仿宋_GB2312" w:eastAsia="仿宋_GB2312" w:cs="仿宋_GB2312"/>
                <w:sz w:val="21"/>
                <w:szCs w:val="21"/>
              </w:rPr>
            </w:pPr>
          </w:p>
        </w:tc>
        <w:tc>
          <w:tcPr>
            <w:tcW w:w="407" w:type="pct"/>
            <w:vMerge w:val="continue"/>
            <w:vAlign w:val="center"/>
          </w:tcPr>
          <w:p>
            <w:pPr>
              <w:rPr>
                <w:rFonts w:hint="eastAsia" w:ascii="仿宋_GB2312" w:hAnsi="仿宋_GB2312" w:eastAsia="仿宋_GB2312" w:cs="仿宋_GB2312"/>
                <w:sz w:val="21"/>
                <w:szCs w:val="21"/>
              </w:rPr>
            </w:pPr>
          </w:p>
        </w:tc>
        <w:tc>
          <w:tcPr>
            <w:tcW w:w="406" w:type="pct"/>
            <w:vAlign w:val="center"/>
          </w:tcPr>
          <w:p>
            <w:pPr>
              <w:jc w:val="center"/>
              <w:rPr>
                <w:rFonts w:hint="eastAsia" w:ascii="仿宋_GB2312" w:hAnsi="仿宋_GB2312" w:eastAsia="仿宋_GB2312" w:cs="仿宋_GB2312"/>
                <w:sz w:val="21"/>
                <w:szCs w:val="21"/>
              </w:rPr>
            </w:pPr>
            <w:r>
              <w:rPr>
                <w:rFonts w:hint="eastAsia" w:ascii="仿宋_GB2312" w:hAnsi="仿宋_GB2312" w:eastAsia="仿宋_GB2312" w:cs="仿宋_GB2312"/>
                <w:bCs/>
                <w:color w:val="000000"/>
                <w:kern w:val="0"/>
                <w:sz w:val="21"/>
                <w:szCs w:val="21"/>
              </w:rPr>
              <w:t>从重</w:t>
            </w:r>
          </w:p>
        </w:tc>
        <w:tc>
          <w:tcPr>
            <w:tcW w:w="864" w:type="pct"/>
            <w:vAlign w:val="center"/>
          </w:tcPr>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造成2人死亡，或者超过5人、10人以下重伤，或者超过500万元、低于1000万元直接经济损失的事故</w:t>
            </w:r>
          </w:p>
        </w:tc>
        <w:tc>
          <w:tcPr>
            <w:tcW w:w="1038" w:type="pct"/>
            <w:vAlign w:val="center"/>
          </w:tcPr>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对监理单位处超过四万元、五万元以下的罚款</w:t>
            </w:r>
            <w:r>
              <w:rPr>
                <w:rFonts w:hint="eastAsia" w:ascii="仿宋_GB2312" w:hAnsi="仿宋_GB2312" w:eastAsia="仿宋_GB2312" w:cs="仿宋_GB2312"/>
                <w:sz w:val="21"/>
                <w:szCs w:val="21"/>
                <w:lang w:eastAsia="zh-CN"/>
              </w:rPr>
              <w:t>，暂扣其资质证书超过四个半月、六个月以</w:t>
            </w:r>
            <w:r>
              <w:rPr>
                <w:rFonts w:hint="eastAsia" w:ascii="仿宋_GB2312" w:hAnsi="仿宋_GB2312" w:eastAsia="仿宋_GB2312" w:cs="仿宋_GB2312"/>
                <w:sz w:val="21"/>
                <w:szCs w:val="21"/>
              </w:rPr>
              <w:t>；对总监理工程师及直接责任人员处超过四千元、五千元以下的罚款，暂扣执业证书超过四个半月、六个月以下</w:t>
            </w:r>
          </w:p>
        </w:tc>
      </w:tr>
    </w:tbl>
    <w:p>
      <w:pPr>
        <w:rPr>
          <w:bCs/>
          <w:sz w:val="32"/>
          <w:szCs w:val="32"/>
        </w:rPr>
      </w:pPr>
      <w:r>
        <w:rPr>
          <w:rFonts w:hint="eastAsia"/>
          <w:bCs/>
          <w:sz w:val="32"/>
          <w:szCs w:val="32"/>
        </w:rPr>
        <w:t>《深圳经济特区建设工程监理条例》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2"/>
        <w:gridCol w:w="1221"/>
        <w:gridCol w:w="1400"/>
        <w:gridCol w:w="2801"/>
        <w:gridCol w:w="1239"/>
        <w:gridCol w:w="1139"/>
        <w:gridCol w:w="2611"/>
        <w:gridCol w:w="28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8"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431"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494"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988"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43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02"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921"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1009"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18" w:type="pct"/>
            <w:vMerge w:val="restart"/>
            <w:vAlign w:val="center"/>
          </w:tcPr>
          <w:p>
            <w:pPr>
              <w:jc w:val="center"/>
              <w:rPr>
                <w:rFonts w:hint="eastAsia" w:ascii="仿宋_GB2312" w:hAnsi="仿宋_GB2312" w:eastAsia="仿宋_GB2312" w:cs="仿宋_GB2312"/>
                <w:lang w:val="en"/>
              </w:rPr>
            </w:pPr>
            <w:r>
              <w:rPr>
                <w:rFonts w:hint="eastAsia" w:ascii="仿宋_GB2312" w:hAnsi="仿宋_GB2312" w:eastAsia="仿宋_GB2312" w:cs="仿宋_GB2312"/>
                <w:lang w:val="en"/>
              </w:rPr>
              <w:t>108.1</w:t>
            </w:r>
            <w:r>
              <w:rPr>
                <w:rFonts w:hint="eastAsia" w:ascii="仿宋_GB2312" w:hAnsi="仿宋_GB2312" w:eastAsia="仿宋_GB2312" w:cs="仿宋_GB2312"/>
              </w:rPr>
              <w:t>4</w:t>
            </w:r>
          </w:p>
        </w:tc>
        <w:tc>
          <w:tcPr>
            <w:tcW w:w="431" w:type="pct"/>
            <w:vMerge w:val="restart"/>
            <w:vAlign w:val="center"/>
          </w:tcPr>
          <w:p>
            <w:pPr>
              <w:rPr>
                <w:rFonts w:hint="eastAsia" w:ascii="仿宋_GB2312" w:hAnsi="仿宋_GB2312" w:eastAsia="仿宋_GB2312" w:cs="仿宋_GB2312"/>
                <w:sz w:val="18"/>
                <w:szCs w:val="20"/>
              </w:rPr>
            </w:pPr>
            <w:r>
              <w:rPr>
                <w:rFonts w:hint="eastAsia" w:ascii="仿宋_GB2312" w:hAnsi="仿宋_GB2312" w:eastAsia="仿宋_GB2312" w:cs="仿宋_GB2312"/>
                <w:sz w:val="18"/>
                <w:szCs w:val="20"/>
              </w:rPr>
              <w:t>监理单位和监理从业人员未履行监理职责，造成工程质量和施工安全事故的</w:t>
            </w:r>
          </w:p>
        </w:tc>
        <w:tc>
          <w:tcPr>
            <w:tcW w:w="494" w:type="pct"/>
            <w:vMerge w:val="restart"/>
            <w:vAlign w:val="center"/>
          </w:tcPr>
          <w:p>
            <w:pPr>
              <w:rPr>
                <w:rFonts w:hint="eastAsia" w:ascii="仿宋_GB2312" w:hAnsi="仿宋_GB2312" w:eastAsia="仿宋_GB2312" w:cs="仿宋_GB2312"/>
                <w:sz w:val="18"/>
                <w:szCs w:val="20"/>
              </w:rPr>
            </w:pPr>
            <w:r>
              <w:rPr>
                <w:rFonts w:hint="eastAsia" w:ascii="仿宋_GB2312" w:hAnsi="仿宋_GB2312" w:eastAsia="仿宋_GB2312" w:cs="仿宋_GB2312"/>
                <w:sz w:val="18"/>
                <w:szCs w:val="20"/>
              </w:rPr>
              <w:t>第三十五条：“监理单位和监理从业人员应当严格履行监理职责。根据监理合同规定应当实施监理的事项，注册监理工程师事先未申明又不按时实施的，视为其予以认可。”</w:t>
            </w:r>
          </w:p>
        </w:tc>
        <w:tc>
          <w:tcPr>
            <w:tcW w:w="988" w:type="pct"/>
            <w:vMerge w:val="restart"/>
            <w:vAlign w:val="center"/>
          </w:tcPr>
          <w:p>
            <w:pPr>
              <w:rPr>
                <w:rFonts w:hint="eastAsia" w:ascii="仿宋_GB2312" w:hAnsi="仿宋_GB2312" w:eastAsia="仿宋_GB2312" w:cs="仿宋_GB2312"/>
                <w:sz w:val="18"/>
                <w:szCs w:val="20"/>
              </w:rPr>
            </w:pPr>
            <w:r>
              <w:rPr>
                <w:rFonts w:hint="eastAsia" w:ascii="仿宋_GB2312" w:hAnsi="仿宋_GB2312" w:eastAsia="仿宋_GB2312" w:cs="仿宋_GB2312"/>
                <w:sz w:val="18"/>
                <w:szCs w:val="20"/>
              </w:rPr>
              <w:t>第四十七条第二项：“监理单位和监理从业人员未履行监理职责，造成工程质量和施工安全事故的，除依法承担赔偿责任外，应当按下列规定予以处罚：</w:t>
            </w:r>
          </w:p>
          <w:p>
            <w:pPr>
              <w:rPr>
                <w:rFonts w:hint="eastAsia" w:ascii="仿宋_GB2312" w:hAnsi="仿宋_GB2312" w:eastAsia="仿宋_GB2312" w:cs="仿宋_GB2312"/>
                <w:sz w:val="18"/>
                <w:szCs w:val="20"/>
              </w:rPr>
            </w:pPr>
            <w:r>
              <w:rPr>
                <w:rFonts w:hint="eastAsia" w:ascii="仿宋_GB2312" w:hAnsi="仿宋_GB2312" w:eastAsia="仿宋_GB2312" w:cs="仿宋_GB2312"/>
                <w:sz w:val="18"/>
                <w:szCs w:val="20"/>
              </w:rPr>
              <w:t>（二）造成三级重大工程质量和施工安全事故的，对监理单位处五万元以上七万元以下的罚款，暂扣其资质证书六个月以上十二个月以下；对总监理工程师及直接责任人员处五千元以上七千元以下的罚款，暂扣其执业证书六个月以上十二个月以下；</w:t>
            </w:r>
          </w:p>
        </w:tc>
        <w:tc>
          <w:tcPr>
            <w:tcW w:w="437" w:type="pct"/>
            <w:vMerge w:val="restart"/>
            <w:vAlign w:val="center"/>
          </w:tcPr>
          <w:p>
            <w:pPr>
              <w:rPr>
                <w:rFonts w:hint="eastAsia" w:ascii="仿宋_GB2312" w:hAnsi="仿宋_GB2312" w:eastAsia="仿宋_GB2312" w:cs="仿宋_GB2312"/>
                <w:sz w:val="18"/>
                <w:szCs w:val="20"/>
              </w:rPr>
            </w:pPr>
            <w:r>
              <w:rPr>
                <w:rFonts w:hint="eastAsia" w:ascii="仿宋_GB2312" w:hAnsi="仿宋_GB2312" w:eastAsia="仿宋_GB2312" w:cs="仿宋_GB2312"/>
                <w:sz w:val="18"/>
                <w:szCs w:val="20"/>
              </w:rPr>
              <w:t>罚款；暂扣许可证件</w:t>
            </w:r>
          </w:p>
        </w:tc>
        <w:tc>
          <w:tcPr>
            <w:tcW w:w="402" w:type="pct"/>
            <w:vAlign w:val="center"/>
          </w:tcPr>
          <w:p>
            <w:pPr>
              <w:jc w:val="center"/>
              <w:rPr>
                <w:rFonts w:hint="eastAsia" w:ascii="仿宋_GB2312" w:hAnsi="仿宋_GB2312" w:eastAsia="仿宋_GB2312" w:cs="仿宋_GB2312"/>
                <w:sz w:val="18"/>
                <w:szCs w:val="20"/>
              </w:rPr>
            </w:pPr>
            <w:r>
              <w:rPr>
                <w:rFonts w:hint="eastAsia" w:ascii="仿宋_GB2312" w:hAnsi="仿宋_GB2312" w:eastAsia="仿宋_GB2312" w:cs="仿宋_GB2312"/>
                <w:bCs/>
                <w:color w:val="000000"/>
                <w:kern w:val="0"/>
                <w:sz w:val="18"/>
                <w:szCs w:val="18"/>
              </w:rPr>
              <w:t>从轻</w:t>
            </w:r>
          </w:p>
        </w:tc>
        <w:tc>
          <w:tcPr>
            <w:tcW w:w="921" w:type="pct"/>
            <w:vAlign w:val="center"/>
          </w:tcPr>
          <w:p>
            <w:pPr>
              <w:rPr>
                <w:rFonts w:hint="eastAsia" w:ascii="仿宋_GB2312" w:hAnsi="仿宋_GB2312" w:eastAsia="仿宋_GB2312" w:cs="仿宋_GB2312"/>
                <w:sz w:val="18"/>
                <w:szCs w:val="20"/>
              </w:rPr>
            </w:pPr>
            <w:r>
              <w:rPr>
                <w:rFonts w:hint="eastAsia" w:ascii="仿宋_GB2312" w:hAnsi="仿宋_GB2312" w:eastAsia="仿宋_GB2312" w:cs="仿宋_GB2312"/>
              </w:rPr>
              <w:t>造成3人以上、不超过6人死亡，或者10人以上、低于30人重伤，或者1000万元以上、低于3000万元直接经济损失的事故的</w:t>
            </w:r>
          </w:p>
        </w:tc>
        <w:tc>
          <w:tcPr>
            <w:tcW w:w="1009" w:type="pct"/>
            <w:vAlign w:val="center"/>
          </w:tcPr>
          <w:p>
            <w:pPr>
              <w:rPr>
                <w:rFonts w:hint="eastAsia" w:ascii="仿宋_GB2312" w:hAnsi="仿宋_GB2312" w:eastAsia="仿宋_GB2312" w:cs="仿宋_GB2312"/>
                <w:sz w:val="18"/>
                <w:szCs w:val="20"/>
              </w:rPr>
            </w:pPr>
            <w:r>
              <w:rPr>
                <w:rFonts w:hint="eastAsia" w:ascii="仿宋_GB2312" w:hAnsi="仿宋_GB2312" w:eastAsia="仿宋_GB2312" w:cs="仿宋_GB2312"/>
                <w:sz w:val="18"/>
                <w:szCs w:val="20"/>
              </w:rPr>
              <w:t>对监理单位处五万元以上、低于六万元以下的罚款，暂扣其资质证书六个月以上、低于九个月；对总监理工程师及直接责任人员处五千元以上、低于六千元以下的罚款，暂扣执业证书六个月以上、低于九个月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18" w:type="pct"/>
            <w:vMerge w:val="continue"/>
            <w:vAlign w:val="center"/>
          </w:tcPr>
          <w:p>
            <w:pPr>
              <w:rPr>
                <w:rFonts w:hint="eastAsia" w:ascii="仿宋_GB2312" w:hAnsi="仿宋_GB2312" w:eastAsia="仿宋_GB2312" w:cs="仿宋_GB2312"/>
              </w:rPr>
            </w:pPr>
          </w:p>
        </w:tc>
        <w:tc>
          <w:tcPr>
            <w:tcW w:w="431" w:type="pct"/>
            <w:vMerge w:val="continue"/>
            <w:vAlign w:val="center"/>
          </w:tcPr>
          <w:p>
            <w:pPr>
              <w:rPr>
                <w:rFonts w:hint="eastAsia" w:ascii="仿宋_GB2312" w:hAnsi="仿宋_GB2312" w:eastAsia="仿宋_GB2312" w:cs="仿宋_GB2312"/>
                <w:sz w:val="18"/>
                <w:szCs w:val="20"/>
              </w:rPr>
            </w:pPr>
          </w:p>
        </w:tc>
        <w:tc>
          <w:tcPr>
            <w:tcW w:w="494" w:type="pct"/>
            <w:vMerge w:val="continue"/>
            <w:vAlign w:val="center"/>
          </w:tcPr>
          <w:p>
            <w:pPr>
              <w:rPr>
                <w:rFonts w:hint="eastAsia" w:ascii="仿宋_GB2312" w:hAnsi="仿宋_GB2312" w:eastAsia="仿宋_GB2312" w:cs="仿宋_GB2312"/>
                <w:sz w:val="18"/>
                <w:szCs w:val="20"/>
              </w:rPr>
            </w:pPr>
          </w:p>
        </w:tc>
        <w:tc>
          <w:tcPr>
            <w:tcW w:w="988" w:type="pct"/>
            <w:vMerge w:val="continue"/>
            <w:vAlign w:val="center"/>
          </w:tcPr>
          <w:p>
            <w:pPr>
              <w:rPr>
                <w:rFonts w:hint="eastAsia" w:ascii="仿宋_GB2312" w:hAnsi="仿宋_GB2312" w:eastAsia="仿宋_GB2312" w:cs="仿宋_GB2312"/>
                <w:sz w:val="18"/>
                <w:szCs w:val="20"/>
              </w:rPr>
            </w:pPr>
          </w:p>
        </w:tc>
        <w:tc>
          <w:tcPr>
            <w:tcW w:w="437" w:type="pct"/>
            <w:vMerge w:val="continue"/>
            <w:vAlign w:val="center"/>
          </w:tcPr>
          <w:p>
            <w:pPr>
              <w:rPr>
                <w:rFonts w:hint="eastAsia" w:ascii="仿宋_GB2312" w:hAnsi="仿宋_GB2312" w:eastAsia="仿宋_GB2312" w:cs="仿宋_GB2312"/>
                <w:sz w:val="18"/>
                <w:szCs w:val="20"/>
              </w:rPr>
            </w:pPr>
          </w:p>
        </w:tc>
        <w:tc>
          <w:tcPr>
            <w:tcW w:w="402" w:type="pct"/>
            <w:vAlign w:val="center"/>
          </w:tcPr>
          <w:p>
            <w:pPr>
              <w:jc w:val="center"/>
              <w:rPr>
                <w:rFonts w:hint="eastAsia" w:ascii="仿宋_GB2312" w:hAnsi="仿宋_GB2312" w:eastAsia="仿宋_GB2312" w:cs="仿宋_GB2312"/>
                <w:sz w:val="18"/>
                <w:szCs w:val="20"/>
              </w:rPr>
            </w:pPr>
            <w:r>
              <w:rPr>
                <w:rFonts w:hint="eastAsia" w:ascii="仿宋_GB2312" w:hAnsi="仿宋_GB2312" w:eastAsia="仿宋_GB2312" w:cs="仿宋_GB2312"/>
                <w:bCs/>
                <w:color w:val="000000"/>
                <w:kern w:val="0"/>
                <w:sz w:val="18"/>
                <w:szCs w:val="18"/>
              </w:rPr>
              <w:t>一般</w:t>
            </w:r>
          </w:p>
        </w:tc>
        <w:tc>
          <w:tcPr>
            <w:tcW w:w="921" w:type="pct"/>
            <w:vAlign w:val="center"/>
          </w:tcPr>
          <w:p>
            <w:pPr>
              <w:rPr>
                <w:rFonts w:hint="eastAsia" w:ascii="仿宋_GB2312" w:hAnsi="仿宋_GB2312" w:eastAsia="仿宋_GB2312" w:cs="仿宋_GB2312"/>
                <w:sz w:val="18"/>
                <w:szCs w:val="20"/>
              </w:rPr>
            </w:pPr>
            <w:r>
              <w:rPr>
                <w:rFonts w:hint="eastAsia" w:ascii="仿宋_GB2312" w:hAnsi="仿宋_GB2312" w:eastAsia="仿宋_GB2312" w:cs="仿宋_GB2312"/>
              </w:rPr>
              <w:t>造成6人死亡，或者30人重伤，或者3000万元直接经济损失的事故的</w:t>
            </w:r>
          </w:p>
        </w:tc>
        <w:tc>
          <w:tcPr>
            <w:tcW w:w="1009" w:type="pct"/>
            <w:vAlign w:val="center"/>
          </w:tcPr>
          <w:p>
            <w:pPr>
              <w:rPr>
                <w:rFonts w:hint="eastAsia" w:ascii="仿宋_GB2312" w:hAnsi="仿宋_GB2312" w:eastAsia="仿宋_GB2312" w:cs="仿宋_GB2312"/>
                <w:sz w:val="18"/>
                <w:szCs w:val="20"/>
              </w:rPr>
            </w:pPr>
            <w:r>
              <w:rPr>
                <w:rFonts w:hint="eastAsia" w:ascii="仿宋_GB2312" w:hAnsi="仿宋_GB2312" w:eastAsia="仿宋_GB2312" w:cs="仿宋_GB2312"/>
                <w:sz w:val="18"/>
                <w:szCs w:val="20"/>
              </w:rPr>
              <w:t>对监理单位处六万元的罚款，暂扣其资质证书九个月；对总监理工程师及直接责任人员处六千元的罚款，暂扣其执业证书九个月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18" w:type="pct"/>
            <w:vMerge w:val="continue"/>
            <w:vAlign w:val="center"/>
          </w:tcPr>
          <w:p>
            <w:pPr>
              <w:rPr>
                <w:rFonts w:hint="eastAsia" w:ascii="仿宋_GB2312" w:hAnsi="仿宋_GB2312" w:eastAsia="仿宋_GB2312" w:cs="仿宋_GB2312"/>
              </w:rPr>
            </w:pPr>
          </w:p>
        </w:tc>
        <w:tc>
          <w:tcPr>
            <w:tcW w:w="431" w:type="pct"/>
            <w:vMerge w:val="continue"/>
            <w:vAlign w:val="center"/>
          </w:tcPr>
          <w:p>
            <w:pPr>
              <w:rPr>
                <w:rFonts w:hint="eastAsia" w:ascii="仿宋_GB2312" w:hAnsi="仿宋_GB2312" w:eastAsia="仿宋_GB2312" w:cs="仿宋_GB2312"/>
                <w:sz w:val="18"/>
                <w:szCs w:val="20"/>
              </w:rPr>
            </w:pPr>
          </w:p>
        </w:tc>
        <w:tc>
          <w:tcPr>
            <w:tcW w:w="494" w:type="pct"/>
            <w:vMerge w:val="continue"/>
            <w:vAlign w:val="center"/>
          </w:tcPr>
          <w:p>
            <w:pPr>
              <w:rPr>
                <w:rFonts w:hint="eastAsia" w:ascii="仿宋_GB2312" w:hAnsi="仿宋_GB2312" w:eastAsia="仿宋_GB2312" w:cs="仿宋_GB2312"/>
                <w:sz w:val="18"/>
                <w:szCs w:val="20"/>
              </w:rPr>
            </w:pPr>
          </w:p>
        </w:tc>
        <w:tc>
          <w:tcPr>
            <w:tcW w:w="988" w:type="pct"/>
            <w:vMerge w:val="continue"/>
            <w:vAlign w:val="center"/>
          </w:tcPr>
          <w:p>
            <w:pPr>
              <w:rPr>
                <w:rFonts w:hint="eastAsia" w:ascii="仿宋_GB2312" w:hAnsi="仿宋_GB2312" w:eastAsia="仿宋_GB2312" w:cs="仿宋_GB2312"/>
                <w:sz w:val="18"/>
                <w:szCs w:val="20"/>
              </w:rPr>
            </w:pPr>
          </w:p>
        </w:tc>
        <w:tc>
          <w:tcPr>
            <w:tcW w:w="437" w:type="pct"/>
            <w:vMerge w:val="continue"/>
            <w:vAlign w:val="center"/>
          </w:tcPr>
          <w:p>
            <w:pPr>
              <w:rPr>
                <w:rFonts w:hint="eastAsia" w:ascii="仿宋_GB2312" w:hAnsi="仿宋_GB2312" w:eastAsia="仿宋_GB2312" w:cs="仿宋_GB2312"/>
                <w:sz w:val="18"/>
                <w:szCs w:val="20"/>
              </w:rPr>
            </w:pPr>
          </w:p>
        </w:tc>
        <w:tc>
          <w:tcPr>
            <w:tcW w:w="402" w:type="pct"/>
            <w:vAlign w:val="center"/>
          </w:tcPr>
          <w:p>
            <w:pPr>
              <w:jc w:val="center"/>
              <w:rPr>
                <w:rFonts w:hint="eastAsia" w:ascii="仿宋_GB2312" w:hAnsi="仿宋_GB2312" w:eastAsia="仿宋_GB2312" w:cs="仿宋_GB2312"/>
                <w:sz w:val="18"/>
                <w:szCs w:val="20"/>
              </w:rPr>
            </w:pPr>
            <w:r>
              <w:rPr>
                <w:rFonts w:hint="eastAsia" w:ascii="仿宋_GB2312" w:hAnsi="仿宋_GB2312" w:eastAsia="仿宋_GB2312" w:cs="仿宋_GB2312"/>
                <w:bCs/>
                <w:color w:val="000000"/>
                <w:kern w:val="0"/>
                <w:sz w:val="18"/>
                <w:szCs w:val="18"/>
              </w:rPr>
              <w:t>从重</w:t>
            </w:r>
          </w:p>
        </w:tc>
        <w:tc>
          <w:tcPr>
            <w:tcW w:w="921" w:type="pct"/>
            <w:vAlign w:val="center"/>
          </w:tcPr>
          <w:p>
            <w:pPr>
              <w:rPr>
                <w:rFonts w:hint="eastAsia" w:ascii="仿宋_GB2312" w:hAnsi="仿宋_GB2312" w:eastAsia="仿宋_GB2312" w:cs="仿宋_GB2312"/>
                <w:sz w:val="18"/>
                <w:szCs w:val="20"/>
              </w:rPr>
            </w:pPr>
            <w:r>
              <w:rPr>
                <w:rFonts w:hint="eastAsia" w:ascii="仿宋_GB2312" w:hAnsi="仿宋_GB2312" w:eastAsia="仿宋_GB2312" w:cs="仿宋_GB2312"/>
              </w:rPr>
              <w:t>造成超过6人、不超过10人死亡，或者超过30人、低于50人重伤，或者超过3000万元、低于5000万元直接经济损失的事故的</w:t>
            </w:r>
          </w:p>
        </w:tc>
        <w:tc>
          <w:tcPr>
            <w:tcW w:w="1009" w:type="pct"/>
            <w:vAlign w:val="center"/>
          </w:tcPr>
          <w:p>
            <w:pPr>
              <w:rPr>
                <w:rFonts w:hint="eastAsia" w:ascii="仿宋_GB2312" w:hAnsi="仿宋_GB2312" w:eastAsia="仿宋_GB2312" w:cs="仿宋_GB2312"/>
                <w:sz w:val="18"/>
                <w:szCs w:val="20"/>
              </w:rPr>
            </w:pPr>
            <w:r>
              <w:rPr>
                <w:rFonts w:hint="eastAsia" w:ascii="仿宋_GB2312" w:hAnsi="仿宋_GB2312" w:eastAsia="仿宋_GB2312" w:cs="仿宋_GB2312"/>
                <w:sz w:val="18"/>
                <w:szCs w:val="20"/>
              </w:rPr>
              <w:t>对监理单位处超过六万元、七万元以下的罚款</w:t>
            </w:r>
            <w:r>
              <w:rPr>
                <w:rFonts w:hint="eastAsia" w:ascii="仿宋_GB2312" w:hAnsi="仿宋_GB2312" w:eastAsia="仿宋_GB2312" w:cs="仿宋_GB2312"/>
                <w:sz w:val="18"/>
                <w:szCs w:val="20"/>
                <w:lang w:eastAsia="zh-CN"/>
              </w:rPr>
              <w:t>，暂扣其资质证书超过九个月、十二个月以下</w:t>
            </w:r>
            <w:r>
              <w:rPr>
                <w:rFonts w:hint="eastAsia" w:ascii="仿宋_GB2312" w:hAnsi="仿宋_GB2312" w:eastAsia="仿宋_GB2312" w:cs="仿宋_GB2312"/>
                <w:sz w:val="18"/>
                <w:szCs w:val="20"/>
              </w:rPr>
              <w:t>；对总监理工程师及直接责任人员处超过六千元、七千元以下的罚款，暂扣执业证书超过九个月、十二个月以下</w:t>
            </w:r>
          </w:p>
        </w:tc>
      </w:tr>
    </w:tbl>
    <w:p>
      <w:pPr>
        <w:rPr>
          <w:sz w:val="32"/>
          <w:szCs w:val="32"/>
        </w:rPr>
      </w:pPr>
      <w:r>
        <w:rPr>
          <w:rFonts w:hint="eastAsia"/>
          <w:sz w:val="32"/>
          <w:szCs w:val="32"/>
        </w:rPr>
        <w:t>《深圳经济特区市容和环境卫生管理条例》</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7"/>
        <w:gridCol w:w="1638"/>
        <w:gridCol w:w="2466"/>
        <w:gridCol w:w="2308"/>
        <w:gridCol w:w="1219"/>
        <w:gridCol w:w="1253"/>
        <w:gridCol w:w="1644"/>
        <w:gridCol w:w="27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27" w:type="pct"/>
            <w:vAlign w:val="center"/>
          </w:tcPr>
          <w:p>
            <w:pPr>
              <w:jc w:val="center"/>
              <w:rPr>
                <w:rFonts w:hint="eastAsia" w:ascii="仿宋_GB2312" w:hAnsi="仿宋_GB2312" w:eastAsia="仿宋_GB2312" w:cs="仿宋_GB2312"/>
                <w:b/>
                <w:color w:val="000000"/>
                <w:kern w:val="0"/>
                <w:szCs w:val="21"/>
              </w:rPr>
            </w:pPr>
            <w:r>
              <w:rPr>
                <w:rFonts w:hint="eastAsia" w:ascii="仿宋_GB2312" w:hAnsi="仿宋_GB2312" w:eastAsia="仿宋_GB2312" w:cs="仿宋_GB2312"/>
                <w:b/>
              </w:rPr>
              <w:t>序号</w:t>
            </w:r>
          </w:p>
        </w:tc>
        <w:tc>
          <w:tcPr>
            <w:tcW w:w="578" w:type="pct"/>
            <w:vAlign w:val="center"/>
          </w:tcPr>
          <w:p>
            <w:pPr>
              <w:jc w:val="center"/>
              <w:rPr>
                <w:rFonts w:hint="eastAsia" w:ascii="仿宋_GB2312" w:hAnsi="仿宋_GB2312" w:eastAsia="仿宋_GB2312" w:cs="仿宋_GB2312"/>
                <w:b/>
                <w:bCs/>
                <w:color w:val="000000"/>
                <w:kern w:val="0"/>
                <w:szCs w:val="21"/>
              </w:rPr>
            </w:pPr>
            <w:r>
              <w:rPr>
                <w:rFonts w:hint="eastAsia" w:ascii="仿宋_GB2312" w:hAnsi="仿宋_GB2312" w:eastAsia="仿宋_GB2312" w:cs="仿宋_GB2312"/>
                <w:b/>
              </w:rPr>
              <w:t>违法行为</w:t>
            </w:r>
          </w:p>
        </w:tc>
        <w:tc>
          <w:tcPr>
            <w:tcW w:w="870" w:type="pct"/>
            <w:vAlign w:val="center"/>
          </w:tcPr>
          <w:p>
            <w:pPr>
              <w:jc w:val="center"/>
              <w:rPr>
                <w:rFonts w:hint="eastAsia" w:ascii="仿宋_GB2312" w:hAnsi="仿宋_GB2312" w:eastAsia="仿宋_GB2312" w:cs="仿宋_GB2312"/>
                <w:b/>
                <w:bCs/>
                <w:color w:val="000000"/>
                <w:kern w:val="0"/>
                <w:szCs w:val="21"/>
                <w:lang w:val="en"/>
              </w:rPr>
            </w:pPr>
            <w:r>
              <w:rPr>
                <w:rFonts w:hint="eastAsia" w:ascii="仿宋_GB2312" w:hAnsi="仿宋_GB2312" w:eastAsia="仿宋_GB2312" w:cs="仿宋_GB2312"/>
                <w:b/>
                <w:lang w:val="en"/>
              </w:rPr>
              <w:t>违反条款</w:t>
            </w:r>
          </w:p>
        </w:tc>
        <w:tc>
          <w:tcPr>
            <w:tcW w:w="814" w:type="pct"/>
            <w:vAlign w:val="center"/>
          </w:tcPr>
          <w:p>
            <w:pPr>
              <w:jc w:val="center"/>
              <w:rPr>
                <w:rFonts w:hint="eastAsia" w:ascii="仿宋_GB2312" w:hAnsi="仿宋_GB2312" w:eastAsia="仿宋_GB2312" w:cs="仿宋_GB2312"/>
                <w:b/>
                <w:bCs/>
                <w:color w:val="000000"/>
                <w:kern w:val="0"/>
                <w:szCs w:val="21"/>
              </w:rPr>
            </w:pPr>
            <w:r>
              <w:rPr>
                <w:rFonts w:hint="eastAsia" w:ascii="仿宋_GB2312" w:hAnsi="仿宋_GB2312" w:eastAsia="仿宋_GB2312" w:cs="仿宋_GB2312"/>
                <w:b/>
              </w:rPr>
              <w:t>处罚依据</w:t>
            </w:r>
          </w:p>
        </w:tc>
        <w:tc>
          <w:tcPr>
            <w:tcW w:w="430" w:type="pct"/>
            <w:vAlign w:val="center"/>
          </w:tcPr>
          <w:p>
            <w:pPr>
              <w:jc w:val="center"/>
              <w:rPr>
                <w:rFonts w:hint="eastAsia" w:ascii="仿宋_GB2312" w:hAnsi="仿宋_GB2312" w:eastAsia="仿宋_GB2312" w:cs="仿宋_GB2312"/>
                <w:b/>
                <w:bCs/>
                <w:color w:val="000000"/>
                <w:kern w:val="0"/>
                <w:szCs w:val="21"/>
              </w:rPr>
            </w:pPr>
            <w:r>
              <w:rPr>
                <w:rFonts w:hint="eastAsia" w:ascii="仿宋_GB2312" w:hAnsi="仿宋_GB2312" w:eastAsia="仿宋_GB2312" w:cs="仿宋_GB2312"/>
                <w:b/>
              </w:rPr>
              <w:t>处罚种类</w:t>
            </w:r>
          </w:p>
        </w:tc>
        <w:tc>
          <w:tcPr>
            <w:tcW w:w="442" w:type="pct"/>
            <w:vAlign w:val="center"/>
          </w:tcPr>
          <w:p>
            <w:pPr>
              <w:jc w:val="center"/>
              <w:rPr>
                <w:rFonts w:hint="eastAsia" w:ascii="仿宋_GB2312" w:hAnsi="仿宋_GB2312" w:eastAsia="仿宋_GB2312" w:cs="仿宋_GB2312"/>
                <w:b/>
                <w:bCs/>
                <w:color w:val="000000"/>
                <w:kern w:val="0"/>
                <w:szCs w:val="21"/>
              </w:rPr>
            </w:pPr>
            <w:r>
              <w:rPr>
                <w:rFonts w:hint="eastAsia" w:ascii="仿宋_GB2312" w:hAnsi="仿宋_GB2312" w:eastAsia="仿宋_GB2312" w:cs="仿宋_GB2312"/>
                <w:b/>
              </w:rPr>
              <w:t>裁量阶次</w:t>
            </w:r>
          </w:p>
        </w:tc>
        <w:tc>
          <w:tcPr>
            <w:tcW w:w="580" w:type="pct"/>
            <w:vAlign w:val="center"/>
          </w:tcPr>
          <w:p>
            <w:pPr>
              <w:jc w:val="center"/>
              <w:rPr>
                <w:rFonts w:hint="eastAsia" w:ascii="仿宋_GB2312" w:hAnsi="仿宋_GB2312" w:eastAsia="仿宋_GB2312" w:cs="仿宋_GB2312"/>
                <w:b/>
                <w:bCs/>
                <w:color w:val="000000"/>
                <w:kern w:val="0"/>
                <w:szCs w:val="21"/>
              </w:rPr>
            </w:pPr>
            <w:r>
              <w:rPr>
                <w:rFonts w:hint="eastAsia" w:ascii="仿宋_GB2312" w:hAnsi="仿宋_GB2312" w:eastAsia="仿宋_GB2312" w:cs="仿宋_GB2312"/>
                <w:b/>
              </w:rPr>
              <w:t>适用条件</w:t>
            </w:r>
          </w:p>
        </w:tc>
        <w:tc>
          <w:tcPr>
            <w:tcW w:w="959" w:type="pct"/>
            <w:vAlign w:val="center"/>
          </w:tcPr>
          <w:p>
            <w:pPr>
              <w:jc w:val="center"/>
              <w:rPr>
                <w:rFonts w:hint="eastAsia" w:ascii="仿宋_GB2312" w:hAnsi="仿宋_GB2312" w:eastAsia="仿宋_GB2312" w:cs="仿宋_GB2312"/>
                <w:b/>
                <w:bCs/>
                <w:color w:val="000000"/>
                <w:kern w:val="0"/>
                <w:szCs w:val="21"/>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jc w:val="center"/>
        </w:trPr>
        <w:tc>
          <w:tcPr>
            <w:tcW w:w="327" w:type="pct"/>
            <w:vMerge w:val="restart"/>
            <w:vAlign w:val="center"/>
          </w:tcPr>
          <w:p>
            <w:pPr>
              <w:widowControl/>
              <w:jc w:val="center"/>
              <w:rPr>
                <w:rFonts w:hint="eastAsia" w:ascii="仿宋_GB2312" w:hAnsi="仿宋_GB2312" w:eastAsia="仿宋_GB2312" w:cs="仿宋_GB2312"/>
                <w:color w:val="000000"/>
                <w:kern w:val="0"/>
                <w:szCs w:val="21"/>
                <w:lang w:val="en"/>
              </w:rPr>
            </w:pPr>
            <w:r>
              <w:rPr>
                <w:rFonts w:ascii="仿宋_GB2312" w:hAnsi="仿宋_GB2312" w:eastAsia="仿宋_GB2312" w:cs="仿宋_GB2312"/>
                <w:color w:val="000000"/>
                <w:kern w:val="0"/>
                <w:szCs w:val="21"/>
              </w:rPr>
              <w:t>109.</w:t>
            </w:r>
            <w:r>
              <w:rPr>
                <w:rFonts w:hint="eastAsia" w:ascii="仿宋_GB2312" w:hAnsi="仿宋_GB2312" w:eastAsia="仿宋_GB2312" w:cs="仿宋_GB2312"/>
                <w:color w:val="000000"/>
                <w:kern w:val="0"/>
                <w:szCs w:val="21"/>
                <w:lang w:val="en"/>
              </w:rPr>
              <w:t>1</w:t>
            </w:r>
          </w:p>
        </w:tc>
        <w:tc>
          <w:tcPr>
            <w:tcW w:w="578" w:type="pct"/>
            <w:vMerge w:val="restart"/>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rPr>
              <w:t>建筑施工单位在施工时未围栏作业，并设置明显标志；未在施工现场进出路口实行硬底化，由专人对施工现场进出路口和出场车辆进行冲洗和清理；未采取措施防止施工现场的施工废水外流</w:t>
            </w:r>
          </w:p>
        </w:tc>
        <w:tc>
          <w:tcPr>
            <w:tcW w:w="870" w:type="pct"/>
            <w:vMerge w:val="restar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第四十三条第一款第一项、第三项、第四项：“建筑施工单位在施工时应当遵守下列规定：</w:t>
            </w:r>
          </w:p>
          <w:p>
            <w:pPr>
              <w:rPr>
                <w:rFonts w:hint="eastAsia" w:ascii="仿宋_GB2312" w:hAnsi="仿宋_GB2312" w:eastAsia="仿宋_GB2312" w:cs="仿宋_GB2312"/>
                <w:szCs w:val="21"/>
              </w:rPr>
            </w:pPr>
            <w:r>
              <w:rPr>
                <w:rFonts w:hint="eastAsia" w:ascii="仿宋_GB2312" w:hAnsi="仿宋_GB2312" w:eastAsia="仿宋_GB2312" w:cs="仿宋_GB2312"/>
                <w:szCs w:val="21"/>
              </w:rPr>
              <w:t>（一）施工现场应当围栏作业，并设置明显标志；</w:t>
            </w:r>
          </w:p>
          <w:p>
            <w:pPr>
              <w:rPr>
                <w:rFonts w:hint="eastAsia" w:ascii="仿宋_GB2312" w:hAnsi="仿宋_GB2312" w:eastAsia="仿宋_GB2312" w:cs="仿宋_GB2312"/>
                <w:szCs w:val="21"/>
              </w:rPr>
            </w:pPr>
            <w:r>
              <w:rPr>
                <w:rFonts w:hint="eastAsia" w:ascii="仿宋_GB2312" w:hAnsi="仿宋_GB2312" w:eastAsia="仿宋_GB2312" w:cs="仿宋_GB2312"/>
                <w:szCs w:val="21"/>
              </w:rPr>
              <w:t>（三）施工现场进出路口实行硬底化，由专人对施工现场进出路口和出场车辆进行冲洗和清理；</w:t>
            </w:r>
          </w:p>
          <w:p>
            <w:pPr>
              <w:rPr>
                <w:rFonts w:hint="eastAsia" w:ascii="仿宋_GB2312" w:hAnsi="仿宋_GB2312" w:eastAsia="仿宋_GB2312" w:cs="仿宋_GB2312"/>
                <w:color w:val="000000"/>
                <w:szCs w:val="21"/>
              </w:rPr>
            </w:pPr>
            <w:r>
              <w:rPr>
                <w:rFonts w:hint="eastAsia" w:ascii="仿宋_GB2312" w:hAnsi="仿宋_GB2312" w:eastAsia="仿宋_GB2312" w:cs="仿宋_GB2312"/>
                <w:szCs w:val="21"/>
              </w:rPr>
              <w:t>（四）采取措施防止施工现场的施工废水外流。”</w:t>
            </w:r>
          </w:p>
        </w:tc>
        <w:tc>
          <w:tcPr>
            <w:tcW w:w="814" w:type="pct"/>
            <w:vMerge w:val="restar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szCs w:val="21"/>
              </w:rPr>
              <w:t>第四十三条第二款</w:t>
            </w:r>
            <w:r>
              <w:rPr>
                <w:rFonts w:hint="eastAsia" w:ascii="仿宋_GB2312" w:hAnsi="仿宋_GB2312" w:eastAsia="仿宋_GB2312" w:cs="仿宋_GB2312"/>
              </w:rPr>
              <w:t>：“违反前款第一项、第三项、第四项规定的，由市、区住房建设、交通运输、水务等部门按照职责分工责令限期改正；逾期未改正的，责令停业整顿，并处五万元以上十万元以下罚款。违反前款第二项规定的，由市、区住房建设、交通运输、水务等部门按照职责分工依法查处。”</w:t>
            </w:r>
          </w:p>
        </w:tc>
        <w:tc>
          <w:tcPr>
            <w:tcW w:w="430" w:type="pct"/>
            <w:vMerge w:val="restart"/>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罚款；责令停产停业</w:t>
            </w:r>
          </w:p>
        </w:tc>
        <w:tc>
          <w:tcPr>
            <w:tcW w:w="442" w:type="pct"/>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Cs/>
                <w:color w:val="000000"/>
                <w:kern w:val="0"/>
                <w:szCs w:val="21"/>
              </w:rPr>
              <w:t>从轻</w:t>
            </w:r>
          </w:p>
        </w:tc>
        <w:tc>
          <w:tcPr>
            <w:tcW w:w="580" w:type="pct"/>
            <w:vAlign w:val="center"/>
          </w:tcPr>
          <w:p>
            <w:pPr>
              <w:widowControl/>
              <w:textAlignment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lang w:bidi="ar"/>
              </w:rPr>
              <w:t>未造成危害后果或造成轻微危害后果的</w:t>
            </w:r>
          </w:p>
        </w:tc>
        <w:tc>
          <w:tcPr>
            <w:tcW w:w="959" w:type="pct"/>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rPr>
              <w:t>责令限期改正；逾期未改正的，责令停业整顿，并处五万元以上、低于七万五千元罚款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jc w:val="center"/>
        </w:trPr>
        <w:tc>
          <w:tcPr>
            <w:tcW w:w="327" w:type="pct"/>
            <w:vMerge w:val="continue"/>
            <w:vAlign w:val="center"/>
          </w:tcPr>
          <w:p>
            <w:pPr>
              <w:rPr>
                <w:rFonts w:hint="eastAsia" w:ascii="仿宋_GB2312" w:hAnsi="仿宋_GB2312" w:eastAsia="仿宋_GB2312" w:cs="仿宋_GB2312"/>
                <w:color w:val="000000"/>
                <w:szCs w:val="21"/>
              </w:rPr>
            </w:pPr>
          </w:p>
        </w:tc>
        <w:tc>
          <w:tcPr>
            <w:tcW w:w="578" w:type="pct"/>
            <w:vMerge w:val="continue"/>
            <w:vAlign w:val="center"/>
          </w:tcPr>
          <w:p>
            <w:pPr>
              <w:rPr>
                <w:rFonts w:hint="eastAsia" w:ascii="仿宋_GB2312" w:hAnsi="仿宋_GB2312" w:eastAsia="仿宋_GB2312" w:cs="仿宋_GB2312"/>
                <w:color w:val="000000"/>
                <w:szCs w:val="21"/>
              </w:rPr>
            </w:pPr>
          </w:p>
        </w:tc>
        <w:tc>
          <w:tcPr>
            <w:tcW w:w="870" w:type="pct"/>
            <w:vMerge w:val="continue"/>
            <w:vAlign w:val="center"/>
          </w:tcPr>
          <w:p>
            <w:pPr>
              <w:rPr>
                <w:rFonts w:hint="eastAsia" w:ascii="仿宋_GB2312" w:hAnsi="仿宋_GB2312" w:eastAsia="仿宋_GB2312" w:cs="仿宋_GB2312"/>
                <w:color w:val="000000"/>
                <w:szCs w:val="21"/>
              </w:rPr>
            </w:pPr>
          </w:p>
        </w:tc>
        <w:tc>
          <w:tcPr>
            <w:tcW w:w="814" w:type="pct"/>
            <w:vMerge w:val="continue"/>
            <w:vAlign w:val="center"/>
          </w:tcPr>
          <w:p>
            <w:pPr>
              <w:rPr>
                <w:rFonts w:hint="eastAsia" w:ascii="仿宋_GB2312" w:hAnsi="仿宋_GB2312" w:eastAsia="仿宋_GB2312" w:cs="仿宋_GB2312"/>
                <w:bCs/>
                <w:color w:val="000000"/>
                <w:kern w:val="0"/>
                <w:szCs w:val="21"/>
              </w:rPr>
            </w:pPr>
          </w:p>
        </w:tc>
        <w:tc>
          <w:tcPr>
            <w:tcW w:w="430" w:type="pct"/>
            <w:vMerge w:val="continue"/>
            <w:vAlign w:val="center"/>
          </w:tcPr>
          <w:p>
            <w:pPr>
              <w:jc w:val="center"/>
              <w:rPr>
                <w:rFonts w:hint="eastAsia" w:ascii="仿宋_GB2312" w:hAnsi="仿宋_GB2312" w:eastAsia="仿宋_GB2312" w:cs="仿宋_GB2312"/>
                <w:color w:val="000000"/>
                <w:szCs w:val="21"/>
              </w:rPr>
            </w:pPr>
          </w:p>
        </w:tc>
        <w:tc>
          <w:tcPr>
            <w:tcW w:w="442" w:type="pct"/>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Cs/>
                <w:color w:val="000000"/>
                <w:kern w:val="0"/>
                <w:szCs w:val="21"/>
              </w:rPr>
              <w:t>一般</w:t>
            </w:r>
          </w:p>
        </w:tc>
        <w:tc>
          <w:tcPr>
            <w:tcW w:w="580" w:type="pct"/>
            <w:vAlign w:val="center"/>
          </w:tcPr>
          <w:p>
            <w:pPr>
              <w:widowControl/>
              <w:textAlignment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lang w:bidi="ar"/>
              </w:rPr>
              <w:t>造成一般危害后果的</w:t>
            </w:r>
          </w:p>
        </w:tc>
        <w:tc>
          <w:tcPr>
            <w:tcW w:w="959" w:type="pct"/>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rPr>
              <w:t>责令限期改正；逾期未改正的，责令停业整顿，并处七万五千元罚款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jc w:val="center"/>
        </w:trPr>
        <w:tc>
          <w:tcPr>
            <w:tcW w:w="327" w:type="pct"/>
            <w:vMerge w:val="continue"/>
            <w:vAlign w:val="center"/>
          </w:tcPr>
          <w:p>
            <w:pPr>
              <w:rPr>
                <w:rFonts w:hint="eastAsia" w:ascii="仿宋_GB2312" w:hAnsi="仿宋_GB2312" w:eastAsia="仿宋_GB2312" w:cs="仿宋_GB2312"/>
                <w:color w:val="000000"/>
                <w:szCs w:val="21"/>
              </w:rPr>
            </w:pPr>
          </w:p>
        </w:tc>
        <w:tc>
          <w:tcPr>
            <w:tcW w:w="578" w:type="pct"/>
            <w:vMerge w:val="continue"/>
            <w:vAlign w:val="center"/>
          </w:tcPr>
          <w:p>
            <w:pPr>
              <w:rPr>
                <w:rFonts w:hint="eastAsia" w:ascii="仿宋_GB2312" w:hAnsi="仿宋_GB2312" w:eastAsia="仿宋_GB2312" w:cs="仿宋_GB2312"/>
                <w:color w:val="000000"/>
                <w:szCs w:val="21"/>
              </w:rPr>
            </w:pPr>
          </w:p>
        </w:tc>
        <w:tc>
          <w:tcPr>
            <w:tcW w:w="870" w:type="pct"/>
            <w:vMerge w:val="continue"/>
            <w:vAlign w:val="center"/>
          </w:tcPr>
          <w:p>
            <w:pPr>
              <w:rPr>
                <w:rFonts w:hint="eastAsia" w:ascii="仿宋_GB2312" w:hAnsi="仿宋_GB2312" w:eastAsia="仿宋_GB2312" w:cs="仿宋_GB2312"/>
                <w:color w:val="000000"/>
                <w:szCs w:val="21"/>
              </w:rPr>
            </w:pPr>
          </w:p>
        </w:tc>
        <w:tc>
          <w:tcPr>
            <w:tcW w:w="814" w:type="pct"/>
            <w:vMerge w:val="continue"/>
            <w:vAlign w:val="center"/>
          </w:tcPr>
          <w:p>
            <w:pPr>
              <w:rPr>
                <w:rFonts w:hint="eastAsia" w:ascii="仿宋_GB2312" w:hAnsi="仿宋_GB2312" w:eastAsia="仿宋_GB2312" w:cs="仿宋_GB2312"/>
                <w:bCs/>
                <w:color w:val="000000"/>
                <w:kern w:val="0"/>
                <w:szCs w:val="21"/>
              </w:rPr>
            </w:pPr>
          </w:p>
        </w:tc>
        <w:tc>
          <w:tcPr>
            <w:tcW w:w="430" w:type="pct"/>
            <w:vMerge w:val="continue"/>
            <w:vAlign w:val="center"/>
          </w:tcPr>
          <w:p>
            <w:pPr>
              <w:jc w:val="center"/>
              <w:rPr>
                <w:rFonts w:hint="eastAsia" w:ascii="仿宋_GB2312" w:hAnsi="仿宋_GB2312" w:eastAsia="仿宋_GB2312" w:cs="仿宋_GB2312"/>
                <w:color w:val="000000"/>
                <w:szCs w:val="21"/>
              </w:rPr>
            </w:pPr>
          </w:p>
        </w:tc>
        <w:tc>
          <w:tcPr>
            <w:tcW w:w="442" w:type="pct"/>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Cs/>
                <w:color w:val="000000"/>
                <w:kern w:val="0"/>
                <w:szCs w:val="21"/>
              </w:rPr>
              <w:t>从重</w:t>
            </w:r>
          </w:p>
        </w:tc>
        <w:tc>
          <w:tcPr>
            <w:tcW w:w="580" w:type="pct"/>
            <w:vAlign w:val="center"/>
          </w:tcPr>
          <w:p>
            <w:pPr>
              <w:widowControl/>
              <w:textAlignment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szCs w:val="20"/>
              </w:rPr>
              <w:t>造成严重危害后果</w:t>
            </w:r>
            <w:r>
              <w:rPr>
                <w:rFonts w:hint="eastAsia" w:ascii="仿宋_GB2312" w:hAnsi="仿宋_GB2312" w:eastAsia="仿宋_GB2312" w:cs="仿宋_GB2312"/>
              </w:rPr>
              <w:t>或造成质量安全事故的</w:t>
            </w:r>
          </w:p>
        </w:tc>
        <w:tc>
          <w:tcPr>
            <w:tcW w:w="959" w:type="pct"/>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rPr>
              <w:t>责令限期改正；逾期未改正的，责令停业整顿，并处超过七万五千元、十万元以下罚款</w:t>
            </w:r>
          </w:p>
        </w:tc>
      </w:tr>
    </w:tbl>
    <w:p>
      <w:pPr>
        <w:widowControl/>
        <w:jc w:val="left"/>
        <w:rPr>
          <w:rFonts w:hint="eastAsia" w:ascii="宋体" w:hAnsi="宋体" w:eastAsia="宋体" w:cs="Times New Roman"/>
          <w:bCs/>
          <w:sz w:val="32"/>
          <w:szCs w:val="32"/>
        </w:rPr>
      </w:pPr>
      <w:r>
        <w:br w:type="page"/>
      </w:r>
      <w:r>
        <w:rPr>
          <w:rFonts w:hint="eastAsia" w:ascii="宋体" w:hAnsi="宋体" w:eastAsia="宋体" w:cs="Times New Roman"/>
          <w:bCs/>
          <w:sz w:val="32"/>
          <w:szCs w:val="32"/>
        </w:rPr>
        <w:t>《深圳经济特区消防条例》</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18"/>
        <w:gridCol w:w="1191"/>
        <w:gridCol w:w="2161"/>
        <w:gridCol w:w="2450"/>
        <w:gridCol w:w="1151"/>
        <w:gridCol w:w="1154"/>
        <w:gridCol w:w="2450"/>
        <w:gridCol w:w="27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8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序号</w:t>
            </w:r>
          </w:p>
        </w:tc>
        <w:tc>
          <w:tcPr>
            <w:tcW w:w="420"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762"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864"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406"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407"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864"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987"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289" w:type="pct"/>
            <w:vMerge w:val="restart"/>
            <w:vAlign w:val="center"/>
          </w:tcPr>
          <w:p>
            <w:pPr>
              <w:jc w:val="center"/>
              <w:rPr>
                <w:rFonts w:hint="eastAsia" w:ascii="宋体" w:hAnsi="宋体" w:eastAsia="宋体" w:cs="黑体"/>
                <w:bCs/>
                <w:color w:val="000000"/>
                <w:kern w:val="0"/>
                <w:szCs w:val="21"/>
                <w:lang w:val="en"/>
              </w:rPr>
            </w:pPr>
            <w:r>
              <w:rPr>
                <w:rFonts w:hint="eastAsia" w:ascii="仿宋_GB2312" w:hAnsi="仿宋_GB2312" w:eastAsia="仿宋_GB2312" w:cs="仿宋_GB2312"/>
                <w:color w:val="000000"/>
                <w:szCs w:val="21"/>
              </w:rPr>
              <w:t>110.</w:t>
            </w:r>
            <w:r>
              <w:rPr>
                <w:rFonts w:hint="eastAsia" w:ascii="仿宋_GB2312" w:hAnsi="仿宋_GB2312" w:eastAsia="仿宋_GB2312" w:cs="仿宋_GB2312"/>
                <w:color w:val="000000"/>
                <w:szCs w:val="21"/>
                <w:lang w:val="en"/>
              </w:rPr>
              <w:t>1</w:t>
            </w:r>
          </w:p>
        </w:tc>
        <w:tc>
          <w:tcPr>
            <w:tcW w:w="420" w:type="pct"/>
            <w:vMerge w:val="restart"/>
            <w:vAlign w:val="center"/>
          </w:tcPr>
          <w:p>
            <w:pPr>
              <w:rPr>
                <w:rFonts w:hint="eastAsia" w:ascii="宋体" w:hAnsi="宋体" w:eastAsia="宋体" w:cs="黑体"/>
                <w:bCs/>
                <w:color w:val="000000"/>
                <w:szCs w:val="21"/>
              </w:rPr>
            </w:pPr>
            <w:r>
              <w:rPr>
                <w:rFonts w:hint="eastAsia" w:ascii="仿宋_GB2312" w:hAnsi="仿宋_GB2312" w:eastAsia="仿宋_GB2312" w:cs="仿宋_GB2312"/>
                <w:color w:val="000000"/>
                <w:szCs w:val="24"/>
              </w:rPr>
              <w:t>依法应当进行消防设计审查的建设工程，未经依法审查或者审查不合格，擅自施工的</w:t>
            </w:r>
          </w:p>
        </w:tc>
        <w:tc>
          <w:tcPr>
            <w:tcW w:w="762" w:type="pct"/>
            <w:vMerge w:val="restart"/>
            <w:vAlign w:val="center"/>
          </w:tcPr>
          <w:p>
            <w:pPr>
              <w:jc w:val="left"/>
              <w:rPr>
                <w:rFonts w:hint="eastAsia" w:ascii="宋体" w:hAnsi="宋体" w:eastAsia="宋体" w:cs="黑体"/>
                <w:bCs/>
                <w:color w:val="000000"/>
              </w:rPr>
            </w:pPr>
            <w:r>
              <w:rPr>
                <w:rFonts w:hint="eastAsia" w:ascii="仿宋_GB2312" w:hAnsi="仿宋_GB2312" w:eastAsia="仿宋_GB2312" w:cs="仿宋_GB2312"/>
                <w:color w:val="000000"/>
                <w:szCs w:val="24"/>
              </w:rPr>
              <w:t>第二十九条：“建设工程的消防设计、施工必须符合国家工程建设消防技术标准。建设单位依法对建设工程消防设计、施工质量负首要责任。设计、施工、工程监理、技术服务等单位依法对建设工程消防设计、施工质量负主体责任。建设、设计、施工、工程监理、技术服务等单位的从业人员依法对建设工程消防设计、施工质量承担相应的个人责任。”</w:t>
            </w:r>
          </w:p>
        </w:tc>
        <w:tc>
          <w:tcPr>
            <w:tcW w:w="864" w:type="pct"/>
            <w:vMerge w:val="restart"/>
            <w:vAlign w:val="center"/>
          </w:tcPr>
          <w:p>
            <w:pPr>
              <w:widowControl/>
              <w:jc w:val="left"/>
              <w:textAlignment w:val="center"/>
              <w:rPr>
                <w:rFonts w:hint="eastAsia" w:ascii="宋体" w:hAnsi="宋体" w:eastAsia="宋体" w:cs="黑体"/>
                <w:bCs/>
                <w:color w:val="000000"/>
              </w:rPr>
            </w:pPr>
            <w:r>
              <w:rPr>
                <w:rFonts w:hint="eastAsia" w:ascii="仿宋_GB2312" w:hAnsi="仿宋_GB2312" w:eastAsia="仿宋_GB2312" w:cs="仿宋_GB2312"/>
                <w:color w:val="000000"/>
                <w:kern w:val="0"/>
                <w:szCs w:val="21"/>
                <w:lang w:bidi="ar"/>
              </w:rPr>
              <w:t>第九十八条第一款第一项：“违反本条例规定，有下列行为之一的，由住房建设部门、消防救援机构按照各自职责责令停止施工、停止使用或者停产停业，并处三万元以上十万元以下罚款；情节严重的，由住房建设部门、消防救援机构按照各自职责责令停止施工、停止使用或者停产停业，并处十万元以上三十万元以下罚款：（一）依法应当进行消防设计审查的建设工程，未经依法审查或者审查不合格，擅自施工的。”</w:t>
            </w:r>
          </w:p>
        </w:tc>
        <w:tc>
          <w:tcPr>
            <w:tcW w:w="406" w:type="pct"/>
            <w:vMerge w:val="restart"/>
            <w:vAlign w:val="center"/>
          </w:tcPr>
          <w:p>
            <w:pPr>
              <w:jc w:val="left"/>
              <w:rPr>
                <w:rFonts w:hint="eastAsia" w:ascii="宋体" w:hAnsi="宋体" w:eastAsia="宋体" w:cs="黑体"/>
                <w:bCs/>
                <w:color w:val="000000"/>
              </w:rPr>
            </w:pPr>
            <w:r>
              <w:rPr>
                <w:rFonts w:hint="eastAsia" w:ascii="仿宋_GB2312" w:hAnsi="仿宋_GB2312" w:eastAsia="仿宋_GB2312" w:cs="仿宋_GB2312"/>
                <w:bCs/>
                <w:color w:val="000000"/>
              </w:rPr>
              <w:t>罚款；责令停产停业</w:t>
            </w:r>
          </w:p>
        </w:tc>
        <w:tc>
          <w:tcPr>
            <w:tcW w:w="407"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从轻</w:t>
            </w:r>
          </w:p>
        </w:tc>
        <w:tc>
          <w:tcPr>
            <w:tcW w:w="864"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color w:val="000000"/>
                <w:szCs w:val="24"/>
              </w:rPr>
              <w:t>未造成火灾责任事故，且未违反工程建设消防技术强制性标准的</w:t>
            </w:r>
          </w:p>
        </w:tc>
        <w:tc>
          <w:tcPr>
            <w:tcW w:w="987"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color w:val="000000"/>
                <w:kern w:val="0"/>
                <w:szCs w:val="21"/>
                <w:lang w:bidi="ar"/>
              </w:rPr>
              <w:t>责令停止施工、停止使用或者停产停业，并</w:t>
            </w:r>
            <w:r>
              <w:rPr>
                <w:rFonts w:hint="eastAsia" w:ascii="仿宋_GB2312" w:hAnsi="仿宋_GB2312" w:eastAsia="仿宋_GB2312" w:cs="仿宋_GB2312"/>
                <w:color w:val="000000"/>
                <w:spacing w:val="8"/>
                <w:szCs w:val="21"/>
              </w:rPr>
              <w:t>处三万元以上、低于六万五千元罚款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289" w:type="pct"/>
            <w:vMerge w:val="continue"/>
            <w:vAlign w:val="center"/>
          </w:tcPr>
          <w:p>
            <w:pPr>
              <w:rPr>
                <w:rFonts w:hint="eastAsia" w:ascii="宋体" w:hAnsi="宋体" w:eastAsia="宋体" w:cs="黑体"/>
                <w:bCs/>
                <w:color w:val="000000"/>
              </w:rPr>
            </w:pPr>
          </w:p>
        </w:tc>
        <w:tc>
          <w:tcPr>
            <w:tcW w:w="420" w:type="pct"/>
            <w:vMerge w:val="continue"/>
            <w:vAlign w:val="center"/>
          </w:tcPr>
          <w:p>
            <w:pPr>
              <w:rPr>
                <w:rFonts w:hint="eastAsia" w:ascii="宋体" w:hAnsi="宋体" w:eastAsia="宋体" w:cs="黑体"/>
                <w:bCs/>
                <w:color w:val="000000"/>
              </w:rPr>
            </w:pPr>
          </w:p>
        </w:tc>
        <w:tc>
          <w:tcPr>
            <w:tcW w:w="762" w:type="pct"/>
            <w:vMerge w:val="continue"/>
            <w:vAlign w:val="center"/>
          </w:tcPr>
          <w:p>
            <w:pPr>
              <w:rPr>
                <w:rFonts w:hint="eastAsia" w:ascii="宋体" w:hAnsi="宋体" w:eastAsia="宋体" w:cs="黑体"/>
                <w:bCs/>
                <w:color w:val="000000"/>
              </w:rPr>
            </w:pPr>
          </w:p>
        </w:tc>
        <w:tc>
          <w:tcPr>
            <w:tcW w:w="864"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06" w:type="pct"/>
            <w:vMerge w:val="continue"/>
            <w:vAlign w:val="center"/>
          </w:tcPr>
          <w:p>
            <w:pPr>
              <w:jc w:val="center"/>
              <w:rPr>
                <w:rFonts w:hint="eastAsia" w:ascii="宋体" w:hAnsi="宋体" w:eastAsia="宋体" w:cs="黑体"/>
                <w:bCs/>
                <w:color w:val="000000"/>
              </w:rPr>
            </w:pPr>
          </w:p>
        </w:tc>
        <w:tc>
          <w:tcPr>
            <w:tcW w:w="407"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一般</w:t>
            </w:r>
          </w:p>
        </w:tc>
        <w:tc>
          <w:tcPr>
            <w:tcW w:w="864"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color w:val="000000"/>
                <w:szCs w:val="24"/>
              </w:rPr>
              <w:t>未造成火灾责任事故，违反工程建设消防技术强制性标准的</w:t>
            </w:r>
          </w:p>
        </w:tc>
        <w:tc>
          <w:tcPr>
            <w:tcW w:w="987"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color w:val="000000"/>
                <w:kern w:val="0"/>
                <w:szCs w:val="21"/>
                <w:lang w:bidi="ar"/>
              </w:rPr>
              <w:t>责令停止施工、停止使用或者停产停业，并</w:t>
            </w:r>
            <w:r>
              <w:rPr>
                <w:rFonts w:hint="eastAsia" w:ascii="仿宋_GB2312" w:hAnsi="仿宋_GB2312" w:eastAsia="仿宋_GB2312" w:cs="仿宋_GB2312"/>
                <w:color w:val="000000"/>
                <w:spacing w:val="8"/>
                <w:szCs w:val="21"/>
              </w:rPr>
              <w:t>处六万五千元罚款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289" w:type="pct"/>
            <w:vMerge w:val="continue"/>
            <w:vAlign w:val="center"/>
          </w:tcPr>
          <w:p>
            <w:pPr>
              <w:rPr>
                <w:rFonts w:hint="eastAsia" w:ascii="宋体" w:hAnsi="宋体" w:eastAsia="宋体" w:cs="黑体"/>
                <w:bCs/>
                <w:color w:val="000000"/>
              </w:rPr>
            </w:pPr>
          </w:p>
        </w:tc>
        <w:tc>
          <w:tcPr>
            <w:tcW w:w="420" w:type="pct"/>
            <w:vMerge w:val="continue"/>
            <w:vAlign w:val="center"/>
          </w:tcPr>
          <w:p>
            <w:pPr>
              <w:rPr>
                <w:rFonts w:hint="eastAsia" w:ascii="宋体" w:hAnsi="宋体" w:eastAsia="宋体" w:cs="黑体"/>
                <w:bCs/>
                <w:color w:val="000000"/>
              </w:rPr>
            </w:pPr>
          </w:p>
        </w:tc>
        <w:tc>
          <w:tcPr>
            <w:tcW w:w="762" w:type="pct"/>
            <w:vMerge w:val="continue"/>
            <w:vAlign w:val="center"/>
          </w:tcPr>
          <w:p>
            <w:pPr>
              <w:rPr>
                <w:rFonts w:hint="eastAsia" w:ascii="宋体" w:hAnsi="宋体" w:eastAsia="宋体" w:cs="黑体"/>
                <w:bCs/>
                <w:color w:val="000000"/>
              </w:rPr>
            </w:pPr>
          </w:p>
        </w:tc>
        <w:tc>
          <w:tcPr>
            <w:tcW w:w="864"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06" w:type="pct"/>
            <w:vMerge w:val="continue"/>
            <w:vAlign w:val="center"/>
          </w:tcPr>
          <w:p>
            <w:pPr>
              <w:jc w:val="center"/>
              <w:rPr>
                <w:rFonts w:hint="eastAsia" w:ascii="宋体" w:hAnsi="宋体" w:eastAsia="宋体" w:cs="黑体"/>
                <w:bCs/>
                <w:color w:val="000000"/>
              </w:rPr>
            </w:pPr>
          </w:p>
        </w:tc>
        <w:tc>
          <w:tcPr>
            <w:tcW w:w="407"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从重</w:t>
            </w:r>
          </w:p>
        </w:tc>
        <w:tc>
          <w:tcPr>
            <w:tcW w:w="864"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color w:val="000000"/>
                <w:szCs w:val="24"/>
              </w:rPr>
              <w:t>存在火灾隐患，未造成火灾责任事故的，违反工程建设消防技术强制性标准的</w:t>
            </w:r>
          </w:p>
        </w:tc>
        <w:tc>
          <w:tcPr>
            <w:tcW w:w="987"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color w:val="000000"/>
                <w:kern w:val="0"/>
                <w:szCs w:val="21"/>
                <w:lang w:bidi="ar"/>
              </w:rPr>
              <w:t>责令停止施工、停止使用或者停产停业，</w:t>
            </w:r>
            <w:r>
              <w:rPr>
                <w:rFonts w:hint="eastAsia" w:ascii="仿宋_GB2312" w:hAnsi="仿宋_GB2312" w:eastAsia="仿宋_GB2312" w:cs="仿宋_GB2312"/>
                <w:szCs w:val="24"/>
              </w:rPr>
              <w:t>并处超过</w:t>
            </w:r>
            <w:r>
              <w:rPr>
                <w:rFonts w:hint="eastAsia" w:ascii="仿宋_GB2312" w:hAnsi="仿宋_GB2312" w:eastAsia="仿宋_GB2312" w:cs="仿宋_GB2312"/>
                <w:color w:val="000000"/>
                <w:spacing w:val="8"/>
                <w:szCs w:val="21"/>
              </w:rPr>
              <w:t>六万五千元</w:t>
            </w:r>
            <w:r>
              <w:rPr>
                <w:rFonts w:hint="eastAsia" w:ascii="仿宋_GB2312" w:hAnsi="仿宋_GB2312" w:eastAsia="仿宋_GB2312" w:cs="仿宋_GB2312"/>
                <w:szCs w:val="24"/>
              </w:rPr>
              <w:t>、十万元以下的罚款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289" w:type="pct"/>
            <w:vMerge w:val="continue"/>
            <w:vAlign w:val="center"/>
          </w:tcPr>
          <w:p>
            <w:pPr>
              <w:rPr>
                <w:rFonts w:hint="eastAsia" w:ascii="宋体" w:hAnsi="宋体" w:eastAsia="宋体" w:cs="黑体"/>
                <w:bCs/>
                <w:color w:val="000000"/>
              </w:rPr>
            </w:pPr>
          </w:p>
        </w:tc>
        <w:tc>
          <w:tcPr>
            <w:tcW w:w="420" w:type="pct"/>
            <w:vMerge w:val="continue"/>
            <w:vAlign w:val="center"/>
          </w:tcPr>
          <w:p>
            <w:pPr>
              <w:rPr>
                <w:rFonts w:hint="eastAsia" w:ascii="宋体" w:hAnsi="宋体" w:eastAsia="宋体" w:cs="黑体"/>
                <w:bCs/>
                <w:color w:val="000000"/>
              </w:rPr>
            </w:pPr>
          </w:p>
        </w:tc>
        <w:tc>
          <w:tcPr>
            <w:tcW w:w="762" w:type="pct"/>
            <w:vMerge w:val="continue"/>
            <w:vAlign w:val="center"/>
          </w:tcPr>
          <w:p>
            <w:pPr>
              <w:rPr>
                <w:rFonts w:hint="eastAsia" w:ascii="宋体" w:hAnsi="宋体" w:eastAsia="宋体" w:cs="黑体"/>
                <w:bCs/>
                <w:color w:val="000000"/>
              </w:rPr>
            </w:pPr>
          </w:p>
        </w:tc>
        <w:tc>
          <w:tcPr>
            <w:tcW w:w="864"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06" w:type="pct"/>
            <w:vMerge w:val="continue"/>
            <w:vAlign w:val="center"/>
          </w:tcPr>
          <w:p>
            <w:pPr>
              <w:jc w:val="center"/>
              <w:rPr>
                <w:rFonts w:hint="eastAsia" w:ascii="宋体" w:hAnsi="宋体" w:eastAsia="宋体" w:cs="黑体"/>
                <w:bCs/>
                <w:color w:val="000000"/>
              </w:rPr>
            </w:pPr>
          </w:p>
        </w:tc>
        <w:tc>
          <w:tcPr>
            <w:tcW w:w="407"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从轻</w:t>
            </w:r>
          </w:p>
        </w:tc>
        <w:tc>
          <w:tcPr>
            <w:tcW w:w="864"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1"/>
              </w:rPr>
              <w:t>造成</w:t>
            </w:r>
            <w:r>
              <w:rPr>
                <w:rFonts w:hint="eastAsia" w:ascii="仿宋_GB2312" w:hAnsi="仿宋_GB2312" w:eastAsia="仿宋_GB2312" w:cs="仿宋_GB2312"/>
                <w:color w:val="000000"/>
                <w:szCs w:val="24"/>
              </w:rPr>
              <w:t>重大火灾隐患</w:t>
            </w:r>
            <w:r>
              <w:rPr>
                <w:rFonts w:hint="eastAsia" w:ascii="仿宋_GB2312" w:hAnsi="仿宋_GB2312" w:eastAsia="仿宋_GB2312" w:cs="仿宋_GB2312"/>
                <w:szCs w:val="21"/>
              </w:rPr>
              <w:t>未造成</w:t>
            </w:r>
            <w:r>
              <w:rPr>
                <w:rFonts w:hint="eastAsia" w:ascii="仿宋_GB2312" w:hAnsi="仿宋_GB2312" w:eastAsia="仿宋_GB2312" w:cs="仿宋_GB2312"/>
                <w:color w:val="000000"/>
                <w:szCs w:val="24"/>
              </w:rPr>
              <w:t>火灾责任</w:t>
            </w:r>
            <w:r>
              <w:rPr>
                <w:rFonts w:hint="eastAsia" w:ascii="仿宋_GB2312" w:hAnsi="仿宋_GB2312" w:eastAsia="仿宋_GB2312" w:cs="仿宋_GB2312"/>
                <w:szCs w:val="21"/>
              </w:rPr>
              <w:t>事故的</w:t>
            </w:r>
          </w:p>
        </w:tc>
        <w:tc>
          <w:tcPr>
            <w:tcW w:w="987"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color w:val="000000"/>
                <w:kern w:val="0"/>
                <w:szCs w:val="21"/>
                <w:lang w:bidi="ar"/>
              </w:rPr>
              <w:t>责令停止施工、停止使用或者停产停业，</w:t>
            </w:r>
            <w:r>
              <w:rPr>
                <w:rFonts w:hint="eastAsia" w:ascii="仿宋_GB2312" w:hAnsi="仿宋_GB2312" w:eastAsia="仿宋_GB2312" w:cs="仿宋_GB2312"/>
                <w:szCs w:val="24"/>
              </w:rPr>
              <w:t>并处十万元以上、低于二十万元以下的罚款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289" w:type="pct"/>
            <w:vMerge w:val="continue"/>
            <w:vAlign w:val="center"/>
          </w:tcPr>
          <w:p>
            <w:pPr>
              <w:rPr>
                <w:rFonts w:hint="eastAsia" w:ascii="宋体" w:hAnsi="宋体" w:eastAsia="宋体" w:cs="黑体"/>
                <w:bCs/>
                <w:color w:val="000000"/>
              </w:rPr>
            </w:pPr>
          </w:p>
        </w:tc>
        <w:tc>
          <w:tcPr>
            <w:tcW w:w="420" w:type="pct"/>
            <w:vMerge w:val="continue"/>
            <w:vAlign w:val="center"/>
          </w:tcPr>
          <w:p>
            <w:pPr>
              <w:rPr>
                <w:rFonts w:hint="eastAsia" w:ascii="宋体" w:hAnsi="宋体" w:eastAsia="宋体" w:cs="黑体"/>
                <w:bCs/>
                <w:color w:val="000000"/>
              </w:rPr>
            </w:pPr>
          </w:p>
        </w:tc>
        <w:tc>
          <w:tcPr>
            <w:tcW w:w="762" w:type="pct"/>
            <w:vMerge w:val="continue"/>
            <w:vAlign w:val="center"/>
          </w:tcPr>
          <w:p>
            <w:pPr>
              <w:rPr>
                <w:rFonts w:hint="eastAsia" w:ascii="宋体" w:hAnsi="宋体" w:eastAsia="宋体" w:cs="黑体"/>
                <w:bCs/>
                <w:color w:val="000000"/>
              </w:rPr>
            </w:pPr>
          </w:p>
        </w:tc>
        <w:tc>
          <w:tcPr>
            <w:tcW w:w="864"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06" w:type="pct"/>
            <w:vMerge w:val="continue"/>
            <w:vAlign w:val="center"/>
          </w:tcPr>
          <w:p>
            <w:pPr>
              <w:jc w:val="center"/>
              <w:rPr>
                <w:rFonts w:hint="eastAsia" w:ascii="宋体" w:hAnsi="宋体" w:eastAsia="宋体" w:cs="黑体"/>
                <w:bCs/>
                <w:color w:val="000000"/>
              </w:rPr>
            </w:pPr>
          </w:p>
        </w:tc>
        <w:tc>
          <w:tcPr>
            <w:tcW w:w="407"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一般</w:t>
            </w:r>
          </w:p>
        </w:tc>
        <w:tc>
          <w:tcPr>
            <w:tcW w:w="864"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1"/>
              </w:rPr>
              <w:t>造成一般</w:t>
            </w:r>
            <w:r>
              <w:rPr>
                <w:rFonts w:hint="eastAsia" w:ascii="仿宋_GB2312" w:hAnsi="仿宋_GB2312" w:eastAsia="仿宋_GB2312" w:cs="仿宋_GB2312"/>
                <w:color w:val="000000"/>
                <w:szCs w:val="24"/>
              </w:rPr>
              <w:t>火灾责任</w:t>
            </w:r>
            <w:r>
              <w:rPr>
                <w:rFonts w:hint="eastAsia" w:ascii="仿宋_GB2312" w:hAnsi="仿宋_GB2312" w:eastAsia="仿宋_GB2312" w:cs="仿宋_GB2312"/>
                <w:szCs w:val="21"/>
              </w:rPr>
              <w:t>事故的</w:t>
            </w:r>
          </w:p>
        </w:tc>
        <w:tc>
          <w:tcPr>
            <w:tcW w:w="987"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color w:val="000000"/>
                <w:kern w:val="0"/>
                <w:szCs w:val="21"/>
                <w:lang w:bidi="ar"/>
              </w:rPr>
              <w:t>责令停止施工、停止使用或者停产停业，并</w:t>
            </w:r>
            <w:r>
              <w:rPr>
                <w:rFonts w:hint="eastAsia" w:ascii="仿宋_GB2312" w:hAnsi="仿宋_GB2312" w:eastAsia="仿宋_GB2312" w:cs="仿宋_GB2312"/>
                <w:color w:val="000000"/>
                <w:spacing w:val="8"/>
                <w:szCs w:val="21"/>
              </w:rPr>
              <w:t>处二十万元罚款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289" w:type="pct"/>
            <w:vMerge w:val="continue"/>
            <w:vAlign w:val="center"/>
          </w:tcPr>
          <w:p>
            <w:pPr>
              <w:rPr>
                <w:rFonts w:hint="eastAsia" w:ascii="宋体" w:hAnsi="宋体" w:eastAsia="宋体" w:cs="黑体"/>
                <w:bCs/>
                <w:color w:val="000000"/>
              </w:rPr>
            </w:pPr>
          </w:p>
        </w:tc>
        <w:tc>
          <w:tcPr>
            <w:tcW w:w="420" w:type="pct"/>
            <w:vMerge w:val="continue"/>
            <w:vAlign w:val="center"/>
          </w:tcPr>
          <w:p>
            <w:pPr>
              <w:rPr>
                <w:rFonts w:hint="eastAsia" w:ascii="宋体" w:hAnsi="宋体" w:eastAsia="宋体" w:cs="黑体"/>
                <w:bCs/>
                <w:color w:val="000000"/>
              </w:rPr>
            </w:pPr>
          </w:p>
        </w:tc>
        <w:tc>
          <w:tcPr>
            <w:tcW w:w="762" w:type="pct"/>
            <w:vMerge w:val="continue"/>
            <w:vAlign w:val="center"/>
          </w:tcPr>
          <w:p>
            <w:pPr>
              <w:rPr>
                <w:rFonts w:hint="eastAsia" w:ascii="宋体" w:hAnsi="宋体" w:eastAsia="宋体" w:cs="黑体"/>
                <w:bCs/>
                <w:color w:val="000000"/>
              </w:rPr>
            </w:pPr>
          </w:p>
        </w:tc>
        <w:tc>
          <w:tcPr>
            <w:tcW w:w="864"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06" w:type="pct"/>
            <w:vMerge w:val="continue"/>
            <w:vAlign w:val="center"/>
          </w:tcPr>
          <w:p>
            <w:pPr>
              <w:jc w:val="center"/>
              <w:rPr>
                <w:rFonts w:hint="eastAsia" w:ascii="宋体" w:hAnsi="宋体" w:eastAsia="宋体" w:cs="黑体"/>
                <w:bCs/>
                <w:color w:val="000000"/>
              </w:rPr>
            </w:pPr>
          </w:p>
        </w:tc>
        <w:tc>
          <w:tcPr>
            <w:tcW w:w="407"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从重</w:t>
            </w:r>
          </w:p>
        </w:tc>
        <w:tc>
          <w:tcPr>
            <w:tcW w:w="864"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1"/>
              </w:rPr>
              <w:t>造成较大及以上</w:t>
            </w:r>
            <w:r>
              <w:rPr>
                <w:rFonts w:hint="eastAsia" w:ascii="仿宋_GB2312" w:hAnsi="仿宋_GB2312" w:eastAsia="仿宋_GB2312" w:cs="仿宋_GB2312"/>
                <w:color w:val="000000"/>
                <w:szCs w:val="24"/>
              </w:rPr>
              <w:t>火灾责任</w:t>
            </w:r>
            <w:r>
              <w:rPr>
                <w:rFonts w:hint="eastAsia" w:ascii="仿宋_GB2312" w:hAnsi="仿宋_GB2312" w:eastAsia="仿宋_GB2312" w:cs="仿宋_GB2312"/>
                <w:szCs w:val="21"/>
              </w:rPr>
              <w:t>事故的</w:t>
            </w:r>
          </w:p>
        </w:tc>
        <w:tc>
          <w:tcPr>
            <w:tcW w:w="987"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color w:val="000000"/>
                <w:kern w:val="0"/>
                <w:szCs w:val="21"/>
                <w:lang w:bidi="ar"/>
              </w:rPr>
              <w:t>责令停止施工、停止使用或者停产停业，</w:t>
            </w:r>
            <w:r>
              <w:rPr>
                <w:rFonts w:hint="eastAsia" w:ascii="仿宋_GB2312" w:hAnsi="仿宋_GB2312" w:eastAsia="仿宋_GB2312" w:cs="仿宋_GB2312"/>
                <w:szCs w:val="24"/>
              </w:rPr>
              <w:t>并处超过</w:t>
            </w:r>
            <w:r>
              <w:rPr>
                <w:rFonts w:hint="eastAsia" w:ascii="仿宋_GB2312" w:hAnsi="仿宋_GB2312" w:eastAsia="仿宋_GB2312" w:cs="仿宋_GB2312"/>
                <w:color w:val="000000"/>
                <w:spacing w:val="8"/>
                <w:szCs w:val="21"/>
              </w:rPr>
              <w:t>二十万元</w:t>
            </w:r>
            <w:r>
              <w:rPr>
                <w:rFonts w:hint="eastAsia" w:ascii="仿宋_GB2312" w:hAnsi="仿宋_GB2312" w:eastAsia="仿宋_GB2312" w:cs="仿宋_GB2312"/>
                <w:szCs w:val="24"/>
              </w:rPr>
              <w:t>、三十万元以下的罚款</w:t>
            </w:r>
          </w:p>
        </w:tc>
      </w:tr>
    </w:tbl>
    <w:p>
      <w:pPr>
        <w:widowControl/>
        <w:jc w:val="left"/>
        <w:rPr>
          <w:rFonts w:hint="eastAsia" w:ascii="宋体" w:hAnsi="宋体" w:eastAsia="宋体" w:cs="Times New Roman"/>
          <w:bCs/>
          <w:sz w:val="32"/>
          <w:szCs w:val="32"/>
        </w:rPr>
      </w:pPr>
    </w:p>
    <w:p>
      <w:pPr>
        <w:widowControl/>
        <w:jc w:val="left"/>
        <w:rPr>
          <w:rFonts w:hint="eastAsia" w:ascii="宋体" w:hAnsi="宋体" w:eastAsia="宋体" w:cs="Times New Roman"/>
          <w:bCs/>
          <w:sz w:val="32"/>
          <w:szCs w:val="32"/>
        </w:rPr>
      </w:pPr>
      <w:r>
        <w:rPr>
          <w:rFonts w:hint="eastAsia" w:ascii="宋体" w:hAnsi="宋体" w:eastAsia="宋体" w:cs="Times New Roman"/>
          <w:bCs/>
          <w:sz w:val="32"/>
          <w:szCs w:val="32"/>
        </w:rPr>
        <w:t>《深圳经济特区消防条例》</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36"/>
        <w:gridCol w:w="1213"/>
        <w:gridCol w:w="2302"/>
        <w:gridCol w:w="2721"/>
        <w:gridCol w:w="1134"/>
        <w:gridCol w:w="1151"/>
        <w:gridCol w:w="2177"/>
        <w:gridCol w:w="26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95"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序号</w:t>
            </w:r>
          </w:p>
        </w:tc>
        <w:tc>
          <w:tcPr>
            <w:tcW w:w="428"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812"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960"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400"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406"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768"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931"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295" w:type="pct"/>
            <w:vMerge w:val="restart"/>
            <w:vAlign w:val="center"/>
          </w:tcPr>
          <w:p>
            <w:pPr>
              <w:jc w:val="center"/>
              <w:rPr>
                <w:rFonts w:hint="eastAsia" w:ascii="宋体" w:hAnsi="宋体" w:eastAsia="宋体" w:cs="黑体"/>
                <w:bCs/>
                <w:color w:val="000000"/>
                <w:kern w:val="0"/>
                <w:szCs w:val="21"/>
                <w:lang w:val="en"/>
              </w:rPr>
            </w:pPr>
            <w:r>
              <w:rPr>
                <w:rFonts w:hint="eastAsia" w:ascii="仿宋_GB2312" w:hAnsi="仿宋_GB2312" w:eastAsia="仿宋_GB2312" w:cs="仿宋_GB2312"/>
                <w:bCs/>
                <w:szCs w:val="24"/>
              </w:rPr>
              <w:t>110.</w:t>
            </w:r>
            <w:r>
              <w:rPr>
                <w:rFonts w:hint="eastAsia" w:ascii="仿宋_GB2312" w:hAnsi="仿宋_GB2312" w:eastAsia="仿宋_GB2312" w:cs="仿宋_GB2312"/>
                <w:bCs/>
                <w:szCs w:val="24"/>
                <w:lang w:val="en"/>
              </w:rPr>
              <w:t>2</w:t>
            </w:r>
          </w:p>
        </w:tc>
        <w:tc>
          <w:tcPr>
            <w:tcW w:w="428" w:type="pct"/>
            <w:vMerge w:val="restart"/>
            <w:vAlign w:val="center"/>
          </w:tcPr>
          <w:p>
            <w:pPr>
              <w:jc w:val="left"/>
              <w:rPr>
                <w:rFonts w:hint="eastAsia" w:ascii="宋体" w:hAnsi="宋体" w:eastAsia="宋体" w:cs="黑体"/>
                <w:bCs/>
                <w:color w:val="000000"/>
                <w:szCs w:val="21"/>
              </w:rPr>
            </w:pPr>
            <w:r>
              <w:rPr>
                <w:rFonts w:hint="eastAsia" w:ascii="仿宋_GB2312" w:hAnsi="仿宋_GB2312" w:eastAsia="仿宋_GB2312" w:cs="仿宋_GB2312"/>
                <w:color w:val="000000"/>
                <w:szCs w:val="24"/>
              </w:rPr>
              <w:t>依法应当进行消防验收的建设工程，未经消防验收或者消防验收不合格，擅自投入使用的</w:t>
            </w:r>
          </w:p>
        </w:tc>
        <w:tc>
          <w:tcPr>
            <w:tcW w:w="812" w:type="pct"/>
            <w:vMerge w:val="restart"/>
            <w:vAlign w:val="center"/>
          </w:tcPr>
          <w:p>
            <w:pPr>
              <w:jc w:val="left"/>
              <w:rPr>
                <w:rFonts w:hint="eastAsia" w:ascii="宋体" w:hAnsi="宋体" w:eastAsia="宋体" w:cs="黑体"/>
                <w:bCs/>
                <w:color w:val="000000"/>
              </w:rPr>
            </w:pPr>
            <w:r>
              <w:rPr>
                <w:rFonts w:hint="eastAsia" w:ascii="仿宋_GB2312" w:hAnsi="仿宋_GB2312" w:eastAsia="仿宋_GB2312" w:cs="仿宋_GB2312"/>
                <w:bCs/>
                <w:color w:val="000000"/>
                <w:szCs w:val="24"/>
              </w:rPr>
              <w:t>第二十九条：“建设工程的消防设计、施工必须符合国家工程建设消防技术标准。建设单位依法对建设工程消防设计、施工质量负首要责任。设计、施工、工程监理、技术服务等单位依法对建设工程消防设计、施工质量负主体责任。建设、设计、施工、工程监理、技术服务等单位的从业人员依法对建设工程消防设计、施工质量承担相应的个人责任。”</w:t>
            </w:r>
          </w:p>
        </w:tc>
        <w:tc>
          <w:tcPr>
            <w:tcW w:w="960" w:type="pct"/>
            <w:vMerge w:val="restart"/>
            <w:vAlign w:val="center"/>
          </w:tcPr>
          <w:p>
            <w:pPr>
              <w:widowControl/>
              <w:jc w:val="left"/>
              <w:textAlignment w:val="center"/>
              <w:rPr>
                <w:rFonts w:hint="eastAsia" w:ascii="宋体" w:hAnsi="宋体" w:eastAsia="宋体" w:cs="黑体"/>
                <w:bCs/>
                <w:color w:val="000000"/>
              </w:rPr>
            </w:pPr>
            <w:r>
              <w:rPr>
                <w:rFonts w:hint="eastAsia" w:ascii="仿宋_GB2312" w:hAnsi="仿宋_GB2312" w:eastAsia="仿宋_GB2312" w:cs="仿宋_GB2312"/>
                <w:bCs/>
                <w:szCs w:val="24"/>
              </w:rPr>
              <w:t>第九十八条第一款第二项：“违反本条例规定，有下列行为之一的，由住房建设部门、消防救援机构按照各自职责责令停止施工、停止使用或者停产停业，并处三万元以上十万元以下罚款；情节严重的，由住房建设部门、消防救援机构按照各自职责责令停止施工、停止使用或者停产停业，并处十万元以上三十万元以下罚款：（二）依法应当进行消防验收的建设工程，未经消防验收或者消防验收不合格，擅自投入使用的。”</w:t>
            </w:r>
          </w:p>
        </w:tc>
        <w:tc>
          <w:tcPr>
            <w:tcW w:w="400" w:type="pct"/>
            <w:vMerge w:val="restart"/>
            <w:vAlign w:val="center"/>
          </w:tcPr>
          <w:p>
            <w:pPr>
              <w:jc w:val="left"/>
              <w:rPr>
                <w:rFonts w:hint="eastAsia" w:ascii="宋体" w:hAnsi="宋体" w:eastAsia="宋体" w:cs="黑体"/>
                <w:bCs/>
                <w:color w:val="000000"/>
              </w:rPr>
            </w:pPr>
            <w:r>
              <w:rPr>
                <w:rFonts w:hint="eastAsia" w:ascii="仿宋_GB2312" w:hAnsi="仿宋_GB2312" w:eastAsia="仿宋_GB2312" w:cs="仿宋_GB2312"/>
                <w:bCs/>
                <w:color w:val="000000"/>
              </w:rPr>
              <w:t>罚款；责令停产停业</w:t>
            </w:r>
          </w:p>
        </w:tc>
        <w:tc>
          <w:tcPr>
            <w:tcW w:w="406"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从轻</w:t>
            </w:r>
          </w:p>
        </w:tc>
        <w:tc>
          <w:tcPr>
            <w:tcW w:w="768"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color w:val="000000"/>
                <w:szCs w:val="24"/>
              </w:rPr>
              <w:t>未造成火灾责任事故，且未违反工程建设消防技术强制性标准的</w:t>
            </w:r>
          </w:p>
        </w:tc>
        <w:tc>
          <w:tcPr>
            <w:tcW w:w="931"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color w:val="000000"/>
                <w:kern w:val="0"/>
                <w:szCs w:val="21"/>
                <w:lang w:bidi="ar"/>
              </w:rPr>
              <w:t>责令停止施工、停止使用或者停产停业，并</w:t>
            </w:r>
            <w:r>
              <w:rPr>
                <w:rFonts w:hint="eastAsia" w:ascii="仿宋_GB2312" w:hAnsi="仿宋_GB2312" w:eastAsia="仿宋_GB2312" w:cs="仿宋_GB2312"/>
                <w:color w:val="000000"/>
                <w:spacing w:val="8"/>
                <w:szCs w:val="21"/>
              </w:rPr>
              <w:t>处三万元以上、低于六万五千元罚款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295" w:type="pct"/>
            <w:vMerge w:val="continue"/>
            <w:vAlign w:val="center"/>
          </w:tcPr>
          <w:p>
            <w:pPr>
              <w:rPr>
                <w:rFonts w:hint="eastAsia" w:ascii="宋体" w:hAnsi="宋体" w:eastAsia="宋体" w:cs="黑体"/>
                <w:bCs/>
                <w:color w:val="000000"/>
              </w:rPr>
            </w:pPr>
          </w:p>
        </w:tc>
        <w:tc>
          <w:tcPr>
            <w:tcW w:w="428" w:type="pct"/>
            <w:vMerge w:val="continue"/>
            <w:vAlign w:val="center"/>
          </w:tcPr>
          <w:p>
            <w:pPr>
              <w:rPr>
                <w:rFonts w:hint="eastAsia" w:ascii="宋体" w:hAnsi="宋体" w:eastAsia="宋体" w:cs="黑体"/>
                <w:bCs/>
                <w:color w:val="000000"/>
              </w:rPr>
            </w:pPr>
          </w:p>
        </w:tc>
        <w:tc>
          <w:tcPr>
            <w:tcW w:w="812" w:type="pct"/>
            <w:vMerge w:val="continue"/>
            <w:vAlign w:val="center"/>
          </w:tcPr>
          <w:p>
            <w:pPr>
              <w:rPr>
                <w:rFonts w:hint="eastAsia" w:ascii="宋体" w:hAnsi="宋体" w:eastAsia="宋体" w:cs="黑体"/>
                <w:bCs/>
                <w:color w:val="000000"/>
              </w:rPr>
            </w:pPr>
          </w:p>
        </w:tc>
        <w:tc>
          <w:tcPr>
            <w:tcW w:w="960"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00" w:type="pct"/>
            <w:vMerge w:val="continue"/>
            <w:vAlign w:val="center"/>
          </w:tcPr>
          <w:p>
            <w:pPr>
              <w:jc w:val="center"/>
              <w:rPr>
                <w:rFonts w:hint="eastAsia" w:ascii="宋体" w:hAnsi="宋体" w:eastAsia="宋体" w:cs="黑体"/>
                <w:bCs/>
                <w:color w:val="000000"/>
              </w:rPr>
            </w:pPr>
          </w:p>
        </w:tc>
        <w:tc>
          <w:tcPr>
            <w:tcW w:w="406"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一般</w:t>
            </w:r>
          </w:p>
        </w:tc>
        <w:tc>
          <w:tcPr>
            <w:tcW w:w="768"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color w:val="000000"/>
                <w:szCs w:val="24"/>
              </w:rPr>
              <w:t>未造成火灾责任事故，违反工程建设消防技术强制性标准的</w:t>
            </w:r>
          </w:p>
        </w:tc>
        <w:tc>
          <w:tcPr>
            <w:tcW w:w="931"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color w:val="000000"/>
                <w:kern w:val="0"/>
                <w:szCs w:val="21"/>
                <w:lang w:bidi="ar"/>
              </w:rPr>
              <w:t>责令停止施工、停止使用或者停产停业，并</w:t>
            </w:r>
            <w:r>
              <w:rPr>
                <w:rFonts w:hint="eastAsia" w:ascii="仿宋_GB2312" w:hAnsi="仿宋_GB2312" w:eastAsia="仿宋_GB2312" w:cs="仿宋_GB2312"/>
                <w:color w:val="000000"/>
                <w:spacing w:val="8"/>
                <w:szCs w:val="21"/>
              </w:rPr>
              <w:t>处六万五千元罚款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295" w:type="pct"/>
            <w:vMerge w:val="continue"/>
            <w:vAlign w:val="center"/>
          </w:tcPr>
          <w:p>
            <w:pPr>
              <w:rPr>
                <w:rFonts w:hint="eastAsia" w:ascii="宋体" w:hAnsi="宋体" w:eastAsia="宋体" w:cs="黑体"/>
                <w:bCs/>
                <w:color w:val="000000"/>
              </w:rPr>
            </w:pPr>
          </w:p>
        </w:tc>
        <w:tc>
          <w:tcPr>
            <w:tcW w:w="428" w:type="pct"/>
            <w:vMerge w:val="continue"/>
            <w:vAlign w:val="center"/>
          </w:tcPr>
          <w:p>
            <w:pPr>
              <w:rPr>
                <w:rFonts w:hint="eastAsia" w:ascii="宋体" w:hAnsi="宋体" w:eastAsia="宋体" w:cs="黑体"/>
                <w:bCs/>
                <w:color w:val="000000"/>
              </w:rPr>
            </w:pPr>
          </w:p>
        </w:tc>
        <w:tc>
          <w:tcPr>
            <w:tcW w:w="812" w:type="pct"/>
            <w:vMerge w:val="continue"/>
            <w:vAlign w:val="center"/>
          </w:tcPr>
          <w:p>
            <w:pPr>
              <w:rPr>
                <w:rFonts w:hint="eastAsia" w:ascii="宋体" w:hAnsi="宋体" w:eastAsia="宋体" w:cs="黑体"/>
                <w:bCs/>
                <w:color w:val="000000"/>
              </w:rPr>
            </w:pPr>
          </w:p>
        </w:tc>
        <w:tc>
          <w:tcPr>
            <w:tcW w:w="960"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00" w:type="pct"/>
            <w:vMerge w:val="continue"/>
            <w:vAlign w:val="center"/>
          </w:tcPr>
          <w:p>
            <w:pPr>
              <w:jc w:val="center"/>
              <w:rPr>
                <w:rFonts w:hint="eastAsia" w:ascii="宋体" w:hAnsi="宋体" w:eastAsia="宋体" w:cs="黑体"/>
                <w:bCs/>
                <w:color w:val="000000"/>
              </w:rPr>
            </w:pPr>
          </w:p>
        </w:tc>
        <w:tc>
          <w:tcPr>
            <w:tcW w:w="406"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从重</w:t>
            </w:r>
          </w:p>
        </w:tc>
        <w:tc>
          <w:tcPr>
            <w:tcW w:w="768"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color w:val="000000"/>
                <w:szCs w:val="24"/>
              </w:rPr>
              <w:t>存在火灾隐患，未造成火灾责任事故的，违反工程建设消防技术强制性标准的</w:t>
            </w:r>
          </w:p>
        </w:tc>
        <w:tc>
          <w:tcPr>
            <w:tcW w:w="931"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color w:val="000000"/>
                <w:kern w:val="0"/>
                <w:szCs w:val="21"/>
                <w:lang w:bidi="ar"/>
              </w:rPr>
              <w:t>责令停止施工、停止使用或者停产停业，</w:t>
            </w:r>
            <w:r>
              <w:rPr>
                <w:rFonts w:hint="eastAsia" w:ascii="仿宋_GB2312" w:hAnsi="仿宋_GB2312" w:eastAsia="仿宋_GB2312" w:cs="仿宋_GB2312"/>
                <w:szCs w:val="24"/>
              </w:rPr>
              <w:t>并处超过</w:t>
            </w:r>
            <w:r>
              <w:rPr>
                <w:rFonts w:hint="eastAsia" w:ascii="仿宋_GB2312" w:hAnsi="仿宋_GB2312" w:eastAsia="仿宋_GB2312" w:cs="仿宋_GB2312"/>
                <w:color w:val="000000"/>
                <w:spacing w:val="8"/>
                <w:szCs w:val="21"/>
              </w:rPr>
              <w:t>六万五千元</w:t>
            </w:r>
            <w:r>
              <w:rPr>
                <w:rFonts w:hint="eastAsia" w:ascii="仿宋_GB2312" w:hAnsi="仿宋_GB2312" w:eastAsia="仿宋_GB2312" w:cs="仿宋_GB2312"/>
                <w:szCs w:val="24"/>
              </w:rPr>
              <w:t>、十万元以下罚款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295" w:type="pct"/>
            <w:vMerge w:val="continue"/>
            <w:vAlign w:val="center"/>
          </w:tcPr>
          <w:p>
            <w:pPr>
              <w:rPr>
                <w:rFonts w:hint="eastAsia" w:ascii="宋体" w:hAnsi="宋体" w:eastAsia="宋体" w:cs="黑体"/>
                <w:bCs/>
                <w:color w:val="000000"/>
              </w:rPr>
            </w:pPr>
          </w:p>
        </w:tc>
        <w:tc>
          <w:tcPr>
            <w:tcW w:w="428" w:type="pct"/>
            <w:vMerge w:val="continue"/>
            <w:vAlign w:val="center"/>
          </w:tcPr>
          <w:p>
            <w:pPr>
              <w:rPr>
                <w:rFonts w:hint="eastAsia" w:ascii="宋体" w:hAnsi="宋体" w:eastAsia="宋体" w:cs="黑体"/>
                <w:bCs/>
                <w:color w:val="000000"/>
              </w:rPr>
            </w:pPr>
          </w:p>
        </w:tc>
        <w:tc>
          <w:tcPr>
            <w:tcW w:w="812" w:type="pct"/>
            <w:vMerge w:val="continue"/>
            <w:vAlign w:val="center"/>
          </w:tcPr>
          <w:p>
            <w:pPr>
              <w:rPr>
                <w:rFonts w:hint="eastAsia" w:ascii="宋体" w:hAnsi="宋体" w:eastAsia="宋体" w:cs="黑体"/>
                <w:bCs/>
                <w:color w:val="000000"/>
              </w:rPr>
            </w:pPr>
          </w:p>
        </w:tc>
        <w:tc>
          <w:tcPr>
            <w:tcW w:w="960"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00" w:type="pct"/>
            <w:vMerge w:val="continue"/>
            <w:vAlign w:val="center"/>
          </w:tcPr>
          <w:p>
            <w:pPr>
              <w:jc w:val="center"/>
              <w:rPr>
                <w:rFonts w:hint="eastAsia" w:ascii="宋体" w:hAnsi="宋体" w:eastAsia="宋体" w:cs="黑体"/>
                <w:bCs/>
                <w:color w:val="000000"/>
              </w:rPr>
            </w:pPr>
          </w:p>
        </w:tc>
        <w:tc>
          <w:tcPr>
            <w:tcW w:w="406"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从轻</w:t>
            </w:r>
          </w:p>
        </w:tc>
        <w:tc>
          <w:tcPr>
            <w:tcW w:w="768"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1"/>
              </w:rPr>
              <w:t>造成</w:t>
            </w:r>
            <w:r>
              <w:rPr>
                <w:rFonts w:hint="eastAsia" w:ascii="仿宋_GB2312" w:hAnsi="仿宋_GB2312" w:eastAsia="仿宋_GB2312" w:cs="仿宋_GB2312"/>
                <w:color w:val="000000"/>
                <w:szCs w:val="24"/>
              </w:rPr>
              <w:t>重大火灾隐患</w:t>
            </w:r>
            <w:r>
              <w:rPr>
                <w:rFonts w:hint="eastAsia" w:ascii="仿宋_GB2312" w:hAnsi="仿宋_GB2312" w:eastAsia="仿宋_GB2312" w:cs="仿宋_GB2312"/>
                <w:szCs w:val="21"/>
              </w:rPr>
              <w:t>未造成</w:t>
            </w:r>
            <w:r>
              <w:rPr>
                <w:rFonts w:hint="eastAsia" w:ascii="仿宋_GB2312" w:hAnsi="仿宋_GB2312" w:eastAsia="仿宋_GB2312" w:cs="仿宋_GB2312"/>
                <w:color w:val="000000"/>
                <w:szCs w:val="24"/>
              </w:rPr>
              <w:t>火灾责任</w:t>
            </w:r>
            <w:r>
              <w:rPr>
                <w:rFonts w:hint="eastAsia" w:ascii="仿宋_GB2312" w:hAnsi="仿宋_GB2312" w:eastAsia="仿宋_GB2312" w:cs="仿宋_GB2312"/>
                <w:szCs w:val="21"/>
              </w:rPr>
              <w:t>事故的</w:t>
            </w:r>
          </w:p>
        </w:tc>
        <w:tc>
          <w:tcPr>
            <w:tcW w:w="931"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color w:val="000000"/>
                <w:kern w:val="0"/>
                <w:szCs w:val="21"/>
                <w:lang w:bidi="ar"/>
              </w:rPr>
              <w:t>责令停止施工、停止使用或者停产停业，</w:t>
            </w:r>
            <w:r>
              <w:rPr>
                <w:rFonts w:hint="eastAsia" w:ascii="仿宋_GB2312" w:hAnsi="仿宋_GB2312" w:eastAsia="仿宋_GB2312" w:cs="仿宋_GB2312"/>
                <w:szCs w:val="24"/>
              </w:rPr>
              <w:t>并处十万元以上、低于二十万元以下罚款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295" w:type="pct"/>
            <w:vMerge w:val="continue"/>
            <w:vAlign w:val="center"/>
          </w:tcPr>
          <w:p>
            <w:pPr>
              <w:rPr>
                <w:rFonts w:hint="eastAsia" w:ascii="宋体" w:hAnsi="宋体" w:eastAsia="宋体" w:cs="黑体"/>
                <w:bCs/>
                <w:color w:val="000000"/>
              </w:rPr>
            </w:pPr>
          </w:p>
        </w:tc>
        <w:tc>
          <w:tcPr>
            <w:tcW w:w="428" w:type="pct"/>
            <w:vMerge w:val="continue"/>
            <w:vAlign w:val="center"/>
          </w:tcPr>
          <w:p>
            <w:pPr>
              <w:rPr>
                <w:rFonts w:hint="eastAsia" w:ascii="宋体" w:hAnsi="宋体" w:eastAsia="宋体" w:cs="黑体"/>
                <w:bCs/>
                <w:color w:val="000000"/>
              </w:rPr>
            </w:pPr>
          </w:p>
        </w:tc>
        <w:tc>
          <w:tcPr>
            <w:tcW w:w="812" w:type="pct"/>
            <w:vMerge w:val="continue"/>
            <w:vAlign w:val="center"/>
          </w:tcPr>
          <w:p>
            <w:pPr>
              <w:rPr>
                <w:rFonts w:hint="eastAsia" w:ascii="宋体" w:hAnsi="宋体" w:eastAsia="宋体" w:cs="黑体"/>
                <w:bCs/>
                <w:color w:val="000000"/>
              </w:rPr>
            </w:pPr>
          </w:p>
        </w:tc>
        <w:tc>
          <w:tcPr>
            <w:tcW w:w="960"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00" w:type="pct"/>
            <w:vMerge w:val="continue"/>
            <w:vAlign w:val="center"/>
          </w:tcPr>
          <w:p>
            <w:pPr>
              <w:jc w:val="center"/>
              <w:rPr>
                <w:rFonts w:hint="eastAsia" w:ascii="宋体" w:hAnsi="宋体" w:eastAsia="宋体" w:cs="黑体"/>
                <w:bCs/>
                <w:color w:val="000000"/>
              </w:rPr>
            </w:pPr>
          </w:p>
        </w:tc>
        <w:tc>
          <w:tcPr>
            <w:tcW w:w="406"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一般</w:t>
            </w:r>
          </w:p>
        </w:tc>
        <w:tc>
          <w:tcPr>
            <w:tcW w:w="768"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1"/>
              </w:rPr>
              <w:t>造成一般</w:t>
            </w:r>
            <w:r>
              <w:rPr>
                <w:rFonts w:hint="eastAsia" w:ascii="仿宋_GB2312" w:hAnsi="仿宋_GB2312" w:eastAsia="仿宋_GB2312" w:cs="仿宋_GB2312"/>
                <w:color w:val="000000"/>
                <w:szCs w:val="24"/>
              </w:rPr>
              <w:t>火灾责任</w:t>
            </w:r>
            <w:r>
              <w:rPr>
                <w:rFonts w:hint="eastAsia" w:ascii="仿宋_GB2312" w:hAnsi="仿宋_GB2312" w:eastAsia="仿宋_GB2312" w:cs="仿宋_GB2312"/>
                <w:szCs w:val="21"/>
              </w:rPr>
              <w:t>事故的</w:t>
            </w:r>
          </w:p>
        </w:tc>
        <w:tc>
          <w:tcPr>
            <w:tcW w:w="931"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color w:val="000000"/>
                <w:kern w:val="0"/>
                <w:szCs w:val="21"/>
                <w:lang w:bidi="ar"/>
              </w:rPr>
              <w:t>责令停止施工、停止使用或者停产停业，并</w:t>
            </w:r>
            <w:r>
              <w:rPr>
                <w:rFonts w:hint="eastAsia" w:ascii="仿宋_GB2312" w:hAnsi="仿宋_GB2312" w:eastAsia="仿宋_GB2312" w:cs="仿宋_GB2312"/>
                <w:color w:val="000000"/>
                <w:spacing w:val="8"/>
                <w:szCs w:val="21"/>
              </w:rPr>
              <w:t>处二十万元罚款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295" w:type="pct"/>
            <w:vMerge w:val="continue"/>
            <w:vAlign w:val="center"/>
          </w:tcPr>
          <w:p>
            <w:pPr>
              <w:rPr>
                <w:rFonts w:hint="eastAsia" w:ascii="宋体" w:hAnsi="宋体" w:eastAsia="宋体" w:cs="黑体"/>
                <w:bCs/>
                <w:color w:val="000000"/>
              </w:rPr>
            </w:pPr>
          </w:p>
        </w:tc>
        <w:tc>
          <w:tcPr>
            <w:tcW w:w="428" w:type="pct"/>
            <w:vMerge w:val="continue"/>
            <w:vAlign w:val="center"/>
          </w:tcPr>
          <w:p>
            <w:pPr>
              <w:rPr>
                <w:rFonts w:hint="eastAsia" w:ascii="宋体" w:hAnsi="宋体" w:eastAsia="宋体" w:cs="黑体"/>
                <w:bCs/>
                <w:color w:val="000000"/>
              </w:rPr>
            </w:pPr>
          </w:p>
        </w:tc>
        <w:tc>
          <w:tcPr>
            <w:tcW w:w="812" w:type="pct"/>
            <w:vMerge w:val="continue"/>
            <w:vAlign w:val="center"/>
          </w:tcPr>
          <w:p>
            <w:pPr>
              <w:rPr>
                <w:rFonts w:hint="eastAsia" w:ascii="宋体" w:hAnsi="宋体" w:eastAsia="宋体" w:cs="黑体"/>
                <w:bCs/>
                <w:color w:val="000000"/>
              </w:rPr>
            </w:pPr>
          </w:p>
        </w:tc>
        <w:tc>
          <w:tcPr>
            <w:tcW w:w="960"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00" w:type="pct"/>
            <w:vMerge w:val="continue"/>
            <w:vAlign w:val="center"/>
          </w:tcPr>
          <w:p>
            <w:pPr>
              <w:jc w:val="center"/>
              <w:rPr>
                <w:rFonts w:hint="eastAsia" w:ascii="宋体" w:hAnsi="宋体" w:eastAsia="宋体" w:cs="黑体"/>
                <w:bCs/>
                <w:color w:val="000000"/>
              </w:rPr>
            </w:pPr>
          </w:p>
        </w:tc>
        <w:tc>
          <w:tcPr>
            <w:tcW w:w="406"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从重</w:t>
            </w:r>
          </w:p>
        </w:tc>
        <w:tc>
          <w:tcPr>
            <w:tcW w:w="768"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1"/>
              </w:rPr>
              <w:t>造成较大及以上</w:t>
            </w:r>
            <w:r>
              <w:rPr>
                <w:rFonts w:hint="eastAsia" w:ascii="仿宋_GB2312" w:hAnsi="仿宋_GB2312" w:eastAsia="仿宋_GB2312" w:cs="仿宋_GB2312"/>
                <w:color w:val="000000"/>
                <w:szCs w:val="24"/>
              </w:rPr>
              <w:t>火灾责任</w:t>
            </w:r>
            <w:r>
              <w:rPr>
                <w:rFonts w:hint="eastAsia" w:ascii="仿宋_GB2312" w:hAnsi="仿宋_GB2312" w:eastAsia="仿宋_GB2312" w:cs="仿宋_GB2312"/>
                <w:szCs w:val="21"/>
              </w:rPr>
              <w:t>事故的</w:t>
            </w:r>
          </w:p>
        </w:tc>
        <w:tc>
          <w:tcPr>
            <w:tcW w:w="931"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color w:val="000000"/>
                <w:kern w:val="0"/>
                <w:szCs w:val="21"/>
                <w:lang w:bidi="ar"/>
              </w:rPr>
              <w:t>责令停止施工、停止使用或者停产停业，</w:t>
            </w:r>
            <w:r>
              <w:rPr>
                <w:rFonts w:hint="eastAsia" w:ascii="仿宋_GB2312" w:hAnsi="仿宋_GB2312" w:eastAsia="仿宋_GB2312" w:cs="仿宋_GB2312"/>
                <w:szCs w:val="24"/>
              </w:rPr>
              <w:t>并处超过</w:t>
            </w:r>
            <w:r>
              <w:rPr>
                <w:rFonts w:hint="eastAsia" w:ascii="仿宋_GB2312" w:hAnsi="仿宋_GB2312" w:eastAsia="仿宋_GB2312" w:cs="仿宋_GB2312"/>
                <w:color w:val="000000"/>
                <w:spacing w:val="8"/>
                <w:szCs w:val="21"/>
              </w:rPr>
              <w:t>二十万元元</w:t>
            </w:r>
            <w:r>
              <w:rPr>
                <w:rFonts w:hint="eastAsia" w:ascii="仿宋_GB2312" w:hAnsi="仿宋_GB2312" w:eastAsia="仿宋_GB2312" w:cs="仿宋_GB2312"/>
                <w:szCs w:val="24"/>
              </w:rPr>
              <w:t>、三十万元以下罚款</w:t>
            </w:r>
          </w:p>
        </w:tc>
      </w:tr>
    </w:tbl>
    <w:p>
      <w:pPr>
        <w:widowControl/>
        <w:jc w:val="left"/>
        <w:rPr>
          <w:rFonts w:hint="eastAsia" w:ascii="宋体" w:hAnsi="宋体" w:eastAsia="宋体" w:cs="Times New Roman"/>
          <w:bCs/>
          <w:sz w:val="32"/>
          <w:szCs w:val="32"/>
        </w:rPr>
      </w:pPr>
      <w:r>
        <w:rPr>
          <w:rFonts w:hint="eastAsia" w:ascii="宋体" w:hAnsi="宋体" w:eastAsia="宋体" w:cs="Times New Roman"/>
          <w:bCs/>
          <w:sz w:val="32"/>
          <w:szCs w:val="32"/>
        </w:rPr>
        <w:t>《深圳经济特区消防条例》</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19"/>
        <w:gridCol w:w="1247"/>
        <w:gridCol w:w="2106"/>
        <w:gridCol w:w="2594"/>
        <w:gridCol w:w="1296"/>
        <w:gridCol w:w="1151"/>
        <w:gridCol w:w="2129"/>
        <w:gridCol w:w="28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8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序号</w:t>
            </w:r>
          </w:p>
        </w:tc>
        <w:tc>
          <w:tcPr>
            <w:tcW w:w="440"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743"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915"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457"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406"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751"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999"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289" w:type="pct"/>
            <w:vMerge w:val="restart"/>
            <w:vAlign w:val="center"/>
          </w:tcPr>
          <w:p>
            <w:pPr>
              <w:jc w:val="center"/>
              <w:rPr>
                <w:rFonts w:hint="eastAsia" w:ascii="宋体" w:hAnsi="宋体" w:eastAsia="宋体" w:cs="黑体"/>
                <w:bCs/>
                <w:color w:val="000000"/>
                <w:kern w:val="0"/>
                <w:szCs w:val="21"/>
                <w:lang w:val="en"/>
              </w:rPr>
            </w:pPr>
            <w:r>
              <w:rPr>
                <w:rFonts w:hint="eastAsia" w:ascii="仿宋_GB2312" w:hAnsi="仿宋_GB2312" w:eastAsia="仿宋_GB2312" w:cs="仿宋_GB2312"/>
                <w:bCs/>
                <w:szCs w:val="24"/>
              </w:rPr>
              <w:t>110.</w:t>
            </w:r>
            <w:r>
              <w:rPr>
                <w:rFonts w:hint="eastAsia" w:ascii="仿宋_GB2312" w:hAnsi="仿宋_GB2312" w:eastAsia="仿宋_GB2312" w:cs="仿宋_GB2312"/>
                <w:bCs/>
                <w:szCs w:val="24"/>
                <w:lang w:val="en"/>
              </w:rPr>
              <w:t>3</w:t>
            </w:r>
          </w:p>
        </w:tc>
        <w:tc>
          <w:tcPr>
            <w:tcW w:w="440" w:type="pct"/>
            <w:vMerge w:val="restart"/>
            <w:vAlign w:val="center"/>
          </w:tcPr>
          <w:p>
            <w:pPr>
              <w:rPr>
                <w:rFonts w:hint="eastAsia" w:ascii="宋体" w:hAnsi="宋体" w:eastAsia="宋体" w:cs="黑体"/>
                <w:bCs/>
                <w:color w:val="000000"/>
                <w:szCs w:val="21"/>
              </w:rPr>
            </w:pPr>
            <w:r>
              <w:rPr>
                <w:rFonts w:hint="eastAsia" w:ascii="仿宋_GB2312" w:hAnsi="仿宋_GB2312" w:eastAsia="仿宋_GB2312" w:cs="仿宋_GB2312"/>
                <w:color w:val="000000"/>
                <w:szCs w:val="24"/>
              </w:rPr>
              <w:t>其他建设工程验收后经依法抽查不合格，未停止使用的</w:t>
            </w:r>
          </w:p>
        </w:tc>
        <w:tc>
          <w:tcPr>
            <w:tcW w:w="743" w:type="pct"/>
            <w:vMerge w:val="restart"/>
            <w:vAlign w:val="center"/>
          </w:tcPr>
          <w:p>
            <w:pPr>
              <w:rPr>
                <w:rFonts w:hint="eastAsia" w:ascii="宋体" w:hAnsi="宋体" w:eastAsia="宋体" w:cs="黑体"/>
                <w:bCs/>
                <w:color w:val="000000"/>
              </w:rPr>
            </w:pPr>
            <w:r>
              <w:rPr>
                <w:rFonts w:hint="eastAsia" w:ascii="仿宋_GB2312" w:hAnsi="仿宋_GB2312" w:eastAsia="仿宋_GB2312" w:cs="仿宋_GB2312"/>
                <w:bCs/>
                <w:color w:val="000000"/>
                <w:szCs w:val="24"/>
              </w:rPr>
              <w:t>第二十九条：“建设工程的消防设计、施工必须符合国家工程建设消防技术标准。建设单位依法对建设工程消防设计、施工质量负首要责任。设计、施工、工程监理、技术服务等单位依法对建设工程消防设计、施工质量负主体责任。建设、设计、施工、工程监理、技术服务等单位的从业人员依法对建设工程消防设计、施工质量承担相应的个人责任。”</w:t>
            </w:r>
          </w:p>
        </w:tc>
        <w:tc>
          <w:tcPr>
            <w:tcW w:w="915" w:type="pct"/>
            <w:vMerge w:val="restart"/>
            <w:vAlign w:val="center"/>
          </w:tcPr>
          <w:p>
            <w:pPr>
              <w:widowControl/>
              <w:jc w:val="left"/>
              <w:rPr>
                <w:rFonts w:hint="eastAsia" w:ascii="仿宋_GB2312" w:hAnsi="仿宋_GB2312" w:eastAsia="仿宋_GB2312" w:cs="仿宋_GB2312"/>
                <w:bCs/>
                <w:szCs w:val="24"/>
              </w:rPr>
            </w:pPr>
            <w:r>
              <w:rPr>
                <w:rFonts w:hint="eastAsia" w:ascii="仿宋_GB2312" w:hAnsi="仿宋_GB2312" w:eastAsia="仿宋_GB2312" w:cs="仿宋_GB2312"/>
                <w:bCs/>
                <w:szCs w:val="24"/>
              </w:rPr>
              <w:t>第九十八条第一款第三项：“违反本条例规定，有下列行为之一的，由住房建设部门、消防救援机构按照各自职责责令停止施工、停止使用或者停产停业，并处三万元以上十万元以下罚款；情节严重的，由住房建设部门、消防救援机构按照各自职责责令停止施工、停止使用或者停产停业，并处十万元以上三十万元以下罚款：</w:t>
            </w:r>
          </w:p>
          <w:p>
            <w:pPr>
              <w:rPr>
                <w:rFonts w:hint="eastAsia" w:ascii="宋体" w:hAnsi="宋体" w:eastAsia="宋体" w:cs="黑体"/>
                <w:bCs/>
                <w:color w:val="000000"/>
              </w:rPr>
            </w:pPr>
            <w:r>
              <w:rPr>
                <w:rFonts w:hint="eastAsia" w:ascii="仿宋_GB2312" w:hAnsi="仿宋_GB2312" w:eastAsia="仿宋_GB2312" w:cs="仿宋_GB2312"/>
                <w:bCs/>
                <w:szCs w:val="24"/>
                <w:lang w:bidi="ar"/>
              </w:rPr>
              <w:t>（三）其他建设工程验收后经依法抽查不合格，未停止使用的。”</w:t>
            </w:r>
          </w:p>
        </w:tc>
        <w:tc>
          <w:tcPr>
            <w:tcW w:w="457"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bCs/>
                <w:color w:val="000000"/>
              </w:rPr>
              <w:t>罚款；责令停产停业</w:t>
            </w:r>
          </w:p>
          <w:p>
            <w:pPr>
              <w:jc w:val="center"/>
              <w:rPr>
                <w:rFonts w:hint="eastAsia" w:ascii="宋体" w:hAnsi="宋体" w:eastAsia="宋体" w:cs="黑体"/>
                <w:bCs/>
                <w:color w:val="000000"/>
              </w:rPr>
            </w:pPr>
          </w:p>
        </w:tc>
        <w:tc>
          <w:tcPr>
            <w:tcW w:w="406"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从轻</w:t>
            </w:r>
          </w:p>
        </w:tc>
        <w:tc>
          <w:tcPr>
            <w:tcW w:w="751"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color w:val="000000"/>
                <w:szCs w:val="24"/>
              </w:rPr>
              <w:t>未造成火灾责任事故，且未违反工程建设消防技术强制性标准的</w:t>
            </w:r>
          </w:p>
        </w:tc>
        <w:tc>
          <w:tcPr>
            <w:tcW w:w="999"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color w:val="000000"/>
                <w:kern w:val="0"/>
                <w:szCs w:val="21"/>
                <w:lang w:bidi="ar"/>
              </w:rPr>
              <w:t>责令停止施工、停止使用或者停产停业，并</w:t>
            </w:r>
            <w:r>
              <w:rPr>
                <w:rFonts w:hint="eastAsia" w:ascii="仿宋_GB2312" w:hAnsi="仿宋_GB2312" w:eastAsia="仿宋_GB2312" w:cs="仿宋_GB2312"/>
                <w:color w:val="000000"/>
                <w:spacing w:val="8"/>
                <w:szCs w:val="21"/>
              </w:rPr>
              <w:t>处三万元以上、低于六万五千元罚款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289" w:type="pct"/>
            <w:vMerge w:val="continue"/>
            <w:vAlign w:val="center"/>
          </w:tcPr>
          <w:p>
            <w:pPr>
              <w:rPr>
                <w:rFonts w:hint="eastAsia" w:ascii="宋体" w:hAnsi="宋体" w:eastAsia="宋体" w:cs="黑体"/>
                <w:bCs/>
                <w:color w:val="000000"/>
              </w:rPr>
            </w:pPr>
          </w:p>
        </w:tc>
        <w:tc>
          <w:tcPr>
            <w:tcW w:w="440" w:type="pct"/>
            <w:vMerge w:val="continue"/>
            <w:vAlign w:val="center"/>
          </w:tcPr>
          <w:p>
            <w:pPr>
              <w:rPr>
                <w:rFonts w:hint="eastAsia" w:ascii="宋体" w:hAnsi="宋体" w:eastAsia="宋体" w:cs="黑体"/>
                <w:bCs/>
                <w:color w:val="000000"/>
              </w:rPr>
            </w:pPr>
          </w:p>
        </w:tc>
        <w:tc>
          <w:tcPr>
            <w:tcW w:w="743" w:type="pct"/>
            <w:vMerge w:val="continue"/>
            <w:vAlign w:val="center"/>
          </w:tcPr>
          <w:p>
            <w:pPr>
              <w:rPr>
                <w:rFonts w:hint="eastAsia" w:ascii="宋体" w:hAnsi="宋体" w:eastAsia="宋体" w:cs="黑体"/>
                <w:bCs/>
                <w:color w:val="000000"/>
              </w:rPr>
            </w:pPr>
          </w:p>
        </w:tc>
        <w:tc>
          <w:tcPr>
            <w:tcW w:w="915"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57" w:type="pct"/>
            <w:vMerge w:val="continue"/>
            <w:vAlign w:val="center"/>
          </w:tcPr>
          <w:p>
            <w:pPr>
              <w:jc w:val="center"/>
              <w:rPr>
                <w:rFonts w:hint="eastAsia" w:ascii="宋体" w:hAnsi="宋体" w:eastAsia="宋体" w:cs="黑体"/>
                <w:bCs/>
                <w:color w:val="000000"/>
              </w:rPr>
            </w:pPr>
          </w:p>
        </w:tc>
        <w:tc>
          <w:tcPr>
            <w:tcW w:w="406"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一般</w:t>
            </w:r>
          </w:p>
        </w:tc>
        <w:tc>
          <w:tcPr>
            <w:tcW w:w="751"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color w:val="000000"/>
                <w:szCs w:val="24"/>
              </w:rPr>
              <w:t>未造成火灾责任事故，违反工程建设消防技术强制性标准的</w:t>
            </w:r>
          </w:p>
        </w:tc>
        <w:tc>
          <w:tcPr>
            <w:tcW w:w="999"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color w:val="000000"/>
                <w:kern w:val="0"/>
                <w:szCs w:val="21"/>
                <w:lang w:bidi="ar"/>
              </w:rPr>
              <w:t>责令停止施工、停止使用或者停产停业，并</w:t>
            </w:r>
            <w:r>
              <w:rPr>
                <w:rFonts w:hint="eastAsia" w:ascii="仿宋_GB2312" w:hAnsi="仿宋_GB2312" w:eastAsia="仿宋_GB2312" w:cs="仿宋_GB2312"/>
                <w:color w:val="000000"/>
                <w:spacing w:val="8"/>
                <w:szCs w:val="21"/>
              </w:rPr>
              <w:t>处六万五千元罚款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289" w:type="pct"/>
            <w:vMerge w:val="continue"/>
            <w:vAlign w:val="center"/>
          </w:tcPr>
          <w:p>
            <w:pPr>
              <w:rPr>
                <w:rFonts w:hint="eastAsia" w:ascii="宋体" w:hAnsi="宋体" w:eastAsia="宋体" w:cs="黑体"/>
                <w:bCs/>
                <w:color w:val="000000"/>
              </w:rPr>
            </w:pPr>
          </w:p>
        </w:tc>
        <w:tc>
          <w:tcPr>
            <w:tcW w:w="440" w:type="pct"/>
            <w:vMerge w:val="continue"/>
            <w:vAlign w:val="center"/>
          </w:tcPr>
          <w:p>
            <w:pPr>
              <w:rPr>
                <w:rFonts w:hint="eastAsia" w:ascii="宋体" w:hAnsi="宋体" w:eastAsia="宋体" w:cs="黑体"/>
                <w:bCs/>
                <w:color w:val="000000"/>
              </w:rPr>
            </w:pPr>
          </w:p>
        </w:tc>
        <w:tc>
          <w:tcPr>
            <w:tcW w:w="743" w:type="pct"/>
            <w:vMerge w:val="continue"/>
            <w:vAlign w:val="center"/>
          </w:tcPr>
          <w:p>
            <w:pPr>
              <w:rPr>
                <w:rFonts w:hint="eastAsia" w:ascii="宋体" w:hAnsi="宋体" w:eastAsia="宋体" w:cs="黑体"/>
                <w:bCs/>
                <w:color w:val="000000"/>
              </w:rPr>
            </w:pPr>
          </w:p>
        </w:tc>
        <w:tc>
          <w:tcPr>
            <w:tcW w:w="915"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57" w:type="pct"/>
            <w:vMerge w:val="continue"/>
            <w:vAlign w:val="center"/>
          </w:tcPr>
          <w:p>
            <w:pPr>
              <w:jc w:val="center"/>
              <w:rPr>
                <w:rFonts w:hint="eastAsia" w:ascii="宋体" w:hAnsi="宋体" w:eastAsia="宋体" w:cs="黑体"/>
                <w:bCs/>
                <w:color w:val="000000"/>
              </w:rPr>
            </w:pPr>
          </w:p>
        </w:tc>
        <w:tc>
          <w:tcPr>
            <w:tcW w:w="406"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从重</w:t>
            </w:r>
          </w:p>
        </w:tc>
        <w:tc>
          <w:tcPr>
            <w:tcW w:w="751"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color w:val="000000"/>
                <w:szCs w:val="24"/>
              </w:rPr>
              <w:t>存在火灾隐患，未造成火灾责任事故的，违反工程建设消防技术强制性标准的</w:t>
            </w:r>
          </w:p>
        </w:tc>
        <w:tc>
          <w:tcPr>
            <w:tcW w:w="999"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color w:val="000000"/>
                <w:kern w:val="0"/>
                <w:szCs w:val="21"/>
                <w:lang w:bidi="ar"/>
              </w:rPr>
              <w:t>责令停止施工、停止使用或者停产停业，</w:t>
            </w:r>
            <w:r>
              <w:rPr>
                <w:rFonts w:hint="eastAsia" w:ascii="仿宋_GB2312" w:hAnsi="仿宋_GB2312" w:eastAsia="仿宋_GB2312" w:cs="仿宋_GB2312"/>
                <w:szCs w:val="24"/>
              </w:rPr>
              <w:t>并处超过</w:t>
            </w:r>
            <w:r>
              <w:rPr>
                <w:rFonts w:hint="eastAsia" w:ascii="仿宋_GB2312" w:hAnsi="仿宋_GB2312" w:eastAsia="仿宋_GB2312" w:cs="仿宋_GB2312"/>
                <w:color w:val="000000"/>
                <w:spacing w:val="8"/>
                <w:szCs w:val="21"/>
              </w:rPr>
              <w:t>六万五千元</w:t>
            </w:r>
            <w:r>
              <w:rPr>
                <w:rFonts w:hint="eastAsia" w:ascii="仿宋_GB2312" w:hAnsi="仿宋_GB2312" w:eastAsia="仿宋_GB2312" w:cs="仿宋_GB2312"/>
                <w:szCs w:val="24"/>
              </w:rPr>
              <w:t>、十万元以下的罚款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289" w:type="pct"/>
            <w:vMerge w:val="continue"/>
            <w:vAlign w:val="center"/>
          </w:tcPr>
          <w:p>
            <w:pPr>
              <w:rPr>
                <w:rFonts w:hint="eastAsia" w:ascii="宋体" w:hAnsi="宋体" w:eastAsia="宋体" w:cs="黑体"/>
                <w:bCs/>
                <w:color w:val="000000"/>
              </w:rPr>
            </w:pPr>
          </w:p>
        </w:tc>
        <w:tc>
          <w:tcPr>
            <w:tcW w:w="440" w:type="pct"/>
            <w:vMerge w:val="continue"/>
            <w:vAlign w:val="center"/>
          </w:tcPr>
          <w:p>
            <w:pPr>
              <w:rPr>
                <w:rFonts w:hint="eastAsia" w:ascii="宋体" w:hAnsi="宋体" w:eastAsia="宋体" w:cs="黑体"/>
                <w:bCs/>
                <w:color w:val="000000"/>
              </w:rPr>
            </w:pPr>
          </w:p>
        </w:tc>
        <w:tc>
          <w:tcPr>
            <w:tcW w:w="743" w:type="pct"/>
            <w:vMerge w:val="continue"/>
            <w:vAlign w:val="center"/>
          </w:tcPr>
          <w:p>
            <w:pPr>
              <w:rPr>
                <w:rFonts w:hint="eastAsia" w:ascii="宋体" w:hAnsi="宋体" w:eastAsia="宋体" w:cs="黑体"/>
                <w:bCs/>
                <w:color w:val="000000"/>
              </w:rPr>
            </w:pPr>
          </w:p>
        </w:tc>
        <w:tc>
          <w:tcPr>
            <w:tcW w:w="915"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57" w:type="pct"/>
            <w:vMerge w:val="continue"/>
            <w:vAlign w:val="center"/>
          </w:tcPr>
          <w:p>
            <w:pPr>
              <w:jc w:val="center"/>
              <w:rPr>
                <w:rFonts w:hint="eastAsia" w:ascii="宋体" w:hAnsi="宋体" w:eastAsia="宋体" w:cs="黑体"/>
                <w:bCs/>
                <w:color w:val="000000"/>
              </w:rPr>
            </w:pPr>
          </w:p>
        </w:tc>
        <w:tc>
          <w:tcPr>
            <w:tcW w:w="406"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从轻</w:t>
            </w:r>
          </w:p>
        </w:tc>
        <w:tc>
          <w:tcPr>
            <w:tcW w:w="751"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1"/>
              </w:rPr>
              <w:t>造成</w:t>
            </w:r>
            <w:r>
              <w:rPr>
                <w:rFonts w:hint="eastAsia" w:ascii="仿宋_GB2312" w:hAnsi="仿宋_GB2312" w:eastAsia="仿宋_GB2312" w:cs="仿宋_GB2312"/>
                <w:color w:val="000000"/>
                <w:szCs w:val="24"/>
              </w:rPr>
              <w:t>重大火灾隐患</w:t>
            </w:r>
            <w:r>
              <w:rPr>
                <w:rFonts w:hint="eastAsia" w:ascii="仿宋_GB2312" w:hAnsi="仿宋_GB2312" w:eastAsia="仿宋_GB2312" w:cs="仿宋_GB2312"/>
                <w:szCs w:val="21"/>
              </w:rPr>
              <w:t>未造成</w:t>
            </w:r>
            <w:r>
              <w:rPr>
                <w:rFonts w:hint="eastAsia" w:ascii="仿宋_GB2312" w:hAnsi="仿宋_GB2312" w:eastAsia="仿宋_GB2312" w:cs="仿宋_GB2312"/>
                <w:color w:val="000000"/>
                <w:szCs w:val="24"/>
              </w:rPr>
              <w:t>火灾责任</w:t>
            </w:r>
            <w:r>
              <w:rPr>
                <w:rFonts w:hint="eastAsia" w:ascii="仿宋_GB2312" w:hAnsi="仿宋_GB2312" w:eastAsia="仿宋_GB2312" w:cs="仿宋_GB2312"/>
                <w:szCs w:val="21"/>
              </w:rPr>
              <w:t>事故的</w:t>
            </w:r>
          </w:p>
        </w:tc>
        <w:tc>
          <w:tcPr>
            <w:tcW w:w="999"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color w:val="000000"/>
                <w:kern w:val="0"/>
                <w:szCs w:val="21"/>
                <w:lang w:bidi="ar"/>
              </w:rPr>
              <w:t>责令停止施工、停止使用或者停产停业，</w:t>
            </w:r>
            <w:r>
              <w:rPr>
                <w:rFonts w:hint="eastAsia" w:ascii="仿宋_GB2312" w:hAnsi="仿宋_GB2312" w:eastAsia="仿宋_GB2312" w:cs="仿宋_GB2312"/>
                <w:szCs w:val="24"/>
              </w:rPr>
              <w:t>并处十万元以上、低于二十万元以下罚款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289" w:type="pct"/>
            <w:vMerge w:val="continue"/>
            <w:vAlign w:val="center"/>
          </w:tcPr>
          <w:p>
            <w:pPr>
              <w:rPr>
                <w:rFonts w:hint="eastAsia" w:ascii="宋体" w:hAnsi="宋体" w:eastAsia="宋体" w:cs="黑体"/>
                <w:bCs/>
                <w:color w:val="000000"/>
              </w:rPr>
            </w:pPr>
          </w:p>
        </w:tc>
        <w:tc>
          <w:tcPr>
            <w:tcW w:w="440" w:type="pct"/>
            <w:vMerge w:val="continue"/>
            <w:vAlign w:val="center"/>
          </w:tcPr>
          <w:p>
            <w:pPr>
              <w:rPr>
                <w:rFonts w:hint="eastAsia" w:ascii="宋体" w:hAnsi="宋体" w:eastAsia="宋体" w:cs="黑体"/>
                <w:bCs/>
                <w:color w:val="000000"/>
              </w:rPr>
            </w:pPr>
          </w:p>
        </w:tc>
        <w:tc>
          <w:tcPr>
            <w:tcW w:w="743" w:type="pct"/>
            <w:vMerge w:val="continue"/>
            <w:vAlign w:val="center"/>
          </w:tcPr>
          <w:p>
            <w:pPr>
              <w:rPr>
                <w:rFonts w:hint="eastAsia" w:ascii="宋体" w:hAnsi="宋体" w:eastAsia="宋体" w:cs="黑体"/>
                <w:bCs/>
                <w:color w:val="000000"/>
              </w:rPr>
            </w:pPr>
          </w:p>
        </w:tc>
        <w:tc>
          <w:tcPr>
            <w:tcW w:w="915"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57" w:type="pct"/>
            <w:vMerge w:val="continue"/>
            <w:vAlign w:val="center"/>
          </w:tcPr>
          <w:p>
            <w:pPr>
              <w:jc w:val="center"/>
              <w:rPr>
                <w:rFonts w:hint="eastAsia" w:ascii="宋体" w:hAnsi="宋体" w:eastAsia="宋体" w:cs="黑体"/>
                <w:bCs/>
                <w:color w:val="000000"/>
              </w:rPr>
            </w:pPr>
          </w:p>
        </w:tc>
        <w:tc>
          <w:tcPr>
            <w:tcW w:w="406"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一般</w:t>
            </w:r>
          </w:p>
        </w:tc>
        <w:tc>
          <w:tcPr>
            <w:tcW w:w="751"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1"/>
              </w:rPr>
              <w:t>造成一般</w:t>
            </w:r>
            <w:r>
              <w:rPr>
                <w:rFonts w:hint="eastAsia" w:ascii="仿宋_GB2312" w:hAnsi="仿宋_GB2312" w:eastAsia="仿宋_GB2312" w:cs="仿宋_GB2312"/>
                <w:color w:val="000000"/>
                <w:szCs w:val="24"/>
              </w:rPr>
              <w:t>火灾责任</w:t>
            </w:r>
            <w:r>
              <w:rPr>
                <w:rFonts w:hint="eastAsia" w:ascii="仿宋_GB2312" w:hAnsi="仿宋_GB2312" w:eastAsia="仿宋_GB2312" w:cs="仿宋_GB2312"/>
                <w:szCs w:val="21"/>
              </w:rPr>
              <w:t>事故的</w:t>
            </w:r>
          </w:p>
        </w:tc>
        <w:tc>
          <w:tcPr>
            <w:tcW w:w="999"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color w:val="000000"/>
                <w:kern w:val="0"/>
                <w:szCs w:val="21"/>
                <w:lang w:bidi="ar"/>
              </w:rPr>
              <w:t>责令停止施工、停止使用或者停产停业，并</w:t>
            </w:r>
            <w:r>
              <w:rPr>
                <w:rFonts w:hint="eastAsia" w:ascii="仿宋_GB2312" w:hAnsi="仿宋_GB2312" w:eastAsia="仿宋_GB2312" w:cs="仿宋_GB2312"/>
                <w:color w:val="000000"/>
                <w:spacing w:val="8"/>
                <w:szCs w:val="21"/>
              </w:rPr>
              <w:t>处二十万元罚款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289" w:type="pct"/>
            <w:vMerge w:val="continue"/>
            <w:vAlign w:val="center"/>
          </w:tcPr>
          <w:p>
            <w:pPr>
              <w:rPr>
                <w:rFonts w:hint="eastAsia" w:ascii="宋体" w:hAnsi="宋体" w:eastAsia="宋体" w:cs="黑体"/>
                <w:bCs/>
                <w:color w:val="000000"/>
              </w:rPr>
            </w:pPr>
          </w:p>
        </w:tc>
        <w:tc>
          <w:tcPr>
            <w:tcW w:w="440" w:type="pct"/>
            <w:vMerge w:val="continue"/>
            <w:vAlign w:val="center"/>
          </w:tcPr>
          <w:p>
            <w:pPr>
              <w:rPr>
                <w:rFonts w:hint="eastAsia" w:ascii="宋体" w:hAnsi="宋体" w:eastAsia="宋体" w:cs="黑体"/>
                <w:bCs/>
                <w:color w:val="000000"/>
              </w:rPr>
            </w:pPr>
          </w:p>
        </w:tc>
        <w:tc>
          <w:tcPr>
            <w:tcW w:w="743" w:type="pct"/>
            <w:vMerge w:val="continue"/>
            <w:vAlign w:val="center"/>
          </w:tcPr>
          <w:p>
            <w:pPr>
              <w:rPr>
                <w:rFonts w:hint="eastAsia" w:ascii="宋体" w:hAnsi="宋体" w:eastAsia="宋体" w:cs="黑体"/>
                <w:bCs/>
                <w:color w:val="000000"/>
              </w:rPr>
            </w:pPr>
          </w:p>
        </w:tc>
        <w:tc>
          <w:tcPr>
            <w:tcW w:w="915"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57" w:type="pct"/>
            <w:vMerge w:val="continue"/>
            <w:vAlign w:val="center"/>
          </w:tcPr>
          <w:p>
            <w:pPr>
              <w:jc w:val="center"/>
              <w:rPr>
                <w:rFonts w:hint="eastAsia" w:ascii="宋体" w:hAnsi="宋体" w:eastAsia="宋体" w:cs="黑体"/>
                <w:bCs/>
                <w:color w:val="000000"/>
              </w:rPr>
            </w:pPr>
          </w:p>
        </w:tc>
        <w:tc>
          <w:tcPr>
            <w:tcW w:w="406"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从重</w:t>
            </w:r>
          </w:p>
        </w:tc>
        <w:tc>
          <w:tcPr>
            <w:tcW w:w="751"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1"/>
              </w:rPr>
              <w:t>造成较大及以上</w:t>
            </w:r>
            <w:r>
              <w:rPr>
                <w:rFonts w:hint="eastAsia" w:ascii="仿宋_GB2312" w:hAnsi="仿宋_GB2312" w:eastAsia="仿宋_GB2312" w:cs="仿宋_GB2312"/>
                <w:color w:val="000000"/>
                <w:szCs w:val="24"/>
              </w:rPr>
              <w:t>火灾责任</w:t>
            </w:r>
            <w:r>
              <w:rPr>
                <w:rFonts w:hint="eastAsia" w:ascii="仿宋_GB2312" w:hAnsi="仿宋_GB2312" w:eastAsia="仿宋_GB2312" w:cs="仿宋_GB2312"/>
                <w:szCs w:val="21"/>
              </w:rPr>
              <w:t>事故的</w:t>
            </w:r>
          </w:p>
        </w:tc>
        <w:tc>
          <w:tcPr>
            <w:tcW w:w="999"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color w:val="000000"/>
                <w:kern w:val="0"/>
                <w:szCs w:val="21"/>
                <w:lang w:bidi="ar"/>
              </w:rPr>
              <w:t>责令停止施工、停止使用或者停产停业，</w:t>
            </w:r>
            <w:r>
              <w:rPr>
                <w:rFonts w:hint="eastAsia" w:ascii="仿宋_GB2312" w:hAnsi="仿宋_GB2312" w:eastAsia="仿宋_GB2312" w:cs="仿宋_GB2312"/>
                <w:szCs w:val="24"/>
              </w:rPr>
              <w:t>并处超过</w:t>
            </w:r>
            <w:r>
              <w:rPr>
                <w:rFonts w:hint="eastAsia" w:ascii="仿宋_GB2312" w:hAnsi="仿宋_GB2312" w:eastAsia="仿宋_GB2312" w:cs="仿宋_GB2312"/>
                <w:color w:val="000000"/>
                <w:spacing w:val="8"/>
                <w:szCs w:val="21"/>
              </w:rPr>
              <w:t>二十万元</w:t>
            </w:r>
            <w:r>
              <w:rPr>
                <w:rFonts w:hint="eastAsia" w:ascii="仿宋_GB2312" w:hAnsi="仿宋_GB2312" w:eastAsia="仿宋_GB2312" w:cs="仿宋_GB2312"/>
                <w:szCs w:val="24"/>
              </w:rPr>
              <w:t>、三十万元以下罚款</w:t>
            </w:r>
          </w:p>
        </w:tc>
      </w:tr>
    </w:tbl>
    <w:p>
      <w:pPr>
        <w:widowControl/>
        <w:jc w:val="left"/>
        <w:rPr>
          <w:rFonts w:hint="eastAsia" w:ascii="宋体" w:hAnsi="宋体" w:eastAsia="宋体" w:cs="Times New Roman"/>
          <w:bCs/>
          <w:sz w:val="32"/>
          <w:szCs w:val="32"/>
        </w:rPr>
      </w:pPr>
    </w:p>
    <w:p>
      <w:pPr>
        <w:widowControl/>
        <w:jc w:val="left"/>
        <w:rPr>
          <w:rFonts w:hint="eastAsia" w:ascii="宋体" w:hAnsi="宋体" w:eastAsia="宋体" w:cs="Times New Roman"/>
          <w:bCs/>
          <w:sz w:val="32"/>
          <w:szCs w:val="32"/>
        </w:rPr>
      </w:pPr>
      <w:r>
        <w:rPr>
          <w:rFonts w:hint="eastAsia" w:ascii="宋体" w:hAnsi="宋体" w:eastAsia="宋体" w:cs="Times New Roman"/>
          <w:bCs/>
          <w:sz w:val="32"/>
          <w:szCs w:val="32"/>
        </w:rPr>
        <w:t>《深圳经济特区消防条例》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55"/>
        <w:gridCol w:w="1225"/>
        <w:gridCol w:w="3232"/>
        <w:gridCol w:w="1525"/>
        <w:gridCol w:w="1270"/>
        <w:gridCol w:w="1205"/>
        <w:gridCol w:w="2336"/>
        <w:gridCol w:w="22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08" w:type="pct"/>
            <w:vAlign w:val="center"/>
          </w:tcPr>
          <w:p>
            <w:pPr>
              <w:jc w:val="center"/>
              <w:rPr>
                <w:rFonts w:hint="eastAsia" w:ascii="仿宋_GB2312" w:hAnsi="仿宋_GB2312" w:eastAsia="仿宋_GB2312" w:cs="仿宋_GB2312"/>
                <w:bCs/>
                <w:szCs w:val="24"/>
              </w:rPr>
            </w:pPr>
            <w:r>
              <w:rPr>
                <w:rFonts w:hint="eastAsia" w:ascii="仿宋_GB2312" w:hAnsi="仿宋_GB2312" w:eastAsia="仿宋_GB2312" w:cs="仿宋_GB2312"/>
                <w:b/>
              </w:rPr>
              <w:t>序号</w:t>
            </w:r>
          </w:p>
        </w:tc>
        <w:tc>
          <w:tcPr>
            <w:tcW w:w="432" w:type="pct"/>
            <w:vAlign w:val="center"/>
          </w:tcPr>
          <w:p>
            <w:pPr>
              <w:jc w:val="center"/>
              <w:rPr>
                <w:rFonts w:hint="eastAsia" w:ascii="仿宋_GB2312" w:hAnsi="仿宋_GB2312" w:eastAsia="仿宋_GB2312" w:cs="仿宋_GB2312"/>
                <w:bCs/>
                <w:szCs w:val="24"/>
              </w:rPr>
            </w:pPr>
            <w:r>
              <w:rPr>
                <w:rFonts w:hint="eastAsia" w:ascii="仿宋_GB2312" w:hAnsi="仿宋_GB2312" w:eastAsia="仿宋_GB2312" w:cs="仿宋_GB2312"/>
                <w:b/>
              </w:rPr>
              <w:t>违法行为</w:t>
            </w:r>
          </w:p>
        </w:tc>
        <w:tc>
          <w:tcPr>
            <w:tcW w:w="1140" w:type="pct"/>
            <w:vAlign w:val="center"/>
          </w:tcPr>
          <w:p>
            <w:pPr>
              <w:jc w:val="center"/>
              <w:rPr>
                <w:rFonts w:hint="eastAsia" w:ascii="仿宋_GB2312" w:hAnsi="仿宋_GB2312" w:eastAsia="仿宋_GB2312" w:cs="仿宋_GB2312"/>
                <w:bCs/>
                <w:szCs w:val="24"/>
                <w:lang w:val="en"/>
              </w:rPr>
            </w:pPr>
            <w:r>
              <w:rPr>
                <w:rFonts w:hint="eastAsia" w:ascii="仿宋_GB2312" w:hAnsi="仿宋_GB2312" w:eastAsia="仿宋_GB2312" w:cs="仿宋_GB2312"/>
                <w:b/>
                <w:lang w:val="en"/>
              </w:rPr>
              <w:t>违反条款</w:t>
            </w:r>
          </w:p>
        </w:tc>
        <w:tc>
          <w:tcPr>
            <w:tcW w:w="538" w:type="pct"/>
            <w:vAlign w:val="center"/>
          </w:tcPr>
          <w:p>
            <w:pPr>
              <w:jc w:val="center"/>
              <w:rPr>
                <w:rFonts w:hint="eastAsia" w:ascii="仿宋_GB2312" w:hAnsi="仿宋_GB2312" w:eastAsia="仿宋_GB2312" w:cs="仿宋_GB2312"/>
                <w:bCs/>
                <w:szCs w:val="24"/>
              </w:rPr>
            </w:pPr>
            <w:r>
              <w:rPr>
                <w:rFonts w:hint="eastAsia" w:ascii="仿宋_GB2312" w:hAnsi="仿宋_GB2312" w:eastAsia="仿宋_GB2312" w:cs="仿宋_GB2312"/>
                <w:b/>
              </w:rPr>
              <w:t>处罚依据</w:t>
            </w:r>
          </w:p>
        </w:tc>
        <w:tc>
          <w:tcPr>
            <w:tcW w:w="448" w:type="pct"/>
            <w:vAlign w:val="center"/>
          </w:tcPr>
          <w:p>
            <w:pPr>
              <w:jc w:val="center"/>
              <w:rPr>
                <w:rFonts w:hint="eastAsia" w:ascii="仿宋_GB2312" w:hAnsi="仿宋_GB2312" w:eastAsia="仿宋_GB2312" w:cs="仿宋_GB2312"/>
                <w:bCs/>
                <w:szCs w:val="24"/>
              </w:rPr>
            </w:pPr>
            <w:r>
              <w:rPr>
                <w:rFonts w:hint="eastAsia" w:ascii="仿宋_GB2312" w:hAnsi="仿宋_GB2312" w:eastAsia="仿宋_GB2312" w:cs="仿宋_GB2312"/>
                <w:b/>
              </w:rPr>
              <w:t>处罚种类</w:t>
            </w:r>
          </w:p>
        </w:tc>
        <w:tc>
          <w:tcPr>
            <w:tcW w:w="425" w:type="pct"/>
            <w:vAlign w:val="center"/>
          </w:tcPr>
          <w:p>
            <w:pPr>
              <w:jc w:val="center"/>
              <w:rPr>
                <w:rFonts w:hint="eastAsia" w:ascii="仿宋_GB2312" w:hAnsi="仿宋_GB2312" w:eastAsia="仿宋_GB2312" w:cs="仿宋_GB2312"/>
                <w:bCs/>
                <w:szCs w:val="24"/>
              </w:rPr>
            </w:pPr>
            <w:r>
              <w:rPr>
                <w:rFonts w:hint="eastAsia" w:ascii="仿宋_GB2312" w:hAnsi="仿宋_GB2312" w:eastAsia="仿宋_GB2312" w:cs="仿宋_GB2312"/>
                <w:b/>
              </w:rPr>
              <w:t>裁量阶次</w:t>
            </w:r>
          </w:p>
        </w:tc>
        <w:tc>
          <w:tcPr>
            <w:tcW w:w="824" w:type="pct"/>
            <w:vAlign w:val="center"/>
          </w:tcPr>
          <w:p>
            <w:pPr>
              <w:jc w:val="center"/>
              <w:rPr>
                <w:rFonts w:hint="eastAsia" w:ascii="仿宋_GB2312" w:hAnsi="仿宋_GB2312" w:eastAsia="仿宋_GB2312" w:cs="仿宋_GB2312"/>
                <w:bCs/>
                <w:szCs w:val="24"/>
              </w:rPr>
            </w:pPr>
            <w:r>
              <w:rPr>
                <w:rFonts w:hint="eastAsia" w:ascii="仿宋_GB2312" w:hAnsi="仿宋_GB2312" w:eastAsia="仿宋_GB2312" w:cs="仿宋_GB2312"/>
                <w:b/>
              </w:rPr>
              <w:t>适用条件</w:t>
            </w:r>
          </w:p>
        </w:tc>
        <w:tc>
          <w:tcPr>
            <w:tcW w:w="785" w:type="pct"/>
            <w:vAlign w:val="center"/>
          </w:tcPr>
          <w:p>
            <w:pPr>
              <w:jc w:val="center"/>
              <w:rPr>
                <w:rFonts w:hint="eastAsia" w:ascii="仿宋_GB2312" w:hAnsi="仿宋_GB2312" w:eastAsia="仿宋_GB2312" w:cs="仿宋_GB2312"/>
                <w:bCs/>
                <w:szCs w:val="24"/>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08" w:type="pct"/>
            <w:vMerge w:val="restart"/>
            <w:vAlign w:val="center"/>
          </w:tcPr>
          <w:p>
            <w:pPr>
              <w:jc w:val="center"/>
              <w:rPr>
                <w:rFonts w:hint="eastAsia" w:ascii="仿宋_GB2312" w:hAnsi="仿宋_GB2312" w:eastAsia="仿宋_GB2312" w:cs="仿宋_GB2312"/>
                <w:bCs/>
                <w:szCs w:val="24"/>
                <w:lang w:val="en"/>
              </w:rPr>
            </w:pPr>
            <w:r>
              <w:rPr>
                <w:rFonts w:hint="eastAsia" w:ascii="仿宋_GB2312" w:hAnsi="仿宋_GB2312" w:eastAsia="仿宋_GB2312" w:cs="仿宋_GB2312"/>
                <w:bCs/>
                <w:szCs w:val="24"/>
              </w:rPr>
              <w:t>110.</w:t>
            </w:r>
            <w:r>
              <w:rPr>
                <w:rFonts w:hint="eastAsia" w:ascii="仿宋_GB2312" w:hAnsi="仿宋_GB2312" w:eastAsia="仿宋_GB2312" w:cs="仿宋_GB2312"/>
                <w:bCs/>
                <w:szCs w:val="24"/>
                <w:lang w:val="en"/>
              </w:rPr>
              <w:t>4</w:t>
            </w:r>
          </w:p>
        </w:tc>
        <w:tc>
          <w:tcPr>
            <w:tcW w:w="432" w:type="pct"/>
            <w:vMerge w:val="restart"/>
            <w:vAlign w:val="center"/>
          </w:tcPr>
          <w:p>
            <w:pPr>
              <w:rPr>
                <w:rFonts w:hint="eastAsia" w:ascii="仿宋_GB2312" w:hAnsi="仿宋_GB2312" w:eastAsia="仿宋_GB2312" w:cs="仿宋_GB2312"/>
                <w:bCs/>
                <w:szCs w:val="24"/>
              </w:rPr>
            </w:pPr>
            <w:r>
              <w:rPr>
                <w:rFonts w:hint="eastAsia" w:ascii="仿宋_GB2312" w:hAnsi="仿宋_GB2312" w:eastAsia="仿宋_GB2312" w:cs="仿宋_GB2312"/>
                <w:color w:val="000000"/>
                <w:szCs w:val="24"/>
              </w:rPr>
              <w:t>建设单位未按照有关规定在验收后报住房建设部门竣工验收消防备案的</w:t>
            </w:r>
          </w:p>
        </w:tc>
        <w:tc>
          <w:tcPr>
            <w:tcW w:w="1140" w:type="pct"/>
            <w:vMerge w:val="restart"/>
            <w:vAlign w:val="center"/>
          </w:tcPr>
          <w:p>
            <w:pPr>
              <w:rPr>
                <w:rFonts w:hint="eastAsia" w:ascii="仿宋_GB2312" w:hAnsi="仿宋_GB2312" w:eastAsia="仿宋_GB2312" w:cs="仿宋_GB2312"/>
                <w:bCs/>
                <w:color w:val="000000"/>
                <w:szCs w:val="24"/>
              </w:rPr>
            </w:pPr>
            <w:r>
              <w:rPr>
                <w:rFonts w:hint="eastAsia" w:ascii="仿宋_GB2312" w:hAnsi="仿宋_GB2312" w:eastAsia="仿宋_GB2312" w:cs="仿宋_GB2312"/>
                <w:bCs/>
                <w:color w:val="000000"/>
                <w:szCs w:val="24"/>
              </w:rPr>
              <w:t>第二十九条：“建设工程的消防设计、施工必须符合国家工程建设消防技术标准。建设单位依法对建设工程消防设计、施工质量负首要责任。设计、施工、工程监理、技术服务等单位依法对建设工程消防设计、施工质量负主体责任。建设、设计、施工、工程监理、技术服务等单位的从业人员依法对建设工程消防设计、施工质量承担相应的个人责任。”</w:t>
            </w:r>
          </w:p>
          <w:p>
            <w:pPr>
              <w:rPr>
                <w:rFonts w:hint="eastAsia" w:ascii="仿宋_GB2312" w:hAnsi="仿宋_GB2312" w:eastAsia="仿宋_GB2312" w:cs="仿宋_GB2312"/>
                <w:bCs/>
                <w:szCs w:val="24"/>
              </w:rPr>
            </w:pPr>
          </w:p>
        </w:tc>
        <w:tc>
          <w:tcPr>
            <w:tcW w:w="538" w:type="pct"/>
            <w:vMerge w:val="restart"/>
            <w:vAlign w:val="center"/>
          </w:tcPr>
          <w:p>
            <w:pPr>
              <w:widowControl/>
              <w:jc w:val="left"/>
              <w:rPr>
                <w:rFonts w:hint="eastAsia" w:ascii="仿宋_GB2312" w:hAnsi="仿宋_GB2312" w:eastAsia="仿宋_GB2312" w:cs="仿宋_GB2312"/>
                <w:bCs/>
                <w:szCs w:val="24"/>
              </w:rPr>
            </w:pPr>
            <w:r>
              <w:rPr>
                <w:rFonts w:hint="eastAsia" w:ascii="仿宋_GB2312" w:hAnsi="仿宋_GB2312" w:eastAsia="仿宋_GB2312" w:cs="仿宋_GB2312"/>
                <w:bCs/>
                <w:szCs w:val="24"/>
              </w:rPr>
              <w:t>第九十八条第三款：“</w:t>
            </w:r>
            <w:r>
              <w:rPr>
                <w:rFonts w:hint="eastAsia" w:ascii="仿宋_GB2312" w:hAnsi="仿宋_GB2312" w:eastAsia="仿宋_GB2312" w:cs="仿宋_GB2312"/>
                <w:bCs/>
                <w:szCs w:val="24"/>
                <w:lang w:bidi="ar"/>
              </w:rPr>
              <w:t>建设单位未按照有关规定在验收后报住房建设部门竣工验收消防备案的，由住房建设部门责令改正，处五千元以下罚款。”</w:t>
            </w:r>
          </w:p>
        </w:tc>
        <w:tc>
          <w:tcPr>
            <w:tcW w:w="448" w:type="pct"/>
            <w:vMerge w:val="restart"/>
            <w:vAlign w:val="center"/>
          </w:tcPr>
          <w:p>
            <w:pPr>
              <w:jc w:val="center"/>
              <w:rPr>
                <w:rFonts w:hint="eastAsia" w:ascii="仿宋_GB2312" w:hAnsi="仿宋_GB2312" w:eastAsia="仿宋_GB2312" w:cs="仿宋_GB2312"/>
                <w:bCs/>
                <w:szCs w:val="24"/>
              </w:rPr>
            </w:pPr>
            <w:r>
              <w:rPr>
                <w:rFonts w:hint="eastAsia" w:ascii="仿宋_GB2312" w:hAnsi="仿宋_GB2312" w:eastAsia="仿宋_GB2312" w:cs="仿宋_GB2312"/>
                <w:bCs/>
                <w:szCs w:val="24"/>
              </w:rPr>
              <w:t>罚款</w:t>
            </w:r>
          </w:p>
        </w:tc>
        <w:tc>
          <w:tcPr>
            <w:tcW w:w="425" w:type="pct"/>
            <w:vAlign w:val="center"/>
          </w:tcPr>
          <w:p>
            <w:pPr>
              <w:jc w:val="center"/>
              <w:rPr>
                <w:rFonts w:hint="eastAsia" w:ascii="仿宋_GB2312" w:hAnsi="仿宋_GB2312" w:eastAsia="仿宋_GB2312" w:cs="仿宋_GB2312"/>
                <w:bCs/>
                <w:szCs w:val="24"/>
              </w:rPr>
            </w:pPr>
            <w:r>
              <w:rPr>
                <w:rFonts w:hint="eastAsia" w:ascii="仿宋_GB2312" w:hAnsi="仿宋_GB2312" w:eastAsia="仿宋_GB2312" w:cs="仿宋_GB2312"/>
                <w:bCs/>
                <w:color w:val="000000"/>
                <w:kern w:val="0"/>
                <w:szCs w:val="21"/>
              </w:rPr>
              <w:t>从轻</w:t>
            </w:r>
          </w:p>
        </w:tc>
        <w:tc>
          <w:tcPr>
            <w:tcW w:w="824" w:type="pct"/>
            <w:vAlign w:val="center"/>
          </w:tcPr>
          <w:p>
            <w:pPr>
              <w:rPr>
                <w:rFonts w:hint="eastAsia" w:ascii="仿宋_GB2312" w:hAnsi="仿宋_GB2312" w:eastAsia="仿宋_GB2312" w:cs="仿宋_GB2312"/>
                <w:bCs/>
                <w:szCs w:val="24"/>
              </w:rPr>
            </w:pPr>
            <w:r>
              <w:rPr>
                <w:rFonts w:hint="eastAsia" w:ascii="仿宋_GB2312" w:hAnsi="仿宋_GB2312" w:eastAsia="仿宋_GB2312" w:cs="仿宋_GB2312"/>
                <w:bCs/>
                <w:color w:val="000000"/>
                <w:szCs w:val="24"/>
              </w:rPr>
              <w:t>限期内改正的</w:t>
            </w:r>
          </w:p>
        </w:tc>
        <w:tc>
          <w:tcPr>
            <w:tcW w:w="785" w:type="pct"/>
            <w:vAlign w:val="center"/>
          </w:tcPr>
          <w:p>
            <w:pPr>
              <w:widowControl/>
              <w:rPr>
                <w:rFonts w:hint="eastAsia" w:ascii="仿宋_GB2312" w:hAnsi="仿宋_GB2312" w:eastAsia="仿宋_GB2312" w:cs="仿宋_GB2312"/>
                <w:bCs/>
                <w:szCs w:val="24"/>
              </w:rPr>
            </w:pPr>
            <w:r>
              <w:rPr>
                <w:rFonts w:hint="eastAsia" w:ascii="仿宋_GB2312" w:hAnsi="仿宋_GB2312" w:eastAsia="仿宋_GB2312" w:cs="仿宋_GB2312"/>
                <w:bCs/>
                <w:color w:val="000000"/>
                <w:spacing w:val="8"/>
                <w:szCs w:val="21"/>
              </w:rPr>
              <w:t>责令改正，处一千元罚款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08" w:type="pct"/>
            <w:vMerge w:val="continue"/>
          </w:tcPr>
          <w:p>
            <w:pPr>
              <w:rPr>
                <w:rFonts w:hint="eastAsia" w:ascii="仿宋_GB2312" w:hAnsi="仿宋_GB2312" w:eastAsia="仿宋_GB2312" w:cs="仿宋_GB2312"/>
                <w:bCs/>
                <w:szCs w:val="24"/>
              </w:rPr>
            </w:pPr>
          </w:p>
        </w:tc>
        <w:tc>
          <w:tcPr>
            <w:tcW w:w="432" w:type="pct"/>
            <w:vMerge w:val="continue"/>
          </w:tcPr>
          <w:p>
            <w:pPr>
              <w:rPr>
                <w:rFonts w:hint="eastAsia" w:ascii="仿宋_GB2312" w:hAnsi="仿宋_GB2312" w:eastAsia="仿宋_GB2312" w:cs="仿宋_GB2312"/>
                <w:bCs/>
                <w:szCs w:val="24"/>
              </w:rPr>
            </w:pPr>
          </w:p>
        </w:tc>
        <w:tc>
          <w:tcPr>
            <w:tcW w:w="1140" w:type="pct"/>
            <w:vMerge w:val="continue"/>
          </w:tcPr>
          <w:p>
            <w:pPr>
              <w:rPr>
                <w:rFonts w:hint="eastAsia" w:ascii="仿宋_GB2312" w:hAnsi="仿宋_GB2312" w:eastAsia="仿宋_GB2312" w:cs="仿宋_GB2312"/>
                <w:bCs/>
                <w:szCs w:val="24"/>
              </w:rPr>
            </w:pPr>
          </w:p>
        </w:tc>
        <w:tc>
          <w:tcPr>
            <w:tcW w:w="538" w:type="pct"/>
            <w:vMerge w:val="continue"/>
          </w:tcPr>
          <w:p>
            <w:pPr>
              <w:rPr>
                <w:rFonts w:hint="eastAsia" w:ascii="仿宋_GB2312" w:hAnsi="仿宋_GB2312" w:eastAsia="仿宋_GB2312" w:cs="仿宋_GB2312"/>
                <w:bCs/>
                <w:szCs w:val="24"/>
              </w:rPr>
            </w:pPr>
          </w:p>
        </w:tc>
        <w:tc>
          <w:tcPr>
            <w:tcW w:w="448" w:type="pct"/>
            <w:vMerge w:val="continue"/>
            <w:vAlign w:val="center"/>
          </w:tcPr>
          <w:p>
            <w:pPr>
              <w:jc w:val="center"/>
              <w:rPr>
                <w:rFonts w:hint="eastAsia" w:ascii="仿宋_GB2312" w:hAnsi="仿宋_GB2312" w:eastAsia="仿宋_GB2312" w:cs="仿宋_GB2312"/>
                <w:bCs/>
                <w:szCs w:val="24"/>
              </w:rPr>
            </w:pPr>
          </w:p>
        </w:tc>
        <w:tc>
          <w:tcPr>
            <w:tcW w:w="425" w:type="pct"/>
            <w:vAlign w:val="center"/>
          </w:tcPr>
          <w:p>
            <w:pPr>
              <w:jc w:val="center"/>
              <w:rPr>
                <w:rFonts w:hint="eastAsia" w:ascii="仿宋_GB2312" w:hAnsi="仿宋_GB2312" w:eastAsia="仿宋_GB2312" w:cs="仿宋_GB2312"/>
                <w:bCs/>
                <w:szCs w:val="24"/>
              </w:rPr>
            </w:pPr>
            <w:r>
              <w:rPr>
                <w:rFonts w:hint="eastAsia" w:ascii="仿宋_GB2312" w:hAnsi="仿宋_GB2312" w:eastAsia="仿宋_GB2312" w:cs="仿宋_GB2312"/>
                <w:bCs/>
                <w:color w:val="000000"/>
                <w:kern w:val="0"/>
                <w:szCs w:val="21"/>
              </w:rPr>
              <w:t>一般</w:t>
            </w:r>
          </w:p>
        </w:tc>
        <w:tc>
          <w:tcPr>
            <w:tcW w:w="824" w:type="pct"/>
            <w:vAlign w:val="center"/>
          </w:tcPr>
          <w:p>
            <w:pPr>
              <w:widowControl/>
              <w:rPr>
                <w:rFonts w:hint="eastAsia" w:ascii="仿宋_GB2312" w:hAnsi="仿宋_GB2312" w:eastAsia="仿宋_GB2312" w:cs="仿宋_GB2312"/>
                <w:bCs/>
                <w:szCs w:val="24"/>
              </w:rPr>
            </w:pPr>
            <w:r>
              <w:rPr>
                <w:rFonts w:hint="eastAsia" w:ascii="仿宋_GB2312" w:hAnsi="仿宋_GB2312" w:eastAsia="仿宋_GB2312" w:cs="仿宋_GB2312"/>
                <w:bCs/>
                <w:color w:val="000000"/>
                <w:szCs w:val="24"/>
              </w:rPr>
              <w:t>限期内</w:t>
            </w:r>
            <w:r>
              <w:rPr>
                <w:rFonts w:hint="eastAsia" w:ascii="仿宋_GB2312" w:hAnsi="仿宋_GB2312" w:eastAsia="仿宋_GB2312" w:cs="仿宋_GB2312"/>
                <w:bCs/>
                <w:color w:val="000000"/>
              </w:rPr>
              <w:t>未改正</w:t>
            </w:r>
            <w:r>
              <w:rPr>
                <w:rFonts w:hint="eastAsia" w:ascii="仿宋_GB2312" w:hAnsi="仿宋_GB2312" w:eastAsia="仿宋_GB2312" w:cs="仿宋_GB2312"/>
                <w:bCs/>
                <w:color w:val="000000"/>
                <w:kern w:val="0"/>
                <w:szCs w:val="21"/>
              </w:rPr>
              <w:t>，</w:t>
            </w:r>
            <w:r>
              <w:rPr>
                <w:rFonts w:hint="eastAsia" w:ascii="仿宋_GB2312" w:hAnsi="仿宋_GB2312" w:eastAsia="仿宋_GB2312" w:cs="仿宋_GB2312"/>
                <w:bCs/>
                <w:color w:val="000000"/>
              </w:rPr>
              <w:t>逾期少于十五日改正的</w:t>
            </w:r>
          </w:p>
        </w:tc>
        <w:tc>
          <w:tcPr>
            <w:tcW w:w="785" w:type="pct"/>
            <w:vAlign w:val="center"/>
          </w:tcPr>
          <w:p>
            <w:pPr>
              <w:widowControl/>
              <w:rPr>
                <w:rFonts w:hint="eastAsia" w:ascii="仿宋_GB2312" w:hAnsi="仿宋_GB2312" w:eastAsia="仿宋_GB2312" w:cs="仿宋_GB2312"/>
                <w:bCs/>
                <w:szCs w:val="24"/>
              </w:rPr>
            </w:pPr>
            <w:r>
              <w:rPr>
                <w:rFonts w:hint="eastAsia" w:ascii="仿宋_GB2312" w:hAnsi="仿宋_GB2312" w:eastAsia="仿宋_GB2312" w:cs="仿宋_GB2312"/>
                <w:bCs/>
                <w:color w:val="000000"/>
                <w:spacing w:val="8"/>
                <w:szCs w:val="21"/>
              </w:rPr>
              <w:t>责令改正，处二千五百元罚款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08" w:type="pct"/>
            <w:vMerge w:val="continue"/>
          </w:tcPr>
          <w:p>
            <w:pPr>
              <w:rPr>
                <w:rFonts w:hint="eastAsia" w:ascii="仿宋_GB2312" w:hAnsi="仿宋_GB2312" w:eastAsia="仿宋_GB2312" w:cs="仿宋_GB2312"/>
                <w:bCs/>
                <w:szCs w:val="24"/>
              </w:rPr>
            </w:pPr>
          </w:p>
        </w:tc>
        <w:tc>
          <w:tcPr>
            <w:tcW w:w="432" w:type="pct"/>
            <w:vMerge w:val="continue"/>
          </w:tcPr>
          <w:p>
            <w:pPr>
              <w:rPr>
                <w:rFonts w:hint="eastAsia" w:ascii="仿宋_GB2312" w:hAnsi="仿宋_GB2312" w:eastAsia="仿宋_GB2312" w:cs="仿宋_GB2312"/>
                <w:bCs/>
                <w:szCs w:val="24"/>
              </w:rPr>
            </w:pPr>
          </w:p>
        </w:tc>
        <w:tc>
          <w:tcPr>
            <w:tcW w:w="1140" w:type="pct"/>
            <w:vMerge w:val="continue"/>
          </w:tcPr>
          <w:p>
            <w:pPr>
              <w:rPr>
                <w:rFonts w:hint="eastAsia" w:ascii="仿宋_GB2312" w:hAnsi="仿宋_GB2312" w:eastAsia="仿宋_GB2312" w:cs="仿宋_GB2312"/>
                <w:bCs/>
                <w:szCs w:val="24"/>
              </w:rPr>
            </w:pPr>
          </w:p>
        </w:tc>
        <w:tc>
          <w:tcPr>
            <w:tcW w:w="538" w:type="pct"/>
            <w:vMerge w:val="continue"/>
          </w:tcPr>
          <w:p>
            <w:pPr>
              <w:rPr>
                <w:rFonts w:hint="eastAsia" w:ascii="仿宋_GB2312" w:hAnsi="仿宋_GB2312" w:eastAsia="仿宋_GB2312" w:cs="仿宋_GB2312"/>
                <w:bCs/>
                <w:szCs w:val="24"/>
              </w:rPr>
            </w:pPr>
          </w:p>
        </w:tc>
        <w:tc>
          <w:tcPr>
            <w:tcW w:w="448" w:type="pct"/>
            <w:vMerge w:val="continue"/>
            <w:vAlign w:val="center"/>
          </w:tcPr>
          <w:p>
            <w:pPr>
              <w:jc w:val="center"/>
              <w:rPr>
                <w:rFonts w:hint="eastAsia" w:ascii="仿宋_GB2312" w:hAnsi="仿宋_GB2312" w:eastAsia="仿宋_GB2312" w:cs="仿宋_GB2312"/>
                <w:bCs/>
                <w:szCs w:val="24"/>
              </w:rPr>
            </w:pPr>
          </w:p>
        </w:tc>
        <w:tc>
          <w:tcPr>
            <w:tcW w:w="425" w:type="pct"/>
            <w:vAlign w:val="center"/>
          </w:tcPr>
          <w:p>
            <w:pPr>
              <w:jc w:val="center"/>
              <w:rPr>
                <w:rFonts w:hint="eastAsia" w:ascii="仿宋_GB2312" w:hAnsi="仿宋_GB2312" w:eastAsia="仿宋_GB2312" w:cs="仿宋_GB2312"/>
                <w:bCs/>
                <w:szCs w:val="24"/>
              </w:rPr>
            </w:pPr>
            <w:r>
              <w:rPr>
                <w:rFonts w:hint="eastAsia" w:ascii="仿宋_GB2312" w:hAnsi="仿宋_GB2312" w:eastAsia="仿宋_GB2312" w:cs="仿宋_GB2312"/>
                <w:bCs/>
                <w:color w:val="000000"/>
                <w:kern w:val="0"/>
                <w:szCs w:val="21"/>
              </w:rPr>
              <w:t>从重</w:t>
            </w:r>
          </w:p>
        </w:tc>
        <w:tc>
          <w:tcPr>
            <w:tcW w:w="824" w:type="pct"/>
            <w:vAlign w:val="center"/>
          </w:tcPr>
          <w:p>
            <w:pPr>
              <w:rPr>
                <w:rFonts w:hint="eastAsia" w:ascii="仿宋_GB2312" w:hAnsi="仿宋_GB2312" w:eastAsia="仿宋_GB2312" w:cs="仿宋_GB2312"/>
                <w:bCs/>
                <w:szCs w:val="24"/>
              </w:rPr>
            </w:pPr>
            <w:r>
              <w:rPr>
                <w:rFonts w:hint="eastAsia" w:ascii="仿宋_GB2312" w:hAnsi="仿宋_GB2312" w:eastAsia="仿宋_GB2312" w:cs="仿宋_GB2312"/>
                <w:bCs/>
                <w:color w:val="000000"/>
                <w:szCs w:val="24"/>
              </w:rPr>
              <w:t>限期内未改正，逾期十五日以上改正的</w:t>
            </w:r>
          </w:p>
        </w:tc>
        <w:tc>
          <w:tcPr>
            <w:tcW w:w="785" w:type="pct"/>
            <w:vAlign w:val="center"/>
          </w:tcPr>
          <w:p>
            <w:pPr>
              <w:widowControl/>
              <w:rPr>
                <w:rFonts w:hint="eastAsia" w:ascii="仿宋_GB2312" w:hAnsi="仿宋_GB2312" w:eastAsia="仿宋_GB2312" w:cs="仿宋_GB2312"/>
                <w:bCs/>
                <w:szCs w:val="24"/>
              </w:rPr>
            </w:pPr>
            <w:r>
              <w:rPr>
                <w:rFonts w:hint="eastAsia" w:ascii="仿宋_GB2312" w:hAnsi="仿宋_GB2312" w:eastAsia="仿宋_GB2312" w:cs="仿宋_GB2312"/>
                <w:bCs/>
                <w:color w:val="000000"/>
                <w:spacing w:val="8"/>
                <w:szCs w:val="21"/>
              </w:rPr>
              <w:t>责令改正，处超过二千五百元、五千元以下罚款</w:t>
            </w:r>
          </w:p>
        </w:tc>
      </w:tr>
    </w:tbl>
    <w:p>
      <w:pPr>
        <w:widowControl/>
        <w:jc w:val="left"/>
        <w:rPr>
          <w:rFonts w:hint="eastAsia" w:ascii="宋体" w:hAnsi="宋体" w:eastAsia="宋体" w:cs="Times New Roman"/>
          <w:bCs/>
          <w:sz w:val="32"/>
          <w:szCs w:val="32"/>
        </w:rPr>
      </w:pPr>
      <w:r>
        <w:rPr>
          <w:rFonts w:hint="eastAsia" w:ascii="宋体" w:hAnsi="宋体" w:eastAsia="宋体" w:cs="Times New Roman"/>
          <w:bCs/>
          <w:sz w:val="32"/>
          <w:szCs w:val="32"/>
        </w:rPr>
        <w:t>《深圳经济特区消防条例》</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54"/>
        <w:gridCol w:w="1261"/>
        <w:gridCol w:w="1871"/>
        <w:gridCol w:w="2157"/>
        <w:gridCol w:w="1154"/>
        <w:gridCol w:w="1154"/>
        <w:gridCol w:w="1585"/>
        <w:gridCol w:w="423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66"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序号</w:t>
            </w:r>
          </w:p>
        </w:tc>
        <w:tc>
          <w:tcPr>
            <w:tcW w:w="445"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660"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761"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407"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407"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55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1495"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3" w:hRule="atLeast"/>
          <w:jc w:val="center"/>
        </w:trPr>
        <w:tc>
          <w:tcPr>
            <w:tcW w:w="266" w:type="pct"/>
            <w:vMerge w:val="restart"/>
            <w:vAlign w:val="center"/>
          </w:tcPr>
          <w:p>
            <w:pPr>
              <w:jc w:val="center"/>
              <w:rPr>
                <w:rFonts w:hint="eastAsia" w:ascii="宋体" w:hAnsi="宋体" w:eastAsia="宋体" w:cs="黑体"/>
                <w:bCs/>
                <w:color w:val="000000"/>
                <w:kern w:val="0"/>
                <w:szCs w:val="21"/>
                <w:lang w:val="en"/>
              </w:rPr>
            </w:pPr>
            <w:r>
              <w:rPr>
                <w:rFonts w:hint="eastAsia" w:ascii="仿宋_GB2312" w:hAnsi="仿宋_GB2312" w:eastAsia="仿宋_GB2312" w:cs="仿宋_GB2312"/>
                <w:bCs/>
                <w:szCs w:val="24"/>
              </w:rPr>
              <w:t>110.</w:t>
            </w:r>
            <w:r>
              <w:rPr>
                <w:rFonts w:hint="eastAsia" w:ascii="仿宋_GB2312" w:hAnsi="仿宋_GB2312" w:eastAsia="仿宋_GB2312" w:cs="仿宋_GB2312"/>
                <w:bCs/>
                <w:szCs w:val="24"/>
                <w:lang w:val="en"/>
              </w:rPr>
              <w:t>5</w:t>
            </w:r>
          </w:p>
        </w:tc>
        <w:tc>
          <w:tcPr>
            <w:tcW w:w="445" w:type="pct"/>
            <w:vMerge w:val="restart"/>
            <w:vAlign w:val="center"/>
          </w:tcPr>
          <w:p>
            <w:pPr>
              <w:rPr>
                <w:rFonts w:hint="eastAsia" w:ascii="宋体" w:hAnsi="宋体" w:eastAsia="宋体" w:cs="黑体"/>
                <w:bCs/>
                <w:color w:val="000000"/>
                <w:szCs w:val="21"/>
              </w:rPr>
            </w:pPr>
            <w:r>
              <w:rPr>
                <w:rFonts w:hint="eastAsia" w:ascii="仿宋_GB2312" w:hAnsi="仿宋_GB2312" w:eastAsia="仿宋_GB2312" w:cs="仿宋_GB2312"/>
                <w:color w:val="000000"/>
                <w:szCs w:val="24"/>
              </w:rPr>
              <w:t>建设单位要求建筑设计单位或者建筑施工企业降低消防技术标准设计、施工的</w:t>
            </w:r>
          </w:p>
        </w:tc>
        <w:tc>
          <w:tcPr>
            <w:tcW w:w="660" w:type="pct"/>
            <w:vMerge w:val="restart"/>
            <w:vAlign w:val="center"/>
          </w:tcPr>
          <w:p>
            <w:pPr>
              <w:rPr>
                <w:rFonts w:hint="eastAsia" w:ascii="宋体" w:hAnsi="宋体" w:eastAsia="宋体" w:cs="黑体"/>
                <w:bCs/>
                <w:color w:val="000000"/>
              </w:rPr>
            </w:pPr>
            <w:r>
              <w:rPr>
                <w:rFonts w:hint="eastAsia" w:ascii="仿宋_GB2312" w:hAnsi="仿宋_GB2312" w:eastAsia="仿宋_GB2312" w:cs="仿宋_GB2312"/>
                <w:bCs/>
                <w:color w:val="000000"/>
                <w:szCs w:val="24"/>
              </w:rPr>
              <w:t>第二十九条：“建设工程的消防设计、施工必须符合国家工程建设消防技术标准。建设单位依法对建设工程消防设计、施工质量负首要责任。设计、施工、工程监理、技术服务等单位依法对建设工程消防设计、施工质量负主体责任。建设、设计、施工、工程监理、技术服务等单位的从业人员依法对建设工程消防设计、施工质量承担相应的个人责任。”</w:t>
            </w:r>
          </w:p>
        </w:tc>
        <w:tc>
          <w:tcPr>
            <w:tcW w:w="761" w:type="pct"/>
            <w:vMerge w:val="restart"/>
            <w:vAlign w:val="center"/>
          </w:tcPr>
          <w:p>
            <w:pPr>
              <w:widowControl/>
              <w:jc w:val="left"/>
              <w:rPr>
                <w:rFonts w:hint="eastAsia" w:ascii="宋体" w:hAnsi="宋体" w:eastAsia="宋体" w:cs="黑体"/>
                <w:bCs/>
                <w:color w:val="000000"/>
              </w:rPr>
            </w:pPr>
            <w:r>
              <w:rPr>
                <w:rFonts w:hint="eastAsia" w:ascii="仿宋_GB2312" w:hAnsi="仿宋_GB2312" w:eastAsia="仿宋_GB2312" w:cs="仿宋_GB2312"/>
                <w:bCs/>
                <w:color w:val="000000"/>
                <w:szCs w:val="24"/>
              </w:rPr>
              <w:t>第九十九条第一项：“</w:t>
            </w:r>
            <w:r>
              <w:rPr>
                <w:rFonts w:hint="eastAsia" w:ascii="仿宋_GB2312" w:hAnsi="仿宋_GB2312" w:eastAsia="仿宋_GB2312" w:cs="仿宋_GB2312"/>
                <w:bCs/>
                <w:szCs w:val="24"/>
              </w:rPr>
              <w:t>违反消防法律、法规规定，有下列行为之一的，由住房建设部门责令改正，处一万元以上五万元以下罚款；情节严重的，责令停止施工，处五万元以上十万元以下罚款；并对其直接责任人员处单位罚款数额百分之五以上百分之十以下罚款：（一）建设单位要求建筑设计单位或者建筑施工企业降低消防技术标准设计、施工的。”</w:t>
            </w:r>
          </w:p>
        </w:tc>
        <w:tc>
          <w:tcPr>
            <w:tcW w:w="407" w:type="pct"/>
            <w:vMerge w:val="restart"/>
            <w:vAlign w:val="center"/>
          </w:tcPr>
          <w:p>
            <w:pPr>
              <w:jc w:val="center"/>
              <w:rPr>
                <w:rFonts w:hint="eastAsia" w:ascii="宋体" w:hAnsi="宋体" w:eastAsia="宋体" w:cs="黑体"/>
                <w:bCs/>
                <w:color w:val="000000"/>
              </w:rPr>
            </w:pPr>
            <w:r>
              <w:rPr>
                <w:rFonts w:hint="eastAsia" w:ascii="仿宋_GB2312" w:hAnsi="仿宋_GB2312" w:eastAsia="仿宋_GB2312" w:cs="仿宋_GB2312"/>
                <w:bCs/>
                <w:color w:val="000000"/>
              </w:rPr>
              <w:t>罚款</w:t>
            </w:r>
          </w:p>
        </w:tc>
        <w:tc>
          <w:tcPr>
            <w:tcW w:w="407"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从轻</w:t>
            </w:r>
          </w:p>
        </w:tc>
        <w:tc>
          <w:tcPr>
            <w:tcW w:w="559"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szCs w:val="24"/>
              </w:rPr>
              <w:t>降低</w:t>
            </w:r>
            <w:r>
              <w:rPr>
                <w:rFonts w:hint="eastAsia" w:ascii="仿宋_GB2312" w:hAnsi="仿宋_GB2312" w:eastAsia="仿宋_GB2312" w:cs="仿宋_GB2312"/>
                <w:bCs/>
                <w:color w:val="000000"/>
                <w:szCs w:val="24"/>
              </w:rPr>
              <w:t>消防技术标准设计、施工，未造成危害后果的</w:t>
            </w:r>
          </w:p>
        </w:tc>
        <w:tc>
          <w:tcPr>
            <w:tcW w:w="1495" w:type="pct"/>
            <w:vAlign w:val="center"/>
          </w:tcPr>
          <w:p>
            <w:pPr>
              <w:widowControl/>
              <w:spacing w:line="240" w:lineRule="atLeast"/>
              <w:rPr>
                <w:rFonts w:hint="eastAsia" w:ascii="仿宋_GB2312" w:hAnsi="仿宋_GB2312" w:eastAsia="仿宋_GB2312" w:cs="仿宋_GB2312"/>
                <w:bCs/>
                <w:color w:val="000000"/>
                <w:spacing w:val="-20"/>
                <w:szCs w:val="21"/>
              </w:rPr>
            </w:pPr>
            <w:r>
              <w:rPr>
                <w:rFonts w:hint="eastAsia" w:ascii="仿宋_GB2312" w:hAnsi="仿宋_GB2312" w:eastAsia="仿宋_GB2312" w:cs="仿宋_GB2312"/>
                <w:bCs/>
                <w:color w:val="000000"/>
                <w:spacing w:val="-20"/>
                <w:szCs w:val="21"/>
              </w:rPr>
              <w:t>责令改正，处一万元以上、低于三万元罚款；</w:t>
            </w:r>
          </w:p>
          <w:p>
            <w:pPr>
              <w:spacing w:line="240" w:lineRule="atLeast"/>
              <w:rPr>
                <w:rFonts w:hint="eastAsia" w:ascii="仿宋_GB2312" w:hAnsi="仿宋_GB2312" w:eastAsia="仿宋_GB2312" w:cs="仿宋_GB2312"/>
                <w:bCs/>
                <w:color w:val="000000"/>
                <w:spacing w:val="-20"/>
                <w:szCs w:val="21"/>
              </w:rPr>
            </w:pPr>
            <w:r>
              <w:rPr>
                <w:rFonts w:hint="eastAsia" w:ascii="仿宋_GB2312" w:hAnsi="仿宋_GB2312" w:eastAsia="仿宋_GB2312" w:cs="仿宋_GB2312"/>
                <w:bCs/>
                <w:spacing w:val="-20"/>
                <w:szCs w:val="24"/>
              </w:rPr>
              <w:t>对直接责任人员处单位罚款数额百分之五以上、低于百分之七点五罚款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jc w:val="center"/>
        </w:trPr>
        <w:tc>
          <w:tcPr>
            <w:tcW w:w="266" w:type="pct"/>
            <w:vMerge w:val="continue"/>
            <w:vAlign w:val="center"/>
          </w:tcPr>
          <w:p>
            <w:pPr>
              <w:rPr>
                <w:rFonts w:hint="eastAsia" w:ascii="宋体" w:hAnsi="宋体" w:eastAsia="宋体" w:cs="黑体"/>
                <w:bCs/>
                <w:color w:val="000000"/>
              </w:rPr>
            </w:pPr>
          </w:p>
        </w:tc>
        <w:tc>
          <w:tcPr>
            <w:tcW w:w="445" w:type="pct"/>
            <w:vMerge w:val="continue"/>
            <w:vAlign w:val="center"/>
          </w:tcPr>
          <w:p>
            <w:pPr>
              <w:rPr>
                <w:rFonts w:hint="eastAsia" w:ascii="宋体" w:hAnsi="宋体" w:eastAsia="宋体" w:cs="黑体"/>
                <w:bCs/>
                <w:color w:val="000000"/>
              </w:rPr>
            </w:pPr>
          </w:p>
        </w:tc>
        <w:tc>
          <w:tcPr>
            <w:tcW w:w="660" w:type="pct"/>
            <w:vMerge w:val="continue"/>
            <w:vAlign w:val="center"/>
          </w:tcPr>
          <w:p>
            <w:pPr>
              <w:rPr>
                <w:rFonts w:hint="eastAsia" w:ascii="宋体" w:hAnsi="宋体" w:eastAsia="宋体" w:cs="黑体"/>
                <w:bCs/>
                <w:color w:val="000000"/>
              </w:rPr>
            </w:pPr>
          </w:p>
        </w:tc>
        <w:tc>
          <w:tcPr>
            <w:tcW w:w="761"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07" w:type="pct"/>
            <w:vMerge w:val="continue"/>
            <w:vAlign w:val="center"/>
          </w:tcPr>
          <w:p>
            <w:pPr>
              <w:jc w:val="center"/>
              <w:rPr>
                <w:rFonts w:hint="eastAsia" w:ascii="宋体" w:hAnsi="宋体" w:eastAsia="宋体" w:cs="黑体"/>
                <w:bCs/>
                <w:color w:val="000000"/>
              </w:rPr>
            </w:pPr>
          </w:p>
        </w:tc>
        <w:tc>
          <w:tcPr>
            <w:tcW w:w="407"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一般</w:t>
            </w:r>
          </w:p>
        </w:tc>
        <w:tc>
          <w:tcPr>
            <w:tcW w:w="559"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szCs w:val="24"/>
              </w:rPr>
              <w:t>降低</w:t>
            </w:r>
            <w:r>
              <w:rPr>
                <w:rFonts w:hint="eastAsia" w:ascii="仿宋_GB2312" w:hAnsi="仿宋_GB2312" w:eastAsia="仿宋_GB2312" w:cs="仿宋_GB2312"/>
                <w:bCs/>
                <w:color w:val="000000"/>
                <w:szCs w:val="24"/>
              </w:rPr>
              <w:t>消防技术标准设计、施工，造成轻微危害后果的</w:t>
            </w:r>
          </w:p>
        </w:tc>
        <w:tc>
          <w:tcPr>
            <w:tcW w:w="1495" w:type="pct"/>
            <w:vAlign w:val="center"/>
          </w:tcPr>
          <w:p>
            <w:pPr>
              <w:widowControl/>
              <w:spacing w:line="240" w:lineRule="atLeast"/>
              <w:rPr>
                <w:rFonts w:hint="eastAsia" w:ascii="仿宋_GB2312" w:hAnsi="仿宋_GB2312" w:eastAsia="仿宋_GB2312" w:cs="仿宋_GB2312"/>
                <w:bCs/>
                <w:color w:val="000000"/>
                <w:spacing w:val="-20"/>
                <w:szCs w:val="21"/>
              </w:rPr>
            </w:pPr>
            <w:r>
              <w:rPr>
                <w:rFonts w:hint="eastAsia" w:ascii="仿宋_GB2312" w:hAnsi="仿宋_GB2312" w:eastAsia="仿宋_GB2312" w:cs="仿宋_GB2312"/>
                <w:bCs/>
                <w:color w:val="000000"/>
                <w:spacing w:val="-20"/>
                <w:szCs w:val="21"/>
              </w:rPr>
              <w:t>责令改正，处三万元罚款；</w:t>
            </w:r>
          </w:p>
          <w:p>
            <w:pPr>
              <w:spacing w:line="240" w:lineRule="atLeast"/>
              <w:rPr>
                <w:rFonts w:hint="eastAsia" w:ascii="仿宋_GB2312" w:hAnsi="仿宋_GB2312" w:eastAsia="仿宋_GB2312" w:cs="仿宋_GB2312"/>
                <w:bCs/>
                <w:color w:val="000000"/>
                <w:spacing w:val="-20"/>
              </w:rPr>
            </w:pPr>
            <w:r>
              <w:rPr>
                <w:rFonts w:hint="eastAsia" w:ascii="仿宋_GB2312" w:hAnsi="仿宋_GB2312" w:eastAsia="仿宋_GB2312" w:cs="仿宋_GB2312"/>
                <w:bCs/>
                <w:spacing w:val="-20"/>
                <w:szCs w:val="24"/>
              </w:rPr>
              <w:t>对直接责任人员处单位罚款数额百分之七点五罚款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266" w:type="pct"/>
            <w:vMerge w:val="continue"/>
            <w:vAlign w:val="center"/>
          </w:tcPr>
          <w:p>
            <w:pPr>
              <w:rPr>
                <w:rFonts w:hint="eastAsia" w:ascii="宋体" w:hAnsi="宋体" w:eastAsia="宋体" w:cs="黑体"/>
                <w:bCs/>
                <w:color w:val="000000"/>
              </w:rPr>
            </w:pPr>
          </w:p>
        </w:tc>
        <w:tc>
          <w:tcPr>
            <w:tcW w:w="445" w:type="pct"/>
            <w:vMerge w:val="continue"/>
            <w:vAlign w:val="center"/>
          </w:tcPr>
          <w:p>
            <w:pPr>
              <w:rPr>
                <w:rFonts w:hint="eastAsia" w:ascii="宋体" w:hAnsi="宋体" w:eastAsia="宋体" w:cs="黑体"/>
                <w:bCs/>
                <w:color w:val="000000"/>
              </w:rPr>
            </w:pPr>
          </w:p>
        </w:tc>
        <w:tc>
          <w:tcPr>
            <w:tcW w:w="660" w:type="pct"/>
            <w:vMerge w:val="continue"/>
            <w:vAlign w:val="center"/>
          </w:tcPr>
          <w:p>
            <w:pPr>
              <w:rPr>
                <w:rFonts w:hint="eastAsia" w:ascii="宋体" w:hAnsi="宋体" w:eastAsia="宋体" w:cs="黑体"/>
                <w:bCs/>
                <w:color w:val="000000"/>
              </w:rPr>
            </w:pPr>
          </w:p>
        </w:tc>
        <w:tc>
          <w:tcPr>
            <w:tcW w:w="761"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07" w:type="pct"/>
            <w:vMerge w:val="continue"/>
            <w:vAlign w:val="center"/>
          </w:tcPr>
          <w:p>
            <w:pPr>
              <w:jc w:val="center"/>
              <w:rPr>
                <w:rFonts w:hint="eastAsia" w:ascii="宋体" w:hAnsi="宋体" w:eastAsia="宋体" w:cs="黑体"/>
                <w:bCs/>
                <w:color w:val="000000"/>
              </w:rPr>
            </w:pPr>
          </w:p>
        </w:tc>
        <w:tc>
          <w:tcPr>
            <w:tcW w:w="407"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从重</w:t>
            </w:r>
          </w:p>
        </w:tc>
        <w:tc>
          <w:tcPr>
            <w:tcW w:w="559"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szCs w:val="24"/>
              </w:rPr>
              <w:t>降低</w:t>
            </w:r>
            <w:r>
              <w:rPr>
                <w:rFonts w:hint="eastAsia" w:ascii="仿宋_GB2312" w:hAnsi="仿宋_GB2312" w:eastAsia="仿宋_GB2312" w:cs="仿宋_GB2312"/>
                <w:bCs/>
                <w:color w:val="000000"/>
                <w:szCs w:val="24"/>
              </w:rPr>
              <w:t>消防技术标准设计、施工，造成一般危害后果的</w:t>
            </w:r>
          </w:p>
        </w:tc>
        <w:tc>
          <w:tcPr>
            <w:tcW w:w="1495" w:type="pct"/>
            <w:vAlign w:val="center"/>
          </w:tcPr>
          <w:p>
            <w:pPr>
              <w:widowControl/>
              <w:spacing w:line="240" w:lineRule="atLeast"/>
              <w:rPr>
                <w:rFonts w:hint="eastAsia" w:ascii="仿宋_GB2312" w:hAnsi="仿宋_GB2312" w:eastAsia="仿宋_GB2312" w:cs="仿宋_GB2312"/>
                <w:bCs/>
                <w:spacing w:val="-20"/>
                <w:szCs w:val="24"/>
              </w:rPr>
            </w:pPr>
            <w:r>
              <w:rPr>
                <w:rFonts w:hint="eastAsia" w:ascii="仿宋_GB2312" w:hAnsi="仿宋_GB2312" w:eastAsia="仿宋_GB2312" w:cs="仿宋_GB2312"/>
                <w:bCs/>
                <w:spacing w:val="-20"/>
                <w:szCs w:val="24"/>
              </w:rPr>
              <w:t>责令</w:t>
            </w:r>
            <w:r>
              <w:rPr>
                <w:rFonts w:hint="eastAsia" w:ascii="仿宋_GB2312" w:hAnsi="仿宋_GB2312" w:eastAsia="仿宋_GB2312" w:cs="仿宋_GB2312"/>
                <w:bCs/>
                <w:color w:val="000000"/>
                <w:spacing w:val="-20"/>
                <w:szCs w:val="21"/>
              </w:rPr>
              <w:t>改正</w:t>
            </w:r>
            <w:r>
              <w:rPr>
                <w:rFonts w:hint="eastAsia" w:ascii="仿宋_GB2312" w:hAnsi="仿宋_GB2312" w:eastAsia="仿宋_GB2312" w:cs="仿宋_GB2312"/>
                <w:bCs/>
                <w:spacing w:val="-20"/>
                <w:szCs w:val="24"/>
              </w:rPr>
              <w:t>，处超过三万元、五万元以下罚款；</w:t>
            </w:r>
          </w:p>
          <w:p>
            <w:pPr>
              <w:spacing w:line="240" w:lineRule="atLeast"/>
              <w:rPr>
                <w:rFonts w:hint="eastAsia" w:ascii="仿宋_GB2312" w:hAnsi="仿宋_GB2312" w:eastAsia="仿宋_GB2312" w:cs="仿宋_GB2312"/>
                <w:bCs/>
                <w:color w:val="000000"/>
                <w:spacing w:val="-20"/>
              </w:rPr>
            </w:pPr>
            <w:r>
              <w:rPr>
                <w:rFonts w:hint="eastAsia" w:ascii="仿宋_GB2312" w:hAnsi="仿宋_GB2312" w:eastAsia="仿宋_GB2312" w:cs="仿宋_GB2312"/>
                <w:bCs/>
                <w:spacing w:val="-20"/>
                <w:szCs w:val="24"/>
              </w:rPr>
              <w:t>对直接责任人员处单位罚款数额超过百分之七点五、百分之十以下罚款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8" w:hRule="atLeast"/>
          <w:jc w:val="center"/>
        </w:trPr>
        <w:tc>
          <w:tcPr>
            <w:tcW w:w="266" w:type="pct"/>
            <w:vMerge w:val="continue"/>
            <w:vAlign w:val="center"/>
          </w:tcPr>
          <w:p>
            <w:pPr>
              <w:rPr>
                <w:rFonts w:hint="eastAsia" w:ascii="宋体" w:hAnsi="宋体" w:eastAsia="宋体" w:cs="黑体"/>
                <w:bCs/>
                <w:color w:val="000000"/>
              </w:rPr>
            </w:pPr>
          </w:p>
        </w:tc>
        <w:tc>
          <w:tcPr>
            <w:tcW w:w="445" w:type="pct"/>
            <w:vMerge w:val="continue"/>
            <w:vAlign w:val="center"/>
          </w:tcPr>
          <w:p>
            <w:pPr>
              <w:rPr>
                <w:rFonts w:hint="eastAsia" w:ascii="宋体" w:hAnsi="宋体" w:eastAsia="宋体" w:cs="黑体"/>
                <w:bCs/>
                <w:color w:val="000000"/>
              </w:rPr>
            </w:pPr>
          </w:p>
        </w:tc>
        <w:tc>
          <w:tcPr>
            <w:tcW w:w="660" w:type="pct"/>
            <w:vMerge w:val="continue"/>
            <w:vAlign w:val="center"/>
          </w:tcPr>
          <w:p>
            <w:pPr>
              <w:rPr>
                <w:rFonts w:hint="eastAsia" w:ascii="宋体" w:hAnsi="宋体" w:eastAsia="宋体" w:cs="黑体"/>
                <w:bCs/>
                <w:color w:val="000000"/>
              </w:rPr>
            </w:pPr>
          </w:p>
        </w:tc>
        <w:tc>
          <w:tcPr>
            <w:tcW w:w="761"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07" w:type="pct"/>
            <w:vMerge w:val="continue"/>
            <w:vAlign w:val="center"/>
          </w:tcPr>
          <w:p>
            <w:pPr>
              <w:jc w:val="center"/>
              <w:rPr>
                <w:rFonts w:hint="eastAsia" w:ascii="宋体" w:hAnsi="宋体" w:eastAsia="宋体" w:cs="黑体"/>
                <w:bCs/>
                <w:color w:val="000000"/>
              </w:rPr>
            </w:pPr>
          </w:p>
        </w:tc>
        <w:tc>
          <w:tcPr>
            <w:tcW w:w="407"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从轻</w:t>
            </w:r>
          </w:p>
        </w:tc>
        <w:tc>
          <w:tcPr>
            <w:tcW w:w="559"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szCs w:val="24"/>
              </w:rPr>
              <w:t>逾期未改正，尚未造成</w:t>
            </w:r>
            <w:r>
              <w:rPr>
                <w:rFonts w:hint="eastAsia" w:ascii="仿宋_GB2312" w:hAnsi="仿宋_GB2312" w:eastAsia="仿宋_GB2312" w:cs="仿宋_GB2312"/>
                <w:bCs/>
                <w:color w:val="000000"/>
                <w:szCs w:val="24"/>
              </w:rPr>
              <w:t>火灾责任事故</w:t>
            </w:r>
          </w:p>
        </w:tc>
        <w:tc>
          <w:tcPr>
            <w:tcW w:w="1495" w:type="pct"/>
            <w:vAlign w:val="center"/>
          </w:tcPr>
          <w:p>
            <w:pPr>
              <w:spacing w:line="240" w:lineRule="atLeast"/>
              <w:rPr>
                <w:rFonts w:ascii="仿宋_GB2312" w:hAnsi="仿宋_GB2312" w:eastAsia="仿宋_GB2312" w:cs="仿宋_GB2312"/>
                <w:bCs/>
                <w:spacing w:val="-20"/>
                <w:szCs w:val="24"/>
              </w:rPr>
            </w:pPr>
            <w:r>
              <w:rPr>
                <w:rFonts w:hint="eastAsia" w:ascii="仿宋_GB2312" w:hAnsi="仿宋_GB2312" w:eastAsia="仿宋_GB2312" w:cs="仿宋_GB2312"/>
                <w:bCs/>
                <w:spacing w:val="-20"/>
                <w:szCs w:val="24"/>
              </w:rPr>
              <w:t>责令停止施工，并处五万元以上、低于七万五千元以下罚款；</w:t>
            </w:r>
          </w:p>
          <w:p>
            <w:pPr>
              <w:spacing w:line="240" w:lineRule="atLeast"/>
              <w:rPr>
                <w:spacing w:val="-20"/>
              </w:rPr>
            </w:pPr>
            <w:r>
              <w:rPr>
                <w:rFonts w:hint="eastAsia" w:ascii="仿宋_GB2312" w:hAnsi="仿宋_GB2312" w:eastAsia="仿宋_GB2312" w:cs="仿宋_GB2312"/>
                <w:bCs/>
                <w:spacing w:val="-20"/>
                <w:szCs w:val="24"/>
              </w:rPr>
              <w:t>对直接责任人员处单位罚款数额百分之五以上、低于百分之七点五罚款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266" w:type="pct"/>
            <w:vMerge w:val="continue"/>
            <w:vAlign w:val="center"/>
          </w:tcPr>
          <w:p>
            <w:pPr>
              <w:rPr>
                <w:rFonts w:hint="eastAsia" w:ascii="宋体" w:hAnsi="宋体" w:eastAsia="宋体" w:cs="黑体"/>
                <w:bCs/>
                <w:color w:val="000000"/>
              </w:rPr>
            </w:pPr>
          </w:p>
        </w:tc>
        <w:tc>
          <w:tcPr>
            <w:tcW w:w="445" w:type="pct"/>
            <w:vMerge w:val="continue"/>
            <w:vAlign w:val="center"/>
          </w:tcPr>
          <w:p>
            <w:pPr>
              <w:rPr>
                <w:rFonts w:hint="eastAsia" w:ascii="宋体" w:hAnsi="宋体" w:eastAsia="宋体" w:cs="黑体"/>
                <w:bCs/>
                <w:color w:val="000000"/>
              </w:rPr>
            </w:pPr>
          </w:p>
        </w:tc>
        <w:tc>
          <w:tcPr>
            <w:tcW w:w="660" w:type="pct"/>
            <w:vMerge w:val="continue"/>
            <w:vAlign w:val="center"/>
          </w:tcPr>
          <w:p>
            <w:pPr>
              <w:rPr>
                <w:rFonts w:hint="eastAsia" w:ascii="宋体" w:hAnsi="宋体" w:eastAsia="宋体" w:cs="黑体"/>
                <w:bCs/>
                <w:color w:val="000000"/>
              </w:rPr>
            </w:pPr>
          </w:p>
        </w:tc>
        <w:tc>
          <w:tcPr>
            <w:tcW w:w="761"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07" w:type="pct"/>
            <w:vMerge w:val="continue"/>
            <w:vAlign w:val="center"/>
          </w:tcPr>
          <w:p>
            <w:pPr>
              <w:jc w:val="center"/>
              <w:rPr>
                <w:rFonts w:hint="eastAsia" w:ascii="宋体" w:hAnsi="宋体" w:eastAsia="宋体" w:cs="黑体"/>
                <w:bCs/>
                <w:color w:val="000000"/>
              </w:rPr>
            </w:pPr>
          </w:p>
        </w:tc>
        <w:tc>
          <w:tcPr>
            <w:tcW w:w="407"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一般</w:t>
            </w:r>
          </w:p>
        </w:tc>
        <w:tc>
          <w:tcPr>
            <w:tcW w:w="559"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1"/>
              </w:rPr>
              <w:t>造成</w:t>
            </w:r>
            <w:r>
              <w:rPr>
                <w:rFonts w:hint="eastAsia" w:ascii="仿宋_GB2312" w:hAnsi="仿宋_GB2312" w:eastAsia="仿宋_GB2312" w:cs="仿宋_GB2312"/>
                <w:color w:val="000000"/>
                <w:szCs w:val="24"/>
              </w:rPr>
              <w:t>火灾责任</w:t>
            </w:r>
            <w:r>
              <w:rPr>
                <w:rFonts w:hint="eastAsia" w:ascii="仿宋_GB2312" w:hAnsi="仿宋_GB2312" w:eastAsia="仿宋_GB2312" w:cs="仿宋_GB2312"/>
                <w:szCs w:val="21"/>
              </w:rPr>
              <w:t>事故的</w:t>
            </w:r>
          </w:p>
        </w:tc>
        <w:tc>
          <w:tcPr>
            <w:tcW w:w="1495" w:type="pct"/>
            <w:vAlign w:val="center"/>
          </w:tcPr>
          <w:p>
            <w:pPr>
              <w:spacing w:line="240" w:lineRule="atLeast"/>
              <w:rPr>
                <w:rFonts w:hint="eastAsia" w:ascii="仿宋_GB2312" w:hAnsi="仿宋_GB2312" w:eastAsia="仿宋_GB2312" w:cs="仿宋_GB2312"/>
                <w:spacing w:val="-20"/>
                <w:szCs w:val="24"/>
              </w:rPr>
            </w:pPr>
            <w:r>
              <w:rPr>
                <w:rFonts w:hint="eastAsia" w:ascii="仿宋_GB2312" w:hAnsi="仿宋_GB2312" w:eastAsia="仿宋_GB2312" w:cs="仿宋_GB2312"/>
                <w:color w:val="000000"/>
                <w:spacing w:val="-20"/>
                <w:kern w:val="0"/>
                <w:szCs w:val="21"/>
                <w:lang w:bidi="ar"/>
              </w:rPr>
              <w:t>责令停止施工，</w:t>
            </w:r>
            <w:r>
              <w:rPr>
                <w:rFonts w:hint="eastAsia" w:ascii="仿宋_GB2312" w:hAnsi="仿宋_GB2312" w:eastAsia="仿宋_GB2312" w:cs="仿宋_GB2312"/>
                <w:spacing w:val="-20"/>
                <w:szCs w:val="24"/>
              </w:rPr>
              <w:t>并处于七万五千元罚款；</w:t>
            </w:r>
          </w:p>
          <w:p>
            <w:pPr>
              <w:spacing w:line="240" w:lineRule="atLeast"/>
              <w:rPr>
                <w:rFonts w:hint="eastAsia" w:ascii="仿宋_GB2312" w:hAnsi="仿宋_GB2312" w:eastAsia="仿宋_GB2312" w:cs="仿宋_GB2312"/>
                <w:bCs/>
                <w:color w:val="000000"/>
                <w:spacing w:val="-20"/>
              </w:rPr>
            </w:pPr>
            <w:r>
              <w:rPr>
                <w:rFonts w:hint="eastAsia" w:ascii="仿宋_GB2312" w:hAnsi="仿宋_GB2312" w:eastAsia="仿宋_GB2312" w:cs="仿宋_GB2312"/>
                <w:bCs/>
                <w:spacing w:val="-20"/>
                <w:szCs w:val="24"/>
              </w:rPr>
              <w:t>对直接责任人员处单位罚款数额百分之七点五罚款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 w:hRule="atLeast"/>
          <w:jc w:val="center"/>
        </w:trPr>
        <w:tc>
          <w:tcPr>
            <w:tcW w:w="266" w:type="pct"/>
            <w:vMerge w:val="continue"/>
            <w:vAlign w:val="center"/>
          </w:tcPr>
          <w:p>
            <w:pPr>
              <w:rPr>
                <w:rFonts w:hint="eastAsia" w:ascii="宋体" w:hAnsi="宋体" w:eastAsia="宋体" w:cs="黑体"/>
                <w:bCs/>
                <w:color w:val="000000"/>
              </w:rPr>
            </w:pPr>
          </w:p>
        </w:tc>
        <w:tc>
          <w:tcPr>
            <w:tcW w:w="445" w:type="pct"/>
            <w:vMerge w:val="continue"/>
            <w:vAlign w:val="center"/>
          </w:tcPr>
          <w:p>
            <w:pPr>
              <w:rPr>
                <w:rFonts w:hint="eastAsia" w:ascii="宋体" w:hAnsi="宋体" w:eastAsia="宋体" w:cs="黑体"/>
                <w:bCs/>
                <w:color w:val="000000"/>
              </w:rPr>
            </w:pPr>
          </w:p>
        </w:tc>
        <w:tc>
          <w:tcPr>
            <w:tcW w:w="660" w:type="pct"/>
            <w:vMerge w:val="continue"/>
            <w:vAlign w:val="center"/>
          </w:tcPr>
          <w:p>
            <w:pPr>
              <w:rPr>
                <w:rFonts w:hint="eastAsia" w:ascii="宋体" w:hAnsi="宋体" w:eastAsia="宋体" w:cs="黑体"/>
                <w:bCs/>
                <w:color w:val="000000"/>
              </w:rPr>
            </w:pPr>
          </w:p>
        </w:tc>
        <w:tc>
          <w:tcPr>
            <w:tcW w:w="761"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07" w:type="pct"/>
            <w:vMerge w:val="continue"/>
            <w:vAlign w:val="center"/>
          </w:tcPr>
          <w:p>
            <w:pPr>
              <w:jc w:val="center"/>
              <w:rPr>
                <w:rFonts w:hint="eastAsia" w:ascii="宋体" w:hAnsi="宋体" w:eastAsia="宋体" w:cs="黑体"/>
                <w:bCs/>
                <w:color w:val="000000"/>
              </w:rPr>
            </w:pPr>
          </w:p>
        </w:tc>
        <w:tc>
          <w:tcPr>
            <w:tcW w:w="407"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从重</w:t>
            </w:r>
          </w:p>
        </w:tc>
        <w:tc>
          <w:tcPr>
            <w:tcW w:w="559"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1"/>
              </w:rPr>
              <w:t>造成较大及以上</w:t>
            </w:r>
            <w:r>
              <w:rPr>
                <w:rFonts w:hint="eastAsia" w:ascii="仿宋_GB2312" w:hAnsi="仿宋_GB2312" w:eastAsia="仿宋_GB2312" w:cs="仿宋_GB2312"/>
                <w:color w:val="000000"/>
                <w:szCs w:val="24"/>
              </w:rPr>
              <w:t>火灾责任</w:t>
            </w:r>
            <w:r>
              <w:rPr>
                <w:rFonts w:hint="eastAsia" w:ascii="仿宋_GB2312" w:hAnsi="仿宋_GB2312" w:eastAsia="仿宋_GB2312" w:cs="仿宋_GB2312"/>
                <w:szCs w:val="21"/>
              </w:rPr>
              <w:t>事故的</w:t>
            </w:r>
          </w:p>
        </w:tc>
        <w:tc>
          <w:tcPr>
            <w:tcW w:w="1495" w:type="pct"/>
            <w:vAlign w:val="center"/>
          </w:tcPr>
          <w:p>
            <w:pPr>
              <w:widowControl/>
              <w:spacing w:line="240" w:lineRule="atLeast"/>
              <w:rPr>
                <w:rFonts w:hint="eastAsia" w:ascii="仿宋_GB2312" w:hAnsi="仿宋_GB2312" w:eastAsia="仿宋_GB2312" w:cs="仿宋_GB2312"/>
                <w:bCs/>
                <w:spacing w:val="-20"/>
                <w:szCs w:val="24"/>
              </w:rPr>
            </w:pPr>
            <w:r>
              <w:rPr>
                <w:rFonts w:hint="eastAsia" w:ascii="仿宋_GB2312" w:hAnsi="仿宋_GB2312" w:eastAsia="仿宋_GB2312" w:cs="仿宋_GB2312"/>
                <w:color w:val="000000"/>
                <w:spacing w:val="-20"/>
                <w:kern w:val="0"/>
                <w:szCs w:val="21"/>
                <w:lang w:bidi="ar"/>
              </w:rPr>
              <w:t>责令停止施工</w:t>
            </w:r>
            <w:r>
              <w:rPr>
                <w:rFonts w:hint="eastAsia" w:ascii="仿宋_GB2312" w:hAnsi="仿宋_GB2312" w:eastAsia="仿宋_GB2312" w:cs="仿宋_GB2312"/>
                <w:bCs/>
                <w:spacing w:val="-20"/>
                <w:szCs w:val="24"/>
              </w:rPr>
              <w:t>，处超过七万五千元、十万元以下罚款；</w:t>
            </w:r>
          </w:p>
          <w:p>
            <w:pPr>
              <w:spacing w:line="240" w:lineRule="atLeast"/>
              <w:rPr>
                <w:rFonts w:hint="eastAsia" w:ascii="仿宋_GB2312" w:hAnsi="仿宋_GB2312" w:eastAsia="仿宋_GB2312" w:cs="仿宋_GB2312"/>
                <w:bCs/>
                <w:color w:val="000000"/>
                <w:spacing w:val="-20"/>
              </w:rPr>
            </w:pPr>
            <w:r>
              <w:rPr>
                <w:rFonts w:hint="eastAsia" w:ascii="仿宋_GB2312" w:hAnsi="仿宋_GB2312" w:eastAsia="仿宋_GB2312" w:cs="仿宋_GB2312"/>
                <w:bCs/>
                <w:spacing w:val="-20"/>
                <w:szCs w:val="24"/>
              </w:rPr>
              <w:t>对直接责任人员处单位罚款数额超过百分之七点五、百分之十以下罚款</w:t>
            </w:r>
          </w:p>
        </w:tc>
      </w:tr>
    </w:tbl>
    <w:p>
      <w:pPr>
        <w:widowControl/>
        <w:jc w:val="left"/>
        <w:rPr>
          <w:rFonts w:hint="eastAsia" w:ascii="宋体" w:hAnsi="宋体" w:eastAsia="宋体" w:cs="Times New Roman"/>
          <w:bCs/>
          <w:sz w:val="32"/>
          <w:szCs w:val="32"/>
        </w:rPr>
      </w:pPr>
      <w:r>
        <w:rPr>
          <w:rFonts w:hint="eastAsia" w:ascii="宋体" w:hAnsi="宋体" w:eastAsia="宋体" w:cs="Times New Roman"/>
          <w:bCs/>
          <w:sz w:val="32"/>
          <w:szCs w:val="32"/>
        </w:rPr>
        <w:t>《深圳经济特区消防条例》</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54"/>
        <w:gridCol w:w="1114"/>
        <w:gridCol w:w="2016"/>
        <w:gridCol w:w="2018"/>
        <w:gridCol w:w="1151"/>
        <w:gridCol w:w="1154"/>
        <w:gridCol w:w="2160"/>
        <w:gridCol w:w="38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66"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序号</w:t>
            </w:r>
          </w:p>
        </w:tc>
        <w:tc>
          <w:tcPr>
            <w:tcW w:w="393"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711"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712"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406"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407"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762"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1343"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266" w:type="pct"/>
            <w:vMerge w:val="restart"/>
            <w:vAlign w:val="center"/>
          </w:tcPr>
          <w:p>
            <w:pPr>
              <w:jc w:val="center"/>
              <w:rPr>
                <w:rFonts w:hint="eastAsia" w:ascii="宋体" w:hAnsi="宋体" w:eastAsia="宋体" w:cs="黑体"/>
                <w:bCs/>
                <w:color w:val="000000"/>
                <w:kern w:val="0"/>
                <w:szCs w:val="21"/>
                <w:lang w:val="en"/>
              </w:rPr>
            </w:pPr>
            <w:r>
              <w:rPr>
                <w:rFonts w:hint="eastAsia" w:ascii="仿宋_GB2312" w:hAnsi="仿宋_GB2312" w:eastAsia="仿宋_GB2312" w:cs="仿宋_GB2312"/>
                <w:bCs/>
                <w:szCs w:val="24"/>
              </w:rPr>
              <w:t>110.</w:t>
            </w:r>
            <w:r>
              <w:rPr>
                <w:rFonts w:hint="eastAsia" w:ascii="仿宋_GB2312" w:hAnsi="仿宋_GB2312" w:eastAsia="仿宋_GB2312" w:cs="仿宋_GB2312"/>
                <w:bCs/>
                <w:szCs w:val="24"/>
                <w:lang w:val="en"/>
              </w:rPr>
              <w:t>6</w:t>
            </w:r>
          </w:p>
        </w:tc>
        <w:tc>
          <w:tcPr>
            <w:tcW w:w="393" w:type="pct"/>
            <w:vMerge w:val="restart"/>
            <w:vAlign w:val="center"/>
          </w:tcPr>
          <w:p>
            <w:pPr>
              <w:rPr>
                <w:rFonts w:hint="eastAsia" w:ascii="宋体" w:hAnsi="宋体" w:eastAsia="宋体" w:cs="黑体"/>
                <w:bCs/>
                <w:color w:val="000000"/>
                <w:szCs w:val="21"/>
              </w:rPr>
            </w:pPr>
            <w:r>
              <w:rPr>
                <w:rFonts w:hint="eastAsia" w:ascii="仿宋_GB2312" w:hAnsi="仿宋_GB2312" w:eastAsia="仿宋_GB2312" w:cs="仿宋_GB2312"/>
                <w:color w:val="000000"/>
                <w:szCs w:val="24"/>
              </w:rPr>
              <w:t>建筑设计单位未按照消防技术标准进行消防设计的</w:t>
            </w:r>
          </w:p>
        </w:tc>
        <w:tc>
          <w:tcPr>
            <w:tcW w:w="711" w:type="pct"/>
            <w:vMerge w:val="restart"/>
            <w:vAlign w:val="center"/>
          </w:tcPr>
          <w:p>
            <w:pPr>
              <w:rPr>
                <w:rFonts w:hint="eastAsia" w:ascii="宋体" w:hAnsi="宋体" w:eastAsia="宋体" w:cs="黑体"/>
                <w:bCs/>
                <w:color w:val="000000"/>
              </w:rPr>
            </w:pPr>
            <w:r>
              <w:rPr>
                <w:rFonts w:hint="eastAsia" w:ascii="仿宋_GB2312" w:hAnsi="仿宋_GB2312" w:eastAsia="仿宋_GB2312" w:cs="仿宋_GB2312"/>
                <w:color w:val="000000"/>
                <w:kern w:val="0"/>
                <w:szCs w:val="21"/>
              </w:rPr>
              <w:t>第二十九条：“建设工程的消防设计、施工必须符合国家工程建设消防技术标准。建设单位依法对建设工程消防设计、施工质量负首要责任。设计、施工、工程监理、技术服务等单位依法对建设工程消防设计、施工质量负主体责任。建设、设计、施工、工程监理、技术服务等单位的从业人员依法对建设工程消防设计、施工质量承担相应的个人责任。”</w:t>
            </w:r>
          </w:p>
        </w:tc>
        <w:tc>
          <w:tcPr>
            <w:tcW w:w="712" w:type="pct"/>
            <w:vMerge w:val="restart"/>
            <w:vAlign w:val="center"/>
          </w:tcPr>
          <w:p>
            <w:pPr>
              <w:widowControl/>
              <w:jc w:val="left"/>
              <w:rPr>
                <w:rFonts w:hint="eastAsia" w:ascii="仿宋_GB2312" w:hAnsi="仿宋_GB2312" w:eastAsia="仿宋_GB2312" w:cs="仿宋_GB2312"/>
                <w:bCs/>
                <w:szCs w:val="24"/>
              </w:rPr>
            </w:pPr>
            <w:r>
              <w:rPr>
                <w:rFonts w:hint="eastAsia" w:ascii="仿宋_GB2312" w:hAnsi="仿宋_GB2312" w:eastAsia="仿宋_GB2312" w:cs="仿宋_GB2312"/>
                <w:bCs/>
                <w:szCs w:val="24"/>
              </w:rPr>
              <w:t>第九十九条第二项：“违反消防法律、法规规定，有下列行为之一的，由住房建设部门责令改正，处一万元以上五万元以下罚款；情节严重的，责令停止施工，处五万元以上十万元以下罚款；并对其直接责任人员处单位罚款数额百分之五以上百分之十以下罚款：（二）建筑设计单位未按照消防技术标准进行消防设计的。”</w:t>
            </w:r>
          </w:p>
          <w:p>
            <w:pPr>
              <w:rPr>
                <w:rFonts w:hint="eastAsia" w:ascii="宋体" w:hAnsi="宋体" w:eastAsia="宋体" w:cs="黑体"/>
                <w:bCs/>
                <w:color w:val="000000"/>
              </w:rPr>
            </w:pPr>
          </w:p>
        </w:tc>
        <w:tc>
          <w:tcPr>
            <w:tcW w:w="406" w:type="pct"/>
            <w:vMerge w:val="restart"/>
            <w:vAlign w:val="center"/>
          </w:tcPr>
          <w:p>
            <w:pPr>
              <w:jc w:val="center"/>
              <w:rPr>
                <w:rFonts w:hint="eastAsia" w:ascii="宋体" w:hAnsi="宋体" w:eastAsia="宋体" w:cs="黑体"/>
                <w:bCs/>
                <w:color w:val="000000"/>
              </w:rPr>
            </w:pPr>
            <w:r>
              <w:rPr>
                <w:rFonts w:hint="eastAsia" w:ascii="仿宋_GB2312" w:hAnsi="仿宋_GB2312" w:eastAsia="仿宋_GB2312" w:cs="仿宋_GB2312"/>
                <w:bCs/>
                <w:color w:val="000000"/>
              </w:rPr>
              <w:t>罚款</w:t>
            </w:r>
          </w:p>
        </w:tc>
        <w:tc>
          <w:tcPr>
            <w:tcW w:w="407"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从轻</w:t>
            </w:r>
          </w:p>
        </w:tc>
        <w:tc>
          <w:tcPr>
            <w:tcW w:w="762"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color w:val="000000"/>
                <w:szCs w:val="24"/>
              </w:rPr>
              <w:t>未按照消防技术标准进行消防设计</w:t>
            </w:r>
            <w:r>
              <w:rPr>
                <w:rFonts w:hint="eastAsia" w:ascii="仿宋_GB2312" w:hAnsi="仿宋_GB2312" w:eastAsia="仿宋_GB2312" w:cs="仿宋_GB2312"/>
                <w:bCs/>
                <w:color w:val="000000"/>
                <w:szCs w:val="24"/>
              </w:rPr>
              <w:t>，未造成危害后果的</w:t>
            </w:r>
          </w:p>
        </w:tc>
        <w:tc>
          <w:tcPr>
            <w:tcW w:w="1343" w:type="pct"/>
            <w:vAlign w:val="center"/>
          </w:tcPr>
          <w:p>
            <w:pPr>
              <w:widowControl/>
              <w:rPr>
                <w:rFonts w:hint="eastAsia" w:ascii="仿宋_GB2312" w:hAnsi="仿宋_GB2312" w:eastAsia="仿宋_GB2312" w:cs="仿宋_GB2312"/>
                <w:bCs/>
                <w:color w:val="000000"/>
                <w:spacing w:val="-20"/>
                <w:szCs w:val="21"/>
              </w:rPr>
            </w:pPr>
            <w:r>
              <w:rPr>
                <w:rFonts w:hint="eastAsia" w:ascii="仿宋_GB2312" w:hAnsi="仿宋_GB2312" w:eastAsia="仿宋_GB2312" w:cs="仿宋_GB2312"/>
                <w:bCs/>
                <w:color w:val="000000"/>
                <w:spacing w:val="-20"/>
                <w:szCs w:val="21"/>
              </w:rPr>
              <w:t>责令改正，处一万元以上、低于三万元罚款；</w:t>
            </w:r>
          </w:p>
          <w:p>
            <w:pPr>
              <w:rPr>
                <w:rFonts w:hint="eastAsia" w:ascii="仿宋_GB2312" w:hAnsi="仿宋_GB2312" w:eastAsia="仿宋_GB2312" w:cs="仿宋_GB2312"/>
                <w:bCs/>
                <w:color w:val="000000"/>
                <w:spacing w:val="-20"/>
                <w:szCs w:val="21"/>
              </w:rPr>
            </w:pPr>
            <w:r>
              <w:rPr>
                <w:rFonts w:hint="eastAsia" w:ascii="仿宋_GB2312" w:hAnsi="仿宋_GB2312" w:eastAsia="仿宋_GB2312" w:cs="仿宋_GB2312"/>
                <w:bCs/>
                <w:spacing w:val="-20"/>
                <w:szCs w:val="24"/>
              </w:rPr>
              <w:t>对直接责任人员处单位罚款数额百分之五以上、低于百分之七点五罚款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266" w:type="pct"/>
            <w:vMerge w:val="continue"/>
            <w:vAlign w:val="center"/>
          </w:tcPr>
          <w:p>
            <w:pPr>
              <w:rPr>
                <w:rFonts w:hint="eastAsia" w:ascii="宋体" w:hAnsi="宋体" w:eastAsia="宋体" w:cs="黑体"/>
                <w:bCs/>
                <w:color w:val="000000"/>
              </w:rPr>
            </w:pPr>
          </w:p>
        </w:tc>
        <w:tc>
          <w:tcPr>
            <w:tcW w:w="393" w:type="pct"/>
            <w:vMerge w:val="continue"/>
            <w:vAlign w:val="center"/>
          </w:tcPr>
          <w:p>
            <w:pPr>
              <w:rPr>
                <w:rFonts w:hint="eastAsia" w:ascii="宋体" w:hAnsi="宋体" w:eastAsia="宋体" w:cs="黑体"/>
                <w:bCs/>
                <w:color w:val="000000"/>
              </w:rPr>
            </w:pPr>
          </w:p>
        </w:tc>
        <w:tc>
          <w:tcPr>
            <w:tcW w:w="711" w:type="pct"/>
            <w:vMerge w:val="continue"/>
            <w:vAlign w:val="center"/>
          </w:tcPr>
          <w:p>
            <w:pPr>
              <w:rPr>
                <w:rFonts w:hint="eastAsia" w:ascii="宋体" w:hAnsi="宋体" w:eastAsia="宋体" w:cs="黑体"/>
                <w:bCs/>
                <w:color w:val="000000"/>
              </w:rPr>
            </w:pPr>
          </w:p>
        </w:tc>
        <w:tc>
          <w:tcPr>
            <w:tcW w:w="712"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06" w:type="pct"/>
            <w:vMerge w:val="continue"/>
            <w:vAlign w:val="center"/>
          </w:tcPr>
          <w:p>
            <w:pPr>
              <w:jc w:val="center"/>
              <w:rPr>
                <w:rFonts w:hint="eastAsia" w:ascii="宋体" w:hAnsi="宋体" w:eastAsia="宋体" w:cs="黑体"/>
                <w:bCs/>
                <w:color w:val="000000"/>
              </w:rPr>
            </w:pPr>
          </w:p>
        </w:tc>
        <w:tc>
          <w:tcPr>
            <w:tcW w:w="407"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一般</w:t>
            </w:r>
          </w:p>
        </w:tc>
        <w:tc>
          <w:tcPr>
            <w:tcW w:w="762"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color w:val="000000"/>
                <w:szCs w:val="24"/>
              </w:rPr>
              <w:t>未按照消防技术标准进行消防设计</w:t>
            </w:r>
            <w:r>
              <w:rPr>
                <w:rFonts w:hint="eastAsia" w:ascii="仿宋_GB2312" w:hAnsi="仿宋_GB2312" w:eastAsia="仿宋_GB2312" w:cs="仿宋_GB2312"/>
                <w:bCs/>
                <w:color w:val="000000"/>
                <w:szCs w:val="24"/>
              </w:rPr>
              <w:t>，造成轻微危害后果的</w:t>
            </w:r>
          </w:p>
        </w:tc>
        <w:tc>
          <w:tcPr>
            <w:tcW w:w="1343" w:type="pct"/>
            <w:vAlign w:val="center"/>
          </w:tcPr>
          <w:p>
            <w:pPr>
              <w:widowControl/>
              <w:rPr>
                <w:rFonts w:hint="eastAsia" w:ascii="仿宋_GB2312" w:hAnsi="仿宋_GB2312" w:eastAsia="仿宋_GB2312" w:cs="仿宋_GB2312"/>
                <w:bCs/>
                <w:color w:val="000000"/>
                <w:spacing w:val="-20"/>
                <w:szCs w:val="21"/>
              </w:rPr>
            </w:pPr>
            <w:r>
              <w:rPr>
                <w:rFonts w:hint="eastAsia" w:ascii="仿宋_GB2312" w:hAnsi="仿宋_GB2312" w:eastAsia="仿宋_GB2312" w:cs="仿宋_GB2312"/>
                <w:bCs/>
                <w:color w:val="000000"/>
                <w:spacing w:val="-20"/>
                <w:szCs w:val="21"/>
              </w:rPr>
              <w:t>责令改正，处三万元罚款；</w:t>
            </w:r>
          </w:p>
          <w:p>
            <w:pPr>
              <w:rPr>
                <w:rFonts w:hint="eastAsia" w:ascii="仿宋_GB2312" w:hAnsi="仿宋_GB2312" w:eastAsia="仿宋_GB2312" w:cs="仿宋_GB2312"/>
                <w:bCs/>
                <w:color w:val="000000"/>
                <w:spacing w:val="-20"/>
              </w:rPr>
            </w:pPr>
            <w:r>
              <w:rPr>
                <w:rFonts w:hint="eastAsia" w:ascii="仿宋_GB2312" w:hAnsi="仿宋_GB2312" w:eastAsia="仿宋_GB2312" w:cs="仿宋_GB2312"/>
                <w:bCs/>
                <w:spacing w:val="-20"/>
                <w:szCs w:val="24"/>
              </w:rPr>
              <w:t>对直接责任人员处单位罚款数额百分之七点五罚款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266" w:type="pct"/>
            <w:vMerge w:val="continue"/>
            <w:vAlign w:val="center"/>
          </w:tcPr>
          <w:p>
            <w:pPr>
              <w:rPr>
                <w:rFonts w:hint="eastAsia" w:ascii="宋体" w:hAnsi="宋体" w:eastAsia="宋体" w:cs="黑体"/>
                <w:bCs/>
                <w:color w:val="000000"/>
              </w:rPr>
            </w:pPr>
          </w:p>
        </w:tc>
        <w:tc>
          <w:tcPr>
            <w:tcW w:w="393" w:type="pct"/>
            <w:vMerge w:val="continue"/>
            <w:vAlign w:val="center"/>
          </w:tcPr>
          <w:p>
            <w:pPr>
              <w:rPr>
                <w:rFonts w:hint="eastAsia" w:ascii="宋体" w:hAnsi="宋体" w:eastAsia="宋体" w:cs="黑体"/>
                <w:bCs/>
                <w:color w:val="000000"/>
              </w:rPr>
            </w:pPr>
          </w:p>
        </w:tc>
        <w:tc>
          <w:tcPr>
            <w:tcW w:w="711" w:type="pct"/>
            <w:vMerge w:val="continue"/>
            <w:vAlign w:val="center"/>
          </w:tcPr>
          <w:p>
            <w:pPr>
              <w:rPr>
                <w:rFonts w:hint="eastAsia" w:ascii="宋体" w:hAnsi="宋体" w:eastAsia="宋体" w:cs="黑体"/>
                <w:bCs/>
                <w:color w:val="000000"/>
              </w:rPr>
            </w:pPr>
          </w:p>
        </w:tc>
        <w:tc>
          <w:tcPr>
            <w:tcW w:w="712"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06" w:type="pct"/>
            <w:vMerge w:val="continue"/>
            <w:vAlign w:val="center"/>
          </w:tcPr>
          <w:p>
            <w:pPr>
              <w:jc w:val="center"/>
              <w:rPr>
                <w:rFonts w:hint="eastAsia" w:ascii="宋体" w:hAnsi="宋体" w:eastAsia="宋体" w:cs="黑体"/>
                <w:bCs/>
                <w:color w:val="000000"/>
              </w:rPr>
            </w:pPr>
          </w:p>
        </w:tc>
        <w:tc>
          <w:tcPr>
            <w:tcW w:w="407"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从重</w:t>
            </w:r>
          </w:p>
        </w:tc>
        <w:tc>
          <w:tcPr>
            <w:tcW w:w="762"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color w:val="000000"/>
                <w:szCs w:val="24"/>
              </w:rPr>
              <w:t>未按照消防技术标准进行消防设计</w:t>
            </w:r>
            <w:r>
              <w:rPr>
                <w:rFonts w:hint="eastAsia" w:ascii="仿宋_GB2312" w:hAnsi="仿宋_GB2312" w:eastAsia="仿宋_GB2312" w:cs="仿宋_GB2312"/>
                <w:bCs/>
                <w:color w:val="000000"/>
                <w:szCs w:val="24"/>
              </w:rPr>
              <w:t>，造成一般危害后果的</w:t>
            </w:r>
          </w:p>
        </w:tc>
        <w:tc>
          <w:tcPr>
            <w:tcW w:w="1343" w:type="pct"/>
            <w:vAlign w:val="center"/>
          </w:tcPr>
          <w:p>
            <w:pPr>
              <w:widowControl/>
              <w:rPr>
                <w:rFonts w:hint="eastAsia" w:ascii="仿宋_GB2312" w:hAnsi="仿宋_GB2312" w:eastAsia="仿宋_GB2312" w:cs="仿宋_GB2312"/>
                <w:bCs/>
                <w:spacing w:val="-20"/>
                <w:szCs w:val="24"/>
              </w:rPr>
            </w:pPr>
            <w:r>
              <w:rPr>
                <w:rFonts w:hint="eastAsia" w:ascii="仿宋_GB2312" w:hAnsi="仿宋_GB2312" w:eastAsia="仿宋_GB2312" w:cs="仿宋_GB2312"/>
                <w:bCs/>
                <w:spacing w:val="-20"/>
                <w:szCs w:val="24"/>
              </w:rPr>
              <w:t>责令</w:t>
            </w:r>
            <w:r>
              <w:rPr>
                <w:rFonts w:hint="eastAsia" w:ascii="仿宋_GB2312" w:hAnsi="仿宋_GB2312" w:eastAsia="仿宋_GB2312" w:cs="仿宋_GB2312"/>
                <w:bCs/>
                <w:color w:val="000000"/>
                <w:spacing w:val="-20"/>
                <w:szCs w:val="21"/>
              </w:rPr>
              <w:t>改正</w:t>
            </w:r>
            <w:r>
              <w:rPr>
                <w:rFonts w:hint="eastAsia" w:ascii="仿宋_GB2312" w:hAnsi="仿宋_GB2312" w:eastAsia="仿宋_GB2312" w:cs="仿宋_GB2312"/>
                <w:bCs/>
                <w:spacing w:val="-20"/>
                <w:szCs w:val="24"/>
              </w:rPr>
              <w:t>，处超过三万元、五万元以下罚款；</w:t>
            </w:r>
          </w:p>
          <w:p>
            <w:pPr>
              <w:rPr>
                <w:rFonts w:hint="eastAsia" w:ascii="仿宋_GB2312" w:hAnsi="仿宋_GB2312" w:eastAsia="仿宋_GB2312" w:cs="仿宋_GB2312"/>
                <w:bCs/>
                <w:color w:val="000000"/>
                <w:spacing w:val="-20"/>
              </w:rPr>
            </w:pPr>
            <w:r>
              <w:rPr>
                <w:rFonts w:hint="eastAsia" w:ascii="仿宋_GB2312" w:hAnsi="仿宋_GB2312" w:eastAsia="仿宋_GB2312" w:cs="仿宋_GB2312"/>
                <w:bCs/>
                <w:spacing w:val="-20"/>
                <w:szCs w:val="24"/>
              </w:rPr>
              <w:t>对直接责任人员处单位罚款数额超过百分之七点五、百分之十以下罚款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266" w:type="pct"/>
            <w:vMerge w:val="continue"/>
            <w:vAlign w:val="center"/>
          </w:tcPr>
          <w:p>
            <w:pPr>
              <w:rPr>
                <w:rFonts w:hint="eastAsia" w:ascii="宋体" w:hAnsi="宋体" w:eastAsia="宋体" w:cs="黑体"/>
                <w:bCs/>
                <w:color w:val="000000"/>
              </w:rPr>
            </w:pPr>
          </w:p>
        </w:tc>
        <w:tc>
          <w:tcPr>
            <w:tcW w:w="393" w:type="pct"/>
            <w:vMerge w:val="continue"/>
            <w:vAlign w:val="center"/>
          </w:tcPr>
          <w:p>
            <w:pPr>
              <w:rPr>
                <w:rFonts w:hint="eastAsia" w:ascii="宋体" w:hAnsi="宋体" w:eastAsia="宋体" w:cs="黑体"/>
                <w:bCs/>
                <w:color w:val="000000"/>
              </w:rPr>
            </w:pPr>
          </w:p>
        </w:tc>
        <w:tc>
          <w:tcPr>
            <w:tcW w:w="711" w:type="pct"/>
            <w:vMerge w:val="continue"/>
            <w:vAlign w:val="center"/>
          </w:tcPr>
          <w:p>
            <w:pPr>
              <w:rPr>
                <w:rFonts w:hint="eastAsia" w:ascii="宋体" w:hAnsi="宋体" w:eastAsia="宋体" w:cs="黑体"/>
                <w:bCs/>
                <w:color w:val="000000"/>
              </w:rPr>
            </w:pPr>
          </w:p>
        </w:tc>
        <w:tc>
          <w:tcPr>
            <w:tcW w:w="712"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06" w:type="pct"/>
            <w:vMerge w:val="continue"/>
            <w:vAlign w:val="center"/>
          </w:tcPr>
          <w:p>
            <w:pPr>
              <w:jc w:val="center"/>
              <w:rPr>
                <w:rFonts w:hint="eastAsia" w:ascii="宋体" w:hAnsi="宋体" w:eastAsia="宋体" w:cs="黑体"/>
                <w:bCs/>
                <w:color w:val="000000"/>
              </w:rPr>
            </w:pPr>
          </w:p>
        </w:tc>
        <w:tc>
          <w:tcPr>
            <w:tcW w:w="407"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从轻</w:t>
            </w:r>
          </w:p>
        </w:tc>
        <w:tc>
          <w:tcPr>
            <w:tcW w:w="762"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szCs w:val="24"/>
              </w:rPr>
              <w:t>逾期未改正，尚未造成</w:t>
            </w:r>
            <w:r>
              <w:rPr>
                <w:rFonts w:hint="eastAsia" w:ascii="仿宋_GB2312" w:hAnsi="仿宋_GB2312" w:eastAsia="仿宋_GB2312" w:cs="仿宋_GB2312"/>
                <w:bCs/>
                <w:color w:val="000000"/>
                <w:szCs w:val="24"/>
              </w:rPr>
              <w:t>火灾责任事故</w:t>
            </w:r>
          </w:p>
        </w:tc>
        <w:tc>
          <w:tcPr>
            <w:tcW w:w="1343" w:type="pct"/>
            <w:vAlign w:val="center"/>
          </w:tcPr>
          <w:p>
            <w:pPr>
              <w:rPr>
                <w:rFonts w:ascii="仿宋_GB2312" w:hAnsi="仿宋_GB2312" w:eastAsia="仿宋_GB2312" w:cs="仿宋_GB2312"/>
                <w:color w:val="000000"/>
                <w:spacing w:val="-20"/>
                <w:kern w:val="0"/>
                <w:szCs w:val="21"/>
                <w:lang w:bidi="ar"/>
              </w:rPr>
            </w:pPr>
            <w:r>
              <w:rPr>
                <w:rFonts w:hint="eastAsia" w:ascii="仿宋_GB2312" w:hAnsi="仿宋_GB2312" w:eastAsia="仿宋_GB2312" w:cs="仿宋_GB2312"/>
                <w:color w:val="000000"/>
                <w:spacing w:val="-20"/>
                <w:kern w:val="0"/>
                <w:szCs w:val="21"/>
                <w:lang w:bidi="ar"/>
              </w:rPr>
              <w:t>责令停止施工，并处五万元以上、低于七万五千元以下的罚款；</w:t>
            </w:r>
          </w:p>
          <w:p>
            <w:pPr>
              <w:rPr>
                <w:spacing w:val="-20"/>
              </w:rPr>
            </w:pPr>
            <w:r>
              <w:rPr>
                <w:rFonts w:hint="eastAsia" w:ascii="仿宋_GB2312" w:hAnsi="仿宋_GB2312" w:eastAsia="仿宋_GB2312" w:cs="仿宋_GB2312"/>
                <w:bCs/>
                <w:color w:val="000000"/>
                <w:spacing w:val="-20"/>
                <w:kern w:val="0"/>
                <w:szCs w:val="21"/>
                <w:lang w:bidi="ar"/>
              </w:rPr>
              <w:t>对直接责任人员处单位罚款数额百分之五以上、低于百分之七点五罚款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266" w:type="pct"/>
            <w:vMerge w:val="continue"/>
            <w:vAlign w:val="center"/>
          </w:tcPr>
          <w:p>
            <w:pPr>
              <w:rPr>
                <w:rFonts w:hint="eastAsia" w:ascii="宋体" w:hAnsi="宋体" w:eastAsia="宋体" w:cs="黑体"/>
                <w:bCs/>
                <w:color w:val="000000"/>
              </w:rPr>
            </w:pPr>
          </w:p>
        </w:tc>
        <w:tc>
          <w:tcPr>
            <w:tcW w:w="393" w:type="pct"/>
            <w:vMerge w:val="continue"/>
            <w:vAlign w:val="center"/>
          </w:tcPr>
          <w:p>
            <w:pPr>
              <w:rPr>
                <w:rFonts w:hint="eastAsia" w:ascii="宋体" w:hAnsi="宋体" w:eastAsia="宋体" w:cs="黑体"/>
                <w:bCs/>
                <w:color w:val="000000"/>
              </w:rPr>
            </w:pPr>
          </w:p>
        </w:tc>
        <w:tc>
          <w:tcPr>
            <w:tcW w:w="711" w:type="pct"/>
            <w:vMerge w:val="continue"/>
            <w:vAlign w:val="center"/>
          </w:tcPr>
          <w:p>
            <w:pPr>
              <w:rPr>
                <w:rFonts w:hint="eastAsia" w:ascii="宋体" w:hAnsi="宋体" w:eastAsia="宋体" w:cs="黑体"/>
                <w:bCs/>
                <w:color w:val="000000"/>
              </w:rPr>
            </w:pPr>
          </w:p>
        </w:tc>
        <w:tc>
          <w:tcPr>
            <w:tcW w:w="712"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06" w:type="pct"/>
            <w:vMerge w:val="continue"/>
            <w:vAlign w:val="center"/>
          </w:tcPr>
          <w:p>
            <w:pPr>
              <w:jc w:val="center"/>
              <w:rPr>
                <w:rFonts w:hint="eastAsia" w:ascii="宋体" w:hAnsi="宋体" w:eastAsia="宋体" w:cs="黑体"/>
                <w:bCs/>
                <w:color w:val="000000"/>
              </w:rPr>
            </w:pPr>
          </w:p>
        </w:tc>
        <w:tc>
          <w:tcPr>
            <w:tcW w:w="407"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一般</w:t>
            </w:r>
          </w:p>
        </w:tc>
        <w:tc>
          <w:tcPr>
            <w:tcW w:w="762"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1"/>
              </w:rPr>
              <w:t>造成</w:t>
            </w:r>
            <w:r>
              <w:rPr>
                <w:rFonts w:hint="eastAsia" w:ascii="仿宋_GB2312" w:hAnsi="仿宋_GB2312" w:eastAsia="仿宋_GB2312" w:cs="仿宋_GB2312"/>
                <w:color w:val="000000"/>
                <w:szCs w:val="24"/>
              </w:rPr>
              <w:t>火灾责任</w:t>
            </w:r>
            <w:r>
              <w:rPr>
                <w:rFonts w:hint="eastAsia" w:ascii="仿宋_GB2312" w:hAnsi="仿宋_GB2312" w:eastAsia="仿宋_GB2312" w:cs="仿宋_GB2312"/>
                <w:szCs w:val="21"/>
              </w:rPr>
              <w:t>事故的</w:t>
            </w:r>
          </w:p>
        </w:tc>
        <w:tc>
          <w:tcPr>
            <w:tcW w:w="1343" w:type="pct"/>
            <w:vAlign w:val="center"/>
          </w:tcPr>
          <w:p>
            <w:pPr>
              <w:rPr>
                <w:rFonts w:hint="eastAsia" w:ascii="仿宋_GB2312" w:hAnsi="仿宋_GB2312" w:eastAsia="仿宋_GB2312" w:cs="仿宋_GB2312"/>
                <w:bCs/>
                <w:color w:val="000000"/>
                <w:spacing w:val="-20"/>
              </w:rPr>
            </w:pPr>
            <w:r>
              <w:rPr>
                <w:rFonts w:hint="eastAsia" w:ascii="仿宋_GB2312" w:hAnsi="仿宋_GB2312" w:eastAsia="仿宋_GB2312" w:cs="仿宋_GB2312"/>
                <w:color w:val="000000"/>
                <w:spacing w:val="-20"/>
                <w:kern w:val="0"/>
                <w:szCs w:val="21"/>
                <w:lang w:bidi="ar"/>
              </w:rPr>
              <w:t>责令停止施工，</w:t>
            </w:r>
            <w:r>
              <w:rPr>
                <w:rFonts w:hint="eastAsia" w:ascii="仿宋_GB2312" w:hAnsi="仿宋_GB2312" w:eastAsia="仿宋_GB2312" w:cs="仿宋_GB2312"/>
                <w:spacing w:val="-20"/>
                <w:szCs w:val="24"/>
              </w:rPr>
              <w:t>并处于七万五千元的罚款；</w:t>
            </w:r>
            <w:r>
              <w:rPr>
                <w:rFonts w:hint="eastAsia" w:ascii="仿宋_GB2312" w:hAnsi="仿宋_GB2312" w:eastAsia="仿宋_GB2312" w:cs="仿宋_GB2312"/>
                <w:bCs/>
                <w:spacing w:val="-20"/>
                <w:szCs w:val="24"/>
              </w:rPr>
              <w:t>对直接责任人员处单位罚款数额百分之七点五罚款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266" w:type="pct"/>
            <w:vMerge w:val="continue"/>
            <w:vAlign w:val="center"/>
          </w:tcPr>
          <w:p>
            <w:pPr>
              <w:rPr>
                <w:rFonts w:hint="eastAsia" w:ascii="宋体" w:hAnsi="宋体" w:eastAsia="宋体" w:cs="黑体"/>
                <w:bCs/>
                <w:color w:val="000000"/>
              </w:rPr>
            </w:pPr>
          </w:p>
        </w:tc>
        <w:tc>
          <w:tcPr>
            <w:tcW w:w="393" w:type="pct"/>
            <w:vMerge w:val="continue"/>
            <w:vAlign w:val="center"/>
          </w:tcPr>
          <w:p>
            <w:pPr>
              <w:rPr>
                <w:rFonts w:hint="eastAsia" w:ascii="宋体" w:hAnsi="宋体" w:eastAsia="宋体" w:cs="黑体"/>
                <w:bCs/>
                <w:color w:val="000000"/>
              </w:rPr>
            </w:pPr>
          </w:p>
        </w:tc>
        <w:tc>
          <w:tcPr>
            <w:tcW w:w="711" w:type="pct"/>
            <w:vMerge w:val="continue"/>
            <w:vAlign w:val="center"/>
          </w:tcPr>
          <w:p>
            <w:pPr>
              <w:rPr>
                <w:rFonts w:hint="eastAsia" w:ascii="宋体" w:hAnsi="宋体" w:eastAsia="宋体" w:cs="黑体"/>
                <w:bCs/>
                <w:color w:val="000000"/>
              </w:rPr>
            </w:pPr>
          </w:p>
        </w:tc>
        <w:tc>
          <w:tcPr>
            <w:tcW w:w="712"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06" w:type="pct"/>
            <w:vMerge w:val="continue"/>
            <w:vAlign w:val="center"/>
          </w:tcPr>
          <w:p>
            <w:pPr>
              <w:jc w:val="center"/>
              <w:rPr>
                <w:rFonts w:hint="eastAsia" w:ascii="宋体" w:hAnsi="宋体" w:eastAsia="宋体" w:cs="黑体"/>
                <w:bCs/>
                <w:color w:val="000000"/>
              </w:rPr>
            </w:pPr>
          </w:p>
        </w:tc>
        <w:tc>
          <w:tcPr>
            <w:tcW w:w="407"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从重</w:t>
            </w:r>
          </w:p>
        </w:tc>
        <w:tc>
          <w:tcPr>
            <w:tcW w:w="762"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1"/>
              </w:rPr>
              <w:t>造成较大及以上</w:t>
            </w:r>
            <w:r>
              <w:rPr>
                <w:rFonts w:hint="eastAsia" w:ascii="仿宋_GB2312" w:hAnsi="仿宋_GB2312" w:eastAsia="仿宋_GB2312" w:cs="仿宋_GB2312"/>
                <w:color w:val="000000"/>
                <w:szCs w:val="24"/>
              </w:rPr>
              <w:t>火灾责任</w:t>
            </w:r>
            <w:r>
              <w:rPr>
                <w:rFonts w:hint="eastAsia" w:ascii="仿宋_GB2312" w:hAnsi="仿宋_GB2312" w:eastAsia="仿宋_GB2312" w:cs="仿宋_GB2312"/>
                <w:szCs w:val="21"/>
              </w:rPr>
              <w:t>事故的</w:t>
            </w:r>
          </w:p>
        </w:tc>
        <w:tc>
          <w:tcPr>
            <w:tcW w:w="1343" w:type="pct"/>
            <w:vAlign w:val="center"/>
          </w:tcPr>
          <w:p>
            <w:pPr>
              <w:widowControl/>
              <w:rPr>
                <w:rFonts w:hint="eastAsia" w:ascii="仿宋_GB2312" w:hAnsi="仿宋_GB2312" w:eastAsia="仿宋_GB2312" w:cs="仿宋_GB2312"/>
                <w:bCs/>
                <w:spacing w:val="-20"/>
                <w:szCs w:val="24"/>
              </w:rPr>
            </w:pPr>
            <w:r>
              <w:rPr>
                <w:rFonts w:hint="eastAsia" w:ascii="仿宋_GB2312" w:hAnsi="仿宋_GB2312" w:eastAsia="仿宋_GB2312" w:cs="仿宋_GB2312"/>
                <w:color w:val="000000"/>
                <w:spacing w:val="-20"/>
                <w:kern w:val="0"/>
                <w:szCs w:val="21"/>
                <w:lang w:bidi="ar"/>
              </w:rPr>
              <w:t>责令停止施工</w:t>
            </w:r>
            <w:r>
              <w:rPr>
                <w:rFonts w:hint="eastAsia" w:ascii="仿宋_GB2312" w:hAnsi="仿宋_GB2312" w:eastAsia="仿宋_GB2312" w:cs="仿宋_GB2312"/>
                <w:bCs/>
                <w:spacing w:val="-20"/>
                <w:szCs w:val="24"/>
              </w:rPr>
              <w:t>，处超过七万五千元、十万元以下罚款；</w:t>
            </w:r>
          </w:p>
          <w:p>
            <w:pPr>
              <w:rPr>
                <w:rFonts w:hint="eastAsia" w:ascii="仿宋_GB2312" w:hAnsi="仿宋_GB2312" w:eastAsia="仿宋_GB2312" w:cs="仿宋_GB2312"/>
                <w:bCs/>
                <w:color w:val="000000"/>
                <w:spacing w:val="-20"/>
              </w:rPr>
            </w:pPr>
            <w:r>
              <w:rPr>
                <w:rFonts w:hint="eastAsia" w:ascii="仿宋_GB2312" w:hAnsi="仿宋_GB2312" w:eastAsia="仿宋_GB2312" w:cs="仿宋_GB2312"/>
                <w:bCs/>
                <w:spacing w:val="-20"/>
                <w:szCs w:val="24"/>
              </w:rPr>
              <w:t>对直接责任人员处单位罚款数额超过百分之七点五、百分之十以下罚款</w:t>
            </w:r>
          </w:p>
        </w:tc>
      </w:tr>
    </w:tbl>
    <w:p>
      <w:pPr>
        <w:widowControl/>
        <w:jc w:val="left"/>
        <w:rPr>
          <w:rFonts w:hint="eastAsia" w:ascii="宋体" w:hAnsi="宋体" w:eastAsia="宋体" w:cs="Times New Roman"/>
          <w:bCs/>
          <w:sz w:val="32"/>
          <w:szCs w:val="32"/>
        </w:rPr>
      </w:pPr>
    </w:p>
    <w:p>
      <w:pPr>
        <w:widowControl/>
        <w:jc w:val="left"/>
        <w:rPr>
          <w:rFonts w:hint="eastAsia" w:ascii="宋体" w:hAnsi="宋体" w:eastAsia="宋体" w:cs="Times New Roman"/>
          <w:bCs/>
          <w:sz w:val="32"/>
          <w:szCs w:val="32"/>
        </w:rPr>
      </w:pPr>
      <w:r>
        <w:rPr>
          <w:rFonts w:hint="eastAsia" w:ascii="宋体" w:hAnsi="宋体" w:eastAsia="宋体" w:cs="Times New Roman"/>
          <w:bCs/>
          <w:sz w:val="32"/>
          <w:szCs w:val="32"/>
        </w:rPr>
        <w:t>《深圳经济特区消防条例》</w:t>
      </w:r>
    </w:p>
    <w:tbl>
      <w:tblPr>
        <w:tblStyle w:val="11"/>
        <w:tblW w:w="508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54"/>
        <w:gridCol w:w="1115"/>
        <w:gridCol w:w="1873"/>
        <w:gridCol w:w="2017"/>
        <w:gridCol w:w="1152"/>
        <w:gridCol w:w="1152"/>
        <w:gridCol w:w="2305"/>
        <w:gridCol w:w="403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62"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序号</w:t>
            </w:r>
          </w:p>
        </w:tc>
        <w:tc>
          <w:tcPr>
            <w:tcW w:w="387"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650"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700"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400"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400"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800"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1400"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0" w:hRule="atLeast"/>
          <w:jc w:val="center"/>
        </w:trPr>
        <w:tc>
          <w:tcPr>
            <w:tcW w:w="262" w:type="pct"/>
            <w:vMerge w:val="restart"/>
            <w:vAlign w:val="center"/>
          </w:tcPr>
          <w:p>
            <w:pPr>
              <w:jc w:val="center"/>
              <w:rPr>
                <w:rFonts w:hint="eastAsia" w:ascii="宋体" w:hAnsi="宋体" w:eastAsia="宋体" w:cs="黑体"/>
                <w:bCs/>
                <w:color w:val="000000"/>
                <w:kern w:val="0"/>
                <w:szCs w:val="21"/>
                <w:lang w:val="en"/>
              </w:rPr>
            </w:pPr>
            <w:r>
              <w:rPr>
                <w:rFonts w:hint="eastAsia" w:ascii="仿宋_GB2312" w:hAnsi="仿宋_GB2312" w:eastAsia="仿宋_GB2312" w:cs="仿宋_GB2312"/>
                <w:szCs w:val="24"/>
              </w:rPr>
              <w:t>110.</w:t>
            </w:r>
            <w:r>
              <w:rPr>
                <w:rFonts w:hint="eastAsia" w:ascii="仿宋_GB2312" w:hAnsi="仿宋_GB2312" w:eastAsia="仿宋_GB2312" w:cs="仿宋_GB2312"/>
                <w:szCs w:val="24"/>
                <w:lang w:val="en"/>
              </w:rPr>
              <w:t>7</w:t>
            </w:r>
          </w:p>
        </w:tc>
        <w:tc>
          <w:tcPr>
            <w:tcW w:w="387" w:type="pct"/>
            <w:vMerge w:val="restart"/>
            <w:vAlign w:val="center"/>
          </w:tcPr>
          <w:p>
            <w:pPr>
              <w:rPr>
                <w:rFonts w:hint="eastAsia" w:ascii="宋体" w:hAnsi="宋体" w:eastAsia="宋体" w:cs="黑体"/>
                <w:bCs/>
                <w:color w:val="000000"/>
                <w:szCs w:val="21"/>
              </w:rPr>
            </w:pPr>
            <w:r>
              <w:rPr>
                <w:rFonts w:hint="eastAsia" w:ascii="仿宋_GB2312" w:hAnsi="仿宋_GB2312" w:eastAsia="仿宋_GB2312" w:cs="仿宋_GB2312"/>
                <w:color w:val="000000"/>
                <w:szCs w:val="24"/>
              </w:rPr>
              <w:t>建筑施工单位未按照消防设计文件和消防技术标准施工，降低消防施工质量的</w:t>
            </w:r>
          </w:p>
        </w:tc>
        <w:tc>
          <w:tcPr>
            <w:tcW w:w="650" w:type="pct"/>
            <w:vMerge w:val="restart"/>
            <w:vAlign w:val="center"/>
          </w:tcPr>
          <w:p>
            <w:pPr>
              <w:rPr>
                <w:rFonts w:hint="eastAsia" w:ascii="宋体" w:hAnsi="宋体" w:eastAsia="宋体" w:cs="黑体"/>
                <w:bCs/>
                <w:color w:val="000000"/>
              </w:rPr>
            </w:pPr>
            <w:r>
              <w:rPr>
                <w:rFonts w:hint="eastAsia" w:ascii="仿宋_GB2312" w:hAnsi="仿宋_GB2312" w:eastAsia="仿宋_GB2312" w:cs="仿宋_GB2312"/>
                <w:color w:val="000000"/>
                <w:kern w:val="0"/>
                <w:szCs w:val="21"/>
              </w:rPr>
              <w:t>第二十九条：“建设工程的消防设计、施工必须符合国家工程建设消防技术标准。建设单位依法对建设工程消防设计、施工质量负首要责任。设计、施工、工程监理、技术服务等单位依法对建设工程消防设计、施工质量负主体责任。建设、设计、施工、工程监理、技术服务等单位的从业人员依法对建设工程消防设计、施工质量承担相应的个人责任。”</w:t>
            </w:r>
          </w:p>
        </w:tc>
        <w:tc>
          <w:tcPr>
            <w:tcW w:w="700" w:type="pct"/>
            <w:vMerge w:val="restart"/>
            <w:vAlign w:val="center"/>
          </w:tcPr>
          <w:p>
            <w:pPr>
              <w:widowControl/>
              <w:jc w:val="left"/>
              <w:rPr>
                <w:rFonts w:hint="eastAsia" w:ascii="仿宋_GB2312" w:hAnsi="仿宋_GB2312" w:eastAsia="仿宋_GB2312" w:cs="仿宋_GB2312"/>
                <w:szCs w:val="24"/>
              </w:rPr>
            </w:pPr>
            <w:r>
              <w:rPr>
                <w:rFonts w:hint="eastAsia" w:ascii="仿宋_GB2312" w:hAnsi="仿宋_GB2312" w:eastAsia="仿宋_GB2312" w:cs="仿宋_GB2312"/>
                <w:color w:val="000000"/>
                <w:szCs w:val="24"/>
              </w:rPr>
              <w:t>第九十九条第三项：“</w:t>
            </w:r>
            <w:r>
              <w:rPr>
                <w:rFonts w:hint="eastAsia" w:ascii="仿宋_GB2312" w:hAnsi="仿宋_GB2312" w:eastAsia="仿宋_GB2312" w:cs="仿宋_GB2312"/>
                <w:szCs w:val="24"/>
              </w:rPr>
              <w:t>违反消防法律、法规规定，有下列行为之一的，由住房建设部门责令改正，处一万元以上五万元以下罚款；情节严重的，责令停止施工，处五万元以上十万元以下罚款；并对其直接责任人员处单位罚款数额百分之五以上百分之十以下罚款：（三）建筑施工单位未按照消防设计文件和消防技术标准施工，降低消防施工质量的。”</w:t>
            </w:r>
          </w:p>
          <w:p>
            <w:pPr>
              <w:rPr>
                <w:rFonts w:hint="eastAsia" w:ascii="宋体" w:hAnsi="宋体" w:eastAsia="宋体" w:cs="黑体"/>
                <w:bCs/>
                <w:color w:val="000000"/>
              </w:rPr>
            </w:pPr>
          </w:p>
        </w:tc>
        <w:tc>
          <w:tcPr>
            <w:tcW w:w="400" w:type="pct"/>
            <w:vMerge w:val="restart"/>
            <w:vAlign w:val="center"/>
          </w:tcPr>
          <w:p>
            <w:pPr>
              <w:jc w:val="center"/>
              <w:rPr>
                <w:rFonts w:hint="eastAsia" w:ascii="宋体" w:hAnsi="宋体" w:eastAsia="宋体" w:cs="黑体"/>
                <w:bCs/>
                <w:color w:val="000000"/>
              </w:rPr>
            </w:pPr>
            <w:r>
              <w:rPr>
                <w:rFonts w:hint="eastAsia" w:ascii="仿宋_GB2312" w:hAnsi="仿宋_GB2312" w:eastAsia="仿宋_GB2312" w:cs="仿宋_GB2312"/>
                <w:bCs/>
                <w:color w:val="000000"/>
              </w:rPr>
              <w:t>罚款</w:t>
            </w:r>
          </w:p>
        </w:tc>
        <w:tc>
          <w:tcPr>
            <w:tcW w:w="400"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从轻</w:t>
            </w:r>
          </w:p>
        </w:tc>
        <w:tc>
          <w:tcPr>
            <w:tcW w:w="800"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color w:val="000000"/>
                <w:szCs w:val="24"/>
              </w:rPr>
              <w:t>未按照消防设计文件和消防技术标准施工，降低消防施工质量</w:t>
            </w:r>
            <w:r>
              <w:rPr>
                <w:rFonts w:hint="eastAsia" w:ascii="仿宋_GB2312" w:hAnsi="仿宋_GB2312" w:eastAsia="仿宋_GB2312" w:cs="仿宋_GB2312"/>
                <w:bCs/>
                <w:color w:val="000000"/>
                <w:szCs w:val="24"/>
              </w:rPr>
              <w:t>，未造成危害后果的</w:t>
            </w:r>
          </w:p>
        </w:tc>
        <w:tc>
          <w:tcPr>
            <w:tcW w:w="1400" w:type="pct"/>
            <w:vAlign w:val="center"/>
          </w:tcPr>
          <w:p>
            <w:pPr>
              <w:widowControl/>
              <w:rPr>
                <w:rFonts w:hint="eastAsia" w:ascii="仿宋_GB2312" w:hAnsi="仿宋_GB2312" w:eastAsia="仿宋_GB2312" w:cs="仿宋_GB2312"/>
                <w:bCs/>
                <w:color w:val="000000"/>
                <w:spacing w:val="-20"/>
                <w:szCs w:val="21"/>
              </w:rPr>
            </w:pPr>
            <w:r>
              <w:rPr>
                <w:rFonts w:hint="eastAsia" w:ascii="仿宋_GB2312" w:hAnsi="仿宋_GB2312" w:eastAsia="仿宋_GB2312" w:cs="仿宋_GB2312"/>
                <w:bCs/>
                <w:color w:val="000000"/>
                <w:spacing w:val="-20"/>
                <w:szCs w:val="21"/>
              </w:rPr>
              <w:t>责令改正，处一万元以上、低于三万元罚款；</w:t>
            </w:r>
          </w:p>
          <w:p>
            <w:pPr>
              <w:rPr>
                <w:rFonts w:hint="eastAsia" w:ascii="仿宋_GB2312" w:hAnsi="仿宋_GB2312" w:eastAsia="仿宋_GB2312" w:cs="仿宋_GB2312"/>
                <w:bCs/>
                <w:color w:val="000000"/>
                <w:spacing w:val="-20"/>
                <w:szCs w:val="21"/>
              </w:rPr>
            </w:pPr>
            <w:r>
              <w:rPr>
                <w:rFonts w:hint="eastAsia" w:ascii="仿宋_GB2312" w:hAnsi="仿宋_GB2312" w:eastAsia="仿宋_GB2312" w:cs="仿宋_GB2312"/>
                <w:bCs/>
                <w:spacing w:val="-20"/>
                <w:szCs w:val="24"/>
              </w:rPr>
              <w:t>对直接责任人员处单位罚款数额百分之五以上、低于百分之七点五罚款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 w:hRule="atLeast"/>
          <w:jc w:val="center"/>
        </w:trPr>
        <w:tc>
          <w:tcPr>
            <w:tcW w:w="262" w:type="pct"/>
            <w:vMerge w:val="continue"/>
            <w:vAlign w:val="center"/>
          </w:tcPr>
          <w:p>
            <w:pPr>
              <w:rPr>
                <w:rFonts w:hint="eastAsia" w:ascii="宋体" w:hAnsi="宋体" w:eastAsia="宋体" w:cs="黑体"/>
                <w:bCs/>
                <w:color w:val="000000"/>
              </w:rPr>
            </w:pPr>
          </w:p>
        </w:tc>
        <w:tc>
          <w:tcPr>
            <w:tcW w:w="387" w:type="pct"/>
            <w:vMerge w:val="continue"/>
            <w:vAlign w:val="center"/>
          </w:tcPr>
          <w:p>
            <w:pPr>
              <w:rPr>
                <w:rFonts w:hint="eastAsia" w:ascii="宋体" w:hAnsi="宋体" w:eastAsia="宋体" w:cs="黑体"/>
                <w:bCs/>
                <w:color w:val="000000"/>
              </w:rPr>
            </w:pPr>
          </w:p>
        </w:tc>
        <w:tc>
          <w:tcPr>
            <w:tcW w:w="650" w:type="pct"/>
            <w:vMerge w:val="continue"/>
            <w:vAlign w:val="center"/>
          </w:tcPr>
          <w:p>
            <w:pPr>
              <w:rPr>
                <w:rFonts w:hint="eastAsia" w:ascii="宋体" w:hAnsi="宋体" w:eastAsia="宋体" w:cs="黑体"/>
                <w:bCs/>
                <w:color w:val="000000"/>
              </w:rPr>
            </w:pPr>
          </w:p>
        </w:tc>
        <w:tc>
          <w:tcPr>
            <w:tcW w:w="700"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00" w:type="pct"/>
            <w:vMerge w:val="continue"/>
            <w:vAlign w:val="center"/>
          </w:tcPr>
          <w:p>
            <w:pPr>
              <w:jc w:val="center"/>
              <w:rPr>
                <w:rFonts w:hint="eastAsia" w:ascii="宋体" w:hAnsi="宋体" w:eastAsia="宋体" w:cs="黑体"/>
                <w:bCs/>
                <w:color w:val="000000"/>
              </w:rPr>
            </w:pPr>
          </w:p>
        </w:tc>
        <w:tc>
          <w:tcPr>
            <w:tcW w:w="400"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一般</w:t>
            </w:r>
          </w:p>
        </w:tc>
        <w:tc>
          <w:tcPr>
            <w:tcW w:w="800"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color w:val="000000"/>
                <w:szCs w:val="24"/>
              </w:rPr>
              <w:t>未按照消防设计文件和消防技术标准施工，降低消防施工质量</w:t>
            </w:r>
            <w:r>
              <w:rPr>
                <w:rFonts w:hint="eastAsia" w:ascii="仿宋_GB2312" w:hAnsi="仿宋_GB2312" w:eastAsia="仿宋_GB2312" w:cs="仿宋_GB2312"/>
                <w:bCs/>
                <w:color w:val="000000"/>
                <w:szCs w:val="24"/>
              </w:rPr>
              <w:t>，造成轻微危害后果的</w:t>
            </w:r>
          </w:p>
        </w:tc>
        <w:tc>
          <w:tcPr>
            <w:tcW w:w="1400" w:type="pct"/>
            <w:vAlign w:val="center"/>
          </w:tcPr>
          <w:p>
            <w:pPr>
              <w:widowControl/>
              <w:rPr>
                <w:rFonts w:hint="eastAsia" w:ascii="仿宋_GB2312" w:hAnsi="仿宋_GB2312" w:eastAsia="仿宋_GB2312" w:cs="仿宋_GB2312"/>
                <w:bCs/>
                <w:color w:val="000000"/>
                <w:spacing w:val="-20"/>
                <w:szCs w:val="21"/>
              </w:rPr>
            </w:pPr>
            <w:r>
              <w:rPr>
                <w:rFonts w:hint="eastAsia" w:ascii="仿宋_GB2312" w:hAnsi="仿宋_GB2312" w:eastAsia="仿宋_GB2312" w:cs="仿宋_GB2312"/>
                <w:bCs/>
                <w:color w:val="000000"/>
                <w:spacing w:val="-20"/>
                <w:szCs w:val="21"/>
              </w:rPr>
              <w:t>责令改正，处三万元罚款；</w:t>
            </w:r>
          </w:p>
          <w:p>
            <w:pPr>
              <w:rPr>
                <w:rFonts w:hint="eastAsia" w:ascii="仿宋_GB2312" w:hAnsi="仿宋_GB2312" w:eastAsia="仿宋_GB2312" w:cs="仿宋_GB2312"/>
                <w:bCs/>
                <w:color w:val="000000"/>
                <w:spacing w:val="-20"/>
              </w:rPr>
            </w:pPr>
            <w:r>
              <w:rPr>
                <w:rFonts w:hint="eastAsia" w:ascii="仿宋_GB2312" w:hAnsi="仿宋_GB2312" w:eastAsia="仿宋_GB2312" w:cs="仿宋_GB2312"/>
                <w:bCs/>
                <w:spacing w:val="-20"/>
                <w:szCs w:val="24"/>
              </w:rPr>
              <w:t>对直接责任人员处单位罚款数额百分之七点五罚款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262" w:type="pct"/>
            <w:vMerge w:val="continue"/>
            <w:vAlign w:val="center"/>
          </w:tcPr>
          <w:p>
            <w:pPr>
              <w:rPr>
                <w:rFonts w:hint="eastAsia" w:ascii="宋体" w:hAnsi="宋体" w:eastAsia="宋体" w:cs="黑体"/>
                <w:bCs/>
                <w:color w:val="000000"/>
              </w:rPr>
            </w:pPr>
          </w:p>
        </w:tc>
        <w:tc>
          <w:tcPr>
            <w:tcW w:w="387" w:type="pct"/>
            <w:vMerge w:val="continue"/>
            <w:vAlign w:val="center"/>
          </w:tcPr>
          <w:p>
            <w:pPr>
              <w:rPr>
                <w:rFonts w:hint="eastAsia" w:ascii="宋体" w:hAnsi="宋体" w:eastAsia="宋体" w:cs="黑体"/>
                <w:bCs/>
                <w:color w:val="000000"/>
              </w:rPr>
            </w:pPr>
          </w:p>
        </w:tc>
        <w:tc>
          <w:tcPr>
            <w:tcW w:w="650" w:type="pct"/>
            <w:vMerge w:val="continue"/>
            <w:vAlign w:val="center"/>
          </w:tcPr>
          <w:p>
            <w:pPr>
              <w:rPr>
                <w:rFonts w:hint="eastAsia" w:ascii="宋体" w:hAnsi="宋体" w:eastAsia="宋体" w:cs="黑体"/>
                <w:bCs/>
                <w:color w:val="000000"/>
              </w:rPr>
            </w:pPr>
          </w:p>
        </w:tc>
        <w:tc>
          <w:tcPr>
            <w:tcW w:w="700"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00" w:type="pct"/>
            <w:vMerge w:val="continue"/>
            <w:vAlign w:val="center"/>
          </w:tcPr>
          <w:p>
            <w:pPr>
              <w:jc w:val="center"/>
              <w:rPr>
                <w:rFonts w:hint="eastAsia" w:ascii="宋体" w:hAnsi="宋体" w:eastAsia="宋体" w:cs="黑体"/>
                <w:bCs/>
                <w:color w:val="000000"/>
              </w:rPr>
            </w:pPr>
          </w:p>
        </w:tc>
        <w:tc>
          <w:tcPr>
            <w:tcW w:w="400"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从重</w:t>
            </w:r>
          </w:p>
        </w:tc>
        <w:tc>
          <w:tcPr>
            <w:tcW w:w="800"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color w:val="000000"/>
                <w:szCs w:val="24"/>
              </w:rPr>
              <w:t>未按照消防设计文件和消防技术标准施工，降低消防施工质量</w:t>
            </w:r>
            <w:r>
              <w:rPr>
                <w:rFonts w:hint="eastAsia" w:ascii="仿宋_GB2312" w:hAnsi="仿宋_GB2312" w:eastAsia="仿宋_GB2312" w:cs="仿宋_GB2312"/>
                <w:bCs/>
                <w:color w:val="000000"/>
                <w:szCs w:val="24"/>
              </w:rPr>
              <w:t>，造成一般危害后果的</w:t>
            </w:r>
          </w:p>
        </w:tc>
        <w:tc>
          <w:tcPr>
            <w:tcW w:w="1400" w:type="pct"/>
            <w:vAlign w:val="center"/>
          </w:tcPr>
          <w:p>
            <w:pPr>
              <w:widowControl/>
              <w:rPr>
                <w:rFonts w:hint="eastAsia" w:ascii="仿宋_GB2312" w:hAnsi="仿宋_GB2312" w:eastAsia="仿宋_GB2312" w:cs="仿宋_GB2312"/>
                <w:bCs/>
                <w:spacing w:val="-20"/>
                <w:szCs w:val="24"/>
              </w:rPr>
            </w:pPr>
            <w:r>
              <w:rPr>
                <w:rFonts w:hint="eastAsia" w:ascii="仿宋_GB2312" w:hAnsi="仿宋_GB2312" w:eastAsia="仿宋_GB2312" w:cs="仿宋_GB2312"/>
                <w:bCs/>
                <w:spacing w:val="-20"/>
                <w:szCs w:val="24"/>
              </w:rPr>
              <w:t>责令</w:t>
            </w:r>
            <w:r>
              <w:rPr>
                <w:rFonts w:hint="eastAsia" w:ascii="仿宋_GB2312" w:hAnsi="仿宋_GB2312" w:eastAsia="仿宋_GB2312" w:cs="仿宋_GB2312"/>
                <w:bCs/>
                <w:color w:val="000000"/>
                <w:spacing w:val="-20"/>
                <w:szCs w:val="21"/>
              </w:rPr>
              <w:t>改正</w:t>
            </w:r>
            <w:r>
              <w:rPr>
                <w:rFonts w:hint="eastAsia" w:ascii="仿宋_GB2312" w:hAnsi="仿宋_GB2312" w:eastAsia="仿宋_GB2312" w:cs="仿宋_GB2312"/>
                <w:bCs/>
                <w:spacing w:val="-20"/>
                <w:szCs w:val="24"/>
              </w:rPr>
              <w:t>，处超过三万元、五万元以下罚款；</w:t>
            </w:r>
          </w:p>
          <w:p>
            <w:pPr>
              <w:rPr>
                <w:rFonts w:hint="eastAsia" w:ascii="仿宋_GB2312" w:hAnsi="仿宋_GB2312" w:eastAsia="仿宋_GB2312" w:cs="仿宋_GB2312"/>
                <w:bCs/>
                <w:color w:val="000000"/>
                <w:spacing w:val="-20"/>
              </w:rPr>
            </w:pPr>
            <w:r>
              <w:rPr>
                <w:rFonts w:hint="eastAsia" w:ascii="仿宋_GB2312" w:hAnsi="仿宋_GB2312" w:eastAsia="仿宋_GB2312" w:cs="仿宋_GB2312"/>
                <w:bCs/>
                <w:spacing w:val="-20"/>
                <w:szCs w:val="24"/>
              </w:rPr>
              <w:t>对直接责任人员处单位罚款数额超过百分之七点五、百分之十以下罚款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262" w:type="pct"/>
            <w:vMerge w:val="continue"/>
            <w:vAlign w:val="center"/>
          </w:tcPr>
          <w:p>
            <w:pPr>
              <w:rPr>
                <w:rFonts w:hint="eastAsia" w:ascii="宋体" w:hAnsi="宋体" w:eastAsia="宋体" w:cs="黑体"/>
                <w:bCs/>
                <w:color w:val="000000"/>
              </w:rPr>
            </w:pPr>
          </w:p>
        </w:tc>
        <w:tc>
          <w:tcPr>
            <w:tcW w:w="387" w:type="pct"/>
            <w:vMerge w:val="continue"/>
            <w:vAlign w:val="center"/>
          </w:tcPr>
          <w:p>
            <w:pPr>
              <w:rPr>
                <w:rFonts w:hint="eastAsia" w:ascii="宋体" w:hAnsi="宋体" w:eastAsia="宋体" w:cs="黑体"/>
                <w:bCs/>
                <w:color w:val="000000"/>
              </w:rPr>
            </w:pPr>
          </w:p>
        </w:tc>
        <w:tc>
          <w:tcPr>
            <w:tcW w:w="650" w:type="pct"/>
            <w:vMerge w:val="continue"/>
            <w:vAlign w:val="center"/>
          </w:tcPr>
          <w:p>
            <w:pPr>
              <w:rPr>
                <w:rFonts w:hint="eastAsia" w:ascii="宋体" w:hAnsi="宋体" w:eastAsia="宋体" w:cs="黑体"/>
                <w:bCs/>
                <w:color w:val="000000"/>
              </w:rPr>
            </w:pPr>
          </w:p>
        </w:tc>
        <w:tc>
          <w:tcPr>
            <w:tcW w:w="700"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00" w:type="pct"/>
            <w:vMerge w:val="continue"/>
            <w:vAlign w:val="center"/>
          </w:tcPr>
          <w:p>
            <w:pPr>
              <w:jc w:val="center"/>
              <w:rPr>
                <w:rFonts w:hint="eastAsia" w:ascii="宋体" w:hAnsi="宋体" w:eastAsia="宋体" w:cs="黑体"/>
                <w:bCs/>
                <w:color w:val="000000"/>
              </w:rPr>
            </w:pPr>
          </w:p>
        </w:tc>
        <w:tc>
          <w:tcPr>
            <w:tcW w:w="400"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从轻</w:t>
            </w:r>
          </w:p>
        </w:tc>
        <w:tc>
          <w:tcPr>
            <w:tcW w:w="800"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szCs w:val="24"/>
              </w:rPr>
              <w:t>逾期未改正，尚未造成</w:t>
            </w:r>
            <w:r>
              <w:rPr>
                <w:rFonts w:hint="eastAsia" w:ascii="仿宋_GB2312" w:hAnsi="仿宋_GB2312" w:eastAsia="仿宋_GB2312" w:cs="仿宋_GB2312"/>
                <w:bCs/>
                <w:color w:val="000000"/>
                <w:szCs w:val="24"/>
              </w:rPr>
              <w:t>火灾责任事故</w:t>
            </w:r>
          </w:p>
        </w:tc>
        <w:tc>
          <w:tcPr>
            <w:tcW w:w="1400" w:type="pct"/>
            <w:vAlign w:val="center"/>
          </w:tcPr>
          <w:p>
            <w:pPr>
              <w:rPr>
                <w:rFonts w:hint="eastAsia" w:ascii="仿宋_GB2312" w:hAnsi="仿宋_GB2312" w:eastAsia="仿宋_GB2312" w:cs="仿宋_GB2312"/>
                <w:spacing w:val="-20"/>
                <w:szCs w:val="24"/>
              </w:rPr>
            </w:pPr>
            <w:r>
              <w:rPr>
                <w:rFonts w:hint="eastAsia" w:ascii="仿宋_GB2312" w:hAnsi="仿宋_GB2312" w:eastAsia="仿宋_GB2312" w:cs="仿宋_GB2312"/>
                <w:color w:val="000000"/>
                <w:spacing w:val="-20"/>
                <w:kern w:val="0"/>
                <w:szCs w:val="21"/>
                <w:lang w:bidi="ar"/>
              </w:rPr>
              <w:t>责令停止施工，</w:t>
            </w:r>
            <w:r>
              <w:rPr>
                <w:rFonts w:hint="eastAsia" w:ascii="仿宋_GB2312" w:hAnsi="仿宋_GB2312" w:eastAsia="仿宋_GB2312" w:cs="仿宋_GB2312"/>
                <w:spacing w:val="-20"/>
                <w:szCs w:val="24"/>
              </w:rPr>
              <w:t>并处五万元以上、低于七万五千元以下的罚款；</w:t>
            </w:r>
          </w:p>
          <w:p>
            <w:pPr>
              <w:rPr>
                <w:rFonts w:hint="eastAsia" w:ascii="仿宋_GB2312" w:hAnsi="仿宋_GB2312" w:eastAsia="仿宋_GB2312" w:cs="仿宋_GB2312"/>
                <w:bCs/>
                <w:color w:val="000000"/>
                <w:spacing w:val="-20"/>
              </w:rPr>
            </w:pPr>
            <w:r>
              <w:rPr>
                <w:rFonts w:hint="eastAsia" w:ascii="仿宋_GB2312" w:hAnsi="仿宋_GB2312" w:eastAsia="仿宋_GB2312" w:cs="仿宋_GB2312"/>
                <w:bCs/>
                <w:spacing w:val="-20"/>
                <w:szCs w:val="24"/>
              </w:rPr>
              <w:t>对直接责任人员处单位罚款数额百分之七点五罚款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262" w:type="pct"/>
            <w:vMerge w:val="continue"/>
            <w:vAlign w:val="center"/>
          </w:tcPr>
          <w:p>
            <w:pPr>
              <w:rPr>
                <w:rFonts w:hint="eastAsia" w:ascii="宋体" w:hAnsi="宋体" w:eastAsia="宋体" w:cs="黑体"/>
                <w:bCs/>
                <w:color w:val="000000"/>
              </w:rPr>
            </w:pPr>
          </w:p>
        </w:tc>
        <w:tc>
          <w:tcPr>
            <w:tcW w:w="387" w:type="pct"/>
            <w:vMerge w:val="continue"/>
            <w:vAlign w:val="center"/>
          </w:tcPr>
          <w:p>
            <w:pPr>
              <w:rPr>
                <w:rFonts w:hint="eastAsia" w:ascii="宋体" w:hAnsi="宋体" w:eastAsia="宋体" w:cs="黑体"/>
                <w:bCs/>
                <w:color w:val="000000"/>
              </w:rPr>
            </w:pPr>
          </w:p>
        </w:tc>
        <w:tc>
          <w:tcPr>
            <w:tcW w:w="650" w:type="pct"/>
            <w:vMerge w:val="continue"/>
            <w:vAlign w:val="center"/>
          </w:tcPr>
          <w:p>
            <w:pPr>
              <w:rPr>
                <w:rFonts w:hint="eastAsia" w:ascii="宋体" w:hAnsi="宋体" w:eastAsia="宋体" w:cs="黑体"/>
                <w:bCs/>
                <w:color w:val="000000"/>
              </w:rPr>
            </w:pPr>
          </w:p>
        </w:tc>
        <w:tc>
          <w:tcPr>
            <w:tcW w:w="700"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00" w:type="pct"/>
            <w:vMerge w:val="continue"/>
            <w:vAlign w:val="center"/>
          </w:tcPr>
          <w:p>
            <w:pPr>
              <w:jc w:val="center"/>
              <w:rPr>
                <w:rFonts w:hint="eastAsia" w:ascii="宋体" w:hAnsi="宋体" w:eastAsia="宋体" w:cs="黑体"/>
                <w:bCs/>
                <w:color w:val="000000"/>
              </w:rPr>
            </w:pPr>
          </w:p>
        </w:tc>
        <w:tc>
          <w:tcPr>
            <w:tcW w:w="400"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一般</w:t>
            </w:r>
          </w:p>
        </w:tc>
        <w:tc>
          <w:tcPr>
            <w:tcW w:w="800"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1"/>
              </w:rPr>
              <w:t>造成</w:t>
            </w:r>
            <w:r>
              <w:rPr>
                <w:rFonts w:hint="eastAsia" w:ascii="仿宋_GB2312" w:hAnsi="仿宋_GB2312" w:eastAsia="仿宋_GB2312" w:cs="仿宋_GB2312"/>
                <w:color w:val="000000"/>
                <w:szCs w:val="24"/>
              </w:rPr>
              <w:t>火灾责任</w:t>
            </w:r>
            <w:r>
              <w:rPr>
                <w:rFonts w:hint="eastAsia" w:ascii="仿宋_GB2312" w:hAnsi="仿宋_GB2312" w:eastAsia="仿宋_GB2312" w:cs="仿宋_GB2312"/>
                <w:szCs w:val="21"/>
              </w:rPr>
              <w:t>事故的</w:t>
            </w:r>
          </w:p>
        </w:tc>
        <w:tc>
          <w:tcPr>
            <w:tcW w:w="1400" w:type="pct"/>
            <w:vAlign w:val="center"/>
          </w:tcPr>
          <w:p>
            <w:pPr>
              <w:rPr>
                <w:rFonts w:hint="eastAsia" w:ascii="仿宋_GB2312" w:hAnsi="仿宋_GB2312" w:eastAsia="仿宋_GB2312" w:cs="仿宋_GB2312"/>
                <w:bCs/>
                <w:color w:val="000000"/>
                <w:spacing w:val="-20"/>
              </w:rPr>
            </w:pPr>
            <w:r>
              <w:rPr>
                <w:rFonts w:hint="eastAsia" w:ascii="仿宋_GB2312" w:hAnsi="仿宋_GB2312" w:eastAsia="仿宋_GB2312" w:cs="仿宋_GB2312"/>
                <w:color w:val="000000"/>
                <w:spacing w:val="-20"/>
                <w:kern w:val="0"/>
                <w:szCs w:val="21"/>
                <w:lang w:bidi="ar"/>
              </w:rPr>
              <w:t>责令停止施工，</w:t>
            </w:r>
            <w:r>
              <w:rPr>
                <w:rFonts w:hint="eastAsia" w:ascii="仿宋_GB2312" w:hAnsi="仿宋_GB2312" w:eastAsia="仿宋_GB2312" w:cs="仿宋_GB2312"/>
                <w:spacing w:val="-20"/>
                <w:szCs w:val="24"/>
              </w:rPr>
              <w:t>并处于七万五千元的罚款；</w:t>
            </w:r>
            <w:r>
              <w:rPr>
                <w:rFonts w:hint="eastAsia" w:ascii="仿宋_GB2312" w:hAnsi="仿宋_GB2312" w:eastAsia="仿宋_GB2312" w:cs="仿宋_GB2312"/>
                <w:bCs/>
                <w:spacing w:val="-20"/>
                <w:szCs w:val="24"/>
              </w:rPr>
              <w:t>对直接责任人员处单位罚款数额百分之七点五罚款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262" w:type="pct"/>
            <w:vMerge w:val="continue"/>
            <w:vAlign w:val="center"/>
          </w:tcPr>
          <w:p>
            <w:pPr>
              <w:rPr>
                <w:rFonts w:hint="eastAsia" w:ascii="宋体" w:hAnsi="宋体" w:eastAsia="宋体" w:cs="黑体"/>
                <w:bCs/>
                <w:color w:val="000000"/>
              </w:rPr>
            </w:pPr>
          </w:p>
        </w:tc>
        <w:tc>
          <w:tcPr>
            <w:tcW w:w="387" w:type="pct"/>
            <w:vMerge w:val="continue"/>
            <w:vAlign w:val="center"/>
          </w:tcPr>
          <w:p>
            <w:pPr>
              <w:rPr>
                <w:rFonts w:hint="eastAsia" w:ascii="宋体" w:hAnsi="宋体" w:eastAsia="宋体" w:cs="黑体"/>
                <w:bCs/>
                <w:color w:val="000000"/>
              </w:rPr>
            </w:pPr>
          </w:p>
        </w:tc>
        <w:tc>
          <w:tcPr>
            <w:tcW w:w="650" w:type="pct"/>
            <w:vMerge w:val="continue"/>
            <w:vAlign w:val="center"/>
          </w:tcPr>
          <w:p>
            <w:pPr>
              <w:rPr>
                <w:rFonts w:hint="eastAsia" w:ascii="宋体" w:hAnsi="宋体" w:eastAsia="宋体" w:cs="黑体"/>
                <w:bCs/>
                <w:color w:val="000000"/>
              </w:rPr>
            </w:pPr>
          </w:p>
        </w:tc>
        <w:tc>
          <w:tcPr>
            <w:tcW w:w="700"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00" w:type="pct"/>
            <w:vMerge w:val="continue"/>
            <w:vAlign w:val="center"/>
          </w:tcPr>
          <w:p>
            <w:pPr>
              <w:jc w:val="center"/>
              <w:rPr>
                <w:rFonts w:hint="eastAsia" w:ascii="宋体" w:hAnsi="宋体" w:eastAsia="宋体" w:cs="黑体"/>
                <w:bCs/>
                <w:color w:val="000000"/>
              </w:rPr>
            </w:pPr>
          </w:p>
        </w:tc>
        <w:tc>
          <w:tcPr>
            <w:tcW w:w="400"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从重</w:t>
            </w:r>
          </w:p>
        </w:tc>
        <w:tc>
          <w:tcPr>
            <w:tcW w:w="800"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1"/>
              </w:rPr>
              <w:t>造成较大及以上</w:t>
            </w:r>
            <w:r>
              <w:rPr>
                <w:rFonts w:hint="eastAsia" w:ascii="仿宋_GB2312" w:hAnsi="仿宋_GB2312" w:eastAsia="仿宋_GB2312" w:cs="仿宋_GB2312"/>
                <w:color w:val="000000"/>
                <w:szCs w:val="24"/>
              </w:rPr>
              <w:t>火灾责任</w:t>
            </w:r>
            <w:r>
              <w:rPr>
                <w:rFonts w:hint="eastAsia" w:ascii="仿宋_GB2312" w:hAnsi="仿宋_GB2312" w:eastAsia="仿宋_GB2312" w:cs="仿宋_GB2312"/>
                <w:szCs w:val="21"/>
              </w:rPr>
              <w:t>事故的</w:t>
            </w:r>
          </w:p>
        </w:tc>
        <w:tc>
          <w:tcPr>
            <w:tcW w:w="1400" w:type="pct"/>
            <w:vAlign w:val="center"/>
          </w:tcPr>
          <w:p>
            <w:pPr>
              <w:widowControl/>
              <w:rPr>
                <w:rFonts w:hint="eastAsia" w:ascii="仿宋_GB2312" w:hAnsi="仿宋_GB2312" w:eastAsia="仿宋_GB2312" w:cs="仿宋_GB2312"/>
                <w:bCs/>
                <w:spacing w:val="-20"/>
                <w:szCs w:val="24"/>
              </w:rPr>
            </w:pPr>
            <w:r>
              <w:rPr>
                <w:rFonts w:hint="eastAsia" w:ascii="仿宋_GB2312" w:hAnsi="仿宋_GB2312" w:eastAsia="仿宋_GB2312" w:cs="仿宋_GB2312"/>
                <w:color w:val="000000"/>
                <w:spacing w:val="-20"/>
                <w:kern w:val="0"/>
                <w:szCs w:val="21"/>
                <w:lang w:bidi="ar"/>
              </w:rPr>
              <w:t>责令停止施工</w:t>
            </w:r>
            <w:r>
              <w:rPr>
                <w:rFonts w:hint="eastAsia" w:ascii="仿宋_GB2312" w:hAnsi="仿宋_GB2312" w:eastAsia="仿宋_GB2312" w:cs="仿宋_GB2312"/>
                <w:bCs/>
                <w:spacing w:val="-20"/>
                <w:szCs w:val="24"/>
              </w:rPr>
              <w:t>，处超过七万五千元、十万元以下罚款；</w:t>
            </w:r>
          </w:p>
          <w:p>
            <w:pPr>
              <w:rPr>
                <w:rFonts w:hint="eastAsia" w:ascii="仿宋_GB2312" w:hAnsi="仿宋_GB2312" w:eastAsia="仿宋_GB2312" w:cs="仿宋_GB2312"/>
                <w:bCs/>
                <w:color w:val="000000"/>
                <w:spacing w:val="-20"/>
              </w:rPr>
            </w:pPr>
            <w:r>
              <w:rPr>
                <w:rFonts w:hint="eastAsia" w:ascii="仿宋_GB2312" w:hAnsi="仿宋_GB2312" w:eastAsia="仿宋_GB2312" w:cs="仿宋_GB2312"/>
                <w:bCs/>
                <w:spacing w:val="-20"/>
                <w:szCs w:val="24"/>
              </w:rPr>
              <w:t>对直接责任人员处单位罚款数额超过百分之七点五、百分之十以下罚款</w:t>
            </w:r>
          </w:p>
        </w:tc>
      </w:tr>
    </w:tbl>
    <w:p>
      <w:pPr>
        <w:widowControl/>
        <w:jc w:val="left"/>
        <w:rPr>
          <w:rFonts w:hint="eastAsia" w:ascii="宋体" w:hAnsi="宋体" w:eastAsia="宋体" w:cs="Times New Roman"/>
          <w:bCs/>
          <w:sz w:val="32"/>
          <w:szCs w:val="32"/>
        </w:rPr>
      </w:pPr>
      <w:r>
        <w:rPr>
          <w:rFonts w:hint="eastAsia" w:ascii="宋体" w:hAnsi="宋体" w:eastAsia="宋体" w:cs="Times New Roman"/>
          <w:bCs/>
          <w:sz w:val="32"/>
          <w:szCs w:val="32"/>
        </w:rPr>
        <w:t>《深圳经济特区消防条例》</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54"/>
        <w:gridCol w:w="1114"/>
        <w:gridCol w:w="2016"/>
        <w:gridCol w:w="2160"/>
        <w:gridCol w:w="1154"/>
        <w:gridCol w:w="1154"/>
        <w:gridCol w:w="1726"/>
        <w:gridCol w:w="40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66"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序号</w:t>
            </w:r>
          </w:p>
        </w:tc>
        <w:tc>
          <w:tcPr>
            <w:tcW w:w="393"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711"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762"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407"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407"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60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1445"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266" w:type="pct"/>
            <w:vMerge w:val="restart"/>
            <w:vAlign w:val="center"/>
          </w:tcPr>
          <w:p>
            <w:pPr>
              <w:jc w:val="center"/>
              <w:rPr>
                <w:rFonts w:hint="eastAsia" w:ascii="宋体" w:hAnsi="宋体" w:eastAsia="宋体" w:cs="黑体"/>
                <w:bCs/>
                <w:color w:val="000000"/>
                <w:kern w:val="0"/>
                <w:szCs w:val="21"/>
                <w:lang w:val="en"/>
              </w:rPr>
            </w:pPr>
            <w:r>
              <w:rPr>
                <w:rFonts w:hint="eastAsia" w:ascii="仿宋_GB2312" w:hAnsi="仿宋_GB2312" w:eastAsia="仿宋_GB2312" w:cs="仿宋_GB2312"/>
                <w:szCs w:val="24"/>
              </w:rPr>
              <w:t>110.</w:t>
            </w:r>
            <w:r>
              <w:rPr>
                <w:rFonts w:hint="eastAsia" w:ascii="仿宋_GB2312" w:hAnsi="仿宋_GB2312" w:eastAsia="仿宋_GB2312" w:cs="仿宋_GB2312"/>
                <w:szCs w:val="24"/>
                <w:lang w:val="en"/>
              </w:rPr>
              <w:t>8</w:t>
            </w:r>
          </w:p>
        </w:tc>
        <w:tc>
          <w:tcPr>
            <w:tcW w:w="393" w:type="pct"/>
            <w:vMerge w:val="restart"/>
            <w:vAlign w:val="center"/>
          </w:tcPr>
          <w:p>
            <w:pPr>
              <w:rPr>
                <w:rFonts w:hint="eastAsia" w:ascii="宋体" w:hAnsi="宋体" w:eastAsia="宋体" w:cs="黑体"/>
                <w:bCs/>
                <w:color w:val="000000"/>
                <w:szCs w:val="21"/>
              </w:rPr>
            </w:pPr>
            <w:r>
              <w:rPr>
                <w:rFonts w:hint="eastAsia" w:ascii="仿宋_GB2312" w:hAnsi="仿宋_GB2312" w:eastAsia="仿宋_GB2312" w:cs="仿宋_GB2312"/>
                <w:color w:val="000000"/>
                <w:szCs w:val="24"/>
              </w:rPr>
              <w:t>工程监理单位与建设单位或者建筑施工单位串通，弄虚作假，降低消防施工质量的</w:t>
            </w:r>
          </w:p>
        </w:tc>
        <w:tc>
          <w:tcPr>
            <w:tcW w:w="711" w:type="pct"/>
            <w:vMerge w:val="restart"/>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第二十九条：“建设工程的消防设计、施工必须符合国家工程建设消防技术标准。建设单位依法对建设工程消防设计、施工质量负首要责任。设计、施工、工程监理、技术服务等单位依法对建设工程消防设计、施工质量负主体责任。建设、设计、施工、工程监理、技术服务等单位的从业人员依法对建设工程消防设计、施工质量承担相应的个人责任。”</w:t>
            </w:r>
          </w:p>
          <w:p>
            <w:pPr>
              <w:rPr>
                <w:rFonts w:hint="eastAsia" w:ascii="宋体" w:hAnsi="宋体" w:eastAsia="宋体" w:cs="黑体"/>
                <w:bCs/>
                <w:color w:val="000000"/>
              </w:rPr>
            </w:pPr>
          </w:p>
        </w:tc>
        <w:tc>
          <w:tcPr>
            <w:tcW w:w="762" w:type="pct"/>
            <w:vMerge w:val="restart"/>
            <w:vAlign w:val="center"/>
          </w:tcPr>
          <w:p>
            <w:pPr>
              <w:widowControl/>
              <w:jc w:val="left"/>
              <w:rPr>
                <w:rFonts w:hint="eastAsia" w:ascii="仿宋_GB2312" w:hAnsi="仿宋_GB2312" w:eastAsia="仿宋_GB2312" w:cs="仿宋_GB2312"/>
                <w:szCs w:val="24"/>
              </w:rPr>
            </w:pPr>
            <w:r>
              <w:rPr>
                <w:rFonts w:hint="eastAsia" w:ascii="仿宋_GB2312" w:hAnsi="仿宋_GB2312" w:eastAsia="仿宋_GB2312" w:cs="仿宋_GB2312"/>
                <w:szCs w:val="24"/>
              </w:rPr>
              <w:t>第九十九条第四项：“违反消防法律、法规规定，有下列行为之一的，由住房建设部门责令改正，处一万元以上五万元以下罚款；情节严重的，责令停止施工，处五万元以上十万元以下罚款；并对其直接责任人员处单位罚款数额百分之五以上百分之十以下罚款：（四）工程监理单位与建设单位或者建筑施工单位串通，弄虚作假，降低消防施工质量的。”</w:t>
            </w:r>
          </w:p>
          <w:p>
            <w:pPr>
              <w:rPr>
                <w:rFonts w:hint="eastAsia" w:ascii="宋体" w:hAnsi="宋体" w:eastAsia="宋体" w:cs="黑体"/>
                <w:bCs/>
                <w:color w:val="000000"/>
              </w:rPr>
            </w:pPr>
          </w:p>
        </w:tc>
        <w:tc>
          <w:tcPr>
            <w:tcW w:w="407" w:type="pct"/>
            <w:vMerge w:val="restart"/>
            <w:vAlign w:val="center"/>
          </w:tcPr>
          <w:p>
            <w:pPr>
              <w:jc w:val="center"/>
              <w:rPr>
                <w:rFonts w:hint="eastAsia" w:ascii="宋体" w:hAnsi="宋体" w:eastAsia="宋体" w:cs="黑体"/>
                <w:bCs/>
                <w:color w:val="000000"/>
              </w:rPr>
            </w:pPr>
            <w:r>
              <w:rPr>
                <w:rFonts w:hint="eastAsia" w:ascii="仿宋_GB2312" w:hAnsi="仿宋_GB2312" w:eastAsia="仿宋_GB2312" w:cs="仿宋_GB2312"/>
                <w:bCs/>
                <w:color w:val="000000"/>
              </w:rPr>
              <w:t>罚款</w:t>
            </w:r>
          </w:p>
        </w:tc>
        <w:tc>
          <w:tcPr>
            <w:tcW w:w="407"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从轻</w:t>
            </w:r>
          </w:p>
        </w:tc>
        <w:tc>
          <w:tcPr>
            <w:tcW w:w="609"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color w:val="000000"/>
                <w:szCs w:val="24"/>
              </w:rPr>
              <w:t>弄虚作假，降低消防施工质量</w:t>
            </w:r>
            <w:r>
              <w:rPr>
                <w:rFonts w:hint="eastAsia" w:ascii="仿宋_GB2312" w:hAnsi="仿宋_GB2312" w:eastAsia="仿宋_GB2312" w:cs="仿宋_GB2312"/>
                <w:bCs/>
                <w:color w:val="000000"/>
                <w:szCs w:val="24"/>
              </w:rPr>
              <w:t>，未造成危害后果的</w:t>
            </w:r>
          </w:p>
        </w:tc>
        <w:tc>
          <w:tcPr>
            <w:tcW w:w="1445" w:type="pct"/>
            <w:vAlign w:val="center"/>
          </w:tcPr>
          <w:p>
            <w:pPr>
              <w:widowControl/>
              <w:rPr>
                <w:rFonts w:hint="eastAsia" w:ascii="仿宋_GB2312" w:hAnsi="仿宋_GB2312" w:eastAsia="仿宋_GB2312" w:cs="仿宋_GB2312"/>
                <w:bCs/>
                <w:color w:val="000000"/>
                <w:spacing w:val="-20"/>
                <w:szCs w:val="21"/>
              </w:rPr>
            </w:pPr>
            <w:r>
              <w:rPr>
                <w:rFonts w:hint="eastAsia" w:ascii="仿宋_GB2312" w:hAnsi="仿宋_GB2312" w:eastAsia="仿宋_GB2312" w:cs="仿宋_GB2312"/>
                <w:bCs/>
                <w:color w:val="000000"/>
                <w:spacing w:val="-20"/>
                <w:szCs w:val="21"/>
              </w:rPr>
              <w:t>责令改正，处一万元以上、低于三万元罚款；</w:t>
            </w:r>
          </w:p>
          <w:p>
            <w:pPr>
              <w:rPr>
                <w:rFonts w:hint="eastAsia" w:ascii="仿宋_GB2312" w:hAnsi="仿宋_GB2312" w:eastAsia="仿宋_GB2312" w:cs="仿宋_GB2312"/>
                <w:bCs/>
                <w:color w:val="000000"/>
                <w:spacing w:val="-20"/>
                <w:szCs w:val="21"/>
              </w:rPr>
            </w:pPr>
            <w:r>
              <w:rPr>
                <w:rFonts w:hint="eastAsia" w:ascii="仿宋_GB2312" w:hAnsi="仿宋_GB2312" w:eastAsia="仿宋_GB2312" w:cs="仿宋_GB2312"/>
                <w:bCs/>
                <w:spacing w:val="-20"/>
                <w:szCs w:val="24"/>
              </w:rPr>
              <w:t>对直接责任人员处单位罚款数额百分之五以上、低于百分之七点五罚款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266" w:type="pct"/>
            <w:vMerge w:val="continue"/>
            <w:vAlign w:val="center"/>
          </w:tcPr>
          <w:p>
            <w:pPr>
              <w:rPr>
                <w:rFonts w:hint="eastAsia" w:ascii="宋体" w:hAnsi="宋体" w:eastAsia="宋体" w:cs="黑体"/>
                <w:bCs/>
                <w:color w:val="000000"/>
              </w:rPr>
            </w:pPr>
          </w:p>
        </w:tc>
        <w:tc>
          <w:tcPr>
            <w:tcW w:w="393" w:type="pct"/>
            <w:vMerge w:val="continue"/>
            <w:vAlign w:val="center"/>
          </w:tcPr>
          <w:p>
            <w:pPr>
              <w:rPr>
                <w:rFonts w:hint="eastAsia" w:ascii="宋体" w:hAnsi="宋体" w:eastAsia="宋体" w:cs="黑体"/>
                <w:bCs/>
                <w:color w:val="000000"/>
              </w:rPr>
            </w:pPr>
          </w:p>
        </w:tc>
        <w:tc>
          <w:tcPr>
            <w:tcW w:w="711" w:type="pct"/>
            <w:vMerge w:val="continue"/>
            <w:vAlign w:val="center"/>
          </w:tcPr>
          <w:p>
            <w:pPr>
              <w:rPr>
                <w:rFonts w:hint="eastAsia" w:ascii="宋体" w:hAnsi="宋体" w:eastAsia="宋体" w:cs="黑体"/>
                <w:bCs/>
                <w:color w:val="000000"/>
              </w:rPr>
            </w:pPr>
          </w:p>
        </w:tc>
        <w:tc>
          <w:tcPr>
            <w:tcW w:w="762"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07" w:type="pct"/>
            <w:vMerge w:val="continue"/>
            <w:vAlign w:val="center"/>
          </w:tcPr>
          <w:p>
            <w:pPr>
              <w:jc w:val="center"/>
              <w:rPr>
                <w:rFonts w:hint="eastAsia" w:ascii="宋体" w:hAnsi="宋体" w:eastAsia="宋体" w:cs="黑体"/>
                <w:bCs/>
                <w:color w:val="000000"/>
              </w:rPr>
            </w:pPr>
          </w:p>
        </w:tc>
        <w:tc>
          <w:tcPr>
            <w:tcW w:w="407"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一般</w:t>
            </w:r>
          </w:p>
        </w:tc>
        <w:tc>
          <w:tcPr>
            <w:tcW w:w="609"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color w:val="000000"/>
                <w:szCs w:val="24"/>
              </w:rPr>
              <w:t>弄虚作假，降低消防施工质量</w:t>
            </w:r>
            <w:r>
              <w:rPr>
                <w:rFonts w:hint="eastAsia" w:ascii="仿宋_GB2312" w:hAnsi="仿宋_GB2312" w:eastAsia="仿宋_GB2312" w:cs="仿宋_GB2312"/>
                <w:bCs/>
                <w:color w:val="000000"/>
                <w:szCs w:val="24"/>
              </w:rPr>
              <w:t>，造成轻微危害后果的</w:t>
            </w:r>
          </w:p>
        </w:tc>
        <w:tc>
          <w:tcPr>
            <w:tcW w:w="1445" w:type="pct"/>
            <w:vAlign w:val="center"/>
          </w:tcPr>
          <w:p>
            <w:pPr>
              <w:widowControl/>
              <w:rPr>
                <w:rFonts w:hint="eastAsia" w:ascii="仿宋_GB2312" w:hAnsi="仿宋_GB2312" w:eastAsia="仿宋_GB2312" w:cs="仿宋_GB2312"/>
                <w:bCs/>
                <w:color w:val="000000"/>
                <w:spacing w:val="-20"/>
                <w:szCs w:val="21"/>
              </w:rPr>
            </w:pPr>
            <w:r>
              <w:rPr>
                <w:rFonts w:hint="eastAsia" w:ascii="仿宋_GB2312" w:hAnsi="仿宋_GB2312" w:eastAsia="仿宋_GB2312" w:cs="仿宋_GB2312"/>
                <w:bCs/>
                <w:color w:val="000000"/>
                <w:spacing w:val="-20"/>
                <w:szCs w:val="21"/>
              </w:rPr>
              <w:t>责令改正，处三万元罚款；</w:t>
            </w:r>
          </w:p>
          <w:p>
            <w:pPr>
              <w:rPr>
                <w:rFonts w:hint="eastAsia" w:ascii="仿宋_GB2312" w:hAnsi="仿宋_GB2312" w:eastAsia="仿宋_GB2312" w:cs="仿宋_GB2312"/>
                <w:bCs/>
                <w:color w:val="000000"/>
                <w:spacing w:val="-20"/>
              </w:rPr>
            </w:pPr>
            <w:r>
              <w:rPr>
                <w:rFonts w:hint="eastAsia" w:ascii="仿宋_GB2312" w:hAnsi="仿宋_GB2312" w:eastAsia="仿宋_GB2312" w:cs="仿宋_GB2312"/>
                <w:bCs/>
                <w:spacing w:val="-20"/>
                <w:szCs w:val="24"/>
              </w:rPr>
              <w:t>对直接责任人员处单位罚款数额百分之七点五罚款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266" w:type="pct"/>
            <w:vMerge w:val="continue"/>
            <w:vAlign w:val="center"/>
          </w:tcPr>
          <w:p>
            <w:pPr>
              <w:rPr>
                <w:rFonts w:hint="eastAsia" w:ascii="宋体" w:hAnsi="宋体" w:eastAsia="宋体" w:cs="黑体"/>
                <w:bCs/>
                <w:color w:val="000000"/>
              </w:rPr>
            </w:pPr>
          </w:p>
        </w:tc>
        <w:tc>
          <w:tcPr>
            <w:tcW w:w="393" w:type="pct"/>
            <w:vMerge w:val="continue"/>
            <w:vAlign w:val="center"/>
          </w:tcPr>
          <w:p>
            <w:pPr>
              <w:rPr>
                <w:rFonts w:hint="eastAsia" w:ascii="宋体" w:hAnsi="宋体" w:eastAsia="宋体" w:cs="黑体"/>
                <w:bCs/>
                <w:color w:val="000000"/>
              </w:rPr>
            </w:pPr>
          </w:p>
        </w:tc>
        <w:tc>
          <w:tcPr>
            <w:tcW w:w="711" w:type="pct"/>
            <w:vMerge w:val="continue"/>
            <w:vAlign w:val="center"/>
          </w:tcPr>
          <w:p>
            <w:pPr>
              <w:rPr>
                <w:rFonts w:hint="eastAsia" w:ascii="宋体" w:hAnsi="宋体" w:eastAsia="宋体" w:cs="黑体"/>
                <w:bCs/>
                <w:color w:val="000000"/>
              </w:rPr>
            </w:pPr>
          </w:p>
        </w:tc>
        <w:tc>
          <w:tcPr>
            <w:tcW w:w="762"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07" w:type="pct"/>
            <w:vMerge w:val="continue"/>
            <w:vAlign w:val="center"/>
          </w:tcPr>
          <w:p>
            <w:pPr>
              <w:jc w:val="center"/>
              <w:rPr>
                <w:rFonts w:hint="eastAsia" w:ascii="宋体" w:hAnsi="宋体" w:eastAsia="宋体" w:cs="黑体"/>
                <w:bCs/>
                <w:color w:val="000000"/>
              </w:rPr>
            </w:pPr>
          </w:p>
        </w:tc>
        <w:tc>
          <w:tcPr>
            <w:tcW w:w="407"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从重</w:t>
            </w:r>
          </w:p>
        </w:tc>
        <w:tc>
          <w:tcPr>
            <w:tcW w:w="609"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color w:val="000000"/>
                <w:szCs w:val="24"/>
              </w:rPr>
              <w:t>弄虚作假，降低消防施工质量</w:t>
            </w:r>
            <w:r>
              <w:rPr>
                <w:rFonts w:hint="eastAsia" w:ascii="仿宋_GB2312" w:hAnsi="仿宋_GB2312" w:eastAsia="仿宋_GB2312" w:cs="仿宋_GB2312"/>
                <w:bCs/>
                <w:color w:val="000000"/>
                <w:szCs w:val="24"/>
              </w:rPr>
              <w:t>，造成一般危害后果的</w:t>
            </w:r>
          </w:p>
        </w:tc>
        <w:tc>
          <w:tcPr>
            <w:tcW w:w="1445" w:type="pct"/>
            <w:vAlign w:val="center"/>
          </w:tcPr>
          <w:p>
            <w:pPr>
              <w:widowControl/>
              <w:rPr>
                <w:rFonts w:hint="eastAsia" w:ascii="仿宋_GB2312" w:hAnsi="仿宋_GB2312" w:eastAsia="仿宋_GB2312" w:cs="仿宋_GB2312"/>
                <w:bCs/>
                <w:spacing w:val="-20"/>
                <w:szCs w:val="24"/>
              </w:rPr>
            </w:pPr>
            <w:r>
              <w:rPr>
                <w:rFonts w:hint="eastAsia" w:ascii="仿宋_GB2312" w:hAnsi="仿宋_GB2312" w:eastAsia="仿宋_GB2312" w:cs="仿宋_GB2312"/>
                <w:bCs/>
                <w:spacing w:val="-20"/>
                <w:szCs w:val="24"/>
              </w:rPr>
              <w:t>责令</w:t>
            </w:r>
            <w:r>
              <w:rPr>
                <w:rFonts w:hint="eastAsia" w:ascii="仿宋_GB2312" w:hAnsi="仿宋_GB2312" w:eastAsia="仿宋_GB2312" w:cs="仿宋_GB2312"/>
                <w:bCs/>
                <w:color w:val="000000"/>
                <w:spacing w:val="-20"/>
                <w:szCs w:val="21"/>
              </w:rPr>
              <w:t>改正</w:t>
            </w:r>
            <w:r>
              <w:rPr>
                <w:rFonts w:hint="eastAsia" w:ascii="仿宋_GB2312" w:hAnsi="仿宋_GB2312" w:eastAsia="仿宋_GB2312" w:cs="仿宋_GB2312"/>
                <w:bCs/>
                <w:spacing w:val="-20"/>
                <w:szCs w:val="24"/>
              </w:rPr>
              <w:t>，处超过三万元、五万元以下罚款；</w:t>
            </w:r>
          </w:p>
          <w:p>
            <w:pPr>
              <w:rPr>
                <w:rFonts w:hint="eastAsia" w:ascii="仿宋_GB2312" w:hAnsi="仿宋_GB2312" w:eastAsia="仿宋_GB2312" w:cs="仿宋_GB2312"/>
                <w:bCs/>
                <w:color w:val="000000"/>
                <w:spacing w:val="-20"/>
              </w:rPr>
            </w:pPr>
            <w:r>
              <w:rPr>
                <w:rFonts w:hint="eastAsia" w:ascii="仿宋_GB2312" w:hAnsi="仿宋_GB2312" w:eastAsia="仿宋_GB2312" w:cs="仿宋_GB2312"/>
                <w:bCs/>
                <w:spacing w:val="-20"/>
                <w:szCs w:val="24"/>
              </w:rPr>
              <w:t>对直接责任人员处单位罚款数额超过百分之七点五、百分之十以下罚款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266" w:type="pct"/>
            <w:vMerge w:val="continue"/>
            <w:vAlign w:val="center"/>
          </w:tcPr>
          <w:p>
            <w:pPr>
              <w:rPr>
                <w:rFonts w:hint="eastAsia" w:ascii="宋体" w:hAnsi="宋体" w:eastAsia="宋体" w:cs="黑体"/>
                <w:bCs/>
                <w:color w:val="000000"/>
              </w:rPr>
            </w:pPr>
          </w:p>
        </w:tc>
        <w:tc>
          <w:tcPr>
            <w:tcW w:w="393" w:type="pct"/>
            <w:vMerge w:val="continue"/>
            <w:vAlign w:val="center"/>
          </w:tcPr>
          <w:p>
            <w:pPr>
              <w:rPr>
                <w:rFonts w:hint="eastAsia" w:ascii="宋体" w:hAnsi="宋体" w:eastAsia="宋体" w:cs="黑体"/>
                <w:bCs/>
                <w:color w:val="000000"/>
              </w:rPr>
            </w:pPr>
          </w:p>
        </w:tc>
        <w:tc>
          <w:tcPr>
            <w:tcW w:w="711" w:type="pct"/>
            <w:vMerge w:val="continue"/>
            <w:vAlign w:val="center"/>
          </w:tcPr>
          <w:p>
            <w:pPr>
              <w:rPr>
                <w:rFonts w:hint="eastAsia" w:ascii="宋体" w:hAnsi="宋体" w:eastAsia="宋体" w:cs="黑体"/>
                <w:bCs/>
                <w:color w:val="000000"/>
              </w:rPr>
            </w:pPr>
          </w:p>
        </w:tc>
        <w:tc>
          <w:tcPr>
            <w:tcW w:w="762"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07" w:type="pct"/>
            <w:vMerge w:val="continue"/>
            <w:vAlign w:val="center"/>
          </w:tcPr>
          <w:p>
            <w:pPr>
              <w:jc w:val="center"/>
              <w:rPr>
                <w:rFonts w:hint="eastAsia" w:ascii="宋体" w:hAnsi="宋体" w:eastAsia="宋体" w:cs="黑体"/>
                <w:bCs/>
                <w:color w:val="000000"/>
              </w:rPr>
            </w:pPr>
          </w:p>
        </w:tc>
        <w:tc>
          <w:tcPr>
            <w:tcW w:w="407"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从轻</w:t>
            </w:r>
          </w:p>
        </w:tc>
        <w:tc>
          <w:tcPr>
            <w:tcW w:w="609"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szCs w:val="24"/>
              </w:rPr>
              <w:t>逾期未改正，尚未造成</w:t>
            </w:r>
            <w:r>
              <w:rPr>
                <w:rFonts w:hint="eastAsia" w:ascii="仿宋_GB2312" w:hAnsi="仿宋_GB2312" w:eastAsia="仿宋_GB2312" w:cs="仿宋_GB2312"/>
                <w:bCs/>
                <w:color w:val="000000"/>
                <w:szCs w:val="24"/>
              </w:rPr>
              <w:t>火灾责任事故</w:t>
            </w:r>
          </w:p>
        </w:tc>
        <w:tc>
          <w:tcPr>
            <w:tcW w:w="1445" w:type="pct"/>
            <w:vAlign w:val="center"/>
          </w:tcPr>
          <w:p>
            <w:pPr>
              <w:rPr>
                <w:rFonts w:hint="eastAsia" w:ascii="仿宋_GB2312" w:hAnsi="仿宋_GB2312" w:eastAsia="仿宋_GB2312" w:cs="仿宋_GB2312"/>
                <w:spacing w:val="-20"/>
                <w:szCs w:val="24"/>
              </w:rPr>
            </w:pPr>
            <w:r>
              <w:rPr>
                <w:rFonts w:hint="eastAsia" w:ascii="仿宋_GB2312" w:hAnsi="仿宋_GB2312" w:eastAsia="仿宋_GB2312" w:cs="仿宋_GB2312"/>
                <w:color w:val="000000"/>
                <w:spacing w:val="-20"/>
                <w:kern w:val="0"/>
                <w:szCs w:val="21"/>
                <w:lang w:bidi="ar"/>
              </w:rPr>
              <w:t>责令停止施工，</w:t>
            </w:r>
            <w:r>
              <w:rPr>
                <w:rFonts w:hint="eastAsia" w:ascii="仿宋_GB2312" w:hAnsi="仿宋_GB2312" w:eastAsia="仿宋_GB2312" w:cs="仿宋_GB2312"/>
                <w:spacing w:val="-20"/>
                <w:szCs w:val="24"/>
              </w:rPr>
              <w:t>并处五万元以上、低于七万五千元以下的罚款；</w:t>
            </w:r>
          </w:p>
          <w:p>
            <w:pPr>
              <w:rPr>
                <w:rFonts w:hint="eastAsia" w:ascii="仿宋_GB2312" w:hAnsi="仿宋_GB2312" w:eastAsia="仿宋_GB2312" w:cs="仿宋_GB2312"/>
                <w:bCs/>
                <w:color w:val="000000"/>
                <w:spacing w:val="-20"/>
              </w:rPr>
            </w:pPr>
            <w:r>
              <w:rPr>
                <w:rFonts w:hint="eastAsia" w:ascii="仿宋_GB2312" w:hAnsi="仿宋_GB2312" w:eastAsia="仿宋_GB2312" w:cs="仿宋_GB2312"/>
                <w:bCs/>
                <w:spacing w:val="-20"/>
                <w:szCs w:val="24"/>
              </w:rPr>
              <w:t>对直接责任人员处单位罚款数额百分之七点五罚款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266" w:type="pct"/>
            <w:vMerge w:val="continue"/>
            <w:vAlign w:val="center"/>
          </w:tcPr>
          <w:p>
            <w:pPr>
              <w:rPr>
                <w:rFonts w:hint="eastAsia" w:ascii="宋体" w:hAnsi="宋体" w:eastAsia="宋体" w:cs="黑体"/>
                <w:bCs/>
                <w:color w:val="000000"/>
              </w:rPr>
            </w:pPr>
          </w:p>
        </w:tc>
        <w:tc>
          <w:tcPr>
            <w:tcW w:w="393" w:type="pct"/>
            <w:vMerge w:val="continue"/>
            <w:vAlign w:val="center"/>
          </w:tcPr>
          <w:p>
            <w:pPr>
              <w:rPr>
                <w:rFonts w:hint="eastAsia" w:ascii="宋体" w:hAnsi="宋体" w:eastAsia="宋体" w:cs="黑体"/>
                <w:bCs/>
                <w:color w:val="000000"/>
              </w:rPr>
            </w:pPr>
          </w:p>
        </w:tc>
        <w:tc>
          <w:tcPr>
            <w:tcW w:w="711" w:type="pct"/>
            <w:vMerge w:val="continue"/>
            <w:vAlign w:val="center"/>
          </w:tcPr>
          <w:p>
            <w:pPr>
              <w:rPr>
                <w:rFonts w:hint="eastAsia" w:ascii="宋体" w:hAnsi="宋体" w:eastAsia="宋体" w:cs="黑体"/>
                <w:bCs/>
                <w:color w:val="000000"/>
              </w:rPr>
            </w:pPr>
          </w:p>
        </w:tc>
        <w:tc>
          <w:tcPr>
            <w:tcW w:w="762"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07" w:type="pct"/>
            <w:vMerge w:val="continue"/>
            <w:vAlign w:val="center"/>
          </w:tcPr>
          <w:p>
            <w:pPr>
              <w:jc w:val="center"/>
              <w:rPr>
                <w:rFonts w:hint="eastAsia" w:ascii="宋体" w:hAnsi="宋体" w:eastAsia="宋体" w:cs="黑体"/>
                <w:bCs/>
                <w:color w:val="000000"/>
              </w:rPr>
            </w:pPr>
          </w:p>
        </w:tc>
        <w:tc>
          <w:tcPr>
            <w:tcW w:w="407"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一般</w:t>
            </w:r>
          </w:p>
        </w:tc>
        <w:tc>
          <w:tcPr>
            <w:tcW w:w="609"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1"/>
              </w:rPr>
              <w:t>造成</w:t>
            </w:r>
            <w:r>
              <w:rPr>
                <w:rFonts w:hint="eastAsia" w:ascii="仿宋_GB2312" w:hAnsi="仿宋_GB2312" w:eastAsia="仿宋_GB2312" w:cs="仿宋_GB2312"/>
                <w:color w:val="000000"/>
                <w:szCs w:val="24"/>
              </w:rPr>
              <w:t>火灾责任</w:t>
            </w:r>
            <w:r>
              <w:rPr>
                <w:rFonts w:hint="eastAsia" w:ascii="仿宋_GB2312" w:hAnsi="仿宋_GB2312" w:eastAsia="仿宋_GB2312" w:cs="仿宋_GB2312"/>
                <w:szCs w:val="21"/>
              </w:rPr>
              <w:t>事故的</w:t>
            </w:r>
          </w:p>
        </w:tc>
        <w:tc>
          <w:tcPr>
            <w:tcW w:w="1445" w:type="pct"/>
            <w:vAlign w:val="center"/>
          </w:tcPr>
          <w:p>
            <w:pPr>
              <w:rPr>
                <w:rFonts w:hint="eastAsia" w:ascii="仿宋_GB2312" w:hAnsi="仿宋_GB2312" w:eastAsia="仿宋_GB2312" w:cs="仿宋_GB2312"/>
                <w:spacing w:val="-20"/>
                <w:szCs w:val="24"/>
              </w:rPr>
            </w:pPr>
            <w:r>
              <w:rPr>
                <w:rFonts w:hint="eastAsia" w:ascii="仿宋_GB2312" w:hAnsi="仿宋_GB2312" w:eastAsia="仿宋_GB2312" w:cs="仿宋_GB2312"/>
                <w:color w:val="000000"/>
                <w:spacing w:val="-20"/>
                <w:kern w:val="0"/>
                <w:szCs w:val="21"/>
                <w:lang w:bidi="ar"/>
              </w:rPr>
              <w:t>责令停止施工，</w:t>
            </w:r>
            <w:r>
              <w:rPr>
                <w:rFonts w:hint="eastAsia" w:ascii="仿宋_GB2312" w:hAnsi="仿宋_GB2312" w:eastAsia="仿宋_GB2312" w:cs="仿宋_GB2312"/>
                <w:spacing w:val="-20"/>
                <w:szCs w:val="24"/>
              </w:rPr>
              <w:t>并处于七万五千元的罚款；</w:t>
            </w:r>
          </w:p>
          <w:p>
            <w:pPr>
              <w:rPr>
                <w:rFonts w:hint="eastAsia" w:ascii="仿宋_GB2312" w:hAnsi="仿宋_GB2312" w:eastAsia="仿宋_GB2312" w:cs="仿宋_GB2312"/>
                <w:bCs/>
                <w:color w:val="000000"/>
                <w:spacing w:val="-20"/>
              </w:rPr>
            </w:pPr>
            <w:r>
              <w:rPr>
                <w:rFonts w:hint="eastAsia" w:ascii="仿宋_GB2312" w:hAnsi="仿宋_GB2312" w:eastAsia="仿宋_GB2312" w:cs="仿宋_GB2312"/>
                <w:bCs/>
                <w:spacing w:val="-20"/>
                <w:szCs w:val="24"/>
              </w:rPr>
              <w:t>对直接责任人员处单位罚款数额百分之七点五罚款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266" w:type="pct"/>
            <w:vMerge w:val="continue"/>
            <w:vAlign w:val="center"/>
          </w:tcPr>
          <w:p>
            <w:pPr>
              <w:rPr>
                <w:rFonts w:hint="eastAsia" w:ascii="宋体" w:hAnsi="宋体" w:eastAsia="宋体" w:cs="黑体"/>
                <w:bCs/>
                <w:color w:val="000000"/>
              </w:rPr>
            </w:pPr>
          </w:p>
        </w:tc>
        <w:tc>
          <w:tcPr>
            <w:tcW w:w="393" w:type="pct"/>
            <w:vMerge w:val="continue"/>
            <w:vAlign w:val="center"/>
          </w:tcPr>
          <w:p>
            <w:pPr>
              <w:rPr>
                <w:rFonts w:hint="eastAsia" w:ascii="宋体" w:hAnsi="宋体" w:eastAsia="宋体" w:cs="黑体"/>
                <w:bCs/>
                <w:color w:val="000000"/>
              </w:rPr>
            </w:pPr>
          </w:p>
        </w:tc>
        <w:tc>
          <w:tcPr>
            <w:tcW w:w="711" w:type="pct"/>
            <w:vMerge w:val="continue"/>
            <w:vAlign w:val="center"/>
          </w:tcPr>
          <w:p>
            <w:pPr>
              <w:rPr>
                <w:rFonts w:hint="eastAsia" w:ascii="宋体" w:hAnsi="宋体" w:eastAsia="宋体" w:cs="黑体"/>
                <w:bCs/>
                <w:color w:val="000000"/>
              </w:rPr>
            </w:pPr>
          </w:p>
        </w:tc>
        <w:tc>
          <w:tcPr>
            <w:tcW w:w="762" w:type="pct"/>
            <w:vMerge w:val="continue"/>
            <w:vAlign w:val="center"/>
          </w:tcPr>
          <w:p>
            <w:pPr>
              <w:widowControl/>
              <w:spacing w:before="100" w:beforeAutospacing="1" w:after="100" w:afterAutospacing="1"/>
              <w:jc w:val="center"/>
              <w:rPr>
                <w:rFonts w:hint="eastAsia" w:ascii="宋体" w:hAnsi="宋体" w:eastAsia="宋体" w:cs="黑体"/>
                <w:bCs/>
                <w:color w:val="000000"/>
                <w:kern w:val="0"/>
                <w:szCs w:val="21"/>
              </w:rPr>
            </w:pPr>
          </w:p>
        </w:tc>
        <w:tc>
          <w:tcPr>
            <w:tcW w:w="407" w:type="pct"/>
            <w:vMerge w:val="continue"/>
            <w:vAlign w:val="center"/>
          </w:tcPr>
          <w:p>
            <w:pPr>
              <w:jc w:val="center"/>
              <w:rPr>
                <w:rFonts w:hint="eastAsia" w:ascii="宋体" w:hAnsi="宋体" w:eastAsia="宋体" w:cs="黑体"/>
                <w:bCs/>
                <w:color w:val="000000"/>
              </w:rPr>
            </w:pPr>
          </w:p>
        </w:tc>
        <w:tc>
          <w:tcPr>
            <w:tcW w:w="407"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从重</w:t>
            </w:r>
          </w:p>
        </w:tc>
        <w:tc>
          <w:tcPr>
            <w:tcW w:w="609"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szCs w:val="21"/>
              </w:rPr>
              <w:t>造成较大及以上</w:t>
            </w:r>
            <w:r>
              <w:rPr>
                <w:rFonts w:hint="eastAsia" w:ascii="仿宋_GB2312" w:hAnsi="仿宋_GB2312" w:eastAsia="仿宋_GB2312" w:cs="仿宋_GB2312"/>
                <w:color w:val="000000"/>
                <w:szCs w:val="24"/>
              </w:rPr>
              <w:t>火灾责任</w:t>
            </w:r>
            <w:r>
              <w:rPr>
                <w:rFonts w:hint="eastAsia" w:ascii="仿宋_GB2312" w:hAnsi="仿宋_GB2312" w:eastAsia="仿宋_GB2312" w:cs="仿宋_GB2312"/>
                <w:szCs w:val="21"/>
              </w:rPr>
              <w:t>事故的</w:t>
            </w:r>
          </w:p>
        </w:tc>
        <w:tc>
          <w:tcPr>
            <w:tcW w:w="1445" w:type="pct"/>
            <w:vAlign w:val="center"/>
          </w:tcPr>
          <w:p>
            <w:pPr>
              <w:widowControl/>
              <w:rPr>
                <w:rFonts w:hint="eastAsia" w:ascii="仿宋_GB2312" w:hAnsi="仿宋_GB2312" w:eastAsia="仿宋_GB2312" w:cs="仿宋_GB2312"/>
                <w:bCs/>
                <w:spacing w:val="-20"/>
                <w:szCs w:val="24"/>
              </w:rPr>
            </w:pPr>
            <w:r>
              <w:rPr>
                <w:rFonts w:hint="eastAsia" w:ascii="仿宋_GB2312" w:hAnsi="仿宋_GB2312" w:eastAsia="仿宋_GB2312" w:cs="仿宋_GB2312"/>
                <w:color w:val="000000"/>
                <w:spacing w:val="-20"/>
                <w:kern w:val="0"/>
                <w:szCs w:val="21"/>
                <w:lang w:bidi="ar"/>
              </w:rPr>
              <w:t>责令停止施工</w:t>
            </w:r>
            <w:r>
              <w:rPr>
                <w:rFonts w:hint="eastAsia" w:ascii="仿宋_GB2312" w:hAnsi="仿宋_GB2312" w:eastAsia="仿宋_GB2312" w:cs="仿宋_GB2312"/>
                <w:bCs/>
                <w:spacing w:val="-20"/>
                <w:szCs w:val="24"/>
              </w:rPr>
              <w:t>，处超过七万五千元、十万元以下罚款；</w:t>
            </w:r>
          </w:p>
          <w:p>
            <w:pPr>
              <w:rPr>
                <w:rFonts w:hint="eastAsia" w:ascii="仿宋_GB2312" w:hAnsi="仿宋_GB2312" w:eastAsia="仿宋_GB2312" w:cs="仿宋_GB2312"/>
                <w:bCs/>
                <w:color w:val="000000"/>
                <w:spacing w:val="-20"/>
              </w:rPr>
            </w:pPr>
            <w:r>
              <w:rPr>
                <w:rFonts w:hint="eastAsia" w:ascii="仿宋_GB2312" w:hAnsi="仿宋_GB2312" w:eastAsia="仿宋_GB2312" w:cs="仿宋_GB2312"/>
                <w:bCs/>
                <w:spacing w:val="-20"/>
                <w:szCs w:val="24"/>
              </w:rPr>
              <w:t>对直接责任人员处单位罚款数额超过百分之七点五、百分之十以下罚款</w:t>
            </w:r>
          </w:p>
        </w:tc>
      </w:tr>
    </w:tbl>
    <w:p>
      <w:pPr>
        <w:rPr>
          <w:rFonts w:hint="eastAsia"/>
          <w:bCs/>
          <w:sz w:val="32"/>
          <w:szCs w:val="32"/>
        </w:rPr>
      </w:pPr>
    </w:p>
    <w:p>
      <w:pPr>
        <w:rPr>
          <w:bCs/>
          <w:sz w:val="32"/>
          <w:szCs w:val="32"/>
        </w:rPr>
      </w:pPr>
      <w:r>
        <w:rPr>
          <w:rFonts w:hint="eastAsia"/>
          <w:bCs/>
          <w:sz w:val="32"/>
          <w:szCs w:val="32"/>
        </w:rPr>
        <w:t>《深圳市建设工程质量管理条例》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6"/>
        <w:gridCol w:w="1346"/>
        <w:gridCol w:w="1990"/>
        <w:gridCol w:w="3422"/>
        <w:gridCol w:w="1278"/>
        <w:gridCol w:w="1196"/>
        <w:gridCol w:w="1638"/>
        <w:gridCol w:w="224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372"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475"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702"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120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451"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22"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578"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793"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72" w:type="pct"/>
            <w:vMerge w:val="restart"/>
            <w:vAlign w:val="center"/>
          </w:tcPr>
          <w:p>
            <w:pPr>
              <w:jc w:val="center"/>
              <w:rPr>
                <w:rFonts w:hint="eastAsia" w:ascii="仿宋_GB2312" w:hAnsi="仿宋_GB2312" w:eastAsia="仿宋_GB2312" w:cs="仿宋_GB2312"/>
                <w:lang w:val="en"/>
              </w:rPr>
            </w:pPr>
            <w:r>
              <w:rPr>
                <w:rFonts w:ascii="仿宋_GB2312" w:hAnsi="仿宋_GB2312" w:eastAsia="仿宋_GB2312" w:cs="仿宋_GB2312"/>
                <w:szCs w:val="24"/>
              </w:rPr>
              <w:t>111.</w:t>
            </w:r>
            <w:r>
              <w:rPr>
                <w:rFonts w:hint="eastAsia" w:ascii="仿宋_GB2312" w:hAnsi="仿宋_GB2312" w:eastAsia="仿宋_GB2312" w:cs="仿宋_GB2312"/>
                <w:szCs w:val="24"/>
                <w:lang w:val="en"/>
              </w:rPr>
              <w:t>1</w:t>
            </w:r>
          </w:p>
        </w:tc>
        <w:tc>
          <w:tcPr>
            <w:tcW w:w="475"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未取得施工许可证擅自施工的</w:t>
            </w:r>
          </w:p>
        </w:tc>
        <w:tc>
          <w:tcPr>
            <w:tcW w:w="702"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第二十七条：“未办理施工许可证的工程，施工单位不得进场施工。”</w:t>
            </w:r>
          </w:p>
        </w:tc>
        <w:tc>
          <w:tcPr>
            <w:tcW w:w="1207"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六十九条第一项：“有下列行为之一的，责令改正，并按照以下规定给予处罚：（一）违反本条例第二十七条规定，未取得施工许可证擅自施工的，对建设单位处工程合同价款百分之一以上百分之二以下罚款，对施工单位处一万元以上三万元以下罚款。”</w:t>
            </w:r>
          </w:p>
          <w:p>
            <w:pPr>
              <w:rPr>
                <w:rFonts w:hint="eastAsia" w:ascii="仿宋_GB2312" w:hAnsi="仿宋_GB2312" w:eastAsia="仿宋_GB2312" w:cs="仿宋_GB2312"/>
              </w:rPr>
            </w:pPr>
          </w:p>
        </w:tc>
        <w:tc>
          <w:tcPr>
            <w:tcW w:w="451"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rPr>
              <w:t>罚款</w:t>
            </w:r>
          </w:p>
        </w:tc>
        <w:tc>
          <w:tcPr>
            <w:tcW w:w="422"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578" w:type="pct"/>
            <w:vAlign w:val="center"/>
          </w:tcPr>
          <w:p>
            <w:pPr>
              <w:widowControl/>
              <w:spacing w:line="240" w:lineRule="atLeast"/>
              <w:rPr>
                <w:rFonts w:hint="eastAsia" w:ascii="仿宋_GB2312" w:hAnsi="仿宋_GB2312" w:eastAsia="仿宋_GB2312" w:cs="仿宋_GB2312"/>
                <w:szCs w:val="21"/>
              </w:rPr>
            </w:pPr>
            <w:r>
              <w:rPr>
                <w:rFonts w:hint="eastAsia" w:ascii="仿宋_GB2312" w:hAnsi="仿宋_GB2312" w:eastAsia="仿宋_GB2312" w:cs="仿宋_GB2312"/>
                <w:bCs/>
                <w:color w:val="000000" w:themeColor="text1"/>
                <w:kern w:val="0"/>
                <w:szCs w:val="21"/>
                <w14:textFill>
                  <w14:solidFill>
                    <w14:schemeClr w14:val="tx1"/>
                  </w14:solidFill>
                </w14:textFill>
              </w:rPr>
              <w:t>未造成危害后果或造成轻微危害后果的</w:t>
            </w:r>
          </w:p>
        </w:tc>
        <w:tc>
          <w:tcPr>
            <w:tcW w:w="793"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责令改正，对建设单位处工程合同价款百分之一以上、低于百分之一点五罚款，对施工单位处一万元以上、低于二万元罚款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72" w:type="pct"/>
            <w:vMerge w:val="continue"/>
            <w:vAlign w:val="center"/>
          </w:tcPr>
          <w:p>
            <w:pPr>
              <w:rPr>
                <w:rFonts w:hint="eastAsia" w:ascii="仿宋_GB2312" w:hAnsi="仿宋_GB2312" w:eastAsia="仿宋_GB2312" w:cs="仿宋_GB2312"/>
              </w:rPr>
            </w:pPr>
          </w:p>
        </w:tc>
        <w:tc>
          <w:tcPr>
            <w:tcW w:w="475" w:type="pct"/>
            <w:vMerge w:val="continue"/>
            <w:vAlign w:val="center"/>
          </w:tcPr>
          <w:p>
            <w:pPr>
              <w:rPr>
                <w:rFonts w:hint="eastAsia" w:ascii="仿宋_GB2312" w:hAnsi="仿宋_GB2312" w:eastAsia="仿宋_GB2312" w:cs="仿宋_GB2312"/>
              </w:rPr>
            </w:pPr>
          </w:p>
        </w:tc>
        <w:tc>
          <w:tcPr>
            <w:tcW w:w="702" w:type="pct"/>
            <w:vMerge w:val="continue"/>
            <w:vAlign w:val="center"/>
          </w:tcPr>
          <w:p>
            <w:pPr>
              <w:rPr>
                <w:rFonts w:hint="eastAsia" w:ascii="仿宋_GB2312" w:hAnsi="仿宋_GB2312" w:eastAsia="仿宋_GB2312" w:cs="仿宋_GB2312"/>
              </w:rPr>
            </w:pPr>
          </w:p>
        </w:tc>
        <w:tc>
          <w:tcPr>
            <w:tcW w:w="1207" w:type="pct"/>
            <w:vMerge w:val="continue"/>
            <w:vAlign w:val="center"/>
          </w:tcPr>
          <w:p>
            <w:pPr>
              <w:rPr>
                <w:rFonts w:hint="eastAsia" w:ascii="仿宋_GB2312" w:hAnsi="仿宋_GB2312" w:eastAsia="仿宋_GB2312" w:cs="仿宋_GB2312"/>
              </w:rPr>
            </w:pPr>
          </w:p>
        </w:tc>
        <w:tc>
          <w:tcPr>
            <w:tcW w:w="451" w:type="pct"/>
            <w:vMerge w:val="continue"/>
            <w:vAlign w:val="center"/>
          </w:tcPr>
          <w:p>
            <w:pPr>
              <w:jc w:val="center"/>
              <w:rPr>
                <w:rFonts w:hint="eastAsia" w:ascii="仿宋_GB2312" w:hAnsi="仿宋_GB2312" w:eastAsia="仿宋_GB2312" w:cs="仿宋_GB2312"/>
              </w:rPr>
            </w:pPr>
          </w:p>
        </w:tc>
        <w:tc>
          <w:tcPr>
            <w:tcW w:w="422"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578" w:type="pct"/>
            <w:vAlign w:val="center"/>
          </w:tcPr>
          <w:p>
            <w:pPr>
              <w:spacing w:line="240" w:lineRule="atLeast"/>
              <w:rPr>
                <w:rFonts w:hint="eastAsia" w:ascii="仿宋_GB2312" w:hAnsi="仿宋_GB2312" w:eastAsia="仿宋_GB2312" w:cs="仿宋_GB2312"/>
                <w:szCs w:val="21"/>
              </w:rPr>
            </w:pPr>
            <w:r>
              <w:rPr>
                <w:rFonts w:hint="eastAsia" w:ascii="仿宋_GB2312" w:hAnsi="仿宋_GB2312" w:eastAsia="仿宋_GB2312" w:cs="仿宋_GB2312"/>
                <w:color w:val="000000" w:themeColor="text1"/>
                <w:szCs w:val="21"/>
                <w14:textFill>
                  <w14:solidFill>
                    <w14:schemeClr w14:val="tx1"/>
                  </w14:solidFill>
                </w14:textFill>
              </w:rPr>
              <w:t>造成一般危害后果的</w:t>
            </w:r>
          </w:p>
        </w:tc>
        <w:tc>
          <w:tcPr>
            <w:tcW w:w="793"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责令改正，对建设单位处工程合同价款百分之一点五罚款，</w:t>
            </w:r>
          </w:p>
          <w:p>
            <w:pPr>
              <w:rPr>
                <w:rFonts w:hint="eastAsia" w:ascii="仿宋_GB2312" w:hAnsi="仿宋_GB2312" w:eastAsia="仿宋_GB2312" w:cs="仿宋_GB2312"/>
              </w:rPr>
            </w:pPr>
            <w:r>
              <w:rPr>
                <w:rFonts w:hint="eastAsia" w:ascii="仿宋_GB2312" w:hAnsi="仿宋_GB2312" w:eastAsia="仿宋_GB2312" w:cs="仿宋_GB2312"/>
              </w:rPr>
              <w:t>对施工单位处二万元罚款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72" w:type="pct"/>
            <w:vMerge w:val="continue"/>
            <w:vAlign w:val="center"/>
          </w:tcPr>
          <w:p>
            <w:pPr>
              <w:rPr>
                <w:rFonts w:hint="eastAsia" w:ascii="仿宋_GB2312" w:hAnsi="仿宋_GB2312" w:eastAsia="仿宋_GB2312" w:cs="仿宋_GB2312"/>
              </w:rPr>
            </w:pPr>
          </w:p>
        </w:tc>
        <w:tc>
          <w:tcPr>
            <w:tcW w:w="475" w:type="pct"/>
            <w:vMerge w:val="continue"/>
            <w:vAlign w:val="center"/>
          </w:tcPr>
          <w:p>
            <w:pPr>
              <w:rPr>
                <w:rFonts w:hint="eastAsia" w:ascii="仿宋_GB2312" w:hAnsi="仿宋_GB2312" w:eastAsia="仿宋_GB2312" w:cs="仿宋_GB2312"/>
              </w:rPr>
            </w:pPr>
          </w:p>
        </w:tc>
        <w:tc>
          <w:tcPr>
            <w:tcW w:w="702" w:type="pct"/>
            <w:vMerge w:val="continue"/>
            <w:vAlign w:val="center"/>
          </w:tcPr>
          <w:p>
            <w:pPr>
              <w:rPr>
                <w:rFonts w:hint="eastAsia" w:ascii="仿宋_GB2312" w:hAnsi="仿宋_GB2312" w:eastAsia="仿宋_GB2312" w:cs="仿宋_GB2312"/>
              </w:rPr>
            </w:pPr>
          </w:p>
        </w:tc>
        <w:tc>
          <w:tcPr>
            <w:tcW w:w="1207" w:type="pct"/>
            <w:vMerge w:val="continue"/>
            <w:vAlign w:val="center"/>
          </w:tcPr>
          <w:p>
            <w:pPr>
              <w:rPr>
                <w:rFonts w:hint="eastAsia" w:ascii="仿宋_GB2312" w:hAnsi="仿宋_GB2312" w:eastAsia="仿宋_GB2312" w:cs="仿宋_GB2312"/>
              </w:rPr>
            </w:pPr>
          </w:p>
        </w:tc>
        <w:tc>
          <w:tcPr>
            <w:tcW w:w="451" w:type="pct"/>
            <w:vMerge w:val="continue"/>
            <w:vAlign w:val="center"/>
          </w:tcPr>
          <w:p>
            <w:pPr>
              <w:jc w:val="center"/>
              <w:rPr>
                <w:rFonts w:hint="eastAsia" w:ascii="仿宋_GB2312" w:hAnsi="仿宋_GB2312" w:eastAsia="仿宋_GB2312" w:cs="仿宋_GB2312"/>
              </w:rPr>
            </w:pPr>
          </w:p>
        </w:tc>
        <w:tc>
          <w:tcPr>
            <w:tcW w:w="422"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578" w:type="pct"/>
            <w:vAlign w:val="center"/>
          </w:tcPr>
          <w:p>
            <w:pPr>
              <w:spacing w:line="240" w:lineRule="atLeast"/>
              <w:rPr>
                <w:rFonts w:hint="eastAsia" w:ascii="仿宋_GB2312" w:hAnsi="仿宋_GB2312" w:eastAsia="仿宋_GB2312" w:cs="仿宋_GB2312"/>
                <w:szCs w:val="21"/>
              </w:rPr>
            </w:pPr>
            <w:r>
              <w:rPr>
                <w:rFonts w:hint="eastAsia" w:ascii="仿宋_GB2312" w:hAnsi="仿宋_GB2312" w:eastAsia="仿宋_GB2312" w:cs="仿宋_GB2312"/>
                <w:color w:val="000000" w:themeColor="text1"/>
                <w:szCs w:val="21"/>
                <w14:textFill>
                  <w14:solidFill>
                    <w14:schemeClr w14:val="tx1"/>
                  </w14:solidFill>
                </w14:textFill>
              </w:rPr>
              <w:t>造成严重危害后果的</w:t>
            </w:r>
          </w:p>
        </w:tc>
        <w:tc>
          <w:tcPr>
            <w:tcW w:w="793"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责令改正，对建设单位处超过工程合同价款百分之一点五、百分之二以下罚款，对施工单位处超过二万元、三万元以下罚款</w:t>
            </w:r>
          </w:p>
        </w:tc>
      </w:tr>
    </w:tbl>
    <w:p>
      <w:pPr>
        <w:rPr>
          <w:b/>
          <w:sz w:val="32"/>
          <w:szCs w:val="32"/>
        </w:rPr>
      </w:pPr>
      <w:r>
        <w:br w:type="page"/>
      </w:r>
      <w:r>
        <w:rPr>
          <w:rFonts w:hint="eastAsia"/>
          <w:bCs/>
          <w:sz w:val="32"/>
          <w:szCs w:val="32"/>
        </w:rPr>
        <w:t>《深圳市建设工程质量管理条例》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7"/>
        <w:gridCol w:w="1228"/>
        <w:gridCol w:w="1931"/>
        <w:gridCol w:w="2625"/>
        <w:gridCol w:w="1191"/>
        <w:gridCol w:w="1418"/>
        <w:gridCol w:w="2520"/>
        <w:gridCol w:w="22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373"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433"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681"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926"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420"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500"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889"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779"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73" w:type="pct"/>
            <w:vMerge w:val="restart"/>
            <w:vAlign w:val="center"/>
          </w:tcPr>
          <w:p>
            <w:pPr>
              <w:jc w:val="center"/>
              <w:rPr>
                <w:rFonts w:hint="eastAsia" w:ascii="仿宋_GB2312" w:hAnsi="仿宋_GB2312" w:eastAsia="仿宋_GB2312" w:cs="仿宋_GB2312"/>
                <w:lang w:val="en"/>
              </w:rPr>
            </w:pPr>
            <w:r>
              <w:rPr>
                <w:rFonts w:ascii="仿宋_GB2312" w:hAnsi="仿宋_GB2312" w:eastAsia="仿宋_GB2312" w:cs="仿宋_GB2312"/>
                <w:szCs w:val="24"/>
              </w:rPr>
              <w:t>111.</w:t>
            </w:r>
            <w:r>
              <w:rPr>
                <w:rFonts w:hint="eastAsia" w:ascii="仿宋_GB2312" w:hAnsi="仿宋_GB2312" w:eastAsia="仿宋_GB2312" w:cs="仿宋_GB2312"/>
                <w:szCs w:val="24"/>
                <w:lang w:val="en"/>
              </w:rPr>
              <w:t>2</w:t>
            </w:r>
          </w:p>
        </w:tc>
        <w:tc>
          <w:tcPr>
            <w:tcW w:w="433"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施工单位对经检验不符合标准或者要求的建筑材料、建筑构配件和设备，未就地封存、擅自转移或挪作他用的</w:t>
            </w:r>
          </w:p>
        </w:tc>
        <w:tc>
          <w:tcPr>
            <w:tcW w:w="681"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第三十三条：“经检验不符合技术标准或者设计要求的建筑材料、建筑构配件和设备，施工单位应当就地封存、做好记录，及时通知监理单位，并报告质监机构、住房建设部门或者有关专业工程主管部门处理。”</w:t>
            </w:r>
          </w:p>
        </w:tc>
        <w:tc>
          <w:tcPr>
            <w:tcW w:w="926"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六十九条第二项：“有下列行为之一的，责令改正，并按照以下规定给予处罚：（二）违反本条例第三十三条规定，对不符合标准或者要求的建筑材料、建筑构配件和设备，未就地封存、擅自转移或者挪作他用的，对施工单位处一万元以上三万元以下的罚款。”</w:t>
            </w:r>
          </w:p>
          <w:p>
            <w:pPr>
              <w:rPr>
                <w:rFonts w:hint="eastAsia" w:ascii="仿宋_GB2312" w:hAnsi="仿宋_GB2312" w:eastAsia="仿宋_GB2312" w:cs="仿宋_GB2312"/>
              </w:rPr>
            </w:pPr>
          </w:p>
        </w:tc>
        <w:tc>
          <w:tcPr>
            <w:tcW w:w="420"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rPr>
              <w:t>罚款</w:t>
            </w:r>
          </w:p>
        </w:tc>
        <w:tc>
          <w:tcPr>
            <w:tcW w:w="500"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889" w:type="pct"/>
            <w:vAlign w:val="center"/>
          </w:tcPr>
          <w:p>
            <w:pPr>
              <w:rPr>
                <w:rFonts w:hint="eastAsia" w:ascii="仿宋_GB2312" w:hAnsi="仿宋_GB2312" w:eastAsia="仿宋_GB2312" w:cs="仿宋_GB2312"/>
              </w:rPr>
            </w:pPr>
            <w:r>
              <w:rPr>
                <w:rFonts w:hint="eastAsia" w:ascii="仿宋_GB2312" w:hAnsi="仿宋_GB2312" w:eastAsia="仿宋_GB2312" w:cs="仿宋_GB2312"/>
              </w:rPr>
              <w:t>未就地封存、擅自转移，未造成危害后果的</w:t>
            </w:r>
          </w:p>
        </w:tc>
        <w:tc>
          <w:tcPr>
            <w:tcW w:w="779"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责令改正，对施工单位处一万元以上、低于二万元的罚款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73" w:type="pct"/>
            <w:vMerge w:val="continue"/>
            <w:vAlign w:val="center"/>
          </w:tcPr>
          <w:p>
            <w:pPr>
              <w:rPr>
                <w:rFonts w:hint="eastAsia" w:ascii="仿宋_GB2312" w:hAnsi="仿宋_GB2312" w:eastAsia="仿宋_GB2312" w:cs="仿宋_GB2312"/>
              </w:rPr>
            </w:pPr>
          </w:p>
        </w:tc>
        <w:tc>
          <w:tcPr>
            <w:tcW w:w="433" w:type="pct"/>
            <w:vMerge w:val="continue"/>
            <w:vAlign w:val="center"/>
          </w:tcPr>
          <w:p>
            <w:pPr>
              <w:rPr>
                <w:rFonts w:hint="eastAsia" w:ascii="仿宋_GB2312" w:hAnsi="仿宋_GB2312" w:eastAsia="仿宋_GB2312" w:cs="仿宋_GB2312"/>
              </w:rPr>
            </w:pPr>
          </w:p>
        </w:tc>
        <w:tc>
          <w:tcPr>
            <w:tcW w:w="681" w:type="pct"/>
            <w:vMerge w:val="continue"/>
            <w:vAlign w:val="center"/>
          </w:tcPr>
          <w:p>
            <w:pPr>
              <w:rPr>
                <w:rFonts w:hint="eastAsia" w:ascii="仿宋_GB2312" w:hAnsi="仿宋_GB2312" w:eastAsia="仿宋_GB2312" w:cs="仿宋_GB2312"/>
              </w:rPr>
            </w:pPr>
          </w:p>
        </w:tc>
        <w:tc>
          <w:tcPr>
            <w:tcW w:w="926" w:type="pct"/>
            <w:vMerge w:val="continue"/>
            <w:vAlign w:val="center"/>
          </w:tcPr>
          <w:p>
            <w:pPr>
              <w:rPr>
                <w:rFonts w:hint="eastAsia" w:ascii="仿宋_GB2312" w:hAnsi="仿宋_GB2312" w:eastAsia="仿宋_GB2312" w:cs="仿宋_GB2312"/>
              </w:rPr>
            </w:pPr>
          </w:p>
        </w:tc>
        <w:tc>
          <w:tcPr>
            <w:tcW w:w="420" w:type="pct"/>
            <w:vMerge w:val="continue"/>
            <w:vAlign w:val="center"/>
          </w:tcPr>
          <w:p>
            <w:pPr>
              <w:jc w:val="center"/>
              <w:rPr>
                <w:rFonts w:hint="eastAsia" w:ascii="仿宋_GB2312" w:hAnsi="仿宋_GB2312" w:eastAsia="仿宋_GB2312" w:cs="仿宋_GB2312"/>
              </w:rPr>
            </w:pPr>
          </w:p>
        </w:tc>
        <w:tc>
          <w:tcPr>
            <w:tcW w:w="500"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889" w:type="pct"/>
            <w:vAlign w:val="center"/>
          </w:tcPr>
          <w:p>
            <w:pPr>
              <w:rPr>
                <w:rFonts w:hint="eastAsia" w:ascii="仿宋_GB2312" w:hAnsi="仿宋_GB2312" w:eastAsia="仿宋_GB2312" w:cs="仿宋_GB2312"/>
              </w:rPr>
            </w:pPr>
            <w:r>
              <w:rPr>
                <w:rFonts w:hint="eastAsia" w:ascii="仿宋_GB2312" w:hAnsi="仿宋_GB2312" w:eastAsia="仿宋_GB2312" w:cs="仿宋_GB2312"/>
              </w:rPr>
              <w:t>擅自转移，以次充好，转买他人的；或退还经销商而未如实向经销商反映的；或擅自挪作他用，未对结构安全造成影响的</w:t>
            </w:r>
          </w:p>
        </w:tc>
        <w:tc>
          <w:tcPr>
            <w:tcW w:w="779"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责令改正，对施工单位处二万元的罚款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73" w:type="pct"/>
            <w:vMerge w:val="continue"/>
            <w:vAlign w:val="center"/>
          </w:tcPr>
          <w:p>
            <w:pPr>
              <w:rPr>
                <w:rFonts w:hint="eastAsia" w:ascii="仿宋_GB2312" w:hAnsi="仿宋_GB2312" w:eastAsia="仿宋_GB2312" w:cs="仿宋_GB2312"/>
              </w:rPr>
            </w:pPr>
          </w:p>
        </w:tc>
        <w:tc>
          <w:tcPr>
            <w:tcW w:w="433" w:type="pct"/>
            <w:vMerge w:val="continue"/>
            <w:vAlign w:val="center"/>
          </w:tcPr>
          <w:p>
            <w:pPr>
              <w:rPr>
                <w:rFonts w:hint="eastAsia" w:ascii="仿宋_GB2312" w:hAnsi="仿宋_GB2312" w:eastAsia="仿宋_GB2312" w:cs="仿宋_GB2312"/>
              </w:rPr>
            </w:pPr>
          </w:p>
        </w:tc>
        <w:tc>
          <w:tcPr>
            <w:tcW w:w="681" w:type="pct"/>
            <w:vMerge w:val="continue"/>
            <w:vAlign w:val="center"/>
          </w:tcPr>
          <w:p>
            <w:pPr>
              <w:rPr>
                <w:rFonts w:hint="eastAsia" w:ascii="仿宋_GB2312" w:hAnsi="仿宋_GB2312" w:eastAsia="仿宋_GB2312" w:cs="仿宋_GB2312"/>
              </w:rPr>
            </w:pPr>
          </w:p>
        </w:tc>
        <w:tc>
          <w:tcPr>
            <w:tcW w:w="926" w:type="pct"/>
            <w:vMerge w:val="continue"/>
            <w:vAlign w:val="center"/>
          </w:tcPr>
          <w:p>
            <w:pPr>
              <w:rPr>
                <w:rFonts w:hint="eastAsia" w:ascii="仿宋_GB2312" w:hAnsi="仿宋_GB2312" w:eastAsia="仿宋_GB2312" w:cs="仿宋_GB2312"/>
              </w:rPr>
            </w:pPr>
          </w:p>
        </w:tc>
        <w:tc>
          <w:tcPr>
            <w:tcW w:w="420" w:type="pct"/>
            <w:vMerge w:val="continue"/>
            <w:vAlign w:val="center"/>
          </w:tcPr>
          <w:p>
            <w:pPr>
              <w:jc w:val="center"/>
              <w:rPr>
                <w:rFonts w:hint="eastAsia" w:ascii="仿宋_GB2312" w:hAnsi="仿宋_GB2312" w:eastAsia="仿宋_GB2312" w:cs="仿宋_GB2312"/>
              </w:rPr>
            </w:pPr>
          </w:p>
        </w:tc>
        <w:tc>
          <w:tcPr>
            <w:tcW w:w="500"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889" w:type="pct"/>
            <w:vAlign w:val="center"/>
          </w:tcPr>
          <w:p>
            <w:pPr>
              <w:rPr>
                <w:rFonts w:hint="eastAsia" w:ascii="仿宋_GB2312" w:hAnsi="仿宋_GB2312" w:eastAsia="仿宋_GB2312" w:cs="仿宋_GB2312"/>
              </w:rPr>
            </w:pPr>
            <w:r>
              <w:rPr>
                <w:rFonts w:hint="eastAsia" w:ascii="仿宋_GB2312" w:hAnsi="仿宋_GB2312" w:eastAsia="仿宋_GB2312" w:cs="仿宋_GB2312"/>
              </w:rPr>
              <w:t>擅自挪作他用，对结构安全造成影响的</w:t>
            </w:r>
          </w:p>
        </w:tc>
        <w:tc>
          <w:tcPr>
            <w:tcW w:w="779"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责令改正，对施工单位处超过二万元、三万元以下的罚款</w:t>
            </w:r>
          </w:p>
        </w:tc>
      </w:tr>
    </w:tbl>
    <w:p>
      <w:pPr>
        <w:rPr>
          <w:bCs/>
          <w:sz w:val="32"/>
          <w:szCs w:val="32"/>
        </w:rPr>
      </w:pPr>
      <w:r>
        <w:br w:type="page"/>
      </w:r>
      <w:r>
        <w:rPr>
          <w:rFonts w:hint="eastAsia"/>
          <w:bCs/>
          <w:sz w:val="32"/>
          <w:szCs w:val="32"/>
        </w:rPr>
        <w:t>《深圳市建设工程质量管理条例》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1"/>
        <w:gridCol w:w="1174"/>
        <w:gridCol w:w="3198"/>
        <w:gridCol w:w="1839"/>
        <w:gridCol w:w="1188"/>
        <w:gridCol w:w="1253"/>
        <w:gridCol w:w="2350"/>
        <w:gridCol w:w="21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371"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414"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1128"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649"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419"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42"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829"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748"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71" w:type="pct"/>
            <w:vMerge w:val="restart"/>
            <w:vAlign w:val="center"/>
          </w:tcPr>
          <w:p>
            <w:pPr>
              <w:jc w:val="center"/>
              <w:rPr>
                <w:rFonts w:hint="eastAsia" w:ascii="仿宋_GB2312" w:hAnsi="仿宋_GB2312" w:eastAsia="仿宋_GB2312" w:cs="仿宋_GB2312"/>
                <w:lang w:val="en"/>
              </w:rPr>
            </w:pPr>
            <w:r>
              <w:rPr>
                <w:rFonts w:ascii="仿宋_GB2312" w:hAnsi="仿宋_GB2312" w:eastAsia="仿宋_GB2312" w:cs="仿宋_GB2312"/>
                <w:szCs w:val="24"/>
              </w:rPr>
              <w:t>111.</w:t>
            </w:r>
            <w:r>
              <w:rPr>
                <w:rFonts w:hint="eastAsia" w:ascii="仿宋_GB2312" w:hAnsi="仿宋_GB2312" w:eastAsia="仿宋_GB2312" w:cs="仿宋_GB2312"/>
                <w:szCs w:val="24"/>
                <w:lang w:val="en"/>
              </w:rPr>
              <w:t>3</w:t>
            </w:r>
          </w:p>
        </w:tc>
        <w:tc>
          <w:tcPr>
            <w:tcW w:w="414"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监理单位对违反规定使用建筑材料、建筑构配件和设备的行为未采取措施予以制止或者报告的</w:t>
            </w:r>
          </w:p>
        </w:tc>
        <w:tc>
          <w:tcPr>
            <w:tcW w:w="1128"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三十九条：“监理单位应审查施工单位报送的用于工程的材料、构配件、设备的质量证明文件，并应当按有关规定、建设工程监理合同约定，对用于工程的材料进行旁站、巡视、见证取样、平行检验等形式进行监理。对技术标准规定进行抽样复试的，应当进行抽样复试。对进场检验和抽样复试的，应当经监理工程师检查签字认可。对建设、施工单位违反规定使用建筑材料、建筑构配件和设备的，应当采取措施予以制止；不能有效制止的，应当及时报告质监机构和有关部门。”</w:t>
            </w:r>
          </w:p>
        </w:tc>
        <w:tc>
          <w:tcPr>
            <w:tcW w:w="649"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第七十条第一款：“监理单位违反本条例规定，对违反规定使用建筑材料、建筑构配件和设备的行为未采取措施予以制止或者报告的，责令改正，处二万元以上三万元以下罚款。”</w:t>
            </w:r>
          </w:p>
        </w:tc>
        <w:tc>
          <w:tcPr>
            <w:tcW w:w="419"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rPr>
              <w:t>罚款</w:t>
            </w:r>
          </w:p>
        </w:tc>
        <w:tc>
          <w:tcPr>
            <w:tcW w:w="442"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829" w:type="pct"/>
            <w:vAlign w:val="center"/>
          </w:tcPr>
          <w:p>
            <w:pPr>
              <w:spacing w:line="240" w:lineRule="atLeast"/>
              <w:rPr>
                <w:rFonts w:hint="eastAsia" w:ascii="仿宋_GB2312" w:hAnsi="仿宋_GB2312" w:eastAsia="仿宋_GB2312" w:cs="仿宋_GB2312"/>
                <w:color w:val="000000" w:themeColor="text1"/>
                <w:szCs w:val="21"/>
                <w14:textFill>
                  <w14:solidFill>
                    <w14:schemeClr w14:val="tx1"/>
                  </w14:solidFill>
                </w14:textFill>
              </w:rPr>
            </w:pPr>
            <w:r>
              <w:rPr>
                <w:rFonts w:hint="eastAsia" w:ascii="仿宋_GB2312" w:hAnsi="仿宋_GB2312" w:eastAsia="仿宋_GB2312" w:cs="仿宋_GB2312"/>
                <w:color w:val="000000" w:themeColor="text1"/>
                <w:szCs w:val="21"/>
                <w14:textFill>
                  <w14:solidFill>
                    <w14:schemeClr w14:val="tx1"/>
                  </w14:solidFill>
                </w14:textFill>
              </w:rPr>
              <w:t>同一项目中，一次同类违法的，且未造成质量、安全问题的</w:t>
            </w:r>
          </w:p>
        </w:tc>
        <w:tc>
          <w:tcPr>
            <w:tcW w:w="748"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责令改正，处二万元以上、低于二万五千元罚款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71" w:type="pct"/>
            <w:vMerge w:val="continue"/>
            <w:vAlign w:val="center"/>
          </w:tcPr>
          <w:p>
            <w:pPr>
              <w:rPr>
                <w:rFonts w:hint="eastAsia" w:ascii="仿宋_GB2312" w:hAnsi="仿宋_GB2312" w:eastAsia="仿宋_GB2312" w:cs="仿宋_GB2312"/>
              </w:rPr>
            </w:pPr>
          </w:p>
        </w:tc>
        <w:tc>
          <w:tcPr>
            <w:tcW w:w="414" w:type="pct"/>
            <w:vMerge w:val="continue"/>
            <w:vAlign w:val="center"/>
          </w:tcPr>
          <w:p>
            <w:pPr>
              <w:rPr>
                <w:rFonts w:hint="eastAsia" w:ascii="仿宋_GB2312" w:hAnsi="仿宋_GB2312" w:eastAsia="仿宋_GB2312" w:cs="仿宋_GB2312"/>
              </w:rPr>
            </w:pPr>
          </w:p>
        </w:tc>
        <w:tc>
          <w:tcPr>
            <w:tcW w:w="1128" w:type="pct"/>
            <w:vMerge w:val="continue"/>
            <w:vAlign w:val="center"/>
          </w:tcPr>
          <w:p>
            <w:pPr>
              <w:rPr>
                <w:rFonts w:hint="eastAsia" w:ascii="仿宋_GB2312" w:hAnsi="仿宋_GB2312" w:eastAsia="仿宋_GB2312" w:cs="仿宋_GB2312"/>
              </w:rPr>
            </w:pPr>
          </w:p>
        </w:tc>
        <w:tc>
          <w:tcPr>
            <w:tcW w:w="649" w:type="pct"/>
            <w:vMerge w:val="continue"/>
            <w:vAlign w:val="center"/>
          </w:tcPr>
          <w:p>
            <w:pPr>
              <w:rPr>
                <w:rFonts w:hint="eastAsia" w:ascii="仿宋_GB2312" w:hAnsi="仿宋_GB2312" w:eastAsia="仿宋_GB2312" w:cs="仿宋_GB2312"/>
              </w:rPr>
            </w:pPr>
          </w:p>
        </w:tc>
        <w:tc>
          <w:tcPr>
            <w:tcW w:w="419" w:type="pct"/>
            <w:vMerge w:val="continue"/>
            <w:vAlign w:val="center"/>
          </w:tcPr>
          <w:p>
            <w:pPr>
              <w:jc w:val="center"/>
              <w:rPr>
                <w:rFonts w:hint="eastAsia" w:ascii="仿宋_GB2312" w:hAnsi="仿宋_GB2312" w:eastAsia="仿宋_GB2312" w:cs="仿宋_GB2312"/>
              </w:rPr>
            </w:pPr>
          </w:p>
        </w:tc>
        <w:tc>
          <w:tcPr>
            <w:tcW w:w="442"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829" w:type="pct"/>
            <w:vAlign w:val="center"/>
          </w:tcPr>
          <w:p>
            <w:pPr>
              <w:spacing w:line="240" w:lineRule="atLeast"/>
              <w:rPr>
                <w:rFonts w:hint="eastAsia" w:ascii="仿宋_GB2312" w:hAnsi="仿宋_GB2312" w:eastAsia="仿宋_GB2312" w:cs="仿宋_GB2312"/>
                <w:color w:val="000000" w:themeColor="text1"/>
                <w:szCs w:val="21"/>
                <w14:textFill>
                  <w14:solidFill>
                    <w14:schemeClr w14:val="tx1"/>
                  </w14:solidFill>
                </w14:textFill>
              </w:rPr>
            </w:pPr>
            <w:r>
              <w:rPr>
                <w:rFonts w:hint="eastAsia" w:ascii="仿宋_GB2312" w:hAnsi="仿宋_GB2312" w:eastAsia="仿宋_GB2312" w:cs="仿宋_GB2312"/>
                <w:color w:val="000000" w:themeColor="text1"/>
                <w:szCs w:val="21"/>
                <w14:textFill>
                  <w14:solidFill>
                    <w14:schemeClr w14:val="tx1"/>
                  </w14:solidFill>
                </w14:textFill>
              </w:rPr>
              <w:t>同一项目中，两次同类违法；或造成质量、安全问题的</w:t>
            </w:r>
          </w:p>
        </w:tc>
        <w:tc>
          <w:tcPr>
            <w:tcW w:w="748"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责令改正，处二万五千元罚款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71" w:type="pct"/>
            <w:vMerge w:val="continue"/>
            <w:vAlign w:val="center"/>
          </w:tcPr>
          <w:p>
            <w:pPr>
              <w:rPr>
                <w:rFonts w:hint="eastAsia" w:ascii="仿宋_GB2312" w:hAnsi="仿宋_GB2312" w:eastAsia="仿宋_GB2312" w:cs="仿宋_GB2312"/>
              </w:rPr>
            </w:pPr>
          </w:p>
        </w:tc>
        <w:tc>
          <w:tcPr>
            <w:tcW w:w="414" w:type="pct"/>
            <w:vMerge w:val="continue"/>
            <w:vAlign w:val="center"/>
          </w:tcPr>
          <w:p>
            <w:pPr>
              <w:rPr>
                <w:rFonts w:hint="eastAsia" w:ascii="仿宋_GB2312" w:hAnsi="仿宋_GB2312" w:eastAsia="仿宋_GB2312" w:cs="仿宋_GB2312"/>
              </w:rPr>
            </w:pPr>
          </w:p>
        </w:tc>
        <w:tc>
          <w:tcPr>
            <w:tcW w:w="1128" w:type="pct"/>
            <w:vMerge w:val="continue"/>
            <w:vAlign w:val="center"/>
          </w:tcPr>
          <w:p>
            <w:pPr>
              <w:rPr>
                <w:rFonts w:hint="eastAsia" w:ascii="仿宋_GB2312" w:hAnsi="仿宋_GB2312" w:eastAsia="仿宋_GB2312" w:cs="仿宋_GB2312"/>
              </w:rPr>
            </w:pPr>
          </w:p>
        </w:tc>
        <w:tc>
          <w:tcPr>
            <w:tcW w:w="649" w:type="pct"/>
            <w:vMerge w:val="continue"/>
            <w:vAlign w:val="center"/>
          </w:tcPr>
          <w:p>
            <w:pPr>
              <w:rPr>
                <w:rFonts w:hint="eastAsia" w:ascii="仿宋_GB2312" w:hAnsi="仿宋_GB2312" w:eastAsia="仿宋_GB2312" w:cs="仿宋_GB2312"/>
              </w:rPr>
            </w:pPr>
          </w:p>
        </w:tc>
        <w:tc>
          <w:tcPr>
            <w:tcW w:w="419" w:type="pct"/>
            <w:vMerge w:val="continue"/>
            <w:vAlign w:val="center"/>
          </w:tcPr>
          <w:p>
            <w:pPr>
              <w:jc w:val="center"/>
              <w:rPr>
                <w:rFonts w:hint="eastAsia" w:ascii="仿宋_GB2312" w:hAnsi="仿宋_GB2312" w:eastAsia="仿宋_GB2312" w:cs="仿宋_GB2312"/>
              </w:rPr>
            </w:pPr>
          </w:p>
        </w:tc>
        <w:tc>
          <w:tcPr>
            <w:tcW w:w="442"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829" w:type="pct"/>
            <w:vAlign w:val="center"/>
          </w:tcPr>
          <w:p>
            <w:pPr>
              <w:spacing w:line="240" w:lineRule="atLeast"/>
              <w:rPr>
                <w:rFonts w:hint="eastAsia" w:ascii="仿宋_GB2312" w:hAnsi="仿宋_GB2312" w:eastAsia="仿宋_GB2312" w:cs="仿宋_GB2312"/>
                <w:color w:val="000000" w:themeColor="text1"/>
                <w:szCs w:val="21"/>
                <w14:textFill>
                  <w14:solidFill>
                    <w14:schemeClr w14:val="tx1"/>
                  </w14:solidFill>
                </w14:textFill>
              </w:rPr>
            </w:pPr>
            <w:r>
              <w:rPr>
                <w:rFonts w:hint="eastAsia" w:ascii="仿宋_GB2312" w:hAnsi="仿宋_GB2312" w:eastAsia="仿宋_GB2312" w:cs="仿宋_GB2312"/>
                <w:color w:val="000000" w:themeColor="text1"/>
                <w:szCs w:val="21"/>
                <w14:textFill>
                  <w14:solidFill>
                    <w14:schemeClr w14:val="tx1"/>
                  </w14:solidFill>
                </w14:textFill>
              </w:rPr>
              <w:t>同一项目中，三次以上同类违法；或造成质量、安全事故的</w:t>
            </w:r>
          </w:p>
        </w:tc>
        <w:tc>
          <w:tcPr>
            <w:tcW w:w="748"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责令改正，处超过二万五千元、三万元以下罚款</w:t>
            </w:r>
          </w:p>
        </w:tc>
      </w:tr>
    </w:tbl>
    <w:p>
      <w:pPr>
        <w:rPr>
          <w:b/>
          <w:sz w:val="32"/>
          <w:szCs w:val="32"/>
        </w:rPr>
      </w:pPr>
      <w:r>
        <w:br w:type="page"/>
      </w:r>
      <w:r>
        <w:rPr>
          <w:rFonts w:hint="eastAsia"/>
          <w:bCs/>
          <w:sz w:val="32"/>
          <w:szCs w:val="32"/>
        </w:rPr>
        <w:t>《深圳市建设工程质量管理条例》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47"/>
        <w:gridCol w:w="1625"/>
        <w:gridCol w:w="2493"/>
        <w:gridCol w:w="2178"/>
        <w:gridCol w:w="1270"/>
        <w:gridCol w:w="1253"/>
        <w:gridCol w:w="2200"/>
        <w:gridCol w:w="21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369"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573"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879"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768"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448"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42"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776"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744"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69" w:type="pct"/>
            <w:vMerge w:val="restart"/>
            <w:vAlign w:val="center"/>
          </w:tcPr>
          <w:p>
            <w:pPr>
              <w:jc w:val="center"/>
              <w:rPr>
                <w:rFonts w:hint="eastAsia" w:ascii="仿宋_GB2312" w:hAnsi="仿宋_GB2312" w:eastAsia="仿宋_GB2312" w:cs="仿宋_GB2312"/>
                <w:lang w:val="en"/>
              </w:rPr>
            </w:pPr>
            <w:r>
              <w:rPr>
                <w:rFonts w:ascii="仿宋_GB2312" w:hAnsi="仿宋_GB2312" w:eastAsia="仿宋_GB2312" w:cs="仿宋_GB2312"/>
                <w:szCs w:val="24"/>
              </w:rPr>
              <w:t>111.</w:t>
            </w:r>
            <w:r>
              <w:rPr>
                <w:rFonts w:hint="eastAsia" w:ascii="仿宋_GB2312" w:hAnsi="仿宋_GB2312" w:eastAsia="仿宋_GB2312" w:cs="仿宋_GB2312"/>
                <w:szCs w:val="24"/>
                <w:lang w:val="en"/>
              </w:rPr>
              <w:t>4</w:t>
            </w:r>
          </w:p>
        </w:tc>
        <w:tc>
          <w:tcPr>
            <w:tcW w:w="573" w:type="pct"/>
            <w:vMerge w:val="restar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监理单位对施工单位不按经审查批准的施工图设计文件施工或者有其他违法、违章施工行为，未采取措施予以制止或者报告的；</w:t>
            </w:r>
          </w:p>
          <w:p>
            <w:pPr>
              <w:pStyle w:val="2"/>
              <w:jc w:val="both"/>
            </w:pPr>
            <w:r>
              <w:rPr>
                <w:rFonts w:hint="eastAsia" w:ascii="仿宋_GB2312" w:hAnsi="仿宋_GB2312" w:eastAsia="仿宋_GB2312" w:cs="仿宋_GB2312"/>
                <w:sz w:val="21"/>
                <w:szCs w:val="21"/>
              </w:rPr>
              <w:t>监理单位对建设单位发出违反有关法律、法规或者强制性技术标准指令，未拒绝执行或者及时报告的</w:t>
            </w:r>
          </w:p>
        </w:tc>
        <w:tc>
          <w:tcPr>
            <w:tcW w:w="879"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第四十条：“施工单位不按照经审查批准的施工图设计文件施工或者有其他违法、违章行为的，监理单位应当采取措施予以制止；不能有效制止的，应当及时通知建设单位，并报告质监机构和有关部门。</w:t>
            </w:r>
          </w:p>
          <w:p>
            <w:pPr>
              <w:rPr>
                <w:rFonts w:hint="eastAsia" w:ascii="仿宋_GB2312" w:hAnsi="仿宋_GB2312" w:eastAsia="仿宋_GB2312" w:cs="仿宋_GB2312"/>
              </w:rPr>
            </w:pPr>
            <w:r>
              <w:rPr>
                <w:rFonts w:hint="eastAsia" w:ascii="仿宋_GB2312" w:hAnsi="仿宋_GB2312" w:eastAsia="仿宋_GB2312" w:cs="仿宋_GB2312"/>
              </w:rPr>
              <w:t>　　建设单位发出违反有关法律、法规或者强制性技术标准指令的，监理单位应当拒绝执行；建设单位直接向施工企业发出上述指令的，监理单位应当及时报告质监机构和有关部门。”</w:t>
            </w:r>
          </w:p>
        </w:tc>
        <w:tc>
          <w:tcPr>
            <w:tcW w:w="768"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七十条第二款：“监理单位违反本条例第四十条规定，对施工单位不按经审查批准的施工图设计文件施工或者有其他违法、违章施工行为，未采取措施予以制止或者报告的；对建设单位发出违反有关法律、法规或者强制性技术标准指令，未拒绝执行或者及时报告的，责令改正，并处二万元以上三万元以下罚款。”</w:t>
            </w:r>
          </w:p>
        </w:tc>
        <w:tc>
          <w:tcPr>
            <w:tcW w:w="448" w:type="pct"/>
            <w:vMerge w:val="restart"/>
            <w:vAlign w:val="center"/>
          </w:tcPr>
          <w:p>
            <w:pPr>
              <w:jc w:val="center"/>
              <w:rPr>
                <w:rFonts w:hint="eastAsia" w:ascii="仿宋_GB2312" w:hAnsi="仿宋_GB2312" w:eastAsia="仿宋_GB2312" w:cs="仿宋_GB2312"/>
              </w:rPr>
            </w:pPr>
            <w:r>
              <w:rPr>
                <w:rFonts w:hint="eastAsia" w:ascii="仿宋_GB2312" w:hAnsi="仿宋_GB2312" w:eastAsia="仿宋_GB2312" w:cs="仿宋_GB2312"/>
              </w:rPr>
              <w:t>罚款</w:t>
            </w:r>
          </w:p>
        </w:tc>
        <w:tc>
          <w:tcPr>
            <w:tcW w:w="442"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776" w:type="pct"/>
            <w:vAlign w:val="center"/>
          </w:tcPr>
          <w:p>
            <w:pPr>
              <w:rPr>
                <w:rFonts w:hint="eastAsia" w:ascii="仿宋_GB2312" w:hAnsi="仿宋_GB2312" w:eastAsia="仿宋_GB2312" w:cs="仿宋_GB2312"/>
              </w:rPr>
            </w:pPr>
            <w:r>
              <w:rPr>
                <w:rFonts w:hint="eastAsia" w:ascii="仿宋_GB2312" w:hAnsi="仿宋_GB2312" w:eastAsia="仿宋_GB2312" w:cs="仿宋_GB2312"/>
              </w:rPr>
              <w:t>未造成危害后果或造成轻微危害后果的</w:t>
            </w:r>
          </w:p>
        </w:tc>
        <w:tc>
          <w:tcPr>
            <w:tcW w:w="744"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责令改正，并处二万元以上、低于二万五千元罚款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69" w:type="pct"/>
            <w:vMerge w:val="continue"/>
            <w:vAlign w:val="center"/>
          </w:tcPr>
          <w:p>
            <w:pPr>
              <w:rPr>
                <w:rFonts w:hint="eastAsia" w:ascii="仿宋_GB2312" w:hAnsi="仿宋_GB2312" w:eastAsia="仿宋_GB2312" w:cs="仿宋_GB2312"/>
              </w:rPr>
            </w:pPr>
          </w:p>
        </w:tc>
        <w:tc>
          <w:tcPr>
            <w:tcW w:w="573" w:type="pct"/>
            <w:vMerge w:val="continue"/>
            <w:vAlign w:val="center"/>
          </w:tcPr>
          <w:p>
            <w:pPr>
              <w:rPr>
                <w:rFonts w:hint="eastAsia" w:ascii="仿宋_GB2312" w:hAnsi="仿宋_GB2312" w:eastAsia="仿宋_GB2312" w:cs="仿宋_GB2312"/>
              </w:rPr>
            </w:pPr>
          </w:p>
        </w:tc>
        <w:tc>
          <w:tcPr>
            <w:tcW w:w="879" w:type="pct"/>
            <w:vMerge w:val="continue"/>
            <w:vAlign w:val="center"/>
          </w:tcPr>
          <w:p>
            <w:pPr>
              <w:rPr>
                <w:rFonts w:hint="eastAsia" w:ascii="仿宋_GB2312" w:hAnsi="仿宋_GB2312" w:eastAsia="仿宋_GB2312" w:cs="仿宋_GB2312"/>
              </w:rPr>
            </w:pPr>
          </w:p>
        </w:tc>
        <w:tc>
          <w:tcPr>
            <w:tcW w:w="768" w:type="pct"/>
            <w:vMerge w:val="continue"/>
            <w:vAlign w:val="center"/>
          </w:tcPr>
          <w:p>
            <w:pPr>
              <w:rPr>
                <w:rFonts w:hint="eastAsia" w:ascii="仿宋_GB2312" w:hAnsi="仿宋_GB2312" w:eastAsia="仿宋_GB2312" w:cs="仿宋_GB2312"/>
              </w:rPr>
            </w:pPr>
          </w:p>
        </w:tc>
        <w:tc>
          <w:tcPr>
            <w:tcW w:w="448" w:type="pct"/>
            <w:vMerge w:val="continue"/>
            <w:vAlign w:val="center"/>
          </w:tcPr>
          <w:p>
            <w:pPr>
              <w:jc w:val="center"/>
              <w:rPr>
                <w:rFonts w:hint="eastAsia" w:ascii="仿宋_GB2312" w:hAnsi="仿宋_GB2312" w:eastAsia="仿宋_GB2312" w:cs="仿宋_GB2312"/>
              </w:rPr>
            </w:pPr>
          </w:p>
        </w:tc>
        <w:tc>
          <w:tcPr>
            <w:tcW w:w="442"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776" w:type="pct"/>
            <w:vAlign w:val="center"/>
          </w:tcPr>
          <w:p>
            <w:pPr>
              <w:rPr>
                <w:rFonts w:hint="eastAsia" w:ascii="仿宋_GB2312" w:hAnsi="仿宋_GB2312" w:eastAsia="仿宋_GB2312" w:cs="仿宋_GB2312"/>
              </w:rPr>
            </w:pPr>
            <w:r>
              <w:rPr>
                <w:rFonts w:hint="eastAsia" w:ascii="仿宋_GB2312" w:hAnsi="仿宋_GB2312" w:eastAsia="仿宋_GB2312" w:cs="仿宋_GB2312"/>
              </w:rPr>
              <w:t>造成一般危害后果的；或者造成工程存在质量缺陷，经返修和加固处理仍不能满足安全使用要求的</w:t>
            </w:r>
          </w:p>
        </w:tc>
        <w:tc>
          <w:tcPr>
            <w:tcW w:w="744"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责令改正，并处二万五千元罚款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69" w:type="pct"/>
            <w:vMerge w:val="continue"/>
            <w:vAlign w:val="center"/>
          </w:tcPr>
          <w:p>
            <w:pPr>
              <w:rPr>
                <w:rFonts w:hint="eastAsia" w:ascii="仿宋_GB2312" w:hAnsi="仿宋_GB2312" w:eastAsia="仿宋_GB2312" w:cs="仿宋_GB2312"/>
              </w:rPr>
            </w:pPr>
          </w:p>
        </w:tc>
        <w:tc>
          <w:tcPr>
            <w:tcW w:w="573" w:type="pct"/>
            <w:vMerge w:val="continue"/>
            <w:vAlign w:val="center"/>
          </w:tcPr>
          <w:p>
            <w:pPr>
              <w:rPr>
                <w:rFonts w:hint="eastAsia" w:ascii="仿宋_GB2312" w:hAnsi="仿宋_GB2312" w:eastAsia="仿宋_GB2312" w:cs="仿宋_GB2312"/>
              </w:rPr>
            </w:pPr>
          </w:p>
        </w:tc>
        <w:tc>
          <w:tcPr>
            <w:tcW w:w="879" w:type="pct"/>
            <w:vMerge w:val="continue"/>
            <w:vAlign w:val="center"/>
          </w:tcPr>
          <w:p>
            <w:pPr>
              <w:rPr>
                <w:rFonts w:hint="eastAsia" w:ascii="仿宋_GB2312" w:hAnsi="仿宋_GB2312" w:eastAsia="仿宋_GB2312" w:cs="仿宋_GB2312"/>
              </w:rPr>
            </w:pPr>
          </w:p>
        </w:tc>
        <w:tc>
          <w:tcPr>
            <w:tcW w:w="768" w:type="pct"/>
            <w:vMerge w:val="continue"/>
            <w:vAlign w:val="center"/>
          </w:tcPr>
          <w:p>
            <w:pPr>
              <w:rPr>
                <w:rFonts w:hint="eastAsia" w:ascii="仿宋_GB2312" w:hAnsi="仿宋_GB2312" w:eastAsia="仿宋_GB2312" w:cs="仿宋_GB2312"/>
              </w:rPr>
            </w:pPr>
          </w:p>
        </w:tc>
        <w:tc>
          <w:tcPr>
            <w:tcW w:w="448" w:type="pct"/>
            <w:vMerge w:val="continue"/>
            <w:vAlign w:val="center"/>
          </w:tcPr>
          <w:p>
            <w:pPr>
              <w:jc w:val="center"/>
              <w:rPr>
                <w:rFonts w:hint="eastAsia" w:ascii="仿宋_GB2312" w:hAnsi="仿宋_GB2312" w:eastAsia="仿宋_GB2312" w:cs="仿宋_GB2312"/>
              </w:rPr>
            </w:pPr>
          </w:p>
        </w:tc>
        <w:tc>
          <w:tcPr>
            <w:tcW w:w="442"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rPr>
              <w:t>从重</w:t>
            </w:r>
          </w:p>
        </w:tc>
        <w:tc>
          <w:tcPr>
            <w:tcW w:w="776" w:type="pct"/>
            <w:vAlign w:val="center"/>
          </w:tcPr>
          <w:p>
            <w:pPr>
              <w:rPr>
                <w:rFonts w:hint="eastAsia" w:ascii="仿宋_GB2312" w:hAnsi="仿宋_GB2312" w:eastAsia="仿宋_GB2312" w:cs="仿宋_GB2312"/>
              </w:rPr>
            </w:pPr>
            <w:r>
              <w:rPr>
                <w:rFonts w:hint="eastAsia" w:ascii="仿宋_GB2312" w:hAnsi="仿宋_GB2312" w:eastAsia="仿宋_GB2312" w:cs="仿宋_GB2312"/>
              </w:rPr>
              <w:t>造成质量安全事故的；或造成工程存在严重质量缺陷，经返修和加固处理仍不能满足安全使用要求的</w:t>
            </w:r>
          </w:p>
        </w:tc>
        <w:tc>
          <w:tcPr>
            <w:tcW w:w="744"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责令改正，并处超过二万五千元、三万元以下罚款</w:t>
            </w:r>
          </w:p>
        </w:tc>
      </w:tr>
    </w:tbl>
    <w:p>
      <w:pPr>
        <w:rPr>
          <w:b/>
          <w:bCs/>
          <w:sz w:val="32"/>
          <w:szCs w:val="32"/>
        </w:rPr>
      </w:pPr>
      <w:r>
        <w:br w:type="page"/>
      </w:r>
      <w:r>
        <w:rPr>
          <w:rFonts w:hint="eastAsia"/>
          <w:bCs/>
          <w:sz w:val="32"/>
          <w:szCs w:val="32"/>
        </w:rPr>
        <w:t>《深圳市建设工程质量管理条例》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61"/>
        <w:gridCol w:w="1351"/>
        <w:gridCol w:w="1852"/>
        <w:gridCol w:w="2903"/>
        <w:gridCol w:w="1346"/>
        <w:gridCol w:w="1261"/>
        <w:gridCol w:w="1891"/>
        <w:gridCol w:w="25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374"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476"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653"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1024"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475"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45"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66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885"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74" w:type="pct"/>
            <w:vMerge w:val="restart"/>
            <w:vAlign w:val="center"/>
          </w:tcPr>
          <w:p>
            <w:pPr>
              <w:jc w:val="center"/>
              <w:rPr>
                <w:rFonts w:hint="eastAsia" w:ascii="仿宋_GB2312" w:hAnsi="仿宋_GB2312" w:eastAsia="仿宋_GB2312" w:cs="仿宋_GB2312"/>
                <w:lang w:val="en"/>
              </w:rPr>
            </w:pPr>
            <w:r>
              <w:rPr>
                <w:rFonts w:hint="eastAsia" w:ascii="仿宋_GB2312" w:hAnsi="仿宋_GB2312" w:eastAsia="仿宋_GB2312" w:cs="仿宋_GB2312"/>
                <w:szCs w:val="24"/>
              </w:rPr>
              <w:t>111.5</w:t>
            </w:r>
          </w:p>
        </w:tc>
        <w:tc>
          <w:tcPr>
            <w:tcW w:w="476"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检测单位未依法取得检测资质证书承接检测业务的</w:t>
            </w:r>
          </w:p>
        </w:tc>
        <w:tc>
          <w:tcPr>
            <w:tcW w:w="653"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第五条：“勘察、设计、施工、监理、检测单位应当依法取得相应的资质证书，并在资质证书核定的范围内承接工程业务。”</w:t>
            </w:r>
          </w:p>
        </w:tc>
        <w:tc>
          <w:tcPr>
            <w:tcW w:w="1024"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七十一条第一项：“检测单位有下列行为之一的，责令改正，并按以下规定予以处罚：（一）违反本条例第五条规定，未依法取得检测资质证书承接检测业务的，予以取缔，没收违法所得，并处五千元以上三万元以下罚款。”</w:t>
            </w:r>
          </w:p>
        </w:tc>
        <w:tc>
          <w:tcPr>
            <w:tcW w:w="475"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限制开展生产经营活动；没收违法所得；罚款</w:t>
            </w:r>
          </w:p>
        </w:tc>
        <w:tc>
          <w:tcPr>
            <w:tcW w:w="445"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667" w:type="pct"/>
            <w:vAlign w:val="center"/>
          </w:tcPr>
          <w:p>
            <w:pP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未造成危害后果或造成轻微危害后果的</w:t>
            </w:r>
          </w:p>
        </w:tc>
        <w:tc>
          <w:tcPr>
            <w:tcW w:w="885"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责令改正，予以取缔，没收违法所得，并处五千元以上、低于一万七千五百元罚款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74" w:type="pct"/>
            <w:vMerge w:val="continue"/>
            <w:vAlign w:val="center"/>
          </w:tcPr>
          <w:p>
            <w:pPr>
              <w:rPr>
                <w:rFonts w:hint="eastAsia" w:ascii="仿宋_GB2312" w:hAnsi="仿宋_GB2312" w:eastAsia="仿宋_GB2312" w:cs="仿宋_GB2312"/>
              </w:rPr>
            </w:pPr>
          </w:p>
        </w:tc>
        <w:tc>
          <w:tcPr>
            <w:tcW w:w="476" w:type="pct"/>
            <w:vMerge w:val="continue"/>
            <w:vAlign w:val="center"/>
          </w:tcPr>
          <w:p>
            <w:pPr>
              <w:rPr>
                <w:rFonts w:hint="eastAsia" w:ascii="仿宋_GB2312" w:hAnsi="仿宋_GB2312" w:eastAsia="仿宋_GB2312" w:cs="仿宋_GB2312"/>
              </w:rPr>
            </w:pPr>
          </w:p>
        </w:tc>
        <w:tc>
          <w:tcPr>
            <w:tcW w:w="653" w:type="pct"/>
            <w:vMerge w:val="continue"/>
            <w:vAlign w:val="center"/>
          </w:tcPr>
          <w:p>
            <w:pPr>
              <w:rPr>
                <w:rFonts w:hint="eastAsia" w:ascii="仿宋_GB2312" w:hAnsi="仿宋_GB2312" w:eastAsia="仿宋_GB2312" w:cs="仿宋_GB2312"/>
              </w:rPr>
            </w:pPr>
          </w:p>
        </w:tc>
        <w:tc>
          <w:tcPr>
            <w:tcW w:w="1024" w:type="pct"/>
            <w:vMerge w:val="continue"/>
            <w:vAlign w:val="center"/>
          </w:tcPr>
          <w:p>
            <w:pPr>
              <w:rPr>
                <w:rFonts w:hint="eastAsia" w:ascii="仿宋_GB2312" w:hAnsi="仿宋_GB2312" w:eastAsia="仿宋_GB2312" w:cs="仿宋_GB2312"/>
              </w:rPr>
            </w:pPr>
          </w:p>
        </w:tc>
        <w:tc>
          <w:tcPr>
            <w:tcW w:w="475" w:type="pct"/>
            <w:vMerge w:val="continue"/>
            <w:vAlign w:val="center"/>
          </w:tcPr>
          <w:p>
            <w:pPr>
              <w:rPr>
                <w:rFonts w:hint="eastAsia" w:ascii="仿宋_GB2312" w:hAnsi="仿宋_GB2312" w:eastAsia="仿宋_GB2312" w:cs="仿宋_GB2312"/>
              </w:rPr>
            </w:pPr>
          </w:p>
        </w:tc>
        <w:tc>
          <w:tcPr>
            <w:tcW w:w="445"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667" w:type="pct"/>
            <w:vAlign w:val="center"/>
          </w:tcPr>
          <w:p>
            <w:pPr>
              <w:rPr>
                <w:rFonts w:hint="eastAsia" w:ascii="仿宋_GB2312" w:hAnsi="仿宋_GB2312" w:eastAsia="仿宋_GB2312" w:cs="仿宋_GB2312"/>
                <w:bCs/>
                <w:kern w:val="0"/>
                <w:szCs w:val="21"/>
              </w:rPr>
            </w:pPr>
            <w:r>
              <w:rPr>
                <w:rFonts w:hint="eastAsia" w:ascii="仿宋_GB2312" w:hAnsi="仿宋_GB2312" w:eastAsia="仿宋_GB2312" w:cs="仿宋_GB2312"/>
                <w:kern w:val="0"/>
                <w:szCs w:val="21"/>
              </w:rPr>
              <w:t>造成一般危害后果的</w:t>
            </w:r>
          </w:p>
        </w:tc>
        <w:tc>
          <w:tcPr>
            <w:tcW w:w="885"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责令改正，予以取缔，没收违法所得，并处一万七千五百元罚款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74" w:type="pct"/>
            <w:vMerge w:val="continue"/>
            <w:vAlign w:val="center"/>
          </w:tcPr>
          <w:p>
            <w:pPr>
              <w:rPr>
                <w:rFonts w:hint="eastAsia" w:ascii="仿宋_GB2312" w:hAnsi="仿宋_GB2312" w:eastAsia="仿宋_GB2312" w:cs="仿宋_GB2312"/>
              </w:rPr>
            </w:pPr>
          </w:p>
        </w:tc>
        <w:tc>
          <w:tcPr>
            <w:tcW w:w="476" w:type="pct"/>
            <w:vMerge w:val="continue"/>
            <w:vAlign w:val="center"/>
          </w:tcPr>
          <w:p>
            <w:pPr>
              <w:rPr>
                <w:rFonts w:hint="eastAsia" w:ascii="仿宋_GB2312" w:hAnsi="仿宋_GB2312" w:eastAsia="仿宋_GB2312" w:cs="仿宋_GB2312"/>
              </w:rPr>
            </w:pPr>
          </w:p>
        </w:tc>
        <w:tc>
          <w:tcPr>
            <w:tcW w:w="653" w:type="pct"/>
            <w:vMerge w:val="continue"/>
            <w:vAlign w:val="center"/>
          </w:tcPr>
          <w:p>
            <w:pPr>
              <w:rPr>
                <w:rFonts w:hint="eastAsia" w:ascii="仿宋_GB2312" w:hAnsi="仿宋_GB2312" w:eastAsia="仿宋_GB2312" w:cs="仿宋_GB2312"/>
              </w:rPr>
            </w:pPr>
          </w:p>
        </w:tc>
        <w:tc>
          <w:tcPr>
            <w:tcW w:w="1024" w:type="pct"/>
            <w:vMerge w:val="continue"/>
            <w:vAlign w:val="center"/>
          </w:tcPr>
          <w:p>
            <w:pPr>
              <w:rPr>
                <w:rFonts w:hint="eastAsia" w:ascii="仿宋_GB2312" w:hAnsi="仿宋_GB2312" w:eastAsia="仿宋_GB2312" w:cs="仿宋_GB2312"/>
              </w:rPr>
            </w:pPr>
          </w:p>
        </w:tc>
        <w:tc>
          <w:tcPr>
            <w:tcW w:w="475" w:type="pct"/>
            <w:vMerge w:val="continue"/>
            <w:vAlign w:val="center"/>
          </w:tcPr>
          <w:p>
            <w:pPr>
              <w:rPr>
                <w:rFonts w:hint="eastAsia" w:ascii="仿宋_GB2312" w:hAnsi="仿宋_GB2312" w:eastAsia="仿宋_GB2312" w:cs="仿宋_GB2312"/>
              </w:rPr>
            </w:pPr>
          </w:p>
        </w:tc>
        <w:tc>
          <w:tcPr>
            <w:tcW w:w="445"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667" w:type="pct"/>
            <w:vAlign w:val="center"/>
          </w:tcPr>
          <w:p>
            <w:pPr>
              <w:rPr>
                <w:rFonts w:hint="eastAsia" w:ascii="仿宋_GB2312" w:hAnsi="仿宋_GB2312" w:eastAsia="仿宋_GB2312" w:cs="仿宋_GB2312"/>
              </w:rPr>
            </w:pPr>
            <w:r>
              <w:rPr>
                <w:rFonts w:hint="eastAsia" w:ascii="仿宋_GB2312" w:hAnsi="仿宋_GB2312" w:eastAsia="仿宋_GB2312" w:cs="仿宋_GB2312"/>
                <w:kern w:val="0"/>
                <w:szCs w:val="21"/>
              </w:rPr>
              <w:t>造成质量安全事故的</w:t>
            </w:r>
          </w:p>
        </w:tc>
        <w:tc>
          <w:tcPr>
            <w:tcW w:w="885"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责令改正，予以取缔，没收违法所得，并处超过一万七千五百元、三万元以下罚款</w:t>
            </w:r>
          </w:p>
        </w:tc>
      </w:tr>
    </w:tbl>
    <w:p>
      <w:pPr>
        <w:rPr>
          <w:b/>
          <w:sz w:val="32"/>
          <w:szCs w:val="32"/>
        </w:rPr>
      </w:pPr>
      <w:r>
        <w:br w:type="page"/>
      </w:r>
      <w:r>
        <w:rPr>
          <w:rFonts w:hint="eastAsia"/>
          <w:bCs/>
          <w:sz w:val="32"/>
          <w:szCs w:val="32"/>
        </w:rPr>
        <w:t>《深圳市建设工程质量管理条例》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8"/>
        <w:gridCol w:w="1608"/>
        <w:gridCol w:w="1658"/>
        <w:gridCol w:w="2940"/>
        <w:gridCol w:w="1397"/>
        <w:gridCol w:w="1261"/>
        <w:gridCol w:w="2047"/>
        <w:gridCol w:w="22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373"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56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585"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103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493"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45"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722"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779"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73" w:type="pct"/>
            <w:vMerge w:val="restart"/>
            <w:vAlign w:val="center"/>
          </w:tcPr>
          <w:p>
            <w:pPr>
              <w:jc w:val="center"/>
              <w:rPr>
                <w:rFonts w:hint="eastAsia" w:ascii="仿宋_GB2312" w:hAnsi="仿宋_GB2312" w:eastAsia="仿宋_GB2312" w:cs="仿宋_GB2312"/>
                <w:lang w:val="en"/>
              </w:rPr>
            </w:pPr>
            <w:r>
              <w:rPr>
                <w:rFonts w:ascii="仿宋_GB2312" w:hAnsi="仿宋_GB2312" w:eastAsia="仿宋_GB2312" w:cs="仿宋_GB2312"/>
                <w:szCs w:val="24"/>
              </w:rPr>
              <w:t>111.</w:t>
            </w:r>
            <w:r>
              <w:rPr>
                <w:rFonts w:hint="eastAsia" w:ascii="仿宋_GB2312" w:hAnsi="仿宋_GB2312" w:eastAsia="仿宋_GB2312" w:cs="仿宋_GB2312"/>
                <w:szCs w:val="24"/>
              </w:rPr>
              <w:t>6</w:t>
            </w:r>
          </w:p>
        </w:tc>
        <w:tc>
          <w:tcPr>
            <w:tcW w:w="567"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检测单位以其他检测单位的名义或者允许其他单位、个人以本单位的名义承接检测业务，或者转让检测业务的</w:t>
            </w:r>
          </w:p>
        </w:tc>
        <w:tc>
          <w:tcPr>
            <w:tcW w:w="585"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第四十二条：“检测单位不得以其他检测单位的名义或者允许其他单位、个人以本单位的名义承接检测业务。</w:t>
            </w:r>
          </w:p>
          <w:p>
            <w:pPr>
              <w:rPr>
                <w:rFonts w:hint="eastAsia" w:ascii="仿宋_GB2312" w:hAnsi="仿宋_GB2312" w:eastAsia="仿宋_GB2312" w:cs="仿宋_GB2312"/>
              </w:rPr>
            </w:pPr>
            <w:r>
              <w:rPr>
                <w:rFonts w:hint="eastAsia" w:ascii="仿宋_GB2312" w:hAnsi="仿宋_GB2312" w:eastAsia="仿宋_GB2312" w:cs="仿宋_GB2312"/>
              </w:rPr>
              <w:t>　 检测单位不得转让检测业务。”</w:t>
            </w:r>
          </w:p>
        </w:tc>
        <w:tc>
          <w:tcPr>
            <w:tcW w:w="1037"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七十一条第二项：“检测单位有下列行为之一的，责令改正，并按以下规定予以处罚：（二）违反本条例第四十二条规定，检测单位以其他检测单位的名义或者允许其他单位、个人以本单位的名义承接检测业务，或者转让检测业务的，责令改正，没收违法所得，并处五千元以上三万元以下罚款。”</w:t>
            </w:r>
          </w:p>
        </w:tc>
        <w:tc>
          <w:tcPr>
            <w:tcW w:w="493"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没收违法所得；罚款</w:t>
            </w:r>
          </w:p>
        </w:tc>
        <w:tc>
          <w:tcPr>
            <w:tcW w:w="445"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722" w:type="pct"/>
            <w:vAlign w:val="center"/>
          </w:tcPr>
          <w:p>
            <w:pPr>
              <w:rPr>
                <w:rFonts w:hint="eastAsia" w:ascii="仿宋_GB2312" w:hAnsi="仿宋_GB2312" w:eastAsia="仿宋_GB2312" w:cs="仿宋_GB2312"/>
              </w:rPr>
            </w:pPr>
            <w:r>
              <w:rPr>
                <w:rFonts w:hint="eastAsia" w:ascii="仿宋_GB2312" w:hAnsi="仿宋_GB2312" w:eastAsia="仿宋_GB2312" w:cs="仿宋_GB2312"/>
                <w:kern w:val="0"/>
                <w:szCs w:val="21"/>
              </w:rPr>
              <w:t>未造成危害后果或造成轻微危害后果的</w:t>
            </w:r>
          </w:p>
        </w:tc>
        <w:tc>
          <w:tcPr>
            <w:tcW w:w="779"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责令改正，没收违法所得，并处五千元以上、低于一万七千五百元罚款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73" w:type="pct"/>
            <w:vMerge w:val="continue"/>
            <w:vAlign w:val="center"/>
          </w:tcPr>
          <w:p>
            <w:pPr>
              <w:rPr>
                <w:rFonts w:hint="eastAsia" w:ascii="仿宋_GB2312" w:hAnsi="仿宋_GB2312" w:eastAsia="仿宋_GB2312" w:cs="仿宋_GB2312"/>
              </w:rPr>
            </w:pPr>
          </w:p>
        </w:tc>
        <w:tc>
          <w:tcPr>
            <w:tcW w:w="567" w:type="pct"/>
            <w:vMerge w:val="continue"/>
            <w:vAlign w:val="center"/>
          </w:tcPr>
          <w:p>
            <w:pPr>
              <w:rPr>
                <w:rFonts w:hint="eastAsia" w:ascii="仿宋_GB2312" w:hAnsi="仿宋_GB2312" w:eastAsia="仿宋_GB2312" w:cs="仿宋_GB2312"/>
              </w:rPr>
            </w:pPr>
          </w:p>
        </w:tc>
        <w:tc>
          <w:tcPr>
            <w:tcW w:w="585" w:type="pct"/>
            <w:vMerge w:val="continue"/>
            <w:vAlign w:val="center"/>
          </w:tcPr>
          <w:p>
            <w:pPr>
              <w:rPr>
                <w:rFonts w:hint="eastAsia" w:ascii="仿宋_GB2312" w:hAnsi="仿宋_GB2312" w:eastAsia="仿宋_GB2312" w:cs="仿宋_GB2312"/>
              </w:rPr>
            </w:pPr>
          </w:p>
        </w:tc>
        <w:tc>
          <w:tcPr>
            <w:tcW w:w="1037" w:type="pct"/>
            <w:vMerge w:val="continue"/>
            <w:vAlign w:val="center"/>
          </w:tcPr>
          <w:p>
            <w:pPr>
              <w:rPr>
                <w:rFonts w:hint="eastAsia" w:ascii="仿宋_GB2312" w:hAnsi="仿宋_GB2312" w:eastAsia="仿宋_GB2312" w:cs="仿宋_GB2312"/>
              </w:rPr>
            </w:pPr>
          </w:p>
        </w:tc>
        <w:tc>
          <w:tcPr>
            <w:tcW w:w="493" w:type="pct"/>
            <w:vMerge w:val="continue"/>
            <w:vAlign w:val="center"/>
          </w:tcPr>
          <w:p>
            <w:pPr>
              <w:rPr>
                <w:rFonts w:hint="eastAsia" w:ascii="仿宋_GB2312" w:hAnsi="仿宋_GB2312" w:eastAsia="仿宋_GB2312" w:cs="仿宋_GB2312"/>
              </w:rPr>
            </w:pPr>
          </w:p>
        </w:tc>
        <w:tc>
          <w:tcPr>
            <w:tcW w:w="445"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722" w:type="pct"/>
            <w:vAlign w:val="center"/>
          </w:tcPr>
          <w:p>
            <w:pPr>
              <w:rPr>
                <w:rFonts w:hint="eastAsia" w:ascii="仿宋_GB2312" w:hAnsi="仿宋_GB2312" w:eastAsia="仿宋_GB2312" w:cs="仿宋_GB2312"/>
              </w:rPr>
            </w:pPr>
            <w:r>
              <w:rPr>
                <w:rFonts w:hint="eastAsia" w:ascii="仿宋_GB2312" w:hAnsi="仿宋_GB2312" w:eastAsia="仿宋_GB2312" w:cs="仿宋_GB2312"/>
                <w:kern w:val="0"/>
                <w:szCs w:val="21"/>
              </w:rPr>
              <w:t>造成一般危害后果的</w:t>
            </w:r>
          </w:p>
        </w:tc>
        <w:tc>
          <w:tcPr>
            <w:tcW w:w="779"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责令改正，没收违法所得，并处一万七千五百元罚款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73" w:type="pct"/>
            <w:vMerge w:val="continue"/>
            <w:vAlign w:val="center"/>
          </w:tcPr>
          <w:p>
            <w:pPr>
              <w:rPr>
                <w:rFonts w:hint="eastAsia" w:ascii="仿宋_GB2312" w:hAnsi="仿宋_GB2312" w:eastAsia="仿宋_GB2312" w:cs="仿宋_GB2312"/>
              </w:rPr>
            </w:pPr>
          </w:p>
        </w:tc>
        <w:tc>
          <w:tcPr>
            <w:tcW w:w="567" w:type="pct"/>
            <w:vMerge w:val="continue"/>
            <w:vAlign w:val="center"/>
          </w:tcPr>
          <w:p>
            <w:pPr>
              <w:rPr>
                <w:rFonts w:hint="eastAsia" w:ascii="仿宋_GB2312" w:hAnsi="仿宋_GB2312" w:eastAsia="仿宋_GB2312" w:cs="仿宋_GB2312"/>
              </w:rPr>
            </w:pPr>
          </w:p>
        </w:tc>
        <w:tc>
          <w:tcPr>
            <w:tcW w:w="585" w:type="pct"/>
            <w:vMerge w:val="continue"/>
            <w:vAlign w:val="center"/>
          </w:tcPr>
          <w:p>
            <w:pPr>
              <w:rPr>
                <w:rFonts w:hint="eastAsia" w:ascii="仿宋_GB2312" w:hAnsi="仿宋_GB2312" w:eastAsia="仿宋_GB2312" w:cs="仿宋_GB2312"/>
              </w:rPr>
            </w:pPr>
          </w:p>
        </w:tc>
        <w:tc>
          <w:tcPr>
            <w:tcW w:w="1037" w:type="pct"/>
            <w:vMerge w:val="continue"/>
            <w:vAlign w:val="center"/>
          </w:tcPr>
          <w:p>
            <w:pPr>
              <w:rPr>
                <w:rFonts w:hint="eastAsia" w:ascii="仿宋_GB2312" w:hAnsi="仿宋_GB2312" w:eastAsia="仿宋_GB2312" w:cs="仿宋_GB2312"/>
              </w:rPr>
            </w:pPr>
          </w:p>
        </w:tc>
        <w:tc>
          <w:tcPr>
            <w:tcW w:w="493" w:type="pct"/>
            <w:vMerge w:val="continue"/>
            <w:vAlign w:val="center"/>
          </w:tcPr>
          <w:p>
            <w:pPr>
              <w:rPr>
                <w:rFonts w:hint="eastAsia" w:ascii="仿宋_GB2312" w:hAnsi="仿宋_GB2312" w:eastAsia="仿宋_GB2312" w:cs="仿宋_GB2312"/>
              </w:rPr>
            </w:pPr>
          </w:p>
        </w:tc>
        <w:tc>
          <w:tcPr>
            <w:tcW w:w="445"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722" w:type="pct"/>
            <w:vAlign w:val="center"/>
          </w:tcPr>
          <w:p>
            <w:pPr>
              <w:rPr>
                <w:rFonts w:hint="eastAsia" w:ascii="仿宋_GB2312" w:hAnsi="仿宋_GB2312" w:eastAsia="仿宋_GB2312" w:cs="仿宋_GB2312"/>
              </w:rPr>
            </w:pPr>
            <w:r>
              <w:rPr>
                <w:rFonts w:hint="eastAsia" w:ascii="仿宋_GB2312" w:hAnsi="仿宋_GB2312" w:eastAsia="仿宋_GB2312" w:cs="仿宋_GB2312"/>
                <w:spacing w:val="10"/>
                <w:szCs w:val="21"/>
              </w:rPr>
              <w:t>造成严重危害后果的</w:t>
            </w:r>
          </w:p>
        </w:tc>
        <w:tc>
          <w:tcPr>
            <w:tcW w:w="779"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责令改正，没收违法所得，并处超过一万七千五百元、三万元以下罚款</w:t>
            </w:r>
          </w:p>
        </w:tc>
      </w:tr>
    </w:tbl>
    <w:p>
      <w:pPr>
        <w:rPr>
          <w:b/>
          <w:sz w:val="32"/>
          <w:szCs w:val="32"/>
        </w:rPr>
      </w:pPr>
      <w:r>
        <w:br w:type="page"/>
      </w:r>
      <w:r>
        <w:rPr>
          <w:rFonts w:hint="eastAsia"/>
          <w:bCs/>
          <w:sz w:val="32"/>
          <w:szCs w:val="32"/>
        </w:rPr>
        <w:t>《深圳市建设工程质量管理条例》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7"/>
        <w:gridCol w:w="1690"/>
        <w:gridCol w:w="1636"/>
        <w:gridCol w:w="2744"/>
        <w:gridCol w:w="1530"/>
        <w:gridCol w:w="1418"/>
        <w:gridCol w:w="1891"/>
        <w:gridCol w:w="22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373"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596"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577"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968"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540"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500"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667"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779"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73" w:type="pct"/>
            <w:vMerge w:val="restart"/>
            <w:vAlign w:val="center"/>
          </w:tcPr>
          <w:p>
            <w:pPr>
              <w:jc w:val="center"/>
              <w:rPr>
                <w:rFonts w:hint="eastAsia" w:ascii="仿宋_GB2312" w:hAnsi="仿宋_GB2312" w:eastAsia="仿宋_GB2312" w:cs="仿宋_GB2312"/>
                <w:lang w:val="en"/>
              </w:rPr>
            </w:pPr>
            <w:r>
              <w:rPr>
                <w:rFonts w:ascii="仿宋_GB2312" w:hAnsi="仿宋_GB2312" w:eastAsia="仿宋_GB2312" w:cs="仿宋_GB2312"/>
                <w:szCs w:val="24"/>
              </w:rPr>
              <w:t>111.</w:t>
            </w:r>
            <w:r>
              <w:rPr>
                <w:rFonts w:hint="eastAsia" w:ascii="仿宋_GB2312" w:hAnsi="仿宋_GB2312" w:eastAsia="仿宋_GB2312" w:cs="仿宋_GB2312"/>
                <w:szCs w:val="24"/>
              </w:rPr>
              <w:t>7</w:t>
            </w:r>
          </w:p>
        </w:tc>
        <w:tc>
          <w:tcPr>
            <w:tcW w:w="596"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检测单位伪造检测数据和检测结论的，出具虚假证明的</w:t>
            </w:r>
          </w:p>
        </w:tc>
        <w:tc>
          <w:tcPr>
            <w:tcW w:w="577"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第四十四条第三款：“检测单位不得伪造检测数据和检测结论。”</w:t>
            </w:r>
          </w:p>
        </w:tc>
        <w:tc>
          <w:tcPr>
            <w:tcW w:w="968"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七十一条第三项：“检测单位有下列行为之一的，责令改正，并按以下规定予以处罚：（三）违反本条例第四十四条第三款规定，伪造检测数据和检测结论的，出具虚假证明的，吊销其资质证书，没收违法所得，并处一万元以上二万元以下的罚款；构成犯罪的，依法追究刑事责任。”</w:t>
            </w:r>
          </w:p>
        </w:tc>
        <w:tc>
          <w:tcPr>
            <w:tcW w:w="540"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吊销许可证件；没收违法所得；罚款</w:t>
            </w:r>
          </w:p>
        </w:tc>
        <w:tc>
          <w:tcPr>
            <w:tcW w:w="500"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667" w:type="pct"/>
            <w:vAlign w:val="center"/>
          </w:tcPr>
          <w:p>
            <w:pPr>
              <w:rPr>
                <w:rFonts w:hint="eastAsia" w:ascii="仿宋_GB2312" w:hAnsi="仿宋_GB2312" w:eastAsia="仿宋_GB2312" w:cs="仿宋_GB2312"/>
              </w:rPr>
            </w:pPr>
            <w:r>
              <w:rPr>
                <w:rFonts w:hint="eastAsia" w:ascii="仿宋_GB2312" w:hAnsi="仿宋_GB2312" w:eastAsia="仿宋_GB2312" w:cs="仿宋_GB2312"/>
              </w:rPr>
              <w:t>检测项目未涉及结构安全及主要使用功能，且未造成质量安全事故的</w:t>
            </w:r>
          </w:p>
        </w:tc>
        <w:tc>
          <w:tcPr>
            <w:tcW w:w="779"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责令改正，吊销其资质证书，没收违法所得，并处一万元以上、低于一万五千元的罚款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73" w:type="pct"/>
            <w:vMerge w:val="continue"/>
            <w:vAlign w:val="center"/>
          </w:tcPr>
          <w:p>
            <w:pPr>
              <w:rPr>
                <w:rFonts w:hint="eastAsia" w:ascii="仿宋_GB2312" w:hAnsi="仿宋_GB2312" w:eastAsia="仿宋_GB2312" w:cs="仿宋_GB2312"/>
              </w:rPr>
            </w:pPr>
          </w:p>
        </w:tc>
        <w:tc>
          <w:tcPr>
            <w:tcW w:w="596" w:type="pct"/>
            <w:vMerge w:val="continue"/>
            <w:vAlign w:val="center"/>
          </w:tcPr>
          <w:p>
            <w:pPr>
              <w:rPr>
                <w:rFonts w:hint="eastAsia" w:ascii="仿宋_GB2312" w:hAnsi="仿宋_GB2312" w:eastAsia="仿宋_GB2312" w:cs="仿宋_GB2312"/>
              </w:rPr>
            </w:pPr>
          </w:p>
        </w:tc>
        <w:tc>
          <w:tcPr>
            <w:tcW w:w="577" w:type="pct"/>
            <w:vMerge w:val="continue"/>
            <w:vAlign w:val="center"/>
          </w:tcPr>
          <w:p>
            <w:pPr>
              <w:rPr>
                <w:rFonts w:hint="eastAsia" w:ascii="仿宋_GB2312" w:hAnsi="仿宋_GB2312" w:eastAsia="仿宋_GB2312" w:cs="仿宋_GB2312"/>
              </w:rPr>
            </w:pPr>
          </w:p>
        </w:tc>
        <w:tc>
          <w:tcPr>
            <w:tcW w:w="968" w:type="pct"/>
            <w:vMerge w:val="continue"/>
            <w:vAlign w:val="center"/>
          </w:tcPr>
          <w:p>
            <w:pPr>
              <w:rPr>
                <w:rFonts w:hint="eastAsia" w:ascii="仿宋_GB2312" w:hAnsi="仿宋_GB2312" w:eastAsia="仿宋_GB2312" w:cs="仿宋_GB2312"/>
              </w:rPr>
            </w:pPr>
          </w:p>
        </w:tc>
        <w:tc>
          <w:tcPr>
            <w:tcW w:w="540" w:type="pct"/>
            <w:vMerge w:val="continue"/>
            <w:vAlign w:val="center"/>
          </w:tcPr>
          <w:p>
            <w:pPr>
              <w:rPr>
                <w:rFonts w:hint="eastAsia" w:ascii="仿宋_GB2312" w:hAnsi="仿宋_GB2312" w:eastAsia="仿宋_GB2312" w:cs="仿宋_GB2312"/>
              </w:rPr>
            </w:pPr>
          </w:p>
        </w:tc>
        <w:tc>
          <w:tcPr>
            <w:tcW w:w="500"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667" w:type="pct"/>
            <w:vAlign w:val="center"/>
          </w:tcPr>
          <w:p>
            <w:pPr>
              <w:rPr>
                <w:rFonts w:hint="eastAsia" w:ascii="仿宋_GB2312" w:hAnsi="仿宋_GB2312" w:eastAsia="仿宋_GB2312" w:cs="仿宋_GB2312"/>
              </w:rPr>
            </w:pPr>
            <w:r>
              <w:rPr>
                <w:rFonts w:hint="eastAsia" w:ascii="仿宋_GB2312" w:hAnsi="仿宋_GB2312" w:eastAsia="仿宋_GB2312" w:cs="仿宋_GB2312"/>
              </w:rPr>
              <w:t>检测项目涉及结构安全及主要使用功能，未造成质量安全事故的</w:t>
            </w:r>
          </w:p>
        </w:tc>
        <w:tc>
          <w:tcPr>
            <w:tcW w:w="779"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责令改正，吊销其资质证书，没收违法所得，并处一万五千元的罚款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73" w:type="pct"/>
            <w:vMerge w:val="continue"/>
            <w:vAlign w:val="center"/>
          </w:tcPr>
          <w:p>
            <w:pPr>
              <w:rPr>
                <w:rFonts w:hint="eastAsia" w:ascii="仿宋_GB2312" w:hAnsi="仿宋_GB2312" w:eastAsia="仿宋_GB2312" w:cs="仿宋_GB2312"/>
              </w:rPr>
            </w:pPr>
          </w:p>
        </w:tc>
        <w:tc>
          <w:tcPr>
            <w:tcW w:w="596" w:type="pct"/>
            <w:vMerge w:val="continue"/>
            <w:vAlign w:val="center"/>
          </w:tcPr>
          <w:p>
            <w:pPr>
              <w:rPr>
                <w:rFonts w:hint="eastAsia" w:ascii="仿宋_GB2312" w:hAnsi="仿宋_GB2312" w:eastAsia="仿宋_GB2312" w:cs="仿宋_GB2312"/>
              </w:rPr>
            </w:pPr>
          </w:p>
        </w:tc>
        <w:tc>
          <w:tcPr>
            <w:tcW w:w="577" w:type="pct"/>
            <w:vMerge w:val="continue"/>
            <w:vAlign w:val="center"/>
          </w:tcPr>
          <w:p>
            <w:pPr>
              <w:rPr>
                <w:rFonts w:hint="eastAsia" w:ascii="仿宋_GB2312" w:hAnsi="仿宋_GB2312" w:eastAsia="仿宋_GB2312" w:cs="仿宋_GB2312"/>
              </w:rPr>
            </w:pPr>
          </w:p>
        </w:tc>
        <w:tc>
          <w:tcPr>
            <w:tcW w:w="968" w:type="pct"/>
            <w:vMerge w:val="continue"/>
            <w:vAlign w:val="center"/>
          </w:tcPr>
          <w:p>
            <w:pPr>
              <w:rPr>
                <w:rFonts w:hint="eastAsia" w:ascii="仿宋_GB2312" w:hAnsi="仿宋_GB2312" w:eastAsia="仿宋_GB2312" w:cs="仿宋_GB2312"/>
              </w:rPr>
            </w:pPr>
          </w:p>
        </w:tc>
        <w:tc>
          <w:tcPr>
            <w:tcW w:w="540" w:type="pct"/>
            <w:vMerge w:val="continue"/>
            <w:vAlign w:val="center"/>
          </w:tcPr>
          <w:p>
            <w:pPr>
              <w:rPr>
                <w:rFonts w:hint="eastAsia" w:ascii="仿宋_GB2312" w:hAnsi="仿宋_GB2312" w:eastAsia="仿宋_GB2312" w:cs="仿宋_GB2312"/>
              </w:rPr>
            </w:pPr>
          </w:p>
        </w:tc>
        <w:tc>
          <w:tcPr>
            <w:tcW w:w="500"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667" w:type="pct"/>
            <w:vAlign w:val="center"/>
          </w:tcPr>
          <w:p>
            <w:pPr>
              <w:rPr>
                <w:rFonts w:hint="eastAsia" w:ascii="仿宋_GB2312" w:hAnsi="仿宋_GB2312" w:eastAsia="仿宋_GB2312" w:cs="仿宋_GB2312"/>
              </w:rPr>
            </w:pPr>
            <w:r>
              <w:rPr>
                <w:rFonts w:hint="eastAsia" w:ascii="仿宋_GB2312" w:hAnsi="仿宋_GB2312" w:eastAsia="仿宋_GB2312" w:cs="仿宋_GB2312"/>
              </w:rPr>
              <w:t>造成质量安全事故的</w:t>
            </w:r>
          </w:p>
        </w:tc>
        <w:tc>
          <w:tcPr>
            <w:tcW w:w="779"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责令改正，吊销其资质证书，没收违法所得，并处超过一万五千元、二万元以下的罚款</w:t>
            </w:r>
          </w:p>
        </w:tc>
      </w:tr>
    </w:tbl>
    <w:p>
      <w:pPr>
        <w:rPr>
          <w:b/>
          <w:sz w:val="32"/>
          <w:szCs w:val="32"/>
        </w:rPr>
      </w:pPr>
      <w:r>
        <w:br w:type="page"/>
      </w:r>
      <w:r>
        <w:rPr>
          <w:rFonts w:hint="eastAsia"/>
          <w:bCs/>
          <w:sz w:val="32"/>
          <w:szCs w:val="32"/>
        </w:rPr>
        <w:t>《深圳市建设工程质量管理条例》</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2"/>
        <w:gridCol w:w="1415"/>
        <w:gridCol w:w="3634"/>
        <w:gridCol w:w="1338"/>
        <w:gridCol w:w="1247"/>
        <w:gridCol w:w="1231"/>
        <w:gridCol w:w="2027"/>
        <w:gridCol w:w="23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315"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499"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1282"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472"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440"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34"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715"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843"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15" w:type="pct"/>
            <w:vMerge w:val="restart"/>
            <w:vAlign w:val="center"/>
          </w:tcPr>
          <w:p>
            <w:pPr>
              <w:jc w:val="center"/>
              <w:rPr>
                <w:rFonts w:hint="eastAsia" w:ascii="仿宋_GB2312" w:hAnsi="仿宋_GB2312" w:eastAsia="仿宋_GB2312" w:cs="仿宋_GB2312"/>
                <w:lang w:val="en"/>
              </w:rPr>
            </w:pPr>
            <w:r>
              <w:rPr>
                <w:rFonts w:ascii="仿宋_GB2312" w:hAnsi="仿宋_GB2312" w:eastAsia="仿宋_GB2312" w:cs="仿宋_GB2312"/>
                <w:szCs w:val="24"/>
              </w:rPr>
              <w:t>111.</w:t>
            </w:r>
            <w:r>
              <w:rPr>
                <w:rFonts w:hint="eastAsia" w:ascii="仿宋_GB2312" w:hAnsi="仿宋_GB2312" w:eastAsia="仿宋_GB2312" w:cs="仿宋_GB2312"/>
                <w:szCs w:val="24"/>
              </w:rPr>
              <w:t>8</w:t>
            </w:r>
          </w:p>
        </w:tc>
        <w:tc>
          <w:tcPr>
            <w:tcW w:w="499"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从事建设活动的相关人员未依法注册而以注册执业人员名义执业或者允许他人以本人名义执业的</w:t>
            </w:r>
          </w:p>
        </w:tc>
        <w:tc>
          <w:tcPr>
            <w:tcW w:w="1282"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四十七条：“从事建设活动的注册建筑师、注册结构工程师、注册建造师、注册监理工程师、注册造价工程师、其他勘察类工程师等注册执业人员，应当依法取得相应的执业资格并注册，并在规定的范围内执业。</w:t>
            </w:r>
          </w:p>
          <w:p>
            <w:pPr>
              <w:rPr>
                <w:rFonts w:hint="eastAsia" w:ascii="仿宋_GB2312" w:hAnsi="仿宋_GB2312" w:eastAsia="仿宋_GB2312" w:cs="仿宋_GB2312"/>
              </w:rPr>
            </w:pPr>
            <w:r>
              <w:rPr>
                <w:rFonts w:hint="eastAsia" w:ascii="仿宋_GB2312" w:hAnsi="仿宋_GB2312" w:eastAsia="仿宋_GB2312" w:cs="仿宋_GB2312"/>
              </w:rPr>
              <w:t>　　从事施工、质量、安全、检测等工作的技术人员，应当按照规定取得相应的岗位证书并持证上岗。</w:t>
            </w:r>
          </w:p>
          <w:p>
            <w:pPr>
              <w:ind w:firstLine="432"/>
              <w:rPr>
                <w:rFonts w:hint="eastAsia" w:ascii="仿宋_GB2312" w:hAnsi="仿宋_GB2312" w:eastAsia="仿宋_GB2312" w:cs="仿宋_GB2312"/>
              </w:rPr>
            </w:pPr>
            <w:r>
              <w:rPr>
                <w:rFonts w:hint="eastAsia" w:ascii="仿宋_GB2312" w:hAnsi="仿宋_GB2312" w:eastAsia="仿宋_GB2312" w:cs="仿宋_GB2312"/>
              </w:rPr>
              <w:t>从事施工操作活动的工人，应当按照规定通过相应的职业技能培训，在规定的范围内从事施工操作活动。”</w:t>
            </w:r>
          </w:p>
          <w:p>
            <w:pPr>
              <w:ind w:firstLine="432"/>
            </w:pPr>
          </w:p>
          <w:p>
            <w:pPr>
              <w:rPr>
                <w:rFonts w:hint="eastAsia" w:ascii="仿宋_GB2312" w:hAnsi="仿宋_GB2312" w:eastAsia="仿宋_GB2312" w:cs="仿宋_GB2312"/>
              </w:rPr>
            </w:pPr>
            <w:r>
              <w:rPr>
                <w:rFonts w:hint="eastAsia" w:ascii="仿宋_GB2312" w:hAnsi="仿宋_GB2312" w:eastAsia="仿宋_GB2312" w:cs="仿宋_GB2312"/>
              </w:rPr>
              <w:t>第四十八条：“注册执业人员应当在所注册的单位执业，不得允许他人以自己的名义执业。</w:t>
            </w:r>
          </w:p>
          <w:p>
            <w:pPr>
              <w:rPr>
                <w:rFonts w:hint="eastAsia" w:ascii="仿宋_GB2312" w:hAnsi="仿宋_GB2312" w:eastAsia="仿宋_GB2312" w:cs="仿宋_GB2312"/>
              </w:rPr>
            </w:pPr>
            <w:r>
              <w:rPr>
                <w:rFonts w:hint="eastAsia" w:ascii="仿宋_GB2312" w:hAnsi="仿宋_GB2312" w:eastAsia="仿宋_GB2312" w:cs="仿宋_GB2312"/>
              </w:rPr>
              <w:t>　　未经注册的人员不得以注册执业人员的名义执业。”</w:t>
            </w:r>
          </w:p>
        </w:tc>
        <w:tc>
          <w:tcPr>
            <w:tcW w:w="472"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第七十二条：“违反本条例第四十七条、第四十八条规定，未依法注册而以注册执业人员名义执业或者允许他人以本人名义执业的，责令改正，没收违法所得，并处五千元以上三万元以下的罚款。”</w:t>
            </w:r>
          </w:p>
        </w:tc>
        <w:tc>
          <w:tcPr>
            <w:tcW w:w="440" w:type="pct"/>
            <w:vMerge w:val="restart"/>
            <w:vAlign w:val="center"/>
          </w:tcPr>
          <w:p>
            <w:pPr>
              <w:rPr>
                <w:rFonts w:hint="eastAsia" w:ascii="仿宋_GB2312" w:hAnsi="仿宋_GB2312" w:eastAsia="仿宋_GB2312" w:cs="仿宋_GB2312"/>
              </w:rPr>
            </w:pPr>
            <w:r>
              <w:rPr>
                <w:rFonts w:hint="eastAsia" w:ascii="仿宋_GB2312" w:hAnsi="仿宋_GB2312" w:eastAsia="仿宋_GB2312" w:cs="仿宋_GB2312"/>
              </w:rPr>
              <w:t>没收违法所得；罚款</w:t>
            </w:r>
          </w:p>
        </w:tc>
        <w:tc>
          <w:tcPr>
            <w:tcW w:w="434"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从轻</w:t>
            </w:r>
          </w:p>
        </w:tc>
        <w:tc>
          <w:tcPr>
            <w:tcW w:w="715" w:type="pct"/>
            <w:vAlign w:val="center"/>
          </w:tcPr>
          <w:p>
            <w:pPr>
              <w:rPr>
                <w:rFonts w:hint="eastAsia" w:ascii="仿宋_GB2312" w:hAnsi="仿宋_GB2312" w:eastAsia="仿宋_GB2312" w:cs="仿宋_GB2312"/>
              </w:rPr>
            </w:pPr>
            <w:r>
              <w:rPr>
                <w:rFonts w:hint="eastAsia" w:ascii="仿宋_GB2312" w:hAnsi="仿宋_GB2312" w:eastAsia="仿宋_GB2312" w:cs="仿宋_GB2312"/>
                <w:kern w:val="0"/>
                <w:szCs w:val="21"/>
              </w:rPr>
              <w:t>未造成危害后果或造成轻微危害后果的</w:t>
            </w:r>
          </w:p>
        </w:tc>
        <w:tc>
          <w:tcPr>
            <w:tcW w:w="843"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责令改正，没收违法所得，并处五千元以上、低于一万七千五百元罚款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15" w:type="pct"/>
            <w:vMerge w:val="continue"/>
            <w:vAlign w:val="center"/>
          </w:tcPr>
          <w:p>
            <w:pPr>
              <w:rPr>
                <w:rFonts w:hint="eastAsia" w:ascii="仿宋_GB2312" w:hAnsi="仿宋_GB2312" w:eastAsia="仿宋_GB2312" w:cs="仿宋_GB2312"/>
              </w:rPr>
            </w:pPr>
          </w:p>
        </w:tc>
        <w:tc>
          <w:tcPr>
            <w:tcW w:w="499" w:type="pct"/>
            <w:vMerge w:val="continue"/>
            <w:vAlign w:val="center"/>
          </w:tcPr>
          <w:p>
            <w:pPr>
              <w:rPr>
                <w:rFonts w:hint="eastAsia" w:ascii="仿宋_GB2312" w:hAnsi="仿宋_GB2312" w:eastAsia="仿宋_GB2312" w:cs="仿宋_GB2312"/>
              </w:rPr>
            </w:pPr>
          </w:p>
        </w:tc>
        <w:tc>
          <w:tcPr>
            <w:tcW w:w="1282" w:type="pct"/>
            <w:vMerge w:val="continue"/>
            <w:vAlign w:val="center"/>
          </w:tcPr>
          <w:p>
            <w:pPr>
              <w:rPr>
                <w:rFonts w:hint="eastAsia" w:ascii="仿宋_GB2312" w:hAnsi="仿宋_GB2312" w:eastAsia="仿宋_GB2312" w:cs="仿宋_GB2312"/>
              </w:rPr>
            </w:pPr>
          </w:p>
        </w:tc>
        <w:tc>
          <w:tcPr>
            <w:tcW w:w="472" w:type="pct"/>
            <w:vMerge w:val="continue"/>
            <w:vAlign w:val="center"/>
          </w:tcPr>
          <w:p>
            <w:pPr>
              <w:rPr>
                <w:rFonts w:hint="eastAsia" w:ascii="仿宋_GB2312" w:hAnsi="仿宋_GB2312" w:eastAsia="仿宋_GB2312" w:cs="仿宋_GB2312"/>
              </w:rPr>
            </w:pPr>
          </w:p>
        </w:tc>
        <w:tc>
          <w:tcPr>
            <w:tcW w:w="440" w:type="pct"/>
            <w:vMerge w:val="continue"/>
            <w:vAlign w:val="center"/>
          </w:tcPr>
          <w:p>
            <w:pPr>
              <w:rPr>
                <w:rFonts w:hint="eastAsia" w:ascii="仿宋_GB2312" w:hAnsi="仿宋_GB2312" w:eastAsia="仿宋_GB2312" w:cs="仿宋_GB2312"/>
              </w:rPr>
            </w:pPr>
          </w:p>
        </w:tc>
        <w:tc>
          <w:tcPr>
            <w:tcW w:w="434"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一般</w:t>
            </w:r>
          </w:p>
        </w:tc>
        <w:tc>
          <w:tcPr>
            <w:tcW w:w="715" w:type="pct"/>
            <w:vAlign w:val="center"/>
          </w:tcPr>
          <w:p>
            <w:pPr>
              <w:rPr>
                <w:rFonts w:hint="eastAsia" w:ascii="仿宋_GB2312" w:hAnsi="仿宋_GB2312" w:eastAsia="仿宋_GB2312" w:cs="仿宋_GB2312"/>
              </w:rPr>
            </w:pPr>
            <w:r>
              <w:rPr>
                <w:rFonts w:hint="eastAsia" w:ascii="仿宋_GB2312" w:hAnsi="仿宋_GB2312" w:eastAsia="仿宋_GB2312" w:cs="仿宋_GB2312"/>
                <w:kern w:val="0"/>
                <w:szCs w:val="21"/>
              </w:rPr>
              <w:t>造成一般危害后果的</w:t>
            </w:r>
          </w:p>
        </w:tc>
        <w:tc>
          <w:tcPr>
            <w:tcW w:w="843"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责令改正，没收违法所得，并处一万七千五百元罚款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15" w:type="pct"/>
            <w:vMerge w:val="continue"/>
            <w:vAlign w:val="center"/>
          </w:tcPr>
          <w:p>
            <w:pPr>
              <w:rPr>
                <w:rFonts w:hint="eastAsia" w:ascii="仿宋_GB2312" w:hAnsi="仿宋_GB2312" w:eastAsia="仿宋_GB2312" w:cs="仿宋_GB2312"/>
              </w:rPr>
            </w:pPr>
          </w:p>
        </w:tc>
        <w:tc>
          <w:tcPr>
            <w:tcW w:w="499" w:type="pct"/>
            <w:vMerge w:val="continue"/>
            <w:vAlign w:val="center"/>
          </w:tcPr>
          <w:p>
            <w:pPr>
              <w:rPr>
                <w:rFonts w:hint="eastAsia" w:ascii="仿宋_GB2312" w:hAnsi="仿宋_GB2312" w:eastAsia="仿宋_GB2312" w:cs="仿宋_GB2312"/>
              </w:rPr>
            </w:pPr>
          </w:p>
        </w:tc>
        <w:tc>
          <w:tcPr>
            <w:tcW w:w="1282" w:type="pct"/>
            <w:vMerge w:val="continue"/>
            <w:vAlign w:val="center"/>
          </w:tcPr>
          <w:p>
            <w:pPr>
              <w:rPr>
                <w:rFonts w:hint="eastAsia" w:ascii="仿宋_GB2312" w:hAnsi="仿宋_GB2312" w:eastAsia="仿宋_GB2312" w:cs="仿宋_GB2312"/>
              </w:rPr>
            </w:pPr>
          </w:p>
        </w:tc>
        <w:tc>
          <w:tcPr>
            <w:tcW w:w="472" w:type="pct"/>
            <w:vMerge w:val="continue"/>
            <w:vAlign w:val="center"/>
          </w:tcPr>
          <w:p>
            <w:pPr>
              <w:rPr>
                <w:rFonts w:hint="eastAsia" w:ascii="仿宋_GB2312" w:hAnsi="仿宋_GB2312" w:eastAsia="仿宋_GB2312" w:cs="仿宋_GB2312"/>
              </w:rPr>
            </w:pPr>
          </w:p>
        </w:tc>
        <w:tc>
          <w:tcPr>
            <w:tcW w:w="440" w:type="pct"/>
            <w:vMerge w:val="continue"/>
            <w:vAlign w:val="center"/>
          </w:tcPr>
          <w:p>
            <w:pPr>
              <w:rPr>
                <w:rFonts w:hint="eastAsia" w:ascii="仿宋_GB2312" w:hAnsi="仿宋_GB2312" w:eastAsia="仿宋_GB2312" w:cs="仿宋_GB2312"/>
              </w:rPr>
            </w:pPr>
          </w:p>
        </w:tc>
        <w:tc>
          <w:tcPr>
            <w:tcW w:w="434" w:type="pct"/>
            <w:vAlign w:val="center"/>
          </w:tcPr>
          <w:p>
            <w:pPr>
              <w:jc w:val="center"/>
              <w:rPr>
                <w:rFonts w:hint="eastAsia" w:ascii="仿宋_GB2312" w:hAnsi="仿宋_GB2312" w:eastAsia="仿宋_GB2312" w:cs="仿宋_GB2312"/>
              </w:rPr>
            </w:pPr>
            <w:r>
              <w:rPr>
                <w:rFonts w:hint="eastAsia" w:ascii="仿宋_GB2312" w:hAnsi="仿宋_GB2312" w:eastAsia="仿宋_GB2312" w:cs="仿宋_GB2312"/>
                <w:bCs/>
                <w:color w:val="000000"/>
                <w:kern w:val="0"/>
                <w:szCs w:val="21"/>
              </w:rPr>
              <w:t>从重</w:t>
            </w:r>
          </w:p>
        </w:tc>
        <w:tc>
          <w:tcPr>
            <w:tcW w:w="715" w:type="pct"/>
            <w:vAlign w:val="center"/>
          </w:tcPr>
          <w:p>
            <w:pPr>
              <w:rPr>
                <w:rFonts w:hint="eastAsia" w:ascii="仿宋_GB2312" w:hAnsi="仿宋_GB2312" w:eastAsia="仿宋_GB2312" w:cs="仿宋_GB2312"/>
              </w:rPr>
            </w:pPr>
            <w:r>
              <w:rPr>
                <w:rFonts w:hint="eastAsia" w:ascii="仿宋_GB2312" w:hAnsi="仿宋_GB2312" w:eastAsia="仿宋_GB2312" w:cs="仿宋_GB2312"/>
                <w:spacing w:val="10"/>
                <w:szCs w:val="21"/>
              </w:rPr>
              <w:t>造成严重危害后果的</w:t>
            </w:r>
          </w:p>
        </w:tc>
        <w:tc>
          <w:tcPr>
            <w:tcW w:w="843" w:type="pct"/>
            <w:vAlign w:val="center"/>
          </w:tcPr>
          <w:p>
            <w:pPr>
              <w:rPr>
                <w:rFonts w:hint="eastAsia" w:ascii="仿宋_GB2312" w:hAnsi="仿宋_GB2312" w:eastAsia="仿宋_GB2312" w:cs="仿宋_GB2312"/>
              </w:rPr>
            </w:pPr>
            <w:r>
              <w:rPr>
                <w:rFonts w:hint="eastAsia" w:ascii="仿宋_GB2312" w:hAnsi="仿宋_GB2312" w:eastAsia="仿宋_GB2312" w:cs="仿宋_GB2312"/>
              </w:rPr>
              <w:t>责令改正，没收违法所得，并处超过一万七千五百元、三万元以下的罚款</w:t>
            </w:r>
          </w:p>
        </w:tc>
      </w:tr>
    </w:tbl>
    <w:p>
      <w:pPr>
        <w:rPr>
          <w:b/>
          <w:sz w:val="32"/>
          <w:szCs w:val="24"/>
        </w:rPr>
      </w:pPr>
      <w:r>
        <w:br w:type="page"/>
      </w:r>
      <w:r>
        <w:rPr>
          <w:rFonts w:ascii="宋体"/>
          <w:bCs/>
          <w:sz w:val="32"/>
          <w:szCs w:val="24"/>
        </w:rPr>
        <w:t>《深圳市建设工程质量管理条例》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1"/>
        <w:gridCol w:w="1319"/>
        <w:gridCol w:w="1511"/>
        <w:gridCol w:w="2991"/>
        <w:gridCol w:w="1233"/>
        <w:gridCol w:w="1446"/>
        <w:gridCol w:w="2362"/>
        <w:gridCol w:w="23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33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序号</w:t>
            </w:r>
          </w:p>
        </w:tc>
        <w:tc>
          <w:tcPr>
            <w:tcW w:w="46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违法行为</w:t>
            </w:r>
          </w:p>
        </w:tc>
        <w:tc>
          <w:tcPr>
            <w:tcW w:w="53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lang w:val="en"/>
              </w:rPr>
            </w:pPr>
            <w:r>
              <w:rPr>
                <w:rFonts w:hint="eastAsia" w:ascii="仿宋_GB2312" w:hAnsi="仿宋_GB2312" w:eastAsia="仿宋_GB2312" w:cs="仿宋_GB2312"/>
                <w:b/>
                <w:szCs w:val="24"/>
                <w:lang w:val="en"/>
              </w:rPr>
              <w:t>违反条款</w:t>
            </w:r>
          </w:p>
        </w:tc>
        <w:tc>
          <w:tcPr>
            <w:tcW w:w="105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处罚依据</w:t>
            </w:r>
          </w:p>
        </w:tc>
        <w:tc>
          <w:tcPr>
            <w:tcW w:w="43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处罚种类</w:t>
            </w:r>
          </w:p>
        </w:tc>
        <w:tc>
          <w:tcPr>
            <w:tcW w:w="51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裁量阶次</w:t>
            </w:r>
          </w:p>
        </w:tc>
        <w:tc>
          <w:tcPr>
            <w:tcW w:w="83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适用条件</w:t>
            </w:r>
          </w:p>
        </w:tc>
        <w:tc>
          <w:tcPr>
            <w:tcW w:w="83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3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lang w:val="en"/>
              </w:rPr>
            </w:pPr>
            <w:r>
              <w:rPr>
                <w:rFonts w:ascii="仿宋_GB2312" w:hAnsi="仿宋_GB2312" w:eastAsia="仿宋_GB2312" w:cs="仿宋_GB2312"/>
                <w:szCs w:val="24"/>
              </w:rPr>
              <w:t>111.</w:t>
            </w:r>
            <w:r>
              <w:rPr>
                <w:rFonts w:hint="eastAsia" w:ascii="仿宋_GB2312" w:hAnsi="仿宋_GB2312" w:eastAsia="仿宋_GB2312" w:cs="仿宋_GB2312"/>
                <w:szCs w:val="24"/>
              </w:rPr>
              <w:t>9</w:t>
            </w:r>
          </w:p>
        </w:tc>
        <w:tc>
          <w:tcPr>
            <w:tcW w:w="46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检测人员对检测数据和检测结论弄虚作假的</w:t>
            </w:r>
          </w:p>
        </w:tc>
        <w:tc>
          <w:tcPr>
            <w:tcW w:w="533"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第五十二条：“检测人员对检测数据的准确性、真实性负责；审核批准人对检测报告的合法性负责。”</w:t>
            </w:r>
          </w:p>
        </w:tc>
        <w:tc>
          <w:tcPr>
            <w:tcW w:w="105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第七十四条：“违反本条例第五十二条规定，检测人员对检测数据和检测结论弄虚作假的，处一万元以上五万元以下的罚款。”</w:t>
            </w:r>
          </w:p>
        </w:tc>
        <w:tc>
          <w:tcPr>
            <w:tcW w:w="43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szCs w:val="24"/>
              </w:rPr>
              <w:t>罚款</w:t>
            </w:r>
          </w:p>
        </w:tc>
        <w:tc>
          <w:tcPr>
            <w:tcW w:w="51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color w:val="000000"/>
                <w:kern w:val="0"/>
                <w:szCs w:val="24"/>
              </w:rPr>
              <w:t>从轻</w:t>
            </w:r>
          </w:p>
        </w:tc>
        <w:tc>
          <w:tcPr>
            <w:tcW w:w="833"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检测项目未涉及结构安全及主要使用功能，且未造成质量安全事故的</w:t>
            </w:r>
          </w:p>
        </w:tc>
        <w:tc>
          <w:tcPr>
            <w:tcW w:w="833"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处一万元以上、低于三万元的罚款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3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p>
        </w:tc>
        <w:tc>
          <w:tcPr>
            <w:tcW w:w="46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p>
        </w:tc>
        <w:tc>
          <w:tcPr>
            <w:tcW w:w="53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p>
        </w:tc>
        <w:tc>
          <w:tcPr>
            <w:tcW w:w="105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p>
        </w:tc>
        <w:tc>
          <w:tcPr>
            <w:tcW w:w="43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p>
        </w:tc>
        <w:tc>
          <w:tcPr>
            <w:tcW w:w="51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color w:val="000000"/>
                <w:kern w:val="0"/>
                <w:szCs w:val="24"/>
              </w:rPr>
              <w:t>一般</w:t>
            </w:r>
          </w:p>
        </w:tc>
        <w:tc>
          <w:tcPr>
            <w:tcW w:w="833"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检测项目涉及结构安全及主要使用功能，未造成质量安全事故的</w:t>
            </w:r>
          </w:p>
        </w:tc>
        <w:tc>
          <w:tcPr>
            <w:tcW w:w="833"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处三万元的罚款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3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p>
        </w:tc>
        <w:tc>
          <w:tcPr>
            <w:tcW w:w="46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p>
        </w:tc>
        <w:tc>
          <w:tcPr>
            <w:tcW w:w="53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p>
        </w:tc>
        <w:tc>
          <w:tcPr>
            <w:tcW w:w="105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p>
        </w:tc>
        <w:tc>
          <w:tcPr>
            <w:tcW w:w="43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p>
        </w:tc>
        <w:tc>
          <w:tcPr>
            <w:tcW w:w="51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color w:val="000000"/>
                <w:kern w:val="0"/>
                <w:szCs w:val="24"/>
              </w:rPr>
              <w:t>从重</w:t>
            </w:r>
          </w:p>
        </w:tc>
        <w:tc>
          <w:tcPr>
            <w:tcW w:w="833"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造成质量安全事故的</w:t>
            </w:r>
          </w:p>
        </w:tc>
        <w:tc>
          <w:tcPr>
            <w:tcW w:w="833"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处超过三万元、五万元以下的罚款</w:t>
            </w:r>
          </w:p>
        </w:tc>
      </w:tr>
    </w:tbl>
    <w:p>
      <w:pPr>
        <w:rPr>
          <w:bCs/>
          <w:sz w:val="32"/>
          <w:szCs w:val="24"/>
        </w:rPr>
      </w:pPr>
      <w:r>
        <w:rPr>
          <w:rFonts w:ascii="宋体"/>
          <w:bCs/>
          <w:sz w:val="32"/>
          <w:szCs w:val="24"/>
        </w:rPr>
        <w:t>《深圳市建设工程质量管理条例》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8"/>
        <w:gridCol w:w="1368"/>
        <w:gridCol w:w="3737"/>
        <w:gridCol w:w="1616"/>
        <w:gridCol w:w="1267"/>
        <w:gridCol w:w="1250"/>
        <w:gridCol w:w="1627"/>
        <w:gridCol w:w="23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33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序号</w:t>
            </w:r>
          </w:p>
        </w:tc>
        <w:tc>
          <w:tcPr>
            <w:tcW w:w="48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违法行为</w:t>
            </w:r>
          </w:p>
        </w:tc>
        <w:tc>
          <w:tcPr>
            <w:tcW w:w="131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lang w:val="en"/>
              </w:rPr>
            </w:pPr>
            <w:r>
              <w:rPr>
                <w:rFonts w:hint="eastAsia" w:ascii="仿宋_GB2312" w:hAnsi="仿宋_GB2312" w:eastAsia="仿宋_GB2312" w:cs="仿宋_GB2312"/>
                <w:b/>
                <w:szCs w:val="24"/>
                <w:lang w:val="en"/>
              </w:rPr>
              <w:t>违反条款</w:t>
            </w:r>
          </w:p>
        </w:tc>
        <w:tc>
          <w:tcPr>
            <w:tcW w:w="57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处罚依据</w:t>
            </w:r>
          </w:p>
        </w:tc>
        <w:tc>
          <w:tcPr>
            <w:tcW w:w="44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处罚种类</w:t>
            </w:r>
          </w:p>
        </w:tc>
        <w:tc>
          <w:tcPr>
            <w:tcW w:w="44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裁量阶次</w:t>
            </w:r>
          </w:p>
        </w:tc>
        <w:tc>
          <w:tcPr>
            <w:tcW w:w="57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适用条件</w:t>
            </w:r>
          </w:p>
        </w:tc>
        <w:tc>
          <w:tcPr>
            <w:tcW w:w="83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34"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lang w:val="en"/>
              </w:rPr>
            </w:pPr>
            <w:r>
              <w:rPr>
                <w:rFonts w:ascii="仿宋_GB2312" w:hAnsi="仿宋_GB2312" w:eastAsia="仿宋_GB2312" w:cs="仿宋_GB2312"/>
                <w:szCs w:val="24"/>
              </w:rPr>
              <w:t>111.</w:t>
            </w:r>
            <w:r>
              <w:rPr>
                <w:rFonts w:hint="eastAsia" w:ascii="仿宋_GB2312" w:hAnsi="仿宋_GB2312" w:eastAsia="仿宋_GB2312" w:cs="仿宋_GB2312"/>
                <w:szCs w:val="24"/>
                <w:lang w:val="en"/>
              </w:rPr>
              <w:t>1</w:t>
            </w:r>
            <w:r>
              <w:rPr>
                <w:rFonts w:hint="eastAsia" w:ascii="仿宋_GB2312" w:hAnsi="仿宋_GB2312" w:eastAsia="仿宋_GB2312" w:cs="仿宋_GB2312"/>
                <w:szCs w:val="24"/>
              </w:rPr>
              <w:t>0</w:t>
            </w:r>
          </w:p>
        </w:tc>
        <w:tc>
          <w:tcPr>
            <w:tcW w:w="482"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建设单位拒绝受理保修申请或者拖延通知施工单位保修，或者施工单位拒绝保修或者延误保修的</w:t>
            </w:r>
          </w:p>
        </w:tc>
        <w:tc>
          <w:tcPr>
            <w:tcW w:w="1317"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第六十四条：“保修期内出现的质量缺陷，由该工程的施工单位负责保修，保修费用由责任单位承担。</w:t>
            </w:r>
          </w:p>
          <w:p>
            <w:pPr>
              <w:ind w:firstLine="420" w:firstLineChars="200"/>
              <w:rPr>
                <w:rFonts w:hint="eastAsia" w:ascii="仿宋_GB2312" w:hAnsi="仿宋_GB2312" w:eastAsia="仿宋_GB2312" w:cs="仿宋_GB2312"/>
                <w:szCs w:val="24"/>
              </w:rPr>
            </w:pPr>
            <w:r>
              <w:rPr>
                <w:rFonts w:hint="eastAsia" w:ascii="仿宋_GB2312" w:hAnsi="仿宋_GB2312" w:eastAsia="仿宋_GB2312" w:cs="仿宋_GB2312"/>
                <w:szCs w:val="24"/>
              </w:rPr>
              <w:t>具体保修程序为：（一）工程的使用权人或者所有权人向该工程的建设单位或者建设单位委托的物业管理机构提出保修申请，或者直接向该工程的施工单位提出保修要求；（二）建设单位或者建设单位委托的物业管理机构应当立即通知该工程的施工单位保修；（三）施工单位应当自接到保修通知之日起五日内到达现场核查情况，并予以保修。发生涉及结构安全或者严重影响使用功能的紧急事故的，应当立即抢修。</w:t>
            </w:r>
          </w:p>
          <w:p>
            <w:pPr>
              <w:ind w:firstLine="420" w:firstLineChars="200"/>
              <w:rPr>
                <w:rFonts w:hint="eastAsia" w:ascii="仿宋_GB2312" w:hAnsi="仿宋_GB2312" w:eastAsia="仿宋_GB2312" w:cs="仿宋_GB2312"/>
                <w:szCs w:val="24"/>
              </w:rPr>
            </w:pPr>
            <w:r>
              <w:rPr>
                <w:rFonts w:hint="eastAsia" w:ascii="仿宋_GB2312" w:hAnsi="仿宋_GB2312" w:eastAsia="仿宋_GB2312" w:cs="仿宋_GB2312"/>
                <w:szCs w:val="24"/>
              </w:rPr>
              <w:t>施工单位未能按期到达现场保修的，建设单位可以委托具有相应资质的施工单位维修，所产生的费用由责任单位承担。”</w:t>
            </w:r>
          </w:p>
        </w:tc>
        <w:tc>
          <w:tcPr>
            <w:tcW w:w="570"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第七十六条：“违反本条例第六十四条规定，建设单位拒绝受理保修申请或者拖延通知施工单位保修，或者施工单位拒绝保修或者延误保修，造成损失的，依法承担赔偿责任，对施工单位处十万元以上二十万元以下罚款。”</w:t>
            </w:r>
          </w:p>
        </w:tc>
        <w:tc>
          <w:tcPr>
            <w:tcW w:w="447"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szCs w:val="24"/>
              </w:rPr>
              <w:t>罚款</w:t>
            </w:r>
          </w:p>
        </w:tc>
        <w:tc>
          <w:tcPr>
            <w:tcW w:w="44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color w:val="000000"/>
                <w:kern w:val="0"/>
                <w:szCs w:val="24"/>
              </w:rPr>
              <w:t>从轻</w:t>
            </w:r>
          </w:p>
        </w:tc>
        <w:tc>
          <w:tcPr>
            <w:tcW w:w="574"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未造成危害后果或者造成轻微危害后果的</w:t>
            </w:r>
          </w:p>
        </w:tc>
        <w:tc>
          <w:tcPr>
            <w:tcW w:w="833"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对施工单位处十万元以上、低于十五万元罚款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3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p>
        </w:tc>
        <w:tc>
          <w:tcPr>
            <w:tcW w:w="48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p>
        </w:tc>
        <w:tc>
          <w:tcPr>
            <w:tcW w:w="131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p>
        </w:tc>
        <w:tc>
          <w:tcPr>
            <w:tcW w:w="57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p>
        </w:tc>
        <w:tc>
          <w:tcPr>
            <w:tcW w:w="44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44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color w:val="000000"/>
                <w:kern w:val="0"/>
                <w:szCs w:val="24"/>
              </w:rPr>
              <w:t>一般</w:t>
            </w:r>
          </w:p>
        </w:tc>
        <w:tc>
          <w:tcPr>
            <w:tcW w:w="574"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造成一般危害后果的</w:t>
            </w:r>
          </w:p>
        </w:tc>
        <w:tc>
          <w:tcPr>
            <w:tcW w:w="833"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对施工单位处十五万元罚款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3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p>
        </w:tc>
        <w:tc>
          <w:tcPr>
            <w:tcW w:w="48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p>
        </w:tc>
        <w:tc>
          <w:tcPr>
            <w:tcW w:w="131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p>
        </w:tc>
        <w:tc>
          <w:tcPr>
            <w:tcW w:w="57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p>
        </w:tc>
        <w:tc>
          <w:tcPr>
            <w:tcW w:w="44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44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color w:val="000000"/>
                <w:kern w:val="0"/>
                <w:szCs w:val="24"/>
              </w:rPr>
              <w:t>从重</w:t>
            </w:r>
          </w:p>
        </w:tc>
        <w:tc>
          <w:tcPr>
            <w:tcW w:w="574"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造成严重危害后果的</w:t>
            </w:r>
          </w:p>
        </w:tc>
        <w:tc>
          <w:tcPr>
            <w:tcW w:w="833"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对施工单位处超过十五万元、二十万元以下罚款</w:t>
            </w:r>
          </w:p>
        </w:tc>
      </w:tr>
    </w:tbl>
    <w:p>
      <w:pPr>
        <w:rPr>
          <w:bCs/>
          <w:sz w:val="32"/>
          <w:szCs w:val="24"/>
        </w:rPr>
      </w:pPr>
      <w:r>
        <w:rPr>
          <w:szCs w:val="24"/>
        </w:rPr>
        <w:br w:type="page"/>
      </w:r>
      <w:r>
        <w:rPr>
          <w:rFonts w:ascii="宋体"/>
          <w:bCs/>
          <w:sz w:val="32"/>
          <w:szCs w:val="24"/>
        </w:rPr>
        <w:t>《深圳市建设工程质量管理条例》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70"/>
        <w:gridCol w:w="1707"/>
        <w:gridCol w:w="1486"/>
        <w:gridCol w:w="2688"/>
        <w:gridCol w:w="1860"/>
        <w:gridCol w:w="1353"/>
        <w:gridCol w:w="1885"/>
        <w:gridCol w:w="22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34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60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52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94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65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47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66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78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42"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ascii="仿宋_GB2312" w:hAnsi="仿宋_GB2312" w:eastAsia="仿宋_GB2312" w:cs="仿宋_GB2312"/>
                <w:szCs w:val="21"/>
              </w:rPr>
              <w:t>111.</w:t>
            </w:r>
            <w:r>
              <w:rPr>
                <w:rFonts w:hint="eastAsia" w:ascii="仿宋_GB2312" w:hAnsi="仿宋_GB2312" w:eastAsia="仿宋_GB2312" w:cs="仿宋_GB2312"/>
                <w:szCs w:val="21"/>
                <w:lang w:val="en"/>
              </w:rPr>
              <w:t>1</w:t>
            </w:r>
            <w:r>
              <w:rPr>
                <w:rFonts w:hint="eastAsia" w:ascii="仿宋_GB2312" w:hAnsi="仿宋_GB2312" w:eastAsia="仿宋_GB2312" w:cs="仿宋_GB2312"/>
                <w:szCs w:val="21"/>
              </w:rPr>
              <w:t>1</w:t>
            </w:r>
          </w:p>
        </w:tc>
        <w:tc>
          <w:tcPr>
            <w:tcW w:w="602"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质量鉴定机构弄虚作假出具虚假鉴定结论的</w:t>
            </w:r>
          </w:p>
        </w:tc>
        <w:tc>
          <w:tcPr>
            <w:tcW w:w="524"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第六十六条：“建设工程结构安全性鉴定由具有相应资质的质量鉴定机构实施。鉴定结论应当客观真实，并报有关部门备案。”</w:t>
            </w:r>
          </w:p>
        </w:tc>
        <w:tc>
          <w:tcPr>
            <w:tcW w:w="94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七十七条：“违反本条例第六十六条规定，未取得相应资质从事工程结构安全性鉴定的，予以取缔，没收违法所得；质量鉴定机构弄虚作假出具虚假鉴定结论的，吊销其资质证书，没收违法所得，并处一万元以上二万元以下的罚款；构成犯罪的，依法追究刑事责任。”</w:t>
            </w:r>
          </w:p>
        </w:tc>
        <w:tc>
          <w:tcPr>
            <w:tcW w:w="65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限制开展生产经营活动；没收违法所得；吊销许可证件；罚款</w:t>
            </w:r>
          </w:p>
        </w:tc>
        <w:tc>
          <w:tcPr>
            <w:tcW w:w="47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66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鉴定项目未涉及结构安全及主要使用功能，且未造成质量安全事故的</w:t>
            </w:r>
          </w:p>
        </w:tc>
        <w:tc>
          <w:tcPr>
            <w:tcW w:w="78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吊销资质证书，没收违法所得，并处一万元以上、低于一万五千元的罚款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4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2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4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5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7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66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鉴定项目涉及结构安全及主要使用功能，未造成质量安全事故的</w:t>
            </w:r>
          </w:p>
        </w:tc>
        <w:tc>
          <w:tcPr>
            <w:tcW w:w="78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吊销资质证书，没收违法所得，并处一万五千元的罚款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8" w:hRule="atLeast"/>
        </w:trPr>
        <w:tc>
          <w:tcPr>
            <w:tcW w:w="34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2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4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5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7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66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造成质量安全事故的</w:t>
            </w:r>
          </w:p>
        </w:tc>
        <w:tc>
          <w:tcPr>
            <w:tcW w:w="78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吊销资质证书，没收违法所得，并处超过一万五千元、二万元以下的罚款</w:t>
            </w:r>
          </w:p>
        </w:tc>
      </w:tr>
    </w:tbl>
    <w:p>
      <w:pPr>
        <w:widowControl/>
        <w:jc w:val="left"/>
        <w:outlineLvl w:val="0"/>
        <w:rPr>
          <w:rFonts w:hint="eastAsia" w:ascii="宋体" w:hAnsi="宋体" w:eastAsia="宋体" w:cs="宋体"/>
          <w:bCs/>
          <w:color w:val="000000"/>
          <w:sz w:val="32"/>
          <w:szCs w:val="24"/>
        </w:rPr>
      </w:pPr>
      <w:r>
        <w:rPr>
          <w:rFonts w:hint="eastAsia" w:ascii="宋体" w:hAnsi="宋体" w:eastAsia="宋体" w:cs="宋体"/>
          <w:bCs/>
          <w:color w:val="000000"/>
          <w:kern w:val="44"/>
          <w:sz w:val="32"/>
          <w:szCs w:val="24"/>
          <w:lang w:bidi="ar"/>
        </w:rPr>
        <w:t>《深圳经济特区城市燃气管理条例》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07"/>
        <w:gridCol w:w="1579"/>
        <w:gridCol w:w="1942"/>
        <w:gridCol w:w="2367"/>
        <w:gridCol w:w="1327"/>
        <w:gridCol w:w="1871"/>
        <w:gridCol w:w="2129"/>
        <w:gridCol w:w="20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2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序号</w:t>
            </w:r>
          </w:p>
        </w:tc>
        <w:tc>
          <w:tcPr>
            <w:tcW w:w="557"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违法行为</w:t>
            </w:r>
          </w:p>
        </w:tc>
        <w:tc>
          <w:tcPr>
            <w:tcW w:w="685"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违反条款</w:t>
            </w:r>
          </w:p>
        </w:tc>
        <w:tc>
          <w:tcPr>
            <w:tcW w:w="835"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处罚依据</w:t>
            </w:r>
          </w:p>
        </w:tc>
        <w:tc>
          <w:tcPr>
            <w:tcW w:w="468"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处罚种类</w:t>
            </w:r>
          </w:p>
        </w:tc>
        <w:tc>
          <w:tcPr>
            <w:tcW w:w="66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裁量阶次</w:t>
            </w:r>
          </w:p>
        </w:tc>
        <w:tc>
          <w:tcPr>
            <w:tcW w:w="75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适用条件</w:t>
            </w:r>
          </w:p>
        </w:tc>
        <w:tc>
          <w:tcPr>
            <w:tcW w:w="724"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84" w:hRule="atLeast"/>
        </w:trPr>
        <w:tc>
          <w:tcPr>
            <w:tcW w:w="320"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lang w:bidi="ar"/>
              </w:rPr>
              <w:t>112.1</w:t>
            </w:r>
          </w:p>
        </w:tc>
        <w:tc>
          <w:tcPr>
            <w:tcW w:w="557" w:type="pct"/>
            <w:vMerge w:val="restart"/>
            <w:tcBorders>
              <w:top w:val="single" w:color="auto" w:sz="4" w:space="0"/>
              <w:left w:val="single" w:color="auto" w:sz="4" w:space="0"/>
              <w:bottom w:val="single" w:color="auto" w:sz="4" w:space="0"/>
              <w:right w:val="single" w:color="auto" w:sz="4" w:space="0"/>
            </w:tcBorders>
            <w:vAlign w:val="center"/>
          </w:tcPr>
          <w:p>
            <w:pPr>
              <w:widowControl/>
              <w:textAlignment w:val="cente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在市政燃气管道已覆盖且已开通管道燃气的区域，燃气企业未按照规定停止瓶组或者瓶装供气的</w:t>
            </w:r>
          </w:p>
        </w:tc>
        <w:tc>
          <w:tcPr>
            <w:tcW w:w="685" w:type="pct"/>
            <w:vMerge w:val="restart"/>
            <w:tcBorders>
              <w:top w:val="single" w:color="auto" w:sz="4" w:space="0"/>
              <w:left w:val="single" w:color="auto" w:sz="4" w:space="0"/>
              <w:bottom w:val="single" w:color="auto" w:sz="4" w:space="0"/>
              <w:right w:val="single" w:color="auto" w:sz="4" w:space="0"/>
            </w:tcBorders>
            <w:vAlign w:val="center"/>
          </w:tcPr>
          <w:p>
            <w:pPr>
              <w:widowControl/>
              <w:rPr>
                <w:rFonts w:hint="eastAsia" w:ascii="仿宋_GB2312" w:hAnsi="仿宋_GB2312" w:eastAsia="仿宋_GB2312" w:cs="仿宋_GB2312"/>
                <w:lang w:bidi="ar"/>
              </w:rPr>
            </w:pPr>
            <w:r>
              <w:rPr>
                <w:rFonts w:hint="eastAsia" w:ascii="仿宋_GB2312" w:hAnsi="仿宋_GB2312" w:eastAsia="仿宋_GB2312" w:cs="仿宋_GB2312"/>
                <w:lang w:bidi="ar"/>
              </w:rPr>
              <w:t>第十五条第三款：“市政燃气管道已覆盖且已开通管道燃气的区域，应当停止瓶组或者瓶装供气，但不符合燃气管道安装或者使用条件无法开通管道燃气的用户除外。具体除外情形由市燃气主管部门另行规定。”</w:t>
            </w:r>
          </w:p>
          <w:p>
            <w:pPr>
              <w:widowControl/>
              <w:textAlignment w:val="center"/>
              <w:rPr>
                <w:rFonts w:hint="eastAsia" w:ascii="仿宋_GB2312" w:hAnsi="仿宋_GB2312" w:eastAsia="仿宋_GB2312" w:cs="仿宋_GB2312"/>
                <w:szCs w:val="21"/>
              </w:rPr>
            </w:pPr>
          </w:p>
        </w:tc>
        <w:tc>
          <w:tcPr>
            <w:tcW w:w="835"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第六十八条：“违反本条例第十五条第三款规定，在市政燃气管道已覆盖且已开通管道燃气的区域，燃气企业未按照规定停止瓶组或者瓶装供气的，由区燃气主管部门责令限期改正；逾期未改正的，处五万元以上二十万元以下罚款；情节严重的，提请市燃气主管部门吊销燃气经营许可证。”</w:t>
            </w:r>
          </w:p>
        </w:tc>
        <w:tc>
          <w:tcPr>
            <w:tcW w:w="468" w:type="pct"/>
            <w:vMerge w:val="restart"/>
            <w:tcBorders>
              <w:top w:val="single" w:color="auto" w:sz="4" w:space="0"/>
              <w:left w:val="single" w:color="auto" w:sz="4" w:space="0"/>
              <w:bottom w:val="single" w:color="auto" w:sz="4" w:space="0"/>
              <w:right w:val="single" w:color="auto" w:sz="4" w:space="0"/>
            </w:tcBorders>
            <w:vAlign w:val="center"/>
          </w:tcPr>
          <w:p>
            <w:pPr>
              <w:widowControl/>
              <w:textAlignment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罚款；</w:t>
            </w:r>
            <w:r>
              <w:rPr>
                <w:rFonts w:hint="eastAsia" w:ascii="仿宋_GB2312" w:hAnsi="仿宋_GB2312" w:eastAsia="仿宋_GB2312" w:cs="仿宋_GB2312"/>
                <w:color w:val="000000"/>
                <w:szCs w:val="21"/>
                <w:lang w:bidi="ar"/>
              </w:rPr>
              <w:t>吊销许可证件</w:t>
            </w:r>
          </w:p>
        </w:tc>
        <w:tc>
          <w:tcPr>
            <w:tcW w:w="66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从轻</w:t>
            </w:r>
          </w:p>
        </w:tc>
        <w:tc>
          <w:tcPr>
            <w:tcW w:w="751" w:type="pct"/>
            <w:tcBorders>
              <w:top w:val="single" w:color="auto" w:sz="4" w:space="0"/>
              <w:left w:val="single" w:color="auto" w:sz="4" w:space="0"/>
              <w:bottom w:val="single" w:color="auto" w:sz="4" w:space="0"/>
              <w:right w:val="single" w:color="auto" w:sz="4" w:space="0"/>
            </w:tcBorders>
            <w:vAlign w:val="center"/>
          </w:tcPr>
          <w:p>
            <w:pPr>
              <w:widowControl/>
              <w:textAlignment w:val="auto"/>
              <w:rPr>
                <w:rFonts w:hint="eastAsia" w:ascii="仿宋_GB2312" w:hAnsi="仿宋_GB2312" w:eastAsia="仿宋_GB2312" w:cs="仿宋_GB2312"/>
                <w:szCs w:val="21"/>
              </w:rPr>
            </w:pPr>
            <w:r>
              <w:rPr>
                <w:rFonts w:hint="eastAsia" w:ascii="仿宋_GB2312" w:hAnsi="仿宋_GB2312" w:eastAsia="仿宋_GB2312" w:cs="仿宋_GB2312"/>
                <w:kern w:val="0"/>
                <w:szCs w:val="21"/>
              </w:rPr>
              <w:t>未造成危害后果或造成轻微危害后果的</w:t>
            </w:r>
          </w:p>
        </w:tc>
        <w:tc>
          <w:tcPr>
            <w:tcW w:w="724" w:type="pct"/>
            <w:tcBorders>
              <w:top w:val="single" w:color="auto" w:sz="4" w:space="0"/>
              <w:left w:val="single" w:color="auto" w:sz="4" w:space="0"/>
              <w:bottom w:val="single" w:color="auto" w:sz="4" w:space="0"/>
              <w:right w:val="single" w:color="auto" w:sz="4" w:space="0"/>
            </w:tcBorders>
            <w:vAlign w:val="center"/>
          </w:tcPr>
          <w:p>
            <w:pPr>
              <w:widowControl/>
              <w:textAlignment w:val="center"/>
              <w:rPr>
                <w:rFonts w:hint="eastAsia" w:ascii="仿宋_GB2312" w:hAnsi="仿宋_GB2312" w:eastAsia="仿宋_GB2312" w:cs="仿宋_GB2312"/>
                <w:szCs w:val="21"/>
              </w:rPr>
            </w:pPr>
            <w:r>
              <w:rPr>
                <w:rFonts w:hint="eastAsia" w:ascii="仿宋_GB2312" w:hAnsi="仿宋_GB2312" w:eastAsia="仿宋_GB2312" w:cs="仿宋_GB2312"/>
                <w:szCs w:val="21"/>
                <w:lang w:bidi="ar"/>
              </w:rPr>
              <w:t>责令限期改正</w:t>
            </w:r>
            <w:r>
              <w:rPr>
                <w:rFonts w:hint="eastAsia" w:ascii="仿宋_GB2312" w:hAnsi="仿宋_GB2312" w:eastAsia="仿宋_GB2312" w:cs="仿宋_GB2312"/>
                <w:color w:val="000000"/>
                <w:szCs w:val="21"/>
                <w:lang w:bidi="ar"/>
              </w:rPr>
              <w:t>；逾期未改正的，处五万元以上、低于十二万五千元罚款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44" w:hRule="atLeast"/>
        </w:trPr>
        <w:tc>
          <w:tcPr>
            <w:tcW w:w="32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57"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685"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835"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68"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66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一般</w:t>
            </w:r>
          </w:p>
        </w:tc>
        <w:tc>
          <w:tcPr>
            <w:tcW w:w="751" w:type="pct"/>
            <w:tcBorders>
              <w:top w:val="single" w:color="auto" w:sz="4" w:space="0"/>
              <w:left w:val="single" w:color="auto" w:sz="4" w:space="0"/>
              <w:bottom w:val="single" w:color="auto" w:sz="4" w:space="0"/>
              <w:right w:val="single" w:color="auto" w:sz="4" w:space="0"/>
            </w:tcBorders>
            <w:vAlign w:val="center"/>
          </w:tcPr>
          <w:p>
            <w:pPr>
              <w:widowControl/>
              <w:textAlignment w:val="auto"/>
              <w:rPr>
                <w:rFonts w:hint="eastAsia" w:ascii="仿宋_GB2312" w:hAnsi="仿宋_GB2312" w:eastAsia="仿宋_GB2312" w:cs="仿宋_GB2312"/>
                <w:szCs w:val="21"/>
              </w:rPr>
            </w:pPr>
            <w:r>
              <w:rPr>
                <w:rFonts w:hint="eastAsia" w:ascii="仿宋_GB2312" w:hAnsi="仿宋_GB2312" w:eastAsia="仿宋_GB2312" w:cs="仿宋_GB2312"/>
                <w:kern w:val="0"/>
                <w:szCs w:val="21"/>
              </w:rPr>
              <w:t>造成一般危害后果的</w:t>
            </w:r>
          </w:p>
        </w:tc>
        <w:tc>
          <w:tcPr>
            <w:tcW w:w="724" w:type="pct"/>
            <w:tcBorders>
              <w:top w:val="single" w:color="auto" w:sz="4" w:space="0"/>
              <w:left w:val="single" w:color="auto" w:sz="4" w:space="0"/>
              <w:bottom w:val="single" w:color="auto" w:sz="4" w:space="0"/>
              <w:right w:val="single" w:color="auto" w:sz="4" w:space="0"/>
            </w:tcBorders>
            <w:vAlign w:val="center"/>
          </w:tcPr>
          <w:p>
            <w:pPr>
              <w:widowControl/>
              <w:textAlignment w:val="center"/>
              <w:rPr>
                <w:rFonts w:hint="eastAsia" w:ascii="仿宋_GB2312" w:hAnsi="仿宋_GB2312" w:eastAsia="仿宋_GB2312" w:cs="仿宋_GB2312"/>
                <w:szCs w:val="21"/>
              </w:rPr>
            </w:pPr>
            <w:r>
              <w:rPr>
                <w:rFonts w:hint="eastAsia" w:ascii="仿宋_GB2312" w:hAnsi="仿宋_GB2312" w:eastAsia="仿宋_GB2312" w:cs="仿宋_GB2312"/>
                <w:szCs w:val="21"/>
                <w:lang w:bidi="ar"/>
              </w:rPr>
              <w:t>责令限期改正</w:t>
            </w:r>
            <w:r>
              <w:rPr>
                <w:rFonts w:hint="eastAsia" w:ascii="仿宋_GB2312" w:hAnsi="仿宋_GB2312" w:eastAsia="仿宋_GB2312" w:cs="仿宋_GB2312"/>
                <w:color w:val="000000"/>
                <w:szCs w:val="21"/>
                <w:lang w:bidi="ar"/>
              </w:rPr>
              <w:t>；逾期未改正的，处十二万五千元罚款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44" w:hRule="atLeast"/>
        </w:trPr>
        <w:tc>
          <w:tcPr>
            <w:tcW w:w="32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57"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685"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835"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68"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66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从重</w:t>
            </w:r>
          </w:p>
        </w:tc>
        <w:tc>
          <w:tcPr>
            <w:tcW w:w="751" w:type="pct"/>
            <w:tcBorders>
              <w:top w:val="single" w:color="auto" w:sz="4" w:space="0"/>
              <w:left w:val="single" w:color="auto" w:sz="4" w:space="0"/>
              <w:bottom w:val="single" w:color="auto" w:sz="4" w:space="0"/>
              <w:right w:val="single" w:color="auto" w:sz="4" w:space="0"/>
            </w:tcBorders>
            <w:vAlign w:val="center"/>
          </w:tcPr>
          <w:p>
            <w:pPr>
              <w:widowControl/>
              <w:textAlignment w:val="auto"/>
              <w:rPr>
                <w:rFonts w:hint="eastAsia" w:ascii="仿宋_GB2312" w:hAnsi="仿宋_GB2312" w:eastAsia="仿宋_GB2312" w:cs="仿宋_GB2312"/>
                <w:szCs w:val="21"/>
              </w:rPr>
            </w:pPr>
            <w:r>
              <w:rPr>
                <w:rFonts w:hint="eastAsia" w:ascii="仿宋_GB2312" w:hAnsi="仿宋_GB2312" w:eastAsia="仿宋_GB2312" w:cs="仿宋_GB2312"/>
                <w:kern w:val="0"/>
                <w:szCs w:val="21"/>
              </w:rPr>
              <w:t>造成严重危害后果的</w:t>
            </w:r>
          </w:p>
        </w:tc>
        <w:tc>
          <w:tcPr>
            <w:tcW w:w="724" w:type="pct"/>
            <w:tcBorders>
              <w:top w:val="single" w:color="auto" w:sz="4" w:space="0"/>
              <w:left w:val="single" w:color="auto" w:sz="4" w:space="0"/>
              <w:bottom w:val="single" w:color="auto" w:sz="4" w:space="0"/>
              <w:right w:val="single" w:color="auto" w:sz="4" w:space="0"/>
            </w:tcBorders>
            <w:vAlign w:val="center"/>
          </w:tcPr>
          <w:p>
            <w:pPr>
              <w:widowControl/>
              <w:textAlignment w:val="center"/>
              <w:rPr>
                <w:rFonts w:hint="eastAsia" w:ascii="仿宋_GB2312" w:hAnsi="仿宋_GB2312" w:eastAsia="仿宋_GB2312" w:cs="仿宋_GB2312"/>
                <w:szCs w:val="21"/>
              </w:rPr>
            </w:pPr>
            <w:r>
              <w:rPr>
                <w:rFonts w:hint="eastAsia" w:ascii="仿宋_GB2312" w:hAnsi="仿宋_GB2312" w:eastAsia="仿宋_GB2312" w:cs="仿宋_GB2312"/>
                <w:szCs w:val="21"/>
                <w:lang w:bidi="ar"/>
              </w:rPr>
              <w:t>责令限期改正</w:t>
            </w:r>
            <w:r>
              <w:rPr>
                <w:rFonts w:hint="eastAsia" w:ascii="仿宋_GB2312" w:hAnsi="仿宋_GB2312" w:eastAsia="仿宋_GB2312" w:cs="仿宋_GB2312"/>
                <w:color w:val="000000"/>
                <w:szCs w:val="21"/>
                <w:lang w:bidi="ar"/>
              </w:rPr>
              <w:t>；逾期未改正的，处超过十二万五千元、二十万元以下罚款；情节严重的，吊销燃气经营许可证</w:t>
            </w:r>
          </w:p>
        </w:tc>
      </w:tr>
    </w:tbl>
    <w:p>
      <w:pPr>
        <w:widowControl/>
        <w:jc w:val="left"/>
        <w:outlineLvl w:val="0"/>
        <w:rPr>
          <w:rFonts w:hint="eastAsia" w:ascii="宋体" w:hAnsi="宋体" w:eastAsia="宋体" w:cs="宋体"/>
          <w:bCs/>
          <w:color w:val="000000"/>
          <w:sz w:val="32"/>
          <w:szCs w:val="24"/>
        </w:rPr>
      </w:pPr>
      <w:r>
        <w:rPr>
          <w:rFonts w:hint="eastAsia" w:ascii="宋体" w:hAnsi="宋体" w:eastAsia="宋体" w:cs="宋体"/>
          <w:bCs/>
          <w:color w:val="000000"/>
          <w:kern w:val="44"/>
          <w:sz w:val="32"/>
          <w:szCs w:val="24"/>
          <w:lang w:bidi="ar"/>
        </w:rPr>
        <w:t>《深圳经济特区城市燃气管理条例》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70"/>
        <w:gridCol w:w="1171"/>
        <w:gridCol w:w="3750"/>
        <w:gridCol w:w="1868"/>
        <w:gridCol w:w="1313"/>
        <w:gridCol w:w="1185"/>
        <w:gridCol w:w="1945"/>
        <w:gridCol w:w="20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07"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序号</w:t>
            </w:r>
          </w:p>
        </w:tc>
        <w:tc>
          <w:tcPr>
            <w:tcW w:w="413"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违法行为</w:t>
            </w:r>
          </w:p>
        </w:tc>
        <w:tc>
          <w:tcPr>
            <w:tcW w:w="1323"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违反条款</w:t>
            </w:r>
          </w:p>
        </w:tc>
        <w:tc>
          <w:tcPr>
            <w:tcW w:w="659"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处罚依据</w:t>
            </w:r>
          </w:p>
        </w:tc>
        <w:tc>
          <w:tcPr>
            <w:tcW w:w="463"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处罚种类</w:t>
            </w:r>
          </w:p>
        </w:tc>
        <w:tc>
          <w:tcPr>
            <w:tcW w:w="418"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裁量阶次</w:t>
            </w:r>
          </w:p>
        </w:tc>
        <w:tc>
          <w:tcPr>
            <w:tcW w:w="686"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适用条件</w:t>
            </w:r>
          </w:p>
        </w:tc>
        <w:tc>
          <w:tcPr>
            <w:tcW w:w="73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07"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ascii="仿宋_GB2312" w:hAnsi="仿宋_GB2312" w:eastAsia="仿宋_GB2312" w:cs="仿宋_GB2312"/>
                <w:szCs w:val="21"/>
                <w:lang w:bidi="ar"/>
              </w:rPr>
              <w:t>112.</w:t>
            </w:r>
            <w:r>
              <w:rPr>
                <w:rFonts w:hint="eastAsia" w:ascii="仿宋_GB2312" w:hAnsi="仿宋_GB2312" w:eastAsia="仿宋_GB2312" w:cs="仿宋_GB2312"/>
                <w:szCs w:val="21"/>
                <w:lang w:bidi="ar"/>
              </w:rPr>
              <w:t>2</w:t>
            </w:r>
          </w:p>
        </w:tc>
        <w:tc>
          <w:tcPr>
            <w:tcW w:w="413"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lang w:bidi="ar"/>
              </w:rPr>
              <w:t>擅自改动市政燃气管道及设施，未按照规定办理审批或者备案的</w:t>
            </w:r>
          </w:p>
        </w:tc>
        <w:tc>
          <w:tcPr>
            <w:tcW w:w="1323" w:type="pct"/>
            <w:vMerge w:val="restar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第二十二条：“高压、次高压市政燃气管道及设施需要进行改动的，建设单位应当向区燃气主管部门提出申请并符合下列条件：（一）符合燃气建设专项规划要求；（二）有保障安全施工的设计、组织和实施方案；（三）有不影响用户安全正常用气的措施；（四）法律、法规规定的其他条件。区燃气主管部门应当自受理申请之日起十日内作出批准或者不批准的决定。前款规定以外的市政燃气管道及设施需要进行改动的，建设单位应当于实施改造之日起三个工作日内，将符合前款规定条件的材料报区燃气主管部门备案。”</w:t>
            </w:r>
          </w:p>
        </w:tc>
        <w:tc>
          <w:tcPr>
            <w:tcW w:w="659"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lang w:bidi="ar"/>
              </w:rPr>
              <w:t>第六十九条</w:t>
            </w:r>
            <w:r>
              <w:rPr>
                <w:rFonts w:hint="eastAsia" w:ascii="仿宋_GB2312" w:hAnsi="仿宋_GB2312" w:eastAsia="仿宋_GB2312" w:cs="仿宋_GB2312"/>
                <w:szCs w:val="21"/>
              </w:rPr>
              <w:t>：“</w:t>
            </w:r>
            <w:r>
              <w:rPr>
                <w:rFonts w:hint="eastAsia" w:ascii="仿宋_GB2312" w:hAnsi="仿宋_GB2312" w:eastAsia="仿宋_GB2312" w:cs="仿宋_GB2312"/>
                <w:szCs w:val="21"/>
                <w:lang w:bidi="ar"/>
              </w:rPr>
              <w:t>违反本条例第二十二条规定，擅自改动市政燃气管道及设施，未按照规定办理审批或者备案的，由主管部门责令限期改正，恢复原状或者采取其他补救措施，处五万元以上十万元以下罚款。”</w:t>
            </w:r>
          </w:p>
        </w:tc>
        <w:tc>
          <w:tcPr>
            <w:tcW w:w="463"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罚款</w:t>
            </w:r>
          </w:p>
        </w:tc>
        <w:tc>
          <w:tcPr>
            <w:tcW w:w="418"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从轻</w:t>
            </w:r>
          </w:p>
        </w:tc>
        <w:tc>
          <w:tcPr>
            <w:tcW w:w="686"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lang w:bidi="ar"/>
              </w:rPr>
              <w:t>擅自改动市政燃气管道长度为五米以下或</w:t>
            </w:r>
            <w:r>
              <w:rPr>
                <w:rFonts w:hint="eastAsia" w:ascii="仿宋_GB2312" w:hAnsi="仿宋_GB2312" w:eastAsia="仿宋_GB2312" w:cs="仿宋_GB2312"/>
                <w:kern w:val="0"/>
                <w:szCs w:val="21"/>
                <w:lang w:bidi="ar"/>
              </w:rPr>
              <w:t>未造成后果或造成轻微危害后果的</w:t>
            </w:r>
          </w:p>
        </w:tc>
        <w:tc>
          <w:tcPr>
            <w:tcW w:w="731"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lang w:bidi="ar"/>
              </w:rPr>
              <w:t>责令限期改正，恢复原状或者采取其他补救措施，处五万元以上、低于七万五千元罚款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07"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13"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1323"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659"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63"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18"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一般</w:t>
            </w:r>
          </w:p>
        </w:tc>
        <w:tc>
          <w:tcPr>
            <w:tcW w:w="686"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lang w:bidi="ar"/>
              </w:rPr>
              <w:t>擅自改动市政燃气管道长度为超过五米、十米以下或造成一般危害后果的</w:t>
            </w:r>
          </w:p>
        </w:tc>
        <w:tc>
          <w:tcPr>
            <w:tcW w:w="731"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lang w:bidi="ar"/>
              </w:rPr>
              <w:t>责令限期改正，恢复原状或者采取其他补救措施，处七万五千元罚款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07"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13"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1323"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659"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63"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18"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从重</w:t>
            </w:r>
          </w:p>
        </w:tc>
        <w:tc>
          <w:tcPr>
            <w:tcW w:w="686"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lang w:bidi="ar"/>
              </w:rPr>
              <w:t>擅自改动市政燃气管道长度为超过十米或造成严重危害后果的</w:t>
            </w:r>
          </w:p>
        </w:tc>
        <w:tc>
          <w:tcPr>
            <w:tcW w:w="731"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lang w:bidi="ar"/>
              </w:rPr>
              <w:t>责令限期改正，恢复原状或者采取其他补救措施，处超过七万五千元、十万元以下罚款</w:t>
            </w:r>
          </w:p>
        </w:tc>
      </w:tr>
    </w:tbl>
    <w:p>
      <w:pPr>
        <w:widowControl/>
        <w:jc w:val="left"/>
        <w:outlineLvl w:val="0"/>
        <w:rPr>
          <w:rFonts w:hint="eastAsia" w:ascii="宋体" w:hAnsi="宋体" w:eastAsia="宋体" w:cs="宋体"/>
          <w:bCs/>
          <w:color w:val="000000"/>
          <w:sz w:val="32"/>
          <w:szCs w:val="24"/>
        </w:rPr>
      </w:pPr>
      <w:r>
        <w:rPr>
          <w:rFonts w:hint="eastAsia" w:ascii="宋体" w:hAnsi="宋体" w:eastAsia="宋体" w:cs="宋体"/>
          <w:bCs/>
          <w:color w:val="000000"/>
          <w:kern w:val="44"/>
          <w:sz w:val="32"/>
          <w:szCs w:val="24"/>
          <w:lang w:bidi="ar"/>
        </w:rPr>
        <w:t>《深圳经济特区城市燃气管理条例》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76"/>
        <w:gridCol w:w="1525"/>
        <w:gridCol w:w="2036"/>
        <w:gridCol w:w="3136"/>
        <w:gridCol w:w="1185"/>
        <w:gridCol w:w="1296"/>
        <w:gridCol w:w="1925"/>
        <w:gridCol w:w="21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09"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b/>
                <w:bCs/>
                <w:szCs w:val="21"/>
              </w:rPr>
            </w:pPr>
            <w:r>
              <w:rPr>
                <w:rFonts w:hint="eastAsia" w:ascii="仿宋_GB2312" w:hAnsi="仿宋_GB2312" w:eastAsia="仿宋_GB2312" w:cs="仿宋_GB2312"/>
                <w:b/>
                <w:bCs/>
                <w:szCs w:val="21"/>
              </w:rPr>
              <w:t>序号</w:t>
            </w:r>
          </w:p>
        </w:tc>
        <w:tc>
          <w:tcPr>
            <w:tcW w:w="538"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b/>
                <w:bCs/>
                <w:szCs w:val="21"/>
              </w:rPr>
            </w:pPr>
            <w:r>
              <w:rPr>
                <w:rFonts w:hint="eastAsia" w:ascii="仿宋_GB2312" w:hAnsi="仿宋_GB2312" w:eastAsia="仿宋_GB2312" w:cs="仿宋_GB2312"/>
                <w:b/>
                <w:bCs/>
                <w:szCs w:val="21"/>
              </w:rPr>
              <w:t>违法行为</w:t>
            </w:r>
          </w:p>
        </w:tc>
        <w:tc>
          <w:tcPr>
            <w:tcW w:w="718"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b/>
                <w:bCs/>
                <w:szCs w:val="21"/>
              </w:rPr>
            </w:pPr>
            <w:r>
              <w:rPr>
                <w:rFonts w:hint="eastAsia" w:ascii="仿宋_GB2312" w:hAnsi="仿宋_GB2312" w:eastAsia="仿宋_GB2312" w:cs="仿宋_GB2312"/>
                <w:b/>
                <w:bCs/>
                <w:szCs w:val="21"/>
              </w:rPr>
              <w:t>违反条款</w:t>
            </w:r>
          </w:p>
        </w:tc>
        <w:tc>
          <w:tcPr>
            <w:tcW w:w="1106"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b/>
                <w:bCs/>
                <w:szCs w:val="21"/>
              </w:rPr>
            </w:pPr>
            <w:r>
              <w:rPr>
                <w:rFonts w:hint="eastAsia" w:ascii="仿宋_GB2312" w:hAnsi="仿宋_GB2312" w:eastAsia="仿宋_GB2312" w:cs="仿宋_GB2312"/>
                <w:b/>
                <w:bCs/>
                <w:szCs w:val="21"/>
              </w:rPr>
              <w:t>处罚依据</w:t>
            </w:r>
          </w:p>
        </w:tc>
        <w:tc>
          <w:tcPr>
            <w:tcW w:w="418"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b/>
                <w:bCs/>
                <w:szCs w:val="21"/>
              </w:rPr>
            </w:pPr>
            <w:r>
              <w:rPr>
                <w:rFonts w:hint="eastAsia" w:ascii="仿宋_GB2312" w:hAnsi="仿宋_GB2312" w:eastAsia="仿宋_GB2312" w:cs="仿宋_GB2312"/>
                <w:b/>
                <w:bCs/>
                <w:szCs w:val="21"/>
              </w:rPr>
              <w:t>处罚种类</w:t>
            </w:r>
          </w:p>
        </w:tc>
        <w:tc>
          <w:tcPr>
            <w:tcW w:w="457"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b/>
                <w:bCs/>
                <w:szCs w:val="21"/>
              </w:rPr>
            </w:pPr>
            <w:r>
              <w:rPr>
                <w:rFonts w:hint="eastAsia" w:ascii="仿宋_GB2312" w:hAnsi="仿宋_GB2312" w:eastAsia="仿宋_GB2312" w:cs="仿宋_GB2312"/>
                <w:b/>
                <w:bCs/>
                <w:szCs w:val="21"/>
              </w:rPr>
              <w:t>裁量阶次</w:t>
            </w:r>
          </w:p>
        </w:tc>
        <w:tc>
          <w:tcPr>
            <w:tcW w:w="679"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b/>
                <w:bCs/>
                <w:szCs w:val="21"/>
              </w:rPr>
            </w:pPr>
            <w:r>
              <w:rPr>
                <w:rFonts w:hint="eastAsia" w:ascii="仿宋_GB2312" w:hAnsi="仿宋_GB2312" w:eastAsia="仿宋_GB2312" w:cs="仿宋_GB2312"/>
                <w:b/>
                <w:bCs/>
                <w:szCs w:val="21"/>
              </w:rPr>
              <w:t>适用条件</w:t>
            </w:r>
          </w:p>
        </w:tc>
        <w:tc>
          <w:tcPr>
            <w:tcW w:w="774"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b/>
                <w:bCs/>
                <w:szCs w:val="21"/>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09"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ascii="仿宋_GB2312" w:hAnsi="仿宋_GB2312" w:eastAsia="仿宋_GB2312" w:cs="仿宋_GB2312"/>
                <w:szCs w:val="21"/>
                <w:lang w:bidi="ar"/>
              </w:rPr>
              <w:t>112.</w:t>
            </w:r>
            <w:r>
              <w:rPr>
                <w:rFonts w:hint="eastAsia" w:ascii="仿宋_GB2312" w:hAnsi="仿宋_GB2312" w:eastAsia="仿宋_GB2312" w:cs="仿宋_GB2312"/>
                <w:szCs w:val="21"/>
                <w:lang w:bidi="ar"/>
              </w:rPr>
              <w:t>3</w:t>
            </w:r>
          </w:p>
        </w:tc>
        <w:tc>
          <w:tcPr>
            <w:tcW w:w="538"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未取得燃气经营许可证或者管道燃气特许经营权擅自从事燃气经营活动的</w:t>
            </w:r>
          </w:p>
        </w:tc>
        <w:tc>
          <w:tcPr>
            <w:tcW w:w="718" w:type="pct"/>
            <w:vMerge w:val="restart"/>
            <w:tcBorders>
              <w:top w:val="single" w:color="auto" w:sz="4" w:space="0"/>
              <w:left w:val="single" w:color="auto" w:sz="4" w:space="0"/>
              <w:bottom w:val="single" w:color="auto" w:sz="4" w:space="0"/>
              <w:right w:val="single" w:color="auto" w:sz="4" w:space="0"/>
            </w:tcBorders>
            <w:vAlign w:val="center"/>
          </w:tcPr>
          <w:p>
            <w:r>
              <w:rPr>
                <w:rFonts w:hint="eastAsia" w:ascii="仿宋_GB2312" w:hAnsi="仿宋_GB2312" w:eastAsia="仿宋_GB2312" w:cs="仿宋_GB2312"/>
                <w:color w:val="000000"/>
                <w:szCs w:val="21"/>
                <w:lang w:bidi="ar"/>
              </w:rPr>
              <w:t>第二十四条、第二十七条</w:t>
            </w:r>
          </w:p>
        </w:tc>
        <w:tc>
          <w:tcPr>
            <w:tcW w:w="1106"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第七十条第一款：“违反本条例第二十四条、第二十七条规定，未取得燃气经营许可证或者管道燃气特许经营权擅自从事燃气经营活动的，由市燃气主管部门责令停止违法经营活动，没收违法所得，并处二十万元以上五十万元以下罚款。”</w:t>
            </w:r>
          </w:p>
        </w:tc>
        <w:tc>
          <w:tcPr>
            <w:tcW w:w="418"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没收违法所得；</w:t>
            </w:r>
            <w:r>
              <w:rPr>
                <w:rFonts w:hint="eastAsia" w:ascii="仿宋_GB2312" w:hAnsi="仿宋_GB2312" w:eastAsia="仿宋_GB2312" w:cs="仿宋_GB2312"/>
                <w:color w:val="000000"/>
                <w:kern w:val="0"/>
                <w:szCs w:val="21"/>
                <w:lang w:bidi="ar"/>
              </w:rPr>
              <w:t>罚款</w:t>
            </w:r>
          </w:p>
        </w:tc>
        <w:tc>
          <w:tcPr>
            <w:tcW w:w="457"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从轻</w:t>
            </w:r>
          </w:p>
        </w:tc>
        <w:tc>
          <w:tcPr>
            <w:tcW w:w="679"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经营活动时间三十日以下，或经营场所面积在</w:t>
            </w:r>
            <w:r>
              <w:rPr>
                <w:rFonts w:hint="eastAsia" w:ascii="仿宋_GB2312" w:hAnsi="仿宋_GB2312" w:eastAsia="仿宋_GB2312" w:cs="仿宋_GB2312"/>
                <w:szCs w:val="21"/>
                <w:lang w:bidi="ar"/>
              </w:rPr>
              <w:t>三十</w:t>
            </w:r>
            <w:r>
              <w:rPr>
                <w:rFonts w:hint="eastAsia" w:ascii="仿宋_GB2312" w:hAnsi="仿宋_GB2312" w:eastAsia="仿宋_GB2312" w:cs="仿宋_GB2312"/>
                <w:kern w:val="0"/>
                <w:szCs w:val="21"/>
                <w:lang w:bidi="ar"/>
              </w:rPr>
              <w:t>平方米以下的</w:t>
            </w:r>
          </w:p>
        </w:tc>
        <w:tc>
          <w:tcPr>
            <w:tcW w:w="774"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责令停止违法经营活动，</w:t>
            </w:r>
            <w:r>
              <w:rPr>
                <w:rFonts w:hint="eastAsia" w:ascii="仿宋_GB2312" w:hAnsi="仿宋_GB2312" w:eastAsia="仿宋_GB2312" w:cs="仿宋_GB2312"/>
                <w:color w:val="000000"/>
                <w:szCs w:val="21"/>
                <w:lang w:bidi="ar"/>
              </w:rPr>
              <w:t>没收违法所得，</w:t>
            </w:r>
            <w:r>
              <w:rPr>
                <w:rFonts w:hint="eastAsia" w:ascii="仿宋_GB2312" w:hAnsi="仿宋_GB2312" w:eastAsia="仿宋_GB2312" w:cs="仿宋_GB2312"/>
                <w:color w:val="000000"/>
                <w:kern w:val="0"/>
                <w:szCs w:val="21"/>
                <w:lang w:bidi="ar"/>
              </w:rPr>
              <w:t>并</w:t>
            </w:r>
            <w:r>
              <w:rPr>
                <w:rFonts w:hint="eastAsia" w:ascii="仿宋_GB2312" w:hAnsi="仿宋_GB2312" w:eastAsia="仿宋_GB2312" w:cs="仿宋_GB2312"/>
                <w:color w:val="000000"/>
                <w:szCs w:val="21"/>
                <w:lang w:bidi="ar"/>
              </w:rPr>
              <w:t>处二十万元以上、低于三十五万元罚款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09"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8"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718"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1106"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18"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57"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一般</w:t>
            </w:r>
          </w:p>
        </w:tc>
        <w:tc>
          <w:tcPr>
            <w:tcW w:w="679"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经营活动时间超过三十日、六十日以下，或经营场所面积超过三十平方米、五十平方米以下的</w:t>
            </w:r>
          </w:p>
        </w:tc>
        <w:tc>
          <w:tcPr>
            <w:tcW w:w="774"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责令停止违法经营活动，</w:t>
            </w:r>
            <w:r>
              <w:rPr>
                <w:rFonts w:hint="eastAsia" w:ascii="仿宋_GB2312" w:hAnsi="仿宋_GB2312" w:eastAsia="仿宋_GB2312" w:cs="仿宋_GB2312"/>
                <w:color w:val="000000"/>
                <w:szCs w:val="21"/>
                <w:lang w:bidi="ar"/>
              </w:rPr>
              <w:t>没收违法所得，</w:t>
            </w:r>
            <w:r>
              <w:rPr>
                <w:rFonts w:hint="eastAsia" w:ascii="仿宋_GB2312" w:hAnsi="仿宋_GB2312" w:eastAsia="仿宋_GB2312" w:cs="仿宋_GB2312"/>
                <w:color w:val="000000"/>
                <w:kern w:val="0"/>
                <w:szCs w:val="21"/>
                <w:lang w:bidi="ar"/>
              </w:rPr>
              <w:t>并</w:t>
            </w:r>
            <w:r>
              <w:rPr>
                <w:rFonts w:hint="eastAsia" w:ascii="仿宋_GB2312" w:hAnsi="仿宋_GB2312" w:eastAsia="仿宋_GB2312" w:cs="仿宋_GB2312"/>
                <w:color w:val="000000"/>
                <w:szCs w:val="21"/>
                <w:lang w:bidi="ar"/>
              </w:rPr>
              <w:t>处三十五万元罚款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09"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8"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718"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1106"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18"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57"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从重</w:t>
            </w:r>
          </w:p>
        </w:tc>
        <w:tc>
          <w:tcPr>
            <w:tcW w:w="679"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经营活动时间超过六十日，或经营场所面积超过五十平方米的</w:t>
            </w:r>
          </w:p>
        </w:tc>
        <w:tc>
          <w:tcPr>
            <w:tcW w:w="774"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责令停止违法经营活动，</w:t>
            </w:r>
            <w:r>
              <w:rPr>
                <w:rFonts w:hint="eastAsia" w:ascii="仿宋_GB2312" w:hAnsi="仿宋_GB2312" w:eastAsia="仿宋_GB2312" w:cs="仿宋_GB2312"/>
                <w:color w:val="000000"/>
                <w:szCs w:val="21"/>
                <w:lang w:bidi="ar"/>
              </w:rPr>
              <w:t>没收违法所得，</w:t>
            </w:r>
            <w:r>
              <w:rPr>
                <w:rFonts w:hint="eastAsia" w:ascii="仿宋_GB2312" w:hAnsi="仿宋_GB2312" w:eastAsia="仿宋_GB2312" w:cs="仿宋_GB2312"/>
                <w:color w:val="000000"/>
                <w:kern w:val="0"/>
                <w:szCs w:val="21"/>
                <w:lang w:bidi="ar"/>
              </w:rPr>
              <w:t>并</w:t>
            </w:r>
            <w:r>
              <w:rPr>
                <w:rFonts w:hint="eastAsia" w:ascii="仿宋_GB2312" w:hAnsi="仿宋_GB2312" w:eastAsia="仿宋_GB2312" w:cs="仿宋_GB2312"/>
                <w:color w:val="000000"/>
                <w:szCs w:val="21"/>
                <w:lang w:bidi="ar"/>
              </w:rPr>
              <w:t>处超过三十五万元、五十万元以下罚款</w:t>
            </w:r>
          </w:p>
        </w:tc>
      </w:tr>
    </w:tbl>
    <w:p>
      <w:pPr>
        <w:widowControl/>
        <w:jc w:val="left"/>
        <w:outlineLvl w:val="0"/>
        <w:rPr>
          <w:rFonts w:hint="eastAsia" w:ascii="宋体" w:hAnsi="宋体" w:eastAsia="宋体" w:cs="宋体"/>
          <w:bCs/>
          <w:color w:val="000000"/>
          <w:sz w:val="32"/>
          <w:szCs w:val="24"/>
        </w:rPr>
      </w:pPr>
      <w:r>
        <w:rPr>
          <w:rFonts w:hint="eastAsia" w:ascii="宋体" w:hAnsi="宋体" w:eastAsia="宋体" w:cs="宋体"/>
          <w:bCs/>
          <w:color w:val="000000"/>
          <w:kern w:val="44"/>
          <w:sz w:val="32"/>
          <w:szCs w:val="24"/>
          <w:lang w:bidi="ar"/>
        </w:rPr>
        <w:t>《深圳经济特区城市燃气管理条例》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70"/>
        <w:gridCol w:w="1182"/>
        <w:gridCol w:w="4267"/>
        <w:gridCol w:w="1676"/>
        <w:gridCol w:w="1208"/>
        <w:gridCol w:w="1191"/>
        <w:gridCol w:w="1242"/>
        <w:gridCol w:w="253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07"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序号</w:t>
            </w:r>
          </w:p>
        </w:tc>
        <w:tc>
          <w:tcPr>
            <w:tcW w:w="417"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违法行为</w:t>
            </w:r>
          </w:p>
        </w:tc>
        <w:tc>
          <w:tcPr>
            <w:tcW w:w="1505"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违反条款</w:t>
            </w:r>
          </w:p>
        </w:tc>
        <w:tc>
          <w:tcPr>
            <w:tcW w:w="59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处罚依据</w:t>
            </w:r>
          </w:p>
        </w:tc>
        <w:tc>
          <w:tcPr>
            <w:tcW w:w="426"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处罚种类</w:t>
            </w:r>
          </w:p>
        </w:tc>
        <w:tc>
          <w:tcPr>
            <w:tcW w:w="42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裁量阶次</w:t>
            </w:r>
          </w:p>
        </w:tc>
        <w:tc>
          <w:tcPr>
            <w:tcW w:w="438"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适用条件</w:t>
            </w:r>
          </w:p>
        </w:tc>
        <w:tc>
          <w:tcPr>
            <w:tcW w:w="895"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07"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ascii="仿宋_GB2312" w:hAnsi="仿宋_GB2312" w:eastAsia="仿宋_GB2312" w:cs="仿宋_GB2312"/>
                <w:szCs w:val="21"/>
                <w:lang w:bidi="ar"/>
              </w:rPr>
              <w:t>112.</w:t>
            </w:r>
            <w:r>
              <w:rPr>
                <w:rFonts w:hint="eastAsia" w:ascii="仿宋_GB2312" w:hAnsi="仿宋_GB2312" w:eastAsia="仿宋_GB2312" w:cs="仿宋_GB2312"/>
                <w:szCs w:val="21"/>
                <w:lang w:bidi="ar"/>
              </w:rPr>
              <w:t>4</w:t>
            </w:r>
          </w:p>
        </w:tc>
        <w:tc>
          <w:tcPr>
            <w:tcW w:w="417"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未取得燃气器具安装维修资质证书擅自从事燃气器具安装、维修活动的，逾期不改正的</w:t>
            </w:r>
          </w:p>
        </w:tc>
        <w:tc>
          <w:tcPr>
            <w:tcW w:w="1505" w:type="pct"/>
            <w:vMerge w:val="restart"/>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sz w:val="18"/>
                <w:szCs w:val="18"/>
              </w:rPr>
            </w:pPr>
            <w:r>
              <w:rPr>
                <w:rFonts w:hint="eastAsia" w:ascii="仿宋_GB2312" w:hAnsi="仿宋_GB2312" w:eastAsia="仿宋_GB2312" w:cs="仿宋_GB2312"/>
                <w:sz w:val="18"/>
                <w:szCs w:val="18"/>
                <w:lang w:bidi="ar"/>
              </w:rPr>
              <w:t>第二十八条：“从事燃气器具安装、维修活动的，应当取得深圳市燃气行业协会（颁发的燃气器具安装维修资质证书。取得燃气器具安装维修资质证书应当具备下列条件：（一）有与安装、维修规模相适应的经营场所；（二）有与安装、维修规模相适应的专业技术人员和其他从业人员；（三）有与安装、维修规模相适应的专业设备、维修工具和备品备件；（四）有完善的管理制度和服务规范；（五）法律、法规规定的其他条件。申请材料齐全的，市燃气行业协会应当自受理申请之日起十个工作日内作出决定；申请材料不齐全的，市燃气行业协会应当自受理申请之日起两个工作日内一次性书面告知需要补齐的材料。市燃气行业协会作出决定后，应当在五个工作日内书面报告市燃气主管部门。燃气器具安装维修资质证书有效期五年，有效期届满需要继续从事燃气器具安装维修活动的，应当在有效期届满九十日前，向市燃气行业协会提出延续申请。取得燃气器具安装维修资质证书后，企业名称、注册地址、法定代表人等发生变更的，应当自变更之日起三十日内报市燃气行业协会备案。”</w:t>
            </w:r>
          </w:p>
        </w:tc>
        <w:tc>
          <w:tcPr>
            <w:tcW w:w="591"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第七十一条：“违反本条例第二十八条规定，未取得燃气器具安装维修资质证书擅自从事燃气器具安装、维修活动的，由市燃气主管部门责令限期改正，没收违法所得；逾期未改正的，对单位处三万元以上十万元以下罚款，对个人处一千元以上五千元以下罚款。”</w:t>
            </w:r>
          </w:p>
        </w:tc>
        <w:tc>
          <w:tcPr>
            <w:tcW w:w="426"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罚款；没收违法所得</w:t>
            </w:r>
          </w:p>
        </w:tc>
        <w:tc>
          <w:tcPr>
            <w:tcW w:w="42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从轻</w:t>
            </w:r>
          </w:p>
        </w:tc>
        <w:tc>
          <w:tcPr>
            <w:tcW w:w="438"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经营活动时间三十日以下的</w:t>
            </w:r>
          </w:p>
        </w:tc>
        <w:tc>
          <w:tcPr>
            <w:tcW w:w="895"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color w:val="000000"/>
                <w:szCs w:val="21"/>
                <w:lang w:bidi="ar"/>
              </w:rPr>
              <w:t>没收违法所得；逾期未改正的，对单位处三万元以上、低于六万五千元罚款，对个人处一千元以上、低于三千元罚款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18" w:hRule="atLeast"/>
        </w:trPr>
        <w:tc>
          <w:tcPr>
            <w:tcW w:w="307"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17"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 w:val="18"/>
                <w:szCs w:val="18"/>
              </w:rPr>
            </w:pPr>
          </w:p>
        </w:tc>
        <w:tc>
          <w:tcPr>
            <w:tcW w:w="1505"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 w:val="18"/>
                <w:szCs w:val="18"/>
              </w:rPr>
            </w:pPr>
          </w:p>
        </w:tc>
        <w:tc>
          <w:tcPr>
            <w:tcW w:w="59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26"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2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一般</w:t>
            </w:r>
          </w:p>
        </w:tc>
        <w:tc>
          <w:tcPr>
            <w:tcW w:w="438"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经营活动时间超过三十日、六十日以下的</w:t>
            </w:r>
          </w:p>
        </w:tc>
        <w:tc>
          <w:tcPr>
            <w:tcW w:w="895"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color w:val="000000"/>
                <w:szCs w:val="21"/>
                <w:lang w:bidi="ar"/>
              </w:rPr>
              <w:t>没收违法所得；逾期未改正的，对单位处六万五千元罚款，对个人处三千元罚款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16" w:hRule="atLeast"/>
        </w:trPr>
        <w:tc>
          <w:tcPr>
            <w:tcW w:w="307"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17"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 w:val="18"/>
                <w:szCs w:val="18"/>
              </w:rPr>
            </w:pPr>
          </w:p>
        </w:tc>
        <w:tc>
          <w:tcPr>
            <w:tcW w:w="1505"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 w:val="18"/>
                <w:szCs w:val="18"/>
              </w:rPr>
            </w:pPr>
          </w:p>
        </w:tc>
        <w:tc>
          <w:tcPr>
            <w:tcW w:w="59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26"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2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从重</w:t>
            </w:r>
          </w:p>
        </w:tc>
        <w:tc>
          <w:tcPr>
            <w:tcW w:w="438"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经营活动时间超过六十日的</w:t>
            </w:r>
          </w:p>
        </w:tc>
        <w:tc>
          <w:tcPr>
            <w:tcW w:w="895"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color w:val="000000"/>
                <w:szCs w:val="21"/>
                <w:lang w:bidi="ar"/>
              </w:rPr>
              <w:t>没收违法所得；逾期未改正的，对单位处超过六万五千元、十万元以下罚款，</w:t>
            </w:r>
          </w:p>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对个人处超过三千元、五千元以下罚款</w:t>
            </w:r>
          </w:p>
        </w:tc>
      </w:tr>
    </w:tbl>
    <w:p>
      <w:pPr>
        <w:widowControl/>
        <w:jc w:val="left"/>
        <w:outlineLvl w:val="0"/>
        <w:rPr>
          <w:rFonts w:hint="eastAsia" w:ascii="宋体" w:hAnsi="宋体" w:eastAsia="宋体" w:cs="宋体"/>
          <w:bCs/>
          <w:color w:val="000000"/>
          <w:sz w:val="32"/>
          <w:szCs w:val="24"/>
        </w:rPr>
      </w:pPr>
      <w:r>
        <w:rPr>
          <w:rFonts w:hint="eastAsia" w:ascii="宋体" w:hAnsi="宋体" w:eastAsia="宋体" w:cs="宋体"/>
          <w:bCs/>
          <w:color w:val="000000"/>
          <w:kern w:val="44"/>
          <w:sz w:val="32"/>
          <w:szCs w:val="24"/>
          <w:lang w:bidi="ar"/>
        </w:rPr>
        <w:t>《深圳经济特区城市燃气管理条例》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82"/>
        <w:gridCol w:w="1522"/>
        <w:gridCol w:w="2237"/>
        <w:gridCol w:w="2268"/>
        <w:gridCol w:w="1378"/>
        <w:gridCol w:w="1834"/>
        <w:gridCol w:w="2188"/>
        <w:gridCol w:w="18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序号</w:t>
            </w:r>
          </w:p>
        </w:tc>
        <w:tc>
          <w:tcPr>
            <w:tcW w:w="537"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违法行为</w:t>
            </w:r>
          </w:p>
        </w:tc>
        <w:tc>
          <w:tcPr>
            <w:tcW w:w="789"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违反条款</w:t>
            </w:r>
          </w:p>
        </w:tc>
        <w:tc>
          <w:tcPr>
            <w:tcW w:w="80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处罚依据</w:t>
            </w:r>
          </w:p>
        </w:tc>
        <w:tc>
          <w:tcPr>
            <w:tcW w:w="486"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处罚种类</w:t>
            </w:r>
          </w:p>
        </w:tc>
        <w:tc>
          <w:tcPr>
            <w:tcW w:w="647"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裁量阶次</w:t>
            </w:r>
          </w:p>
        </w:tc>
        <w:tc>
          <w:tcPr>
            <w:tcW w:w="77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适用条件</w:t>
            </w:r>
          </w:p>
        </w:tc>
        <w:tc>
          <w:tcPr>
            <w:tcW w:w="658"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11"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ascii="仿宋_GB2312" w:hAnsi="仿宋_GB2312" w:eastAsia="仿宋_GB2312" w:cs="仿宋_GB2312"/>
                <w:szCs w:val="21"/>
                <w:lang w:bidi="ar"/>
              </w:rPr>
              <w:t>112.</w:t>
            </w:r>
            <w:r>
              <w:rPr>
                <w:rFonts w:hint="eastAsia" w:ascii="仿宋_GB2312" w:hAnsi="仿宋_GB2312" w:eastAsia="仿宋_GB2312" w:cs="仿宋_GB2312"/>
                <w:szCs w:val="21"/>
                <w:lang w:bidi="ar"/>
              </w:rPr>
              <w:t>5</w:t>
            </w:r>
          </w:p>
        </w:tc>
        <w:tc>
          <w:tcPr>
            <w:tcW w:w="537"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lang w:bidi="ar"/>
              </w:rPr>
              <w:t>燃气企业未</w:t>
            </w:r>
            <w:r>
              <w:rPr>
                <w:rFonts w:hint="eastAsia" w:ascii="仿宋_GB2312" w:hAnsi="仿宋_GB2312" w:eastAsia="仿宋_GB2312" w:cs="仿宋_GB2312"/>
                <w:color w:val="000000"/>
                <w:szCs w:val="21"/>
                <w:lang w:bidi="ar"/>
              </w:rPr>
              <w:t>与用户签订供用气合同，明确双方的权利义务的</w:t>
            </w:r>
          </w:p>
        </w:tc>
        <w:tc>
          <w:tcPr>
            <w:tcW w:w="789"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rPr>
            </w:pPr>
            <w:r>
              <w:rPr>
                <w:rFonts w:hint="eastAsia" w:ascii="仿宋_GB2312" w:hAnsi="仿宋_GB2312" w:eastAsia="仿宋_GB2312" w:cs="仿宋_GB2312"/>
                <w:lang w:bidi="ar"/>
              </w:rPr>
              <w:t>第三十条：“燃气企业应当建立健全用户服务制度，规范服务行为，并遵守下列规定：（一）与用户签订供用气合同，明确双方的权利义务。”</w:t>
            </w:r>
          </w:p>
        </w:tc>
        <w:tc>
          <w:tcPr>
            <w:tcW w:w="800"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rPr>
            </w:pPr>
            <w:r>
              <w:rPr>
                <w:rFonts w:hint="eastAsia" w:ascii="仿宋_GB2312" w:hAnsi="仿宋_GB2312" w:eastAsia="仿宋_GB2312" w:cs="仿宋_GB2312"/>
                <w:lang w:bidi="ar"/>
              </w:rPr>
              <w:t>第七十二条：“违反本条例第三十条第一款第一至五项规定的，由主管部门责令限期改正；逾期未改正的，处一万元以上五万元以下罚款。”</w:t>
            </w:r>
          </w:p>
        </w:tc>
        <w:tc>
          <w:tcPr>
            <w:tcW w:w="486"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罚款</w:t>
            </w:r>
          </w:p>
        </w:tc>
        <w:tc>
          <w:tcPr>
            <w:tcW w:w="647"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从轻</w:t>
            </w:r>
          </w:p>
        </w:tc>
        <w:tc>
          <w:tcPr>
            <w:tcW w:w="772"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未与用户签订供用气合同</w:t>
            </w:r>
            <w:r>
              <w:rPr>
                <w:rFonts w:hint="eastAsia" w:ascii="仿宋_GB2312" w:hAnsi="仿宋_GB2312" w:eastAsia="仿宋_GB2312" w:cs="仿宋_GB2312"/>
                <w:szCs w:val="21"/>
                <w:lang w:bidi="ar"/>
              </w:rPr>
              <w:t>涉及三户（人）以下的</w:t>
            </w:r>
          </w:p>
        </w:tc>
        <w:tc>
          <w:tcPr>
            <w:tcW w:w="658"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lang w:bidi="ar"/>
              </w:rPr>
              <w:t>；逾期未改正的，</w:t>
            </w:r>
            <w:r>
              <w:rPr>
                <w:rFonts w:hint="eastAsia" w:ascii="仿宋_GB2312" w:hAnsi="仿宋_GB2312" w:eastAsia="仿宋_GB2312" w:cs="仿宋_GB2312"/>
                <w:color w:val="000000"/>
                <w:szCs w:val="21"/>
                <w:lang w:bidi="ar"/>
              </w:rPr>
              <w:t>处一万元以上、低于三万元罚款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1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7"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789"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80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86"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647"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一般</w:t>
            </w:r>
          </w:p>
        </w:tc>
        <w:tc>
          <w:tcPr>
            <w:tcW w:w="772"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未与用户签订供用气合同</w:t>
            </w:r>
            <w:r>
              <w:rPr>
                <w:rFonts w:hint="eastAsia" w:ascii="仿宋_GB2312" w:hAnsi="仿宋_GB2312" w:eastAsia="仿宋_GB2312" w:cs="仿宋_GB2312"/>
                <w:szCs w:val="21"/>
                <w:lang w:bidi="ar"/>
              </w:rPr>
              <w:t>涉及四户（人）以上七户（人）以下的</w:t>
            </w:r>
          </w:p>
        </w:tc>
        <w:tc>
          <w:tcPr>
            <w:tcW w:w="658"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lang w:bidi="ar"/>
              </w:rPr>
              <w:t>；逾期未改正的，</w:t>
            </w:r>
            <w:r>
              <w:rPr>
                <w:rFonts w:hint="eastAsia" w:ascii="仿宋_GB2312" w:hAnsi="仿宋_GB2312" w:eastAsia="仿宋_GB2312" w:cs="仿宋_GB2312"/>
                <w:color w:val="000000"/>
                <w:szCs w:val="21"/>
                <w:lang w:bidi="ar"/>
              </w:rPr>
              <w:t>处三万元罚款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1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7"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789"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80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86"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647"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从重</w:t>
            </w:r>
          </w:p>
        </w:tc>
        <w:tc>
          <w:tcPr>
            <w:tcW w:w="772"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未与用户签订供用气合同</w:t>
            </w:r>
            <w:r>
              <w:rPr>
                <w:rFonts w:hint="eastAsia" w:ascii="仿宋_GB2312" w:hAnsi="仿宋_GB2312" w:eastAsia="仿宋_GB2312" w:cs="仿宋_GB2312"/>
                <w:szCs w:val="21"/>
                <w:lang w:bidi="ar"/>
              </w:rPr>
              <w:t>涉及八户（人）以上的</w:t>
            </w:r>
          </w:p>
        </w:tc>
        <w:tc>
          <w:tcPr>
            <w:tcW w:w="658"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lang w:bidi="ar"/>
              </w:rPr>
              <w:t>；逾期未改正的，</w:t>
            </w:r>
            <w:r>
              <w:rPr>
                <w:rFonts w:hint="eastAsia" w:ascii="仿宋_GB2312" w:hAnsi="仿宋_GB2312" w:eastAsia="仿宋_GB2312" w:cs="仿宋_GB2312"/>
                <w:color w:val="000000"/>
                <w:szCs w:val="21"/>
                <w:lang w:bidi="ar"/>
              </w:rPr>
              <w:t>处超过三万元、五万元以下罚款</w:t>
            </w:r>
          </w:p>
        </w:tc>
      </w:tr>
    </w:tbl>
    <w:p>
      <w:pPr>
        <w:widowControl/>
        <w:jc w:val="left"/>
        <w:outlineLvl w:val="0"/>
        <w:rPr>
          <w:rFonts w:hint="eastAsia" w:ascii="宋体" w:hAnsi="宋体" w:eastAsia="宋体" w:cs="宋体"/>
          <w:bCs/>
          <w:color w:val="000000"/>
          <w:sz w:val="32"/>
          <w:szCs w:val="24"/>
        </w:rPr>
      </w:pPr>
      <w:r>
        <w:rPr>
          <w:rFonts w:hint="eastAsia" w:ascii="宋体" w:hAnsi="宋体" w:eastAsia="宋体" w:cs="宋体"/>
          <w:bCs/>
          <w:color w:val="000000"/>
          <w:kern w:val="44"/>
          <w:sz w:val="32"/>
          <w:szCs w:val="24"/>
          <w:lang w:bidi="ar"/>
        </w:rPr>
        <w:t>《深圳经济特区城市燃气管理条例》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3"/>
        <w:gridCol w:w="1690"/>
        <w:gridCol w:w="2552"/>
        <w:gridCol w:w="1684"/>
        <w:gridCol w:w="1383"/>
        <w:gridCol w:w="1332"/>
        <w:gridCol w:w="2024"/>
        <w:gridCol w:w="265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0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序号</w:t>
            </w:r>
          </w:p>
        </w:tc>
        <w:tc>
          <w:tcPr>
            <w:tcW w:w="596"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违法行为</w:t>
            </w:r>
          </w:p>
        </w:tc>
        <w:tc>
          <w:tcPr>
            <w:tcW w:w="90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违反条款</w:t>
            </w:r>
          </w:p>
        </w:tc>
        <w:tc>
          <w:tcPr>
            <w:tcW w:w="594"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处罚依据</w:t>
            </w:r>
          </w:p>
        </w:tc>
        <w:tc>
          <w:tcPr>
            <w:tcW w:w="488"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处罚种类</w:t>
            </w:r>
          </w:p>
        </w:tc>
        <w:tc>
          <w:tcPr>
            <w:tcW w:w="47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裁量阶次</w:t>
            </w:r>
          </w:p>
        </w:tc>
        <w:tc>
          <w:tcPr>
            <w:tcW w:w="714"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适用条件</w:t>
            </w:r>
          </w:p>
        </w:tc>
        <w:tc>
          <w:tcPr>
            <w:tcW w:w="937"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01"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ascii="仿宋_GB2312" w:hAnsi="仿宋_GB2312" w:eastAsia="仿宋_GB2312" w:cs="仿宋_GB2312"/>
                <w:szCs w:val="21"/>
                <w:lang w:bidi="ar"/>
              </w:rPr>
              <w:t>112.</w:t>
            </w:r>
            <w:r>
              <w:rPr>
                <w:rFonts w:hint="eastAsia" w:ascii="仿宋_GB2312" w:hAnsi="仿宋_GB2312" w:eastAsia="仿宋_GB2312" w:cs="仿宋_GB2312"/>
                <w:szCs w:val="21"/>
                <w:lang w:bidi="ar"/>
              </w:rPr>
              <w:t>6</w:t>
            </w:r>
          </w:p>
        </w:tc>
        <w:tc>
          <w:tcPr>
            <w:tcW w:w="596"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lang w:bidi="ar"/>
              </w:rPr>
              <w:t>燃气企业</w:t>
            </w:r>
            <w:r>
              <w:rPr>
                <w:rFonts w:hint="eastAsia" w:ascii="仿宋_GB2312" w:hAnsi="仿宋_GB2312" w:eastAsia="仿宋_GB2312" w:cs="仿宋_GB2312"/>
                <w:color w:val="000000"/>
                <w:szCs w:val="21"/>
                <w:lang w:bidi="ar"/>
              </w:rPr>
              <w:t>未在业务受理场所公布业务流程、服务项目、服务承诺、收费标准、服务受理和投诉电话、应急处置等内容；向社会公布服务受理和投诉、应急处置电话的</w:t>
            </w:r>
          </w:p>
        </w:tc>
        <w:tc>
          <w:tcPr>
            <w:tcW w:w="900" w:type="pct"/>
            <w:vMerge w:val="restart"/>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szCs w:val="21"/>
              </w:rPr>
            </w:pPr>
            <w:r>
              <w:rPr>
                <w:rFonts w:hint="eastAsia" w:ascii="仿宋_GB2312" w:hAnsi="仿宋_GB2312" w:eastAsia="仿宋_GB2312" w:cs="仿宋_GB2312"/>
                <w:lang w:bidi="ar"/>
              </w:rPr>
              <w:t>第三十条：“燃气企业应当建立健全用户服务制度，规范服务行为，并遵守下列规定：（二）</w:t>
            </w:r>
            <w:r>
              <w:rPr>
                <w:rFonts w:hint="eastAsia" w:ascii="仿宋_GB2312" w:hAnsi="仿宋_GB2312" w:eastAsia="仿宋_GB2312" w:cs="仿宋_GB2312"/>
                <w:color w:val="000000"/>
                <w:szCs w:val="21"/>
                <w:lang w:bidi="ar"/>
              </w:rPr>
              <w:t>在业务受理场所公布业务流程、服务项目、服务承诺、收费标准、服务受理和投诉电话、应急处置等内容；向社会公布服务受理和投诉、应急处置电话。”</w:t>
            </w:r>
          </w:p>
        </w:tc>
        <w:tc>
          <w:tcPr>
            <w:tcW w:w="594"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第七十二条：“违反本条例第三十条第一款第一至五项规定的，由主管部门责令限期改正；逾期未改正的，处一万元以上五万元以下罚款。”</w:t>
            </w:r>
          </w:p>
        </w:tc>
        <w:tc>
          <w:tcPr>
            <w:tcW w:w="488"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罚款</w:t>
            </w:r>
          </w:p>
        </w:tc>
        <w:tc>
          <w:tcPr>
            <w:tcW w:w="47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从轻</w:t>
            </w:r>
          </w:p>
        </w:tc>
        <w:tc>
          <w:tcPr>
            <w:tcW w:w="714"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bCs/>
                <w:color w:val="000000"/>
                <w:kern w:val="0"/>
                <w:szCs w:val="21"/>
              </w:rPr>
              <w:t>未造成危害后果或造成轻微危害后果的</w:t>
            </w:r>
          </w:p>
        </w:tc>
        <w:tc>
          <w:tcPr>
            <w:tcW w:w="937"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lang w:bidi="ar"/>
              </w:rPr>
              <w:t>；逾期未改正的，</w:t>
            </w:r>
            <w:r>
              <w:rPr>
                <w:rFonts w:hint="eastAsia" w:ascii="仿宋_GB2312" w:hAnsi="仿宋_GB2312" w:eastAsia="仿宋_GB2312" w:cs="仿宋_GB2312"/>
                <w:color w:val="000000"/>
                <w:szCs w:val="21"/>
                <w:lang w:bidi="ar"/>
              </w:rPr>
              <w:t>处一万元以上、低于三万元罚款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0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96"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90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94"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88"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7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一般</w:t>
            </w:r>
          </w:p>
        </w:tc>
        <w:tc>
          <w:tcPr>
            <w:tcW w:w="714"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bCs/>
                <w:color w:val="000000"/>
                <w:kern w:val="0"/>
                <w:szCs w:val="21"/>
              </w:rPr>
              <w:t>造成一般危害后果的</w:t>
            </w:r>
          </w:p>
        </w:tc>
        <w:tc>
          <w:tcPr>
            <w:tcW w:w="937"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lang w:bidi="ar"/>
              </w:rPr>
              <w:t>；逾期未改正的，</w:t>
            </w:r>
            <w:r>
              <w:rPr>
                <w:rFonts w:hint="eastAsia" w:ascii="仿宋_GB2312" w:hAnsi="仿宋_GB2312" w:eastAsia="仿宋_GB2312" w:cs="仿宋_GB2312"/>
                <w:color w:val="000000"/>
                <w:szCs w:val="21"/>
                <w:lang w:bidi="ar"/>
              </w:rPr>
              <w:t>处三万元罚款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0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96"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90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94"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88"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7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从重</w:t>
            </w:r>
          </w:p>
        </w:tc>
        <w:tc>
          <w:tcPr>
            <w:tcW w:w="714"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bCs/>
                <w:color w:val="000000"/>
                <w:kern w:val="0"/>
                <w:szCs w:val="21"/>
              </w:rPr>
              <w:t>造成严重危害后果的</w:t>
            </w:r>
          </w:p>
        </w:tc>
        <w:tc>
          <w:tcPr>
            <w:tcW w:w="937"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lang w:bidi="ar"/>
              </w:rPr>
              <w:t>；逾期未改正的，</w:t>
            </w:r>
            <w:r>
              <w:rPr>
                <w:rFonts w:hint="eastAsia" w:ascii="仿宋_GB2312" w:hAnsi="仿宋_GB2312" w:eastAsia="仿宋_GB2312" w:cs="仿宋_GB2312"/>
                <w:color w:val="000000"/>
                <w:szCs w:val="21"/>
                <w:lang w:bidi="ar"/>
              </w:rPr>
              <w:t>处超过三万元、五万元以下罚款</w:t>
            </w:r>
          </w:p>
        </w:tc>
      </w:tr>
    </w:tbl>
    <w:p>
      <w:pPr>
        <w:widowControl/>
        <w:jc w:val="left"/>
        <w:outlineLvl w:val="0"/>
        <w:rPr>
          <w:rFonts w:hint="eastAsia" w:ascii="宋体" w:hAnsi="宋体" w:eastAsia="宋体" w:cs="宋体"/>
          <w:bCs/>
          <w:color w:val="000000"/>
          <w:sz w:val="32"/>
          <w:szCs w:val="24"/>
        </w:rPr>
      </w:pPr>
      <w:r>
        <w:rPr>
          <w:rFonts w:hint="eastAsia" w:ascii="宋体" w:hAnsi="宋体" w:eastAsia="宋体" w:cs="宋体"/>
          <w:bCs/>
          <w:color w:val="000000"/>
          <w:kern w:val="44"/>
          <w:sz w:val="32"/>
          <w:szCs w:val="24"/>
          <w:lang w:bidi="ar"/>
        </w:rPr>
        <w:t>《深圳经济特区城市燃气管理条例》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73"/>
        <w:gridCol w:w="1602"/>
        <w:gridCol w:w="2433"/>
        <w:gridCol w:w="2053"/>
        <w:gridCol w:w="1231"/>
        <w:gridCol w:w="1205"/>
        <w:gridCol w:w="3110"/>
        <w:gridCol w:w="166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08"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序号</w:t>
            </w:r>
          </w:p>
        </w:tc>
        <w:tc>
          <w:tcPr>
            <w:tcW w:w="565"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违法行为</w:t>
            </w:r>
          </w:p>
        </w:tc>
        <w:tc>
          <w:tcPr>
            <w:tcW w:w="858"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违反条款</w:t>
            </w:r>
          </w:p>
        </w:tc>
        <w:tc>
          <w:tcPr>
            <w:tcW w:w="724"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处罚依据</w:t>
            </w:r>
          </w:p>
        </w:tc>
        <w:tc>
          <w:tcPr>
            <w:tcW w:w="434"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处罚种类</w:t>
            </w:r>
          </w:p>
        </w:tc>
        <w:tc>
          <w:tcPr>
            <w:tcW w:w="425"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裁量阶次</w:t>
            </w:r>
          </w:p>
        </w:tc>
        <w:tc>
          <w:tcPr>
            <w:tcW w:w="1097"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适用条件</w:t>
            </w:r>
          </w:p>
        </w:tc>
        <w:tc>
          <w:tcPr>
            <w:tcW w:w="588"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08"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ascii="仿宋_GB2312" w:hAnsi="仿宋_GB2312" w:eastAsia="仿宋_GB2312" w:cs="仿宋_GB2312"/>
                <w:szCs w:val="21"/>
                <w:lang w:bidi="ar"/>
              </w:rPr>
              <w:t>112.</w:t>
            </w:r>
            <w:r>
              <w:rPr>
                <w:rFonts w:hint="eastAsia" w:ascii="仿宋_GB2312" w:hAnsi="仿宋_GB2312" w:eastAsia="仿宋_GB2312" w:cs="仿宋_GB2312"/>
                <w:szCs w:val="21"/>
                <w:lang w:bidi="ar"/>
              </w:rPr>
              <w:t>7</w:t>
            </w:r>
          </w:p>
        </w:tc>
        <w:tc>
          <w:tcPr>
            <w:tcW w:w="565"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lang w:bidi="ar"/>
              </w:rPr>
              <w:t>燃气企业未</w:t>
            </w:r>
            <w:r>
              <w:rPr>
                <w:rFonts w:hint="eastAsia" w:ascii="仿宋_GB2312" w:hAnsi="仿宋_GB2312" w:eastAsia="仿宋_GB2312" w:cs="仿宋_GB2312"/>
                <w:color w:val="000000"/>
                <w:szCs w:val="21"/>
                <w:lang w:bidi="ar"/>
              </w:rPr>
              <w:t>对供应范围内的用户进行技术指导和服务，指导用户严格按照有关标准和安全用气规则使用燃气的</w:t>
            </w:r>
          </w:p>
        </w:tc>
        <w:tc>
          <w:tcPr>
            <w:tcW w:w="858" w:type="pct"/>
            <w:vMerge w:val="restart"/>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szCs w:val="21"/>
              </w:rPr>
            </w:pPr>
            <w:r>
              <w:rPr>
                <w:rFonts w:hint="eastAsia" w:ascii="仿宋_GB2312" w:hAnsi="仿宋_GB2312" w:eastAsia="仿宋_GB2312" w:cs="仿宋_GB2312"/>
                <w:lang w:bidi="ar"/>
              </w:rPr>
              <w:t>第三十条：“燃气企业应当建立健全用户服务制度，规范服务行为，并遵守下列规定：（三）</w:t>
            </w:r>
            <w:r>
              <w:rPr>
                <w:rFonts w:hint="eastAsia" w:ascii="仿宋_GB2312" w:hAnsi="仿宋_GB2312" w:eastAsia="仿宋_GB2312" w:cs="仿宋_GB2312"/>
                <w:color w:val="000000"/>
                <w:szCs w:val="21"/>
                <w:lang w:bidi="ar"/>
              </w:rPr>
              <w:t>对供应范围内的用户进行技术指导和服务，指导用户严格按照有关标准和安全用气规则使用燃气。”</w:t>
            </w:r>
          </w:p>
        </w:tc>
        <w:tc>
          <w:tcPr>
            <w:tcW w:w="724" w:type="pct"/>
            <w:vMerge w:val="restart"/>
            <w:tcBorders>
              <w:top w:val="single" w:color="auto" w:sz="4" w:space="0"/>
              <w:left w:val="single" w:color="auto" w:sz="4" w:space="0"/>
              <w:bottom w:val="single" w:color="auto" w:sz="4" w:space="0"/>
              <w:right w:val="single" w:color="auto" w:sz="4" w:space="0"/>
            </w:tcBorders>
            <w:vAlign w:val="center"/>
          </w:tcPr>
          <w:p>
            <w:pPr>
              <w:rPr>
                <w:rFonts w:eastAsia="宋体" w:cs="Times New Roman"/>
              </w:rPr>
            </w:pPr>
            <w:r>
              <w:rPr>
                <w:rFonts w:hint="eastAsia" w:ascii="仿宋_GB2312" w:hAnsi="仿宋_GB2312" w:eastAsia="仿宋_GB2312" w:cs="仿宋_GB2312"/>
                <w:color w:val="000000"/>
                <w:szCs w:val="21"/>
                <w:lang w:bidi="ar"/>
              </w:rPr>
              <w:t>第七十二条：“</w:t>
            </w:r>
          </w:p>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违反本条例第三十条第一款第一至五项规定的，由主管部门责令限期改正；逾期未改正的，处一万元以上五万元以下罚款。”</w:t>
            </w:r>
          </w:p>
        </w:tc>
        <w:tc>
          <w:tcPr>
            <w:tcW w:w="434"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罚款</w:t>
            </w:r>
          </w:p>
        </w:tc>
        <w:tc>
          <w:tcPr>
            <w:tcW w:w="425"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从轻</w:t>
            </w:r>
          </w:p>
        </w:tc>
        <w:tc>
          <w:tcPr>
            <w:tcW w:w="1097"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未对供应范围内的用户进行技术指导和服务，指导用户严格按照有关标准和安全用气规则使用燃气</w:t>
            </w:r>
            <w:r>
              <w:rPr>
                <w:rFonts w:hint="eastAsia" w:ascii="仿宋_GB2312" w:hAnsi="仿宋_GB2312" w:eastAsia="仿宋_GB2312" w:cs="仿宋_GB2312"/>
                <w:szCs w:val="21"/>
                <w:lang w:bidi="ar"/>
              </w:rPr>
              <w:t>涉及三户（人）以下的</w:t>
            </w:r>
          </w:p>
        </w:tc>
        <w:tc>
          <w:tcPr>
            <w:tcW w:w="588"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lang w:bidi="ar"/>
              </w:rPr>
              <w:t>；逾期未改正的，</w:t>
            </w:r>
            <w:r>
              <w:rPr>
                <w:rFonts w:hint="eastAsia" w:ascii="仿宋_GB2312" w:hAnsi="仿宋_GB2312" w:eastAsia="仿宋_GB2312" w:cs="仿宋_GB2312"/>
                <w:color w:val="000000"/>
                <w:szCs w:val="21"/>
                <w:lang w:bidi="ar"/>
              </w:rPr>
              <w:t>处一万元以上、低于三万元罚款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08"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65"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858"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724"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34"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25"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一般</w:t>
            </w:r>
          </w:p>
        </w:tc>
        <w:tc>
          <w:tcPr>
            <w:tcW w:w="1097"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未对供应范围内的用户进行技术指导和服务，指导用户严格按照有关标准和安全用气规则使用燃气</w:t>
            </w:r>
            <w:r>
              <w:rPr>
                <w:rFonts w:hint="eastAsia" w:ascii="仿宋_GB2312" w:hAnsi="仿宋_GB2312" w:eastAsia="仿宋_GB2312" w:cs="仿宋_GB2312"/>
                <w:szCs w:val="21"/>
                <w:lang w:bidi="ar"/>
              </w:rPr>
              <w:t>涉及四户（人）以上七户（人）以下的</w:t>
            </w:r>
          </w:p>
        </w:tc>
        <w:tc>
          <w:tcPr>
            <w:tcW w:w="588"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lang w:bidi="ar"/>
              </w:rPr>
              <w:t>；逾期未改正的，</w:t>
            </w:r>
            <w:r>
              <w:rPr>
                <w:rFonts w:hint="eastAsia" w:ascii="仿宋_GB2312" w:hAnsi="仿宋_GB2312" w:eastAsia="仿宋_GB2312" w:cs="仿宋_GB2312"/>
                <w:color w:val="000000"/>
                <w:szCs w:val="21"/>
                <w:lang w:bidi="ar"/>
              </w:rPr>
              <w:t>处三万元罚款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08"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65"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858"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724"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34"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25"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从重</w:t>
            </w:r>
          </w:p>
        </w:tc>
        <w:tc>
          <w:tcPr>
            <w:tcW w:w="1097"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未对供应范围内的用户进行技术指导和服务，指导用户严格按照有关标准和安全用气规则使用燃气</w:t>
            </w:r>
            <w:r>
              <w:rPr>
                <w:rFonts w:hint="eastAsia" w:ascii="仿宋_GB2312" w:hAnsi="仿宋_GB2312" w:eastAsia="仿宋_GB2312" w:cs="仿宋_GB2312"/>
                <w:szCs w:val="21"/>
                <w:lang w:bidi="ar"/>
              </w:rPr>
              <w:t>涉及八户（人）以上的</w:t>
            </w:r>
          </w:p>
        </w:tc>
        <w:tc>
          <w:tcPr>
            <w:tcW w:w="588"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lang w:bidi="ar"/>
              </w:rPr>
              <w:t>；逾期未改正的，</w:t>
            </w:r>
            <w:r>
              <w:rPr>
                <w:rFonts w:hint="eastAsia" w:ascii="仿宋_GB2312" w:hAnsi="仿宋_GB2312" w:eastAsia="仿宋_GB2312" w:cs="仿宋_GB2312"/>
                <w:color w:val="000000"/>
                <w:szCs w:val="21"/>
                <w:lang w:bidi="ar"/>
              </w:rPr>
              <w:t>处超过三万元、五万元以下罚款</w:t>
            </w:r>
          </w:p>
        </w:tc>
      </w:tr>
    </w:tbl>
    <w:p>
      <w:pPr>
        <w:widowControl/>
        <w:jc w:val="left"/>
        <w:outlineLvl w:val="0"/>
        <w:rPr>
          <w:rFonts w:hint="eastAsia" w:ascii="仿宋_GB2312" w:hAnsi="仿宋_GB2312" w:eastAsia="仿宋_GB2312" w:cs="仿宋_GB2312"/>
          <w:bCs/>
          <w:color w:val="000000"/>
          <w:sz w:val="32"/>
          <w:szCs w:val="24"/>
        </w:rPr>
      </w:pPr>
      <w:r>
        <w:rPr>
          <w:rFonts w:hint="eastAsia" w:ascii="宋体" w:hAnsi="宋体" w:eastAsia="宋体" w:cs="宋体"/>
          <w:bCs/>
          <w:color w:val="000000"/>
          <w:kern w:val="44"/>
          <w:sz w:val="32"/>
          <w:szCs w:val="24"/>
          <w:lang w:bidi="ar"/>
        </w:rPr>
        <w:t>《深圳经济特区城市燃气管理条例》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22"/>
        <w:gridCol w:w="1519"/>
        <w:gridCol w:w="2123"/>
        <w:gridCol w:w="2282"/>
        <w:gridCol w:w="1420"/>
        <w:gridCol w:w="1276"/>
        <w:gridCol w:w="2840"/>
        <w:gridCol w:w="18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9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序号</w:t>
            </w:r>
          </w:p>
        </w:tc>
        <w:tc>
          <w:tcPr>
            <w:tcW w:w="536"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违法行为</w:t>
            </w:r>
          </w:p>
        </w:tc>
        <w:tc>
          <w:tcPr>
            <w:tcW w:w="749"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违反条款</w:t>
            </w:r>
          </w:p>
        </w:tc>
        <w:tc>
          <w:tcPr>
            <w:tcW w:w="805"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处罚依据</w:t>
            </w:r>
          </w:p>
        </w:tc>
        <w:tc>
          <w:tcPr>
            <w:tcW w:w="50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处罚种类</w:t>
            </w:r>
          </w:p>
        </w:tc>
        <w:tc>
          <w:tcPr>
            <w:tcW w:w="45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裁量阶次</w:t>
            </w:r>
          </w:p>
        </w:tc>
        <w:tc>
          <w:tcPr>
            <w:tcW w:w="100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适用条件</w:t>
            </w:r>
          </w:p>
        </w:tc>
        <w:tc>
          <w:tcPr>
            <w:tcW w:w="667"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290"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ascii="仿宋_GB2312" w:hAnsi="仿宋_GB2312" w:eastAsia="仿宋_GB2312" w:cs="仿宋_GB2312"/>
                <w:szCs w:val="21"/>
                <w:lang w:bidi="ar"/>
              </w:rPr>
              <w:t>112.</w:t>
            </w:r>
            <w:r>
              <w:rPr>
                <w:rFonts w:hint="eastAsia" w:ascii="仿宋_GB2312" w:hAnsi="仿宋_GB2312" w:eastAsia="仿宋_GB2312" w:cs="仿宋_GB2312"/>
                <w:szCs w:val="21"/>
                <w:lang w:bidi="ar"/>
              </w:rPr>
              <w:t>8</w:t>
            </w:r>
          </w:p>
        </w:tc>
        <w:tc>
          <w:tcPr>
            <w:tcW w:w="536"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lang w:bidi="ar"/>
              </w:rPr>
              <w:t>燃气企业未</w:t>
            </w:r>
            <w:r>
              <w:rPr>
                <w:rFonts w:hint="eastAsia" w:ascii="仿宋_GB2312" w:hAnsi="仿宋_GB2312" w:eastAsia="仿宋_GB2312" w:cs="仿宋_GB2312"/>
                <w:color w:val="000000"/>
                <w:szCs w:val="21"/>
                <w:lang w:bidi="ar"/>
              </w:rPr>
              <w:t>实行实名制销售，建立健全用户服务信息系统，完善用户服务档案的</w:t>
            </w:r>
          </w:p>
        </w:tc>
        <w:tc>
          <w:tcPr>
            <w:tcW w:w="749" w:type="pct"/>
            <w:vMerge w:val="restart"/>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szCs w:val="21"/>
              </w:rPr>
            </w:pPr>
            <w:r>
              <w:rPr>
                <w:rFonts w:hint="eastAsia" w:ascii="仿宋_GB2312" w:hAnsi="仿宋_GB2312" w:eastAsia="仿宋_GB2312" w:cs="仿宋_GB2312"/>
                <w:lang w:bidi="ar"/>
              </w:rPr>
              <w:t>第三十条：“燃气企业应当建立健全用户服务制度，规范服务行为，并遵守下列规定：（四）</w:t>
            </w:r>
            <w:r>
              <w:rPr>
                <w:rFonts w:hint="eastAsia" w:ascii="仿宋_GB2312" w:hAnsi="仿宋_GB2312" w:eastAsia="仿宋_GB2312" w:cs="仿宋_GB2312"/>
                <w:color w:val="000000"/>
                <w:szCs w:val="21"/>
                <w:lang w:bidi="ar"/>
              </w:rPr>
              <w:t>实行实名制销售，建立健全用户服务信息系统，完善用户服务档案。”</w:t>
            </w:r>
          </w:p>
        </w:tc>
        <w:tc>
          <w:tcPr>
            <w:tcW w:w="805"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第七十二条：“违反本条例第三十条第一款第一至五项规定的，由主管部门责令限期改正；逾期未改正的，处一万元以上五万元以下罚款。”</w:t>
            </w:r>
          </w:p>
        </w:tc>
        <w:tc>
          <w:tcPr>
            <w:tcW w:w="501"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罚款</w:t>
            </w:r>
          </w:p>
        </w:tc>
        <w:tc>
          <w:tcPr>
            <w:tcW w:w="45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从轻</w:t>
            </w:r>
          </w:p>
        </w:tc>
        <w:tc>
          <w:tcPr>
            <w:tcW w:w="1002"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未</w:t>
            </w:r>
            <w:r>
              <w:rPr>
                <w:rFonts w:hint="eastAsia" w:ascii="仿宋_GB2312" w:hAnsi="仿宋_GB2312" w:eastAsia="仿宋_GB2312" w:cs="仿宋_GB2312"/>
                <w:color w:val="000000"/>
                <w:szCs w:val="21"/>
                <w:lang w:bidi="ar"/>
              </w:rPr>
              <w:t>实行实名制销售，建立健全用户服务信息系统，完善用户服务档案</w:t>
            </w:r>
            <w:r>
              <w:rPr>
                <w:rFonts w:hint="eastAsia" w:ascii="仿宋_GB2312" w:hAnsi="仿宋_GB2312" w:eastAsia="仿宋_GB2312" w:cs="仿宋_GB2312"/>
                <w:szCs w:val="21"/>
                <w:lang w:bidi="ar"/>
              </w:rPr>
              <w:t>涉及三户（人）以下的</w:t>
            </w:r>
          </w:p>
        </w:tc>
        <w:tc>
          <w:tcPr>
            <w:tcW w:w="667"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lang w:bidi="ar"/>
              </w:rPr>
              <w:t>；逾期未改正的，</w:t>
            </w:r>
            <w:r>
              <w:rPr>
                <w:rFonts w:hint="eastAsia" w:ascii="仿宋_GB2312" w:hAnsi="仿宋_GB2312" w:eastAsia="仿宋_GB2312" w:cs="仿宋_GB2312"/>
                <w:color w:val="000000"/>
                <w:szCs w:val="21"/>
                <w:lang w:bidi="ar"/>
              </w:rPr>
              <w:t>处一万元以上、低于三万元罚款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29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6"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749"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805"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0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5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一般</w:t>
            </w:r>
          </w:p>
        </w:tc>
        <w:tc>
          <w:tcPr>
            <w:tcW w:w="1002"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未</w:t>
            </w:r>
            <w:r>
              <w:rPr>
                <w:rFonts w:hint="eastAsia" w:ascii="仿宋_GB2312" w:hAnsi="仿宋_GB2312" w:eastAsia="仿宋_GB2312" w:cs="仿宋_GB2312"/>
                <w:color w:val="000000"/>
                <w:szCs w:val="21"/>
                <w:lang w:bidi="ar"/>
              </w:rPr>
              <w:t>实行实名制销售，建立健全用户服务信息系统，完善用户服务档案</w:t>
            </w:r>
            <w:r>
              <w:rPr>
                <w:rFonts w:hint="eastAsia" w:ascii="仿宋_GB2312" w:hAnsi="仿宋_GB2312" w:eastAsia="仿宋_GB2312" w:cs="仿宋_GB2312"/>
                <w:szCs w:val="21"/>
                <w:lang w:bidi="ar"/>
              </w:rPr>
              <w:t>涉及四户（人）以上七户（人）以下的</w:t>
            </w:r>
          </w:p>
        </w:tc>
        <w:tc>
          <w:tcPr>
            <w:tcW w:w="667"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lang w:bidi="ar"/>
              </w:rPr>
              <w:t>；逾期未改正的，</w:t>
            </w:r>
            <w:r>
              <w:rPr>
                <w:rFonts w:hint="eastAsia" w:ascii="仿宋_GB2312" w:hAnsi="仿宋_GB2312" w:eastAsia="仿宋_GB2312" w:cs="仿宋_GB2312"/>
                <w:color w:val="000000"/>
                <w:szCs w:val="21"/>
                <w:lang w:bidi="ar"/>
              </w:rPr>
              <w:t>处三万元罚款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29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6"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749"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805"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0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5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从重</w:t>
            </w:r>
          </w:p>
        </w:tc>
        <w:tc>
          <w:tcPr>
            <w:tcW w:w="1002"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未</w:t>
            </w:r>
            <w:r>
              <w:rPr>
                <w:rFonts w:hint="eastAsia" w:ascii="仿宋_GB2312" w:hAnsi="仿宋_GB2312" w:eastAsia="仿宋_GB2312" w:cs="仿宋_GB2312"/>
                <w:color w:val="000000"/>
                <w:szCs w:val="21"/>
                <w:lang w:bidi="ar"/>
              </w:rPr>
              <w:t>实行实名制销售，建立健全用户服务信息系统，完善用户服务档案</w:t>
            </w:r>
            <w:r>
              <w:rPr>
                <w:rFonts w:hint="eastAsia" w:ascii="仿宋_GB2312" w:hAnsi="仿宋_GB2312" w:eastAsia="仿宋_GB2312" w:cs="仿宋_GB2312"/>
                <w:szCs w:val="21"/>
                <w:lang w:bidi="ar"/>
              </w:rPr>
              <w:t>涉及八户（人）以上的</w:t>
            </w:r>
          </w:p>
        </w:tc>
        <w:tc>
          <w:tcPr>
            <w:tcW w:w="667"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lang w:bidi="ar"/>
              </w:rPr>
              <w:t>；逾期未改正的，</w:t>
            </w:r>
            <w:r>
              <w:rPr>
                <w:rFonts w:hint="eastAsia" w:ascii="仿宋_GB2312" w:hAnsi="仿宋_GB2312" w:eastAsia="仿宋_GB2312" w:cs="仿宋_GB2312"/>
                <w:color w:val="000000"/>
                <w:szCs w:val="21"/>
                <w:lang w:bidi="ar"/>
              </w:rPr>
              <w:t>处超过三万元、五万元以下罚款</w:t>
            </w:r>
          </w:p>
        </w:tc>
      </w:tr>
    </w:tbl>
    <w:p>
      <w:pPr>
        <w:widowControl/>
        <w:jc w:val="left"/>
        <w:outlineLvl w:val="0"/>
        <w:rPr>
          <w:rFonts w:hint="eastAsia" w:ascii="宋体" w:hAnsi="宋体" w:eastAsia="宋体" w:cs="宋体"/>
          <w:bCs/>
          <w:color w:val="000000"/>
          <w:sz w:val="32"/>
          <w:szCs w:val="24"/>
        </w:rPr>
      </w:pPr>
      <w:r>
        <w:rPr>
          <w:rFonts w:hint="eastAsia" w:ascii="宋体" w:hAnsi="宋体" w:eastAsia="宋体" w:cs="宋体"/>
          <w:bCs/>
          <w:color w:val="000000"/>
          <w:kern w:val="44"/>
          <w:sz w:val="32"/>
          <w:szCs w:val="24"/>
          <w:lang w:bidi="ar"/>
        </w:rPr>
        <w:t>《深圳经济特区城市燃气管理条例》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16"/>
        <w:gridCol w:w="1511"/>
        <w:gridCol w:w="2625"/>
        <w:gridCol w:w="1882"/>
        <w:gridCol w:w="1281"/>
        <w:gridCol w:w="1307"/>
        <w:gridCol w:w="2891"/>
        <w:gridCol w:w="18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88"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序号</w:t>
            </w:r>
          </w:p>
        </w:tc>
        <w:tc>
          <w:tcPr>
            <w:tcW w:w="533"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违法行为</w:t>
            </w:r>
          </w:p>
        </w:tc>
        <w:tc>
          <w:tcPr>
            <w:tcW w:w="926"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违反条款</w:t>
            </w:r>
          </w:p>
        </w:tc>
        <w:tc>
          <w:tcPr>
            <w:tcW w:w="664"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处罚依据</w:t>
            </w:r>
          </w:p>
        </w:tc>
        <w:tc>
          <w:tcPr>
            <w:tcW w:w="45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处罚种类</w:t>
            </w:r>
          </w:p>
        </w:tc>
        <w:tc>
          <w:tcPr>
            <w:tcW w:w="46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裁量阶次</w:t>
            </w:r>
          </w:p>
        </w:tc>
        <w:tc>
          <w:tcPr>
            <w:tcW w:w="102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适用条件</w:t>
            </w:r>
          </w:p>
        </w:tc>
        <w:tc>
          <w:tcPr>
            <w:tcW w:w="657"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288"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ascii="仿宋_GB2312" w:hAnsi="仿宋_GB2312" w:eastAsia="仿宋_GB2312" w:cs="仿宋_GB2312"/>
                <w:szCs w:val="21"/>
                <w:lang w:bidi="ar"/>
              </w:rPr>
              <w:t>112.</w:t>
            </w:r>
            <w:r>
              <w:rPr>
                <w:rFonts w:hint="eastAsia" w:ascii="仿宋_GB2312" w:hAnsi="仿宋_GB2312" w:eastAsia="仿宋_GB2312" w:cs="仿宋_GB2312"/>
                <w:szCs w:val="21"/>
                <w:lang w:bidi="ar"/>
              </w:rPr>
              <w:t>9</w:t>
            </w:r>
          </w:p>
        </w:tc>
        <w:tc>
          <w:tcPr>
            <w:tcW w:w="533"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lang w:bidi="ar"/>
              </w:rPr>
              <w:t>燃气企业</w:t>
            </w:r>
            <w:r>
              <w:rPr>
                <w:rFonts w:hint="eastAsia" w:ascii="仿宋_GB2312" w:hAnsi="仿宋_GB2312" w:eastAsia="仿宋_GB2312" w:cs="仿宋_GB2312"/>
                <w:color w:val="000000"/>
                <w:szCs w:val="21"/>
                <w:lang w:bidi="ar"/>
              </w:rPr>
              <w:t>对用户投资建设的燃气工程指定设计单位或者施工单位，要求用户购买其指定的燃气器具和相关产品的</w:t>
            </w:r>
          </w:p>
        </w:tc>
        <w:tc>
          <w:tcPr>
            <w:tcW w:w="926" w:type="pct"/>
            <w:vMerge w:val="restart"/>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szCs w:val="21"/>
              </w:rPr>
            </w:pPr>
            <w:r>
              <w:rPr>
                <w:rFonts w:hint="eastAsia" w:ascii="仿宋_GB2312" w:hAnsi="仿宋_GB2312" w:eastAsia="仿宋_GB2312" w:cs="仿宋_GB2312"/>
                <w:lang w:bidi="ar"/>
              </w:rPr>
              <w:t>第三十条：“燃气企业应当建立健全用户服务制度，规范服务行为，并遵守下列规定：（五）</w:t>
            </w:r>
            <w:r>
              <w:rPr>
                <w:rFonts w:hint="eastAsia" w:ascii="仿宋_GB2312" w:hAnsi="仿宋_GB2312" w:eastAsia="仿宋_GB2312" w:cs="仿宋_GB2312"/>
                <w:color w:val="000000"/>
                <w:szCs w:val="21"/>
                <w:lang w:bidi="ar"/>
              </w:rPr>
              <w:t>不得对用户投资建设的燃气工程指定设计单位或者施工单位，不得要求用户购买其指定的燃气器具和相关产品。”</w:t>
            </w:r>
          </w:p>
        </w:tc>
        <w:tc>
          <w:tcPr>
            <w:tcW w:w="664"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第七十二条：“违反本条例第三十条第一款第一至五项规定的，由主管部门责令限期改正；逾期未改正的，处一万元以上五万元以下罚款。”</w:t>
            </w:r>
          </w:p>
        </w:tc>
        <w:tc>
          <w:tcPr>
            <w:tcW w:w="452"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罚款</w:t>
            </w:r>
          </w:p>
        </w:tc>
        <w:tc>
          <w:tcPr>
            <w:tcW w:w="46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从轻</w:t>
            </w:r>
          </w:p>
        </w:tc>
        <w:tc>
          <w:tcPr>
            <w:tcW w:w="1020"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对用户投资建设的燃气工程指定设计单位或者施工单位，或要求用户购买其指定的燃气器具和相关产品</w:t>
            </w:r>
            <w:r>
              <w:rPr>
                <w:rFonts w:hint="eastAsia" w:ascii="仿宋_GB2312" w:hAnsi="仿宋_GB2312" w:eastAsia="仿宋_GB2312" w:cs="仿宋_GB2312"/>
                <w:szCs w:val="21"/>
                <w:lang w:bidi="ar"/>
              </w:rPr>
              <w:t>一次的</w:t>
            </w:r>
          </w:p>
        </w:tc>
        <w:tc>
          <w:tcPr>
            <w:tcW w:w="657"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lang w:bidi="ar"/>
              </w:rPr>
              <w:t>；逾期未改正的，</w:t>
            </w:r>
            <w:r>
              <w:rPr>
                <w:rFonts w:hint="eastAsia" w:ascii="仿宋_GB2312" w:hAnsi="仿宋_GB2312" w:eastAsia="仿宋_GB2312" w:cs="仿宋_GB2312"/>
                <w:color w:val="000000"/>
                <w:szCs w:val="21"/>
                <w:lang w:bidi="ar"/>
              </w:rPr>
              <w:t>处一万元以上、低于三万元罚款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288"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3"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926"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664"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52"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6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一般</w:t>
            </w:r>
          </w:p>
        </w:tc>
        <w:tc>
          <w:tcPr>
            <w:tcW w:w="1020"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对用户投资建设的燃气工程指定设计单位或者施工单位，或要求用户购买其指定的燃气器具和相关产品</w:t>
            </w:r>
            <w:r>
              <w:rPr>
                <w:rFonts w:hint="eastAsia" w:ascii="仿宋_GB2312" w:hAnsi="仿宋_GB2312" w:eastAsia="仿宋_GB2312" w:cs="仿宋_GB2312"/>
                <w:szCs w:val="21"/>
                <w:lang w:bidi="ar"/>
              </w:rPr>
              <w:t>二次的</w:t>
            </w:r>
          </w:p>
        </w:tc>
        <w:tc>
          <w:tcPr>
            <w:tcW w:w="657"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lang w:bidi="ar"/>
              </w:rPr>
              <w:t>；逾期未改正的，</w:t>
            </w:r>
            <w:r>
              <w:rPr>
                <w:rFonts w:hint="eastAsia" w:ascii="仿宋_GB2312" w:hAnsi="仿宋_GB2312" w:eastAsia="仿宋_GB2312" w:cs="仿宋_GB2312"/>
                <w:color w:val="000000"/>
                <w:szCs w:val="21"/>
                <w:lang w:bidi="ar"/>
              </w:rPr>
              <w:t>处三万元罚款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288"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3"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926"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664"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52"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6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从重</w:t>
            </w:r>
          </w:p>
        </w:tc>
        <w:tc>
          <w:tcPr>
            <w:tcW w:w="1020"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对用户投资建设的燃气工程指定设计单位或者施工单位，或要求用户购买其指定的燃气器具和相关产品</w:t>
            </w:r>
            <w:r>
              <w:rPr>
                <w:rFonts w:hint="eastAsia" w:ascii="仿宋_GB2312" w:hAnsi="仿宋_GB2312" w:eastAsia="仿宋_GB2312" w:cs="仿宋_GB2312"/>
                <w:szCs w:val="21"/>
                <w:lang w:bidi="ar"/>
              </w:rPr>
              <w:t>三次以上的</w:t>
            </w:r>
          </w:p>
        </w:tc>
        <w:tc>
          <w:tcPr>
            <w:tcW w:w="657"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lang w:bidi="ar"/>
              </w:rPr>
              <w:t>；逾期未改正的，</w:t>
            </w:r>
            <w:r>
              <w:rPr>
                <w:rFonts w:hint="eastAsia" w:ascii="仿宋_GB2312" w:hAnsi="仿宋_GB2312" w:eastAsia="仿宋_GB2312" w:cs="仿宋_GB2312"/>
                <w:color w:val="000000"/>
                <w:szCs w:val="21"/>
                <w:lang w:bidi="ar"/>
              </w:rPr>
              <w:t>处超过三万元、五万元以下罚款</w:t>
            </w:r>
          </w:p>
        </w:tc>
      </w:tr>
    </w:tbl>
    <w:p>
      <w:pPr>
        <w:widowControl/>
        <w:jc w:val="left"/>
        <w:outlineLvl w:val="0"/>
        <w:rPr>
          <w:rFonts w:hint="eastAsia" w:ascii="宋体" w:hAnsi="宋体" w:eastAsia="宋体" w:cs="宋体"/>
          <w:bCs/>
          <w:color w:val="000000"/>
          <w:sz w:val="32"/>
          <w:szCs w:val="24"/>
        </w:rPr>
      </w:pPr>
      <w:r>
        <w:rPr>
          <w:rFonts w:hint="eastAsia" w:ascii="宋体" w:hAnsi="宋体" w:eastAsia="宋体" w:cs="宋体"/>
          <w:bCs/>
          <w:color w:val="000000"/>
          <w:kern w:val="44"/>
          <w:sz w:val="32"/>
          <w:szCs w:val="24"/>
          <w:lang w:bidi="ar"/>
        </w:rPr>
        <w:t>《深圳经济特区城市燃气管理条例》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8"/>
        <w:gridCol w:w="1242"/>
        <w:gridCol w:w="4442"/>
        <w:gridCol w:w="1953"/>
        <w:gridCol w:w="1219"/>
        <w:gridCol w:w="1199"/>
        <w:gridCol w:w="1627"/>
        <w:gridCol w:w="155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3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序号</w:t>
            </w:r>
          </w:p>
        </w:tc>
        <w:tc>
          <w:tcPr>
            <w:tcW w:w="438"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违法行为</w:t>
            </w:r>
          </w:p>
        </w:tc>
        <w:tc>
          <w:tcPr>
            <w:tcW w:w="1567"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违反条款</w:t>
            </w:r>
          </w:p>
        </w:tc>
        <w:tc>
          <w:tcPr>
            <w:tcW w:w="689"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处罚依据</w:t>
            </w:r>
          </w:p>
        </w:tc>
        <w:tc>
          <w:tcPr>
            <w:tcW w:w="43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处罚种类</w:t>
            </w:r>
          </w:p>
        </w:tc>
        <w:tc>
          <w:tcPr>
            <w:tcW w:w="423"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裁量阶次</w:t>
            </w:r>
          </w:p>
        </w:tc>
        <w:tc>
          <w:tcPr>
            <w:tcW w:w="574"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适用条件</w:t>
            </w:r>
          </w:p>
        </w:tc>
        <w:tc>
          <w:tcPr>
            <w:tcW w:w="548"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58" w:hRule="atLeast"/>
        </w:trPr>
        <w:tc>
          <w:tcPr>
            <w:tcW w:w="331"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ascii="仿宋_GB2312" w:hAnsi="仿宋_GB2312" w:eastAsia="仿宋_GB2312" w:cs="仿宋_GB2312"/>
                <w:szCs w:val="21"/>
                <w:lang w:bidi="ar"/>
              </w:rPr>
              <w:t>112.</w:t>
            </w:r>
            <w:r>
              <w:rPr>
                <w:rFonts w:hint="eastAsia" w:ascii="仿宋_GB2312" w:hAnsi="仿宋_GB2312" w:eastAsia="仿宋_GB2312" w:cs="仿宋_GB2312"/>
                <w:szCs w:val="21"/>
                <w:lang w:bidi="ar"/>
              </w:rPr>
              <w:t>10</w:t>
            </w:r>
          </w:p>
        </w:tc>
        <w:tc>
          <w:tcPr>
            <w:tcW w:w="438"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lang w:bidi="ar"/>
              </w:rPr>
              <w:t>燃气企业</w:t>
            </w:r>
            <w:r>
              <w:rPr>
                <w:rFonts w:hint="eastAsia" w:ascii="仿宋_GB2312" w:hAnsi="仿宋_GB2312" w:eastAsia="仿宋_GB2312" w:cs="仿宋_GB2312"/>
                <w:color w:val="000000"/>
                <w:kern w:val="0"/>
                <w:szCs w:val="21"/>
                <w:lang w:bidi="ar"/>
              </w:rPr>
              <w:t>未按照规定实施安全检查</w:t>
            </w:r>
            <w:r>
              <w:rPr>
                <w:rFonts w:hint="eastAsia" w:ascii="仿宋_GB2312" w:hAnsi="仿宋_GB2312" w:eastAsia="仿宋_GB2312" w:cs="仿宋_GB2312"/>
                <w:color w:val="000000"/>
                <w:szCs w:val="21"/>
                <w:lang w:bidi="ar"/>
              </w:rPr>
              <w:t>的</w:t>
            </w:r>
          </w:p>
        </w:tc>
        <w:tc>
          <w:tcPr>
            <w:tcW w:w="1567"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lang w:bidi="ar"/>
              </w:rPr>
              <w:t>第三十二条：“燃气企业应当对用户自用燃气管道及设施和安全用气情况每年至少检查一次，并建立完整的检查档案。街道办事处、居民委员会、物业服务人应当提供协助。燃气企业实施安全检查前，应当事先书面通知用户安全检查的日期。因用户原因不能按时检查的，燃气企业应当书面通知用户，并与用户另行约定检查时间。燃气企业检查人员实施安全检查时，应当主动出示有关证件。用户应当配合安全检查，无正当理由不得拒绝，并签收书面检查结果。用户拒不签收的，燃气企业可以将书面检查结果留置用户处。因用户原因连续三年未能实施安全检查的，燃气企业应当书面通知用户，用户应当在收到通知后的十五日内与燃气企业约定安全检查时间。因用户原因逾期仍未实施安全检查的，燃气企业可以暂停供气。暂停供气后，由用户和燃气企业另行约定检查时间，经检查满足供气条件的，燃气企业应当在二十四小时内恢复供气。用户应当承担暂停供气、恢复供气产生的费用。”</w:t>
            </w:r>
          </w:p>
        </w:tc>
        <w:tc>
          <w:tcPr>
            <w:tcW w:w="689"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第七十三条：“违反本条例第三十二条规定，燃气企业未按照规定实施安全检查的，由主管部门责令限期改正；逾期未改正的，处五万元以上十万元以下罚款。”</w:t>
            </w:r>
          </w:p>
        </w:tc>
        <w:tc>
          <w:tcPr>
            <w:tcW w:w="430"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罚款</w:t>
            </w:r>
          </w:p>
        </w:tc>
        <w:tc>
          <w:tcPr>
            <w:tcW w:w="423"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从轻</w:t>
            </w:r>
          </w:p>
        </w:tc>
        <w:tc>
          <w:tcPr>
            <w:tcW w:w="574"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1"/>
                <w:lang w:bidi="ar"/>
              </w:rPr>
              <w:t>未按照规定对三户（人）以下用户实施安全检查且未造成后果的</w:t>
            </w:r>
          </w:p>
        </w:tc>
        <w:tc>
          <w:tcPr>
            <w:tcW w:w="548"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处五万元以上、低于七万五千元罚款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18" w:hRule="atLeast"/>
        </w:trPr>
        <w:tc>
          <w:tcPr>
            <w:tcW w:w="33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38"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1567"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689"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3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23"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一般</w:t>
            </w:r>
          </w:p>
        </w:tc>
        <w:tc>
          <w:tcPr>
            <w:tcW w:w="574"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1"/>
                <w:lang w:bidi="ar"/>
              </w:rPr>
              <w:t>未按照规定对四户（人）以上七户（人）以下用户实施安全检查或造成轻微后果的</w:t>
            </w:r>
          </w:p>
        </w:tc>
        <w:tc>
          <w:tcPr>
            <w:tcW w:w="548"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处七万五千元罚款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88" w:hRule="atLeast"/>
        </w:trPr>
        <w:tc>
          <w:tcPr>
            <w:tcW w:w="33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38"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1567"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689"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3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23"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从重</w:t>
            </w:r>
          </w:p>
        </w:tc>
        <w:tc>
          <w:tcPr>
            <w:tcW w:w="574"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1"/>
                <w:lang w:bidi="ar"/>
              </w:rPr>
              <w:t>未按照规定对八户（人）以上用户实施安全检查或造成一般或严重危害后果的</w:t>
            </w:r>
          </w:p>
        </w:tc>
        <w:tc>
          <w:tcPr>
            <w:tcW w:w="548"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处超过七万五千元、十万元以下罚款</w:t>
            </w:r>
          </w:p>
        </w:tc>
      </w:tr>
    </w:tbl>
    <w:p>
      <w:pPr>
        <w:widowControl/>
        <w:jc w:val="left"/>
        <w:outlineLvl w:val="0"/>
        <w:rPr>
          <w:rFonts w:hint="eastAsia" w:ascii="宋体" w:hAnsi="宋体" w:eastAsia="宋体" w:cs="宋体"/>
          <w:bCs/>
          <w:color w:val="000000"/>
          <w:sz w:val="32"/>
          <w:szCs w:val="24"/>
        </w:rPr>
      </w:pPr>
      <w:r>
        <w:rPr>
          <w:rFonts w:hint="eastAsia" w:ascii="宋体" w:hAnsi="宋体" w:eastAsia="宋体" w:cs="宋体"/>
          <w:bCs/>
          <w:color w:val="000000"/>
          <w:kern w:val="44"/>
          <w:sz w:val="32"/>
          <w:szCs w:val="24"/>
          <w:lang w:bidi="ar"/>
        </w:rPr>
        <w:t>《深圳经济特区城市燃气管理条例》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8"/>
        <w:gridCol w:w="1199"/>
        <w:gridCol w:w="4596"/>
        <w:gridCol w:w="1398"/>
        <w:gridCol w:w="1222"/>
        <w:gridCol w:w="1157"/>
        <w:gridCol w:w="1591"/>
        <w:gridCol w:w="20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3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序号</w:t>
            </w:r>
          </w:p>
        </w:tc>
        <w:tc>
          <w:tcPr>
            <w:tcW w:w="423"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违法行为</w:t>
            </w:r>
          </w:p>
        </w:tc>
        <w:tc>
          <w:tcPr>
            <w:tcW w:w="162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违反条款</w:t>
            </w:r>
          </w:p>
        </w:tc>
        <w:tc>
          <w:tcPr>
            <w:tcW w:w="493"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处罚依据</w:t>
            </w:r>
          </w:p>
        </w:tc>
        <w:tc>
          <w:tcPr>
            <w:tcW w:w="43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处罚种类</w:t>
            </w:r>
          </w:p>
        </w:tc>
        <w:tc>
          <w:tcPr>
            <w:tcW w:w="408"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裁量阶次</w:t>
            </w:r>
          </w:p>
        </w:tc>
        <w:tc>
          <w:tcPr>
            <w:tcW w:w="56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适用条件</w:t>
            </w:r>
          </w:p>
        </w:tc>
        <w:tc>
          <w:tcPr>
            <w:tcW w:w="73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1"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ascii="仿宋_GB2312" w:hAnsi="仿宋_GB2312" w:eastAsia="仿宋_GB2312" w:cs="仿宋_GB2312"/>
                <w:szCs w:val="21"/>
                <w:lang w:bidi="ar"/>
              </w:rPr>
              <w:t>112.</w:t>
            </w:r>
            <w:r>
              <w:rPr>
                <w:rFonts w:hint="eastAsia" w:ascii="仿宋_GB2312" w:hAnsi="仿宋_GB2312" w:eastAsia="仿宋_GB2312" w:cs="仿宋_GB2312"/>
                <w:szCs w:val="21"/>
                <w:lang w:bidi="ar"/>
              </w:rPr>
              <w:t>11</w:t>
            </w:r>
          </w:p>
        </w:tc>
        <w:tc>
          <w:tcPr>
            <w:tcW w:w="423"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用户未按照规定对重大安全隐患进行整改的</w:t>
            </w:r>
          </w:p>
        </w:tc>
        <w:tc>
          <w:tcPr>
            <w:tcW w:w="1621"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第三十三条：“安全检查中发现的安全隐患，可以现场整改的，用户应当立即整改，需要燃气企业协助的，燃气企业应当予以协助；不能现场整改的，燃气企业应当向用户出具隐患告知书，用户应当签收隐患告知书并及时整改。用户拒不签收隐患告知书的，燃气企业可以对燃气安全隐患现场进行拍照或者录像取证，将隐患告知书留置用户处，并告知所在辖区街道办事处、物业服务人。对存在重大安全隐患且用户拒不整改的，燃气企业应当采取停止供气或者限制供气等安全保护措施，同时报告所在辖区街道办事处，街道办事处应当督促用户及时消除安全隐患。用户未及时消除安全隐患的，燃气企业应当报告区燃气主管部门。用户整改后申请恢复用气的，燃气企业应当在四十八小时内对整改情况进行核查，达到整改要求的，应当在二十四小时内恢复供气。因用户原因导致暂停供气、恢复供气产生的费用，由用户承担。”</w:t>
            </w:r>
          </w:p>
        </w:tc>
        <w:tc>
          <w:tcPr>
            <w:tcW w:w="493"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第七十四条：“违反本条例第三十三条规定，用户未按照规定对重大安全隐患进行整改的，由区燃气主管部门责令限期改正；逾期未改正的，处五千元以上一万元以下罚款。”</w:t>
            </w:r>
          </w:p>
        </w:tc>
        <w:tc>
          <w:tcPr>
            <w:tcW w:w="431"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罚款</w:t>
            </w:r>
          </w:p>
        </w:tc>
        <w:tc>
          <w:tcPr>
            <w:tcW w:w="408"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从轻</w:t>
            </w:r>
          </w:p>
        </w:tc>
        <w:tc>
          <w:tcPr>
            <w:tcW w:w="561"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bCs/>
                <w:color w:val="000000"/>
                <w:kern w:val="0"/>
                <w:szCs w:val="21"/>
              </w:rPr>
              <w:t>未造成危害后果或造成轻微危害后果的</w:t>
            </w:r>
          </w:p>
        </w:tc>
        <w:tc>
          <w:tcPr>
            <w:tcW w:w="731"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处五千元以上、低于七千五百元罚款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23"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162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93"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3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08"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一般</w:t>
            </w:r>
          </w:p>
        </w:tc>
        <w:tc>
          <w:tcPr>
            <w:tcW w:w="561"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bCs/>
                <w:color w:val="000000"/>
                <w:kern w:val="0"/>
                <w:szCs w:val="21"/>
              </w:rPr>
              <w:t>造成一般危害后果的</w:t>
            </w:r>
          </w:p>
        </w:tc>
        <w:tc>
          <w:tcPr>
            <w:tcW w:w="731"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处七千五百元罚款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23"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162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93"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3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08"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从重</w:t>
            </w:r>
          </w:p>
        </w:tc>
        <w:tc>
          <w:tcPr>
            <w:tcW w:w="561"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bCs/>
                <w:color w:val="000000"/>
                <w:kern w:val="0"/>
                <w:szCs w:val="21"/>
              </w:rPr>
              <w:t>造成严重危害后果的</w:t>
            </w:r>
          </w:p>
        </w:tc>
        <w:tc>
          <w:tcPr>
            <w:tcW w:w="731"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处超过七千五百元、一万元以下罚款</w:t>
            </w:r>
          </w:p>
        </w:tc>
      </w:tr>
    </w:tbl>
    <w:p>
      <w:pPr>
        <w:widowControl/>
        <w:jc w:val="left"/>
        <w:outlineLvl w:val="0"/>
        <w:rPr>
          <w:rFonts w:hint="eastAsia" w:ascii="仿宋_GB2312" w:hAnsi="仿宋_GB2312" w:eastAsia="仿宋_GB2312" w:cs="仿宋_GB2312"/>
          <w:bCs/>
          <w:color w:val="000000"/>
          <w:szCs w:val="21"/>
        </w:rPr>
      </w:pPr>
      <w:r>
        <w:rPr>
          <w:rFonts w:hint="eastAsia" w:ascii="宋体" w:hAnsi="宋体" w:eastAsia="宋体" w:cs="宋体"/>
          <w:bCs/>
          <w:color w:val="000000"/>
          <w:kern w:val="44"/>
          <w:sz w:val="32"/>
          <w:szCs w:val="24"/>
          <w:lang w:bidi="ar"/>
        </w:rPr>
        <w:t>《深圳经济特区城市燃气管理条例》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8"/>
        <w:gridCol w:w="1502"/>
        <w:gridCol w:w="2291"/>
        <w:gridCol w:w="2288"/>
        <w:gridCol w:w="1208"/>
        <w:gridCol w:w="1565"/>
        <w:gridCol w:w="2514"/>
        <w:gridCol w:w="18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3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序号</w:t>
            </w:r>
          </w:p>
        </w:tc>
        <w:tc>
          <w:tcPr>
            <w:tcW w:w="53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违法行为</w:t>
            </w:r>
          </w:p>
        </w:tc>
        <w:tc>
          <w:tcPr>
            <w:tcW w:w="808"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违反条款</w:t>
            </w:r>
          </w:p>
        </w:tc>
        <w:tc>
          <w:tcPr>
            <w:tcW w:w="807"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处罚依据</w:t>
            </w:r>
          </w:p>
        </w:tc>
        <w:tc>
          <w:tcPr>
            <w:tcW w:w="426"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处罚种类</w:t>
            </w:r>
          </w:p>
        </w:tc>
        <w:tc>
          <w:tcPr>
            <w:tcW w:w="55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裁量阶次</w:t>
            </w:r>
          </w:p>
        </w:tc>
        <w:tc>
          <w:tcPr>
            <w:tcW w:w="887"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适用条件</w:t>
            </w:r>
          </w:p>
        </w:tc>
        <w:tc>
          <w:tcPr>
            <w:tcW w:w="659"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1"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ascii="仿宋_GB2312" w:hAnsi="仿宋_GB2312" w:eastAsia="仿宋_GB2312" w:cs="仿宋_GB2312"/>
                <w:szCs w:val="21"/>
                <w:lang w:bidi="ar"/>
              </w:rPr>
              <w:t>112.</w:t>
            </w:r>
            <w:r>
              <w:rPr>
                <w:rFonts w:hint="eastAsia" w:ascii="仿宋_GB2312" w:hAnsi="仿宋_GB2312" w:eastAsia="仿宋_GB2312" w:cs="仿宋_GB2312"/>
                <w:szCs w:val="21"/>
                <w:lang w:bidi="ar"/>
              </w:rPr>
              <w:t>12</w:t>
            </w:r>
          </w:p>
        </w:tc>
        <w:tc>
          <w:tcPr>
            <w:tcW w:w="530"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lang w:bidi="ar"/>
              </w:rPr>
              <w:t>瓶装燃气企业</w:t>
            </w:r>
            <w:r>
              <w:rPr>
                <w:rFonts w:hint="eastAsia" w:ascii="仿宋_GB2312" w:hAnsi="仿宋_GB2312" w:eastAsia="仿宋_GB2312" w:cs="仿宋_GB2312"/>
                <w:color w:val="000000"/>
                <w:szCs w:val="21"/>
                <w:lang w:bidi="ar"/>
              </w:rPr>
              <w:t>销售非本单位充装的瓶装燃气或者非本单位的瓶装燃气</w:t>
            </w:r>
            <w:r>
              <w:rPr>
                <w:rFonts w:hint="eastAsia" w:ascii="仿宋_GB2312" w:hAnsi="仿宋_GB2312" w:eastAsia="仿宋_GB2312" w:cs="仿宋_GB2312"/>
                <w:color w:val="000000"/>
                <w:kern w:val="0"/>
                <w:szCs w:val="21"/>
                <w:lang w:bidi="ar"/>
              </w:rPr>
              <w:t>的</w:t>
            </w:r>
          </w:p>
        </w:tc>
        <w:tc>
          <w:tcPr>
            <w:tcW w:w="808"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lang w:bidi="ar"/>
              </w:rPr>
              <w:t>第三十七条</w:t>
            </w:r>
            <w:r>
              <w:rPr>
                <w:rFonts w:hint="eastAsia" w:ascii="仿宋_GB2312" w:hAnsi="仿宋_GB2312" w:eastAsia="仿宋_GB2312" w:cs="仿宋_GB2312"/>
                <w:color w:val="000000"/>
                <w:kern w:val="0"/>
                <w:szCs w:val="21"/>
                <w:lang w:bidi="ar"/>
              </w:rPr>
              <w:t>：“</w:t>
            </w:r>
            <w:r>
              <w:rPr>
                <w:rFonts w:hint="eastAsia" w:ascii="仿宋_GB2312" w:hAnsi="仿宋_GB2312" w:eastAsia="仿宋_GB2312" w:cs="仿宋_GB2312"/>
                <w:lang w:bidi="ar"/>
              </w:rPr>
              <w:t>瓶装燃气企业不得有下列行为：（一）销售非本单位充装的瓶装燃气或者非本单位的瓶装燃气</w:t>
            </w:r>
            <w:r>
              <w:rPr>
                <w:rFonts w:hint="eastAsia" w:ascii="仿宋_GB2312" w:hAnsi="仿宋_GB2312" w:eastAsia="仿宋_GB2312" w:cs="仿宋_GB2312"/>
                <w:color w:val="000000"/>
                <w:kern w:val="0"/>
                <w:szCs w:val="21"/>
                <w:lang w:bidi="ar"/>
              </w:rPr>
              <w:t>。”</w:t>
            </w:r>
          </w:p>
        </w:tc>
        <w:tc>
          <w:tcPr>
            <w:tcW w:w="807"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第七十六条：“违反本条例第三十七条第一至四项规定的，由主管部门责令限期改正；逾期未改正的，处五万元以上二十万元以下罚款。”</w:t>
            </w:r>
          </w:p>
        </w:tc>
        <w:tc>
          <w:tcPr>
            <w:tcW w:w="426"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罚款</w:t>
            </w:r>
          </w:p>
        </w:tc>
        <w:tc>
          <w:tcPr>
            <w:tcW w:w="55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从轻</w:t>
            </w:r>
          </w:p>
        </w:tc>
        <w:tc>
          <w:tcPr>
            <w:tcW w:w="887"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销售</w:t>
            </w:r>
            <w:r>
              <w:rPr>
                <w:rFonts w:hint="eastAsia" w:ascii="仿宋_GB2312" w:hAnsi="仿宋_GB2312" w:eastAsia="仿宋_GB2312" w:cs="仿宋_GB2312"/>
                <w:kern w:val="0"/>
                <w:szCs w:val="21"/>
                <w:lang w:bidi="ar"/>
              </w:rPr>
              <w:t>三瓶（次）以下</w:t>
            </w:r>
            <w:r>
              <w:rPr>
                <w:rFonts w:hint="eastAsia" w:ascii="仿宋_GB2312" w:hAnsi="仿宋_GB2312" w:eastAsia="仿宋_GB2312" w:cs="仿宋_GB2312"/>
                <w:color w:val="000000"/>
                <w:szCs w:val="21"/>
                <w:lang w:bidi="ar"/>
              </w:rPr>
              <w:t>非本单位充装的瓶装燃气或者非本单位的瓶装燃气</w:t>
            </w:r>
            <w:r>
              <w:rPr>
                <w:rFonts w:hint="eastAsia" w:ascii="仿宋_GB2312" w:hAnsi="仿宋_GB2312" w:eastAsia="仿宋_GB2312" w:cs="仿宋_GB2312"/>
                <w:kern w:val="0"/>
                <w:szCs w:val="21"/>
                <w:lang w:bidi="ar"/>
              </w:rPr>
              <w:t>的</w:t>
            </w:r>
          </w:p>
        </w:tc>
        <w:tc>
          <w:tcPr>
            <w:tcW w:w="659"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1"/>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处五万元以上、低于十二万五千元罚款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808"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807"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26"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5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一般</w:t>
            </w:r>
          </w:p>
        </w:tc>
        <w:tc>
          <w:tcPr>
            <w:tcW w:w="887"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销售</w:t>
            </w:r>
            <w:r>
              <w:rPr>
                <w:rFonts w:hint="eastAsia" w:ascii="仿宋_GB2312" w:hAnsi="仿宋_GB2312" w:eastAsia="仿宋_GB2312" w:cs="仿宋_GB2312"/>
                <w:kern w:val="0"/>
                <w:szCs w:val="21"/>
                <w:lang w:bidi="ar"/>
              </w:rPr>
              <w:t>四瓶（次）以上七瓶（次）以下</w:t>
            </w:r>
            <w:r>
              <w:rPr>
                <w:rFonts w:hint="eastAsia" w:ascii="仿宋_GB2312" w:hAnsi="仿宋_GB2312" w:eastAsia="仿宋_GB2312" w:cs="仿宋_GB2312"/>
                <w:color w:val="000000"/>
                <w:szCs w:val="21"/>
                <w:lang w:bidi="ar"/>
              </w:rPr>
              <w:t>非本单位充装的瓶装燃气或者非本单位的瓶装燃气</w:t>
            </w:r>
            <w:r>
              <w:rPr>
                <w:rFonts w:hint="eastAsia" w:ascii="仿宋_GB2312" w:hAnsi="仿宋_GB2312" w:eastAsia="仿宋_GB2312" w:cs="仿宋_GB2312"/>
                <w:kern w:val="0"/>
                <w:szCs w:val="21"/>
                <w:lang w:bidi="ar"/>
              </w:rPr>
              <w:t>的</w:t>
            </w:r>
          </w:p>
        </w:tc>
        <w:tc>
          <w:tcPr>
            <w:tcW w:w="659"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1"/>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处十二万五千元罚款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808"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807"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26"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5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从重</w:t>
            </w:r>
          </w:p>
        </w:tc>
        <w:tc>
          <w:tcPr>
            <w:tcW w:w="887"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销售</w:t>
            </w:r>
            <w:r>
              <w:rPr>
                <w:rFonts w:hint="eastAsia" w:ascii="仿宋_GB2312" w:hAnsi="仿宋_GB2312" w:eastAsia="仿宋_GB2312" w:cs="仿宋_GB2312"/>
                <w:kern w:val="0"/>
                <w:szCs w:val="21"/>
                <w:lang w:bidi="ar"/>
              </w:rPr>
              <w:t>八瓶（次）以上</w:t>
            </w:r>
            <w:r>
              <w:rPr>
                <w:rFonts w:hint="eastAsia" w:ascii="仿宋_GB2312" w:hAnsi="仿宋_GB2312" w:eastAsia="仿宋_GB2312" w:cs="仿宋_GB2312"/>
                <w:color w:val="000000"/>
                <w:szCs w:val="21"/>
                <w:lang w:bidi="ar"/>
              </w:rPr>
              <w:t>非本单位充装的瓶装燃气或者非本单位的瓶装燃气</w:t>
            </w:r>
            <w:r>
              <w:rPr>
                <w:rFonts w:hint="eastAsia" w:ascii="仿宋_GB2312" w:hAnsi="仿宋_GB2312" w:eastAsia="仿宋_GB2312" w:cs="仿宋_GB2312"/>
                <w:kern w:val="0"/>
                <w:szCs w:val="21"/>
                <w:lang w:bidi="ar"/>
              </w:rPr>
              <w:t>的</w:t>
            </w:r>
          </w:p>
        </w:tc>
        <w:tc>
          <w:tcPr>
            <w:tcW w:w="659"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1"/>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处超过十二万五千元、二十万元以下罚款</w:t>
            </w:r>
          </w:p>
        </w:tc>
      </w:tr>
    </w:tbl>
    <w:p>
      <w:pPr>
        <w:widowControl/>
        <w:jc w:val="left"/>
        <w:outlineLvl w:val="0"/>
        <w:rPr>
          <w:rFonts w:hint="eastAsia" w:ascii="宋体" w:hAnsi="宋体" w:eastAsia="宋体" w:cs="宋体"/>
          <w:bCs/>
          <w:color w:val="000000"/>
          <w:sz w:val="32"/>
          <w:szCs w:val="24"/>
        </w:rPr>
      </w:pPr>
      <w:r>
        <w:rPr>
          <w:rFonts w:hint="eastAsia" w:ascii="宋体" w:hAnsi="宋体" w:eastAsia="宋体" w:cs="宋体"/>
          <w:bCs/>
          <w:color w:val="000000"/>
          <w:kern w:val="44"/>
          <w:sz w:val="32"/>
          <w:szCs w:val="24"/>
          <w:lang w:bidi="ar"/>
        </w:rPr>
        <w:t>《深圳经济特区城市燃气管理条例》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8"/>
        <w:gridCol w:w="1508"/>
        <w:gridCol w:w="2416"/>
        <w:gridCol w:w="2087"/>
        <w:gridCol w:w="1276"/>
        <w:gridCol w:w="1239"/>
        <w:gridCol w:w="2637"/>
        <w:gridCol w:w="20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3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序号</w:t>
            </w:r>
          </w:p>
        </w:tc>
        <w:tc>
          <w:tcPr>
            <w:tcW w:w="53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违法行为</w:t>
            </w:r>
          </w:p>
        </w:tc>
        <w:tc>
          <w:tcPr>
            <w:tcW w:w="85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违反条款</w:t>
            </w:r>
          </w:p>
        </w:tc>
        <w:tc>
          <w:tcPr>
            <w:tcW w:w="736"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处罚依据</w:t>
            </w:r>
          </w:p>
        </w:tc>
        <w:tc>
          <w:tcPr>
            <w:tcW w:w="45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处罚种类</w:t>
            </w:r>
          </w:p>
        </w:tc>
        <w:tc>
          <w:tcPr>
            <w:tcW w:w="437"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裁量阶次</w:t>
            </w:r>
          </w:p>
        </w:tc>
        <w:tc>
          <w:tcPr>
            <w:tcW w:w="93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适用条件</w:t>
            </w:r>
          </w:p>
        </w:tc>
        <w:tc>
          <w:tcPr>
            <w:tcW w:w="73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1"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ascii="仿宋_GB2312" w:hAnsi="仿宋_GB2312" w:eastAsia="仿宋_GB2312" w:cs="仿宋_GB2312"/>
                <w:szCs w:val="21"/>
                <w:lang w:bidi="ar"/>
              </w:rPr>
              <w:t>112.</w:t>
            </w:r>
            <w:r>
              <w:rPr>
                <w:rFonts w:hint="eastAsia" w:ascii="仿宋_GB2312" w:hAnsi="仿宋_GB2312" w:eastAsia="仿宋_GB2312" w:cs="仿宋_GB2312"/>
                <w:szCs w:val="21"/>
                <w:lang w:bidi="ar"/>
              </w:rPr>
              <w:t>13</w:t>
            </w:r>
          </w:p>
        </w:tc>
        <w:tc>
          <w:tcPr>
            <w:tcW w:w="532"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lang w:bidi="ar"/>
              </w:rPr>
              <w:t>瓶装燃气企业</w:t>
            </w:r>
            <w:r>
              <w:rPr>
                <w:rFonts w:hint="eastAsia" w:ascii="仿宋_GB2312" w:hAnsi="仿宋_GB2312" w:eastAsia="仿宋_GB2312" w:cs="仿宋_GB2312"/>
                <w:color w:val="000000"/>
                <w:szCs w:val="21"/>
                <w:lang w:bidi="ar"/>
              </w:rPr>
              <w:t>销售未按照规定安装气瓶二维码、无气瓶流转信息的气瓶</w:t>
            </w:r>
            <w:r>
              <w:rPr>
                <w:rFonts w:hint="eastAsia" w:ascii="仿宋_GB2312" w:hAnsi="仿宋_GB2312" w:eastAsia="仿宋_GB2312" w:cs="仿宋_GB2312"/>
                <w:color w:val="000000"/>
                <w:kern w:val="0"/>
                <w:szCs w:val="21"/>
                <w:lang w:bidi="ar"/>
              </w:rPr>
              <w:t>的</w:t>
            </w:r>
          </w:p>
        </w:tc>
        <w:tc>
          <w:tcPr>
            <w:tcW w:w="852"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color w:val="000000"/>
                <w:szCs w:val="21"/>
                <w:lang w:bidi="ar"/>
              </w:rPr>
            </w:pPr>
            <w:r>
              <w:rPr>
                <w:rFonts w:hint="eastAsia" w:ascii="仿宋_GB2312" w:hAnsi="仿宋_GB2312" w:eastAsia="仿宋_GB2312" w:cs="仿宋_GB2312"/>
                <w:lang w:bidi="ar"/>
              </w:rPr>
              <w:t>第三十七条</w:t>
            </w:r>
            <w:r>
              <w:rPr>
                <w:rFonts w:hint="eastAsia" w:ascii="仿宋_GB2312" w:hAnsi="仿宋_GB2312" w:eastAsia="仿宋_GB2312" w:cs="仿宋_GB2312"/>
                <w:color w:val="000000"/>
                <w:kern w:val="0"/>
                <w:szCs w:val="21"/>
                <w:lang w:bidi="ar"/>
              </w:rPr>
              <w:t>：“</w:t>
            </w:r>
            <w:r>
              <w:rPr>
                <w:rFonts w:hint="eastAsia" w:ascii="仿宋_GB2312" w:hAnsi="仿宋_GB2312" w:eastAsia="仿宋_GB2312" w:cs="仿宋_GB2312"/>
                <w:lang w:bidi="ar"/>
              </w:rPr>
              <w:t>瓶装燃气企业不得有下列行为：（二）销售未按照规定安装气瓶二维码、无气瓶流转信息的气瓶。”</w:t>
            </w:r>
          </w:p>
          <w:p>
            <w:pPr>
              <w:rPr>
                <w:rFonts w:hint="eastAsia" w:ascii="仿宋_GB2312" w:hAnsi="仿宋_GB2312" w:eastAsia="仿宋_GB2312" w:cs="仿宋_GB2312"/>
                <w:szCs w:val="21"/>
              </w:rPr>
            </w:pPr>
          </w:p>
        </w:tc>
        <w:tc>
          <w:tcPr>
            <w:tcW w:w="736"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第七十六条：“违反本条例第三十七条第一至四项规定的，由主管部门责令限期改正；逾期未改正的，处五万元以上二十万元以下罚款。”</w:t>
            </w:r>
          </w:p>
        </w:tc>
        <w:tc>
          <w:tcPr>
            <w:tcW w:w="450"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罚款</w:t>
            </w:r>
          </w:p>
        </w:tc>
        <w:tc>
          <w:tcPr>
            <w:tcW w:w="437"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从轻</w:t>
            </w:r>
          </w:p>
        </w:tc>
        <w:tc>
          <w:tcPr>
            <w:tcW w:w="930"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销售</w:t>
            </w:r>
            <w:r>
              <w:rPr>
                <w:rFonts w:hint="eastAsia" w:ascii="仿宋_GB2312" w:hAnsi="仿宋_GB2312" w:eastAsia="仿宋_GB2312" w:cs="仿宋_GB2312"/>
                <w:kern w:val="0"/>
                <w:szCs w:val="21"/>
                <w:lang w:bidi="ar"/>
              </w:rPr>
              <w:t>三瓶（次）以下</w:t>
            </w:r>
            <w:r>
              <w:rPr>
                <w:rFonts w:hint="eastAsia" w:ascii="仿宋_GB2312" w:hAnsi="仿宋_GB2312" w:eastAsia="仿宋_GB2312" w:cs="仿宋_GB2312"/>
                <w:color w:val="000000"/>
                <w:szCs w:val="21"/>
                <w:lang w:bidi="ar"/>
              </w:rPr>
              <w:t>未按照规定安装气瓶二维码或无气瓶流转信息的气瓶</w:t>
            </w:r>
            <w:r>
              <w:rPr>
                <w:rFonts w:hint="eastAsia" w:ascii="仿宋_GB2312" w:hAnsi="仿宋_GB2312" w:eastAsia="仿宋_GB2312" w:cs="仿宋_GB2312"/>
                <w:kern w:val="0"/>
                <w:szCs w:val="21"/>
                <w:lang w:bidi="ar"/>
              </w:rPr>
              <w:t>的</w:t>
            </w:r>
          </w:p>
        </w:tc>
        <w:tc>
          <w:tcPr>
            <w:tcW w:w="731"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1"/>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处五万元以上、低于十二万五千元罚款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2"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852"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736"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5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37"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一般</w:t>
            </w:r>
          </w:p>
        </w:tc>
        <w:tc>
          <w:tcPr>
            <w:tcW w:w="930"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销售四瓶（次）以上七瓶（次）</w:t>
            </w:r>
            <w:r>
              <w:rPr>
                <w:rFonts w:hint="eastAsia" w:ascii="仿宋_GB2312" w:hAnsi="仿宋_GB2312" w:eastAsia="仿宋_GB2312" w:cs="仿宋_GB2312"/>
                <w:kern w:val="0"/>
                <w:szCs w:val="21"/>
                <w:lang w:bidi="ar"/>
              </w:rPr>
              <w:t>以下</w:t>
            </w:r>
            <w:r>
              <w:rPr>
                <w:rFonts w:hint="eastAsia" w:ascii="仿宋_GB2312" w:hAnsi="仿宋_GB2312" w:eastAsia="仿宋_GB2312" w:cs="仿宋_GB2312"/>
                <w:color w:val="000000"/>
                <w:szCs w:val="21"/>
                <w:lang w:bidi="ar"/>
              </w:rPr>
              <w:t>未按照规定安装气瓶二维码或无气瓶流转信息的气瓶</w:t>
            </w:r>
            <w:r>
              <w:rPr>
                <w:rFonts w:hint="eastAsia" w:ascii="仿宋_GB2312" w:hAnsi="仿宋_GB2312" w:eastAsia="仿宋_GB2312" w:cs="仿宋_GB2312"/>
                <w:kern w:val="0"/>
                <w:szCs w:val="21"/>
                <w:lang w:bidi="ar"/>
              </w:rPr>
              <w:t>的</w:t>
            </w:r>
          </w:p>
        </w:tc>
        <w:tc>
          <w:tcPr>
            <w:tcW w:w="731"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1"/>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处十二万五千元罚款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2"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852"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736"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5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37"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从重</w:t>
            </w:r>
          </w:p>
        </w:tc>
        <w:tc>
          <w:tcPr>
            <w:tcW w:w="930"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销售</w:t>
            </w:r>
            <w:r>
              <w:rPr>
                <w:rFonts w:hint="eastAsia" w:ascii="仿宋_GB2312" w:hAnsi="仿宋_GB2312" w:eastAsia="仿宋_GB2312" w:cs="仿宋_GB2312"/>
                <w:kern w:val="0"/>
                <w:szCs w:val="21"/>
                <w:lang w:bidi="ar"/>
              </w:rPr>
              <w:t>八瓶（次）以上</w:t>
            </w:r>
            <w:r>
              <w:rPr>
                <w:rFonts w:hint="eastAsia" w:ascii="仿宋_GB2312" w:hAnsi="仿宋_GB2312" w:eastAsia="仿宋_GB2312" w:cs="仿宋_GB2312"/>
                <w:color w:val="000000"/>
                <w:szCs w:val="21"/>
                <w:lang w:bidi="ar"/>
              </w:rPr>
              <w:t>未按照规定安装气瓶二维码或无气瓶流转信息的气瓶</w:t>
            </w:r>
            <w:r>
              <w:rPr>
                <w:rFonts w:hint="eastAsia" w:ascii="仿宋_GB2312" w:hAnsi="仿宋_GB2312" w:eastAsia="仿宋_GB2312" w:cs="仿宋_GB2312"/>
                <w:kern w:val="0"/>
                <w:szCs w:val="21"/>
                <w:lang w:bidi="ar"/>
              </w:rPr>
              <w:t>的</w:t>
            </w:r>
          </w:p>
        </w:tc>
        <w:tc>
          <w:tcPr>
            <w:tcW w:w="731"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1"/>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处超过十二万五千元、二十万元以下罚款</w:t>
            </w:r>
          </w:p>
        </w:tc>
      </w:tr>
    </w:tbl>
    <w:p>
      <w:pPr>
        <w:widowControl/>
        <w:jc w:val="left"/>
        <w:outlineLvl w:val="0"/>
        <w:rPr>
          <w:rFonts w:hint="eastAsia" w:ascii="宋体" w:hAnsi="宋体" w:eastAsia="宋体" w:cs="宋体"/>
          <w:bCs/>
          <w:color w:val="000000"/>
          <w:sz w:val="32"/>
          <w:szCs w:val="24"/>
        </w:rPr>
      </w:pPr>
      <w:r>
        <w:rPr>
          <w:rFonts w:hint="eastAsia" w:ascii="宋体" w:hAnsi="宋体" w:eastAsia="宋体" w:cs="宋体"/>
          <w:bCs/>
          <w:color w:val="000000"/>
          <w:kern w:val="44"/>
          <w:sz w:val="32"/>
          <w:szCs w:val="24"/>
          <w:lang w:bidi="ar"/>
        </w:rPr>
        <w:t>《深圳经济特区城市燃气管理条例》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8"/>
        <w:gridCol w:w="1502"/>
        <w:gridCol w:w="1794"/>
        <w:gridCol w:w="2622"/>
        <w:gridCol w:w="1366"/>
        <w:gridCol w:w="1256"/>
        <w:gridCol w:w="2779"/>
        <w:gridCol w:w="19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3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序号</w:t>
            </w:r>
          </w:p>
        </w:tc>
        <w:tc>
          <w:tcPr>
            <w:tcW w:w="53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违法行为</w:t>
            </w:r>
          </w:p>
        </w:tc>
        <w:tc>
          <w:tcPr>
            <w:tcW w:w="633"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违反条款</w:t>
            </w:r>
          </w:p>
        </w:tc>
        <w:tc>
          <w:tcPr>
            <w:tcW w:w="925"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处罚依据</w:t>
            </w:r>
          </w:p>
        </w:tc>
        <w:tc>
          <w:tcPr>
            <w:tcW w:w="48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处罚种类</w:t>
            </w:r>
          </w:p>
        </w:tc>
        <w:tc>
          <w:tcPr>
            <w:tcW w:w="443"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裁量阶次</w:t>
            </w:r>
          </w:p>
        </w:tc>
        <w:tc>
          <w:tcPr>
            <w:tcW w:w="98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适用条件</w:t>
            </w:r>
          </w:p>
        </w:tc>
        <w:tc>
          <w:tcPr>
            <w:tcW w:w="677"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1"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ascii="仿宋_GB2312" w:hAnsi="仿宋_GB2312" w:eastAsia="仿宋_GB2312" w:cs="仿宋_GB2312"/>
                <w:szCs w:val="21"/>
                <w:lang w:bidi="ar"/>
              </w:rPr>
              <w:t>112.</w:t>
            </w:r>
            <w:r>
              <w:rPr>
                <w:rFonts w:hint="eastAsia" w:ascii="仿宋_GB2312" w:hAnsi="仿宋_GB2312" w:eastAsia="仿宋_GB2312" w:cs="仿宋_GB2312"/>
                <w:szCs w:val="21"/>
                <w:lang w:bidi="ar"/>
              </w:rPr>
              <w:t>14</w:t>
            </w:r>
          </w:p>
        </w:tc>
        <w:tc>
          <w:tcPr>
            <w:tcW w:w="530"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lang w:bidi="ar"/>
              </w:rPr>
              <w:t>瓶装燃气企业</w:t>
            </w:r>
            <w:r>
              <w:rPr>
                <w:rFonts w:hint="eastAsia" w:ascii="仿宋_GB2312" w:hAnsi="仿宋_GB2312" w:eastAsia="仿宋_GB2312" w:cs="仿宋_GB2312"/>
                <w:color w:val="000000"/>
                <w:szCs w:val="21"/>
                <w:lang w:bidi="ar"/>
              </w:rPr>
              <w:t>超出燃气设计标准规范储存燃气</w:t>
            </w:r>
            <w:r>
              <w:rPr>
                <w:rFonts w:hint="eastAsia" w:ascii="仿宋_GB2312" w:hAnsi="仿宋_GB2312" w:eastAsia="仿宋_GB2312" w:cs="仿宋_GB2312"/>
                <w:color w:val="000000"/>
                <w:kern w:val="0"/>
                <w:szCs w:val="21"/>
                <w:lang w:bidi="ar"/>
              </w:rPr>
              <w:t>的</w:t>
            </w:r>
          </w:p>
        </w:tc>
        <w:tc>
          <w:tcPr>
            <w:tcW w:w="633"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lang w:bidi="ar"/>
              </w:rPr>
              <w:t>第三十七条</w:t>
            </w:r>
            <w:r>
              <w:rPr>
                <w:rFonts w:hint="eastAsia" w:ascii="仿宋_GB2312" w:hAnsi="仿宋_GB2312" w:eastAsia="仿宋_GB2312" w:cs="仿宋_GB2312"/>
                <w:color w:val="000000"/>
                <w:kern w:val="0"/>
                <w:szCs w:val="21"/>
                <w:lang w:bidi="ar"/>
              </w:rPr>
              <w:t>：“</w:t>
            </w:r>
            <w:r>
              <w:rPr>
                <w:rFonts w:hint="eastAsia" w:ascii="仿宋_GB2312" w:hAnsi="仿宋_GB2312" w:eastAsia="仿宋_GB2312" w:cs="仿宋_GB2312"/>
                <w:lang w:bidi="ar"/>
              </w:rPr>
              <w:t>瓶装燃气企业不得有下列行为：（三）超出燃气设计标准规范储存燃气。”</w:t>
            </w:r>
          </w:p>
        </w:tc>
        <w:tc>
          <w:tcPr>
            <w:tcW w:w="925"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第七十六条：“违反本条例第三十七条第一至四项规定的，由主管部门责令限期改正；逾期未改正的，处五万元以上二十万元以下罚款。”</w:t>
            </w:r>
          </w:p>
        </w:tc>
        <w:tc>
          <w:tcPr>
            <w:tcW w:w="482"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罚款</w:t>
            </w:r>
          </w:p>
        </w:tc>
        <w:tc>
          <w:tcPr>
            <w:tcW w:w="443"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从轻</w:t>
            </w:r>
          </w:p>
        </w:tc>
        <w:tc>
          <w:tcPr>
            <w:tcW w:w="980"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超出燃气设计标准规范储存燃气</w:t>
            </w:r>
            <w:r>
              <w:rPr>
                <w:rFonts w:hint="eastAsia" w:ascii="仿宋_GB2312" w:hAnsi="仿宋_GB2312" w:eastAsia="仿宋_GB2312" w:cs="仿宋_GB2312"/>
                <w:kern w:val="0"/>
                <w:szCs w:val="21"/>
                <w:lang w:bidi="ar"/>
              </w:rPr>
              <w:t>一百立方米以下或五瓶（次）以下的</w:t>
            </w:r>
          </w:p>
        </w:tc>
        <w:tc>
          <w:tcPr>
            <w:tcW w:w="677"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1"/>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处五万元以上、低于十二万五千元罚款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633"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925"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82"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43"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一般</w:t>
            </w:r>
          </w:p>
        </w:tc>
        <w:tc>
          <w:tcPr>
            <w:tcW w:w="980"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超出燃气设计标准规范储存燃气超过一百立方米、五百立方米以下或六瓶（次）以上十瓶（次）以下的</w:t>
            </w:r>
          </w:p>
        </w:tc>
        <w:tc>
          <w:tcPr>
            <w:tcW w:w="677"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1"/>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处十二万五千元罚款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633"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925"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82"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43"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从重</w:t>
            </w:r>
          </w:p>
        </w:tc>
        <w:tc>
          <w:tcPr>
            <w:tcW w:w="980"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超出燃气设计标准规范储存燃气超过五百立方米或十一瓶</w:t>
            </w:r>
            <w:r>
              <w:rPr>
                <w:rFonts w:hint="eastAsia" w:ascii="仿宋_GB2312" w:hAnsi="仿宋_GB2312" w:eastAsia="仿宋_GB2312" w:cs="仿宋_GB2312"/>
                <w:kern w:val="0"/>
                <w:szCs w:val="21"/>
                <w:lang w:bidi="ar"/>
              </w:rPr>
              <w:t>（次）以上的</w:t>
            </w:r>
          </w:p>
        </w:tc>
        <w:tc>
          <w:tcPr>
            <w:tcW w:w="677"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1"/>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处超过十二万五千元、二十万元以下罚款</w:t>
            </w:r>
          </w:p>
        </w:tc>
      </w:tr>
    </w:tbl>
    <w:p>
      <w:pPr>
        <w:widowControl/>
        <w:jc w:val="left"/>
        <w:outlineLvl w:val="0"/>
        <w:rPr>
          <w:rFonts w:hint="eastAsia" w:ascii="宋体" w:hAnsi="宋体" w:eastAsia="宋体" w:cs="宋体"/>
          <w:bCs/>
          <w:color w:val="000000"/>
          <w:sz w:val="32"/>
          <w:szCs w:val="24"/>
        </w:rPr>
      </w:pPr>
      <w:r>
        <w:rPr>
          <w:rFonts w:hint="eastAsia" w:ascii="宋体" w:hAnsi="宋体" w:eastAsia="宋体" w:cs="宋体"/>
          <w:bCs/>
          <w:color w:val="000000"/>
          <w:kern w:val="44"/>
          <w:sz w:val="32"/>
          <w:szCs w:val="24"/>
          <w:lang w:bidi="ar"/>
        </w:rPr>
        <w:t>《深圳经济特区城市燃气管理条例》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8"/>
        <w:gridCol w:w="1505"/>
        <w:gridCol w:w="2514"/>
        <w:gridCol w:w="2069"/>
        <w:gridCol w:w="1196"/>
        <w:gridCol w:w="1400"/>
        <w:gridCol w:w="2782"/>
        <w:gridCol w:w="17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3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序号</w:t>
            </w:r>
          </w:p>
        </w:tc>
        <w:tc>
          <w:tcPr>
            <w:tcW w:w="53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违法行为</w:t>
            </w:r>
          </w:p>
        </w:tc>
        <w:tc>
          <w:tcPr>
            <w:tcW w:w="887"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违反条款</w:t>
            </w:r>
          </w:p>
        </w:tc>
        <w:tc>
          <w:tcPr>
            <w:tcW w:w="73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处罚依据</w:t>
            </w:r>
          </w:p>
        </w:tc>
        <w:tc>
          <w:tcPr>
            <w:tcW w:w="42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处罚种类</w:t>
            </w:r>
          </w:p>
        </w:tc>
        <w:tc>
          <w:tcPr>
            <w:tcW w:w="494"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裁量阶次</w:t>
            </w:r>
          </w:p>
        </w:tc>
        <w:tc>
          <w:tcPr>
            <w:tcW w:w="98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适用条件</w:t>
            </w:r>
          </w:p>
        </w:tc>
        <w:tc>
          <w:tcPr>
            <w:tcW w:w="624"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1"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ascii="仿宋_GB2312" w:hAnsi="仿宋_GB2312" w:eastAsia="仿宋_GB2312" w:cs="仿宋_GB2312"/>
                <w:szCs w:val="21"/>
                <w:lang w:bidi="ar"/>
              </w:rPr>
              <w:t>112.</w:t>
            </w:r>
            <w:r>
              <w:rPr>
                <w:rFonts w:hint="eastAsia" w:ascii="仿宋_GB2312" w:hAnsi="仿宋_GB2312" w:eastAsia="仿宋_GB2312" w:cs="仿宋_GB2312"/>
                <w:szCs w:val="21"/>
                <w:lang w:bidi="ar"/>
              </w:rPr>
              <w:t>15</w:t>
            </w:r>
          </w:p>
        </w:tc>
        <w:tc>
          <w:tcPr>
            <w:tcW w:w="531"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lang w:bidi="ar"/>
              </w:rPr>
              <w:t>瓶装燃气企业</w:t>
            </w:r>
            <w:r>
              <w:rPr>
                <w:rFonts w:hint="eastAsia" w:ascii="仿宋_GB2312" w:hAnsi="仿宋_GB2312" w:eastAsia="仿宋_GB2312" w:cs="仿宋_GB2312"/>
                <w:color w:val="000000"/>
                <w:szCs w:val="21"/>
                <w:lang w:bidi="ar"/>
              </w:rPr>
              <w:t>利用机动车辆或者其他运输工具作为储存场所定点或者流动销售瓶装燃气</w:t>
            </w:r>
            <w:r>
              <w:rPr>
                <w:rFonts w:hint="eastAsia" w:ascii="仿宋_GB2312" w:hAnsi="仿宋_GB2312" w:eastAsia="仿宋_GB2312" w:cs="仿宋_GB2312"/>
                <w:color w:val="000000"/>
                <w:kern w:val="0"/>
                <w:szCs w:val="21"/>
                <w:lang w:bidi="ar"/>
              </w:rPr>
              <w:t>的</w:t>
            </w:r>
          </w:p>
        </w:tc>
        <w:tc>
          <w:tcPr>
            <w:tcW w:w="887"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lang w:bidi="ar"/>
              </w:rPr>
              <w:t>第三十七条</w:t>
            </w:r>
            <w:r>
              <w:rPr>
                <w:rFonts w:hint="eastAsia" w:ascii="仿宋_GB2312" w:hAnsi="仿宋_GB2312" w:eastAsia="仿宋_GB2312" w:cs="仿宋_GB2312"/>
                <w:color w:val="000000"/>
                <w:kern w:val="0"/>
                <w:szCs w:val="21"/>
                <w:lang w:bidi="ar"/>
              </w:rPr>
              <w:t>：“</w:t>
            </w:r>
            <w:r>
              <w:rPr>
                <w:rFonts w:hint="eastAsia" w:ascii="仿宋_GB2312" w:hAnsi="仿宋_GB2312" w:eastAsia="仿宋_GB2312" w:cs="仿宋_GB2312"/>
                <w:lang w:bidi="ar"/>
              </w:rPr>
              <w:t>瓶装燃气企业不得有下列行为：（四）利用机动车辆或者其他运输工具作为储存场所定点或者流动销售瓶装燃气，但直接为预约用户提供送气服务的除外。”</w:t>
            </w:r>
          </w:p>
        </w:tc>
        <w:tc>
          <w:tcPr>
            <w:tcW w:w="730"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第七十六条：“违反本条例第三十七条第一至四项规定的，由主管部门责令限期改正；逾期未改正的，处五万元以上二十万元以下罚款。”</w:t>
            </w:r>
          </w:p>
        </w:tc>
        <w:tc>
          <w:tcPr>
            <w:tcW w:w="422"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罚款</w:t>
            </w:r>
          </w:p>
        </w:tc>
        <w:tc>
          <w:tcPr>
            <w:tcW w:w="494"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从轻</w:t>
            </w:r>
          </w:p>
        </w:tc>
        <w:tc>
          <w:tcPr>
            <w:tcW w:w="981"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除直接为预约用户提供送气服务的外，利用机动车辆或者其他运输工具作为储存场所定点或者流动销售瓶装燃气</w:t>
            </w:r>
            <w:r>
              <w:rPr>
                <w:rFonts w:hint="eastAsia" w:ascii="仿宋_GB2312" w:hAnsi="仿宋_GB2312" w:eastAsia="仿宋_GB2312" w:cs="仿宋_GB2312"/>
                <w:kern w:val="0"/>
                <w:szCs w:val="21"/>
                <w:lang w:bidi="ar"/>
              </w:rPr>
              <w:t>三瓶（次）以下的</w:t>
            </w:r>
          </w:p>
        </w:tc>
        <w:tc>
          <w:tcPr>
            <w:tcW w:w="624"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1"/>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处五万元以上、低于十二万五千元罚款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887"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73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22"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94"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一般</w:t>
            </w:r>
          </w:p>
        </w:tc>
        <w:tc>
          <w:tcPr>
            <w:tcW w:w="981"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除直接为预约用户提供送气服务的外，利用机动车辆或者其他运输工具作为储存场所定点或者流动销售瓶装燃气</w:t>
            </w:r>
            <w:r>
              <w:rPr>
                <w:rFonts w:hint="eastAsia" w:ascii="仿宋_GB2312" w:hAnsi="仿宋_GB2312" w:eastAsia="仿宋_GB2312" w:cs="仿宋_GB2312"/>
                <w:kern w:val="0"/>
                <w:szCs w:val="21"/>
                <w:lang w:bidi="ar"/>
              </w:rPr>
              <w:t>四瓶（次）以上七瓶（次）以下的</w:t>
            </w:r>
          </w:p>
        </w:tc>
        <w:tc>
          <w:tcPr>
            <w:tcW w:w="624"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1"/>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处十二万五千元罚款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887"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73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22"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94"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从重</w:t>
            </w:r>
          </w:p>
        </w:tc>
        <w:tc>
          <w:tcPr>
            <w:tcW w:w="981"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除直接为预约用户提供送气服务的外，利用机动车辆或者其他运输工具作为储存场所定点或者流动销售瓶装燃气</w:t>
            </w:r>
            <w:r>
              <w:rPr>
                <w:rFonts w:hint="eastAsia" w:ascii="仿宋_GB2312" w:hAnsi="仿宋_GB2312" w:eastAsia="仿宋_GB2312" w:cs="仿宋_GB2312"/>
                <w:kern w:val="0"/>
                <w:szCs w:val="21"/>
                <w:lang w:bidi="ar"/>
              </w:rPr>
              <w:t>八瓶（次）以上的</w:t>
            </w:r>
          </w:p>
        </w:tc>
        <w:tc>
          <w:tcPr>
            <w:tcW w:w="624"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1"/>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处超过十二万五千元、二十万元以下罚款</w:t>
            </w:r>
          </w:p>
        </w:tc>
      </w:tr>
    </w:tbl>
    <w:p>
      <w:pPr>
        <w:widowControl/>
        <w:jc w:val="left"/>
        <w:outlineLvl w:val="0"/>
        <w:rPr>
          <w:rFonts w:hint="eastAsia" w:ascii="宋体" w:hAnsi="宋体" w:eastAsia="宋体" w:cs="宋体"/>
          <w:bCs/>
          <w:color w:val="000000"/>
          <w:sz w:val="32"/>
          <w:szCs w:val="24"/>
        </w:rPr>
      </w:pPr>
      <w:r>
        <w:rPr>
          <w:rFonts w:hint="eastAsia" w:ascii="宋体" w:hAnsi="宋体" w:eastAsia="宋体" w:cs="宋体"/>
          <w:bCs/>
          <w:color w:val="000000"/>
          <w:kern w:val="44"/>
          <w:sz w:val="32"/>
          <w:szCs w:val="24"/>
          <w:lang w:bidi="ar"/>
        </w:rPr>
        <w:t>《深圳经济特区城市燃气管理条例》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8"/>
        <w:gridCol w:w="1511"/>
        <w:gridCol w:w="1587"/>
        <w:gridCol w:w="2614"/>
        <w:gridCol w:w="1582"/>
        <w:gridCol w:w="1162"/>
        <w:gridCol w:w="2568"/>
        <w:gridCol w:w="221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3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序号</w:t>
            </w:r>
          </w:p>
        </w:tc>
        <w:tc>
          <w:tcPr>
            <w:tcW w:w="533"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违法行为</w:t>
            </w:r>
          </w:p>
        </w:tc>
        <w:tc>
          <w:tcPr>
            <w:tcW w:w="56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违反条款</w:t>
            </w:r>
          </w:p>
        </w:tc>
        <w:tc>
          <w:tcPr>
            <w:tcW w:w="92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处罚依据</w:t>
            </w:r>
          </w:p>
        </w:tc>
        <w:tc>
          <w:tcPr>
            <w:tcW w:w="558"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处罚种类</w:t>
            </w:r>
          </w:p>
        </w:tc>
        <w:tc>
          <w:tcPr>
            <w:tcW w:w="41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裁量阶次</w:t>
            </w:r>
          </w:p>
        </w:tc>
        <w:tc>
          <w:tcPr>
            <w:tcW w:w="906"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适用条件</w:t>
            </w:r>
          </w:p>
        </w:tc>
        <w:tc>
          <w:tcPr>
            <w:tcW w:w="78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331"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lang w:bidi="ar"/>
              </w:rPr>
              <w:t>112.16</w:t>
            </w:r>
          </w:p>
        </w:tc>
        <w:tc>
          <w:tcPr>
            <w:tcW w:w="533"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lang w:bidi="ar"/>
              </w:rPr>
              <w:t>燃气企业及其分支机构、燃气器具安装、维修企业</w:t>
            </w:r>
            <w:r>
              <w:rPr>
                <w:rFonts w:hint="eastAsia" w:ascii="仿宋_GB2312" w:hAnsi="仿宋_GB2312" w:eastAsia="仿宋_GB2312" w:cs="仿宋_GB2312"/>
                <w:color w:val="000000"/>
                <w:szCs w:val="21"/>
                <w:lang w:bidi="ar"/>
              </w:rPr>
              <w:t>以出租、出借、承包、挂靠等方式允许他人以自己的名义从事燃气经营或者燃气器具的安装、维修的</w:t>
            </w:r>
          </w:p>
        </w:tc>
        <w:tc>
          <w:tcPr>
            <w:tcW w:w="560" w:type="pct"/>
            <w:vMerge w:val="restart"/>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szCs w:val="21"/>
              </w:rPr>
            </w:pPr>
            <w:r>
              <w:rPr>
                <w:rFonts w:hint="eastAsia" w:ascii="仿宋_GB2312" w:hAnsi="仿宋_GB2312" w:eastAsia="仿宋_GB2312" w:cs="仿宋_GB2312"/>
                <w:lang w:bidi="ar"/>
              </w:rPr>
              <w:t>第三十九条：“ 燃气企业及其分支机构、燃气器具安装、维修企业不得以出租、出借、承包、挂靠等方式允许他人以自己的名义从事燃气经营或者燃气器具的安装、维修。”</w:t>
            </w:r>
          </w:p>
        </w:tc>
        <w:tc>
          <w:tcPr>
            <w:tcW w:w="922"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第七十七条：“违反本条例第三十九条规定，以出租、出借、承包、挂靠等方式允许他人以自己的名义从事燃气经营或者燃气器具的安装、维修的，由主管部门责令停止违法经营活动，没收违法所得，并处五万元以上十万元以下罚款；情节严重的，由市燃气主管部门吊销燃气经营许可证或者燃气器具安装维修资质证书。”</w:t>
            </w:r>
          </w:p>
        </w:tc>
        <w:tc>
          <w:tcPr>
            <w:tcW w:w="558"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trike/>
                <w:szCs w:val="21"/>
              </w:rPr>
            </w:pPr>
            <w:r>
              <w:rPr>
                <w:rFonts w:hint="eastAsia" w:ascii="仿宋_GB2312" w:hAnsi="仿宋_GB2312" w:eastAsia="仿宋_GB2312" w:cs="仿宋_GB2312"/>
                <w:color w:val="000000"/>
                <w:szCs w:val="21"/>
                <w:lang w:bidi="ar"/>
              </w:rPr>
              <w:t>没收违法所得；</w:t>
            </w:r>
            <w:r>
              <w:rPr>
                <w:rFonts w:hint="eastAsia" w:ascii="仿宋_GB2312" w:hAnsi="仿宋_GB2312" w:eastAsia="仿宋_GB2312" w:cs="仿宋_GB2312"/>
                <w:color w:val="000000"/>
                <w:kern w:val="0"/>
                <w:szCs w:val="21"/>
                <w:lang w:bidi="ar"/>
              </w:rPr>
              <w:t>罚款；</w:t>
            </w:r>
            <w:r>
              <w:rPr>
                <w:rFonts w:hint="eastAsia" w:ascii="仿宋_GB2312" w:hAnsi="仿宋_GB2312" w:eastAsia="仿宋_GB2312" w:cs="仿宋_GB2312"/>
                <w:color w:val="000000"/>
                <w:szCs w:val="21"/>
                <w:lang w:bidi="ar"/>
              </w:rPr>
              <w:t>吊销许可证件</w:t>
            </w:r>
          </w:p>
        </w:tc>
        <w:tc>
          <w:tcPr>
            <w:tcW w:w="41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从轻</w:t>
            </w:r>
          </w:p>
        </w:tc>
        <w:tc>
          <w:tcPr>
            <w:tcW w:w="906"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以出租、出借、承包、挂靠等方式允许他人以自己名义从事燃气经营或者燃气器具安装、维修活动一家的，或者造成轻微危害后果的</w:t>
            </w:r>
          </w:p>
        </w:tc>
        <w:tc>
          <w:tcPr>
            <w:tcW w:w="780"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4"/>
                <w:lang w:bidi="ar"/>
              </w:rPr>
              <w:t>责令停止违法经营活动，</w:t>
            </w:r>
            <w:r>
              <w:rPr>
                <w:rFonts w:hint="eastAsia" w:ascii="仿宋_GB2312" w:hAnsi="仿宋_GB2312" w:eastAsia="仿宋_GB2312" w:cs="仿宋_GB2312"/>
                <w:color w:val="000000"/>
                <w:szCs w:val="21"/>
                <w:lang w:bidi="ar"/>
              </w:rPr>
              <w:t>没收违法所得，并处五万元以上、低于七万五千元罚款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64" w:hRule="atLeast"/>
        </w:trPr>
        <w:tc>
          <w:tcPr>
            <w:tcW w:w="33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3"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6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922"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58"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1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一般</w:t>
            </w:r>
          </w:p>
        </w:tc>
        <w:tc>
          <w:tcPr>
            <w:tcW w:w="906"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以出租、出借、承包、挂靠等方式允许他人以自己名义从事燃气经营或者燃气器具安装、维修活动两家的，或者造成一般危害后果的</w:t>
            </w:r>
          </w:p>
        </w:tc>
        <w:tc>
          <w:tcPr>
            <w:tcW w:w="780"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4"/>
                <w:lang w:bidi="ar"/>
              </w:rPr>
              <w:t>责令停止违法经营活动，</w:t>
            </w:r>
            <w:r>
              <w:rPr>
                <w:rFonts w:hint="eastAsia" w:ascii="仿宋_GB2312" w:hAnsi="仿宋_GB2312" w:eastAsia="仿宋_GB2312" w:cs="仿宋_GB2312"/>
                <w:color w:val="000000"/>
                <w:szCs w:val="21"/>
                <w:lang w:bidi="ar"/>
              </w:rPr>
              <w:t>没收违法所得，并处七万五千元罚款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3"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6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922"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58"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1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从重</w:t>
            </w:r>
          </w:p>
        </w:tc>
        <w:tc>
          <w:tcPr>
            <w:tcW w:w="906"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以出租、出借、承包、挂靠等方式允许他人以自己名义从事燃气经营或者燃气器具安装、维修活动三家以上或者造成其他严重危害后果的</w:t>
            </w:r>
          </w:p>
        </w:tc>
        <w:tc>
          <w:tcPr>
            <w:tcW w:w="780"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4"/>
                <w:lang w:bidi="ar"/>
              </w:rPr>
              <w:t>责令停止违法经营活动，</w:t>
            </w:r>
            <w:r>
              <w:rPr>
                <w:rFonts w:hint="eastAsia" w:ascii="仿宋_GB2312" w:hAnsi="仿宋_GB2312" w:eastAsia="仿宋_GB2312" w:cs="仿宋_GB2312"/>
                <w:color w:val="000000"/>
                <w:szCs w:val="21"/>
                <w:lang w:bidi="ar"/>
              </w:rPr>
              <w:t>没收违法所得，并处超过七万五千元、十万元以下罚款，情节严重的，由市燃气主管部门吊销燃气经营许可证或者燃气器具安装维修资质证书</w:t>
            </w:r>
          </w:p>
        </w:tc>
      </w:tr>
    </w:tbl>
    <w:p>
      <w:pPr>
        <w:widowControl/>
        <w:jc w:val="left"/>
        <w:outlineLvl w:val="0"/>
        <w:rPr>
          <w:rFonts w:hint="eastAsia" w:ascii="宋体" w:hAnsi="宋体" w:eastAsia="宋体" w:cs="宋体"/>
          <w:bCs/>
          <w:color w:val="000000"/>
          <w:kern w:val="44"/>
          <w:sz w:val="32"/>
          <w:szCs w:val="24"/>
          <w:lang w:bidi="ar"/>
        </w:rPr>
      </w:pPr>
    </w:p>
    <w:p>
      <w:pPr>
        <w:widowControl/>
        <w:jc w:val="left"/>
        <w:outlineLvl w:val="0"/>
        <w:rPr>
          <w:rFonts w:hint="eastAsia" w:ascii="宋体" w:hAnsi="宋体" w:eastAsia="宋体" w:cs="宋体"/>
          <w:bCs/>
          <w:color w:val="000000"/>
          <w:sz w:val="32"/>
          <w:szCs w:val="24"/>
        </w:rPr>
      </w:pPr>
      <w:r>
        <w:rPr>
          <w:rFonts w:hint="eastAsia" w:ascii="宋体" w:hAnsi="宋体" w:eastAsia="宋体" w:cs="宋体"/>
          <w:bCs/>
          <w:color w:val="000000"/>
          <w:kern w:val="44"/>
          <w:sz w:val="32"/>
          <w:szCs w:val="24"/>
          <w:lang w:bidi="ar"/>
        </w:rPr>
        <w:t>《深圳经济特区城市燃气管理条例》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3"/>
        <w:gridCol w:w="1488"/>
        <w:gridCol w:w="1650"/>
        <w:gridCol w:w="2693"/>
        <w:gridCol w:w="1264"/>
        <w:gridCol w:w="1185"/>
        <w:gridCol w:w="2707"/>
        <w:gridCol w:w="225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29"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序号</w:t>
            </w:r>
          </w:p>
        </w:tc>
        <w:tc>
          <w:tcPr>
            <w:tcW w:w="525"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违法行为</w:t>
            </w:r>
          </w:p>
        </w:tc>
        <w:tc>
          <w:tcPr>
            <w:tcW w:w="58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违反条款</w:t>
            </w:r>
          </w:p>
        </w:tc>
        <w:tc>
          <w:tcPr>
            <w:tcW w:w="95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处罚依据</w:t>
            </w:r>
          </w:p>
        </w:tc>
        <w:tc>
          <w:tcPr>
            <w:tcW w:w="446"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处罚种类</w:t>
            </w:r>
          </w:p>
        </w:tc>
        <w:tc>
          <w:tcPr>
            <w:tcW w:w="418"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裁量阶次</w:t>
            </w:r>
          </w:p>
        </w:tc>
        <w:tc>
          <w:tcPr>
            <w:tcW w:w="955"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适用条件</w:t>
            </w:r>
          </w:p>
        </w:tc>
        <w:tc>
          <w:tcPr>
            <w:tcW w:w="795"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29"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lang w:bidi="ar"/>
              </w:rPr>
              <w:t>112.17</w:t>
            </w:r>
          </w:p>
        </w:tc>
        <w:tc>
          <w:tcPr>
            <w:tcW w:w="525"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lang w:bidi="ar"/>
              </w:rPr>
              <w:t>燃气企业</w:t>
            </w:r>
            <w:r>
              <w:rPr>
                <w:rFonts w:hint="eastAsia" w:ascii="仿宋_GB2312" w:hAnsi="仿宋_GB2312" w:eastAsia="仿宋_GB2312" w:cs="仿宋_GB2312"/>
                <w:color w:val="000000"/>
                <w:szCs w:val="21"/>
                <w:lang w:bidi="ar"/>
              </w:rPr>
              <w:t>超出经营许可范围从事经营活动或者向未取得燃气经营许可证的单位和个人提供经营性气源的</w:t>
            </w:r>
          </w:p>
        </w:tc>
        <w:tc>
          <w:tcPr>
            <w:tcW w:w="582" w:type="pct"/>
            <w:vMerge w:val="restart"/>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szCs w:val="21"/>
              </w:rPr>
            </w:pPr>
            <w:r>
              <w:rPr>
                <w:rFonts w:hint="eastAsia" w:ascii="仿宋_GB2312" w:hAnsi="仿宋_GB2312" w:eastAsia="仿宋_GB2312" w:cs="仿宋_GB2312"/>
                <w:lang w:bidi="ar"/>
              </w:rPr>
              <w:t>第四十条：“燃气企业不得超出经营许可范围从事经营活动，不得向未取得燃气经营许可证的单位和个人提供经营性气源。”</w:t>
            </w:r>
          </w:p>
        </w:tc>
        <w:tc>
          <w:tcPr>
            <w:tcW w:w="950"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第七十八条：“违反本条例第四十条规定，超出经营许可范围从事经营活动或者向未取得燃气经营许可证的单位和个人提供经营性气源的，由主管部门责令停止违法经营活动，没收违法所得，并处二十万元以上五十万元以下罚款；情节严重的，由市燃气主管部门吊销燃气经营许可证。”</w:t>
            </w:r>
          </w:p>
        </w:tc>
        <w:tc>
          <w:tcPr>
            <w:tcW w:w="446" w:type="pct"/>
            <w:vMerge w:val="restar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没收违法所得；罚款；</w:t>
            </w:r>
            <w:r>
              <w:rPr>
                <w:rFonts w:hint="eastAsia" w:ascii="仿宋_GB2312" w:hAnsi="仿宋_GB2312" w:eastAsia="仿宋_GB2312" w:cs="仿宋_GB2312"/>
                <w:color w:val="000000"/>
                <w:szCs w:val="21"/>
                <w:lang w:bidi="ar"/>
              </w:rPr>
              <w:t>吊销许可证件</w:t>
            </w:r>
          </w:p>
        </w:tc>
        <w:tc>
          <w:tcPr>
            <w:tcW w:w="418"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从轻</w:t>
            </w:r>
          </w:p>
        </w:tc>
        <w:tc>
          <w:tcPr>
            <w:tcW w:w="955"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经营活动时间三十日以下，或经营场所面积在三十平方米以下的，或</w:t>
            </w:r>
            <w:r>
              <w:rPr>
                <w:rFonts w:hint="eastAsia" w:ascii="仿宋_GB2312" w:hAnsi="仿宋_GB2312" w:eastAsia="仿宋_GB2312" w:cs="仿宋_GB2312"/>
                <w:szCs w:val="21"/>
                <w:lang w:bidi="ar"/>
              </w:rPr>
              <w:t>向未取得燃气经营许可的单位和个人提供经营性气源一家（人）的</w:t>
            </w:r>
          </w:p>
        </w:tc>
        <w:tc>
          <w:tcPr>
            <w:tcW w:w="795"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责令停止违法经营活动，没收违法所得，并处二十万元以上、低于三十五万元罚款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29"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25"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82"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95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46"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18"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一般</w:t>
            </w:r>
          </w:p>
        </w:tc>
        <w:tc>
          <w:tcPr>
            <w:tcW w:w="955"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经营活动时间超过三十日、六十日以下，或经营场所面积在超过三十平方米、五十平方米以下的，或</w:t>
            </w:r>
            <w:r>
              <w:rPr>
                <w:rFonts w:hint="eastAsia" w:ascii="仿宋_GB2312" w:hAnsi="仿宋_GB2312" w:eastAsia="仿宋_GB2312" w:cs="仿宋_GB2312"/>
                <w:szCs w:val="21"/>
                <w:lang w:bidi="ar"/>
              </w:rPr>
              <w:t>向未取得燃气经营许可的单位和个人提供经营性气源两家（人）的</w:t>
            </w:r>
          </w:p>
        </w:tc>
        <w:tc>
          <w:tcPr>
            <w:tcW w:w="795"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责令停止违法经营活动，没收违法所得，并处三十五万元罚款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29"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25"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82"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95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46"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18"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从重</w:t>
            </w:r>
          </w:p>
        </w:tc>
        <w:tc>
          <w:tcPr>
            <w:tcW w:w="955"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经营活动时间超过六十日或经营场所面积超过五十平方米的，或</w:t>
            </w:r>
            <w:r>
              <w:rPr>
                <w:rFonts w:hint="eastAsia" w:ascii="仿宋_GB2312" w:hAnsi="仿宋_GB2312" w:eastAsia="仿宋_GB2312" w:cs="仿宋_GB2312"/>
                <w:szCs w:val="21"/>
                <w:lang w:bidi="ar"/>
              </w:rPr>
              <w:t>向未取得燃气经营许可的单位和个人提供经营性气源三家（人）以上的</w:t>
            </w:r>
          </w:p>
        </w:tc>
        <w:tc>
          <w:tcPr>
            <w:tcW w:w="795"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责令停止违法经营活动，没收违法所得，并处超过三十五万元、五十万元以下罚款，情节严重的，由市燃气主管部门吊销燃气经营许可证</w:t>
            </w:r>
          </w:p>
        </w:tc>
      </w:tr>
    </w:tbl>
    <w:p>
      <w:pPr>
        <w:widowControl/>
        <w:jc w:val="left"/>
        <w:outlineLvl w:val="0"/>
        <w:rPr>
          <w:rFonts w:hint="eastAsia" w:ascii="宋体" w:hAnsi="宋体" w:eastAsia="宋体" w:cs="宋体"/>
          <w:bCs/>
          <w:color w:val="000000"/>
          <w:sz w:val="32"/>
          <w:szCs w:val="24"/>
        </w:rPr>
      </w:pPr>
      <w:r>
        <w:rPr>
          <w:rFonts w:hint="eastAsia" w:ascii="宋体" w:hAnsi="宋体" w:eastAsia="宋体" w:cs="宋体"/>
          <w:bCs/>
          <w:color w:val="000000"/>
          <w:kern w:val="44"/>
          <w:sz w:val="32"/>
          <w:szCs w:val="24"/>
          <w:lang w:bidi="ar"/>
        </w:rPr>
        <w:t>《深圳经济特区城市燃气管理条例》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9"/>
        <w:gridCol w:w="1352"/>
        <w:gridCol w:w="2796"/>
        <w:gridCol w:w="1973"/>
        <w:gridCol w:w="1165"/>
        <w:gridCol w:w="1310"/>
        <w:gridCol w:w="3020"/>
        <w:gridCol w:w="16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3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序号</w:t>
            </w:r>
          </w:p>
        </w:tc>
        <w:tc>
          <w:tcPr>
            <w:tcW w:w="477"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违法行为</w:t>
            </w:r>
          </w:p>
        </w:tc>
        <w:tc>
          <w:tcPr>
            <w:tcW w:w="986"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违反条款</w:t>
            </w:r>
          </w:p>
        </w:tc>
        <w:tc>
          <w:tcPr>
            <w:tcW w:w="696"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处罚依据</w:t>
            </w:r>
          </w:p>
        </w:tc>
        <w:tc>
          <w:tcPr>
            <w:tcW w:w="41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处罚种类</w:t>
            </w:r>
          </w:p>
        </w:tc>
        <w:tc>
          <w:tcPr>
            <w:tcW w:w="46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裁量阶次</w:t>
            </w:r>
          </w:p>
        </w:tc>
        <w:tc>
          <w:tcPr>
            <w:tcW w:w="1065"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适用条件</w:t>
            </w:r>
          </w:p>
        </w:tc>
        <w:tc>
          <w:tcPr>
            <w:tcW w:w="57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1"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lang w:bidi="ar"/>
              </w:rPr>
              <w:t>112.18</w:t>
            </w:r>
          </w:p>
        </w:tc>
        <w:tc>
          <w:tcPr>
            <w:tcW w:w="477"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燃气企业未按照规定进行用气环境安全检查或者违规供气的</w:t>
            </w:r>
          </w:p>
        </w:tc>
        <w:tc>
          <w:tcPr>
            <w:tcW w:w="986"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color w:val="000000"/>
                <w:kern w:val="0"/>
                <w:szCs w:val="21"/>
                <w:lang w:bidi="ar"/>
              </w:rPr>
            </w:pPr>
            <w:r>
              <w:rPr>
                <w:rFonts w:hint="eastAsia" w:ascii="仿宋_GB2312" w:hAnsi="仿宋_GB2312" w:eastAsia="仿宋_GB2312" w:cs="仿宋_GB2312"/>
                <w:color w:val="000000"/>
                <w:kern w:val="0"/>
                <w:szCs w:val="21"/>
                <w:lang w:bidi="ar"/>
              </w:rPr>
              <w:t>第四十一条：“燃气企业受理用户开通燃气申请时，应当对其用气环境进行安全检查，并将检查情况载入检查档案。有下列情形之一的，不得供气：（一）燃气储存及用气场所、燃气管道及设施、燃气器具等不符合安全条件；（二）餐饮等行业的生产经营单位未按照规定安装可燃气体报警装置并保障其正常使用。”</w:t>
            </w:r>
          </w:p>
        </w:tc>
        <w:tc>
          <w:tcPr>
            <w:tcW w:w="696"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第七十九条：“违反本条例第四十一条规定，燃气企业未按照规定进行用气环境安全检查或者违规供气的，由主管部门处五万元以上二十万元以下罚款；情节严重的，由市燃气主管部门吊销燃气经营许可证。”</w:t>
            </w:r>
          </w:p>
        </w:tc>
        <w:tc>
          <w:tcPr>
            <w:tcW w:w="411"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罚款；吊销许可证件</w:t>
            </w:r>
          </w:p>
        </w:tc>
        <w:tc>
          <w:tcPr>
            <w:tcW w:w="46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从轻</w:t>
            </w:r>
          </w:p>
        </w:tc>
        <w:tc>
          <w:tcPr>
            <w:tcW w:w="1065"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1"/>
                <w:lang w:bidi="ar"/>
              </w:rPr>
              <w:t>未按照规定对三户（人）以下用户</w:t>
            </w:r>
            <w:r>
              <w:rPr>
                <w:rFonts w:hint="eastAsia" w:ascii="仿宋_GB2312" w:hAnsi="仿宋_GB2312" w:eastAsia="仿宋_GB2312" w:cs="仿宋_GB2312"/>
                <w:color w:val="000000"/>
                <w:kern w:val="0"/>
                <w:szCs w:val="21"/>
                <w:lang w:bidi="ar"/>
              </w:rPr>
              <w:t>进行用气环境安全检查或者违规供气</w:t>
            </w:r>
            <w:r>
              <w:rPr>
                <w:rFonts w:hint="eastAsia" w:ascii="仿宋_GB2312" w:hAnsi="仿宋_GB2312" w:eastAsia="仿宋_GB2312" w:cs="仿宋_GB2312"/>
                <w:szCs w:val="21"/>
                <w:lang w:bidi="ar"/>
              </w:rPr>
              <w:t>且未造成后果或造成轻微后果的</w:t>
            </w:r>
          </w:p>
        </w:tc>
        <w:tc>
          <w:tcPr>
            <w:tcW w:w="571"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处五万元以上、低于十二万五千元罚款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77"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986"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696"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1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6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一般</w:t>
            </w:r>
          </w:p>
        </w:tc>
        <w:tc>
          <w:tcPr>
            <w:tcW w:w="1065"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1"/>
                <w:lang w:bidi="ar"/>
              </w:rPr>
              <w:t>未按照规定对四户（人）以上七户（人）以下用户</w:t>
            </w:r>
            <w:r>
              <w:rPr>
                <w:rFonts w:hint="eastAsia" w:ascii="仿宋_GB2312" w:hAnsi="仿宋_GB2312" w:eastAsia="仿宋_GB2312" w:cs="仿宋_GB2312"/>
                <w:color w:val="000000"/>
                <w:kern w:val="0"/>
                <w:szCs w:val="21"/>
                <w:lang w:bidi="ar"/>
              </w:rPr>
              <w:t>进行用气环境安全检查或者违规供气</w:t>
            </w:r>
            <w:r>
              <w:rPr>
                <w:rFonts w:hint="eastAsia" w:ascii="仿宋_GB2312" w:hAnsi="仿宋_GB2312" w:eastAsia="仿宋_GB2312" w:cs="仿宋_GB2312"/>
                <w:szCs w:val="21"/>
                <w:lang w:bidi="ar"/>
              </w:rPr>
              <w:t>或造成一般危害后果的</w:t>
            </w:r>
          </w:p>
        </w:tc>
        <w:tc>
          <w:tcPr>
            <w:tcW w:w="571"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处十二万五千元罚款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77"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986"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696"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1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6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从重</w:t>
            </w:r>
          </w:p>
        </w:tc>
        <w:tc>
          <w:tcPr>
            <w:tcW w:w="1065"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1"/>
                <w:lang w:bidi="ar"/>
              </w:rPr>
              <w:t>未按照规定对八户（人）以上用户</w:t>
            </w:r>
            <w:r>
              <w:rPr>
                <w:rFonts w:hint="eastAsia" w:ascii="仿宋_GB2312" w:hAnsi="仿宋_GB2312" w:eastAsia="仿宋_GB2312" w:cs="仿宋_GB2312"/>
                <w:color w:val="000000"/>
                <w:kern w:val="0"/>
                <w:szCs w:val="21"/>
                <w:lang w:bidi="ar"/>
              </w:rPr>
              <w:t>进行用气环境安全检查或者违规供气或</w:t>
            </w:r>
            <w:r>
              <w:rPr>
                <w:rFonts w:hint="eastAsia" w:ascii="仿宋_GB2312" w:hAnsi="仿宋_GB2312" w:eastAsia="仿宋_GB2312" w:cs="仿宋_GB2312"/>
                <w:szCs w:val="21"/>
                <w:lang w:bidi="ar"/>
              </w:rPr>
              <w:t>造成严重危害后果的</w:t>
            </w:r>
          </w:p>
        </w:tc>
        <w:tc>
          <w:tcPr>
            <w:tcW w:w="571"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处超过十二万五千元、二十万元以下罚款，情节严重的，由市燃气主管部门吊销燃气经营许可证</w:t>
            </w:r>
          </w:p>
        </w:tc>
      </w:tr>
    </w:tbl>
    <w:p>
      <w:pPr>
        <w:widowControl/>
        <w:jc w:val="left"/>
        <w:outlineLvl w:val="0"/>
        <w:rPr>
          <w:rFonts w:hint="eastAsia" w:ascii="仿宋_GB2312" w:hAnsi="仿宋_GB2312" w:eastAsia="仿宋_GB2312" w:cs="仿宋_GB2312"/>
          <w:bCs/>
          <w:color w:val="000000"/>
          <w:szCs w:val="21"/>
        </w:rPr>
      </w:pPr>
      <w:r>
        <w:rPr>
          <w:rFonts w:hint="eastAsia" w:ascii="宋体" w:hAnsi="宋体" w:eastAsia="宋体" w:cs="宋体"/>
          <w:bCs/>
          <w:color w:val="000000"/>
          <w:kern w:val="44"/>
          <w:sz w:val="32"/>
          <w:szCs w:val="24"/>
          <w:lang w:bidi="ar"/>
        </w:rPr>
        <w:t>《深圳经济特区城市燃气管理条例》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1"/>
        <w:gridCol w:w="1511"/>
        <w:gridCol w:w="2622"/>
        <w:gridCol w:w="2455"/>
        <w:gridCol w:w="1165"/>
        <w:gridCol w:w="1278"/>
        <w:gridCol w:w="2205"/>
        <w:gridCol w:w="199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1" w:hRule="atLeast"/>
        </w:trPr>
        <w:tc>
          <w:tcPr>
            <w:tcW w:w="33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序号</w:t>
            </w:r>
          </w:p>
        </w:tc>
        <w:tc>
          <w:tcPr>
            <w:tcW w:w="533"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违法行为</w:t>
            </w:r>
          </w:p>
        </w:tc>
        <w:tc>
          <w:tcPr>
            <w:tcW w:w="925"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违反条款</w:t>
            </w:r>
          </w:p>
        </w:tc>
        <w:tc>
          <w:tcPr>
            <w:tcW w:w="866"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处罚依据</w:t>
            </w:r>
          </w:p>
        </w:tc>
        <w:tc>
          <w:tcPr>
            <w:tcW w:w="41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处罚种类</w:t>
            </w:r>
          </w:p>
        </w:tc>
        <w:tc>
          <w:tcPr>
            <w:tcW w:w="45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裁量阶次</w:t>
            </w:r>
          </w:p>
        </w:tc>
        <w:tc>
          <w:tcPr>
            <w:tcW w:w="778"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适用条件</w:t>
            </w:r>
          </w:p>
        </w:tc>
        <w:tc>
          <w:tcPr>
            <w:tcW w:w="705"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2"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ascii="仿宋_GB2312" w:hAnsi="仿宋_GB2312" w:eastAsia="仿宋_GB2312" w:cs="仿宋_GB2312"/>
                <w:szCs w:val="21"/>
                <w:lang w:bidi="ar"/>
              </w:rPr>
              <w:t>112.</w:t>
            </w:r>
            <w:r>
              <w:rPr>
                <w:rFonts w:hint="eastAsia" w:ascii="仿宋_GB2312" w:hAnsi="仿宋_GB2312" w:eastAsia="仿宋_GB2312" w:cs="仿宋_GB2312"/>
                <w:szCs w:val="21"/>
                <w:lang w:bidi="ar"/>
              </w:rPr>
              <w:t>19</w:t>
            </w:r>
          </w:p>
        </w:tc>
        <w:tc>
          <w:tcPr>
            <w:tcW w:w="533"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新建住宅及其他需要使用燃料的建设项目，未在配套的燃气管道及设施或者相关设备上安装自闭阀等自动切断装置，或者未在燃气使用终端安装智能燃气计量表等智能化设施</w:t>
            </w:r>
            <w:r>
              <w:rPr>
                <w:rFonts w:hint="eastAsia" w:ascii="仿宋_GB2312" w:hAnsi="仿宋_GB2312" w:eastAsia="仿宋_GB2312" w:cs="仿宋_GB2312"/>
                <w:kern w:val="0"/>
                <w:szCs w:val="21"/>
                <w:lang w:bidi="ar"/>
              </w:rPr>
              <w:t>的</w:t>
            </w:r>
          </w:p>
        </w:tc>
        <w:tc>
          <w:tcPr>
            <w:tcW w:w="925"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color w:val="000000"/>
                <w:kern w:val="0"/>
                <w:szCs w:val="21"/>
                <w:lang w:bidi="ar"/>
              </w:rPr>
            </w:pPr>
            <w:r>
              <w:rPr>
                <w:rFonts w:hint="eastAsia" w:ascii="仿宋_GB2312" w:hAnsi="仿宋_GB2312" w:eastAsia="仿宋_GB2312" w:cs="仿宋_GB2312"/>
                <w:color w:val="000000"/>
                <w:kern w:val="0"/>
                <w:szCs w:val="21"/>
                <w:lang w:bidi="ar"/>
              </w:rPr>
              <w:t>第四十四条第一款、第二款：“新建住宅及其他需要使用燃料的建设项目，所配套的燃气管道及设施或者相关设备应当安装自闭阀等自动切断装置。鼓励既有建筑管道燃气用户安装自闭阀等自动切断装置。</w:t>
            </w:r>
          </w:p>
          <w:p>
            <w:pPr>
              <w:ind w:firstLine="420" w:firstLineChars="200"/>
              <w:rPr>
                <w:rFonts w:hint="eastAsia" w:ascii="仿宋_GB2312" w:hAnsi="仿宋_GB2312" w:eastAsia="仿宋_GB2312" w:cs="仿宋_GB2312"/>
                <w:color w:val="000000"/>
                <w:kern w:val="0"/>
                <w:szCs w:val="21"/>
                <w:lang w:bidi="ar"/>
              </w:rPr>
            </w:pPr>
            <w:r>
              <w:rPr>
                <w:rFonts w:hint="eastAsia" w:ascii="仿宋_GB2312" w:hAnsi="仿宋_GB2312" w:eastAsia="仿宋_GB2312" w:cs="仿宋_GB2312"/>
                <w:color w:val="000000"/>
                <w:kern w:val="0"/>
                <w:szCs w:val="21"/>
                <w:lang w:bidi="ar"/>
              </w:rPr>
              <w:t>新建住宅及其他需要使用燃料的建设项目，应当在燃气使用终端安装智能燃气计量表等智能化设施。鼓励将既有建筑的燃气计量表更换为智能燃气计量表。”</w:t>
            </w:r>
          </w:p>
        </w:tc>
        <w:tc>
          <w:tcPr>
            <w:tcW w:w="866"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第八十条第一款：“违反本条例第四十四条第一款、第二款规定，新建住宅及其他需要使用燃料的建设项目，未在配套的燃气管道及设施或者相关设备上安装自闭阀等自动切断装置，或者未在燃气使用终端安装智能燃气计量表等智能化设施的，由主管部门责令限期改正；逾期未改正的，处五万元以上十万元以下罚款。”</w:t>
            </w:r>
          </w:p>
        </w:tc>
        <w:tc>
          <w:tcPr>
            <w:tcW w:w="411"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罚款</w:t>
            </w:r>
          </w:p>
        </w:tc>
        <w:tc>
          <w:tcPr>
            <w:tcW w:w="45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从轻</w:t>
            </w:r>
          </w:p>
        </w:tc>
        <w:tc>
          <w:tcPr>
            <w:tcW w:w="778"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1"/>
                <w:lang w:bidi="ar"/>
              </w:rPr>
              <w:t>涉及三户（人）以下且未造成后果或造成轻微后果的</w:t>
            </w:r>
          </w:p>
        </w:tc>
        <w:tc>
          <w:tcPr>
            <w:tcW w:w="705"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1"/>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处五万元以上、低于七万五千元罚款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2"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3"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925"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866"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1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5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一般</w:t>
            </w:r>
          </w:p>
        </w:tc>
        <w:tc>
          <w:tcPr>
            <w:tcW w:w="778"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1"/>
                <w:lang w:bidi="ar"/>
              </w:rPr>
              <w:t>涉及四户（人）以上七户（人）以下用户或造成一般危害后果的</w:t>
            </w:r>
          </w:p>
        </w:tc>
        <w:tc>
          <w:tcPr>
            <w:tcW w:w="705"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1"/>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处七万五千元罚款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2"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3"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925"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866"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1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5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从重</w:t>
            </w:r>
          </w:p>
        </w:tc>
        <w:tc>
          <w:tcPr>
            <w:tcW w:w="778"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1"/>
                <w:lang w:bidi="ar"/>
              </w:rPr>
              <w:t>涉及八户（人）以上用户</w:t>
            </w:r>
            <w:r>
              <w:rPr>
                <w:rFonts w:hint="eastAsia" w:ascii="仿宋_GB2312" w:hAnsi="仿宋_GB2312" w:eastAsia="仿宋_GB2312" w:cs="仿宋_GB2312"/>
                <w:color w:val="000000"/>
                <w:kern w:val="0"/>
                <w:szCs w:val="21"/>
                <w:lang w:bidi="ar"/>
              </w:rPr>
              <w:t>或者违规供气</w:t>
            </w:r>
            <w:r>
              <w:rPr>
                <w:rFonts w:hint="eastAsia" w:ascii="仿宋_GB2312" w:hAnsi="仿宋_GB2312" w:eastAsia="仿宋_GB2312" w:cs="仿宋_GB2312"/>
                <w:szCs w:val="21"/>
                <w:lang w:bidi="ar"/>
              </w:rPr>
              <w:t>造成严重危害后果的</w:t>
            </w:r>
          </w:p>
        </w:tc>
        <w:tc>
          <w:tcPr>
            <w:tcW w:w="705"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1"/>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处超过七万五千元、十万元以下罚款</w:t>
            </w:r>
          </w:p>
        </w:tc>
      </w:tr>
    </w:tbl>
    <w:p>
      <w:pPr>
        <w:widowControl/>
        <w:jc w:val="left"/>
        <w:outlineLvl w:val="0"/>
        <w:rPr>
          <w:rFonts w:hint="eastAsia" w:ascii="宋体" w:hAnsi="宋体" w:eastAsia="宋体" w:cs="宋体"/>
          <w:bCs/>
          <w:color w:val="000000"/>
          <w:sz w:val="32"/>
          <w:szCs w:val="24"/>
          <w:lang w:bidi="ar"/>
        </w:rPr>
      </w:pPr>
      <w:r>
        <w:rPr>
          <w:rFonts w:hint="eastAsia" w:ascii="宋体" w:hAnsi="宋体" w:eastAsia="宋体" w:cs="宋体"/>
          <w:bCs/>
          <w:color w:val="000000"/>
          <w:kern w:val="44"/>
          <w:sz w:val="32"/>
          <w:szCs w:val="24"/>
          <w:lang w:bidi="ar"/>
        </w:rPr>
        <w:t>《深圳经济特区城市燃气管理条例》</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3"/>
        <w:gridCol w:w="1324"/>
        <w:gridCol w:w="1902"/>
        <w:gridCol w:w="2744"/>
        <w:gridCol w:w="1276"/>
        <w:gridCol w:w="1182"/>
        <w:gridCol w:w="1570"/>
        <w:gridCol w:w="32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29"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序号</w:t>
            </w:r>
          </w:p>
        </w:tc>
        <w:tc>
          <w:tcPr>
            <w:tcW w:w="467"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违法行为</w:t>
            </w:r>
          </w:p>
        </w:tc>
        <w:tc>
          <w:tcPr>
            <w:tcW w:w="671" w:type="pct"/>
            <w:vAlign w:val="center"/>
          </w:tcPr>
          <w:p>
            <w:pPr>
              <w:jc w:val="cente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
                <w:bCs/>
                <w:szCs w:val="21"/>
                <w:lang w:val="en"/>
              </w:rPr>
              <w:t>违反条款</w:t>
            </w:r>
          </w:p>
        </w:tc>
        <w:tc>
          <w:tcPr>
            <w:tcW w:w="968"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处罚依据</w:t>
            </w:r>
          </w:p>
        </w:tc>
        <w:tc>
          <w:tcPr>
            <w:tcW w:w="450"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处罚种类</w:t>
            </w:r>
          </w:p>
        </w:tc>
        <w:tc>
          <w:tcPr>
            <w:tcW w:w="417"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裁量阶次</w:t>
            </w:r>
          </w:p>
        </w:tc>
        <w:tc>
          <w:tcPr>
            <w:tcW w:w="554" w:type="pct"/>
            <w:vAlign w:val="center"/>
          </w:tcPr>
          <w:p>
            <w:pPr>
              <w:jc w:val="center"/>
              <w:rPr>
                <w:rFonts w:hint="eastAsia" w:ascii="仿宋_GB2312" w:hAnsi="仿宋_GB2312" w:eastAsia="仿宋_GB2312" w:cs="仿宋_GB2312"/>
                <w:bCs/>
                <w:color w:val="000000"/>
                <w:kern w:val="0"/>
                <w:szCs w:val="21"/>
              </w:rPr>
            </w:pPr>
            <w:r>
              <w:rPr>
                <w:rFonts w:hint="eastAsia" w:ascii="仿宋_GB2312" w:hAnsi="仿宋_GB2312" w:eastAsia="仿宋_GB2312" w:cs="仿宋_GB2312"/>
                <w:b/>
                <w:bCs/>
                <w:szCs w:val="21"/>
              </w:rPr>
              <w:t>适用条件</w:t>
            </w:r>
          </w:p>
        </w:tc>
        <w:tc>
          <w:tcPr>
            <w:tcW w:w="1144" w:type="pc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
                <w:bCs/>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329" w:type="pct"/>
            <w:vMerge w:val="restart"/>
            <w:vAlign w:val="center"/>
          </w:tcPr>
          <w:p>
            <w:pPr>
              <w:jc w:val="left"/>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Cs/>
                <w:color w:val="000000"/>
                <w:kern w:val="0"/>
                <w:szCs w:val="21"/>
              </w:rPr>
              <w:t>112.</w:t>
            </w:r>
            <w:r>
              <w:rPr>
                <w:rFonts w:hint="eastAsia" w:ascii="仿宋_GB2312" w:hAnsi="仿宋_GB2312" w:eastAsia="仿宋_GB2312" w:cs="仿宋_GB2312"/>
                <w:bCs/>
                <w:color w:val="000000"/>
                <w:kern w:val="0"/>
                <w:szCs w:val="21"/>
                <w:lang w:val="en"/>
              </w:rPr>
              <w:t>20</w:t>
            </w:r>
          </w:p>
        </w:tc>
        <w:tc>
          <w:tcPr>
            <w:tcW w:w="467" w:type="pct"/>
            <w:vMerge w:val="restart"/>
            <w:vAlign w:val="center"/>
          </w:tcPr>
          <w:p>
            <w:pPr>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Cs/>
                <w:color w:val="000000"/>
                <w:kern w:val="0"/>
                <w:szCs w:val="21"/>
                <w:lang w:val="en"/>
              </w:rPr>
              <w:t>餐饮等行业的生产经营单位使用燃气未按照规定安装可燃气体报警装置并保障其正常使用的</w:t>
            </w:r>
          </w:p>
        </w:tc>
        <w:tc>
          <w:tcPr>
            <w:tcW w:w="671" w:type="pct"/>
            <w:vMerge w:val="restart"/>
            <w:vAlign w:val="center"/>
          </w:tcPr>
          <w:p>
            <w:pPr>
              <w:jc w:val="left"/>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Cs/>
                <w:color w:val="000000"/>
                <w:kern w:val="0"/>
                <w:szCs w:val="21"/>
                <w:lang w:val="en"/>
              </w:rPr>
              <w:t>第四十四条第三款：“餐饮等行业的生产经营单位使用燃气的，应当安装可燃气体报警装置并保障其正常使用；鼓励使用智能可燃气体报警装置。鼓励居民用户安装可燃气体报警装置。”</w:t>
            </w:r>
          </w:p>
        </w:tc>
        <w:tc>
          <w:tcPr>
            <w:tcW w:w="968" w:type="pct"/>
            <w:vMerge w:val="restart"/>
            <w:vAlign w:val="center"/>
          </w:tcPr>
          <w:p>
            <w:pPr>
              <w:jc w:val="left"/>
              <w:rPr>
                <w:rFonts w:hint="eastAsia" w:ascii="仿宋_GB2312" w:hAnsi="仿宋_GB2312" w:eastAsia="仿宋_GB2312" w:cs="仿宋_GB2312"/>
                <w:bCs/>
                <w:color w:val="000000"/>
                <w:kern w:val="0"/>
                <w:szCs w:val="21"/>
                <w:lang w:val="en"/>
              </w:rPr>
            </w:pPr>
            <w:r>
              <w:rPr>
                <w:rFonts w:hint="eastAsia" w:ascii="仿宋_GB2312" w:hAnsi="仿宋_GB2312" w:eastAsia="仿宋_GB2312" w:cs="仿宋_GB2312"/>
                <w:bCs/>
                <w:color w:val="000000"/>
                <w:kern w:val="0"/>
                <w:szCs w:val="21"/>
                <w:lang w:val="en"/>
              </w:rPr>
              <w:t>第八十条第二款：“违反本条例第四十四条第三款规定，餐饮等行业的生产经营单位使用燃气未按照规定安装可燃气体报警装置并保障其正常使用的，由街道办事处责令限期改正，处五万元以下罚款；逾期未改正的，处五万元以上二十万元以下罚款；情节严重的，责令停产停业。”</w:t>
            </w:r>
          </w:p>
        </w:tc>
        <w:tc>
          <w:tcPr>
            <w:tcW w:w="450" w:type="pct"/>
            <w:vMerge w:val="restart"/>
            <w:vAlign w:val="center"/>
          </w:tcPr>
          <w:p>
            <w:pPr>
              <w:jc w:val="left"/>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罚款；责令停产停业</w:t>
            </w:r>
          </w:p>
        </w:tc>
        <w:tc>
          <w:tcPr>
            <w:tcW w:w="417"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从轻</w:t>
            </w:r>
          </w:p>
        </w:tc>
        <w:tc>
          <w:tcPr>
            <w:tcW w:w="554" w:type="pct"/>
            <w:vMerge w:val="restar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rPr>
              <w:t>未造成危害后果或造成轻微危害后果的</w:t>
            </w:r>
          </w:p>
        </w:tc>
        <w:tc>
          <w:tcPr>
            <w:tcW w:w="1144" w:type="pct"/>
            <w:vAlign w:val="center"/>
          </w:tcPr>
          <w:p>
            <w:pPr>
              <w:rPr>
                <w:rFonts w:hint="eastAsia" w:ascii="仿宋_GB2312" w:hAnsi="仿宋_GB2312" w:eastAsia="仿宋_GB2312" w:cs="仿宋_GB2312"/>
                <w:bCs/>
                <w:color w:val="000000"/>
                <w:szCs w:val="21"/>
              </w:rPr>
            </w:pPr>
            <w:r>
              <w:rPr>
                <w:rFonts w:hint="eastAsia" w:ascii="仿宋_GB2312" w:hAnsi="仿宋_GB2312" w:eastAsia="仿宋_GB2312" w:cs="仿宋_GB2312"/>
                <w:bCs/>
                <w:color w:val="000000"/>
              </w:rPr>
              <w:t>责令限期改正，处一万元罚款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329" w:type="pct"/>
            <w:vMerge w:val="continue"/>
            <w:vAlign w:val="center"/>
          </w:tcPr>
          <w:p>
            <w:pPr>
              <w:widowControl/>
              <w:jc w:val="center"/>
              <w:rPr>
                <w:rFonts w:hint="eastAsia" w:ascii="仿宋_GB2312" w:hAnsi="仿宋_GB2312" w:eastAsia="仿宋_GB2312" w:cs="仿宋_GB2312"/>
                <w:bCs/>
                <w:color w:val="000000"/>
                <w:kern w:val="0"/>
                <w:szCs w:val="21"/>
                <w:lang w:val="en"/>
              </w:rPr>
            </w:pPr>
          </w:p>
        </w:tc>
        <w:tc>
          <w:tcPr>
            <w:tcW w:w="467" w:type="pct"/>
            <w:vMerge w:val="continue"/>
            <w:vAlign w:val="center"/>
          </w:tcPr>
          <w:p>
            <w:pPr>
              <w:rPr>
                <w:rFonts w:hint="eastAsia" w:ascii="仿宋_GB2312" w:hAnsi="仿宋_GB2312" w:eastAsia="仿宋_GB2312" w:cs="仿宋_GB2312"/>
                <w:bCs/>
                <w:color w:val="000000"/>
              </w:rPr>
            </w:pPr>
          </w:p>
        </w:tc>
        <w:tc>
          <w:tcPr>
            <w:tcW w:w="671" w:type="pct"/>
            <w:vMerge w:val="continue"/>
            <w:vAlign w:val="center"/>
          </w:tcPr>
          <w:p>
            <w:pPr>
              <w:ind w:firstLine="420" w:firstLineChars="200"/>
              <w:rPr>
                <w:rFonts w:hint="eastAsia" w:ascii="仿宋_GB2312" w:hAnsi="仿宋_GB2312" w:eastAsia="仿宋_GB2312" w:cs="仿宋_GB2312"/>
                <w:bCs/>
                <w:color w:val="000000"/>
              </w:rPr>
            </w:pPr>
          </w:p>
        </w:tc>
        <w:tc>
          <w:tcPr>
            <w:tcW w:w="968" w:type="pct"/>
            <w:vMerge w:val="continue"/>
            <w:vAlign w:val="center"/>
          </w:tcPr>
          <w:p>
            <w:pPr>
              <w:rPr>
                <w:rFonts w:hint="eastAsia" w:ascii="仿宋_GB2312" w:hAnsi="仿宋_GB2312" w:eastAsia="仿宋_GB2312" w:cs="仿宋_GB2312"/>
                <w:bCs/>
                <w:color w:val="000000"/>
              </w:rPr>
            </w:pPr>
          </w:p>
        </w:tc>
        <w:tc>
          <w:tcPr>
            <w:tcW w:w="450" w:type="pct"/>
            <w:vMerge w:val="continue"/>
            <w:vAlign w:val="center"/>
          </w:tcPr>
          <w:p>
            <w:pPr>
              <w:jc w:val="left"/>
              <w:rPr>
                <w:rFonts w:hint="eastAsia" w:ascii="仿宋_GB2312" w:hAnsi="仿宋_GB2312" w:eastAsia="仿宋_GB2312" w:cs="仿宋_GB2312"/>
                <w:bCs/>
                <w:color w:val="000000"/>
              </w:rPr>
            </w:pPr>
          </w:p>
        </w:tc>
        <w:tc>
          <w:tcPr>
            <w:tcW w:w="417" w:type="pct"/>
            <w:vMerge w:val="continue"/>
            <w:vAlign w:val="center"/>
          </w:tcPr>
          <w:p>
            <w:pPr>
              <w:jc w:val="center"/>
              <w:rPr>
                <w:rFonts w:hint="eastAsia" w:ascii="仿宋_GB2312" w:hAnsi="仿宋_GB2312" w:eastAsia="仿宋_GB2312" w:cs="仿宋_GB2312"/>
                <w:bCs/>
                <w:color w:val="000000"/>
              </w:rPr>
            </w:pPr>
          </w:p>
        </w:tc>
        <w:tc>
          <w:tcPr>
            <w:tcW w:w="554" w:type="pct"/>
            <w:vMerge w:val="continue"/>
            <w:vAlign w:val="center"/>
          </w:tcPr>
          <w:p>
            <w:pPr>
              <w:rPr>
                <w:rFonts w:hint="eastAsia" w:ascii="仿宋_GB2312" w:hAnsi="仿宋_GB2312" w:eastAsia="仿宋_GB2312" w:cs="仿宋_GB2312"/>
                <w:bCs/>
                <w:color w:val="000000"/>
                <w:kern w:val="0"/>
                <w:szCs w:val="21"/>
              </w:rPr>
            </w:pPr>
          </w:p>
        </w:tc>
        <w:tc>
          <w:tcPr>
            <w:tcW w:w="1144"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，处五万元以上、低于十二万五千元罚款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329" w:type="pct"/>
            <w:vMerge w:val="continue"/>
            <w:vAlign w:val="center"/>
          </w:tcPr>
          <w:p>
            <w:pPr>
              <w:rPr>
                <w:rFonts w:hint="eastAsia" w:ascii="仿宋_GB2312" w:hAnsi="仿宋_GB2312" w:eastAsia="仿宋_GB2312" w:cs="仿宋_GB2312"/>
                <w:bCs/>
                <w:color w:val="000000"/>
              </w:rPr>
            </w:pPr>
          </w:p>
        </w:tc>
        <w:tc>
          <w:tcPr>
            <w:tcW w:w="467" w:type="pct"/>
            <w:vMerge w:val="continue"/>
            <w:vAlign w:val="center"/>
          </w:tcPr>
          <w:p>
            <w:pPr>
              <w:rPr>
                <w:rFonts w:hint="eastAsia" w:ascii="仿宋_GB2312" w:hAnsi="仿宋_GB2312" w:eastAsia="仿宋_GB2312" w:cs="仿宋_GB2312"/>
                <w:bCs/>
                <w:color w:val="000000"/>
              </w:rPr>
            </w:pPr>
          </w:p>
        </w:tc>
        <w:tc>
          <w:tcPr>
            <w:tcW w:w="671" w:type="pct"/>
            <w:vMerge w:val="continue"/>
            <w:vAlign w:val="center"/>
          </w:tcPr>
          <w:p>
            <w:pPr>
              <w:rPr>
                <w:rFonts w:hint="eastAsia" w:ascii="仿宋_GB2312" w:hAnsi="仿宋_GB2312" w:eastAsia="仿宋_GB2312" w:cs="仿宋_GB2312"/>
                <w:bCs/>
                <w:color w:val="000000"/>
              </w:rPr>
            </w:pPr>
          </w:p>
        </w:tc>
        <w:tc>
          <w:tcPr>
            <w:tcW w:w="968"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450" w:type="pct"/>
            <w:vMerge w:val="continue"/>
            <w:vAlign w:val="center"/>
          </w:tcPr>
          <w:p>
            <w:pPr>
              <w:jc w:val="center"/>
              <w:rPr>
                <w:rFonts w:hint="eastAsia" w:ascii="仿宋_GB2312" w:hAnsi="仿宋_GB2312" w:eastAsia="仿宋_GB2312" w:cs="仿宋_GB2312"/>
                <w:bCs/>
                <w:color w:val="000000"/>
              </w:rPr>
            </w:pPr>
          </w:p>
        </w:tc>
        <w:tc>
          <w:tcPr>
            <w:tcW w:w="417"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一般</w:t>
            </w:r>
          </w:p>
        </w:tc>
        <w:tc>
          <w:tcPr>
            <w:tcW w:w="554" w:type="pct"/>
            <w:vMerge w:val="restar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kern w:val="0"/>
                <w:szCs w:val="21"/>
              </w:rPr>
              <w:t>造成一般危害后果的</w:t>
            </w:r>
          </w:p>
        </w:tc>
        <w:tc>
          <w:tcPr>
            <w:tcW w:w="1144"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责令限期改正，处二万五千元罚款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329" w:type="pct"/>
            <w:vMerge w:val="continue"/>
            <w:vAlign w:val="center"/>
          </w:tcPr>
          <w:p>
            <w:pPr>
              <w:rPr>
                <w:rFonts w:hint="eastAsia" w:ascii="仿宋_GB2312" w:hAnsi="仿宋_GB2312" w:eastAsia="仿宋_GB2312" w:cs="仿宋_GB2312"/>
                <w:bCs/>
                <w:color w:val="000000"/>
              </w:rPr>
            </w:pPr>
          </w:p>
        </w:tc>
        <w:tc>
          <w:tcPr>
            <w:tcW w:w="467" w:type="pct"/>
            <w:vMerge w:val="continue"/>
            <w:vAlign w:val="center"/>
          </w:tcPr>
          <w:p>
            <w:pPr>
              <w:rPr>
                <w:rFonts w:hint="eastAsia" w:ascii="仿宋_GB2312" w:hAnsi="仿宋_GB2312" w:eastAsia="仿宋_GB2312" w:cs="仿宋_GB2312"/>
                <w:bCs/>
                <w:color w:val="000000"/>
              </w:rPr>
            </w:pPr>
          </w:p>
        </w:tc>
        <w:tc>
          <w:tcPr>
            <w:tcW w:w="671" w:type="pct"/>
            <w:vMerge w:val="continue"/>
            <w:vAlign w:val="center"/>
          </w:tcPr>
          <w:p>
            <w:pPr>
              <w:rPr>
                <w:rFonts w:hint="eastAsia" w:ascii="仿宋_GB2312" w:hAnsi="仿宋_GB2312" w:eastAsia="仿宋_GB2312" w:cs="仿宋_GB2312"/>
                <w:bCs/>
                <w:color w:val="000000"/>
              </w:rPr>
            </w:pPr>
          </w:p>
        </w:tc>
        <w:tc>
          <w:tcPr>
            <w:tcW w:w="968"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450" w:type="pct"/>
            <w:vMerge w:val="continue"/>
            <w:vAlign w:val="center"/>
          </w:tcPr>
          <w:p>
            <w:pPr>
              <w:jc w:val="center"/>
              <w:rPr>
                <w:rFonts w:hint="eastAsia" w:ascii="仿宋_GB2312" w:hAnsi="仿宋_GB2312" w:eastAsia="仿宋_GB2312" w:cs="仿宋_GB2312"/>
                <w:bCs/>
                <w:color w:val="000000"/>
              </w:rPr>
            </w:pPr>
          </w:p>
        </w:tc>
        <w:tc>
          <w:tcPr>
            <w:tcW w:w="417" w:type="pct"/>
            <w:vMerge w:val="continue"/>
            <w:vAlign w:val="center"/>
          </w:tcPr>
          <w:p>
            <w:pPr>
              <w:jc w:val="center"/>
              <w:rPr>
                <w:rFonts w:hint="eastAsia" w:ascii="仿宋_GB2312" w:hAnsi="仿宋_GB2312" w:eastAsia="仿宋_GB2312" w:cs="仿宋_GB2312"/>
                <w:bCs/>
                <w:color w:val="000000"/>
              </w:rPr>
            </w:pPr>
          </w:p>
        </w:tc>
        <w:tc>
          <w:tcPr>
            <w:tcW w:w="554" w:type="pct"/>
            <w:vMerge w:val="continue"/>
            <w:vAlign w:val="center"/>
          </w:tcPr>
          <w:p>
            <w:pPr>
              <w:rPr>
                <w:rFonts w:hint="eastAsia" w:ascii="仿宋_GB2312" w:hAnsi="仿宋_GB2312" w:eastAsia="仿宋_GB2312" w:cs="仿宋_GB2312"/>
                <w:bCs/>
                <w:color w:val="000000"/>
                <w:kern w:val="0"/>
                <w:szCs w:val="21"/>
              </w:rPr>
            </w:pPr>
          </w:p>
        </w:tc>
        <w:tc>
          <w:tcPr>
            <w:tcW w:w="1144"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，处十二万五千元罚款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329" w:type="pct"/>
            <w:vMerge w:val="continue"/>
            <w:vAlign w:val="center"/>
          </w:tcPr>
          <w:p>
            <w:pPr>
              <w:rPr>
                <w:rFonts w:hint="eastAsia" w:ascii="仿宋_GB2312" w:hAnsi="仿宋_GB2312" w:eastAsia="仿宋_GB2312" w:cs="仿宋_GB2312"/>
                <w:bCs/>
                <w:color w:val="000000"/>
              </w:rPr>
            </w:pPr>
          </w:p>
        </w:tc>
        <w:tc>
          <w:tcPr>
            <w:tcW w:w="467" w:type="pct"/>
            <w:vMerge w:val="continue"/>
            <w:vAlign w:val="center"/>
          </w:tcPr>
          <w:p>
            <w:pPr>
              <w:rPr>
                <w:rFonts w:hint="eastAsia" w:ascii="仿宋_GB2312" w:hAnsi="仿宋_GB2312" w:eastAsia="仿宋_GB2312" w:cs="仿宋_GB2312"/>
                <w:bCs/>
                <w:color w:val="000000"/>
              </w:rPr>
            </w:pPr>
          </w:p>
        </w:tc>
        <w:tc>
          <w:tcPr>
            <w:tcW w:w="671" w:type="pct"/>
            <w:vMerge w:val="continue"/>
            <w:vAlign w:val="center"/>
          </w:tcPr>
          <w:p>
            <w:pPr>
              <w:rPr>
                <w:rFonts w:hint="eastAsia" w:ascii="仿宋_GB2312" w:hAnsi="仿宋_GB2312" w:eastAsia="仿宋_GB2312" w:cs="仿宋_GB2312"/>
                <w:bCs/>
                <w:color w:val="000000"/>
              </w:rPr>
            </w:pPr>
          </w:p>
        </w:tc>
        <w:tc>
          <w:tcPr>
            <w:tcW w:w="968"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450" w:type="pct"/>
            <w:vMerge w:val="continue"/>
            <w:vAlign w:val="center"/>
          </w:tcPr>
          <w:p>
            <w:pPr>
              <w:jc w:val="center"/>
              <w:rPr>
                <w:rFonts w:hint="eastAsia" w:ascii="仿宋_GB2312" w:hAnsi="仿宋_GB2312" w:eastAsia="仿宋_GB2312" w:cs="仿宋_GB2312"/>
                <w:bCs/>
                <w:color w:val="000000"/>
              </w:rPr>
            </w:pPr>
          </w:p>
        </w:tc>
        <w:tc>
          <w:tcPr>
            <w:tcW w:w="417" w:type="pct"/>
            <w:vMerge w:val="restart"/>
            <w:vAlign w:val="center"/>
          </w:tcPr>
          <w:p>
            <w:pPr>
              <w:jc w:val="cente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从重</w:t>
            </w:r>
          </w:p>
        </w:tc>
        <w:tc>
          <w:tcPr>
            <w:tcW w:w="554" w:type="pct"/>
            <w:vMerge w:val="restart"/>
            <w:vAlign w:val="center"/>
          </w:tcPr>
          <w:p>
            <w:pPr>
              <w:rPr>
                <w:rFonts w:hint="eastAsia" w:ascii="仿宋_GB2312" w:hAnsi="仿宋_GB2312" w:eastAsia="仿宋_GB2312" w:cs="仿宋_GB2312"/>
                <w:bCs/>
                <w:color w:val="000000"/>
                <w:kern w:val="0"/>
                <w:szCs w:val="21"/>
              </w:rPr>
            </w:pPr>
            <w:r>
              <w:rPr>
                <w:rFonts w:hint="eastAsia" w:ascii="仿宋_GB2312" w:hAnsi="仿宋_GB2312" w:eastAsia="仿宋_GB2312" w:cs="仿宋_GB2312"/>
                <w:bCs/>
                <w:color w:val="000000"/>
                <w:kern w:val="0"/>
                <w:szCs w:val="21"/>
              </w:rPr>
              <w:t>造成严重危害后果的</w:t>
            </w:r>
          </w:p>
        </w:tc>
        <w:tc>
          <w:tcPr>
            <w:tcW w:w="1144"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Cs/>
                <w:color w:val="000000"/>
              </w:rPr>
              <w:t>责令限期改正，处超过二万五千元、五万元以下罚款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329" w:type="pct"/>
            <w:vMerge w:val="continue"/>
            <w:vAlign w:val="center"/>
          </w:tcPr>
          <w:p>
            <w:pPr>
              <w:rPr>
                <w:rFonts w:hint="eastAsia" w:ascii="仿宋_GB2312" w:hAnsi="仿宋_GB2312" w:eastAsia="仿宋_GB2312" w:cs="仿宋_GB2312"/>
                <w:bCs/>
                <w:color w:val="000000"/>
              </w:rPr>
            </w:pPr>
          </w:p>
        </w:tc>
        <w:tc>
          <w:tcPr>
            <w:tcW w:w="467" w:type="pct"/>
            <w:vMerge w:val="continue"/>
            <w:vAlign w:val="center"/>
          </w:tcPr>
          <w:p>
            <w:pPr>
              <w:rPr>
                <w:rFonts w:hint="eastAsia" w:ascii="仿宋_GB2312" w:hAnsi="仿宋_GB2312" w:eastAsia="仿宋_GB2312" w:cs="仿宋_GB2312"/>
                <w:bCs/>
                <w:color w:val="000000"/>
              </w:rPr>
            </w:pPr>
          </w:p>
        </w:tc>
        <w:tc>
          <w:tcPr>
            <w:tcW w:w="671" w:type="pct"/>
            <w:vMerge w:val="continue"/>
            <w:vAlign w:val="center"/>
          </w:tcPr>
          <w:p>
            <w:pPr>
              <w:rPr>
                <w:rFonts w:hint="eastAsia" w:ascii="仿宋_GB2312" w:hAnsi="仿宋_GB2312" w:eastAsia="仿宋_GB2312" w:cs="仿宋_GB2312"/>
                <w:bCs/>
                <w:color w:val="000000"/>
              </w:rPr>
            </w:pPr>
          </w:p>
        </w:tc>
        <w:tc>
          <w:tcPr>
            <w:tcW w:w="968" w:type="pct"/>
            <w:vMerge w:val="continue"/>
            <w:vAlign w:val="center"/>
          </w:tcPr>
          <w:p>
            <w:pPr>
              <w:widowControl/>
              <w:spacing w:before="100" w:beforeAutospacing="1" w:after="100" w:afterAutospacing="1"/>
              <w:jc w:val="center"/>
              <w:rPr>
                <w:rFonts w:hint="eastAsia" w:ascii="仿宋_GB2312" w:hAnsi="仿宋_GB2312" w:eastAsia="仿宋_GB2312" w:cs="仿宋_GB2312"/>
                <w:bCs/>
                <w:color w:val="000000"/>
                <w:kern w:val="0"/>
                <w:szCs w:val="21"/>
              </w:rPr>
            </w:pPr>
          </w:p>
        </w:tc>
        <w:tc>
          <w:tcPr>
            <w:tcW w:w="450" w:type="pct"/>
            <w:vMerge w:val="continue"/>
            <w:vAlign w:val="center"/>
          </w:tcPr>
          <w:p>
            <w:pPr>
              <w:jc w:val="center"/>
              <w:rPr>
                <w:rFonts w:hint="eastAsia" w:ascii="仿宋_GB2312" w:hAnsi="仿宋_GB2312" w:eastAsia="仿宋_GB2312" w:cs="仿宋_GB2312"/>
                <w:bCs/>
                <w:color w:val="000000"/>
              </w:rPr>
            </w:pPr>
          </w:p>
        </w:tc>
        <w:tc>
          <w:tcPr>
            <w:tcW w:w="417" w:type="pct"/>
            <w:vMerge w:val="continue"/>
            <w:vAlign w:val="center"/>
          </w:tcPr>
          <w:p>
            <w:pPr>
              <w:jc w:val="center"/>
              <w:rPr>
                <w:rFonts w:hint="eastAsia" w:ascii="仿宋_GB2312" w:hAnsi="仿宋_GB2312" w:eastAsia="仿宋_GB2312" w:cs="仿宋_GB2312"/>
                <w:bCs/>
                <w:color w:val="000000"/>
              </w:rPr>
            </w:pPr>
          </w:p>
        </w:tc>
        <w:tc>
          <w:tcPr>
            <w:tcW w:w="554" w:type="pct"/>
            <w:vMerge w:val="continue"/>
            <w:vAlign w:val="center"/>
          </w:tcPr>
          <w:p>
            <w:pPr>
              <w:rPr>
                <w:rFonts w:hint="eastAsia" w:ascii="仿宋_GB2312" w:hAnsi="仿宋_GB2312" w:eastAsia="仿宋_GB2312" w:cs="仿宋_GB2312"/>
                <w:bCs/>
                <w:color w:val="000000"/>
                <w:kern w:val="0"/>
                <w:szCs w:val="21"/>
              </w:rPr>
            </w:pPr>
          </w:p>
        </w:tc>
        <w:tc>
          <w:tcPr>
            <w:tcW w:w="1144" w:type="pct"/>
            <w:vAlign w:val="center"/>
          </w:tcPr>
          <w:p>
            <w:pPr>
              <w:rPr>
                <w:rFonts w:hint="eastAsia" w:ascii="仿宋_GB2312" w:hAnsi="仿宋_GB2312" w:eastAsia="仿宋_GB2312" w:cs="仿宋_GB2312"/>
                <w:bCs/>
                <w:color w:val="000000"/>
              </w:rPr>
            </w:pPr>
            <w:r>
              <w:rPr>
                <w:rFonts w:hint="eastAsia" w:ascii="仿宋_GB2312" w:hAnsi="仿宋_GB2312" w:eastAsia="仿宋_GB2312" w:cs="仿宋_GB2312"/>
                <w:b/>
                <w:color w:val="000000"/>
              </w:rPr>
              <w:t>逾期未改正的</w:t>
            </w:r>
            <w:r>
              <w:rPr>
                <w:rFonts w:hint="eastAsia" w:ascii="仿宋_GB2312" w:hAnsi="仿宋_GB2312" w:eastAsia="仿宋_GB2312" w:cs="仿宋_GB2312"/>
                <w:bCs/>
                <w:color w:val="000000"/>
              </w:rPr>
              <w:t>，处超过十二万五千元、二十万元以下罚款，</w:t>
            </w:r>
            <w:r>
              <w:rPr>
                <w:rFonts w:hint="eastAsia" w:ascii="仿宋_GB2312" w:hAnsi="仿宋_GB2312" w:eastAsia="仿宋_GB2312" w:cs="仿宋_GB2312"/>
                <w:bCs/>
                <w:color w:val="000000"/>
                <w:kern w:val="0"/>
                <w:szCs w:val="21"/>
                <w:lang w:val="en"/>
              </w:rPr>
              <w:t>情节严重的，责令停产停业</w:t>
            </w:r>
          </w:p>
        </w:tc>
      </w:tr>
    </w:tbl>
    <w:p>
      <w:pPr>
        <w:widowControl/>
        <w:jc w:val="left"/>
        <w:outlineLvl w:val="0"/>
        <w:rPr>
          <w:rFonts w:hint="eastAsia" w:ascii="宋体" w:hAnsi="宋体" w:eastAsia="宋体" w:cs="宋体"/>
          <w:bCs/>
          <w:color w:val="000000"/>
          <w:sz w:val="32"/>
          <w:szCs w:val="24"/>
        </w:rPr>
      </w:pPr>
      <w:r>
        <w:rPr>
          <w:rFonts w:hint="eastAsia" w:ascii="宋体" w:hAnsi="宋体" w:eastAsia="宋体" w:cs="宋体"/>
          <w:bCs/>
          <w:color w:val="000000"/>
          <w:kern w:val="44"/>
          <w:sz w:val="32"/>
          <w:szCs w:val="24"/>
          <w:lang w:bidi="ar"/>
        </w:rPr>
        <w:t>《深圳经济特区城市燃气管理条例》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5"/>
        <w:gridCol w:w="1505"/>
        <w:gridCol w:w="1658"/>
        <w:gridCol w:w="2061"/>
        <w:gridCol w:w="1239"/>
        <w:gridCol w:w="1278"/>
        <w:gridCol w:w="3051"/>
        <w:gridCol w:w="244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3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序号</w:t>
            </w:r>
          </w:p>
        </w:tc>
        <w:tc>
          <w:tcPr>
            <w:tcW w:w="53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违法行为</w:t>
            </w:r>
          </w:p>
        </w:tc>
        <w:tc>
          <w:tcPr>
            <w:tcW w:w="585"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违反条款</w:t>
            </w:r>
          </w:p>
        </w:tc>
        <w:tc>
          <w:tcPr>
            <w:tcW w:w="727"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处罚依据</w:t>
            </w:r>
          </w:p>
        </w:tc>
        <w:tc>
          <w:tcPr>
            <w:tcW w:w="437"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处罚种类</w:t>
            </w:r>
          </w:p>
        </w:tc>
        <w:tc>
          <w:tcPr>
            <w:tcW w:w="45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裁量阶次</w:t>
            </w:r>
          </w:p>
        </w:tc>
        <w:tc>
          <w:tcPr>
            <w:tcW w:w="1076"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适用条件</w:t>
            </w:r>
          </w:p>
        </w:tc>
        <w:tc>
          <w:tcPr>
            <w:tcW w:w="863"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0"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ascii="仿宋_GB2312" w:hAnsi="仿宋_GB2312" w:eastAsia="仿宋_GB2312" w:cs="仿宋_GB2312"/>
                <w:szCs w:val="21"/>
                <w:lang w:bidi="ar"/>
              </w:rPr>
              <w:t>112.</w:t>
            </w:r>
            <w:r>
              <w:rPr>
                <w:rFonts w:hint="eastAsia" w:ascii="仿宋_GB2312" w:hAnsi="仿宋_GB2312" w:eastAsia="仿宋_GB2312" w:cs="仿宋_GB2312"/>
                <w:szCs w:val="21"/>
                <w:lang w:bidi="ar"/>
              </w:rPr>
              <w:t>21</w:t>
            </w:r>
          </w:p>
        </w:tc>
        <w:tc>
          <w:tcPr>
            <w:tcW w:w="531"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lang w:bidi="ar"/>
              </w:rPr>
              <w:t>单位或者个人</w:t>
            </w:r>
            <w:r>
              <w:rPr>
                <w:rFonts w:hint="eastAsia" w:ascii="仿宋_GB2312" w:hAnsi="仿宋_GB2312" w:eastAsia="仿宋_GB2312" w:cs="仿宋_GB2312"/>
                <w:color w:val="000000"/>
                <w:szCs w:val="21"/>
                <w:lang w:bidi="ar"/>
              </w:rPr>
              <w:t>在不具备安全条件的场所使用、储存燃气，在地下或者半地下建筑物内、高层建筑内使用瓶装燃气</w:t>
            </w:r>
            <w:r>
              <w:rPr>
                <w:rFonts w:hint="eastAsia" w:ascii="仿宋_GB2312" w:hAnsi="仿宋_GB2312" w:eastAsia="仿宋_GB2312" w:cs="仿宋_GB2312"/>
                <w:color w:val="000000"/>
                <w:kern w:val="0"/>
                <w:szCs w:val="21"/>
                <w:lang w:bidi="ar"/>
              </w:rPr>
              <w:t>的</w:t>
            </w:r>
          </w:p>
        </w:tc>
        <w:tc>
          <w:tcPr>
            <w:tcW w:w="585" w:type="pct"/>
            <w:vMerge w:val="restart"/>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szCs w:val="21"/>
              </w:rPr>
            </w:pPr>
            <w:r>
              <w:rPr>
                <w:rFonts w:hint="eastAsia" w:ascii="仿宋_GB2312" w:hAnsi="仿宋_GB2312" w:eastAsia="仿宋_GB2312" w:cs="仿宋_GB2312"/>
                <w:lang w:bidi="ar"/>
              </w:rPr>
              <w:t>第四十六条</w:t>
            </w:r>
            <w:r>
              <w:rPr>
                <w:rFonts w:hint="eastAsia" w:ascii="仿宋_GB2312" w:hAnsi="仿宋_GB2312" w:eastAsia="仿宋_GB2312" w:cs="仿宋_GB2312"/>
                <w:color w:val="000000"/>
                <w:kern w:val="0"/>
                <w:szCs w:val="21"/>
                <w:lang w:bidi="ar"/>
              </w:rPr>
              <w:t>：“</w:t>
            </w:r>
            <w:r>
              <w:rPr>
                <w:rFonts w:hint="eastAsia" w:ascii="仿宋_GB2312" w:hAnsi="仿宋_GB2312" w:eastAsia="仿宋_GB2312" w:cs="仿宋_GB2312"/>
                <w:lang w:bidi="ar"/>
              </w:rPr>
              <w:t>单位或者个人不得有下列行为：（一）在不具备安全条件的场所使用、储存燃气，在地下或者半地下建筑物内、高层建筑内使用瓶装燃气。”</w:t>
            </w:r>
          </w:p>
        </w:tc>
        <w:tc>
          <w:tcPr>
            <w:tcW w:w="727"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第八十一条：“违反本条例第四十六条第一款第一至十一项规定的，由主管部门责令限期改正；逾期未改正的，对单位处五万元以上十万元以下罚款，对个人处一千元以上五千元以下罚款。”</w:t>
            </w:r>
          </w:p>
        </w:tc>
        <w:tc>
          <w:tcPr>
            <w:tcW w:w="437"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罚款</w:t>
            </w:r>
          </w:p>
        </w:tc>
        <w:tc>
          <w:tcPr>
            <w:tcW w:w="45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从轻</w:t>
            </w:r>
          </w:p>
        </w:tc>
        <w:tc>
          <w:tcPr>
            <w:tcW w:w="1076"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在不具备安全条件的场所使用、储存燃气</w:t>
            </w:r>
            <w:r>
              <w:rPr>
                <w:rFonts w:hint="eastAsia" w:ascii="仿宋_GB2312" w:hAnsi="仿宋_GB2312" w:eastAsia="仿宋_GB2312" w:cs="仿宋_GB2312"/>
                <w:kern w:val="0"/>
                <w:szCs w:val="21"/>
                <w:lang w:bidi="ar"/>
              </w:rPr>
              <w:t>一百立方米以下或五瓶（次）以下的，</w:t>
            </w:r>
            <w:r>
              <w:rPr>
                <w:rFonts w:hint="eastAsia" w:ascii="仿宋_GB2312" w:hAnsi="仿宋_GB2312" w:eastAsia="仿宋_GB2312" w:cs="仿宋_GB2312"/>
                <w:color w:val="000000"/>
                <w:szCs w:val="21"/>
                <w:lang w:bidi="ar"/>
              </w:rPr>
              <w:t>或在地下或者半地下建筑物内、高层建筑内使用瓶装燃气</w:t>
            </w:r>
            <w:r>
              <w:rPr>
                <w:rFonts w:hint="eastAsia" w:ascii="仿宋_GB2312" w:hAnsi="仿宋_GB2312" w:eastAsia="仿宋_GB2312" w:cs="仿宋_GB2312"/>
                <w:kern w:val="0"/>
                <w:szCs w:val="21"/>
                <w:lang w:bidi="ar"/>
              </w:rPr>
              <w:t>五瓶（次）以下的</w:t>
            </w:r>
          </w:p>
        </w:tc>
        <w:tc>
          <w:tcPr>
            <w:tcW w:w="863"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对单位处五万元以上、低于七万五千元罚款，</w:t>
            </w:r>
            <w:r>
              <w:rPr>
                <w:rFonts w:hint="eastAsia" w:ascii="仿宋_GB2312" w:hAnsi="仿宋_GB2312" w:eastAsia="仿宋_GB2312" w:cs="仿宋_GB2312"/>
                <w:color w:val="000000"/>
                <w:kern w:val="0"/>
                <w:szCs w:val="21"/>
                <w:lang w:bidi="ar"/>
              </w:rPr>
              <w:t>对个人处一千元以上、低于三千元罚款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85"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727"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37"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5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一般</w:t>
            </w:r>
          </w:p>
        </w:tc>
        <w:tc>
          <w:tcPr>
            <w:tcW w:w="1076"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在不具备安全条件的场所使用、储存燃气超过一百立方米、五百立方米以下或超过五瓶（次）、十瓶（次）以下的，或在地下或者半地下建筑物内、高层建筑内使用瓶装燃气超过五瓶（次）、十瓶（次）以下的</w:t>
            </w:r>
          </w:p>
        </w:tc>
        <w:tc>
          <w:tcPr>
            <w:tcW w:w="863"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对单位处七万五千元罚款，</w:t>
            </w:r>
            <w:r>
              <w:rPr>
                <w:rFonts w:hint="eastAsia" w:ascii="仿宋_GB2312" w:hAnsi="仿宋_GB2312" w:eastAsia="仿宋_GB2312" w:cs="仿宋_GB2312"/>
                <w:color w:val="000000"/>
                <w:kern w:val="0"/>
                <w:szCs w:val="21"/>
                <w:lang w:bidi="ar"/>
              </w:rPr>
              <w:t>对个人处三千元罚款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85"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727"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37"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5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从重</w:t>
            </w:r>
          </w:p>
        </w:tc>
        <w:tc>
          <w:tcPr>
            <w:tcW w:w="1076"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在不具备安全条件的场所使用、储存燃气超过五百立方米或超过十瓶（次）的，或在地下或者半地下建筑物内、高层建筑内使用瓶装燃气超过十瓶（次）以上的</w:t>
            </w:r>
          </w:p>
        </w:tc>
        <w:tc>
          <w:tcPr>
            <w:tcW w:w="863"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对单位处超过七万五千元、十万元以下罚款，</w:t>
            </w:r>
            <w:r>
              <w:rPr>
                <w:rFonts w:hint="eastAsia" w:ascii="仿宋_GB2312" w:hAnsi="仿宋_GB2312" w:eastAsia="仿宋_GB2312" w:cs="仿宋_GB2312"/>
                <w:color w:val="000000"/>
                <w:kern w:val="0"/>
                <w:szCs w:val="21"/>
                <w:lang w:bidi="ar"/>
              </w:rPr>
              <w:t>对个人处超过三千元、五千元以下罚款</w:t>
            </w:r>
          </w:p>
        </w:tc>
      </w:tr>
    </w:tbl>
    <w:p>
      <w:pPr>
        <w:widowControl/>
        <w:jc w:val="left"/>
        <w:outlineLvl w:val="0"/>
        <w:rPr>
          <w:rFonts w:hint="eastAsia" w:ascii="宋体" w:hAnsi="宋体" w:eastAsia="宋体" w:cs="宋体"/>
          <w:bCs/>
          <w:color w:val="000000"/>
          <w:sz w:val="32"/>
          <w:szCs w:val="24"/>
        </w:rPr>
      </w:pPr>
      <w:r>
        <w:rPr>
          <w:rFonts w:hint="eastAsia" w:ascii="宋体" w:hAnsi="宋体" w:eastAsia="宋体" w:cs="宋体"/>
          <w:bCs/>
          <w:color w:val="000000"/>
          <w:kern w:val="44"/>
          <w:sz w:val="32"/>
          <w:szCs w:val="24"/>
          <w:lang w:bidi="ar"/>
        </w:rPr>
        <w:t>《深圳经济特区城市燃气管理条例》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3"/>
        <w:gridCol w:w="1494"/>
        <w:gridCol w:w="1664"/>
        <w:gridCol w:w="2690"/>
        <w:gridCol w:w="1284"/>
        <w:gridCol w:w="1205"/>
        <w:gridCol w:w="2222"/>
        <w:gridCol w:w="268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29"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序号</w:t>
            </w:r>
          </w:p>
        </w:tc>
        <w:tc>
          <w:tcPr>
            <w:tcW w:w="527"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违法行为</w:t>
            </w:r>
          </w:p>
        </w:tc>
        <w:tc>
          <w:tcPr>
            <w:tcW w:w="587"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违反条款</w:t>
            </w:r>
          </w:p>
        </w:tc>
        <w:tc>
          <w:tcPr>
            <w:tcW w:w="949"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处罚依据</w:t>
            </w:r>
          </w:p>
        </w:tc>
        <w:tc>
          <w:tcPr>
            <w:tcW w:w="453"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处罚种类</w:t>
            </w:r>
          </w:p>
        </w:tc>
        <w:tc>
          <w:tcPr>
            <w:tcW w:w="425"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裁量阶次</w:t>
            </w:r>
          </w:p>
        </w:tc>
        <w:tc>
          <w:tcPr>
            <w:tcW w:w="784"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适用条件</w:t>
            </w:r>
          </w:p>
        </w:tc>
        <w:tc>
          <w:tcPr>
            <w:tcW w:w="946"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29"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ascii="仿宋_GB2312" w:hAnsi="仿宋_GB2312" w:eastAsia="仿宋_GB2312" w:cs="仿宋_GB2312"/>
                <w:szCs w:val="21"/>
                <w:lang w:bidi="ar"/>
              </w:rPr>
              <w:t>112.</w:t>
            </w:r>
            <w:r>
              <w:rPr>
                <w:rFonts w:hint="eastAsia" w:ascii="仿宋_GB2312" w:hAnsi="仿宋_GB2312" w:eastAsia="仿宋_GB2312" w:cs="仿宋_GB2312"/>
                <w:szCs w:val="21"/>
                <w:lang w:bidi="ar"/>
              </w:rPr>
              <w:t>22</w:t>
            </w:r>
          </w:p>
        </w:tc>
        <w:tc>
          <w:tcPr>
            <w:tcW w:w="527"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lang w:bidi="ar"/>
              </w:rPr>
              <w:t>单位或者个人</w:t>
            </w:r>
            <w:r>
              <w:rPr>
                <w:rFonts w:hint="eastAsia" w:ascii="仿宋_GB2312" w:hAnsi="仿宋_GB2312" w:eastAsia="仿宋_GB2312" w:cs="仿宋_GB2312"/>
                <w:color w:val="000000"/>
                <w:szCs w:val="21"/>
                <w:lang w:bidi="ar"/>
              </w:rPr>
              <w:t>向未取得燃气经营许可证的单位和个人购买燃气</w:t>
            </w:r>
            <w:r>
              <w:rPr>
                <w:rFonts w:hint="eastAsia" w:ascii="仿宋_GB2312" w:hAnsi="仿宋_GB2312" w:eastAsia="仿宋_GB2312" w:cs="仿宋_GB2312"/>
                <w:color w:val="000000"/>
                <w:kern w:val="0"/>
                <w:szCs w:val="21"/>
                <w:lang w:bidi="ar"/>
              </w:rPr>
              <w:t>的</w:t>
            </w:r>
          </w:p>
          <w:p>
            <w:pPr>
              <w:rPr>
                <w:rFonts w:hint="eastAsia" w:ascii="仿宋_GB2312" w:hAnsi="仿宋_GB2312" w:eastAsia="仿宋_GB2312" w:cs="仿宋_GB2312"/>
                <w:szCs w:val="21"/>
              </w:rPr>
            </w:pPr>
          </w:p>
        </w:tc>
        <w:tc>
          <w:tcPr>
            <w:tcW w:w="587" w:type="pct"/>
            <w:vMerge w:val="restart"/>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szCs w:val="21"/>
              </w:rPr>
            </w:pPr>
            <w:r>
              <w:rPr>
                <w:rFonts w:hint="eastAsia" w:ascii="仿宋_GB2312" w:hAnsi="仿宋_GB2312" w:eastAsia="仿宋_GB2312" w:cs="仿宋_GB2312"/>
                <w:lang w:bidi="ar"/>
              </w:rPr>
              <w:t>第四十六条</w:t>
            </w:r>
            <w:r>
              <w:rPr>
                <w:rFonts w:hint="eastAsia" w:ascii="仿宋_GB2312" w:hAnsi="仿宋_GB2312" w:eastAsia="仿宋_GB2312" w:cs="仿宋_GB2312"/>
                <w:color w:val="000000"/>
                <w:kern w:val="0"/>
                <w:szCs w:val="21"/>
                <w:lang w:bidi="ar"/>
              </w:rPr>
              <w:t>：“</w:t>
            </w:r>
            <w:r>
              <w:rPr>
                <w:rFonts w:hint="eastAsia" w:ascii="仿宋_GB2312" w:hAnsi="仿宋_GB2312" w:eastAsia="仿宋_GB2312" w:cs="仿宋_GB2312"/>
                <w:lang w:bidi="ar"/>
              </w:rPr>
              <w:t>单位或者个人不得有下列行为：（二）向未取得燃气经营许可证的单位和个人购买燃气。”</w:t>
            </w:r>
          </w:p>
        </w:tc>
        <w:tc>
          <w:tcPr>
            <w:tcW w:w="949"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第八十一条：“违反本条例第四十六条第一款第一至十一项规定的，由主管部门责令限期改正；逾期未改正的，对单位处五万元以上十万元以下罚款，对个人处一千元以上五千元以下罚款。”</w:t>
            </w:r>
          </w:p>
        </w:tc>
        <w:tc>
          <w:tcPr>
            <w:tcW w:w="453"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罚款</w:t>
            </w:r>
          </w:p>
        </w:tc>
        <w:tc>
          <w:tcPr>
            <w:tcW w:w="425"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从轻</w:t>
            </w:r>
          </w:p>
        </w:tc>
        <w:tc>
          <w:tcPr>
            <w:tcW w:w="784"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向未取得燃气经营许可证的单位和个人购买燃气</w:t>
            </w:r>
            <w:r>
              <w:rPr>
                <w:rFonts w:hint="eastAsia" w:ascii="仿宋_GB2312" w:hAnsi="仿宋_GB2312" w:eastAsia="仿宋_GB2312" w:cs="仿宋_GB2312"/>
                <w:kern w:val="0"/>
                <w:szCs w:val="21"/>
                <w:lang w:bidi="ar"/>
              </w:rPr>
              <w:t>一百立方米以下或三瓶（次）以下的</w:t>
            </w:r>
          </w:p>
        </w:tc>
        <w:tc>
          <w:tcPr>
            <w:tcW w:w="946"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对单位处五万元以上、低于七万五千元罚款，</w:t>
            </w:r>
            <w:r>
              <w:rPr>
                <w:rFonts w:hint="eastAsia" w:ascii="仿宋_GB2312" w:hAnsi="仿宋_GB2312" w:eastAsia="仿宋_GB2312" w:cs="仿宋_GB2312"/>
                <w:color w:val="000000"/>
                <w:kern w:val="0"/>
                <w:szCs w:val="21"/>
                <w:lang w:bidi="ar"/>
              </w:rPr>
              <w:t>对个人处一千元以上、低于三千元罚款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29"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27"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87"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949"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53"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25"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一般</w:t>
            </w:r>
          </w:p>
        </w:tc>
        <w:tc>
          <w:tcPr>
            <w:tcW w:w="784"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向未取得燃气经营许可证的单位和个人购买燃气超过一百立方米、五百立方米以下或超过三</w:t>
            </w:r>
            <w:r>
              <w:rPr>
                <w:rFonts w:hint="eastAsia" w:ascii="仿宋_GB2312" w:hAnsi="仿宋_GB2312" w:eastAsia="仿宋_GB2312" w:cs="仿宋_GB2312"/>
                <w:kern w:val="0"/>
                <w:szCs w:val="21"/>
                <w:lang w:bidi="ar"/>
              </w:rPr>
              <w:t>瓶（次）、七瓶（次）以下的</w:t>
            </w:r>
          </w:p>
        </w:tc>
        <w:tc>
          <w:tcPr>
            <w:tcW w:w="946"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对单位处七万五千元罚款，</w:t>
            </w:r>
            <w:r>
              <w:rPr>
                <w:rFonts w:hint="eastAsia" w:ascii="仿宋_GB2312" w:hAnsi="仿宋_GB2312" w:eastAsia="仿宋_GB2312" w:cs="仿宋_GB2312"/>
                <w:color w:val="000000"/>
                <w:kern w:val="0"/>
                <w:szCs w:val="21"/>
                <w:lang w:bidi="ar"/>
              </w:rPr>
              <w:t>对个人处三千元罚款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29"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27"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87"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949"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53"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25"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从重</w:t>
            </w:r>
          </w:p>
        </w:tc>
        <w:tc>
          <w:tcPr>
            <w:tcW w:w="784"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向未取得燃气经营许可证的单位和个人购买燃气超过五百立方米或超过七</w:t>
            </w:r>
            <w:r>
              <w:rPr>
                <w:rFonts w:hint="eastAsia" w:ascii="仿宋_GB2312" w:hAnsi="仿宋_GB2312" w:eastAsia="仿宋_GB2312" w:cs="仿宋_GB2312"/>
                <w:kern w:val="0"/>
                <w:szCs w:val="21"/>
                <w:lang w:bidi="ar"/>
              </w:rPr>
              <w:t>瓶（次）的</w:t>
            </w:r>
          </w:p>
        </w:tc>
        <w:tc>
          <w:tcPr>
            <w:tcW w:w="946"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对单位处超过七万五千元、十万元以下罚款，</w:t>
            </w:r>
            <w:r>
              <w:rPr>
                <w:rFonts w:hint="eastAsia" w:ascii="仿宋_GB2312" w:hAnsi="仿宋_GB2312" w:eastAsia="仿宋_GB2312" w:cs="仿宋_GB2312"/>
                <w:color w:val="000000"/>
                <w:kern w:val="0"/>
                <w:szCs w:val="21"/>
                <w:lang w:bidi="ar"/>
              </w:rPr>
              <w:t>对个人处超过三千元、五千元以下罚款</w:t>
            </w:r>
          </w:p>
        </w:tc>
      </w:tr>
    </w:tbl>
    <w:p>
      <w:pPr>
        <w:widowControl/>
        <w:jc w:val="left"/>
        <w:outlineLvl w:val="0"/>
        <w:rPr>
          <w:rFonts w:hint="eastAsia" w:ascii="宋体" w:hAnsi="宋体" w:eastAsia="宋体" w:cs="宋体"/>
          <w:bCs/>
          <w:color w:val="000000"/>
          <w:sz w:val="32"/>
          <w:szCs w:val="24"/>
        </w:rPr>
      </w:pPr>
      <w:r>
        <w:rPr>
          <w:rFonts w:hint="eastAsia" w:ascii="宋体" w:hAnsi="宋体" w:eastAsia="宋体" w:cs="宋体"/>
          <w:bCs/>
          <w:color w:val="000000"/>
          <w:kern w:val="44"/>
          <w:sz w:val="32"/>
          <w:szCs w:val="24"/>
          <w:lang w:bidi="ar"/>
        </w:rPr>
        <w:t>《深圳经济特区城市燃气管理条例》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3"/>
        <w:gridCol w:w="1502"/>
        <w:gridCol w:w="1653"/>
        <w:gridCol w:w="2461"/>
        <w:gridCol w:w="1307"/>
        <w:gridCol w:w="1182"/>
        <w:gridCol w:w="2531"/>
        <w:gridCol w:w="26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29"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序号</w:t>
            </w:r>
          </w:p>
        </w:tc>
        <w:tc>
          <w:tcPr>
            <w:tcW w:w="53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违法行为</w:t>
            </w:r>
          </w:p>
        </w:tc>
        <w:tc>
          <w:tcPr>
            <w:tcW w:w="583"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违反条款</w:t>
            </w:r>
          </w:p>
        </w:tc>
        <w:tc>
          <w:tcPr>
            <w:tcW w:w="868"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处罚依据</w:t>
            </w:r>
          </w:p>
        </w:tc>
        <w:tc>
          <w:tcPr>
            <w:tcW w:w="46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处罚种类</w:t>
            </w:r>
          </w:p>
        </w:tc>
        <w:tc>
          <w:tcPr>
            <w:tcW w:w="417"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裁量阶次</w:t>
            </w:r>
          </w:p>
        </w:tc>
        <w:tc>
          <w:tcPr>
            <w:tcW w:w="893"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适用条件</w:t>
            </w:r>
          </w:p>
        </w:tc>
        <w:tc>
          <w:tcPr>
            <w:tcW w:w="919"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29"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lang w:bidi="ar"/>
              </w:rPr>
              <w:t>112.23</w:t>
            </w:r>
          </w:p>
        </w:tc>
        <w:tc>
          <w:tcPr>
            <w:tcW w:w="530"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lang w:bidi="ar"/>
              </w:rPr>
              <w:t>单位或者个人</w:t>
            </w:r>
            <w:r>
              <w:rPr>
                <w:rFonts w:hint="eastAsia" w:ascii="仿宋_GB2312" w:hAnsi="仿宋_GB2312" w:eastAsia="仿宋_GB2312" w:cs="仿宋_GB2312"/>
                <w:color w:val="000000"/>
                <w:szCs w:val="21"/>
                <w:lang w:bidi="ar"/>
              </w:rPr>
              <w:t>盗用燃气、破坏燃气管道及设施</w:t>
            </w:r>
            <w:r>
              <w:rPr>
                <w:rFonts w:hint="eastAsia" w:ascii="仿宋_GB2312" w:hAnsi="仿宋_GB2312" w:eastAsia="仿宋_GB2312" w:cs="仿宋_GB2312"/>
                <w:color w:val="000000"/>
                <w:kern w:val="0"/>
                <w:szCs w:val="21"/>
                <w:lang w:bidi="ar"/>
              </w:rPr>
              <w:t>，逾期未改正的</w:t>
            </w:r>
          </w:p>
        </w:tc>
        <w:tc>
          <w:tcPr>
            <w:tcW w:w="583" w:type="pct"/>
            <w:vMerge w:val="restart"/>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szCs w:val="21"/>
              </w:rPr>
            </w:pPr>
            <w:r>
              <w:rPr>
                <w:rFonts w:hint="eastAsia" w:ascii="仿宋_GB2312" w:hAnsi="仿宋_GB2312" w:eastAsia="仿宋_GB2312" w:cs="仿宋_GB2312"/>
                <w:lang w:bidi="ar"/>
              </w:rPr>
              <w:t>第四十六条</w:t>
            </w:r>
            <w:r>
              <w:rPr>
                <w:rFonts w:hint="eastAsia" w:ascii="仿宋_GB2312" w:hAnsi="仿宋_GB2312" w:eastAsia="仿宋_GB2312" w:cs="仿宋_GB2312"/>
                <w:color w:val="000000"/>
                <w:kern w:val="0"/>
                <w:szCs w:val="21"/>
                <w:lang w:bidi="ar"/>
              </w:rPr>
              <w:t>：“</w:t>
            </w:r>
            <w:r>
              <w:rPr>
                <w:rFonts w:hint="eastAsia" w:ascii="仿宋_GB2312" w:hAnsi="仿宋_GB2312" w:eastAsia="仿宋_GB2312" w:cs="仿宋_GB2312"/>
                <w:lang w:bidi="ar"/>
              </w:rPr>
              <w:t>单位或者个人不得有下列行为：（三）盗用燃气、破坏燃气管道及设施。”</w:t>
            </w:r>
          </w:p>
        </w:tc>
        <w:tc>
          <w:tcPr>
            <w:tcW w:w="868"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第八十一条：“违反本条例第四十六条第一款第一至十一项规定的，由主管部门责令限期改正；逾期未改正的，对单位处五万元以上十万元以下罚款，对个人处一千元以上五千元以下罚款。”</w:t>
            </w:r>
          </w:p>
        </w:tc>
        <w:tc>
          <w:tcPr>
            <w:tcW w:w="461"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罚款</w:t>
            </w:r>
          </w:p>
        </w:tc>
        <w:tc>
          <w:tcPr>
            <w:tcW w:w="417"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从轻</w:t>
            </w:r>
          </w:p>
        </w:tc>
        <w:tc>
          <w:tcPr>
            <w:tcW w:w="893"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盗用燃气</w:t>
            </w:r>
            <w:r>
              <w:rPr>
                <w:rFonts w:hint="eastAsia" w:ascii="仿宋_GB2312" w:hAnsi="仿宋_GB2312" w:eastAsia="仿宋_GB2312" w:cs="仿宋_GB2312"/>
                <w:kern w:val="0"/>
                <w:szCs w:val="21"/>
                <w:lang w:bidi="ar"/>
              </w:rPr>
              <w:t>一百立方米以下，</w:t>
            </w:r>
            <w:r>
              <w:rPr>
                <w:rFonts w:hint="eastAsia" w:ascii="仿宋_GB2312" w:hAnsi="仿宋_GB2312" w:eastAsia="仿宋_GB2312" w:cs="仿宋_GB2312"/>
                <w:color w:val="000000"/>
                <w:szCs w:val="21"/>
                <w:lang w:bidi="ar"/>
              </w:rPr>
              <w:t>或造成轻微危害后果的</w:t>
            </w:r>
          </w:p>
        </w:tc>
        <w:tc>
          <w:tcPr>
            <w:tcW w:w="919"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对单位处五万元以上、低于七万五千元罚款，</w:t>
            </w:r>
            <w:r>
              <w:rPr>
                <w:rFonts w:hint="eastAsia" w:ascii="仿宋_GB2312" w:hAnsi="仿宋_GB2312" w:eastAsia="仿宋_GB2312" w:cs="仿宋_GB2312"/>
                <w:color w:val="000000"/>
                <w:kern w:val="0"/>
                <w:szCs w:val="21"/>
                <w:lang w:bidi="ar"/>
              </w:rPr>
              <w:t>对个人处一千元以上、低于三千元罚款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29"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83"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868"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6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17"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一般</w:t>
            </w:r>
          </w:p>
        </w:tc>
        <w:tc>
          <w:tcPr>
            <w:tcW w:w="893"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盗用燃气超过一百立方米、五百立方米以下</w:t>
            </w:r>
            <w:r>
              <w:rPr>
                <w:rFonts w:hint="eastAsia" w:ascii="仿宋_GB2312" w:hAnsi="仿宋_GB2312" w:eastAsia="仿宋_GB2312" w:cs="仿宋_GB2312"/>
                <w:kern w:val="0"/>
                <w:szCs w:val="21"/>
                <w:lang w:bidi="ar"/>
              </w:rPr>
              <w:t>，</w:t>
            </w:r>
            <w:r>
              <w:rPr>
                <w:rFonts w:hint="eastAsia" w:ascii="仿宋_GB2312" w:hAnsi="仿宋_GB2312" w:eastAsia="仿宋_GB2312" w:cs="仿宋_GB2312"/>
                <w:color w:val="000000"/>
                <w:szCs w:val="21"/>
                <w:lang w:bidi="ar"/>
              </w:rPr>
              <w:t>或造成一般危害后果的</w:t>
            </w:r>
          </w:p>
        </w:tc>
        <w:tc>
          <w:tcPr>
            <w:tcW w:w="919"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对单位处七万五千元罚款，</w:t>
            </w:r>
            <w:r>
              <w:rPr>
                <w:rFonts w:hint="eastAsia" w:ascii="仿宋_GB2312" w:hAnsi="仿宋_GB2312" w:eastAsia="仿宋_GB2312" w:cs="仿宋_GB2312"/>
                <w:color w:val="000000"/>
                <w:kern w:val="0"/>
                <w:szCs w:val="21"/>
                <w:lang w:bidi="ar"/>
              </w:rPr>
              <w:t>对个人处三千元罚款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29"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83"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868"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6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17"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从重</w:t>
            </w:r>
          </w:p>
        </w:tc>
        <w:tc>
          <w:tcPr>
            <w:tcW w:w="893"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盗用燃气超过五百立方米</w:t>
            </w:r>
            <w:r>
              <w:rPr>
                <w:rFonts w:hint="eastAsia" w:ascii="仿宋_GB2312" w:hAnsi="仿宋_GB2312" w:eastAsia="仿宋_GB2312" w:cs="仿宋_GB2312"/>
                <w:kern w:val="0"/>
                <w:szCs w:val="21"/>
                <w:lang w:bidi="ar"/>
              </w:rPr>
              <w:t>，</w:t>
            </w:r>
            <w:r>
              <w:rPr>
                <w:rFonts w:hint="eastAsia" w:ascii="仿宋_GB2312" w:hAnsi="仿宋_GB2312" w:eastAsia="仿宋_GB2312" w:cs="仿宋_GB2312"/>
                <w:color w:val="000000"/>
                <w:szCs w:val="21"/>
                <w:lang w:bidi="ar"/>
              </w:rPr>
              <w:t>或造成严重危害后果</w:t>
            </w:r>
            <w:r>
              <w:rPr>
                <w:rFonts w:hint="eastAsia" w:ascii="仿宋_GB2312" w:hAnsi="仿宋_GB2312" w:eastAsia="仿宋_GB2312" w:cs="仿宋_GB2312"/>
                <w:szCs w:val="21"/>
                <w:lang w:bidi="ar"/>
              </w:rPr>
              <w:t>的</w:t>
            </w:r>
          </w:p>
        </w:tc>
        <w:tc>
          <w:tcPr>
            <w:tcW w:w="919"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对单位处超过七万五千元、十万元以下罚款，</w:t>
            </w:r>
            <w:r>
              <w:rPr>
                <w:rFonts w:hint="eastAsia" w:ascii="仿宋_GB2312" w:hAnsi="仿宋_GB2312" w:eastAsia="仿宋_GB2312" w:cs="仿宋_GB2312"/>
                <w:color w:val="000000"/>
                <w:kern w:val="0"/>
                <w:szCs w:val="21"/>
                <w:lang w:bidi="ar"/>
              </w:rPr>
              <w:t>对个人处超过三千元、五千元以下罚款</w:t>
            </w:r>
          </w:p>
        </w:tc>
      </w:tr>
    </w:tbl>
    <w:p>
      <w:pPr>
        <w:widowControl/>
        <w:jc w:val="left"/>
        <w:outlineLvl w:val="0"/>
        <w:rPr>
          <w:rFonts w:hint="eastAsia" w:ascii="宋体" w:hAnsi="宋体" w:eastAsia="宋体" w:cs="宋体"/>
          <w:bCs/>
          <w:color w:val="000000"/>
          <w:sz w:val="32"/>
          <w:szCs w:val="24"/>
        </w:rPr>
      </w:pPr>
      <w:r>
        <w:rPr>
          <w:rFonts w:hint="eastAsia" w:ascii="宋体" w:hAnsi="宋体" w:eastAsia="宋体" w:cs="宋体"/>
          <w:bCs/>
          <w:color w:val="000000"/>
          <w:kern w:val="44"/>
          <w:sz w:val="32"/>
          <w:szCs w:val="24"/>
          <w:lang w:bidi="ar"/>
        </w:rPr>
        <w:t>《深圳经济特区城市燃气管理条例》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9"/>
        <w:gridCol w:w="1503"/>
        <w:gridCol w:w="1670"/>
        <w:gridCol w:w="2450"/>
        <w:gridCol w:w="1338"/>
        <w:gridCol w:w="1369"/>
        <w:gridCol w:w="2257"/>
        <w:gridCol w:w="264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3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序号</w:t>
            </w:r>
          </w:p>
        </w:tc>
        <w:tc>
          <w:tcPr>
            <w:tcW w:w="53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违法行为</w:t>
            </w:r>
          </w:p>
        </w:tc>
        <w:tc>
          <w:tcPr>
            <w:tcW w:w="589"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违反条款</w:t>
            </w:r>
          </w:p>
        </w:tc>
        <w:tc>
          <w:tcPr>
            <w:tcW w:w="864"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处罚依据</w:t>
            </w:r>
          </w:p>
        </w:tc>
        <w:tc>
          <w:tcPr>
            <w:tcW w:w="47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处罚种类</w:t>
            </w:r>
          </w:p>
        </w:tc>
        <w:tc>
          <w:tcPr>
            <w:tcW w:w="483"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裁量阶次</w:t>
            </w:r>
          </w:p>
        </w:tc>
        <w:tc>
          <w:tcPr>
            <w:tcW w:w="796"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适用条件</w:t>
            </w:r>
          </w:p>
        </w:tc>
        <w:tc>
          <w:tcPr>
            <w:tcW w:w="934"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1"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ascii="仿宋_GB2312" w:hAnsi="仿宋_GB2312" w:eastAsia="仿宋_GB2312" w:cs="仿宋_GB2312"/>
                <w:szCs w:val="21"/>
                <w:lang w:bidi="ar"/>
              </w:rPr>
              <w:t>112.</w:t>
            </w:r>
            <w:r>
              <w:rPr>
                <w:rFonts w:hint="eastAsia" w:ascii="仿宋_GB2312" w:hAnsi="仿宋_GB2312" w:eastAsia="仿宋_GB2312" w:cs="仿宋_GB2312"/>
                <w:szCs w:val="21"/>
                <w:lang w:bidi="ar"/>
              </w:rPr>
              <w:t>24</w:t>
            </w:r>
          </w:p>
        </w:tc>
        <w:tc>
          <w:tcPr>
            <w:tcW w:w="530"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lang w:bidi="ar"/>
              </w:rPr>
              <w:t>单位或者个人</w:t>
            </w:r>
            <w:r>
              <w:rPr>
                <w:rFonts w:hint="eastAsia" w:ascii="仿宋_GB2312" w:hAnsi="仿宋_GB2312" w:eastAsia="仿宋_GB2312" w:cs="仿宋_GB2312"/>
                <w:color w:val="000000"/>
                <w:szCs w:val="21"/>
                <w:lang w:bidi="ar"/>
              </w:rPr>
              <w:t>将燃气管道作为负重支架或者接地引线</w:t>
            </w:r>
            <w:r>
              <w:rPr>
                <w:rFonts w:hint="eastAsia" w:ascii="仿宋_GB2312" w:hAnsi="仿宋_GB2312" w:eastAsia="仿宋_GB2312" w:cs="仿宋_GB2312"/>
                <w:color w:val="000000"/>
                <w:kern w:val="0"/>
                <w:szCs w:val="21"/>
                <w:lang w:bidi="ar"/>
              </w:rPr>
              <w:t>的</w:t>
            </w:r>
          </w:p>
        </w:tc>
        <w:tc>
          <w:tcPr>
            <w:tcW w:w="589" w:type="pct"/>
            <w:vMerge w:val="restart"/>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szCs w:val="21"/>
              </w:rPr>
            </w:pPr>
            <w:r>
              <w:rPr>
                <w:rFonts w:hint="eastAsia" w:ascii="仿宋_GB2312" w:hAnsi="仿宋_GB2312" w:eastAsia="仿宋_GB2312" w:cs="仿宋_GB2312"/>
                <w:lang w:bidi="ar"/>
              </w:rPr>
              <w:t>第四十六条</w:t>
            </w:r>
            <w:r>
              <w:rPr>
                <w:rFonts w:hint="eastAsia" w:ascii="仿宋_GB2312" w:hAnsi="仿宋_GB2312" w:eastAsia="仿宋_GB2312" w:cs="仿宋_GB2312"/>
                <w:color w:val="000000"/>
                <w:kern w:val="0"/>
                <w:szCs w:val="21"/>
                <w:lang w:bidi="ar"/>
              </w:rPr>
              <w:t>：“</w:t>
            </w:r>
            <w:r>
              <w:rPr>
                <w:rFonts w:hint="eastAsia" w:ascii="仿宋_GB2312" w:hAnsi="仿宋_GB2312" w:eastAsia="仿宋_GB2312" w:cs="仿宋_GB2312"/>
                <w:lang w:bidi="ar"/>
              </w:rPr>
              <w:t>单位或者个人不得有下列行为：（四）将燃气管道作为负重支架或者接地引线。”</w:t>
            </w:r>
          </w:p>
        </w:tc>
        <w:tc>
          <w:tcPr>
            <w:tcW w:w="864"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第八十一条：“违反本条例第四十六条第一款第一至十一项规定的，由主管部门责令限期改正；逾期未改正的，对单位处五万元以上十万元以下罚款，对个人处一千元以上五千元以下罚款。”</w:t>
            </w:r>
          </w:p>
        </w:tc>
        <w:tc>
          <w:tcPr>
            <w:tcW w:w="472"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罚款</w:t>
            </w:r>
          </w:p>
        </w:tc>
        <w:tc>
          <w:tcPr>
            <w:tcW w:w="483"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从轻</w:t>
            </w:r>
          </w:p>
        </w:tc>
        <w:tc>
          <w:tcPr>
            <w:tcW w:w="796"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lang w:bidi="ar"/>
              </w:rPr>
              <w:t>危及燃气</w:t>
            </w:r>
            <w:r>
              <w:rPr>
                <w:rFonts w:hint="eastAsia" w:ascii="仿宋_GB2312" w:hAnsi="仿宋_GB2312" w:eastAsia="仿宋_GB2312" w:cs="仿宋_GB2312"/>
                <w:color w:val="000000"/>
                <w:szCs w:val="21"/>
                <w:lang w:bidi="ar"/>
              </w:rPr>
              <w:t>管道</w:t>
            </w:r>
            <w:r>
              <w:rPr>
                <w:rFonts w:hint="eastAsia" w:ascii="仿宋_GB2312" w:hAnsi="仿宋_GB2312" w:eastAsia="仿宋_GB2312" w:cs="仿宋_GB2312"/>
                <w:szCs w:val="21"/>
                <w:lang w:bidi="ar"/>
              </w:rPr>
              <w:t>设施或者妨碍燃气</w:t>
            </w:r>
            <w:r>
              <w:rPr>
                <w:rFonts w:hint="eastAsia" w:ascii="仿宋_GB2312" w:hAnsi="仿宋_GB2312" w:eastAsia="仿宋_GB2312" w:cs="仿宋_GB2312"/>
                <w:color w:val="000000"/>
                <w:szCs w:val="21"/>
                <w:lang w:bidi="ar"/>
              </w:rPr>
              <w:t>管道</w:t>
            </w:r>
            <w:r>
              <w:rPr>
                <w:rFonts w:hint="eastAsia" w:ascii="仿宋_GB2312" w:hAnsi="仿宋_GB2312" w:eastAsia="仿宋_GB2312" w:cs="仿宋_GB2312"/>
                <w:szCs w:val="21"/>
                <w:lang w:bidi="ar"/>
              </w:rPr>
              <w:t>设施正常使用的</w:t>
            </w:r>
          </w:p>
        </w:tc>
        <w:tc>
          <w:tcPr>
            <w:tcW w:w="934"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对单位处五万元以上、低于七万五千元罚款，</w:t>
            </w:r>
            <w:r>
              <w:rPr>
                <w:rFonts w:hint="eastAsia" w:ascii="仿宋_GB2312" w:hAnsi="仿宋_GB2312" w:eastAsia="仿宋_GB2312" w:cs="仿宋_GB2312"/>
                <w:color w:val="000000"/>
                <w:kern w:val="0"/>
                <w:szCs w:val="21"/>
                <w:lang w:bidi="ar"/>
              </w:rPr>
              <w:t>对个人处一千元以上、低于三千元罚款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89"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864"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72"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83"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一般</w:t>
            </w:r>
          </w:p>
        </w:tc>
        <w:tc>
          <w:tcPr>
            <w:tcW w:w="796"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lang w:bidi="ar"/>
              </w:rPr>
              <w:t>造成燃气</w:t>
            </w:r>
            <w:r>
              <w:rPr>
                <w:rFonts w:hint="eastAsia" w:ascii="仿宋_GB2312" w:hAnsi="仿宋_GB2312" w:eastAsia="仿宋_GB2312" w:cs="仿宋_GB2312"/>
                <w:color w:val="000000"/>
                <w:szCs w:val="21"/>
                <w:lang w:bidi="ar"/>
              </w:rPr>
              <w:t>管道</w:t>
            </w:r>
            <w:r>
              <w:rPr>
                <w:rFonts w:hint="eastAsia" w:ascii="仿宋_GB2312" w:hAnsi="仿宋_GB2312" w:eastAsia="仿宋_GB2312" w:cs="仿宋_GB2312"/>
                <w:szCs w:val="21"/>
                <w:lang w:bidi="ar"/>
              </w:rPr>
              <w:t>设施损害的</w:t>
            </w:r>
          </w:p>
        </w:tc>
        <w:tc>
          <w:tcPr>
            <w:tcW w:w="934"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对单位处七万五千元罚款，</w:t>
            </w:r>
            <w:r>
              <w:rPr>
                <w:rFonts w:hint="eastAsia" w:ascii="仿宋_GB2312" w:hAnsi="仿宋_GB2312" w:eastAsia="仿宋_GB2312" w:cs="仿宋_GB2312"/>
                <w:color w:val="000000"/>
                <w:kern w:val="0"/>
                <w:szCs w:val="21"/>
                <w:lang w:bidi="ar"/>
              </w:rPr>
              <w:t>对个人处三千元罚款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89"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864"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72"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83"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从重</w:t>
            </w:r>
          </w:p>
        </w:tc>
        <w:tc>
          <w:tcPr>
            <w:tcW w:w="796"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lang w:bidi="ar"/>
              </w:rPr>
              <w:t>造成燃气</w:t>
            </w:r>
            <w:r>
              <w:rPr>
                <w:rFonts w:hint="eastAsia" w:ascii="仿宋_GB2312" w:hAnsi="仿宋_GB2312" w:eastAsia="仿宋_GB2312" w:cs="仿宋_GB2312"/>
                <w:color w:val="000000"/>
                <w:szCs w:val="21"/>
                <w:lang w:bidi="ar"/>
              </w:rPr>
              <w:t>管道</w:t>
            </w:r>
            <w:r>
              <w:rPr>
                <w:rFonts w:hint="eastAsia" w:ascii="仿宋_GB2312" w:hAnsi="仿宋_GB2312" w:eastAsia="仿宋_GB2312" w:cs="仿宋_GB2312"/>
                <w:szCs w:val="21"/>
                <w:lang w:bidi="ar"/>
              </w:rPr>
              <w:t>设施严重损害，或发生安全事故的</w:t>
            </w:r>
          </w:p>
        </w:tc>
        <w:tc>
          <w:tcPr>
            <w:tcW w:w="934"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对单位处超过七万五千元、十万元以下罚款，</w:t>
            </w:r>
            <w:r>
              <w:rPr>
                <w:rFonts w:hint="eastAsia" w:ascii="仿宋_GB2312" w:hAnsi="仿宋_GB2312" w:eastAsia="仿宋_GB2312" w:cs="仿宋_GB2312"/>
                <w:color w:val="000000"/>
                <w:kern w:val="0"/>
                <w:szCs w:val="21"/>
                <w:lang w:bidi="ar"/>
              </w:rPr>
              <w:t>对个人处超过三千元、五千元以下罚款</w:t>
            </w:r>
          </w:p>
        </w:tc>
      </w:tr>
    </w:tbl>
    <w:p>
      <w:pPr>
        <w:widowControl/>
        <w:jc w:val="left"/>
        <w:outlineLvl w:val="0"/>
        <w:rPr>
          <w:rFonts w:hint="eastAsia" w:ascii="宋体" w:hAnsi="宋体" w:eastAsia="宋体" w:cs="宋体"/>
          <w:bCs/>
          <w:color w:val="000000"/>
          <w:sz w:val="32"/>
          <w:szCs w:val="24"/>
        </w:rPr>
      </w:pPr>
      <w:r>
        <w:rPr>
          <w:rFonts w:hint="eastAsia" w:ascii="宋体" w:hAnsi="宋体" w:eastAsia="宋体" w:cs="宋体"/>
          <w:bCs/>
          <w:color w:val="000000"/>
          <w:kern w:val="44"/>
          <w:sz w:val="32"/>
          <w:szCs w:val="24"/>
          <w:lang w:bidi="ar"/>
        </w:rPr>
        <w:t>《深圳经济特区城市燃气管理条例》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3"/>
        <w:gridCol w:w="1517"/>
        <w:gridCol w:w="1678"/>
        <w:gridCol w:w="2597"/>
        <w:gridCol w:w="1208"/>
        <w:gridCol w:w="1290"/>
        <w:gridCol w:w="2486"/>
        <w:gridCol w:w="24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33"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序号</w:t>
            </w:r>
          </w:p>
        </w:tc>
        <w:tc>
          <w:tcPr>
            <w:tcW w:w="535"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违法行为</w:t>
            </w:r>
          </w:p>
        </w:tc>
        <w:tc>
          <w:tcPr>
            <w:tcW w:w="59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违反条款</w:t>
            </w:r>
          </w:p>
        </w:tc>
        <w:tc>
          <w:tcPr>
            <w:tcW w:w="916"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处罚依据</w:t>
            </w:r>
          </w:p>
        </w:tc>
        <w:tc>
          <w:tcPr>
            <w:tcW w:w="426"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处罚种类</w:t>
            </w:r>
          </w:p>
        </w:tc>
        <w:tc>
          <w:tcPr>
            <w:tcW w:w="455"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裁量阶次</w:t>
            </w:r>
          </w:p>
        </w:tc>
        <w:tc>
          <w:tcPr>
            <w:tcW w:w="877"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适用条件</w:t>
            </w:r>
          </w:p>
        </w:tc>
        <w:tc>
          <w:tcPr>
            <w:tcW w:w="867"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3"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ascii="仿宋_GB2312" w:hAnsi="仿宋_GB2312" w:eastAsia="仿宋_GB2312" w:cs="仿宋_GB2312"/>
                <w:szCs w:val="21"/>
                <w:lang w:bidi="ar"/>
              </w:rPr>
              <w:t>112.</w:t>
            </w:r>
            <w:r>
              <w:rPr>
                <w:rFonts w:hint="eastAsia" w:ascii="仿宋_GB2312" w:hAnsi="仿宋_GB2312" w:eastAsia="仿宋_GB2312" w:cs="仿宋_GB2312"/>
                <w:szCs w:val="21"/>
                <w:lang w:bidi="ar"/>
              </w:rPr>
              <w:t>25</w:t>
            </w:r>
          </w:p>
        </w:tc>
        <w:tc>
          <w:tcPr>
            <w:tcW w:w="535"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color w:val="000000"/>
                <w:szCs w:val="21"/>
              </w:rPr>
            </w:pPr>
          </w:p>
          <w:p>
            <w:pPr>
              <w:rPr>
                <w:rFonts w:hint="eastAsia" w:ascii="仿宋_GB2312" w:hAnsi="仿宋_GB2312" w:eastAsia="仿宋_GB2312" w:cs="仿宋_GB2312"/>
                <w:szCs w:val="21"/>
              </w:rPr>
            </w:pPr>
            <w:r>
              <w:rPr>
                <w:rFonts w:hint="eastAsia" w:ascii="仿宋_GB2312" w:hAnsi="仿宋_GB2312" w:eastAsia="仿宋_GB2312" w:cs="仿宋_GB2312"/>
                <w:lang w:bidi="ar"/>
              </w:rPr>
              <w:t>单位或者个人</w:t>
            </w:r>
            <w:r>
              <w:rPr>
                <w:rFonts w:hint="eastAsia" w:ascii="仿宋_GB2312" w:hAnsi="仿宋_GB2312" w:eastAsia="仿宋_GB2312" w:cs="仿宋_GB2312"/>
                <w:color w:val="000000"/>
                <w:szCs w:val="21"/>
                <w:lang w:bidi="ar"/>
              </w:rPr>
              <w:t>擅自安装、改装、拆除燃气管道及设施和燃气计量装置</w:t>
            </w:r>
            <w:r>
              <w:rPr>
                <w:rFonts w:hint="eastAsia" w:ascii="仿宋_GB2312" w:hAnsi="仿宋_GB2312" w:eastAsia="仿宋_GB2312" w:cs="仿宋_GB2312"/>
                <w:color w:val="000000"/>
                <w:kern w:val="0"/>
                <w:szCs w:val="21"/>
                <w:lang w:bidi="ar"/>
              </w:rPr>
              <w:t>，逾期未改正的</w:t>
            </w:r>
          </w:p>
        </w:tc>
        <w:tc>
          <w:tcPr>
            <w:tcW w:w="592" w:type="pct"/>
            <w:vMerge w:val="restart"/>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szCs w:val="21"/>
              </w:rPr>
            </w:pPr>
            <w:r>
              <w:rPr>
                <w:rFonts w:hint="eastAsia" w:ascii="仿宋_GB2312" w:hAnsi="仿宋_GB2312" w:eastAsia="仿宋_GB2312" w:cs="仿宋_GB2312"/>
                <w:lang w:bidi="ar"/>
              </w:rPr>
              <w:t>第四十六条</w:t>
            </w:r>
            <w:r>
              <w:rPr>
                <w:rFonts w:hint="eastAsia" w:ascii="仿宋_GB2312" w:hAnsi="仿宋_GB2312" w:eastAsia="仿宋_GB2312" w:cs="仿宋_GB2312"/>
                <w:color w:val="000000"/>
                <w:kern w:val="0"/>
                <w:szCs w:val="21"/>
                <w:lang w:bidi="ar"/>
              </w:rPr>
              <w:t>：“</w:t>
            </w:r>
            <w:r>
              <w:rPr>
                <w:rFonts w:hint="eastAsia" w:ascii="仿宋_GB2312" w:hAnsi="仿宋_GB2312" w:eastAsia="仿宋_GB2312" w:cs="仿宋_GB2312"/>
                <w:lang w:bidi="ar"/>
              </w:rPr>
              <w:t>单位或者个人不得有下列行为：（五）擅自安装、改装、拆除燃气管道及设施和燃气计量装置。”</w:t>
            </w:r>
          </w:p>
        </w:tc>
        <w:tc>
          <w:tcPr>
            <w:tcW w:w="916"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第八十一条：“违反本条例第四十六条第一款第一至十一项规定的，由主管部门责令限期改正；逾期未改正的，对单位处五万元以上十万元以下罚款，对个人处一千元以上五千元以下罚款。”</w:t>
            </w:r>
          </w:p>
        </w:tc>
        <w:tc>
          <w:tcPr>
            <w:tcW w:w="426"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罚款</w:t>
            </w:r>
          </w:p>
        </w:tc>
        <w:tc>
          <w:tcPr>
            <w:tcW w:w="455"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从轻</w:t>
            </w:r>
          </w:p>
        </w:tc>
        <w:tc>
          <w:tcPr>
            <w:tcW w:w="877"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擅自安装、改装、拆除燃气管道及设施或燃气计量装置</w:t>
            </w:r>
            <w:r>
              <w:rPr>
                <w:rFonts w:hint="eastAsia" w:ascii="仿宋_GB2312" w:hAnsi="仿宋_GB2312" w:eastAsia="仿宋_GB2312" w:cs="仿宋_GB2312"/>
                <w:kern w:val="0"/>
                <w:szCs w:val="21"/>
                <w:lang w:bidi="ar"/>
              </w:rPr>
              <w:t>三处（次）以下的</w:t>
            </w:r>
          </w:p>
        </w:tc>
        <w:tc>
          <w:tcPr>
            <w:tcW w:w="867"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对单位处五万元以上、低于七万五千元罚款，</w:t>
            </w:r>
            <w:r>
              <w:rPr>
                <w:rFonts w:hint="eastAsia" w:ascii="仿宋_GB2312" w:hAnsi="仿宋_GB2312" w:eastAsia="仿宋_GB2312" w:cs="仿宋_GB2312"/>
                <w:color w:val="000000"/>
                <w:kern w:val="0"/>
                <w:szCs w:val="21"/>
                <w:lang w:bidi="ar"/>
              </w:rPr>
              <w:t>对个人处一千元以上、低于三千元罚款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3"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5"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92"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916"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26"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55"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一般</w:t>
            </w:r>
          </w:p>
        </w:tc>
        <w:tc>
          <w:tcPr>
            <w:tcW w:w="877"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擅自安装、改装、拆除燃气管道及设施或燃气计量装置超过三</w:t>
            </w:r>
            <w:r>
              <w:rPr>
                <w:rFonts w:hint="eastAsia" w:ascii="仿宋_GB2312" w:hAnsi="仿宋_GB2312" w:eastAsia="仿宋_GB2312" w:cs="仿宋_GB2312"/>
                <w:kern w:val="0"/>
                <w:szCs w:val="21"/>
                <w:lang w:bidi="ar"/>
              </w:rPr>
              <w:t>处（次）、五处（次）以下的</w:t>
            </w:r>
          </w:p>
        </w:tc>
        <w:tc>
          <w:tcPr>
            <w:tcW w:w="867"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对单位处七万五千元罚款，</w:t>
            </w:r>
            <w:r>
              <w:rPr>
                <w:rFonts w:hint="eastAsia" w:ascii="仿宋_GB2312" w:hAnsi="仿宋_GB2312" w:eastAsia="仿宋_GB2312" w:cs="仿宋_GB2312"/>
                <w:color w:val="000000"/>
                <w:kern w:val="0"/>
                <w:szCs w:val="21"/>
                <w:lang w:bidi="ar"/>
              </w:rPr>
              <w:t>对个人处三千元罚款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3"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5"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92"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916"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26"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55"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从重</w:t>
            </w:r>
          </w:p>
        </w:tc>
        <w:tc>
          <w:tcPr>
            <w:tcW w:w="877"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擅自安装、改装、拆除燃气管道及设施或燃气计量装置超过五</w:t>
            </w:r>
            <w:r>
              <w:rPr>
                <w:rFonts w:hint="eastAsia" w:ascii="仿宋_GB2312" w:hAnsi="仿宋_GB2312" w:eastAsia="仿宋_GB2312" w:cs="仿宋_GB2312"/>
                <w:kern w:val="0"/>
                <w:szCs w:val="21"/>
                <w:lang w:bidi="ar"/>
              </w:rPr>
              <w:t>处（次）的</w:t>
            </w:r>
          </w:p>
        </w:tc>
        <w:tc>
          <w:tcPr>
            <w:tcW w:w="867"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对单位处超过七万五千元、十万元以下罚款，</w:t>
            </w:r>
            <w:r>
              <w:rPr>
                <w:rFonts w:hint="eastAsia" w:ascii="仿宋_GB2312" w:hAnsi="仿宋_GB2312" w:eastAsia="仿宋_GB2312" w:cs="仿宋_GB2312"/>
                <w:color w:val="000000"/>
                <w:kern w:val="0"/>
                <w:szCs w:val="21"/>
                <w:lang w:bidi="ar"/>
              </w:rPr>
              <w:t>对个人处超过三千元、五千元以下罚款</w:t>
            </w:r>
          </w:p>
        </w:tc>
      </w:tr>
    </w:tbl>
    <w:p>
      <w:pPr>
        <w:widowControl/>
        <w:jc w:val="left"/>
        <w:outlineLvl w:val="0"/>
        <w:rPr>
          <w:rFonts w:hint="eastAsia" w:ascii="宋体" w:hAnsi="宋体" w:eastAsia="宋体" w:cs="宋体"/>
          <w:bCs/>
          <w:color w:val="000000"/>
          <w:sz w:val="32"/>
          <w:szCs w:val="24"/>
        </w:rPr>
      </w:pPr>
      <w:r>
        <w:rPr>
          <w:rFonts w:hint="eastAsia" w:ascii="宋体" w:hAnsi="宋体" w:eastAsia="宋体" w:cs="宋体"/>
          <w:bCs/>
          <w:color w:val="000000"/>
          <w:kern w:val="44"/>
          <w:sz w:val="32"/>
          <w:szCs w:val="24"/>
          <w:lang w:bidi="ar"/>
        </w:rPr>
        <w:t>《深圳经济特区城市燃气管理条例》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6"/>
        <w:gridCol w:w="1500"/>
        <w:gridCol w:w="1599"/>
        <w:gridCol w:w="2645"/>
        <w:gridCol w:w="1211"/>
        <w:gridCol w:w="1273"/>
        <w:gridCol w:w="1744"/>
        <w:gridCol w:w="32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3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序号</w:t>
            </w:r>
          </w:p>
        </w:tc>
        <w:tc>
          <w:tcPr>
            <w:tcW w:w="529"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违法行为</w:t>
            </w:r>
          </w:p>
        </w:tc>
        <w:tc>
          <w:tcPr>
            <w:tcW w:w="564"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违反条款</w:t>
            </w:r>
          </w:p>
        </w:tc>
        <w:tc>
          <w:tcPr>
            <w:tcW w:w="933"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处罚依据</w:t>
            </w:r>
          </w:p>
        </w:tc>
        <w:tc>
          <w:tcPr>
            <w:tcW w:w="427"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处罚种类</w:t>
            </w:r>
          </w:p>
        </w:tc>
        <w:tc>
          <w:tcPr>
            <w:tcW w:w="449"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裁量阶次</w:t>
            </w:r>
          </w:p>
        </w:tc>
        <w:tc>
          <w:tcPr>
            <w:tcW w:w="615"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适用条件</w:t>
            </w:r>
          </w:p>
        </w:tc>
        <w:tc>
          <w:tcPr>
            <w:tcW w:w="115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0"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ascii="仿宋_GB2312" w:hAnsi="仿宋_GB2312" w:eastAsia="仿宋_GB2312" w:cs="仿宋_GB2312"/>
                <w:szCs w:val="21"/>
                <w:lang w:bidi="ar"/>
              </w:rPr>
              <w:t>112.</w:t>
            </w:r>
            <w:r>
              <w:rPr>
                <w:rFonts w:hint="eastAsia" w:ascii="仿宋_GB2312" w:hAnsi="仿宋_GB2312" w:eastAsia="仿宋_GB2312" w:cs="仿宋_GB2312"/>
                <w:szCs w:val="21"/>
                <w:lang w:bidi="ar"/>
              </w:rPr>
              <w:t>26</w:t>
            </w:r>
          </w:p>
        </w:tc>
        <w:tc>
          <w:tcPr>
            <w:tcW w:w="529"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color w:val="000000"/>
                <w:szCs w:val="21"/>
              </w:rPr>
            </w:pPr>
          </w:p>
          <w:p>
            <w:pPr>
              <w:rPr>
                <w:rFonts w:hint="eastAsia" w:ascii="仿宋_GB2312" w:hAnsi="仿宋_GB2312" w:eastAsia="仿宋_GB2312" w:cs="仿宋_GB2312"/>
                <w:color w:val="000000"/>
                <w:szCs w:val="21"/>
              </w:rPr>
            </w:pPr>
          </w:p>
          <w:p>
            <w:pPr>
              <w:rPr>
                <w:rFonts w:hint="eastAsia" w:ascii="仿宋_GB2312" w:hAnsi="仿宋_GB2312" w:eastAsia="仿宋_GB2312" w:cs="仿宋_GB2312"/>
                <w:szCs w:val="21"/>
              </w:rPr>
            </w:pPr>
            <w:r>
              <w:rPr>
                <w:rFonts w:hint="eastAsia" w:ascii="仿宋_GB2312" w:hAnsi="仿宋_GB2312" w:eastAsia="仿宋_GB2312" w:cs="仿宋_GB2312"/>
                <w:lang w:bidi="ar"/>
              </w:rPr>
              <w:t>单位或者个人</w:t>
            </w:r>
            <w:r>
              <w:rPr>
                <w:rFonts w:hint="eastAsia" w:ascii="仿宋_GB2312" w:hAnsi="仿宋_GB2312" w:eastAsia="仿宋_GB2312" w:cs="仿宋_GB2312"/>
                <w:color w:val="000000"/>
                <w:szCs w:val="21"/>
                <w:lang w:bidi="ar"/>
              </w:rPr>
              <w:t>擅自改变燃气用途或者转供燃气</w:t>
            </w:r>
            <w:r>
              <w:rPr>
                <w:rFonts w:hint="eastAsia" w:ascii="仿宋_GB2312" w:hAnsi="仿宋_GB2312" w:eastAsia="仿宋_GB2312" w:cs="仿宋_GB2312"/>
                <w:color w:val="000000"/>
                <w:kern w:val="0"/>
                <w:szCs w:val="21"/>
                <w:lang w:bidi="ar"/>
              </w:rPr>
              <w:t>的</w:t>
            </w:r>
          </w:p>
        </w:tc>
        <w:tc>
          <w:tcPr>
            <w:tcW w:w="564" w:type="pct"/>
            <w:vMerge w:val="restart"/>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szCs w:val="21"/>
              </w:rPr>
            </w:pPr>
            <w:r>
              <w:rPr>
                <w:rFonts w:hint="eastAsia" w:ascii="仿宋_GB2312" w:hAnsi="仿宋_GB2312" w:eastAsia="仿宋_GB2312" w:cs="仿宋_GB2312"/>
                <w:lang w:bidi="ar"/>
              </w:rPr>
              <w:t>第四十六条</w:t>
            </w:r>
            <w:r>
              <w:rPr>
                <w:rFonts w:hint="eastAsia" w:ascii="仿宋_GB2312" w:hAnsi="仿宋_GB2312" w:eastAsia="仿宋_GB2312" w:cs="仿宋_GB2312"/>
                <w:color w:val="000000"/>
                <w:kern w:val="0"/>
                <w:szCs w:val="21"/>
                <w:lang w:bidi="ar"/>
              </w:rPr>
              <w:t>：“</w:t>
            </w:r>
            <w:r>
              <w:rPr>
                <w:rFonts w:hint="eastAsia" w:ascii="仿宋_GB2312" w:hAnsi="仿宋_GB2312" w:eastAsia="仿宋_GB2312" w:cs="仿宋_GB2312"/>
                <w:lang w:bidi="ar"/>
              </w:rPr>
              <w:t>单位或者个人不得有下列行为：（六）擅自改变燃气用途或者转供燃气。”</w:t>
            </w:r>
          </w:p>
        </w:tc>
        <w:tc>
          <w:tcPr>
            <w:tcW w:w="933"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第八十一条：“违反本条例第四十六条第一款第一至十一项规定的，由主管部门责令限期改正；逾期未改正的，对单位处五万元以上十万元以下罚款，对个人处一千元以上五千元以下罚款。”</w:t>
            </w:r>
          </w:p>
        </w:tc>
        <w:tc>
          <w:tcPr>
            <w:tcW w:w="427"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罚款</w:t>
            </w:r>
          </w:p>
        </w:tc>
        <w:tc>
          <w:tcPr>
            <w:tcW w:w="449"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从轻</w:t>
            </w:r>
          </w:p>
        </w:tc>
        <w:tc>
          <w:tcPr>
            <w:tcW w:w="615"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非以盈利为目的的</w:t>
            </w:r>
          </w:p>
        </w:tc>
        <w:tc>
          <w:tcPr>
            <w:tcW w:w="1152"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对单位处五万元以上、低于七万五千元罚款，</w:t>
            </w:r>
            <w:r>
              <w:rPr>
                <w:rFonts w:hint="eastAsia" w:ascii="仿宋_GB2312" w:hAnsi="仿宋_GB2312" w:eastAsia="仿宋_GB2312" w:cs="仿宋_GB2312"/>
                <w:color w:val="000000"/>
                <w:kern w:val="0"/>
                <w:szCs w:val="21"/>
                <w:lang w:bidi="ar"/>
              </w:rPr>
              <w:t>对个人处一千元以上、低于三千元罚款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29"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64"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933"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27"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49"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一般</w:t>
            </w:r>
          </w:p>
        </w:tc>
        <w:tc>
          <w:tcPr>
            <w:tcW w:w="615"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以盈利为目的，涉案金额在三千元以下的</w:t>
            </w:r>
          </w:p>
        </w:tc>
        <w:tc>
          <w:tcPr>
            <w:tcW w:w="1152"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对单位处七万五千元罚款，</w:t>
            </w:r>
            <w:r>
              <w:rPr>
                <w:rFonts w:hint="eastAsia" w:ascii="仿宋_GB2312" w:hAnsi="仿宋_GB2312" w:eastAsia="仿宋_GB2312" w:cs="仿宋_GB2312"/>
                <w:color w:val="000000"/>
                <w:kern w:val="0"/>
                <w:szCs w:val="21"/>
                <w:lang w:bidi="ar"/>
              </w:rPr>
              <w:t>对个人处三千元罚款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29"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64"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933"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27"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49"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从重</w:t>
            </w:r>
          </w:p>
        </w:tc>
        <w:tc>
          <w:tcPr>
            <w:tcW w:w="615"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以盈利为目的，涉案金额超过三千元的</w:t>
            </w:r>
          </w:p>
        </w:tc>
        <w:tc>
          <w:tcPr>
            <w:tcW w:w="1152"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对单位处超过七万五千元、十万元以下罚款，</w:t>
            </w:r>
            <w:r>
              <w:rPr>
                <w:rFonts w:hint="eastAsia" w:ascii="仿宋_GB2312" w:hAnsi="仿宋_GB2312" w:eastAsia="仿宋_GB2312" w:cs="仿宋_GB2312"/>
                <w:color w:val="000000"/>
                <w:kern w:val="0"/>
                <w:szCs w:val="21"/>
                <w:lang w:bidi="ar"/>
              </w:rPr>
              <w:t>对个人处超过三千元、五千元以下罚款</w:t>
            </w:r>
          </w:p>
        </w:tc>
      </w:tr>
    </w:tbl>
    <w:p>
      <w:pPr>
        <w:widowControl/>
        <w:jc w:val="left"/>
        <w:outlineLvl w:val="0"/>
        <w:rPr>
          <w:rFonts w:hint="eastAsia" w:ascii="宋体" w:hAnsi="宋体" w:eastAsia="宋体" w:cs="宋体"/>
          <w:bCs/>
          <w:color w:val="000000"/>
          <w:sz w:val="32"/>
          <w:szCs w:val="24"/>
        </w:rPr>
      </w:pPr>
      <w:r>
        <w:rPr>
          <w:rFonts w:hint="eastAsia" w:ascii="宋体" w:hAnsi="宋体" w:eastAsia="宋体" w:cs="宋体"/>
          <w:bCs/>
          <w:color w:val="000000"/>
          <w:kern w:val="44"/>
          <w:sz w:val="32"/>
          <w:szCs w:val="24"/>
          <w:lang w:bidi="ar"/>
        </w:rPr>
        <w:t>《深圳经济特区城市燃气管理条例》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8"/>
        <w:gridCol w:w="1508"/>
        <w:gridCol w:w="1670"/>
        <w:gridCol w:w="2438"/>
        <w:gridCol w:w="1500"/>
        <w:gridCol w:w="1273"/>
        <w:gridCol w:w="2208"/>
        <w:gridCol w:w="263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3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序号</w:t>
            </w:r>
          </w:p>
        </w:tc>
        <w:tc>
          <w:tcPr>
            <w:tcW w:w="53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违法行为</w:t>
            </w:r>
          </w:p>
        </w:tc>
        <w:tc>
          <w:tcPr>
            <w:tcW w:w="589"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违反条款</w:t>
            </w:r>
          </w:p>
        </w:tc>
        <w:tc>
          <w:tcPr>
            <w:tcW w:w="86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处罚依据</w:t>
            </w:r>
          </w:p>
        </w:tc>
        <w:tc>
          <w:tcPr>
            <w:tcW w:w="529"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处罚种类</w:t>
            </w:r>
          </w:p>
        </w:tc>
        <w:tc>
          <w:tcPr>
            <w:tcW w:w="449"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裁量阶次</w:t>
            </w:r>
          </w:p>
        </w:tc>
        <w:tc>
          <w:tcPr>
            <w:tcW w:w="779"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适用条件</w:t>
            </w:r>
          </w:p>
        </w:tc>
        <w:tc>
          <w:tcPr>
            <w:tcW w:w="93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1"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ascii="仿宋_GB2312" w:hAnsi="仿宋_GB2312" w:eastAsia="仿宋_GB2312" w:cs="仿宋_GB2312"/>
                <w:szCs w:val="21"/>
                <w:lang w:bidi="ar"/>
              </w:rPr>
              <w:t>112.</w:t>
            </w:r>
            <w:r>
              <w:rPr>
                <w:rFonts w:hint="eastAsia" w:ascii="仿宋_GB2312" w:hAnsi="仿宋_GB2312" w:eastAsia="仿宋_GB2312" w:cs="仿宋_GB2312"/>
                <w:szCs w:val="21"/>
                <w:lang w:bidi="ar"/>
              </w:rPr>
              <w:t>27</w:t>
            </w:r>
          </w:p>
        </w:tc>
        <w:tc>
          <w:tcPr>
            <w:tcW w:w="532"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color w:val="000000"/>
                <w:szCs w:val="21"/>
              </w:rPr>
            </w:pPr>
          </w:p>
          <w:p>
            <w:pPr>
              <w:rPr>
                <w:rFonts w:hint="eastAsia" w:ascii="仿宋_GB2312" w:hAnsi="仿宋_GB2312" w:eastAsia="仿宋_GB2312" w:cs="仿宋_GB2312"/>
                <w:color w:val="000000"/>
                <w:szCs w:val="21"/>
              </w:rPr>
            </w:pPr>
          </w:p>
          <w:p>
            <w:pPr>
              <w:rPr>
                <w:rFonts w:hint="eastAsia" w:ascii="仿宋_GB2312" w:hAnsi="仿宋_GB2312" w:eastAsia="仿宋_GB2312" w:cs="仿宋_GB2312"/>
                <w:szCs w:val="21"/>
              </w:rPr>
            </w:pPr>
            <w:r>
              <w:rPr>
                <w:rFonts w:hint="eastAsia" w:ascii="仿宋_GB2312" w:hAnsi="仿宋_GB2312" w:eastAsia="仿宋_GB2312" w:cs="仿宋_GB2312"/>
                <w:lang w:bidi="ar"/>
              </w:rPr>
              <w:t>单位或者个人</w:t>
            </w:r>
            <w:r>
              <w:rPr>
                <w:rFonts w:hint="eastAsia" w:ascii="仿宋_GB2312" w:hAnsi="仿宋_GB2312" w:eastAsia="仿宋_GB2312" w:cs="仿宋_GB2312"/>
                <w:color w:val="000000"/>
                <w:szCs w:val="21"/>
                <w:lang w:bidi="ar"/>
              </w:rPr>
              <w:t>擅自倾倒燃气气瓶残液，或者用气瓶相互倒灌燃气</w:t>
            </w:r>
            <w:r>
              <w:rPr>
                <w:rFonts w:hint="eastAsia" w:ascii="仿宋_GB2312" w:hAnsi="仿宋_GB2312" w:eastAsia="仿宋_GB2312" w:cs="仿宋_GB2312"/>
                <w:color w:val="000000"/>
                <w:kern w:val="0"/>
                <w:szCs w:val="21"/>
                <w:lang w:bidi="ar"/>
              </w:rPr>
              <w:t>，逾期未改正的</w:t>
            </w:r>
          </w:p>
        </w:tc>
        <w:tc>
          <w:tcPr>
            <w:tcW w:w="589" w:type="pct"/>
            <w:vMerge w:val="restart"/>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szCs w:val="21"/>
              </w:rPr>
            </w:pPr>
            <w:r>
              <w:rPr>
                <w:rFonts w:hint="eastAsia" w:ascii="仿宋_GB2312" w:hAnsi="仿宋_GB2312" w:eastAsia="仿宋_GB2312" w:cs="仿宋_GB2312"/>
                <w:lang w:bidi="ar"/>
              </w:rPr>
              <w:t>第四十六条</w:t>
            </w:r>
            <w:r>
              <w:rPr>
                <w:rFonts w:hint="eastAsia" w:ascii="仿宋_GB2312" w:hAnsi="仿宋_GB2312" w:eastAsia="仿宋_GB2312" w:cs="仿宋_GB2312"/>
                <w:color w:val="000000"/>
                <w:kern w:val="0"/>
                <w:szCs w:val="21"/>
                <w:lang w:bidi="ar"/>
              </w:rPr>
              <w:t>：“</w:t>
            </w:r>
            <w:r>
              <w:rPr>
                <w:rFonts w:hint="eastAsia" w:ascii="仿宋_GB2312" w:hAnsi="仿宋_GB2312" w:eastAsia="仿宋_GB2312" w:cs="仿宋_GB2312"/>
                <w:lang w:bidi="ar"/>
              </w:rPr>
              <w:t>单位或者个人不得有下列行为：（七）擅自倾倒燃气气瓶残液，或者用气瓶相互倒灌燃气。”</w:t>
            </w:r>
          </w:p>
        </w:tc>
        <w:tc>
          <w:tcPr>
            <w:tcW w:w="860"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第八十一条：“违反本条例第四十六条第一款第一至十一项规定的，由主管部门责令限期改正；逾期未改正的，对单位处五万元以上十万元以下罚款，对个人处一千元以上五千元以下罚款。”</w:t>
            </w:r>
          </w:p>
        </w:tc>
        <w:tc>
          <w:tcPr>
            <w:tcW w:w="529"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罚款</w:t>
            </w:r>
          </w:p>
        </w:tc>
        <w:tc>
          <w:tcPr>
            <w:tcW w:w="449"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从轻</w:t>
            </w:r>
          </w:p>
        </w:tc>
        <w:tc>
          <w:tcPr>
            <w:tcW w:w="779"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擅自倾倒燃气气瓶残液或者用气瓶相互倒灌燃气</w:t>
            </w:r>
            <w:r>
              <w:rPr>
                <w:rFonts w:hint="eastAsia" w:ascii="仿宋_GB2312" w:hAnsi="仿宋_GB2312" w:eastAsia="仿宋_GB2312" w:cs="仿宋_GB2312"/>
                <w:kern w:val="0"/>
                <w:szCs w:val="21"/>
                <w:lang w:bidi="ar"/>
              </w:rPr>
              <w:t>三瓶（次）以下的</w:t>
            </w:r>
          </w:p>
        </w:tc>
        <w:tc>
          <w:tcPr>
            <w:tcW w:w="931"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对单位处五万元以上、低于七万五千元罚款，</w:t>
            </w:r>
            <w:r>
              <w:rPr>
                <w:rFonts w:hint="eastAsia" w:ascii="仿宋_GB2312" w:hAnsi="仿宋_GB2312" w:eastAsia="仿宋_GB2312" w:cs="仿宋_GB2312"/>
                <w:color w:val="000000"/>
                <w:kern w:val="0"/>
                <w:szCs w:val="21"/>
                <w:lang w:bidi="ar"/>
              </w:rPr>
              <w:t>对个人处一千元以上、低于三千元罚款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2"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89"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86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29"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49"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一般</w:t>
            </w:r>
          </w:p>
        </w:tc>
        <w:tc>
          <w:tcPr>
            <w:tcW w:w="779"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擅自倾倒燃气气瓶残液或者用气瓶相互倒灌燃气超过三</w:t>
            </w:r>
            <w:r>
              <w:rPr>
                <w:rFonts w:hint="eastAsia" w:ascii="仿宋_GB2312" w:hAnsi="仿宋_GB2312" w:eastAsia="仿宋_GB2312" w:cs="仿宋_GB2312"/>
                <w:kern w:val="0"/>
                <w:szCs w:val="21"/>
                <w:lang w:bidi="ar"/>
              </w:rPr>
              <w:t>瓶（次）、五瓶（次）以下的</w:t>
            </w:r>
          </w:p>
        </w:tc>
        <w:tc>
          <w:tcPr>
            <w:tcW w:w="931"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对单位处七万五千元罚款，</w:t>
            </w:r>
            <w:r>
              <w:rPr>
                <w:rFonts w:hint="eastAsia" w:ascii="仿宋_GB2312" w:hAnsi="仿宋_GB2312" w:eastAsia="仿宋_GB2312" w:cs="仿宋_GB2312"/>
                <w:color w:val="000000"/>
                <w:kern w:val="0"/>
                <w:szCs w:val="21"/>
                <w:lang w:bidi="ar"/>
              </w:rPr>
              <w:t>对个人处三千元罚款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2"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89"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86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29"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49"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从重</w:t>
            </w:r>
          </w:p>
        </w:tc>
        <w:tc>
          <w:tcPr>
            <w:tcW w:w="779"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擅自倾倒燃气气瓶残液或者用气瓶相互倒灌燃气超过五</w:t>
            </w:r>
            <w:r>
              <w:rPr>
                <w:rFonts w:hint="eastAsia" w:ascii="仿宋_GB2312" w:hAnsi="仿宋_GB2312" w:eastAsia="仿宋_GB2312" w:cs="仿宋_GB2312"/>
                <w:kern w:val="0"/>
                <w:szCs w:val="21"/>
                <w:lang w:bidi="ar"/>
              </w:rPr>
              <w:t>瓶（次）的</w:t>
            </w:r>
          </w:p>
        </w:tc>
        <w:tc>
          <w:tcPr>
            <w:tcW w:w="931"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对单位处超过七万五千元、十万元以下罚款，</w:t>
            </w:r>
            <w:r>
              <w:rPr>
                <w:rFonts w:hint="eastAsia" w:ascii="仿宋_GB2312" w:hAnsi="仿宋_GB2312" w:eastAsia="仿宋_GB2312" w:cs="仿宋_GB2312"/>
                <w:color w:val="000000"/>
                <w:kern w:val="0"/>
                <w:szCs w:val="21"/>
                <w:lang w:bidi="ar"/>
              </w:rPr>
              <w:t>对个人处超过三千元、五千元以下罚款</w:t>
            </w:r>
          </w:p>
        </w:tc>
      </w:tr>
    </w:tbl>
    <w:p>
      <w:pPr>
        <w:widowControl/>
        <w:jc w:val="left"/>
        <w:outlineLvl w:val="0"/>
        <w:rPr>
          <w:rFonts w:hint="eastAsia" w:ascii="仿宋_GB2312" w:hAnsi="仿宋_GB2312" w:eastAsia="仿宋_GB2312" w:cs="仿宋_GB2312"/>
          <w:bCs/>
          <w:color w:val="000000"/>
          <w:sz w:val="32"/>
          <w:szCs w:val="24"/>
        </w:rPr>
      </w:pPr>
      <w:r>
        <w:rPr>
          <w:rFonts w:hint="eastAsia" w:ascii="宋体" w:hAnsi="宋体" w:eastAsia="宋体" w:cs="宋体"/>
          <w:bCs/>
          <w:color w:val="000000"/>
          <w:kern w:val="44"/>
          <w:sz w:val="32"/>
          <w:szCs w:val="24"/>
          <w:lang w:bidi="ar"/>
        </w:rPr>
        <w:t>《深圳经济特区城市燃气管理条例》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6"/>
        <w:gridCol w:w="1522"/>
        <w:gridCol w:w="1684"/>
        <w:gridCol w:w="2645"/>
        <w:gridCol w:w="1174"/>
        <w:gridCol w:w="1650"/>
        <w:gridCol w:w="2262"/>
        <w:gridCol w:w="229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34"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序号</w:t>
            </w:r>
          </w:p>
        </w:tc>
        <w:tc>
          <w:tcPr>
            <w:tcW w:w="537"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违法行为</w:t>
            </w:r>
          </w:p>
        </w:tc>
        <w:tc>
          <w:tcPr>
            <w:tcW w:w="594"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违反条款</w:t>
            </w:r>
          </w:p>
        </w:tc>
        <w:tc>
          <w:tcPr>
            <w:tcW w:w="933"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处罚依据</w:t>
            </w:r>
          </w:p>
        </w:tc>
        <w:tc>
          <w:tcPr>
            <w:tcW w:w="414"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处罚种类</w:t>
            </w:r>
          </w:p>
        </w:tc>
        <w:tc>
          <w:tcPr>
            <w:tcW w:w="58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裁量阶次</w:t>
            </w:r>
          </w:p>
        </w:tc>
        <w:tc>
          <w:tcPr>
            <w:tcW w:w="798"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适用条件</w:t>
            </w:r>
          </w:p>
        </w:tc>
        <w:tc>
          <w:tcPr>
            <w:tcW w:w="809"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4"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ascii="仿宋_GB2312" w:hAnsi="仿宋_GB2312" w:eastAsia="仿宋_GB2312" w:cs="仿宋_GB2312"/>
                <w:szCs w:val="21"/>
                <w:lang w:bidi="ar"/>
              </w:rPr>
              <w:t>112.</w:t>
            </w:r>
            <w:r>
              <w:rPr>
                <w:rFonts w:hint="eastAsia" w:ascii="仿宋_GB2312" w:hAnsi="仿宋_GB2312" w:eastAsia="仿宋_GB2312" w:cs="仿宋_GB2312"/>
                <w:szCs w:val="21"/>
                <w:lang w:bidi="ar"/>
              </w:rPr>
              <w:t>28</w:t>
            </w:r>
          </w:p>
        </w:tc>
        <w:tc>
          <w:tcPr>
            <w:tcW w:w="537"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color w:val="000000"/>
                <w:szCs w:val="21"/>
              </w:rPr>
            </w:pPr>
          </w:p>
          <w:p>
            <w:pPr>
              <w:rPr>
                <w:rFonts w:hint="eastAsia" w:ascii="仿宋_GB2312" w:hAnsi="仿宋_GB2312" w:eastAsia="仿宋_GB2312" w:cs="仿宋_GB2312"/>
                <w:color w:val="000000"/>
                <w:szCs w:val="21"/>
              </w:rPr>
            </w:pPr>
          </w:p>
          <w:p>
            <w:pPr>
              <w:rPr>
                <w:rFonts w:hint="eastAsia" w:ascii="仿宋_GB2312" w:hAnsi="仿宋_GB2312" w:eastAsia="仿宋_GB2312" w:cs="仿宋_GB2312"/>
                <w:color w:val="000000"/>
                <w:szCs w:val="21"/>
              </w:rPr>
            </w:pPr>
          </w:p>
          <w:p>
            <w:pPr>
              <w:rPr>
                <w:rFonts w:hint="eastAsia" w:ascii="仿宋_GB2312" w:hAnsi="仿宋_GB2312" w:eastAsia="仿宋_GB2312" w:cs="仿宋_GB2312"/>
                <w:color w:val="000000"/>
                <w:szCs w:val="21"/>
              </w:rPr>
            </w:pPr>
            <w:r>
              <w:rPr>
                <w:rFonts w:hint="eastAsia" w:ascii="仿宋_GB2312" w:hAnsi="仿宋_GB2312" w:eastAsia="仿宋_GB2312" w:cs="仿宋_GB2312"/>
                <w:lang w:bidi="ar"/>
              </w:rPr>
              <w:t>单位或者个人</w:t>
            </w:r>
            <w:r>
              <w:rPr>
                <w:rFonts w:hint="eastAsia" w:ascii="仿宋_GB2312" w:hAnsi="仿宋_GB2312" w:eastAsia="仿宋_GB2312" w:cs="仿宋_GB2312"/>
                <w:color w:val="000000"/>
                <w:szCs w:val="21"/>
                <w:lang w:bidi="ar"/>
              </w:rPr>
              <w:t>加热、摔砸、倒卧、曝晒燃气气瓶或者改换气瓶检验标志</w:t>
            </w:r>
            <w:r>
              <w:rPr>
                <w:rFonts w:hint="eastAsia" w:ascii="仿宋_GB2312" w:hAnsi="仿宋_GB2312" w:eastAsia="仿宋_GB2312" w:cs="仿宋_GB2312"/>
                <w:color w:val="000000"/>
                <w:kern w:val="0"/>
                <w:szCs w:val="21"/>
                <w:lang w:bidi="ar"/>
              </w:rPr>
              <w:t>的</w:t>
            </w:r>
          </w:p>
          <w:p>
            <w:pPr>
              <w:rPr>
                <w:rFonts w:hint="eastAsia" w:ascii="仿宋_GB2312" w:hAnsi="仿宋_GB2312" w:eastAsia="仿宋_GB2312" w:cs="仿宋_GB2312"/>
                <w:szCs w:val="21"/>
              </w:rPr>
            </w:pPr>
          </w:p>
        </w:tc>
        <w:tc>
          <w:tcPr>
            <w:tcW w:w="594" w:type="pct"/>
            <w:vMerge w:val="restart"/>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szCs w:val="21"/>
              </w:rPr>
            </w:pPr>
            <w:r>
              <w:rPr>
                <w:rFonts w:hint="eastAsia" w:ascii="仿宋_GB2312" w:hAnsi="仿宋_GB2312" w:eastAsia="仿宋_GB2312" w:cs="仿宋_GB2312"/>
                <w:lang w:bidi="ar"/>
              </w:rPr>
              <w:t>第四十六条</w:t>
            </w:r>
            <w:r>
              <w:rPr>
                <w:rFonts w:hint="eastAsia" w:ascii="仿宋_GB2312" w:hAnsi="仿宋_GB2312" w:eastAsia="仿宋_GB2312" w:cs="仿宋_GB2312"/>
                <w:color w:val="000000"/>
                <w:kern w:val="0"/>
                <w:szCs w:val="21"/>
                <w:lang w:bidi="ar"/>
              </w:rPr>
              <w:t>：“</w:t>
            </w:r>
            <w:r>
              <w:rPr>
                <w:rFonts w:hint="eastAsia" w:ascii="仿宋_GB2312" w:hAnsi="仿宋_GB2312" w:eastAsia="仿宋_GB2312" w:cs="仿宋_GB2312"/>
                <w:lang w:bidi="ar"/>
              </w:rPr>
              <w:t>单位或者个人不得有下列行为：（八）加热、摔砸、倒卧、曝晒燃气气瓶或者改换气瓶检验标志。”</w:t>
            </w:r>
          </w:p>
        </w:tc>
        <w:tc>
          <w:tcPr>
            <w:tcW w:w="933"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第八十一条：“违反本条例第四十六条第一款第一至十一项规定的，由主管部门责令限期改正；逾期未改正的，对单位处五万元以上十万元以下罚款，对个人处一千元以上五千元以下罚款。”</w:t>
            </w:r>
          </w:p>
        </w:tc>
        <w:tc>
          <w:tcPr>
            <w:tcW w:w="414"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罚款</w:t>
            </w:r>
          </w:p>
        </w:tc>
        <w:tc>
          <w:tcPr>
            <w:tcW w:w="58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从轻</w:t>
            </w:r>
          </w:p>
        </w:tc>
        <w:tc>
          <w:tcPr>
            <w:tcW w:w="798"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加热、摔砸、倒卧、曝晒燃气气瓶或者改换气瓶检验标志</w:t>
            </w:r>
            <w:r>
              <w:rPr>
                <w:rFonts w:hint="eastAsia" w:ascii="仿宋_GB2312" w:hAnsi="仿宋_GB2312" w:eastAsia="仿宋_GB2312" w:cs="仿宋_GB2312"/>
                <w:kern w:val="0"/>
                <w:szCs w:val="21"/>
                <w:lang w:bidi="ar"/>
              </w:rPr>
              <w:t>三瓶（次）以下的</w:t>
            </w:r>
          </w:p>
        </w:tc>
        <w:tc>
          <w:tcPr>
            <w:tcW w:w="809"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对单位处五万元以上、低于七万五千元罚款，</w:t>
            </w:r>
            <w:r>
              <w:rPr>
                <w:rFonts w:hint="eastAsia" w:ascii="仿宋_GB2312" w:hAnsi="仿宋_GB2312" w:eastAsia="仿宋_GB2312" w:cs="仿宋_GB2312"/>
                <w:color w:val="000000"/>
                <w:kern w:val="0"/>
                <w:szCs w:val="21"/>
                <w:lang w:bidi="ar"/>
              </w:rPr>
              <w:t>对个人处一千元以上、低于三千元罚款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4"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7"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94"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933"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14"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8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一般</w:t>
            </w:r>
          </w:p>
        </w:tc>
        <w:tc>
          <w:tcPr>
            <w:tcW w:w="798"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加热、摔砸、倒卧、曝晒燃气气瓶或者改换气瓶检验标志超过三</w:t>
            </w:r>
            <w:r>
              <w:rPr>
                <w:rFonts w:hint="eastAsia" w:ascii="仿宋_GB2312" w:hAnsi="仿宋_GB2312" w:eastAsia="仿宋_GB2312" w:cs="仿宋_GB2312"/>
                <w:kern w:val="0"/>
                <w:szCs w:val="21"/>
                <w:lang w:bidi="ar"/>
              </w:rPr>
              <w:t>瓶（次）、五瓶（次）以下的</w:t>
            </w:r>
          </w:p>
        </w:tc>
        <w:tc>
          <w:tcPr>
            <w:tcW w:w="809"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对单位处七万五千元罚款，</w:t>
            </w:r>
            <w:r>
              <w:rPr>
                <w:rFonts w:hint="eastAsia" w:ascii="仿宋_GB2312" w:hAnsi="仿宋_GB2312" w:eastAsia="仿宋_GB2312" w:cs="仿宋_GB2312"/>
                <w:color w:val="000000"/>
                <w:kern w:val="0"/>
                <w:szCs w:val="21"/>
                <w:lang w:bidi="ar"/>
              </w:rPr>
              <w:t>对个人处三千元罚款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4"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7"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94"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933"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14"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8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从重</w:t>
            </w:r>
          </w:p>
        </w:tc>
        <w:tc>
          <w:tcPr>
            <w:tcW w:w="798"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加热、摔砸、倒卧、曝晒燃气气瓶或者改换气瓶检验标志</w:t>
            </w:r>
            <w:r>
              <w:rPr>
                <w:rFonts w:hint="eastAsia" w:ascii="仿宋_GB2312" w:hAnsi="仿宋_GB2312" w:eastAsia="仿宋_GB2312" w:cs="仿宋_GB2312"/>
                <w:kern w:val="0"/>
                <w:szCs w:val="21"/>
                <w:lang w:bidi="ar"/>
              </w:rPr>
              <w:t>超过五瓶（次）以上的</w:t>
            </w:r>
          </w:p>
        </w:tc>
        <w:tc>
          <w:tcPr>
            <w:tcW w:w="809"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对单位处超过七万五千元、十万元以下罚款，</w:t>
            </w:r>
            <w:r>
              <w:rPr>
                <w:rFonts w:hint="eastAsia" w:ascii="仿宋_GB2312" w:hAnsi="仿宋_GB2312" w:eastAsia="仿宋_GB2312" w:cs="仿宋_GB2312"/>
                <w:color w:val="000000"/>
                <w:kern w:val="0"/>
                <w:szCs w:val="21"/>
                <w:lang w:bidi="ar"/>
              </w:rPr>
              <w:t>对个人处超过三千元、五千元以下罚款</w:t>
            </w:r>
          </w:p>
        </w:tc>
      </w:tr>
    </w:tbl>
    <w:p>
      <w:pPr>
        <w:widowControl/>
        <w:jc w:val="left"/>
        <w:outlineLvl w:val="0"/>
        <w:rPr>
          <w:rFonts w:hint="eastAsia" w:ascii="宋体" w:hAnsi="宋体" w:eastAsia="宋体" w:cs="宋体"/>
          <w:bCs/>
          <w:color w:val="000000"/>
          <w:sz w:val="32"/>
          <w:szCs w:val="24"/>
        </w:rPr>
      </w:pPr>
      <w:r>
        <w:rPr>
          <w:rFonts w:hint="eastAsia" w:ascii="宋体" w:hAnsi="宋体" w:eastAsia="宋体" w:cs="宋体"/>
          <w:bCs/>
          <w:color w:val="000000"/>
          <w:kern w:val="44"/>
          <w:sz w:val="32"/>
          <w:szCs w:val="24"/>
          <w:lang w:bidi="ar"/>
        </w:rPr>
        <w:t>《深圳经济特区城市燃气管理条例》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9"/>
        <w:gridCol w:w="1506"/>
        <w:gridCol w:w="1667"/>
        <w:gridCol w:w="2424"/>
        <w:gridCol w:w="1358"/>
        <w:gridCol w:w="1327"/>
        <w:gridCol w:w="2407"/>
        <w:gridCol w:w="25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3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序号</w:t>
            </w:r>
          </w:p>
        </w:tc>
        <w:tc>
          <w:tcPr>
            <w:tcW w:w="53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违法行为</w:t>
            </w:r>
          </w:p>
        </w:tc>
        <w:tc>
          <w:tcPr>
            <w:tcW w:w="588"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违反条款</w:t>
            </w:r>
          </w:p>
        </w:tc>
        <w:tc>
          <w:tcPr>
            <w:tcW w:w="855"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处罚依据</w:t>
            </w:r>
          </w:p>
        </w:tc>
        <w:tc>
          <w:tcPr>
            <w:tcW w:w="479"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处罚种类</w:t>
            </w:r>
          </w:p>
        </w:tc>
        <w:tc>
          <w:tcPr>
            <w:tcW w:w="468"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裁量阶次</w:t>
            </w:r>
          </w:p>
        </w:tc>
        <w:tc>
          <w:tcPr>
            <w:tcW w:w="849"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适用条件</w:t>
            </w:r>
          </w:p>
        </w:tc>
        <w:tc>
          <w:tcPr>
            <w:tcW w:w="898"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1"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ascii="仿宋_GB2312" w:hAnsi="仿宋_GB2312" w:eastAsia="仿宋_GB2312" w:cs="仿宋_GB2312"/>
                <w:szCs w:val="21"/>
                <w:lang w:bidi="ar"/>
              </w:rPr>
              <w:t>112.</w:t>
            </w:r>
            <w:r>
              <w:rPr>
                <w:rFonts w:hint="eastAsia" w:ascii="仿宋_GB2312" w:hAnsi="仿宋_GB2312" w:eastAsia="仿宋_GB2312" w:cs="仿宋_GB2312"/>
                <w:szCs w:val="21"/>
                <w:lang w:bidi="ar"/>
              </w:rPr>
              <w:t>29</w:t>
            </w:r>
          </w:p>
        </w:tc>
        <w:tc>
          <w:tcPr>
            <w:tcW w:w="531"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lang w:bidi="ar"/>
              </w:rPr>
              <w:t>单位或者个人</w:t>
            </w:r>
            <w:r>
              <w:rPr>
                <w:rFonts w:hint="eastAsia" w:ascii="仿宋_GB2312" w:hAnsi="仿宋_GB2312" w:eastAsia="仿宋_GB2312" w:cs="仿宋_GB2312"/>
                <w:color w:val="000000"/>
                <w:szCs w:val="21"/>
                <w:lang w:bidi="ar"/>
              </w:rPr>
              <w:t>擅自操作燃气管道公共阀门</w:t>
            </w:r>
            <w:r>
              <w:rPr>
                <w:rFonts w:hint="eastAsia" w:ascii="仿宋_GB2312" w:hAnsi="仿宋_GB2312" w:eastAsia="仿宋_GB2312" w:cs="仿宋_GB2312"/>
                <w:color w:val="000000"/>
                <w:kern w:val="0"/>
                <w:szCs w:val="21"/>
                <w:lang w:bidi="ar"/>
              </w:rPr>
              <w:t>，逾期未改正的</w:t>
            </w:r>
          </w:p>
        </w:tc>
        <w:tc>
          <w:tcPr>
            <w:tcW w:w="588" w:type="pct"/>
            <w:vMerge w:val="restart"/>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szCs w:val="21"/>
              </w:rPr>
            </w:pPr>
            <w:r>
              <w:rPr>
                <w:rFonts w:hint="eastAsia" w:ascii="仿宋_GB2312" w:hAnsi="仿宋_GB2312" w:eastAsia="仿宋_GB2312" w:cs="仿宋_GB2312"/>
                <w:lang w:bidi="ar"/>
              </w:rPr>
              <w:t>第四十六条</w:t>
            </w:r>
            <w:r>
              <w:rPr>
                <w:rFonts w:hint="eastAsia" w:ascii="仿宋_GB2312" w:hAnsi="仿宋_GB2312" w:eastAsia="仿宋_GB2312" w:cs="仿宋_GB2312"/>
                <w:color w:val="000000"/>
                <w:kern w:val="0"/>
                <w:szCs w:val="21"/>
                <w:lang w:bidi="ar"/>
              </w:rPr>
              <w:t>：“</w:t>
            </w:r>
            <w:r>
              <w:rPr>
                <w:rFonts w:hint="eastAsia" w:ascii="仿宋_GB2312" w:hAnsi="仿宋_GB2312" w:eastAsia="仿宋_GB2312" w:cs="仿宋_GB2312"/>
                <w:lang w:bidi="ar"/>
              </w:rPr>
              <w:t>单位或者个人不得有下列行为：（九）擅自操作燃气管道公共阀门。”</w:t>
            </w:r>
          </w:p>
        </w:tc>
        <w:tc>
          <w:tcPr>
            <w:tcW w:w="855"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第八十一条：“违反本条例第四十六条第一款第一至十一项规定的，由主管部门责令限期改正；逾期未改正的，对单位处五万元以上十万元以下罚款，对个人处一千元以上五千元以下罚款。”</w:t>
            </w:r>
          </w:p>
        </w:tc>
        <w:tc>
          <w:tcPr>
            <w:tcW w:w="479"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罚款</w:t>
            </w:r>
          </w:p>
        </w:tc>
        <w:tc>
          <w:tcPr>
            <w:tcW w:w="468"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从轻</w:t>
            </w:r>
          </w:p>
        </w:tc>
        <w:tc>
          <w:tcPr>
            <w:tcW w:w="849"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影响时间在三天以下，或受影响用户在五户以下的</w:t>
            </w:r>
          </w:p>
        </w:tc>
        <w:tc>
          <w:tcPr>
            <w:tcW w:w="898"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对单位处五万元以上、低于七万五千元罚款，</w:t>
            </w:r>
            <w:r>
              <w:rPr>
                <w:rFonts w:hint="eastAsia" w:ascii="仿宋_GB2312" w:hAnsi="仿宋_GB2312" w:eastAsia="仿宋_GB2312" w:cs="仿宋_GB2312"/>
                <w:color w:val="000000"/>
                <w:kern w:val="0"/>
                <w:szCs w:val="21"/>
                <w:lang w:bidi="ar"/>
              </w:rPr>
              <w:t>对个人处一千元以上、低于三千元罚款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88"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855"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79"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68"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一般</w:t>
            </w:r>
          </w:p>
        </w:tc>
        <w:tc>
          <w:tcPr>
            <w:tcW w:w="849"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影响时间在四天以上七天以下，或受影响用户超过五户、十户以下的</w:t>
            </w:r>
          </w:p>
        </w:tc>
        <w:tc>
          <w:tcPr>
            <w:tcW w:w="898"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对单位处七万五千元罚款，</w:t>
            </w:r>
            <w:r>
              <w:rPr>
                <w:rFonts w:hint="eastAsia" w:ascii="仿宋_GB2312" w:hAnsi="仿宋_GB2312" w:eastAsia="仿宋_GB2312" w:cs="仿宋_GB2312"/>
                <w:color w:val="000000"/>
                <w:kern w:val="0"/>
                <w:szCs w:val="21"/>
                <w:lang w:bidi="ar"/>
              </w:rPr>
              <w:t>对个人处三千元罚款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88"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855"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79"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68"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从重</w:t>
            </w:r>
          </w:p>
        </w:tc>
        <w:tc>
          <w:tcPr>
            <w:tcW w:w="849"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影响时间在八天以上，或受影响用户超过十户的</w:t>
            </w:r>
          </w:p>
        </w:tc>
        <w:tc>
          <w:tcPr>
            <w:tcW w:w="898"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对单位处超过七万五千元、十万元以下罚款，</w:t>
            </w:r>
            <w:r>
              <w:rPr>
                <w:rFonts w:hint="eastAsia" w:ascii="仿宋_GB2312" w:hAnsi="仿宋_GB2312" w:eastAsia="仿宋_GB2312" w:cs="仿宋_GB2312"/>
                <w:color w:val="000000"/>
                <w:kern w:val="0"/>
                <w:szCs w:val="21"/>
                <w:lang w:bidi="ar"/>
              </w:rPr>
              <w:t>对个人处超过三千元、五千元以下罚款</w:t>
            </w:r>
          </w:p>
        </w:tc>
      </w:tr>
    </w:tbl>
    <w:p>
      <w:pPr>
        <w:widowControl/>
        <w:jc w:val="left"/>
        <w:outlineLvl w:val="0"/>
        <w:rPr>
          <w:rFonts w:hint="eastAsia" w:ascii="宋体" w:hAnsi="宋体" w:eastAsia="宋体" w:cs="宋体"/>
          <w:bCs/>
          <w:color w:val="000000"/>
          <w:sz w:val="32"/>
          <w:szCs w:val="24"/>
        </w:rPr>
      </w:pPr>
      <w:r>
        <w:rPr>
          <w:rFonts w:hint="eastAsia" w:ascii="宋体" w:hAnsi="宋体" w:eastAsia="宋体" w:cs="宋体"/>
          <w:bCs/>
          <w:color w:val="000000"/>
          <w:kern w:val="44"/>
          <w:sz w:val="32"/>
          <w:szCs w:val="24"/>
          <w:lang w:bidi="ar"/>
        </w:rPr>
        <w:t>《深圳经济特区城市燃气管理条例》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7"/>
        <w:gridCol w:w="1525"/>
        <w:gridCol w:w="1687"/>
        <w:gridCol w:w="2506"/>
        <w:gridCol w:w="1318"/>
        <w:gridCol w:w="1256"/>
        <w:gridCol w:w="2433"/>
        <w:gridCol w:w="250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34"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序号</w:t>
            </w:r>
          </w:p>
        </w:tc>
        <w:tc>
          <w:tcPr>
            <w:tcW w:w="538"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违法行为</w:t>
            </w:r>
          </w:p>
        </w:tc>
        <w:tc>
          <w:tcPr>
            <w:tcW w:w="595"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违反条款</w:t>
            </w:r>
          </w:p>
        </w:tc>
        <w:tc>
          <w:tcPr>
            <w:tcW w:w="884"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处罚依据</w:t>
            </w:r>
          </w:p>
        </w:tc>
        <w:tc>
          <w:tcPr>
            <w:tcW w:w="465"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处罚种类</w:t>
            </w:r>
          </w:p>
        </w:tc>
        <w:tc>
          <w:tcPr>
            <w:tcW w:w="443"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裁量阶次</w:t>
            </w:r>
          </w:p>
        </w:tc>
        <w:tc>
          <w:tcPr>
            <w:tcW w:w="858"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适用条件</w:t>
            </w:r>
          </w:p>
        </w:tc>
        <w:tc>
          <w:tcPr>
            <w:tcW w:w="88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4"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ascii="仿宋_GB2312" w:hAnsi="仿宋_GB2312" w:eastAsia="仿宋_GB2312" w:cs="仿宋_GB2312"/>
                <w:szCs w:val="21"/>
                <w:lang w:bidi="ar"/>
              </w:rPr>
              <w:t>112.</w:t>
            </w:r>
            <w:r>
              <w:rPr>
                <w:rFonts w:hint="eastAsia" w:ascii="仿宋_GB2312" w:hAnsi="仿宋_GB2312" w:eastAsia="仿宋_GB2312" w:cs="仿宋_GB2312"/>
                <w:szCs w:val="21"/>
                <w:lang w:bidi="ar"/>
              </w:rPr>
              <w:t>30</w:t>
            </w:r>
          </w:p>
        </w:tc>
        <w:tc>
          <w:tcPr>
            <w:tcW w:w="538"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color w:val="000000"/>
                <w:szCs w:val="21"/>
              </w:rPr>
            </w:pPr>
          </w:p>
          <w:p>
            <w:pPr>
              <w:rPr>
                <w:rFonts w:hint="eastAsia" w:ascii="仿宋_GB2312" w:hAnsi="仿宋_GB2312" w:eastAsia="仿宋_GB2312" w:cs="仿宋_GB2312"/>
                <w:color w:val="000000"/>
                <w:szCs w:val="21"/>
              </w:rPr>
            </w:pPr>
          </w:p>
          <w:p>
            <w:pPr>
              <w:rPr>
                <w:rFonts w:hint="eastAsia" w:ascii="仿宋_GB2312" w:hAnsi="仿宋_GB2312" w:eastAsia="仿宋_GB2312" w:cs="仿宋_GB2312"/>
                <w:szCs w:val="21"/>
              </w:rPr>
            </w:pPr>
            <w:r>
              <w:rPr>
                <w:rFonts w:hint="eastAsia" w:ascii="仿宋_GB2312" w:hAnsi="仿宋_GB2312" w:eastAsia="仿宋_GB2312" w:cs="仿宋_GB2312"/>
                <w:lang w:bidi="ar"/>
              </w:rPr>
              <w:t>单位或者个人</w:t>
            </w:r>
            <w:r>
              <w:rPr>
                <w:rFonts w:hint="eastAsia" w:ascii="仿宋_GB2312" w:hAnsi="仿宋_GB2312" w:eastAsia="仿宋_GB2312" w:cs="仿宋_GB2312"/>
                <w:color w:val="000000"/>
                <w:szCs w:val="21"/>
                <w:lang w:bidi="ar"/>
              </w:rPr>
              <w:t>安装、使用不符合气源要求的燃气器具</w:t>
            </w:r>
            <w:r>
              <w:rPr>
                <w:rFonts w:hint="eastAsia" w:ascii="仿宋_GB2312" w:hAnsi="仿宋_GB2312" w:eastAsia="仿宋_GB2312" w:cs="仿宋_GB2312"/>
                <w:color w:val="000000"/>
                <w:kern w:val="0"/>
                <w:szCs w:val="21"/>
                <w:lang w:bidi="ar"/>
              </w:rPr>
              <w:t>的</w:t>
            </w:r>
          </w:p>
        </w:tc>
        <w:tc>
          <w:tcPr>
            <w:tcW w:w="595" w:type="pct"/>
            <w:vMerge w:val="restart"/>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szCs w:val="21"/>
              </w:rPr>
            </w:pPr>
            <w:r>
              <w:rPr>
                <w:rFonts w:hint="eastAsia" w:ascii="仿宋_GB2312" w:hAnsi="仿宋_GB2312" w:eastAsia="仿宋_GB2312" w:cs="仿宋_GB2312"/>
                <w:lang w:bidi="ar"/>
              </w:rPr>
              <w:t>第四十六条</w:t>
            </w:r>
            <w:r>
              <w:rPr>
                <w:rFonts w:hint="eastAsia" w:ascii="仿宋_GB2312" w:hAnsi="仿宋_GB2312" w:eastAsia="仿宋_GB2312" w:cs="仿宋_GB2312"/>
                <w:color w:val="000000"/>
                <w:kern w:val="0"/>
                <w:szCs w:val="21"/>
                <w:lang w:bidi="ar"/>
              </w:rPr>
              <w:t>：“</w:t>
            </w:r>
            <w:r>
              <w:rPr>
                <w:rFonts w:hint="eastAsia" w:ascii="仿宋_GB2312" w:hAnsi="仿宋_GB2312" w:eastAsia="仿宋_GB2312" w:cs="仿宋_GB2312"/>
                <w:lang w:bidi="ar"/>
              </w:rPr>
              <w:t>单位或者个人不得有下列行为：（十）安装、使用不符合气源要求的燃气器具。”</w:t>
            </w:r>
          </w:p>
        </w:tc>
        <w:tc>
          <w:tcPr>
            <w:tcW w:w="884"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第八十一条：“违反本条例第四十六条第一款第一至十一项规定的，由主管部门责令限期改正；逾期未改正的，对单位处五万元以上十万元以下罚款，对个人处一千元以上五千元以下罚款。”</w:t>
            </w:r>
          </w:p>
        </w:tc>
        <w:tc>
          <w:tcPr>
            <w:tcW w:w="465"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罚款</w:t>
            </w:r>
          </w:p>
        </w:tc>
        <w:tc>
          <w:tcPr>
            <w:tcW w:w="443"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从轻</w:t>
            </w:r>
          </w:p>
        </w:tc>
        <w:tc>
          <w:tcPr>
            <w:tcW w:w="858"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安装、使用不符合气源要求的燃气器具</w:t>
            </w:r>
            <w:r>
              <w:rPr>
                <w:rFonts w:hint="eastAsia" w:ascii="仿宋_GB2312" w:hAnsi="仿宋_GB2312" w:eastAsia="仿宋_GB2312" w:cs="仿宋_GB2312"/>
                <w:kern w:val="0"/>
                <w:szCs w:val="21"/>
                <w:lang w:bidi="ar"/>
              </w:rPr>
              <w:t>三台</w:t>
            </w:r>
            <w:r>
              <w:rPr>
                <w:rFonts w:hint="eastAsia" w:ascii="仿宋_GB2312" w:hAnsi="仿宋_GB2312" w:eastAsia="仿宋_GB2312" w:cs="仿宋_GB2312"/>
                <w:szCs w:val="21"/>
                <w:lang w:bidi="ar"/>
              </w:rPr>
              <w:t>以下</w:t>
            </w:r>
            <w:r>
              <w:rPr>
                <w:rFonts w:hint="eastAsia" w:ascii="仿宋_GB2312" w:hAnsi="仿宋_GB2312" w:eastAsia="仿宋_GB2312" w:cs="仿宋_GB2312"/>
                <w:kern w:val="0"/>
                <w:szCs w:val="21"/>
                <w:lang w:bidi="ar"/>
              </w:rPr>
              <w:t>的</w:t>
            </w:r>
          </w:p>
        </w:tc>
        <w:tc>
          <w:tcPr>
            <w:tcW w:w="882"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对单位处五万元以上、低于七万五千元罚款，</w:t>
            </w:r>
            <w:r>
              <w:rPr>
                <w:rFonts w:hint="eastAsia" w:ascii="仿宋_GB2312" w:hAnsi="仿宋_GB2312" w:eastAsia="仿宋_GB2312" w:cs="仿宋_GB2312"/>
                <w:color w:val="000000"/>
                <w:kern w:val="0"/>
                <w:szCs w:val="21"/>
                <w:lang w:bidi="ar"/>
              </w:rPr>
              <w:t>对个人处一千元以上、低于三千元罚款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4"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8"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95"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884"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65"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43"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一般</w:t>
            </w:r>
          </w:p>
        </w:tc>
        <w:tc>
          <w:tcPr>
            <w:tcW w:w="858"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安装、使用不符合气源要求的燃气器具超过三</w:t>
            </w:r>
            <w:r>
              <w:rPr>
                <w:rFonts w:hint="eastAsia" w:ascii="仿宋_GB2312" w:hAnsi="仿宋_GB2312" w:eastAsia="仿宋_GB2312" w:cs="仿宋_GB2312"/>
                <w:kern w:val="0"/>
                <w:szCs w:val="21"/>
                <w:lang w:bidi="ar"/>
              </w:rPr>
              <w:t>台、七台以下的</w:t>
            </w:r>
          </w:p>
        </w:tc>
        <w:tc>
          <w:tcPr>
            <w:tcW w:w="882"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对单位处七万五千元罚款，</w:t>
            </w:r>
            <w:r>
              <w:rPr>
                <w:rFonts w:hint="eastAsia" w:ascii="仿宋_GB2312" w:hAnsi="仿宋_GB2312" w:eastAsia="仿宋_GB2312" w:cs="仿宋_GB2312"/>
                <w:color w:val="000000"/>
                <w:kern w:val="0"/>
                <w:szCs w:val="21"/>
                <w:lang w:bidi="ar"/>
              </w:rPr>
              <w:t>对个人处三千元罚款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4"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8"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95"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884"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65"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43"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从重</w:t>
            </w:r>
          </w:p>
        </w:tc>
        <w:tc>
          <w:tcPr>
            <w:tcW w:w="858"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安装、使用不符合气源要求的燃气器具超过七</w:t>
            </w:r>
            <w:r>
              <w:rPr>
                <w:rFonts w:hint="eastAsia" w:ascii="仿宋_GB2312" w:hAnsi="仿宋_GB2312" w:eastAsia="仿宋_GB2312" w:cs="仿宋_GB2312"/>
                <w:kern w:val="0"/>
                <w:szCs w:val="21"/>
                <w:lang w:bidi="ar"/>
              </w:rPr>
              <w:t>台的</w:t>
            </w:r>
          </w:p>
        </w:tc>
        <w:tc>
          <w:tcPr>
            <w:tcW w:w="882"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对单位处超过七万五千元、十万元以下罚款，</w:t>
            </w:r>
            <w:r>
              <w:rPr>
                <w:rFonts w:hint="eastAsia" w:ascii="仿宋_GB2312" w:hAnsi="仿宋_GB2312" w:eastAsia="仿宋_GB2312" w:cs="仿宋_GB2312"/>
                <w:color w:val="000000"/>
                <w:kern w:val="0"/>
                <w:szCs w:val="21"/>
                <w:lang w:bidi="ar"/>
              </w:rPr>
              <w:t>对个人处超过三千元、五千元以下罚款</w:t>
            </w:r>
          </w:p>
        </w:tc>
      </w:tr>
    </w:tbl>
    <w:p>
      <w:pPr>
        <w:widowControl/>
        <w:jc w:val="left"/>
        <w:outlineLvl w:val="0"/>
        <w:rPr>
          <w:rFonts w:hint="eastAsia" w:ascii="宋体" w:hAnsi="宋体" w:eastAsia="宋体" w:cs="宋体"/>
          <w:bCs/>
          <w:color w:val="000000"/>
          <w:sz w:val="32"/>
          <w:szCs w:val="24"/>
        </w:rPr>
      </w:pPr>
      <w:r>
        <w:rPr>
          <w:rFonts w:hint="eastAsia" w:ascii="宋体" w:hAnsi="宋体" w:eastAsia="宋体" w:cs="宋体"/>
          <w:bCs/>
          <w:color w:val="000000"/>
          <w:kern w:val="44"/>
          <w:sz w:val="32"/>
          <w:szCs w:val="24"/>
          <w:lang w:bidi="ar"/>
        </w:rPr>
        <w:t>《深圳经济特区城市燃气管理条例》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1"/>
        <w:gridCol w:w="1514"/>
        <w:gridCol w:w="1667"/>
        <w:gridCol w:w="2594"/>
        <w:gridCol w:w="1205"/>
        <w:gridCol w:w="1304"/>
        <w:gridCol w:w="2223"/>
        <w:gridCol w:w="27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3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序号</w:t>
            </w:r>
          </w:p>
        </w:tc>
        <w:tc>
          <w:tcPr>
            <w:tcW w:w="534"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违法行为</w:t>
            </w:r>
          </w:p>
        </w:tc>
        <w:tc>
          <w:tcPr>
            <w:tcW w:w="588"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违反条款</w:t>
            </w:r>
          </w:p>
        </w:tc>
        <w:tc>
          <w:tcPr>
            <w:tcW w:w="915"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处罚依据</w:t>
            </w:r>
          </w:p>
        </w:tc>
        <w:tc>
          <w:tcPr>
            <w:tcW w:w="425"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处罚种类</w:t>
            </w:r>
          </w:p>
        </w:tc>
        <w:tc>
          <w:tcPr>
            <w:tcW w:w="46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裁量阶次</w:t>
            </w:r>
          </w:p>
        </w:tc>
        <w:tc>
          <w:tcPr>
            <w:tcW w:w="784"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适用条件</w:t>
            </w:r>
          </w:p>
        </w:tc>
        <w:tc>
          <w:tcPr>
            <w:tcW w:w="96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2"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ascii="仿宋_GB2312" w:hAnsi="仿宋_GB2312" w:eastAsia="仿宋_GB2312" w:cs="仿宋_GB2312"/>
                <w:szCs w:val="21"/>
                <w:lang w:bidi="ar"/>
              </w:rPr>
              <w:t>112.</w:t>
            </w:r>
            <w:r>
              <w:rPr>
                <w:rFonts w:hint="eastAsia" w:ascii="仿宋_GB2312" w:hAnsi="仿宋_GB2312" w:eastAsia="仿宋_GB2312" w:cs="仿宋_GB2312"/>
                <w:szCs w:val="21"/>
                <w:lang w:bidi="ar"/>
              </w:rPr>
              <w:t>31</w:t>
            </w:r>
          </w:p>
        </w:tc>
        <w:tc>
          <w:tcPr>
            <w:tcW w:w="534"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color w:val="000000"/>
                <w:szCs w:val="21"/>
              </w:rPr>
            </w:pPr>
          </w:p>
          <w:p>
            <w:pPr>
              <w:rPr>
                <w:rFonts w:hint="eastAsia" w:ascii="仿宋_GB2312" w:hAnsi="仿宋_GB2312" w:eastAsia="仿宋_GB2312" w:cs="仿宋_GB2312"/>
                <w:color w:val="000000"/>
                <w:szCs w:val="21"/>
              </w:rPr>
            </w:pPr>
          </w:p>
          <w:p>
            <w:pPr>
              <w:rPr>
                <w:rFonts w:hint="eastAsia" w:ascii="仿宋_GB2312" w:hAnsi="仿宋_GB2312" w:eastAsia="仿宋_GB2312" w:cs="仿宋_GB2312"/>
                <w:szCs w:val="21"/>
              </w:rPr>
            </w:pPr>
            <w:r>
              <w:rPr>
                <w:rFonts w:hint="eastAsia" w:ascii="仿宋_GB2312" w:hAnsi="仿宋_GB2312" w:eastAsia="仿宋_GB2312" w:cs="仿宋_GB2312"/>
                <w:lang w:bidi="ar"/>
              </w:rPr>
              <w:t>单位或者个人</w:t>
            </w:r>
            <w:r>
              <w:rPr>
                <w:rFonts w:hint="eastAsia" w:ascii="仿宋_GB2312" w:hAnsi="仿宋_GB2312" w:eastAsia="仿宋_GB2312" w:cs="仿宋_GB2312"/>
                <w:color w:val="000000"/>
                <w:szCs w:val="21"/>
                <w:lang w:bidi="ar"/>
              </w:rPr>
              <w:t>侵占、压占、毁损、擅自暗埋或者移动燃气管道及设施</w:t>
            </w:r>
            <w:r>
              <w:rPr>
                <w:rFonts w:hint="eastAsia" w:ascii="仿宋_GB2312" w:hAnsi="仿宋_GB2312" w:eastAsia="仿宋_GB2312" w:cs="仿宋_GB2312"/>
                <w:color w:val="000000"/>
                <w:kern w:val="0"/>
                <w:szCs w:val="21"/>
                <w:lang w:bidi="ar"/>
              </w:rPr>
              <w:t>的</w:t>
            </w:r>
          </w:p>
        </w:tc>
        <w:tc>
          <w:tcPr>
            <w:tcW w:w="588" w:type="pct"/>
            <w:vMerge w:val="restart"/>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szCs w:val="21"/>
              </w:rPr>
            </w:pPr>
            <w:r>
              <w:rPr>
                <w:rFonts w:hint="eastAsia" w:ascii="仿宋_GB2312" w:hAnsi="仿宋_GB2312" w:eastAsia="仿宋_GB2312" w:cs="仿宋_GB2312"/>
                <w:lang w:bidi="ar"/>
              </w:rPr>
              <w:t>第四十六条</w:t>
            </w:r>
            <w:r>
              <w:rPr>
                <w:rFonts w:hint="eastAsia" w:ascii="仿宋_GB2312" w:hAnsi="仿宋_GB2312" w:eastAsia="仿宋_GB2312" w:cs="仿宋_GB2312"/>
                <w:color w:val="000000"/>
                <w:kern w:val="0"/>
                <w:szCs w:val="21"/>
                <w:lang w:bidi="ar"/>
              </w:rPr>
              <w:t>：“</w:t>
            </w:r>
            <w:r>
              <w:rPr>
                <w:rFonts w:hint="eastAsia" w:ascii="仿宋_GB2312" w:hAnsi="仿宋_GB2312" w:eastAsia="仿宋_GB2312" w:cs="仿宋_GB2312"/>
                <w:lang w:bidi="ar"/>
              </w:rPr>
              <w:t>单位或者个人不得有下列行为：（十一）侵占、压占、毁损、擅自暗埋或者移动燃气管道及设施。”</w:t>
            </w:r>
          </w:p>
        </w:tc>
        <w:tc>
          <w:tcPr>
            <w:tcW w:w="915"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第八十一条：“违反本条例第四十六条第一款第一至十一项规定的，由主管部门责令限期改正；逾期未改正的，对单位处五万元以上十万元以下罚款，对个人处一千元以上五千元以下罚款。”</w:t>
            </w:r>
          </w:p>
        </w:tc>
        <w:tc>
          <w:tcPr>
            <w:tcW w:w="425"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罚款</w:t>
            </w:r>
          </w:p>
        </w:tc>
        <w:tc>
          <w:tcPr>
            <w:tcW w:w="46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从轻</w:t>
            </w:r>
          </w:p>
        </w:tc>
        <w:tc>
          <w:tcPr>
            <w:tcW w:w="784"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lang w:bidi="ar"/>
              </w:rPr>
              <w:t>侵占、压占、毁损、擅自暗埋或者移动燃气管道一处</w:t>
            </w:r>
            <w:r>
              <w:rPr>
                <w:rFonts w:hint="eastAsia" w:ascii="仿宋_GB2312" w:hAnsi="仿宋_GB2312" w:eastAsia="仿宋_GB2312" w:cs="仿宋_GB2312"/>
                <w:kern w:val="0"/>
                <w:szCs w:val="21"/>
                <w:lang w:bidi="ar"/>
              </w:rPr>
              <w:t>（次）</w:t>
            </w:r>
            <w:r>
              <w:rPr>
                <w:rFonts w:hint="eastAsia" w:ascii="仿宋_GB2312" w:hAnsi="仿宋_GB2312" w:eastAsia="仿宋_GB2312" w:cs="仿宋_GB2312"/>
                <w:szCs w:val="21"/>
                <w:lang w:bidi="ar"/>
              </w:rPr>
              <w:t>或危及燃气管道及设施或者妨碍燃气管道及设施正常使用的</w:t>
            </w:r>
          </w:p>
        </w:tc>
        <w:tc>
          <w:tcPr>
            <w:tcW w:w="961"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对单位处五万元以上、低于七万五千元罚款，</w:t>
            </w:r>
            <w:r>
              <w:rPr>
                <w:rFonts w:hint="eastAsia" w:ascii="仿宋_GB2312" w:hAnsi="仿宋_GB2312" w:eastAsia="仿宋_GB2312" w:cs="仿宋_GB2312"/>
                <w:color w:val="000000"/>
                <w:kern w:val="0"/>
                <w:szCs w:val="21"/>
                <w:lang w:bidi="ar"/>
              </w:rPr>
              <w:t>对个人处一千元以上、低于三千元罚款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2"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4"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88"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915"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25"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6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一般</w:t>
            </w:r>
          </w:p>
        </w:tc>
        <w:tc>
          <w:tcPr>
            <w:tcW w:w="784"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lang w:bidi="ar"/>
              </w:rPr>
              <w:t>侵占、压占、毁损、擅自暗埋或者移动燃气管道两处</w:t>
            </w:r>
            <w:r>
              <w:rPr>
                <w:rFonts w:hint="eastAsia" w:ascii="仿宋_GB2312" w:hAnsi="仿宋_GB2312" w:eastAsia="仿宋_GB2312" w:cs="仿宋_GB2312"/>
                <w:kern w:val="0"/>
                <w:szCs w:val="21"/>
                <w:lang w:bidi="ar"/>
              </w:rPr>
              <w:t>（次）</w:t>
            </w:r>
            <w:r>
              <w:rPr>
                <w:rFonts w:hint="eastAsia" w:ascii="仿宋_GB2312" w:hAnsi="仿宋_GB2312" w:eastAsia="仿宋_GB2312" w:cs="仿宋_GB2312"/>
                <w:szCs w:val="21"/>
                <w:lang w:bidi="ar"/>
              </w:rPr>
              <w:t>或造成燃气管道及设施损害的</w:t>
            </w:r>
          </w:p>
        </w:tc>
        <w:tc>
          <w:tcPr>
            <w:tcW w:w="961"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对单位处七万五千元罚款，</w:t>
            </w:r>
            <w:r>
              <w:rPr>
                <w:rFonts w:hint="eastAsia" w:ascii="仿宋_GB2312" w:hAnsi="仿宋_GB2312" w:eastAsia="仿宋_GB2312" w:cs="仿宋_GB2312"/>
                <w:color w:val="000000"/>
                <w:kern w:val="0"/>
                <w:szCs w:val="21"/>
                <w:lang w:bidi="ar"/>
              </w:rPr>
              <w:t>对个人处三千元罚款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2"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4"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88"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915"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25"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6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从重</w:t>
            </w:r>
          </w:p>
        </w:tc>
        <w:tc>
          <w:tcPr>
            <w:tcW w:w="784"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lang w:bidi="ar"/>
              </w:rPr>
              <w:t>侵占、压占、毁损、擅自暗埋或者移动燃气三处</w:t>
            </w:r>
            <w:r>
              <w:rPr>
                <w:rFonts w:hint="eastAsia" w:ascii="仿宋_GB2312" w:hAnsi="仿宋_GB2312" w:eastAsia="仿宋_GB2312" w:cs="仿宋_GB2312"/>
                <w:kern w:val="0"/>
                <w:szCs w:val="21"/>
                <w:lang w:bidi="ar"/>
              </w:rPr>
              <w:t>（次）</w:t>
            </w:r>
            <w:r>
              <w:rPr>
                <w:rFonts w:hint="eastAsia" w:ascii="仿宋_GB2312" w:hAnsi="仿宋_GB2312" w:eastAsia="仿宋_GB2312" w:cs="仿宋_GB2312"/>
                <w:szCs w:val="21"/>
                <w:lang w:bidi="ar"/>
              </w:rPr>
              <w:t>以上或造成燃气管道及设施严重损害，或发生安全事故的</w:t>
            </w:r>
          </w:p>
        </w:tc>
        <w:tc>
          <w:tcPr>
            <w:tcW w:w="961"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color w:val="000000"/>
                <w:kern w:val="0"/>
                <w:szCs w:val="21"/>
                <w:lang w:bidi="ar"/>
              </w:rPr>
              <w:t>；逾期未改正的，</w:t>
            </w:r>
            <w:r>
              <w:rPr>
                <w:rFonts w:hint="eastAsia" w:ascii="仿宋_GB2312" w:hAnsi="仿宋_GB2312" w:eastAsia="仿宋_GB2312" w:cs="仿宋_GB2312"/>
                <w:color w:val="000000"/>
                <w:szCs w:val="21"/>
                <w:lang w:bidi="ar"/>
              </w:rPr>
              <w:t>对单位处超过七万五千元、十万元以下罚款，</w:t>
            </w:r>
            <w:r>
              <w:rPr>
                <w:rFonts w:hint="eastAsia" w:ascii="仿宋_GB2312" w:hAnsi="仿宋_GB2312" w:eastAsia="仿宋_GB2312" w:cs="仿宋_GB2312"/>
                <w:color w:val="000000"/>
                <w:kern w:val="0"/>
                <w:szCs w:val="21"/>
                <w:lang w:bidi="ar"/>
              </w:rPr>
              <w:t>对个人处超过三千元、五千元以下罚款</w:t>
            </w:r>
          </w:p>
        </w:tc>
      </w:tr>
    </w:tbl>
    <w:p>
      <w:pPr>
        <w:widowControl/>
        <w:jc w:val="left"/>
        <w:rPr>
          <w:rFonts w:hint="eastAsia" w:ascii="宋体" w:hAnsi="宋体" w:eastAsia="宋体" w:cs="宋体"/>
          <w:b/>
          <w:sz w:val="32"/>
          <w:szCs w:val="24"/>
        </w:rPr>
      </w:pPr>
      <w:r>
        <w:rPr>
          <w:rFonts w:hint="eastAsia" w:ascii="宋体" w:hAnsi="宋体" w:eastAsia="宋体" w:cs="宋体"/>
          <w:bCs/>
          <w:color w:val="000000"/>
          <w:kern w:val="44"/>
          <w:sz w:val="32"/>
          <w:szCs w:val="24"/>
          <w:lang w:bidi="ar"/>
        </w:rPr>
        <w:t>《深圳经济特区城市燃气管理条例》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9"/>
        <w:gridCol w:w="1506"/>
        <w:gridCol w:w="1667"/>
        <w:gridCol w:w="2518"/>
        <w:gridCol w:w="1256"/>
        <w:gridCol w:w="1287"/>
        <w:gridCol w:w="2665"/>
        <w:gridCol w:w="233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3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序号</w:t>
            </w:r>
          </w:p>
        </w:tc>
        <w:tc>
          <w:tcPr>
            <w:tcW w:w="53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违法行为</w:t>
            </w:r>
          </w:p>
        </w:tc>
        <w:tc>
          <w:tcPr>
            <w:tcW w:w="588"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违反条款</w:t>
            </w:r>
          </w:p>
        </w:tc>
        <w:tc>
          <w:tcPr>
            <w:tcW w:w="888"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处罚依据</w:t>
            </w:r>
          </w:p>
        </w:tc>
        <w:tc>
          <w:tcPr>
            <w:tcW w:w="443"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处罚种类</w:t>
            </w:r>
          </w:p>
        </w:tc>
        <w:tc>
          <w:tcPr>
            <w:tcW w:w="454"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裁量阶次</w:t>
            </w:r>
          </w:p>
        </w:tc>
        <w:tc>
          <w:tcPr>
            <w:tcW w:w="94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适用条件</w:t>
            </w:r>
          </w:p>
        </w:tc>
        <w:tc>
          <w:tcPr>
            <w:tcW w:w="824"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1"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ascii="仿宋_GB2312" w:hAnsi="仿宋_GB2312" w:eastAsia="仿宋_GB2312" w:cs="仿宋_GB2312"/>
                <w:szCs w:val="21"/>
                <w:lang w:bidi="ar"/>
              </w:rPr>
              <w:t>112.</w:t>
            </w:r>
            <w:r>
              <w:rPr>
                <w:rFonts w:hint="eastAsia" w:ascii="仿宋_GB2312" w:hAnsi="仿宋_GB2312" w:eastAsia="仿宋_GB2312" w:cs="仿宋_GB2312"/>
                <w:szCs w:val="21"/>
                <w:lang w:bidi="ar"/>
              </w:rPr>
              <w:t>32</w:t>
            </w:r>
          </w:p>
        </w:tc>
        <w:tc>
          <w:tcPr>
            <w:tcW w:w="531"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安装和使用国家、省和市明令淘汰的燃气器具及配件的</w:t>
            </w:r>
          </w:p>
        </w:tc>
        <w:tc>
          <w:tcPr>
            <w:tcW w:w="588" w:type="pct"/>
            <w:vMerge w:val="restart"/>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szCs w:val="21"/>
              </w:rPr>
            </w:pPr>
            <w:r>
              <w:rPr>
                <w:rFonts w:hint="eastAsia" w:ascii="仿宋_GB2312" w:hAnsi="仿宋_GB2312" w:eastAsia="仿宋_GB2312" w:cs="仿宋_GB2312"/>
                <w:lang w:bidi="ar"/>
              </w:rPr>
              <w:t>第五十条第一款：“禁止生产、销售、安装和使用国家、省和市明令淘汰的燃气器具及配件</w:t>
            </w:r>
            <w:r>
              <w:rPr>
                <w:rFonts w:hint="eastAsia" w:ascii="仿宋_GB2312" w:hAnsi="仿宋_GB2312" w:eastAsia="仿宋_GB2312" w:cs="仿宋_GB2312"/>
                <w:kern w:val="0"/>
                <w:szCs w:val="21"/>
                <w:lang w:bidi="ar"/>
              </w:rPr>
              <w:t>。”</w:t>
            </w:r>
          </w:p>
        </w:tc>
        <w:tc>
          <w:tcPr>
            <w:tcW w:w="888"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第八十二条：“违反本条例规定，生产、销售国家、省和市明令淘汰的燃气器具及配件的，由市场监督管理部门依法处理；安装、使用国家、省和市明令淘汰的燃气器具及配件的，由区燃气主管部门责令限期改正；逾期未改正的，对单位处三万元以上十万元以下罚款，对个人处一千元罚款。”</w:t>
            </w:r>
          </w:p>
        </w:tc>
        <w:tc>
          <w:tcPr>
            <w:tcW w:w="443"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szCs w:val="21"/>
                <w:lang w:bidi="ar"/>
              </w:rPr>
              <w:t>罚款</w:t>
            </w:r>
          </w:p>
        </w:tc>
        <w:tc>
          <w:tcPr>
            <w:tcW w:w="454"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从轻</w:t>
            </w:r>
          </w:p>
        </w:tc>
        <w:tc>
          <w:tcPr>
            <w:tcW w:w="940"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安装、使用国家、省和市明令淘汰的燃气器具及配件三台（件）</w:t>
            </w:r>
            <w:r>
              <w:rPr>
                <w:rFonts w:hint="eastAsia" w:ascii="仿宋_GB2312" w:hAnsi="仿宋_GB2312" w:eastAsia="仿宋_GB2312" w:cs="仿宋_GB2312"/>
                <w:szCs w:val="21"/>
                <w:lang w:bidi="ar"/>
              </w:rPr>
              <w:t>以下</w:t>
            </w:r>
            <w:r>
              <w:rPr>
                <w:rFonts w:hint="eastAsia" w:ascii="仿宋_GB2312" w:hAnsi="仿宋_GB2312" w:eastAsia="仿宋_GB2312" w:cs="仿宋_GB2312"/>
                <w:kern w:val="0"/>
                <w:szCs w:val="21"/>
                <w:lang w:bidi="ar"/>
              </w:rPr>
              <w:t>的</w:t>
            </w:r>
          </w:p>
        </w:tc>
        <w:tc>
          <w:tcPr>
            <w:tcW w:w="824"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kern w:val="0"/>
                <w:szCs w:val="21"/>
                <w:lang w:bidi="ar"/>
              </w:rPr>
              <w:t>；逾期未改正的，对单位处三万元以上、低于六万五千元罚款，对个人处一千元罚款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88"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888"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43"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54"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一般</w:t>
            </w:r>
          </w:p>
        </w:tc>
        <w:tc>
          <w:tcPr>
            <w:tcW w:w="940"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lang w:bidi="ar"/>
              </w:rPr>
              <w:t>安装、使用国家、省和市明令淘汰的燃气器具及配件超过三台（件）、七台（件）以下的</w:t>
            </w:r>
          </w:p>
        </w:tc>
        <w:tc>
          <w:tcPr>
            <w:tcW w:w="824"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kern w:val="0"/>
                <w:szCs w:val="21"/>
                <w:lang w:bidi="ar"/>
              </w:rPr>
              <w:t>；逾期未改正的，对单位处六万五千元罚款，对个人处一千元罚款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88"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888"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43"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54"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从重</w:t>
            </w:r>
          </w:p>
        </w:tc>
        <w:tc>
          <w:tcPr>
            <w:tcW w:w="940"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安装、使用国家、省和市明令淘汰的燃气器具及配件超过七台（件）的</w:t>
            </w:r>
          </w:p>
        </w:tc>
        <w:tc>
          <w:tcPr>
            <w:tcW w:w="824"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4"/>
                <w:lang w:bidi="ar"/>
              </w:rPr>
              <w:t>责令限期改正</w:t>
            </w:r>
            <w:r>
              <w:rPr>
                <w:rFonts w:hint="eastAsia" w:ascii="仿宋_GB2312" w:hAnsi="仿宋_GB2312" w:eastAsia="仿宋_GB2312" w:cs="仿宋_GB2312"/>
                <w:kern w:val="0"/>
                <w:szCs w:val="21"/>
                <w:lang w:bidi="ar"/>
              </w:rPr>
              <w:t>；逾期未改正的，对单位处超过六万五千元、十万元以下罚款，对个人处一千元罚款</w:t>
            </w:r>
          </w:p>
        </w:tc>
      </w:tr>
    </w:tbl>
    <w:p>
      <w:pPr>
        <w:widowControl/>
        <w:jc w:val="left"/>
        <w:rPr>
          <w:rFonts w:hint="eastAsia" w:ascii="宋体" w:hAnsi="宋体" w:eastAsia="宋体" w:cs="宋体"/>
          <w:bCs/>
          <w:color w:val="000000"/>
          <w:sz w:val="32"/>
          <w:szCs w:val="24"/>
          <w:lang w:bidi="ar"/>
        </w:rPr>
      </w:pPr>
      <w:r>
        <w:rPr>
          <w:rFonts w:hint="eastAsia" w:ascii="宋体" w:hAnsi="宋体" w:eastAsia="宋体" w:cs="宋体"/>
          <w:bCs/>
          <w:color w:val="000000"/>
          <w:kern w:val="44"/>
          <w:sz w:val="32"/>
          <w:szCs w:val="24"/>
          <w:lang w:bidi="ar"/>
        </w:rPr>
        <w:t>《深圳经济特区城市燃气管理条例》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0"/>
        <w:gridCol w:w="1514"/>
        <w:gridCol w:w="1843"/>
        <w:gridCol w:w="2214"/>
        <w:gridCol w:w="1412"/>
        <w:gridCol w:w="1165"/>
        <w:gridCol w:w="2160"/>
        <w:gridCol w:w="29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3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序号</w:t>
            </w:r>
          </w:p>
        </w:tc>
        <w:tc>
          <w:tcPr>
            <w:tcW w:w="534"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违法行为</w:t>
            </w:r>
          </w:p>
        </w:tc>
        <w:tc>
          <w:tcPr>
            <w:tcW w:w="65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违反条款</w:t>
            </w:r>
          </w:p>
        </w:tc>
        <w:tc>
          <w:tcPr>
            <w:tcW w:w="78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处罚依据</w:t>
            </w:r>
          </w:p>
        </w:tc>
        <w:tc>
          <w:tcPr>
            <w:tcW w:w="498"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处罚种类</w:t>
            </w:r>
          </w:p>
        </w:tc>
        <w:tc>
          <w:tcPr>
            <w:tcW w:w="41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裁量阶次</w:t>
            </w:r>
          </w:p>
        </w:tc>
        <w:tc>
          <w:tcPr>
            <w:tcW w:w="76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适用条件</w:t>
            </w:r>
          </w:p>
        </w:tc>
        <w:tc>
          <w:tcPr>
            <w:tcW w:w="1033"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2"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lang w:bidi="ar"/>
              </w:rPr>
              <w:t>112.33</w:t>
            </w:r>
          </w:p>
        </w:tc>
        <w:tc>
          <w:tcPr>
            <w:tcW w:w="534"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单位或者个人在燃气管道及设施安全保护范围内进行钻探、机械挖掘、爆破、取土等作业的</w:t>
            </w:r>
          </w:p>
        </w:tc>
        <w:tc>
          <w:tcPr>
            <w:tcW w:w="650" w:type="pct"/>
            <w:vMerge w:val="restart"/>
            <w:tcBorders>
              <w:top w:val="single" w:color="auto" w:sz="4" w:space="0"/>
              <w:left w:val="single" w:color="auto" w:sz="4" w:space="0"/>
              <w:bottom w:val="single" w:color="auto" w:sz="4" w:space="0"/>
              <w:right w:val="single" w:color="auto" w:sz="4" w:space="0"/>
            </w:tcBorders>
            <w:vAlign w:val="center"/>
          </w:tcPr>
          <w:p>
            <w:pPr>
              <w:widowControl/>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第五十五条：“任何单位或者个人不得在燃气管道及设施安全保护范围内实施下列危害行为：（一）进行钻探、机械挖掘、爆破、取土等作业。”</w:t>
            </w:r>
          </w:p>
        </w:tc>
        <w:tc>
          <w:tcPr>
            <w:tcW w:w="781"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第八十四条：“违反本条例第五十五条第一款第一至六项规定的，由主管部门责令停止违法行为，限期恢复原状，对单位处五万元以上二十万元以下罚款，对个人处五千元以上一万元以下罚款。”</w:t>
            </w:r>
          </w:p>
        </w:tc>
        <w:tc>
          <w:tcPr>
            <w:tcW w:w="498"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lang w:bidi="ar"/>
              </w:rPr>
              <w:t>罚款</w:t>
            </w:r>
          </w:p>
        </w:tc>
        <w:tc>
          <w:tcPr>
            <w:tcW w:w="41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从轻</w:t>
            </w:r>
          </w:p>
        </w:tc>
        <w:tc>
          <w:tcPr>
            <w:tcW w:w="762"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未造成燃气管道及设施损害或者未妨碍燃气管道及设施正常使用的</w:t>
            </w:r>
          </w:p>
        </w:tc>
        <w:tc>
          <w:tcPr>
            <w:tcW w:w="1033"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4"/>
                <w:lang w:bidi="ar"/>
              </w:rPr>
              <w:t>责令停止违法行为，限期恢复原状，</w:t>
            </w:r>
            <w:r>
              <w:rPr>
                <w:rFonts w:hint="eastAsia" w:ascii="仿宋_GB2312" w:hAnsi="仿宋_GB2312" w:eastAsia="仿宋_GB2312" w:cs="仿宋_GB2312"/>
                <w:kern w:val="0"/>
                <w:szCs w:val="21"/>
                <w:lang w:bidi="ar"/>
              </w:rPr>
              <w:t>对单位处五万元以上、低于十二万五千元罚款，对个人处五千元以上、低于七千五百元罚款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2"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4"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65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78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98"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1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一般</w:t>
            </w:r>
          </w:p>
        </w:tc>
        <w:tc>
          <w:tcPr>
            <w:tcW w:w="762"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造成燃气管道及设施损害或者妨碍燃气管道及设施正常使用，且未造成人员伤亡或者五十万元以下直接经济损失事故的</w:t>
            </w:r>
          </w:p>
        </w:tc>
        <w:tc>
          <w:tcPr>
            <w:tcW w:w="1033"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4"/>
                <w:lang w:bidi="ar"/>
              </w:rPr>
              <w:t>责令停止违法行为，限期恢复原状，</w:t>
            </w:r>
            <w:r>
              <w:rPr>
                <w:rFonts w:hint="eastAsia" w:ascii="仿宋_GB2312" w:hAnsi="仿宋_GB2312" w:eastAsia="仿宋_GB2312" w:cs="仿宋_GB2312"/>
                <w:kern w:val="0"/>
                <w:szCs w:val="21"/>
                <w:lang w:bidi="ar"/>
              </w:rPr>
              <w:t>对单位处十二万五千元罚款，对个人处七千五百元罚款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2"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4"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65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78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98"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1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从重</w:t>
            </w:r>
          </w:p>
        </w:tc>
        <w:tc>
          <w:tcPr>
            <w:tcW w:w="762"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造成人员伤亡或者超过五十万元直接经济损失事故的</w:t>
            </w:r>
          </w:p>
        </w:tc>
        <w:tc>
          <w:tcPr>
            <w:tcW w:w="1033"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4"/>
                <w:lang w:bidi="ar"/>
              </w:rPr>
              <w:t>责令停止违法行为，限期恢复原状，</w:t>
            </w:r>
            <w:r>
              <w:rPr>
                <w:rFonts w:hint="eastAsia" w:ascii="仿宋_GB2312" w:hAnsi="仿宋_GB2312" w:eastAsia="仿宋_GB2312" w:cs="仿宋_GB2312"/>
                <w:kern w:val="0"/>
                <w:szCs w:val="21"/>
                <w:lang w:bidi="ar"/>
              </w:rPr>
              <w:t>对单位处超过十二万五千元、二十万元以下罚款，对个人处超过七千五百元、一万元以下罚款</w:t>
            </w:r>
          </w:p>
        </w:tc>
      </w:tr>
    </w:tbl>
    <w:p>
      <w:pPr>
        <w:widowControl/>
        <w:jc w:val="left"/>
        <w:rPr>
          <w:rFonts w:hint="eastAsia" w:ascii="宋体" w:hAnsi="宋体" w:eastAsia="宋体" w:cs="宋体"/>
          <w:bCs/>
          <w:color w:val="000000"/>
          <w:sz w:val="32"/>
          <w:szCs w:val="24"/>
        </w:rPr>
      </w:pPr>
      <w:r>
        <w:rPr>
          <w:rFonts w:hint="eastAsia" w:ascii="宋体" w:hAnsi="宋体" w:eastAsia="宋体" w:cs="宋体"/>
          <w:bCs/>
          <w:color w:val="000000"/>
          <w:kern w:val="44"/>
          <w:sz w:val="32"/>
          <w:szCs w:val="24"/>
          <w:lang w:bidi="ar"/>
        </w:rPr>
        <w:t>《深圳经济特区城市燃气管理条例》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1"/>
        <w:gridCol w:w="1525"/>
        <w:gridCol w:w="1679"/>
        <w:gridCol w:w="2566"/>
        <w:gridCol w:w="1231"/>
        <w:gridCol w:w="1406"/>
        <w:gridCol w:w="2135"/>
        <w:gridCol w:w="269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3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序号</w:t>
            </w:r>
          </w:p>
        </w:tc>
        <w:tc>
          <w:tcPr>
            <w:tcW w:w="538"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违法行为</w:t>
            </w:r>
          </w:p>
        </w:tc>
        <w:tc>
          <w:tcPr>
            <w:tcW w:w="59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违反条款</w:t>
            </w:r>
          </w:p>
        </w:tc>
        <w:tc>
          <w:tcPr>
            <w:tcW w:w="905"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处罚依据</w:t>
            </w:r>
          </w:p>
        </w:tc>
        <w:tc>
          <w:tcPr>
            <w:tcW w:w="434"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处罚种类</w:t>
            </w:r>
          </w:p>
        </w:tc>
        <w:tc>
          <w:tcPr>
            <w:tcW w:w="496"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裁量阶次</w:t>
            </w:r>
          </w:p>
        </w:tc>
        <w:tc>
          <w:tcPr>
            <w:tcW w:w="753"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适用条件</w:t>
            </w:r>
          </w:p>
        </w:tc>
        <w:tc>
          <w:tcPr>
            <w:tcW w:w="949"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2"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lang w:bidi="ar"/>
              </w:rPr>
              <w:t>112.34</w:t>
            </w:r>
          </w:p>
        </w:tc>
        <w:tc>
          <w:tcPr>
            <w:tcW w:w="538"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单位或者个人在燃气管道及设施安全保护范围内建造建（构）筑物的</w:t>
            </w:r>
          </w:p>
        </w:tc>
        <w:tc>
          <w:tcPr>
            <w:tcW w:w="592" w:type="pct"/>
            <w:vMerge w:val="restart"/>
            <w:tcBorders>
              <w:top w:val="single" w:color="auto" w:sz="4" w:space="0"/>
              <w:left w:val="single" w:color="auto" w:sz="4" w:space="0"/>
              <w:bottom w:val="single" w:color="auto" w:sz="4" w:space="0"/>
              <w:right w:val="single" w:color="auto" w:sz="4" w:space="0"/>
            </w:tcBorders>
            <w:vAlign w:val="center"/>
          </w:tcPr>
          <w:p>
            <w:pPr>
              <w:widowControl/>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第五十五条：“任何单位或者个人不得在燃气管道及设施安全保护范围内实施下列危害行为：（二）建造建（构）筑物。”</w:t>
            </w:r>
          </w:p>
        </w:tc>
        <w:tc>
          <w:tcPr>
            <w:tcW w:w="905"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lang w:bidi="ar"/>
              </w:rPr>
              <w:t>第八十四条：“违反本条例第五十五条第一款第一至六项规定的，由主管部门责令停止违法行为，限期恢复原状，对单位处五万元以上二十万元以下罚款，对个人处五千元以上一万元以下罚款。”</w:t>
            </w:r>
          </w:p>
        </w:tc>
        <w:tc>
          <w:tcPr>
            <w:tcW w:w="434"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lang w:bidi="ar"/>
              </w:rPr>
              <w:t>罚款</w:t>
            </w:r>
          </w:p>
        </w:tc>
        <w:tc>
          <w:tcPr>
            <w:tcW w:w="496"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从轻</w:t>
            </w:r>
          </w:p>
        </w:tc>
        <w:tc>
          <w:tcPr>
            <w:tcW w:w="753"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未造成燃气管道及设施损害或者未妨碍燃气管道及设施正常使用的</w:t>
            </w:r>
          </w:p>
        </w:tc>
        <w:tc>
          <w:tcPr>
            <w:tcW w:w="949"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4"/>
                <w:lang w:bidi="ar"/>
              </w:rPr>
              <w:t>责令停止违法行为，限期恢复原状，</w:t>
            </w:r>
            <w:r>
              <w:rPr>
                <w:rFonts w:hint="eastAsia" w:ascii="仿宋_GB2312" w:hAnsi="仿宋_GB2312" w:eastAsia="仿宋_GB2312" w:cs="仿宋_GB2312"/>
                <w:kern w:val="0"/>
                <w:szCs w:val="21"/>
                <w:lang w:bidi="ar"/>
              </w:rPr>
              <w:t>对单位处五万元以上、低于十二万五千元罚款，对个人处五千元以上、低于七千五百元罚款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2"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8"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92"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905"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34"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96"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一般</w:t>
            </w:r>
          </w:p>
        </w:tc>
        <w:tc>
          <w:tcPr>
            <w:tcW w:w="753"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造成燃气管道及设施损害或者妨碍燃气管道及设施正常使用，且未造成人员伤亡或者五十万元以下直接经济损失事故的</w:t>
            </w:r>
          </w:p>
        </w:tc>
        <w:tc>
          <w:tcPr>
            <w:tcW w:w="949"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4"/>
                <w:lang w:bidi="ar"/>
              </w:rPr>
              <w:t>责令停止违法行为，限期恢复原状，</w:t>
            </w:r>
            <w:r>
              <w:rPr>
                <w:rFonts w:hint="eastAsia" w:ascii="仿宋_GB2312" w:hAnsi="仿宋_GB2312" w:eastAsia="仿宋_GB2312" w:cs="仿宋_GB2312"/>
                <w:kern w:val="0"/>
                <w:szCs w:val="21"/>
                <w:lang w:bidi="ar"/>
              </w:rPr>
              <w:t>对单位处十二万五千元罚款，对个人处七千五百元罚款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2"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8"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92"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905"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34"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96"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从重</w:t>
            </w:r>
          </w:p>
        </w:tc>
        <w:tc>
          <w:tcPr>
            <w:tcW w:w="753"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造成人员伤亡或者超过五十万元直接经济损失事故的</w:t>
            </w:r>
          </w:p>
        </w:tc>
        <w:tc>
          <w:tcPr>
            <w:tcW w:w="949"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4"/>
                <w:lang w:bidi="ar"/>
              </w:rPr>
              <w:t>责令停止违法行为，限期恢复原状，</w:t>
            </w:r>
            <w:r>
              <w:rPr>
                <w:rFonts w:hint="eastAsia" w:ascii="仿宋_GB2312" w:hAnsi="仿宋_GB2312" w:eastAsia="仿宋_GB2312" w:cs="仿宋_GB2312"/>
                <w:kern w:val="0"/>
                <w:szCs w:val="21"/>
                <w:lang w:bidi="ar"/>
              </w:rPr>
              <w:t>对单位处超过十二万五千元、二十万元以下罚款，对个人处超过七千五百元、一万元以下罚款</w:t>
            </w:r>
          </w:p>
        </w:tc>
      </w:tr>
    </w:tbl>
    <w:p>
      <w:pPr>
        <w:widowControl/>
        <w:jc w:val="left"/>
        <w:rPr>
          <w:rFonts w:hint="eastAsia" w:ascii="仿宋_GB2312" w:hAnsi="仿宋_GB2312" w:eastAsia="仿宋_GB2312" w:cs="仿宋_GB2312"/>
          <w:bCs/>
          <w:color w:val="000000"/>
          <w:szCs w:val="21"/>
        </w:rPr>
      </w:pPr>
      <w:r>
        <w:rPr>
          <w:rFonts w:hint="eastAsia" w:ascii="宋体" w:hAnsi="宋体" w:eastAsia="宋体" w:cs="宋体"/>
          <w:bCs/>
          <w:color w:val="000000"/>
          <w:kern w:val="44"/>
          <w:sz w:val="32"/>
          <w:szCs w:val="24"/>
          <w:lang w:bidi="ar"/>
        </w:rPr>
        <w:t>《深圳经济特区城市燃气管理条例》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0"/>
        <w:gridCol w:w="1514"/>
        <w:gridCol w:w="1676"/>
        <w:gridCol w:w="2478"/>
        <w:gridCol w:w="1316"/>
        <w:gridCol w:w="1367"/>
        <w:gridCol w:w="2277"/>
        <w:gridCol w:w="26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3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序号</w:t>
            </w:r>
          </w:p>
        </w:tc>
        <w:tc>
          <w:tcPr>
            <w:tcW w:w="534"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违法行为</w:t>
            </w:r>
          </w:p>
        </w:tc>
        <w:tc>
          <w:tcPr>
            <w:tcW w:w="59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违反条款</w:t>
            </w:r>
          </w:p>
        </w:tc>
        <w:tc>
          <w:tcPr>
            <w:tcW w:w="874"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处罚依据</w:t>
            </w:r>
          </w:p>
        </w:tc>
        <w:tc>
          <w:tcPr>
            <w:tcW w:w="464"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处罚种类</w:t>
            </w:r>
          </w:p>
        </w:tc>
        <w:tc>
          <w:tcPr>
            <w:tcW w:w="48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裁量阶次</w:t>
            </w:r>
          </w:p>
        </w:tc>
        <w:tc>
          <w:tcPr>
            <w:tcW w:w="803"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适用条件</w:t>
            </w:r>
          </w:p>
        </w:tc>
        <w:tc>
          <w:tcPr>
            <w:tcW w:w="919"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2"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lang w:bidi="ar"/>
              </w:rPr>
              <w:t>112.35</w:t>
            </w:r>
          </w:p>
        </w:tc>
        <w:tc>
          <w:tcPr>
            <w:tcW w:w="534"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单位或者个人在燃气管道及设施安全保护范围内堆放重物、易燃易爆物品的</w:t>
            </w:r>
          </w:p>
        </w:tc>
        <w:tc>
          <w:tcPr>
            <w:tcW w:w="591" w:type="pct"/>
            <w:vMerge w:val="restart"/>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第五十五条：“任何单位或者个人不得在燃气管道及设施安全保护范围内实施下列危害行为：（三）</w:t>
            </w:r>
            <w:r>
              <w:rPr>
                <w:rFonts w:hint="eastAsia" w:ascii="仿宋_GB2312" w:hAnsi="仿宋_GB2312" w:eastAsia="仿宋_GB2312" w:cs="仿宋_GB2312"/>
                <w:lang w:bidi="ar"/>
              </w:rPr>
              <w:t>堆放重物、易燃易爆物品。”</w:t>
            </w:r>
          </w:p>
        </w:tc>
        <w:tc>
          <w:tcPr>
            <w:tcW w:w="874"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第八十四条：“违反本条例第五十五条第一款第一至六项规定的，由主管部门责令停止违法行为，限期恢复原状，对单位处五万元以上二十万元以下罚款，对个人处五千元以上一万元以下罚款。”</w:t>
            </w:r>
          </w:p>
        </w:tc>
        <w:tc>
          <w:tcPr>
            <w:tcW w:w="464"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lang w:bidi="ar"/>
              </w:rPr>
              <w:t>罚款</w:t>
            </w:r>
          </w:p>
        </w:tc>
        <w:tc>
          <w:tcPr>
            <w:tcW w:w="48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从轻</w:t>
            </w:r>
          </w:p>
        </w:tc>
        <w:tc>
          <w:tcPr>
            <w:tcW w:w="803"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未造成燃气管道及设施损害或者未妨碍燃气管道及设施正常使用的</w:t>
            </w:r>
          </w:p>
        </w:tc>
        <w:tc>
          <w:tcPr>
            <w:tcW w:w="919"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4"/>
                <w:lang w:bidi="ar"/>
              </w:rPr>
              <w:t>责令停止违法行为，限期恢复原状，</w:t>
            </w:r>
            <w:r>
              <w:rPr>
                <w:rFonts w:hint="eastAsia" w:ascii="仿宋_GB2312" w:hAnsi="仿宋_GB2312" w:eastAsia="仿宋_GB2312" w:cs="仿宋_GB2312"/>
                <w:kern w:val="0"/>
                <w:szCs w:val="21"/>
                <w:lang w:bidi="ar"/>
              </w:rPr>
              <w:t>对单位处五万元以上、低于十二万五千元罚款，对个人处五千元以上、低于七千五百元罚款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2"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4"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9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874"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64"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8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一般</w:t>
            </w:r>
          </w:p>
        </w:tc>
        <w:tc>
          <w:tcPr>
            <w:tcW w:w="803"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造成燃气管道及设施损害或者妨碍燃气管道及设施正常使用，且未造成人员伤亡或者五十万元以下直接经济损失事故的</w:t>
            </w:r>
          </w:p>
        </w:tc>
        <w:tc>
          <w:tcPr>
            <w:tcW w:w="919"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4"/>
                <w:lang w:bidi="ar"/>
              </w:rPr>
              <w:t>责令停止违法行为，限期恢复原状，</w:t>
            </w:r>
            <w:r>
              <w:rPr>
                <w:rFonts w:hint="eastAsia" w:ascii="仿宋_GB2312" w:hAnsi="仿宋_GB2312" w:eastAsia="仿宋_GB2312" w:cs="仿宋_GB2312"/>
                <w:kern w:val="0"/>
                <w:szCs w:val="21"/>
                <w:lang w:bidi="ar"/>
              </w:rPr>
              <w:t>对单位处十二万五千元罚款，对个人处七千五百元罚款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2"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4"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9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874"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64"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8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从重</w:t>
            </w:r>
          </w:p>
        </w:tc>
        <w:tc>
          <w:tcPr>
            <w:tcW w:w="803"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造成人员伤亡或者超过五十万元直接经济损失事故的</w:t>
            </w:r>
          </w:p>
        </w:tc>
        <w:tc>
          <w:tcPr>
            <w:tcW w:w="919"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4"/>
                <w:lang w:bidi="ar"/>
              </w:rPr>
              <w:t>责令停止违法行为，限期恢复原状，</w:t>
            </w:r>
            <w:r>
              <w:rPr>
                <w:rFonts w:hint="eastAsia" w:ascii="仿宋_GB2312" w:hAnsi="仿宋_GB2312" w:eastAsia="仿宋_GB2312" w:cs="仿宋_GB2312"/>
                <w:kern w:val="0"/>
                <w:szCs w:val="21"/>
                <w:lang w:bidi="ar"/>
              </w:rPr>
              <w:t>对单位处超过十二万五千元、二十万元以下罚款，对个人处超过七千五百元、一万元以下罚款</w:t>
            </w:r>
          </w:p>
        </w:tc>
      </w:tr>
    </w:tbl>
    <w:p>
      <w:pPr>
        <w:widowControl/>
        <w:jc w:val="left"/>
        <w:rPr>
          <w:rFonts w:hint="eastAsia" w:ascii="宋体" w:hAnsi="宋体" w:eastAsia="宋体" w:cs="宋体"/>
          <w:bCs/>
          <w:color w:val="000000"/>
          <w:sz w:val="32"/>
          <w:szCs w:val="24"/>
        </w:rPr>
      </w:pPr>
      <w:r>
        <w:rPr>
          <w:rFonts w:hint="eastAsia" w:ascii="宋体" w:hAnsi="宋体" w:eastAsia="宋体" w:cs="宋体"/>
          <w:bCs/>
          <w:color w:val="000000"/>
          <w:kern w:val="44"/>
          <w:sz w:val="32"/>
          <w:szCs w:val="24"/>
          <w:lang w:bidi="ar"/>
        </w:rPr>
        <w:t>《深圳经济特区城市燃气管理条例》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1"/>
        <w:gridCol w:w="1517"/>
        <w:gridCol w:w="1678"/>
        <w:gridCol w:w="1999"/>
        <w:gridCol w:w="1392"/>
        <w:gridCol w:w="1199"/>
        <w:gridCol w:w="2537"/>
        <w:gridCol w:w="291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3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序号</w:t>
            </w:r>
          </w:p>
        </w:tc>
        <w:tc>
          <w:tcPr>
            <w:tcW w:w="535"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违法行为</w:t>
            </w:r>
          </w:p>
        </w:tc>
        <w:tc>
          <w:tcPr>
            <w:tcW w:w="59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违反条款</w:t>
            </w:r>
          </w:p>
        </w:tc>
        <w:tc>
          <w:tcPr>
            <w:tcW w:w="705"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处罚依据</w:t>
            </w:r>
          </w:p>
        </w:tc>
        <w:tc>
          <w:tcPr>
            <w:tcW w:w="49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处罚种类</w:t>
            </w:r>
          </w:p>
        </w:tc>
        <w:tc>
          <w:tcPr>
            <w:tcW w:w="423"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裁量阶次</w:t>
            </w:r>
          </w:p>
        </w:tc>
        <w:tc>
          <w:tcPr>
            <w:tcW w:w="895"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适用条件</w:t>
            </w:r>
          </w:p>
        </w:tc>
        <w:tc>
          <w:tcPr>
            <w:tcW w:w="1027"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2"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lang w:bidi="ar"/>
              </w:rPr>
              <w:t>112.36</w:t>
            </w:r>
          </w:p>
        </w:tc>
        <w:tc>
          <w:tcPr>
            <w:tcW w:w="535"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单位或者个人在燃气管道及设施安全保护范围内倾倒、排放腐蚀性物质的</w:t>
            </w:r>
          </w:p>
        </w:tc>
        <w:tc>
          <w:tcPr>
            <w:tcW w:w="592" w:type="pct"/>
            <w:vMerge w:val="restart"/>
            <w:tcBorders>
              <w:top w:val="single" w:color="auto" w:sz="4" w:space="0"/>
              <w:left w:val="single" w:color="auto" w:sz="4" w:space="0"/>
              <w:bottom w:val="single" w:color="auto" w:sz="4" w:space="0"/>
              <w:right w:val="single" w:color="auto" w:sz="4" w:space="0"/>
            </w:tcBorders>
            <w:vAlign w:val="center"/>
          </w:tcPr>
          <w:p>
            <w:pPr>
              <w:widowControl/>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第五十五条：“任何单位或者个人不得在燃气管道及设施安全保护范围内实施下列危害行为：（四）倾倒、排放腐蚀性物质。”</w:t>
            </w:r>
          </w:p>
        </w:tc>
        <w:tc>
          <w:tcPr>
            <w:tcW w:w="705"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第八十四条：“违反本条例第五十五条第一款第一至六项规定的，由主管部门责令停止违法行为，限期恢复原状，对单位处五万元以上二十万元以下罚款，对个人处五千元以上一万元以下罚款。”</w:t>
            </w:r>
          </w:p>
        </w:tc>
        <w:tc>
          <w:tcPr>
            <w:tcW w:w="491"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lang w:bidi="ar"/>
              </w:rPr>
              <w:t>罚款</w:t>
            </w:r>
          </w:p>
        </w:tc>
        <w:tc>
          <w:tcPr>
            <w:tcW w:w="423"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从轻</w:t>
            </w:r>
          </w:p>
        </w:tc>
        <w:tc>
          <w:tcPr>
            <w:tcW w:w="895"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未造成燃气管道及设施损害或者未妨碍燃气管道及设施正常使用的</w:t>
            </w:r>
          </w:p>
        </w:tc>
        <w:tc>
          <w:tcPr>
            <w:tcW w:w="1027"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4"/>
                <w:lang w:bidi="ar"/>
              </w:rPr>
              <w:t>责令停止违法行为，限期恢复原状，</w:t>
            </w:r>
            <w:r>
              <w:rPr>
                <w:rFonts w:hint="eastAsia" w:ascii="仿宋_GB2312" w:hAnsi="仿宋_GB2312" w:eastAsia="仿宋_GB2312" w:cs="仿宋_GB2312"/>
                <w:kern w:val="0"/>
                <w:szCs w:val="21"/>
                <w:lang w:bidi="ar"/>
              </w:rPr>
              <w:t>对单位处五万元以上、低于十二万五千元罚款，对个人处五千元以上、低于七千五百元罚款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2"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5"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92"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705"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9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23"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一般</w:t>
            </w:r>
          </w:p>
        </w:tc>
        <w:tc>
          <w:tcPr>
            <w:tcW w:w="895"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造成燃气管道及设施损害或者妨碍燃气管道及设施正常使用，且未造成人员伤亡或者五十万元以下直接经济损失事故的</w:t>
            </w:r>
          </w:p>
        </w:tc>
        <w:tc>
          <w:tcPr>
            <w:tcW w:w="1027"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4"/>
                <w:lang w:bidi="ar"/>
              </w:rPr>
              <w:t>责令停止违法行为，限期恢复原状，</w:t>
            </w:r>
            <w:r>
              <w:rPr>
                <w:rFonts w:hint="eastAsia" w:ascii="仿宋_GB2312" w:hAnsi="仿宋_GB2312" w:eastAsia="仿宋_GB2312" w:cs="仿宋_GB2312"/>
                <w:kern w:val="0"/>
                <w:szCs w:val="21"/>
                <w:lang w:bidi="ar"/>
              </w:rPr>
              <w:t>对单位处十二万五千元罚款，对个人处七千五百元罚款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2"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5"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92"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705"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9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23"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从重</w:t>
            </w:r>
          </w:p>
        </w:tc>
        <w:tc>
          <w:tcPr>
            <w:tcW w:w="895"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造成人员伤亡或者超过五十万元直接经济损失事故的</w:t>
            </w:r>
          </w:p>
        </w:tc>
        <w:tc>
          <w:tcPr>
            <w:tcW w:w="1027"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4"/>
                <w:lang w:bidi="ar"/>
              </w:rPr>
              <w:t>责令停止违法行为，限期恢复原状，</w:t>
            </w:r>
            <w:r>
              <w:rPr>
                <w:rFonts w:hint="eastAsia" w:ascii="仿宋_GB2312" w:hAnsi="仿宋_GB2312" w:eastAsia="仿宋_GB2312" w:cs="仿宋_GB2312"/>
                <w:kern w:val="0"/>
                <w:szCs w:val="21"/>
                <w:lang w:bidi="ar"/>
              </w:rPr>
              <w:t>对单位处超过十二万五千元、二十万元以下罚款，对个人处超过七千五百元、一万元以下罚款</w:t>
            </w:r>
          </w:p>
        </w:tc>
      </w:tr>
    </w:tbl>
    <w:p>
      <w:pPr>
        <w:widowControl/>
        <w:jc w:val="left"/>
        <w:rPr>
          <w:rFonts w:hint="eastAsia" w:ascii="宋体" w:hAnsi="宋体" w:eastAsia="宋体" w:cs="宋体"/>
          <w:bCs/>
          <w:color w:val="000000"/>
          <w:sz w:val="32"/>
          <w:szCs w:val="24"/>
        </w:rPr>
      </w:pPr>
      <w:r>
        <w:rPr>
          <w:rFonts w:hint="eastAsia" w:ascii="宋体" w:hAnsi="宋体" w:eastAsia="宋体" w:cs="宋体"/>
          <w:bCs/>
          <w:color w:val="000000"/>
          <w:kern w:val="44"/>
          <w:sz w:val="32"/>
          <w:szCs w:val="24"/>
          <w:lang w:bidi="ar"/>
        </w:rPr>
        <w:t>《深圳经济特区城市燃气管理条例》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1"/>
        <w:gridCol w:w="1502"/>
        <w:gridCol w:w="1678"/>
        <w:gridCol w:w="2044"/>
        <w:gridCol w:w="1344"/>
        <w:gridCol w:w="1264"/>
        <w:gridCol w:w="2534"/>
        <w:gridCol w:w="286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3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序号</w:t>
            </w:r>
          </w:p>
        </w:tc>
        <w:tc>
          <w:tcPr>
            <w:tcW w:w="53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违法行为</w:t>
            </w:r>
          </w:p>
        </w:tc>
        <w:tc>
          <w:tcPr>
            <w:tcW w:w="59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违反条款</w:t>
            </w:r>
          </w:p>
        </w:tc>
        <w:tc>
          <w:tcPr>
            <w:tcW w:w="72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处罚依据</w:t>
            </w:r>
          </w:p>
        </w:tc>
        <w:tc>
          <w:tcPr>
            <w:tcW w:w="474"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处罚种类</w:t>
            </w:r>
          </w:p>
        </w:tc>
        <w:tc>
          <w:tcPr>
            <w:tcW w:w="446"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裁量阶次</w:t>
            </w:r>
          </w:p>
        </w:tc>
        <w:tc>
          <w:tcPr>
            <w:tcW w:w="894"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适用条件</w:t>
            </w:r>
          </w:p>
        </w:tc>
        <w:tc>
          <w:tcPr>
            <w:tcW w:w="101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2"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lang w:bidi="ar"/>
              </w:rPr>
              <w:t>112.37</w:t>
            </w:r>
          </w:p>
        </w:tc>
        <w:tc>
          <w:tcPr>
            <w:tcW w:w="530"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单位或者个人在燃气管道及设施安全保护范围内种植深根植物的</w:t>
            </w:r>
          </w:p>
        </w:tc>
        <w:tc>
          <w:tcPr>
            <w:tcW w:w="592" w:type="pct"/>
            <w:vMerge w:val="restart"/>
            <w:tcBorders>
              <w:top w:val="single" w:color="auto" w:sz="4" w:space="0"/>
              <w:left w:val="single" w:color="auto" w:sz="4" w:space="0"/>
              <w:bottom w:val="single" w:color="auto" w:sz="4" w:space="0"/>
              <w:right w:val="single" w:color="auto" w:sz="4" w:space="0"/>
            </w:tcBorders>
            <w:vAlign w:val="center"/>
          </w:tcPr>
          <w:p>
            <w:pPr>
              <w:widowControl/>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第五十五条：“任何单位或者个人不得在燃气管道及设施安全保护范围内实施下列危害行为：（五）种植深根植物。”</w:t>
            </w:r>
          </w:p>
        </w:tc>
        <w:tc>
          <w:tcPr>
            <w:tcW w:w="721"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第八十四条：“违反本条例第五十五条第一款第一至六项规定的，由主管部门责令停止违法行为，限期恢复原状，对单位处五万元以上二十万元以下罚款，对个人处五千元以上一万元以下罚款。”</w:t>
            </w:r>
          </w:p>
        </w:tc>
        <w:tc>
          <w:tcPr>
            <w:tcW w:w="474"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lang w:bidi="ar"/>
              </w:rPr>
              <w:t>罚款</w:t>
            </w:r>
          </w:p>
        </w:tc>
        <w:tc>
          <w:tcPr>
            <w:tcW w:w="446"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从轻</w:t>
            </w:r>
          </w:p>
        </w:tc>
        <w:tc>
          <w:tcPr>
            <w:tcW w:w="894"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未造成燃气管道及设施损害或者未妨碍燃气管道及设施正常使用的</w:t>
            </w:r>
          </w:p>
        </w:tc>
        <w:tc>
          <w:tcPr>
            <w:tcW w:w="1011"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4"/>
                <w:lang w:bidi="ar"/>
              </w:rPr>
              <w:t>责令停止违法行为，限期恢复原状，</w:t>
            </w:r>
            <w:r>
              <w:rPr>
                <w:rFonts w:hint="eastAsia" w:ascii="仿宋_GB2312" w:hAnsi="仿宋_GB2312" w:eastAsia="仿宋_GB2312" w:cs="仿宋_GB2312"/>
                <w:kern w:val="0"/>
                <w:szCs w:val="21"/>
                <w:lang w:bidi="ar"/>
              </w:rPr>
              <w:t>对单位处五万元以上、低于十二万五千元罚款，对个人处五千元以上、低于七千五百元罚款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2"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92"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72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74"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46"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一般</w:t>
            </w:r>
          </w:p>
        </w:tc>
        <w:tc>
          <w:tcPr>
            <w:tcW w:w="894"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造成燃气管道及设施损害或者妨碍燃气管道及设施正常使用，且未造成人员伤亡或者五十万元以下直接经济损失事故的</w:t>
            </w:r>
          </w:p>
        </w:tc>
        <w:tc>
          <w:tcPr>
            <w:tcW w:w="1011"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4"/>
                <w:lang w:bidi="ar"/>
              </w:rPr>
              <w:t>责令停止违法行为，限期恢复原状，</w:t>
            </w:r>
            <w:r>
              <w:rPr>
                <w:rFonts w:hint="eastAsia" w:ascii="仿宋_GB2312" w:hAnsi="仿宋_GB2312" w:eastAsia="仿宋_GB2312" w:cs="仿宋_GB2312"/>
                <w:kern w:val="0"/>
                <w:szCs w:val="21"/>
                <w:lang w:bidi="ar"/>
              </w:rPr>
              <w:t>对单位处十二万五千元罚款，对个人处七千五百元罚款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2"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92"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72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74"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46"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从重</w:t>
            </w:r>
          </w:p>
        </w:tc>
        <w:tc>
          <w:tcPr>
            <w:tcW w:w="894"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造成人员伤亡或者超过五十万元直接经济损失事故的</w:t>
            </w:r>
          </w:p>
        </w:tc>
        <w:tc>
          <w:tcPr>
            <w:tcW w:w="1011"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4"/>
                <w:lang w:bidi="ar"/>
              </w:rPr>
              <w:t>责令停止违法行为，限期恢复原状，</w:t>
            </w:r>
            <w:r>
              <w:rPr>
                <w:rFonts w:hint="eastAsia" w:ascii="仿宋_GB2312" w:hAnsi="仿宋_GB2312" w:eastAsia="仿宋_GB2312" w:cs="仿宋_GB2312"/>
                <w:kern w:val="0"/>
                <w:szCs w:val="21"/>
                <w:lang w:bidi="ar"/>
              </w:rPr>
              <w:t>对单位处超过十二万五千元、二十万元以下罚款，对个人处超过七千五百元、一万元以下罚款</w:t>
            </w:r>
          </w:p>
        </w:tc>
      </w:tr>
    </w:tbl>
    <w:p>
      <w:pPr>
        <w:widowControl/>
        <w:jc w:val="left"/>
        <w:rPr>
          <w:rFonts w:hint="eastAsia" w:ascii="宋体" w:hAnsi="宋体" w:eastAsia="宋体" w:cs="宋体"/>
          <w:bCs/>
          <w:color w:val="000000"/>
          <w:sz w:val="32"/>
          <w:szCs w:val="24"/>
        </w:rPr>
      </w:pPr>
      <w:r>
        <w:rPr>
          <w:rFonts w:hint="eastAsia" w:ascii="宋体" w:hAnsi="宋体" w:eastAsia="宋体" w:cs="宋体"/>
          <w:bCs/>
          <w:color w:val="000000"/>
          <w:kern w:val="44"/>
          <w:sz w:val="32"/>
          <w:szCs w:val="24"/>
          <w:lang w:bidi="ar"/>
        </w:rPr>
        <w:t>《深圳经济特区城市燃气管理条例》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5"/>
        <w:gridCol w:w="1505"/>
        <w:gridCol w:w="1658"/>
        <w:gridCol w:w="2064"/>
        <w:gridCol w:w="1208"/>
        <w:gridCol w:w="1403"/>
        <w:gridCol w:w="2327"/>
        <w:gridCol w:w="307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3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序号</w:t>
            </w:r>
          </w:p>
        </w:tc>
        <w:tc>
          <w:tcPr>
            <w:tcW w:w="53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违法行为</w:t>
            </w:r>
          </w:p>
        </w:tc>
        <w:tc>
          <w:tcPr>
            <w:tcW w:w="585"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违反条款</w:t>
            </w:r>
          </w:p>
        </w:tc>
        <w:tc>
          <w:tcPr>
            <w:tcW w:w="728"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处罚依据</w:t>
            </w:r>
          </w:p>
        </w:tc>
        <w:tc>
          <w:tcPr>
            <w:tcW w:w="426"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处罚种类</w:t>
            </w:r>
          </w:p>
        </w:tc>
        <w:tc>
          <w:tcPr>
            <w:tcW w:w="495"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裁量阶次</w:t>
            </w:r>
          </w:p>
        </w:tc>
        <w:tc>
          <w:tcPr>
            <w:tcW w:w="82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适用条件</w:t>
            </w:r>
          </w:p>
        </w:tc>
        <w:tc>
          <w:tcPr>
            <w:tcW w:w="1084"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0"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lang w:bidi="ar"/>
              </w:rPr>
              <w:t>112.38</w:t>
            </w:r>
          </w:p>
        </w:tc>
        <w:tc>
          <w:tcPr>
            <w:tcW w:w="531"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单位或者个人在燃气管道及设施安全保护范围内在穿越河流的管道上方或者下方进行抛锚、拖锚、挖泥、采沙等作业的</w:t>
            </w:r>
          </w:p>
        </w:tc>
        <w:tc>
          <w:tcPr>
            <w:tcW w:w="585" w:type="pct"/>
            <w:vMerge w:val="restart"/>
            <w:tcBorders>
              <w:top w:val="single" w:color="auto" w:sz="4" w:space="0"/>
              <w:left w:val="single" w:color="auto" w:sz="4" w:space="0"/>
              <w:bottom w:val="single" w:color="auto" w:sz="4" w:space="0"/>
              <w:right w:val="single" w:color="auto" w:sz="4" w:space="0"/>
            </w:tcBorders>
            <w:vAlign w:val="center"/>
          </w:tcPr>
          <w:p>
            <w:pPr>
              <w:widowControl/>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第五十五条：“任何单位或者个人不得在燃气管道及设施安全保护范围内实施下列危害行为：（六）</w:t>
            </w:r>
            <w:r>
              <w:rPr>
                <w:rFonts w:hint="eastAsia" w:ascii="仿宋_GB2312" w:hAnsi="仿宋_GB2312" w:eastAsia="仿宋_GB2312" w:cs="仿宋_GB2312"/>
                <w:lang w:bidi="ar"/>
              </w:rPr>
              <w:t>在穿越河流的管道上方或者下方进行抛锚、拖锚、挖泥、采沙等作业。”</w:t>
            </w:r>
          </w:p>
        </w:tc>
        <w:tc>
          <w:tcPr>
            <w:tcW w:w="728"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第八十四条：“违反本条例第五十五条第一款第一至六项规定的，由主管部门责令停止违法行为，限期恢复原状，对单位处五万元以上二十万元以下罚款，对个人处五千元以上一万元以下罚款。”</w:t>
            </w:r>
          </w:p>
        </w:tc>
        <w:tc>
          <w:tcPr>
            <w:tcW w:w="426"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lang w:bidi="ar"/>
              </w:rPr>
              <w:t>罚款</w:t>
            </w:r>
          </w:p>
        </w:tc>
        <w:tc>
          <w:tcPr>
            <w:tcW w:w="495"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从轻</w:t>
            </w:r>
          </w:p>
        </w:tc>
        <w:tc>
          <w:tcPr>
            <w:tcW w:w="821"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未造成燃气管道及设施损害或者未妨碍燃气管道及设施正常使用的</w:t>
            </w:r>
          </w:p>
        </w:tc>
        <w:tc>
          <w:tcPr>
            <w:tcW w:w="1084"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4"/>
                <w:lang w:bidi="ar"/>
              </w:rPr>
              <w:t>责令停止违法行为，限期恢复原状，</w:t>
            </w:r>
            <w:r>
              <w:rPr>
                <w:rFonts w:hint="eastAsia" w:ascii="仿宋_GB2312" w:hAnsi="仿宋_GB2312" w:eastAsia="仿宋_GB2312" w:cs="仿宋_GB2312"/>
                <w:kern w:val="0"/>
                <w:szCs w:val="21"/>
                <w:lang w:bidi="ar"/>
              </w:rPr>
              <w:t>对单位处五万元以上、低于十二万五千元罚款，对个人处五千元以上、低于七千五百元罚款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85"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728"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26"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95"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一般</w:t>
            </w:r>
          </w:p>
        </w:tc>
        <w:tc>
          <w:tcPr>
            <w:tcW w:w="821"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造成燃气管道及设施损害或者妨碍燃气管道及设施正常使用，且未造成人员伤亡或者五十万元以下直接经济损失事故的</w:t>
            </w:r>
          </w:p>
        </w:tc>
        <w:tc>
          <w:tcPr>
            <w:tcW w:w="1084"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4"/>
                <w:lang w:bidi="ar"/>
              </w:rPr>
              <w:t>责令停止违法行为，限期恢复原状，</w:t>
            </w:r>
            <w:r>
              <w:rPr>
                <w:rFonts w:hint="eastAsia" w:ascii="仿宋_GB2312" w:hAnsi="仿宋_GB2312" w:eastAsia="仿宋_GB2312" w:cs="仿宋_GB2312"/>
                <w:kern w:val="0"/>
                <w:szCs w:val="21"/>
                <w:lang w:bidi="ar"/>
              </w:rPr>
              <w:t>对单位处十二万五千元罚款，对个人处七千五百元罚款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31"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85"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728"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26"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95"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从重</w:t>
            </w:r>
          </w:p>
        </w:tc>
        <w:tc>
          <w:tcPr>
            <w:tcW w:w="821"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造成人员伤亡或者超过五十万元直接经济损失事故的</w:t>
            </w:r>
          </w:p>
        </w:tc>
        <w:tc>
          <w:tcPr>
            <w:tcW w:w="1084"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4"/>
                <w:lang w:bidi="ar"/>
              </w:rPr>
              <w:t>责令停止违法行为，限期恢复原状，</w:t>
            </w:r>
            <w:r>
              <w:rPr>
                <w:rFonts w:hint="eastAsia" w:ascii="仿宋_GB2312" w:hAnsi="仿宋_GB2312" w:eastAsia="仿宋_GB2312" w:cs="仿宋_GB2312"/>
                <w:kern w:val="0"/>
                <w:szCs w:val="21"/>
                <w:lang w:bidi="ar"/>
              </w:rPr>
              <w:t>对单位处超过十二万五千元、二十万元以下罚款，对个人处超过七千五百元、一万元以下罚款</w:t>
            </w:r>
          </w:p>
        </w:tc>
      </w:tr>
    </w:tbl>
    <w:p>
      <w:pPr>
        <w:widowControl/>
        <w:jc w:val="left"/>
        <w:rPr>
          <w:rFonts w:hint="eastAsia" w:ascii="宋体" w:hAnsi="宋体" w:eastAsia="宋体" w:cs="宋体"/>
          <w:bCs/>
          <w:color w:val="000000"/>
          <w:sz w:val="32"/>
          <w:szCs w:val="24"/>
        </w:rPr>
      </w:pPr>
      <w:r>
        <w:rPr>
          <w:rFonts w:hint="eastAsia" w:ascii="宋体" w:hAnsi="宋体" w:eastAsia="宋体" w:cs="宋体"/>
          <w:bCs/>
          <w:color w:val="000000"/>
          <w:kern w:val="44"/>
          <w:sz w:val="32"/>
          <w:szCs w:val="24"/>
          <w:lang w:bidi="ar"/>
        </w:rPr>
        <w:t>《深圳经济特区城市燃气管理条例》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5"/>
        <w:gridCol w:w="1372"/>
        <w:gridCol w:w="3407"/>
        <w:gridCol w:w="1403"/>
        <w:gridCol w:w="1219"/>
        <w:gridCol w:w="1188"/>
        <w:gridCol w:w="2361"/>
        <w:gridCol w:w="228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3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序号</w:t>
            </w:r>
          </w:p>
        </w:tc>
        <w:tc>
          <w:tcPr>
            <w:tcW w:w="484"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违法行为</w:t>
            </w:r>
          </w:p>
        </w:tc>
        <w:tc>
          <w:tcPr>
            <w:tcW w:w="120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违反条款</w:t>
            </w:r>
          </w:p>
        </w:tc>
        <w:tc>
          <w:tcPr>
            <w:tcW w:w="495"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处罚依据</w:t>
            </w:r>
          </w:p>
        </w:tc>
        <w:tc>
          <w:tcPr>
            <w:tcW w:w="43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处罚种类</w:t>
            </w:r>
          </w:p>
        </w:tc>
        <w:tc>
          <w:tcPr>
            <w:tcW w:w="419"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裁量阶次</w:t>
            </w:r>
          </w:p>
        </w:tc>
        <w:tc>
          <w:tcPr>
            <w:tcW w:w="833"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适用条件</w:t>
            </w:r>
          </w:p>
        </w:tc>
        <w:tc>
          <w:tcPr>
            <w:tcW w:w="807"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0"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lang w:bidi="ar"/>
              </w:rPr>
              <w:t>112.39</w:t>
            </w:r>
          </w:p>
        </w:tc>
        <w:tc>
          <w:tcPr>
            <w:tcW w:w="484"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单位或者个人在燃气管道及设施安全控制范围内从事可能危害燃气管道及设施安全的行为的</w:t>
            </w:r>
          </w:p>
        </w:tc>
        <w:tc>
          <w:tcPr>
            <w:tcW w:w="1202"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kern w:val="0"/>
                <w:szCs w:val="21"/>
                <w:lang w:bidi="ar"/>
              </w:rPr>
            </w:pPr>
            <w:r>
              <w:rPr>
                <w:rFonts w:hint="eastAsia" w:ascii="仿宋_GB2312" w:hAnsi="仿宋_GB2312" w:eastAsia="仿宋_GB2312" w:cs="仿宋_GB2312"/>
                <w:kern w:val="0"/>
                <w:szCs w:val="21"/>
                <w:lang w:bidi="ar"/>
              </w:rPr>
              <w:t>第五十七条：“有下列行为之一的，单位或者个人应当履行燃气管道及设施安全保护责任：</w:t>
            </w:r>
          </w:p>
          <w:p>
            <w:pPr>
              <w:rPr>
                <w:rFonts w:hint="eastAsia" w:ascii="仿宋_GB2312" w:hAnsi="仿宋_GB2312" w:eastAsia="仿宋_GB2312" w:cs="仿宋_GB2312"/>
                <w:kern w:val="0"/>
                <w:szCs w:val="21"/>
                <w:lang w:bidi="ar"/>
              </w:rPr>
            </w:pPr>
            <w:r>
              <w:rPr>
                <w:rFonts w:hint="eastAsia" w:ascii="仿宋_GB2312" w:hAnsi="仿宋_GB2312" w:eastAsia="仿宋_GB2312" w:cs="仿宋_GB2312"/>
                <w:kern w:val="0"/>
                <w:szCs w:val="21"/>
                <w:lang w:bidi="ar"/>
              </w:rPr>
              <w:t>（一）在燃气管道及设施安全保护范围内实施顶进、非机械挖掘等可能影响燃气管道及设施安全的行为；</w:t>
            </w:r>
          </w:p>
          <w:p>
            <w:pPr>
              <w:rPr>
                <w:rFonts w:hint="eastAsia" w:ascii="仿宋_GB2312" w:hAnsi="仿宋_GB2312" w:eastAsia="仿宋_GB2312" w:cs="仿宋_GB2312"/>
                <w:kern w:val="0"/>
                <w:szCs w:val="21"/>
                <w:lang w:bidi="ar"/>
              </w:rPr>
            </w:pPr>
            <w:r>
              <w:rPr>
                <w:rFonts w:hint="eastAsia" w:ascii="仿宋_GB2312" w:hAnsi="仿宋_GB2312" w:eastAsia="仿宋_GB2312" w:cs="仿宋_GB2312"/>
                <w:kern w:val="0"/>
                <w:szCs w:val="21"/>
                <w:lang w:bidi="ar"/>
              </w:rPr>
              <w:t>（二）在燃气管道及设施安全控制范围内从事建设工程勘察、施工等可能危害燃气管道及设施安全的行为。</w:t>
            </w:r>
          </w:p>
          <w:p>
            <w:pPr>
              <w:ind w:firstLine="420" w:firstLineChars="200"/>
              <w:rPr>
                <w:rFonts w:hint="eastAsia" w:ascii="仿宋_GB2312" w:hAnsi="仿宋_GB2312" w:eastAsia="仿宋_GB2312" w:cs="仿宋_GB2312"/>
                <w:kern w:val="0"/>
                <w:szCs w:val="21"/>
                <w:lang w:bidi="ar"/>
              </w:rPr>
            </w:pPr>
            <w:r>
              <w:rPr>
                <w:rFonts w:hint="eastAsia" w:ascii="仿宋_GB2312" w:hAnsi="仿宋_GB2312" w:eastAsia="仿宋_GB2312" w:cs="仿宋_GB2312"/>
                <w:kern w:val="0"/>
                <w:szCs w:val="21"/>
                <w:lang w:bidi="ar"/>
              </w:rPr>
              <w:t>实施前款行为的，建设单位应当会同施工、监理等相关单位，与管道燃气企业签订安全保护协议，现场人工探明燃气设施具体位置，制定燃气管道及设施安全保护方案，采取安全保护措施。在实施动土作业前，建设单位应当按照规定程序组织签定动土作业确认表。”</w:t>
            </w:r>
          </w:p>
        </w:tc>
        <w:tc>
          <w:tcPr>
            <w:tcW w:w="495"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kern w:val="0"/>
                <w:szCs w:val="21"/>
                <w:lang w:bidi="ar"/>
              </w:rPr>
            </w:pPr>
            <w:r>
              <w:rPr>
                <w:rFonts w:hint="eastAsia" w:ascii="仿宋_GB2312" w:hAnsi="仿宋_GB2312" w:eastAsia="仿宋_GB2312" w:cs="仿宋_GB2312"/>
                <w:kern w:val="0"/>
                <w:szCs w:val="21"/>
                <w:lang w:bidi="ar"/>
              </w:rPr>
              <w:t>第八十五条：“违反本条例第五十七条第二款规定的，由主管部门责令限期改正，对建设单位处二十万元以上五十万元以下罚款。”</w:t>
            </w:r>
          </w:p>
        </w:tc>
        <w:tc>
          <w:tcPr>
            <w:tcW w:w="430"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lang w:bidi="ar"/>
              </w:rPr>
              <w:t>罚款</w:t>
            </w:r>
          </w:p>
        </w:tc>
        <w:tc>
          <w:tcPr>
            <w:tcW w:w="419"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lang w:bidi="ar"/>
              </w:rPr>
              <w:t>从轻</w:t>
            </w:r>
          </w:p>
        </w:tc>
        <w:tc>
          <w:tcPr>
            <w:tcW w:w="833"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szCs w:val="21"/>
                <w:lang w:bidi="ar"/>
              </w:rPr>
              <w:t>未造成燃气管道及设施损害或者未妨碍燃气管道及设施正常使用的</w:t>
            </w:r>
          </w:p>
        </w:tc>
        <w:tc>
          <w:tcPr>
            <w:tcW w:w="807"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color w:val="000000"/>
                <w:kern w:val="0"/>
                <w:szCs w:val="21"/>
              </w:rPr>
            </w:pPr>
            <w:r>
              <w:rPr>
                <w:rFonts w:hint="eastAsia" w:ascii="仿宋_GB2312" w:hAnsi="仿宋_GB2312" w:eastAsia="仿宋_GB2312" w:cs="仿宋_GB2312"/>
                <w:kern w:val="0"/>
                <w:szCs w:val="24"/>
                <w:lang w:bidi="ar"/>
              </w:rPr>
              <w:t>责令限期改正，</w:t>
            </w:r>
            <w:r>
              <w:rPr>
                <w:rFonts w:hint="eastAsia" w:ascii="仿宋_GB2312" w:hAnsi="仿宋_GB2312" w:eastAsia="仿宋_GB2312" w:cs="仿宋_GB2312"/>
                <w:kern w:val="0"/>
                <w:szCs w:val="21"/>
                <w:lang w:bidi="ar"/>
              </w:rPr>
              <w:t>对建设单位</w:t>
            </w:r>
            <w:r>
              <w:rPr>
                <w:rFonts w:hint="eastAsia" w:ascii="仿宋_GB2312" w:hAnsi="仿宋_GB2312" w:eastAsia="仿宋_GB2312" w:cs="仿宋_GB2312"/>
                <w:color w:val="000000"/>
                <w:szCs w:val="21"/>
                <w:lang w:bidi="ar"/>
              </w:rPr>
              <w:t>处二十万元以上、低于三十五万元罚款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84"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1202"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95"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3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19"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lang w:bidi="ar"/>
              </w:rPr>
              <w:t>一般</w:t>
            </w:r>
          </w:p>
        </w:tc>
        <w:tc>
          <w:tcPr>
            <w:tcW w:w="833"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szCs w:val="21"/>
                <w:lang w:bidi="ar"/>
              </w:rPr>
              <w:t>造成燃气管道及设施损害或者妨碍燃气管道及设施正常使用，且未造成人员伤亡或者五十万元以下直接经济损失事故的</w:t>
            </w:r>
          </w:p>
        </w:tc>
        <w:tc>
          <w:tcPr>
            <w:tcW w:w="807"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color w:val="000000"/>
                <w:kern w:val="0"/>
                <w:szCs w:val="21"/>
              </w:rPr>
            </w:pPr>
            <w:r>
              <w:rPr>
                <w:rFonts w:hint="eastAsia" w:ascii="仿宋_GB2312" w:hAnsi="仿宋_GB2312" w:eastAsia="仿宋_GB2312" w:cs="仿宋_GB2312"/>
                <w:kern w:val="0"/>
                <w:szCs w:val="24"/>
                <w:lang w:bidi="ar"/>
              </w:rPr>
              <w:t>责令限期改正，</w:t>
            </w:r>
            <w:r>
              <w:rPr>
                <w:rFonts w:hint="eastAsia" w:ascii="仿宋_GB2312" w:hAnsi="仿宋_GB2312" w:eastAsia="仿宋_GB2312" w:cs="仿宋_GB2312"/>
                <w:kern w:val="0"/>
                <w:szCs w:val="21"/>
                <w:lang w:bidi="ar"/>
              </w:rPr>
              <w:t>对建设单位</w:t>
            </w:r>
            <w:r>
              <w:rPr>
                <w:rFonts w:hint="eastAsia" w:ascii="仿宋_GB2312" w:hAnsi="仿宋_GB2312" w:eastAsia="仿宋_GB2312" w:cs="仿宋_GB2312"/>
                <w:color w:val="000000"/>
                <w:szCs w:val="21"/>
                <w:lang w:bidi="ar"/>
              </w:rPr>
              <w:t>处三十五万元罚款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84"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1202"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95"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3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19"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lang w:bidi="ar"/>
              </w:rPr>
              <w:t>从重</w:t>
            </w:r>
          </w:p>
        </w:tc>
        <w:tc>
          <w:tcPr>
            <w:tcW w:w="833"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szCs w:val="21"/>
                <w:lang w:bidi="ar"/>
              </w:rPr>
              <w:t>造成人员伤亡或者超过五十万元直接经济损失事故的</w:t>
            </w:r>
          </w:p>
        </w:tc>
        <w:tc>
          <w:tcPr>
            <w:tcW w:w="807" w:type="pc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color w:val="000000"/>
                <w:kern w:val="0"/>
                <w:szCs w:val="21"/>
              </w:rPr>
            </w:pPr>
            <w:r>
              <w:rPr>
                <w:rFonts w:hint="eastAsia" w:ascii="仿宋_GB2312" w:hAnsi="仿宋_GB2312" w:eastAsia="仿宋_GB2312" w:cs="仿宋_GB2312"/>
                <w:kern w:val="0"/>
                <w:szCs w:val="24"/>
                <w:lang w:bidi="ar"/>
              </w:rPr>
              <w:t>责令限期改正，</w:t>
            </w:r>
            <w:r>
              <w:rPr>
                <w:rFonts w:hint="eastAsia" w:ascii="仿宋_GB2312" w:hAnsi="仿宋_GB2312" w:eastAsia="仿宋_GB2312" w:cs="仿宋_GB2312"/>
                <w:kern w:val="0"/>
                <w:szCs w:val="21"/>
                <w:lang w:bidi="ar"/>
              </w:rPr>
              <w:t>对建设单位</w:t>
            </w:r>
            <w:r>
              <w:rPr>
                <w:rFonts w:hint="eastAsia" w:ascii="仿宋_GB2312" w:hAnsi="仿宋_GB2312" w:eastAsia="仿宋_GB2312" w:cs="仿宋_GB2312"/>
                <w:color w:val="000000"/>
                <w:szCs w:val="21"/>
                <w:lang w:bidi="ar"/>
              </w:rPr>
              <w:t>处超过三十五万元、五十万元以下罚款</w:t>
            </w:r>
          </w:p>
        </w:tc>
      </w:tr>
    </w:tbl>
    <w:p>
      <w:pPr>
        <w:widowControl/>
        <w:jc w:val="left"/>
        <w:rPr>
          <w:rFonts w:hint="eastAsia" w:ascii="宋体" w:hAnsi="宋体" w:eastAsia="宋体" w:cs="宋体"/>
          <w:bCs/>
          <w:color w:val="000000"/>
          <w:sz w:val="32"/>
          <w:szCs w:val="24"/>
        </w:rPr>
      </w:pPr>
      <w:r>
        <w:rPr>
          <w:rFonts w:hint="eastAsia" w:ascii="宋体" w:hAnsi="宋体" w:eastAsia="宋体" w:cs="宋体"/>
          <w:bCs/>
          <w:color w:val="000000"/>
          <w:kern w:val="44"/>
          <w:sz w:val="32"/>
          <w:szCs w:val="24"/>
          <w:lang w:bidi="ar"/>
        </w:rPr>
        <w:t>《深圳经济特区城市燃气管理条例》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3"/>
        <w:gridCol w:w="1502"/>
        <w:gridCol w:w="1664"/>
        <w:gridCol w:w="2339"/>
        <w:gridCol w:w="1673"/>
        <w:gridCol w:w="1335"/>
        <w:gridCol w:w="2350"/>
        <w:gridCol w:w="23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29"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序号</w:t>
            </w:r>
          </w:p>
        </w:tc>
        <w:tc>
          <w:tcPr>
            <w:tcW w:w="53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违法行为</w:t>
            </w:r>
          </w:p>
        </w:tc>
        <w:tc>
          <w:tcPr>
            <w:tcW w:w="587"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违反条款</w:t>
            </w:r>
          </w:p>
        </w:tc>
        <w:tc>
          <w:tcPr>
            <w:tcW w:w="825"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处罚依据</w:t>
            </w:r>
          </w:p>
        </w:tc>
        <w:tc>
          <w:tcPr>
            <w:tcW w:w="59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处罚种类</w:t>
            </w:r>
          </w:p>
        </w:tc>
        <w:tc>
          <w:tcPr>
            <w:tcW w:w="47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裁量阶次</w:t>
            </w:r>
          </w:p>
        </w:tc>
        <w:tc>
          <w:tcPr>
            <w:tcW w:w="829"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适用条件</w:t>
            </w:r>
          </w:p>
        </w:tc>
        <w:tc>
          <w:tcPr>
            <w:tcW w:w="839"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b/>
                <w:szCs w:val="24"/>
                <w:lang w:bidi="ar"/>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29" w:type="pct"/>
            <w:vMerge w:val="restart"/>
            <w:tcBorders>
              <w:top w:val="single" w:color="auto" w:sz="4" w:space="0"/>
              <w:left w:val="single" w:color="auto" w:sz="4" w:space="0"/>
              <w:bottom w:val="single" w:color="auto" w:sz="4" w:space="0"/>
              <w:right w:val="single" w:color="auto" w:sz="4" w:space="0"/>
            </w:tcBorders>
            <w:vAlign w:val="center"/>
          </w:tcPr>
          <w:p>
            <w:pPr>
              <w:jc w:val="left"/>
              <w:rPr>
                <w:rFonts w:hint="eastAsia" w:ascii="仿宋_GB2312" w:hAnsi="仿宋_GB2312" w:eastAsia="仿宋_GB2312" w:cs="仿宋_GB2312"/>
                <w:kern w:val="0"/>
                <w:szCs w:val="24"/>
                <w:lang w:bidi="ar"/>
              </w:rPr>
            </w:pPr>
            <w:r>
              <w:rPr>
                <w:rFonts w:ascii="仿宋_GB2312" w:hAnsi="仿宋_GB2312" w:eastAsia="仿宋_GB2312" w:cs="仿宋_GB2312"/>
                <w:kern w:val="0"/>
                <w:szCs w:val="24"/>
                <w:lang w:bidi="ar"/>
              </w:rPr>
              <w:t>112.</w:t>
            </w:r>
            <w:r>
              <w:rPr>
                <w:rFonts w:hint="eastAsia" w:ascii="仿宋_GB2312" w:hAnsi="仿宋_GB2312" w:eastAsia="仿宋_GB2312" w:cs="仿宋_GB2312"/>
                <w:kern w:val="0"/>
                <w:szCs w:val="24"/>
                <w:lang w:bidi="ar"/>
              </w:rPr>
              <w:t>40</w:t>
            </w:r>
          </w:p>
        </w:tc>
        <w:tc>
          <w:tcPr>
            <w:tcW w:w="530"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kern w:val="0"/>
                <w:szCs w:val="24"/>
                <w:lang w:bidi="ar"/>
              </w:rPr>
            </w:pPr>
            <w:r>
              <w:rPr>
                <w:rFonts w:hint="eastAsia" w:ascii="仿宋_GB2312" w:hAnsi="仿宋_GB2312" w:eastAsia="仿宋_GB2312" w:cs="仿宋_GB2312"/>
                <w:kern w:val="0"/>
                <w:szCs w:val="24"/>
                <w:lang w:bidi="ar"/>
              </w:rPr>
              <w:t>燃气企业未按规定配备抢修人员和必要的防护用品、车辆器材、通讯设备和检测仪器的</w:t>
            </w:r>
          </w:p>
          <w:p>
            <w:pPr>
              <w:rPr>
                <w:rFonts w:hint="eastAsia" w:ascii="仿宋_GB2312" w:hAnsi="仿宋_GB2312" w:eastAsia="仿宋_GB2312" w:cs="仿宋_GB2312"/>
                <w:kern w:val="0"/>
                <w:szCs w:val="24"/>
                <w:lang w:bidi="ar"/>
              </w:rPr>
            </w:pPr>
          </w:p>
        </w:tc>
        <w:tc>
          <w:tcPr>
            <w:tcW w:w="587" w:type="pct"/>
            <w:vMerge w:val="restart"/>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kern w:val="0"/>
                <w:szCs w:val="24"/>
                <w:lang w:bidi="ar"/>
              </w:rPr>
            </w:pPr>
            <w:r>
              <w:rPr>
                <w:rFonts w:hint="eastAsia" w:ascii="仿宋_GB2312" w:hAnsi="仿宋_GB2312" w:eastAsia="仿宋_GB2312" w:cs="仿宋_GB2312"/>
                <w:kern w:val="0"/>
                <w:szCs w:val="24"/>
                <w:lang w:bidi="ar"/>
              </w:rPr>
              <w:t>第六十五条：“ 燃气企业应当设立抢修机构，配备抢修人员和必要的防护用品、车辆器材、通讯设备和检测仪器等。”</w:t>
            </w:r>
          </w:p>
          <w:p>
            <w:pPr>
              <w:rPr>
                <w:rFonts w:hint="eastAsia" w:ascii="仿宋_GB2312" w:hAnsi="仿宋_GB2312" w:eastAsia="仿宋_GB2312" w:cs="仿宋_GB2312"/>
                <w:kern w:val="0"/>
                <w:szCs w:val="24"/>
                <w:lang w:bidi="ar"/>
              </w:rPr>
            </w:pPr>
          </w:p>
        </w:tc>
        <w:tc>
          <w:tcPr>
            <w:tcW w:w="825"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kern w:val="0"/>
                <w:szCs w:val="24"/>
                <w:lang w:bidi="ar"/>
              </w:rPr>
            </w:pPr>
            <w:r>
              <w:rPr>
                <w:rFonts w:hint="eastAsia" w:ascii="仿宋_GB2312" w:hAnsi="仿宋_GB2312" w:eastAsia="仿宋_GB2312" w:cs="仿宋_GB2312"/>
                <w:kern w:val="0"/>
                <w:szCs w:val="24"/>
                <w:lang w:bidi="ar"/>
              </w:rPr>
              <w:t>第八十七条：“ 违反本条例第六十五条第一款规定，燃气企业未按规定配备抢修人员和必要的防护用品、车辆器材、通讯设备和检测仪器的，由主管部门责令限期改正；逾期未改正的，处五万元以上二十万元以下罚款。”</w:t>
            </w:r>
          </w:p>
          <w:p>
            <w:pPr>
              <w:rPr>
                <w:rFonts w:hint="eastAsia" w:ascii="仿宋_GB2312" w:hAnsi="仿宋_GB2312" w:eastAsia="仿宋_GB2312" w:cs="仿宋_GB2312"/>
                <w:kern w:val="0"/>
                <w:szCs w:val="24"/>
                <w:lang w:bidi="ar"/>
              </w:rPr>
            </w:pPr>
          </w:p>
        </w:tc>
        <w:tc>
          <w:tcPr>
            <w:tcW w:w="590"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kern w:val="0"/>
                <w:szCs w:val="24"/>
                <w:lang w:bidi="ar"/>
              </w:rPr>
            </w:pPr>
            <w:r>
              <w:rPr>
                <w:rFonts w:hint="eastAsia" w:ascii="仿宋_GB2312" w:hAnsi="仿宋_GB2312" w:eastAsia="仿宋_GB2312" w:cs="仿宋_GB2312"/>
                <w:kern w:val="0"/>
                <w:szCs w:val="24"/>
                <w:lang w:bidi="ar"/>
              </w:rPr>
              <w:t>罚款</w:t>
            </w:r>
          </w:p>
        </w:tc>
        <w:tc>
          <w:tcPr>
            <w:tcW w:w="47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kern w:val="0"/>
                <w:szCs w:val="24"/>
                <w:lang w:bidi="ar"/>
              </w:rPr>
            </w:pPr>
            <w:r>
              <w:rPr>
                <w:rFonts w:hint="eastAsia" w:ascii="仿宋_GB2312" w:hAnsi="仿宋_GB2312" w:eastAsia="仿宋_GB2312" w:cs="仿宋_GB2312"/>
                <w:kern w:val="0"/>
                <w:szCs w:val="24"/>
                <w:lang w:bidi="ar"/>
              </w:rPr>
              <w:t>从轻</w:t>
            </w:r>
          </w:p>
        </w:tc>
        <w:tc>
          <w:tcPr>
            <w:tcW w:w="829"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kern w:val="0"/>
                <w:szCs w:val="24"/>
                <w:lang w:bidi="ar"/>
              </w:rPr>
            </w:pPr>
            <w:r>
              <w:rPr>
                <w:rFonts w:hint="eastAsia" w:ascii="仿宋_GB2312" w:hAnsi="仿宋_GB2312" w:eastAsia="仿宋_GB2312" w:cs="仿宋_GB2312"/>
                <w:bCs/>
                <w:color w:val="000000"/>
                <w:kern w:val="0"/>
                <w:szCs w:val="21"/>
              </w:rPr>
              <w:t>未造成危害后果或造成轻微危害后果的</w:t>
            </w:r>
          </w:p>
        </w:tc>
        <w:tc>
          <w:tcPr>
            <w:tcW w:w="839"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kern w:val="0"/>
                <w:szCs w:val="24"/>
                <w:lang w:bidi="ar"/>
              </w:rPr>
            </w:pPr>
            <w:r>
              <w:rPr>
                <w:rFonts w:hint="eastAsia" w:ascii="仿宋_GB2312" w:hAnsi="仿宋_GB2312" w:eastAsia="仿宋_GB2312" w:cs="仿宋_GB2312"/>
                <w:kern w:val="0"/>
                <w:szCs w:val="24"/>
                <w:lang w:bidi="ar"/>
              </w:rPr>
              <w:t>责令限期改正；逾期未改正的，处五万元以上、低于十二万五千元罚款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29"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kern w:val="0"/>
                <w:szCs w:val="24"/>
                <w:lang w:bidi="ar"/>
              </w:rPr>
            </w:pPr>
          </w:p>
        </w:tc>
        <w:tc>
          <w:tcPr>
            <w:tcW w:w="53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kern w:val="0"/>
                <w:szCs w:val="24"/>
                <w:lang w:bidi="ar"/>
              </w:rPr>
            </w:pPr>
          </w:p>
        </w:tc>
        <w:tc>
          <w:tcPr>
            <w:tcW w:w="587"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kern w:val="0"/>
                <w:szCs w:val="24"/>
                <w:lang w:bidi="ar"/>
              </w:rPr>
            </w:pPr>
          </w:p>
        </w:tc>
        <w:tc>
          <w:tcPr>
            <w:tcW w:w="825"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kern w:val="0"/>
                <w:szCs w:val="24"/>
                <w:lang w:bidi="ar"/>
              </w:rPr>
            </w:pPr>
          </w:p>
        </w:tc>
        <w:tc>
          <w:tcPr>
            <w:tcW w:w="59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kern w:val="0"/>
                <w:szCs w:val="24"/>
                <w:lang w:bidi="ar"/>
              </w:rPr>
            </w:pPr>
          </w:p>
        </w:tc>
        <w:tc>
          <w:tcPr>
            <w:tcW w:w="47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kern w:val="0"/>
                <w:szCs w:val="24"/>
                <w:lang w:bidi="ar"/>
              </w:rPr>
            </w:pPr>
            <w:r>
              <w:rPr>
                <w:rFonts w:hint="eastAsia" w:ascii="仿宋_GB2312" w:hAnsi="仿宋_GB2312" w:eastAsia="仿宋_GB2312" w:cs="仿宋_GB2312"/>
                <w:kern w:val="0"/>
                <w:szCs w:val="24"/>
                <w:lang w:bidi="ar"/>
              </w:rPr>
              <w:t>一般</w:t>
            </w:r>
          </w:p>
        </w:tc>
        <w:tc>
          <w:tcPr>
            <w:tcW w:w="829"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kern w:val="0"/>
                <w:szCs w:val="24"/>
                <w:lang w:bidi="ar"/>
              </w:rPr>
            </w:pPr>
            <w:r>
              <w:rPr>
                <w:rFonts w:hint="eastAsia" w:ascii="仿宋_GB2312" w:hAnsi="仿宋_GB2312" w:eastAsia="仿宋_GB2312" w:cs="仿宋_GB2312"/>
                <w:bCs/>
                <w:color w:val="000000"/>
                <w:kern w:val="0"/>
                <w:szCs w:val="21"/>
              </w:rPr>
              <w:t>造成一般危害后果的</w:t>
            </w:r>
          </w:p>
        </w:tc>
        <w:tc>
          <w:tcPr>
            <w:tcW w:w="839"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kern w:val="0"/>
                <w:szCs w:val="24"/>
                <w:lang w:bidi="ar"/>
              </w:rPr>
            </w:pPr>
            <w:r>
              <w:rPr>
                <w:rFonts w:hint="eastAsia" w:ascii="仿宋_GB2312" w:hAnsi="仿宋_GB2312" w:eastAsia="仿宋_GB2312" w:cs="仿宋_GB2312"/>
                <w:kern w:val="0"/>
                <w:szCs w:val="24"/>
                <w:lang w:bidi="ar"/>
              </w:rPr>
              <w:t>责令限期改正；逾期未改正的，处十二万五千元罚款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29"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kern w:val="0"/>
                <w:szCs w:val="24"/>
                <w:lang w:bidi="ar"/>
              </w:rPr>
            </w:pPr>
          </w:p>
        </w:tc>
        <w:tc>
          <w:tcPr>
            <w:tcW w:w="53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kern w:val="0"/>
                <w:szCs w:val="24"/>
                <w:lang w:bidi="ar"/>
              </w:rPr>
            </w:pPr>
          </w:p>
        </w:tc>
        <w:tc>
          <w:tcPr>
            <w:tcW w:w="587"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kern w:val="0"/>
                <w:szCs w:val="24"/>
                <w:lang w:bidi="ar"/>
              </w:rPr>
            </w:pPr>
          </w:p>
        </w:tc>
        <w:tc>
          <w:tcPr>
            <w:tcW w:w="825"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kern w:val="0"/>
                <w:szCs w:val="24"/>
                <w:lang w:bidi="ar"/>
              </w:rPr>
            </w:pPr>
          </w:p>
        </w:tc>
        <w:tc>
          <w:tcPr>
            <w:tcW w:w="59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kern w:val="0"/>
                <w:szCs w:val="24"/>
                <w:lang w:bidi="ar"/>
              </w:rPr>
            </w:pPr>
          </w:p>
        </w:tc>
        <w:tc>
          <w:tcPr>
            <w:tcW w:w="47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kern w:val="0"/>
                <w:szCs w:val="24"/>
                <w:lang w:bidi="ar"/>
              </w:rPr>
            </w:pPr>
            <w:r>
              <w:rPr>
                <w:rFonts w:hint="eastAsia" w:ascii="仿宋_GB2312" w:hAnsi="仿宋_GB2312" w:eastAsia="仿宋_GB2312" w:cs="仿宋_GB2312"/>
                <w:kern w:val="0"/>
                <w:szCs w:val="24"/>
                <w:lang w:bidi="ar"/>
              </w:rPr>
              <w:t>从重</w:t>
            </w:r>
          </w:p>
        </w:tc>
        <w:tc>
          <w:tcPr>
            <w:tcW w:w="829"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kern w:val="0"/>
                <w:szCs w:val="24"/>
                <w:lang w:bidi="ar"/>
              </w:rPr>
            </w:pPr>
            <w:r>
              <w:rPr>
                <w:rFonts w:hint="eastAsia" w:ascii="仿宋_GB2312" w:hAnsi="仿宋_GB2312" w:eastAsia="仿宋_GB2312" w:cs="仿宋_GB2312"/>
                <w:bCs/>
                <w:color w:val="000000"/>
                <w:kern w:val="0"/>
                <w:szCs w:val="21"/>
              </w:rPr>
              <w:t>造成严重危害后果的</w:t>
            </w:r>
          </w:p>
        </w:tc>
        <w:tc>
          <w:tcPr>
            <w:tcW w:w="839"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kern w:val="0"/>
                <w:szCs w:val="24"/>
                <w:lang w:bidi="ar"/>
              </w:rPr>
            </w:pPr>
            <w:r>
              <w:rPr>
                <w:rFonts w:hint="eastAsia" w:ascii="仿宋_GB2312" w:hAnsi="仿宋_GB2312" w:eastAsia="仿宋_GB2312" w:cs="仿宋_GB2312"/>
                <w:kern w:val="0"/>
                <w:szCs w:val="24"/>
                <w:lang w:bidi="ar"/>
              </w:rPr>
              <w:t>责令限期改正；逾期未改正的，处超过十二万五千元、二十万元以下罚款</w:t>
            </w:r>
          </w:p>
        </w:tc>
      </w:tr>
    </w:tbl>
    <w:p>
      <w:pPr>
        <w:widowControl/>
        <w:jc w:val="left"/>
        <w:rPr>
          <w:rFonts w:hint="eastAsia" w:ascii="宋体" w:hAnsi="宋体" w:eastAsia="宋体" w:cs="宋体"/>
          <w:bCs/>
          <w:color w:val="000000"/>
          <w:sz w:val="32"/>
          <w:szCs w:val="24"/>
        </w:rPr>
      </w:pPr>
      <w:r>
        <w:rPr>
          <w:rFonts w:hint="eastAsia" w:ascii="宋体" w:hAnsi="宋体" w:eastAsia="宋体" w:cs="宋体"/>
          <w:bCs/>
          <w:color w:val="000000"/>
          <w:kern w:val="44"/>
          <w:sz w:val="32"/>
          <w:szCs w:val="24"/>
          <w:lang w:bidi="ar"/>
        </w:rPr>
        <w:t>《深圳经济特区城市燃气管理条例》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5"/>
        <w:gridCol w:w="1500"/>
        <w:gridCol w:w="2293"/>
        <w:gridCol w:w="1913"/>
        <w:gridCol w:w="1230"/>
        <w:gridCol w:w="1366"/>
        <w:gridCol w:w="2158"/>
        <w:gridCol w:w="277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3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序号</w:t>
            </w:r>
          </w:p>
        </w:tc>
        <w:tc>
          <w:tcPr>
            <w:tcW w:w="529"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违法行为</w:t>
            </w:r>
          </w:p>
        </w:tc>
        <w:tc>
          <w:tcPr>
            <w:tcW w:w="809"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违反条款</w:t>
            </w:r>
          </w:p>
        </w:tc>
        <w:tc>
          <w:tcPr>
            <w:tcW w:w="675"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处罚依据</w:t>
            </w:r>
          </w:p>
        </w:tc>
        <w:tc>
          <w:tcPr>
            <w:tcW w:w="434"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处罚种类</w:t>
            </w:r>
          </w:p>
        </w:tc>
        <w:tc>
          <w:tcPr>
            <w:tcW w:w="48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裁量阶次</w:t>
            </w:r>
          </w:p>
        </w:tc>
        <w:tc>
          <w:tcPr>
            <w:tcW w:w="761"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适用条件</w:t>
            </w:r>
          </w:p>
        </w:tc>
        <w:tc>
          <w:tcPr>
            <w:tcW w:w="980"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
                <w:szCs w:val="21"/>
                <w:lang w:bidi="ar"/>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0"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ascii="仿宋_GB2312" w:hAnsi="仿宋_GB2312" w:eastAsia="仿宋_GB2312" w:cs="仿宋_GB2312"/>
                <w:szCs w:val="21"/>
                <w:lang w:bidi="ar"/>
              </w:rPr>
              <w:t>112.</w:t>
            </w:r>
            <w:r>
              <w:rPr>
                <w:rFonts w:hint="eastAsia" w:ascii="仿宋_GB2312" w:hAnsi="仿宋_GB2312" w:eastAsia="仿宋_GB2312" w:cs="仿宋_GB2312"/>
                <w:szCs w:val="21"/>
                <w:lang w:bidi="ar"/>
              </w:rPr>
              <w:t>41</w:t>
            </w:r>
          </w:p>
        </w:tc>
        <w:tc>
          <w:tcPr>
            <w:tcW w:w="529"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发生燃气安全突发事件，燃气企业未按照规定报告主管部门和有关部门，或者存在迟报、漏报、谎报或者瞒报的</w:t>
            </w:r>
          </w:p>
        </w:tc>
        <w:tc>
          <w:tcPr>
            <w:tcW w:w="809" w:type="pct"/>
            <w:vMerge w:val="restart"/>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szCs w:val="21"/>
              </w:rPr>
            </w:pPr>
            <w:r>
              <w:rPr>
                <w:rFonts w:hint="eastAsia" w:ascii="仿宋_GB2312" w:hAnsi="仿宋_GB2312" w:eastAsia="仿宋_GB2312" w:cs="仿宋_GB2312"/>
                <w:lang w:bidi="ar"/>
              </w:rPr>
              <w:t>第六十六条：“发生燃气安全突发事件的，燃气企业应当根据燃气应急预案，立即采取相应措施先行处置，防止事故扩大和次生灾害，并根据事件等级，按照程序向主管部门、应急管理、市场监督管理、消防救援等有关单位报告，不得迟报、漏报、谎报或者瞒报。”</w:t>
            </w:r>
          </w:p>
        </w:tc>
        <w:tc>
          <w:tcPr>
            <w:tcW w:w="675" w:type="pct"/>
            <w:vMerge w:val="restar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lang w:bidi="ar"/>
              </w:rPr>
              <w:t>第八十八条</w:t>
            </w:r>
            <w:r>
              <w:rPr>
                <w:rFonts w:hint="eastAsia" w:ascii="仿宋_GB2312" w:hAnsi="仿宋_GB2312" w:eastAsia="仿宋_GB2312" w:cs="仿宋_GB2312"/>
                <w:lang w:bidi="ar"/>
              </w:rPr>
              <w:t>：“</w:t>
            </w:r>
            <w:r>
              <w:rPr>
                <w:rFonts w:hint="eastAsia" w:ascii="仿宋_GB2312" w:hAnsi="仿宋_GB2312" w:eastAsia="仿宋_GB2312" w:cs="仿宋_GB2312"/>
                <w:kern w:val="0"/>
                <w:szCs w:val="21"/>
                <w:lang w:bidi="ar"/>
              </w:rPr>
              <w:t>违反本条例第六十六条第一款规定，发生燃气安全突发事件，燃气企业未按照规定报告主管部门和有关部门，或者存在迟报、漏报、谎报或者瞒报的，由主管部门处五万元以上二十万元以下罚款。”</w:t>
            </w:r>
          </w:p>
        </w:tc>
        <w:tc>
          <w:tcPr>
            <w:tcW w:w="434" w:type="pct"/>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lang w:bidi="ar"/>
              </w:rPr>
              <w:t>罚款</w:t>
            </w:r>
          </w:p>
        </w:tc>
        <w:tc>
          <w:tcPr>
            <w:tcW w:w="48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从轻</w:t>
            </w:r>
          </w:p>
        </w:tc>
        <w:tc>
          <w:tcPr>
            <w:tcW w:w="761"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lang w:bidi="ar"/>
              </w:rPr>
              <w:t>未造成事故的</w:t>
            </w:r>
          </w:p>
        </w:tc>
        <w:tc>
          <w:tcPr>
            <w:tcW w:w="980"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处五万元以上、低于十二万五千元罚款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29"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809"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675"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34"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8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一般</w:t>
            </w:r>
          </w:p>
        </w:tc>
        <w:tc>
          <w:tcPr>
            <w:tcW w:w="761"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lang w:bidi="ar"/>
              </w:rPr>
              <w:t>造成一般事故的</w:t>
            </w:r>
          </w:p>
        </w:tc>
        <w:tc>
          <w:tcPr>
            <w:tcW w:w="980"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处十二万五千元罚款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0"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529"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809"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675"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34" w:type="pct"/>
            <w:vMerge w:val="continue"/>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p>
        </w:tc>
        <w:tc>
          <w:tcPr>
            <w:tcW w:w="482"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lang w:bidi="ar"/>
              </w:rPr>
              <w:t>从重</w:t>
            </w:r>
          </w:p>
        </w:tc>
        <w:tc>
          <w:tcPr>
            <w:tcW w:w="761"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lang w:bidi="ar"/>
              </w:rPr>
              <w:t>造成较大以上事故的</w:t>
            </w:r>
          </w:p>
        </w:tc>
        <w:tc>
          <w:tcPr>
            <w:tcW w:w="980" w:type="pct"/>
            <w:tcBorders>
              <w:top w:val="single" w:color="auto" w:sz="4" w:space="0"/>
              <w:left w:val="single" w:color="auto" w:sz="4" w:space="0"/>
              <w:bottom w:val="single" w:color="auto" w:sz="4" w:space="0"/>
              <w:right w:val="single" w:color="auto" w:sz="4" w:space="0"/>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lang w:bidi="ar"/>
              </w:rPr>
              <w:t>处超过十二万五千元、二十万元以下罚款</w:t>
            </w:r>
          </w:p>
        </w:tc>
      </w:tr>
    </w:tbl>
    <w:p>
      <w:pPr>
        <w:rPr>
          <w:rFonts w:eastAsia="宋体" w:cs="Times New Roman"/>
          <w:bCs/>
          <w:sz w:val="32"/>
          <w:szCs w:val="32"/>
        </w:rPr>
      </w:pPr>
      <w:r>
        <w:rPr>
          <w:rFonts w:ascii="宋体" w:eastAsia="宋体" w:cs="Times New Roman"/>
          <w:bCs/>
          <w:sz w:val="32"/>
          <w:szCs w:val="32"/>
        </w:rPr>
        <w:t>《</w:t>
      </w:r>
      <w:r>
        <w:rPr>
          <w:rFonts w:hint="eastAsia" w:ascii="宋体" w:eastAsia="宋体" w:cs="Times New Roman"/>
          <w:bCs/>
          <w:sz w:val="32"/>
          <w:szCs w:val="32"/>
        </w:rPr>
        <w:t>深圳市建筑废弃物减排与利用条例</w:t>
      </w:r>
      <w:r>
        <w:rPr>
          <w:rFonts w:ascii="宋体" w:eastAsia="宋体" w:cs="Times New Roman"/>
          <w:bCs/>
          <w:sz w:val="32"/>
          <w:szCs w:val="32"/>
        </w:rPr>
        <w:t>》</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8"/>
        <w:gridCol w:w="1429"/>
        <w:gridCol w:w="1975"/>
        <w:gridCol w:w="1975"/>
        <w:gridCol w:w="1432"/>
        <w:gridCol w:w="1573"/>
        <w:gridCol w:w="2520"/>
        <w:gridCol w:w="221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7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序号</w:t>
            </w:r>
          </w:p>
        </w:tc>
        <w:tc>
          <w:tcPr>
            <w:tcW w:w="50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违法行为</w:t>
            </w:r>
          </w:p>
        </w:tc>
        <w:tc>
          <w:tcPr>
            <w:tcW w:w="69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lang w:val="en"/>
              </w:rPr>
            </w:pPr>
            <w:r>
              <w:rPr>
                <w:rFonts w:hint="eastAsia" w:ascii="仿宋_GB2312" w:hAnsi="仿宋_GB2312" w:eastAsia="仿宋_GB2312" w:cs="仿宋_GB2312"/>
                <w:b/>
                <w:szCs w:val="24"/>
                <w:lang w:val="en"/>
              </w:rPr>
              <w:t>违反条款</w:t>
            </w:r>
          </w:p>
        </w:tc>
        <w:tc>
          <w:tcPr>
            <w:tcW w:w="69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处罚依据</w:t>
            </w:r>
          </w:p>
        </w:tc>
        <w:tc>
          <w:tcPr>
            <w:tcW w:w="50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处罚种类</w:t>
            </w:r>
          </w:p>
        </w:tc>
        <w:tc>
          <w:tcPr>
            <w:tcW w:w="55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裁量阶次</w:t>
            </w:r>
          </w:p>
        </w:tc>
        <w:tc>
          <w:tcPr>
            <w:tcW w:w="88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适用条件</w:t>
            </w:r>
          </w:p>
        </w:tc>
        <w:tc>
          <w:tcPr>
            <w:tcW w:w="78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3"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szCs w:val="24"/>
              </w:rPr>
              <w:t>113.1</w:t>
            </w:r>
          </w:p>
        </w:tc>
        <w:tc>
          <w:tcPr>
            <w:tcW w:w="504"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施工单位采用列入强制淘汰目录的技术、工艺、设备、材料和产品</w:t>
            </w:r>
          </w:p>
        </w:tc>
        <w:tc>
          <w:tcPr>
            <w:tcW w:w="697"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第九条第二款：“施工单位不得采用列入强制淘汰目录的技术、工艺、设备、材料和产品。违反本规定的，由市主管部门责令限期改正，并处五万元以上二十万元以下罚款。”</w:t>
            </w:r>
          </w:p>
        </w:tc>
        <w:tc>
          <w:tcPr>
            <w:tcW w:w="697"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第九条第二款：“施工单位不得采用列入强制淘汰目录的技术、工艺、设备、材料和产品。违反本规定的，由市主管部门责令限期改正，并处五万元以上二十万元以下罚款。”</w:t>
            </w:r>
          </w:p>
        </w:tc>
        <w:tc>
          <w:tcPr>
            <w:tcW w:w="50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szCs w:val="24"/>
              </w:rPr>
              <w:t>罚款</w:t>
            </w:r>
          </w:p>
        </w:tc>
        <w:tc>
          <w:tcPr>
            <w:tcW w:w="55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color w:val="000000"/>
                <w:kern w:val="0"/>
                <w:szCs w:val="24"/>
              </w:rPr>
              <w:t>从轻</w:t>
            </w:r>
          </w:p>
        </w:tc>
        <w:tc>
          <w:tcPr>
            <w:tcW w:w="889" w:type="pct"/>
            <w:tcBorders>
              <w:top w:val="single" w:color="auto" w:sz="4" w:space="0"/>
              <w:left w:val="single" w:color="auto" w:sz="4" w:space="0"/>
              <w:bottom w:val="single" w:color="auto" w:sz="4" w:space="0"/>
              <w:right w:val="single" w:color="auto" w:sz="4" w:space="0"/>
              <w:tl2br w:val="nil"/>
              <w:tr2bl w:val="nil"/>
            </w:tcBorders>
            <w:vAlign w:val="center"/>
          </w:tcPr>
          <w:p>
            <w:pPr>
              <w:jc w:val="left"/>
              <w:rPr>
                <w:rFonts w:hint="eastAsia" w:ascii="仿宋_GB2312" w:hAnsi="仿宋_GB2312" w:eastAsia="仿宋_GB2312" w:cs="仿宋_GB2312"/>
                <w:szCs w:val="24"/>
              </w:rPr>
            </w:pPr>
            <w:r>
              <w:rPr>
                <w:rFonts w:hint="eastAsia" w:ascii="仿宋_GB2312" w:hAnsi="仿宋_GB2312" w:eastAsia="仿宋_GB2312" w:cs="仿宋_GB2312"/>
                <w:color w:val="000000"/>
                <w:kern w:val="0"/>
                <w:szCs w:val="21"/>
              </w:rPr>
              <w:t>未造成危害后果或造成轻微危害后果的</w:t>
            </w:r>
          </w:p>
        </w:tc>
        <w:tc>
          <w:tcPr>
            <w:tcW w:w="780"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责令限期改正，并处五万元以上、低于十二万五千元罚款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p>
        </w:tc>
        <w:tc>
          <w:tcPr>
            <w:tcW w:w="50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p>
        </w:tc>
        <w:tc>
          <w:tcPr>
            <w:tcW w:w="69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p>
        </w:tc>
        <w:tc>
          <w:tcPr>
            <w:tcW w:w="69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p>
        </w:tc>
        <w:tc>
          <w:tcPr>
            <w:tcW w:w="50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55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color w:val="000000"/>
                <w:kern w:val="0"/>
                <w:szCs w:val="24"/>
              </w:rPr>
              <w:t>一般</w:t>
            </w:r>
          </w:p>
        </w:tc>
        <w:tc>
          <w:tcPr>
            <w:tcW w:w="889" w:type="pct"/>
            <w:tcBorders>
              <w:top w:val="single" w:color="auto" w:sz="4" w:space="0"/>
              <w:left w:val="single" w:color="auto" w:sz="4" w:space="0"/>
              <w:bottom w:val="single" w:color="auto" w:sz="4" w:space="0"/>
              <w:right w:val="single" w:color="auto" w:sz="4" w:space="0"/>
              <w:tl2br w:val="nil"/>
              <w:tr2bl w:val="nil"/>
            </w:tcBorders>
            <w:vAlign w:val="center"/>
          </w:tcPr>
          <w:p>
            <w:pPr>
              <w:jc w:val="left"/>
              <w:rPr>
                <w:rFonts w:hint="eastAsia" w:ascii="仿宋_GB2312" w:hAnsi="仿宋_GB2312" w:eastAsia="仿宋_GB2312" w:cs="仿宋_GB2312"/>
                <w:szCs w:val="24"/>
              </w:rPr>
            </w:pPr>
            <w:r>
              <w:rPr>
                <w:rFonts w:hint="eastAsia" w:ascii="仿宋_GB2312" w:hAnsi="仿宋_GB2312" w:eastAsia="仿宋_GB2312" w:cs="仿宋_GB2312"/>
                <w:color w:val="000000"/>
                <w:kern w:val="0"/>
                <w:szCs w:val="21"/>
              </w:rPr>
              <w:t>造成一般危害后果的</w:t>
            </w:r>
          </w:p>
        </w:tc>
        <w:tc>
          <w:tcPr>
            <w:tcW w:w="780"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责令限期改正，并处十二万五千元罚款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p>
        </w:tc>
        <w:tc>
          <w:tcPr>
            <w:tcW w:w="50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p>
        </w:tc>
        <w:tc>
          <w:tcPr>
            <w:tcW w:w="69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p>
        </w:tc>
        <w:tc>
          <w:tcPr>
            <w:tcW w:w="69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p>
        </w:tc>
        <w:tc>
          <w:tcPr>
            <w:tcW w:w="50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p>
        </w:tc>
        <w:tc>
          <w:tcPr>
            <w:tcW w:w="55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rPr>
            </w:pPr>
            <w:r>
              <w:rPr>
                <w:rFonts w:hint="eastAsia" w:ascii="仿宋_GB2312" w:hAnsi="仿宋_GB2312" w:eastAsia="仿宋_GB2312" w:cs="仿宋_GB2312"/>
                <w:color w:val="000000"/>
                <w:kern w:val="0"/>
                <w:szCs w:val="24"/>
              </w:rPr>
              <w:t>从重</w:t>
            </w:r>
          </w:p>
        </w:tc>
        <w:tc>
          <w:tcPr>
            <w:tcW w:w="889" w:type="pct"/>
            <w:tcBorders>
              <w:top w:val="single" w:color="auto" w:sz="4" w:space="0"/>
              <w:left w:val="single" w:color="auto" w:sz="4" w:space="0"/>
              <w:bottom w:val="single" w:color="auto" w:sz="4" w:space="0"/>
              <w:right w:val="single" w:color="auto" w:sz="4" w:space="0"/>
              <w:tl2br w:val="nil"/>
              <w:tr2bl w:val="nil"/>
            </w:tcBorders>
            <w:vAlign w:val="center"/>
          </w:tcPr>
          <w:p>
            <w:pPr>
              <w:jc w:val="left"/>
              <w:rPr>
                <w:rFonts w:hint="eastAsia" w:ascii="仿宋_GB2312" w:hAnsi="仿宋_GB2312" w:eastAsia="仿宋_GB2312" w:cs="仿宋_GB2312"/>
                <w:szCs w:val="24"/>
              </w:rPr>
            </w:pPr>
            <w:r>
              <w:rPr>
                <w:rFonts w:hint="eastAsia" w:ascii="仿宋_GB2312" w:hAnsi="仿宋_GB2312" w:eastAsia="仿宋_GB2312" w:cs="仿宋_GB2312"/>
                <w:color w:val="000000"/>
                <w:kern w:val="0"/>
                <w:szCs w:val="21"/>
              </w:rPr>
              <w:t>造成生产安全事故的，或造成其他严重后果的</w:t>
            </w:r>
          </w:p>
        </w:tc>
        <w:tc>
          <w:tcPr>
            <w:tcW w:w="780"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责令限期改正，并处超过十二万五千元、二十万元以下罚款</w:t>
            </w:r>
          </w:p>
        </w:tc>
      </w:tr>
    </w:tbl>
    <w:p>
      <w:pPr>
        <w:widowControl/>
        <w:jc w:val="left"/>
        <w:rPr>
          <w:rFonts w:hint="eastAsia" w:ascii="宋体" w:hAnsi="宋体" w:eastAsia="宋体" w:cs="宋体"/>
          <w:bCs/>
          <w:color w:val="000000"/>
          <w:sz w:val="32"/>
          <w:szCs w:val="32"/>
        </w:rPr>
      </w:pPr>
      <w:r>
        <w:rPr>
          <w:rFonts w:ascii="宋体" w:hAnsi="宋体" w:eastAsia="宋体" w:cs="宋体"/>
          <w:bCs/>
          <w:color w:val="000000"/>
          <w:kern w:val="44"/>
          <w:sz w:val="32"/>
          <w:szCs w:val="32"/>
        </w:rPr>
        <w:t>《深圳市建筑废弃物管理办法》</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7"/>
        <w:gridCol w:w="1429"/>
        <w:gridCol w:w="1605"/>
        <w:gridCol w:w="2347"/>
        <w:gridCol w:w="1432"/>
        <w:gridCol w:w="1573"/>
        <w:gridCol w:w="2520"/>
        <w:gridCol w:w="221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7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序号</w:t>
            </w:r>
          </w:p>
        </w:tc>
        <w:tc>
          <w:tcPr>
            <w:tcW w:w="50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违法行为</w:t>
            </w:r>
          </w:p>
        </w:tc>
        <w:tc>
          <w:tcPr>
            <w:tcW w:w="56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lang w:val="en"/>
              </w:rPr>
            </w:pPr>
            <w:r>
              <w:rPr>
                <w:rFonts w:hint="eastAsia" w:ascii="仿宋_GB2312" w:hAnsi="仿宋_GB2312" w:eastAsia="仿宋_GB2312" w:cs="仿宋_GB2312"/>
                <w:b/>
                <w:szCs w:val="24"/>
                <w:lang w:val="en"/>
              </w:rPr>
              <w:t>违反条款</w:t>
            </w:r>
          </w:p>
        </w:tc>
        <w:tc>
          <w:tcPr>
            <w:tcW w:w="82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处罚依据</w:t>
            </w:r>
          </w:p>
        </w:tc>
        <w:tc>
          <w:tcPr>
            <w:tcW w:w="50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处罚种类</w:t>
            </w:r>
          </w:p>
        </w:tc>
        <w:tc>
          <w:tcPr>
            <w:tcW w:w="55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裁量阶次</w:t>
            </w:r>
          </w:p>
        </w:tc>
        <w:tc>
          <w:tcPr>
            <w:tcW w:w="88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适用条件</w:t>
            </w:r>
          </w:p>
        </w:tc>
        <w:tc>
          <w:tcPr>
            <w:tcW w:w="78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3"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ascii="仿宋_GB2312" w:hAnsi="仿宋_GB2312" w:eastAsia="仿宋_GB2312" w:cs="仿宋_GB2312"/>
                <w:szCs w:val="21"/>
              </w:rPr>
              <w:t>114.</w:t>
            </w:r>
            <w:r>
              <w:rPr>
                <w:rFonts w:hint="eastAsia" w:ascii="仿宋_GB2312" w:hAnsi="仿宋_GB2312" w:eastAsia="仿宋_GB2312" w:cs="仿宋_GB2312"/>
                <w:szCs w:val="21"/>
                <w:lang w:val="en"/>
              </w:rPr>
              <w:t>1</w:t>
            </w:r>
          </w:p>
        </w:tc>
        <w:tc>
          <w:tcPr>
            <w:tcW w:w="504"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施工单位涂改、倒卖、出租、出借或者以其他形式非法转让建筑废弃物排放核准文件的</w:t>
            </w:r>
          </w:p>
        </w:tc>
        <w:tc>
          <w:tcPr>
            <w:tcW w:w="56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widowControl/>
              <w:jc w:val="left"/>
              <w:rPr>
                <w:rFonts w:hint="eastAsia" w:ascii="仿宋_GB2312" w:hAnsi="仿宋_GB2312" w:eastAsia="仿宋_GB2312" w:cs="仿宋_GB2312"/>
                <w:szCs w:val="21"/>
              </w:rPr>
            </w:pPr>
            <w:r>
              <w:rPr>
                <w:rFonts w:hint="eastAsia" w:ascii="仿宋_GB2312" w:hAnsi="仿宋_GB2312" w:eastAsia="仿宋_GB2312" w:cs="仿宋_GB2312"/>
                <w:szCs w:val="21"/>
              </w:rPr>
              <w:t>第十七条第三款：“</w:t>
            </w:r>
            <w:r>
              <w:rPr>
                <w:rFonts w:hint="eastAsia" w:ascii="仿宋_GB2312" w:hAnsi="仿宋_GB2312" w:eastAsia="仿宋_GB2312" w:cs="仿宋_GB2312"/>
                <w:szCs w:val="21"/>
                <w:lang w:bidi="ar"/>
              </w:rPr>
              <w:t>禁止涂改、倒卖、出租、出借或者以其他形式非法转让建筑废弃物排放核准文件。</w:t>
            </w:r>
            <w:r>
              <w:rPr>
                <w:rFonts w:hint="eastAsia" w:ascii="仿宋_GB2312" w:hAnsi="仿宋_GB2312" w:eastAsia="仿宋_GB2312" w:cs="仿宋_GB2312"/>
                <w:szCs w:val="21"/>
              </w:rPr>
              <w:t>”</w:t>
            </w:r>
          </w:p>
        </w:tc>
        <w:tc>
          <w:tcPr>
            <w:tcW w:w="82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第五十条：“施工单位违反本办法规定，有下列行为之一的，由建设、交通运输、水务部门按照职责分工予以处罚：（二）违反本办法第十七条第三款规定的，责令改正，处三万元以上五万元以下罚款。”</w:t>
            </w:r>
          </w:p>
        </w:tc>
        <w:tc>
          <w:tcPr>
            <w:tcW w:w="50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rPr>
              <w:t>罚款</w:t>
            </w:r>
          </w:p>
        </w:tc>
        <w:tc>
          <w:tcPr>
            <w:tcW w:w="55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889" w:type="pct"/>
            <w:tcBorders>
              <w:top w:val="single" w:color="auto" w:sz="4" w:space="0"/>
              <w:left w:val="single" w:color="auto" w:sz="4" w:space="0"/>
              <w:bottom w:val="single" w:color="auto" w:sz="4" w:space="0"/>
              <w:right w:val="single" w:color="auto" w:sz="4" w:space="0"/>
              <w:tl2br w:val="nil"/>
              <w:tr2bl w:val="nil"/>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未造成危害后果或造成轻微危害后果的</w:t>
            </w:r>
          </w:p>
        </w:tc>
        <w:tc>
          <w:tcPr>
            <w:tcW w:w="780"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4"/>
              </w:rPr>
              <w:t>责令改正，</w:t>
            </w:r>
            <w:r>
              <w:rPr>
                <w:rFonts w:hint="eastAsia" w:ascii="仿宋_GB2312" w:hAnsi="仿宋_GB2312" w:eastAsia="仿宋_GB2312" w:cs="仿宋_GB2312"/>
                <w:szCs w:val="21"/>
              </w:rPr>
              <w:t>处三万元以上、低于四万元罚款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0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6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0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p>
        </w:tc>
        <w:tc>
          <w:tcPr>
            <w:tcW w:w="55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889" w:type="pct"/>
            <w:tcBorders>
              <w:top w:val="single" w:color="auto" w:sz="4" w:space="0"/>
              <w:left w:val="single" w:color="auto" w:sz="4" w:space="0"/>
              <w:bottom w:val="single" w:color="auto" w:sz="4" w:space="0"/>
              <w:right w:val="single" w:color="auto" w:sz="4" w:space="0"/>
              <w:tl2br w:val="nil"/>
              <w:tr2bl w:val="nil"/>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造成一般危害后果的</w:t>
            </w:r>
          </w:p>
        </w:tc>
        <w:tc>
          <w:tcPr>
            <w:tcW w:w="780"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4"/>
              </w:rPr>
              <w:t>责令改正，</w:t>
            </w:r>
            <w:r>
              <w:rPr>
                <w:rFonts w:hint="eastAsia" w:ascii="仿宋_GB2312" w:hAnsi="仿宋_GB2312" w:eastAsia="仿宋_GB2312" w:cs="仿宋_GB2312"/>
                <w:szCs w:val="21"/>
              </w:rPr>
              <w:t>处四万元罚款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0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6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0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p>
        </w:tc>
        <w:tc>
          <w:tcPr>
            <w:tcW w:w="55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889" w:type="pct"/>
            <w:tcBorders>
              <w:top w:val="single" w:color="auto" w:sz="4" w:space="0"/>
              <w:left w:val="single" w:color="auto" w:sz="4" w:space="0"/>
              <w:bottom w:val="single" w:color="auto" w:sz="4" w:space="0"/>
              <w:right w:val="single" w:color="auto" w:sz="4" w:space="0"/>
              <w:tl2br w:val="nil"/>
              <w:tr2bl w:val="nil"/>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造成生产安全事故的，或造成其他严重后果的</w:t>
            </w:r>
          </w:p>
        </w:tc>
        <w:tc>
          <w:tcPr>
            <w:tcW w:w="780"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4"/>
              </w:rPr>
              <w:t>责令改正，</w:t>
            </w:r>
            <w:r>
              <w:rPr>
                <w:rFonts w:hint="eastAsia" w:ascii="仿宋_GB2312" w:hAnsi="仿宋_GB2312" w:eastAsia="仿宋_GB2312" w:cs="仿宋_GB2312"/>
                <w:szCs w:val="21"/>
              </w:rPr>
              <w:t>处超过四万元、五万元以下罚款</w:t>
            </w:r>
          </w:p>
        </w:tc>
      </w:tr>
    </w:tbl>
    <w:p>
      <w:pPr>
        <w:widowControl/>
        <w:jc w:val="left"/>
        <w:rPr>
          <w:rFonts w:hint="eastAsia" w:ascii="宋体" w:hAnsi="宋体" w:eastAsia="宋体" w:cs="宋体"/>
          <w:bCs/>
          <w:color w:val="000000"/>
          <w:sz w:val="28"/>
          <w:szCs w:val="24"/>
        </w:rPr>
      </w:pPr>
      <w:r>
        <w:rPr>
          <w:rFonts w:ascii="宋体" w:hAnsi="宋体" w:eastAsia="宋体" w:cs="宋体"/>
          <w:bCs/>
          <w:color w:val="000000"/>
          <w:kern w:val="44"/>
          <w:sz w:val="32"/>
          <w:szCs w:val="24"/>
        </w:rPr>
        <w:t>《深圳市建筑废弃物管理办法》</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60"/>
        <w:gridCol w:w="1584"/>
        <w:gridCol w:w="1321"/>
        <w:gridCol w:w="3025"/>
        <w:gridCol w:w="1378"/>
        <w:gridCol w:w="1584"/>
        <w:gridCol w:w="2053"/>
        <w:gridCol w:w="21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7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序号</w:t>
            </w:r>
          </w:p>
        </w:tc>
        <w:tc>
          <w:tcPr>
            <w:tcW w:w="55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违法行为</w:t>
            </w:r>
          </w:p>
        </w:tc>
        <w:tc>
          <w:tcPr>
            <w:tcW w:w="46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lang w:val="en"/>
              </w:rPr>
            </w:pPr>
            <w:r>
              <w:rPr>
                <w:rFonts w:hint="eastAsia" w:ascii="仿宋_GB2312" w:hAnsi="仿宋_GB2312" w:eastAsia="仿宋_GB2312" w:cs="仿宋_GB2312"/>
                <w:b/>
                <w:szCs w:val="24"/>
                <w:lang w:val="en"/>
              </w:rPr>
              <w:t>违反条款</w:t>
            </w:r>
          </w:p>
        </w:tc>
        <w:tc>
          <w:tcPr>
            <w:tcW w:w="106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处罚依据</w:t>
            </w:r>
          </w:p>
        </w:tc>
        <w:tc>
          <w:tcPr>
            <w:tcW w:w="48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处罚种类</w:t>
            </w:r>
          </w:p>
        </w:tc>
        <w:tc>
          <w:tcPr>
            <w:tcW w:w="55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裁量阶次</w:t>
            </w:r>
          </w:p>
        </w:tc>
        <w:tc>
          <w:tcPr>
            <w:tcW w:w="72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适用条件</w:t>
            </w:r>
          </w:p>
        </w:tc>
        <w:tc>
          <w:tcPr>
            <w:tcW w:w="76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4"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ascii="仿宋_GB2312" w:hAnsi="仿宋_GB2312" w:eastAsia="仿宋_GB2312" w:cs="仿宋_GB2312"/>
                <w:szCs w:val="21"/>
              </w:rPr>
              <w:t>114.</w:t>
            </w:r>
            <w:r>
              <w:rPr>
                <w:rFonts w:hint="eastAsia" w:ascii="仿宋_GB2312" w:hAnsi="仿宋_GB2312" w:eastAsia="仿宋_GB2312" w:cs="仿宋_GB2312"/>
                <w:szCs w:val="21"/>
                <w:lang w:val="en"/>
              </w:rPr>
              <w:t>2</w:t>
            </w:r>
          </w:p>
        </w:tc>
        <w:tc>
          <w:tcPr>
            <w:tcW w:w="559"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施工单位未将可综合利用的建筑废弃物交由符合规定的综合利用企业进行利用的</w:t>
            </w:r>
          </w:p>
        </w:tc>
        <w:tc>
          <w:tcPr>
            <w:tcW w:w="46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widowControl/>
              <w:jc w:val="left"/>
              <w:rPr>
                <w:rFonts w:hint="eastAsia" w:ascii="仿宋_GB2312" w:hAnsi="仿宋_GB2312" w:eastAsia="仿宋_GB2312" w:cs="仿宋_GB2312"/>
                <w:szCs w:val="21"/>
              </w:rPr>
            </w:pPr>
            <w:r>
              <w:rPr>
                <w:rFonts w:hint="eastAsia" w:ascii="仿宋_GB2312" w:hAnsi="仿宋_GB2312" w:eastAsia="仿宋_GB2312" w:cs="仿宋_GB2312"/>
                <w:szCs w:val="21"/>
              </w:rPr>
              <w:t>第二十条第一款：“</w:t>
            </w:r>
            <w:r>
              <w:rPr>
                <w:rFonts w:hint="eastAsia" w:ascii="仿宋_GB2312" w:hAnsi="仿宋_GB2312" w:eastAsia="仿宋_GB2312" w:cs="仿宋_GB2312"/>
                <w:szCs w:val="21"/>
                <w:lang w:bidi="ar"/>
              </w:rPr>
              <w:t>可综合利用的建筑废弃物，施工单位应当交由符合规定的综合利用企业处置。</w:t>
            </w:r>
            <w:r>
              <w:rPr>
                <w:rFonts w:hint="eastAsia" w:ascii="仿宋_GB2312" w:hAnsi="仿宋_GB2312" w:eastAsia="仿宋_GB2312" w:cs="仿宋_GB2312"/>
                <w:szCs w:val="21"/>
              </w:rPr>
              <w:t>”</w:t>
            </w:r>
          </w:p>
        </w:tc>
        <w:tc>
          <w:tcPr>
            <w:tcW w:w="1067"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五十条：“施工单位违反本办法规定，有下列行为之一的，由建设、交通运输、水务部门按照职责分工予以处罚：（四）违反本办法第二十条第一款规定，未将可综合利用的建筑废弃物交由符合规定的综合利用企业进行利用的，责令限期改正；逾期未改正的，处五千元以上三万元以下罚款。”</w:t>
            </w:r>
          </w:p>
        </w:tc>
        <w:tc>
          <w:tcPr>
            <w:tcW w:w="48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rPr>
              <w:t>罚款</w:t>
            </w:r>
          </w:p>
        </w:tc>
        <w:tc>
          <w:tcPr>
            <w:tcW w:w="55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724" w:type="pct"/>
            <w:tcBorders>
              <w:top w:val="single" w:color="auto" w:sz="4" w:space="0"/>
              <w:left w:val="single" w:color="auto" w:sz="4" w:space="0"/>
              <w:bottom w:val="single" w:color="auto" w:sz="4" w:space="0"/>
              <w:right w:val="single" w:color="auto" w:sz="4" w:space="0"/>
              <w:tl2br w:val="nil"/>
              <w:tr2bl w:val="nil"/>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未造成危害后果或造成轻微危害后果的</w:t>
            </w:r>
          </w:p>
        </w:tc>
        <w:tc>
          <w:tcPr>
            <w:tcW w:w="76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责令限期改正；逾期未改正的，处五千元以上、低于一万七千五百元罚款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4"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Cs w:val="21"/>
              </w:rPr>
            </w:pPr>
          </w:p>
        </w:tc>
        <w:tc>
          <w:tcPr>
            <w:tcW w:w="55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6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106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86" w:type="pct"/>
            <w:vMerge w:val="continue"/>
            <w:tcBorders>
              <w:top w:val="single" w:color="auto" w:sz="4" w:space="0"/>
              <w:left w:val="single" w:color="auto" w:sz="4" w:space="0"/>
              <w:bottom w:val="single" w:color="auto" w:sz="4" w:space="0"/>
              <w:right w:val="single" w:color="auto" w:sz="4" w:space="0"/>
              <w:tl2br w:val="nil"/>
              <w:tr2bl w:val="nil"/>
            </w:tcBorders>
          </w:tcPr>
          <w:p>
            <w:pPr>
              <w:jc w:val="center"/>
              <w:rPr>
                <w:rFonts w:hint="eastAsia" w:ascii="仿宋_GB2312" w:hAnsi="仿宋_GB2312" w:eastAsia="仿宋_GB2312" w:cs="仿宋_GB2312"/>
                <w:szCs w:val="21"/>
              </w:rPr>
            </w:pPr>
          </w:p>
        </w:tc>
        <w:tc>
          <w:tcPr>
            <w:tcW w:w="55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724" w:type="pct"/>
            <w:tcBorders>
              <w:top w:val="single" w:color="auto" w:sz="4" w:space="0"/>
              <w:left w:val="single" w:color="auto" w:sz="4" w:space="0"/>
              <w:bottom w:val="single" w:color="auto" w:sz="4" w:space="0"/>
              <w:right w:val="single" w:color="auto" w:sz="4" w:space="0"/>
              <w:tl2br w:val="nil"/>
              <w:tr2bl w:val="nil"/>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造成一般危害后果的</w:t>
            </w:r>
          </w:p>
        </w:tc>
        <w:tc>
          <w:tcPr>
            <w:tcW w:w="76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责令限期改正；逾期未改正的，处一万七千五百元罚款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4"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Cs w:val="21"/>
              </w:rPr>
            </w:pPr>
          </w:p>
        </w:tc>
        <w:tc>
          <w:tcPr>
            <w:tcW w:w="55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6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106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86" w:type="pct"/>
            <w:vMerge w:val="continue"/>
            <w:tcBorders>
              <w:top w:val="single" w:color="auto" w:sz="4" w:space="0"/>
              <w:left w:val="single" w:color="auto" w:sz="4" w:space="0"/>
              <w:bottom w:val="single" w:color="auto" w:sz="4" w:space="0"/>
              <w:right w:val="single" w:color="auto" w:sz="4" w:space="0"/>
              <w:tl2br w:val="nil"/>
              <w:tr2bl w:val="nil"/>
            </w:tcBorders>
          </w:tcPr>
          <w:p>
            <w:pPr>
              <w:jc w:val="center"/>
              <w:rPr>
                <w:rFonts w:hint="eastAsia" w:ascii="仿宋_GB2312" w:hAnsi="仿宋_GB2312" w:eastAsia="仿宋_GB2312" w:cs="仿宋_GB2312"/>
                <w:szCs w:val="21"/>
              </w:rPr>
            </w:pPr>
          </w:p>
        </w:tc>
        <w:tc>
          <w:tcPr>
            <w:tcW w:w="55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724" w:type="pct"/>
            <w:tcBorders>
              <w:top w:val="single" w:color="auto" w:sz="4" w:space="0"/>
              <w:left w:val="single" w:color="auto" w:sz="4" w:space="0"/>
              <w:bottom w:val="single" w:color="auto" w:sz="4" w:space="0"/>
              <w:right w:val="single" w:color="auto" w:sz="4" w:space="0"/>
              <w:tl2br w:val="nil"/>
              <w:tr2bl w:val="nil"/>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造成生产安全事故的，或造成其他严重后果的</w:t>
            </w:r>
          </w:p>
        </w:tc>
        <w:tc>
          <w:tcPr>
            <w:tcW w:w="76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责令限期改正；逾期未改正的，处超过一万七千五百元、三万元以下罚款</w:t>
            </w:r>
          </w:p>
        </w:tc>
      </w:tr>
    </w:tbl>
    <w:p>
      <w:pPr>
        <w:widowControl/>
        <w:jc w:val="left"/>
        <w:rPr>
          <w:rFonts w:hint="eastAsia" w:ascii="宋体" w:hAnsi="宋体" w:eastAsia="宋体" w:cs="宋体"/>
          <w:bCs/>
          <w:color w:val="000000"/>
          <w:sz w:val="28"/>
          <w:szCs w:val="24"/>
        </w:rPr>
      </w:pPr>
      <w:r>
        <w:rPr>
          <w:rFonts w:ascii="宋体" w:hAnsi="宋体" w:eastAsia="宋体" w:cs="宋体"/>
          <w:bCs/>
          <w:color w:val="000000"/>
          <w:kern w:val="44"/>
          <w:sz w:val="32"/>
          <w:szCs w:val="24"/>
        </w:rPr>
        <w:t>《深圳市建筑废弃物管理办法》</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5"/>
        <w:gridCol w:w="1857"/>
        <w:gridCol w:w="2053"/>
        <w:gridCol w:w="2891"/>
        <w:gridCol w:w="1415"/>
        <w:gridCol w:w="1259"/>
        <w:gridCol w:w="1885"/>
        <w:gridCol w:w="17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7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序号</w:t>
            </w:r>
          </w:p>
        </w:tc>
        <w:tc>
          <w:tcPr>
            <w:tcW w:w="65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违法行为</w:t>
            </w:r>
          </w:p>
        </w:tc>
        <w:tc>
          <w:tcPr>
            <w:tcW w:w="72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lang w:val="en"/>
              </w:rPr>
            </w:pPr>
            <w:r>
              <w:rPr>
                <w:rFonts w:hint="eastAsia" w:ascii="仿宋_GB2312" w:hAnsi="仿宋_GB2312" w:eastAsia="仿宋_GB2312" w:cs="仿宋_GB2312"/>
                <w:b/>
                <w:szCs w:val="24"/>
                <w:lang w:val="en"/>
              </w:rPr>
              <w:t>违反条款</w:t>
            </w:r>
          </w:p>
        </w:tc>
        <w:tc>
          <w:tcPr>
            <w:tcW w:w="102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处罚依据</w:t>
            </w:r>
          </w:p>
        </w:tc>
        <w:tc>
          <w:tcPr>
            <w:tcW w:w="49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处罚种类</w:t>
            </w:r>
          </w:p>
        </w:tc>
        <w:tc>
          <w:tcPr>
            <w:tcW w:w="44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裁量阶次</w:t>
            </w:r>
          </w:p>
        </w:tc>
        <w:tc>
          <w:tcPr>
            <w:tcW w:w="66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适用条件</w:t>
            </w:r>
          </w:p>
        </w:tc>
        <w:tc>
          <w:tcPr>
            <w:tcW w:w="62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2"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ascii="仿宋_GB2312" w:hAnsi="仿宋_GB2312" w:eastAsia="仿宋_GB2312" w:cs="仿宋_GB2312"/>
                <w:szCs w:val="21"/>
              </w:rPr>
              <w:t>114.</w:t>
            </w:r>
            <w:r>
              <w:rPr>
                <w:rFonts w:hint="eastAsia" w:ascii="仿宋_GB2312" w:hAnsi="仿宋_GB2312" w:eastAsia="仿宋_GB2312" w:cs="仿宋_GB2312"/>
                <w:szCs w:val="21"/>
                <w:lang w:val="en"/>
              </w:rPr>
              <w:t>3</w:t>
            </w:r>
          </w:p>
        </w:tc>
        <w:tc>
          <w:tcPr>
            <w:tcW w:w="65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综合利用企业未使用合格的计量器具，建立规范完整的生产台账，并定期将生产台账报送区建设主管部门的</w:t>
            </w:r>
          </w:p>
        </w:tc>
        <w:tc>
          <w:tcPr>
            <w:tcW w:w="724"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widowControl/>
              <w:jc w:val="left"/>
              <w:rPr>
                <w:rFonts w:hint="eastAsia" w:ascii="仿宋_GB2312" w:hAnsi="仿宋_GB2312" w:eastAsia="仿宋_GB2312" w:cs="仿宋_GB2312"/>
                <w:szCs w:val="21"/>
              </w:rPr>
            </w:pPr>
            <w:r>
              <w:rPr>
                <w:rFonts w:hint="eastAsia" w:ascii="仿宋_GB2312" w:hAnsi="仿宋_GB2312" w:eastAsia="仿宋_GB2312" w:cs="仿宋_GB2312"/>
                <w:szCs w:val="21"/>
              </w:rPr>
              <w:t>第三十六条：“综合利用企业从事生产经营活动应当遵守下列规定：（一）使用合格的计量器具，建立规范完整的生产台账，并定期将生产台账报送区建设主管部门。”</w:t>
            </w:r>
          </w:p>
        </w:tc>
        <w:tc>
          <w:tcPr>
            <w:tcW w:w="1020"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五十一条：“综合利用企业违反本办法规定，有下列行为之一的，按照下列规定予以处罚：（三）违反本办法第三十六条第一款第一项规定的，由区建设主管部门责令限期改正；逾期未改正的，处五千元以上两万元以下罚款。”</w:t>
            </w:r>
          </w:p>
        </w:tc>
        <w:tc>
          <w:tcPr>
            <w:tcW w:w="499"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rPr>
              <w:t>罚款</w:t>
            </w:r>
          </w:p>
        </w:tc>
        <w:tc>
          <w:tcPr>
            <w:tcW w:w="44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665" w:type="pct"/>
            <w:tcBorders>
              <w:top w:val="single" w:color="auto" w:sz="4" w:space="0"/>
              <w:left w:val="single" w:color="auto" w:sz="4" w:space="0"/>
              <w:bottom w:val="single" w:color="auto" w:sz="4" w:space="0"/>
              <w:right w:val="single" w:color="auto" w:sz="4" w:space="0"/>
              <w:tl2br w:val="nil"/>
              <w:tr2bl w:val="nil"/>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未造成危害后果或造成轻微危害后果的</w:t>
            </w:r>
          </w:p>
        </w:tc>
        <w:tc>
          <w:tcPr>
            <w:tcW w:w="62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rPr>
            </w:pPr>
            <w:r>
              <w:rPr>
                <w:rFonts w:hint="eastAsia" w:ascii="仿宋_GB2312" w:hAnsi="仿宋_GB2312" w:eastAsia="仿宋_GB2312" w:cs="仿宋_GB2312"/>
                <w:szCs w:val="21"/>
              </w:rPr>
              <w:t>责令限期改正；逾期未改正的，</w:t>
            </w:r>
          </w:p>
          <w:p>
            <w:pPr>
              <w:rPr>
                <w:rFonts w:hint="eastAsia" w:ascii="仿宋_GB2312" w:hAnsi="仿宋_GB2312" w:eastAsia="仿宋_GB2312" w:cs="仿宋_GB2312"/>
                <w:szCs w:val="21"/>
              </w:rPr>
            </w:pPr>
            <w:r>
              <w:rPr>
                <w:rFonts w:hint="eastAsia" w:ascii="仿宋_GB2312" w:hAnsi="仿宋_GB2312" w:eastAsia="仿宋_GB2312" w:cs="仿宋_GB2312"/>
                <w:szCs w:val="21"/>
              </w:rPr>
              <w:t>处五千元以上、低于一万二千五百元罚款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5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72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102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9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p>
        </w:tc>
        <w:tc>
          <w:tcPr>
            <w:tcW w:w="44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665" w:type="pct"/>
            <w:tcBorders>
              <w:top w:val="single" w:color="auto" w:sz="4" w:space="0"/>
              <w:left w:val="single" w:color="auto" w:sz="4" w:space="0"/>
              <w:bottom w:val="single" w:color="auto" w:sz="4" w:space="0"/>
              <w:right w:val="single" w:color="auto" w:sz="4" w:space="0"/>
              <w:tl2br w:val="nil"/>
              <w:tr2bl w:val="nil"/>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造成一般危害后果的</w:t>
            </w:r>
          </w:p>
        </w:tc>
        <w:tc>
          <w:tcPr>
            <w:tcW w:w="62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责令限期改正；逾期未改正的，处一万二千五百元罚款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5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72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102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9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p>
        </w:tc>
        <w:tc>
          <w:tcPr>
            <w:tcW w:w="44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665" w:type="pct"/>
            <w:tcBorders>
              <w:top w:val="single" w:color="auto" w:sz="4" w:space="0"/>
              <w:left w:val="single" w:color="auto" w:sz="4" w:space="0"/>
              <w:right w:val="single" w:color="auto" w:sz="4" w:space="0"/>
              <w:tl2br w:val="nil"/>
              <w:tr2bl w:val="nil"/>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造成生产安全事故的，或造成其他严重后果的</w:t>
            </w:r>
          </w:p>
        </w:tc>
        <w:tc>
          <w:tcPr>
            <w:tcW w:w="621" w:type="pct"/>
            <w:tcBorders>
              <w:top w:val="single" w:color="auto" w:sz="4" w:space="0"/>
              <w:left w:val="single" w:color="auto" w:sz="4" w:space="0"/>
              <w:right w:val="single" w:color="auto" w:sz="4" w:space="0"/>
              <w:tl2br w:val="nil"/>
              <w:tr2bl w:val="nil"/>
            </w:tcBorders>
            <w:vAlign w:val="center"/>
          </w:tcPr>
          <w:p>
            <w:pPr>
              <w:rPr>
                <w:rFonts w:hint="eastAsia" w:ascii="仿宋_GB2312" w:hAnsi="仿宋_GB2312" w:eastAsia="仿宋_GB2312" w:cs="仿宋_GB2312"/>
              </w:rPr>
            </w:pPr>
            <w:r>
              <w:rPr>
                <w:rFonts w:hint="eastAsia" w:ascii="仿宋_GB2312" w:hAnsi="仿宋_GB2312" w:eastAsia="仿宋_GB2312" w:cs="仿宋_GB2312"/>
                <w:szCs w:val="21"/>
              </w:rPr>
              <w:t>责令限期改正；逾期未改正的，</w:t>
            </w:r>
          </w:p>
          <w:p>
            <w:pPr>
              <w:rPr>
                <w:rFonts w:hint="eastAsia" w:ascii="仿宋_GB2312" w:hAnsi="仿宋_GB2312" w:eastAsia="仿宋_GB2312" w:cs="仿宋_GB2312"/>
                <w:szCs w:val="21"/>
              </w:rPr>
            </w:pPr>
            <w:r>
              <w:rPr>
                <w:rFonts w:hint="eastAsia" w:ascii="仿宋_GB2312" w:hAnsi="仿宋_GB2312" w:eastAsia="仿宋_GB2312" w:cs="仿宋_GB2312"/>
                <w:szCs w:val="21"/>
              </w:rPr>
              <w:t>处超过一万二千五百元、两万元以下罚款</w:t>
            </w:r>
          </w:p>
        </w:tc>
      </w:tr>
    </w:tbl>
    <w:p>
      <w:pPr>
        <w:widowControl/>
        <w:jc w:val="left"/>
        <w:rPr>
          <w:rFonts w:hint="eastAsia" w:ascii="宋体" w:hAnsi="宋体" w:eastAsia="宋体" w:cs="宋体"/>
          <w:bCs/>
          <w:color w:val="000000"/>
          <w:sz w:val="28"/>
          <w:szCs w:val="24"/>
        </w:rPr>
      </w:pPr>
      <w:r>
        <w:rPr>
          <w:rFonts w:ascii="宋体" w:hAnsi="宋体" w:eastAsia="宋体" w:cs="宋体"/>
          <w:bCs/>
          <w:color w:val="000000"/>
          <w:kern w:val="44"/>
          <w:sz w:val="32"/>
          <w:szCs w:val="24"/>
        </w:rPr>
        <w:t>《深圳市建筑废弃物管理办法》</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66"/>
        <w:gridCol w:w="1270"/>
        <w:gridCol w:w="2024"/>
        <w:gridCol w:w="2650"/>
        <w:gridCol w:w="1389"/>
        <w:gridCol w:w="1372"/>
        <w:gridCol w:w="1570"/>
        <w:gridCol w:w="273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11"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序号</w:t>
            </w:r>
          </w:p>
        </w:tc>
        <w:tc>
          <w:tcPr>
            <w:tcW w:w="448"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违法行为</w:t>
            </w:r>
          </w:p>
        </w:tc>
        <w:tc>
          <w:tcPr>
            <w:tcW w:w="714" w:type="pct"/>
            <w:vAlign w:val="center"/>
          </w:tcPr>
          <w:p>
            <w:pPr>
              <w:jc w:val="center"/>
              <w:rPr>
                <w:rFonts w:hint="eastAsia" w:ascii="仿宋_GB2312" w:hAnsi="仿宋_GB2312" w:eastAsia="仿宋_GB2312" w:cs="仿宋_GB2312"/>
                <w:b/>
                <w:lang w:val="en"/>
              </w:rPr>
            </w:pPr>
            <w:r>
              <w:rPr>
                <w:rFonts w:hint="eastAsia" w:ascii="仿宋_GB2312" w:hAnsi="仿宋_GB2312" w:eastAsia="仿宋_GB2312" w:cs="仿宋_GB2312"/>
                <w:b/>
                <w:lang w:val="en"/>
              </w:rPr>
              <w:t>违反条款</w:t>
            </w:r>
          </w:p>
        </w:tc>
        <w:tc>
          <w:tcPr>
            <w:tcW w:w="935"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处罚依据</w:t>
            </w:r>
          </w:p>
        </w:tc>
        <w:tc>
          <w:tcPr>
            <w:tcW w:w="490"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处罚种类</w:t>
            </w:r>
          </w:p>
        </w:tc>
        <w:tc>
          <w:tcPr>
            <w:tcW w:w="484"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裁量阶次</w:t>
            </w:r>
          </w:p>
        </w:tc>
        <w:tc>
          <w:tcPr>
            <w:tcW w:w="554"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适用条件</w:t>
            </w:r>
          </w:p>
        </w:tc>
        <w:tc>
          <w:tcPr>
            <w:tcW w:w="965" w:type="pct"/>
            <w:vAlign w:val="center"/>
          </w:tcPr>
          <w:p>
            <w:pPr>
              <w:jc w:val="center"/>
              <w:rPr>
                <w:rFonts w:hint="eastAsia" w:ascii="仿宋_GB2312" w:hAnsi="仿宋_GB2312" w:eastAsia="仿宋_GB2312" w:cs="仿宋_GB2312"/>
                <w:b/>
              </w:rPr>
            </w:pPr>
            <w:r>
              <w:rPr>
                <w:rFonts w:hint="eastAsia" w:ascii="仿宋_GB2312" w:hAnsi="仿宋_GB2312" w:eastAsia="仿宋_GB2312" w:cs="仿宋_GB2312"/>
                <w:b/>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1" w:type="pct"/>
            <w:vMerge w:val="restart"/>
            <w:vAlign w:val="center"/>
          </w:tcPr>
          <w:p>
            <w:pPr>
              <w:jc w:val="center"/>
              <w:rPr>
                <w:rFonts w:hint="eastAsia" w:ascii="仿宋_GB2312" w:hAnsi="仿宋_GB2312" w:eastAsia="仿宋_GB2312" w:cs="仿宋_GB2312"/>
                <w:szCs w:val="21"/>
                <w:lang w:val="en"/>
              </w:rPr>
            </w:pPr>
            <w:r>
              <w:rPr>
                <w:rFonts w:ascii="仿宋_GB2312" w:hAnsi="仿宋_GB2312" w:eastAsia="仿宋_GB2312" w:cs="仿宋_GB2312"/>
                <w:szCs w:val="21"/>
              </w:rPr>
              <w:t>114.</w:t>
            </w:r>
            <w:r>
              <w:rPr>
                <w:rFonts w:hint="eastAsia" w:ascii="仿宋_GB2312" w:hAnsi="仿宋_GB2312" w:eastAsia="仿宋_GB2312" w:cs="仿宋_GB2312"/>
                <w:szCs w:val="21"/>
                <w:lang w:val="en"/>
              </w:rPr>
              <w:t>4</w:t>
            </w:r>
          </w:p>
        </w:tc>
        <w:tc>
          <w:tcPr>
            <w:tcW w:w="448" w:type="pct"/>
            <w:vMerge w:val="restar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综合利用企业以其他原料作为主要原料替代建筑废弃物生产建筑废弃物综合利用产品的</w:t>
            </w:r>
          </w:p>
        </w:tc>
        <w:tc>
          <w:tcPr>
            <w:tcW w:w="714" w:type="pct"/>
            <w:vMerge w:val="restart"/>
            <w:vAlign w:val="center"/>
          </w:tcPr>
          <w:p>
            <w:pPr>
              <w:widowControl/>
              <w:jc w:val="left"/>
              <w:rPr>
                <w:rFonts w:hint="eastAsia" w:ascii="仿宋_GB2312" w:hAnsi="仿宋_GB2312" w:eastAsia="仿宋_GB2312" w:cs="仿宋_GB2312"/>
                <w:szCs w:val="21"/>
              </w:rPr>
            </w:pPr>
            <w:r>
              <w:rPr>
                <w:rFonts w:hint="eastAsia" w:ascii="仿宋_GB2312" w:hAnsi="仿宋_GB2312" w:eastAsia="仿宋_GB2312" w:cs="仿宋_GB2312"/>
                <w:szCs w:val="21"/>
              </w:rPr>
              <w:t>第三十六条：“综合利用企业从事生产经营活动应当遵守下列规定：（二）</w:t>
            </w:r>
            <w:r>
              <w:rPr>
                <w:rFonts w:hint="eastAsia" w:ascii="仿宋_GB2312" w:hAnsi="仿宋_GB2312" w:eastAsia="仿宋_GB2312" w:cs="仿宋_GB2312"/>
                <w:lang w:bidi="ar"/>
              </w:rPr>
              <w:t>建立生产质量管理体系，综合利用产品应当符合产品质量标准，不得以其他原料代替建筑废弃物作为产品主要原料，不得采用列入淘汰名录的技术、工艺和设备生产建筑废弃物综合利用产品。</w:t>
            </w:r>
            <w:r>
              <w:rPr>
                <w:rFonts w:hint="eastAsia" w:ascii="仿宋_GB2312" w:hAnsi="仿宋_GB2312" w:eastAsia="仿宋_GB2312" w:cs="仿宋_GB2312"/>
              </w:rPr>
              <w:t>”</w:t>
            </w:r>
          </w:p>
        </w:tc>
        <w:tc>
          <w:tcPr>
            <w:tcW w:w="935" w:type="pct"/>
            <w:vMerge w:val="restar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五十一条：“综合利用企业违反本办法规定，有下列行为之一的，按照下列规定予以处罚：（三）违反本办法第三十六条第一款第二项规定，以其他原料作为主要原料替代建筑废弃物生产建筑废弃物综合利用产品的，由区建设主管部门责令限期改正，依法没收违法所得；逾期未改正的，处五万元以上十万元以下罚款。”</w:t>
            </w:r>
          </w:p>
        </w:tc>
        <w:tc>
          <w:tcPr>
            <w:tcW w:w="490" w:type="pct"/>
            <w:vMerge w:val="restar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罚款；没收违法所得</w:t>
            </w:r>
          </w:p>
        </w:tc>
        <w:tc>
          <w:tcPr>
            <w:tcW w:w="484" w:type="pct"/>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Cs/>
                <w:color w:val="000000"/>
                <w:kern w:val="0"/>
                <w:szCs w:val="21"/>
              </w:rPr>
              <w:t>从轻</w:t>
            </w:r>
          </w:p>
        </w:tc>
        <w:tc>
          <w:tcPr>
            <w:tcW w:w="554" w:type="pct"/>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未造成危害后果或造成轻微危害后果的</w:t>
            </w:r>
          </w:p>
        </w:tc>
        <w:tc>
          <w:tcPr>
            <w:tcW w:w="965" w:type="pc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责令限期改正，依法没收违法所得；逾期未改正的，处五万元以上、低于七万五千元罚款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1" w:type="pct"/>
            <w:vMerge w:val="continue"/>
            <w:vAlign w:val="center"/>
          </w:tcPr>
          <w:p>
            <w:pPr>
              <w:rPr>
                <w:rFonts w:hint="eastAsia" w:ascii="仿宋_GB2312" w:hAnsi="仿宋_GB2312" w:eastAsia="仿宋_GB2312" w:cs="仿宋_GB2312"/>
                <w:szCs w:val="21"/>
              </w:rPr>
            </w:pPr>
          </w:p>
        </w:tc>
        <w:tc>
          <w:tcPr>
            <w:tcW w:w="448" w:type="pct"/>
            <w:vMerge w:val="continue"/>
            <w:vAlign w:val="center"/>
          </w:tcPr>
          <w:p>
            <w:pPr>
              <w:rPr>
                <w:rFonts w:hint="eastAsia" w:ascii="仿宋_GB2312" w:hAnsi="仿宋_GB2312" w:eastAsia="仿宋_GB2312" w:cs="仿宋_GB2312"/>
                <w:szCs w:val="21"/>
              </w:rPr>
            </w:pPr>
          </w:p>
        </w:tc>
        <w:tc>
          <w:tcPr>
            <w:tcW w:w="714" w:type="pct"/>
            <w:vMerge w:val="continue"/>
            <w:vAlign w:val="center"/>
          </w:tcPr>
          <w:p>
            <w:pPr>
              <w:rPr>
                <w:rFonts w:hint="eastAsia" w:ascii="仿宋_GB2312" w:hAnsi="仿宋_GB2312" w:eastAsia="仿宋_GB2312" w:cs="仿宋_GB2312"/>
                <w:szCs w:val="21"/>
              </w:rPr>
            </w:pPr>
          </w:p>
        </w:tc>
        <w:tc>
          <w:tcPr>
            <w:tcW w:w="935" w:type="pct"/>
            <w:vMerge w:val="continue"/>
            <w:vAlign w:val="center"/>
          </w:tcPr>
          <w:p>
            <w:pPr>
              <w:rPr>
                <w:rFonts w:hint="eastAsia" w:ascii="仿宋_GB2312" w:hAnsi="仿宋_GB2312" w:eastAsia="仿宋_GB2312" w:cs="仿宋_GB2312"/>
                <w:szCs w:val="21"/>
              </w:rPr>
            </w:pPr>
          </w:p>
        </w:tc>
        <w:tc>
          <w:tcPr>
            <w:tcW w:w="490" w:type="pct"/>
            <w:vMerge w:val="continue"/>
            <w:vAlign w:val="center"/>
          </w:tcPr>
          <w:p>
            <w:pPr>
              <w:rPr>
                <w:rFonts w:hint="eastAsia" w:ascii="仿宋_GB2312" w:hAnsi="仿宋_GB2312" w:eastAsia="仿宋_GB2312" w:cs="仿宋_GB2312"/>
                <w:szCs w:val="21"/>
              </w:rPr>
            </w:pPr>
          </w:p>
        </w:tc>
        <w:tc>
          <w:tcPr>
            <w:tcW w:w="484" w:type="pct"/>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Cs/>
                <w:color w:val="000000"/>
                <w:kern w:val="0"/>
                <w:szCs w:val="21"/>
              </w:rPr>
              <w:t>一般</w:t>
            </w:r>
          </w:p>
        </w:tc>
        <w:tc>
          <w:tcPr>
            <w:tcW w:w="554" w:type="pct"/>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造成一般危害后果的</w:t>
            </w:r>
          </w:p>
        </w:tc>
        <w:tc>
          <w:tcPr>
            <w:tcW w:w="965" w:type="pc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责令限期改正，依法没收违法所得；逾期未改正的，处七万五千元罚款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1" w:type="pct"/>
            <w:vMerge w:val="continue"/>
            <w:vAlign w:val="center"/>
          </w:tcPr>
          <w:p>
            <w:pPr>
              <w:rPr>
                <w:rFonts w:hint="eastAsia" w:ascii="仿宋_GB2312" w:hAnsi="仿宋_GB2312" w:eastAsia="仿宋_GB2312" w:cs="仿宋_GB2312"/>
                <w:szCs w:val="21"/>
              </w:rPr>
            </w:pPr>
          </w:p>
        </w:tc>
        <w:tc>
          <w:tcPr>
            <w:tcW w:w="448" w:type="pct"/>
            <w:vMerge w:val="continue"/>
            <w:vAlign w:val="center"/>
          </w:tcPr>
          <w:p>
            <w:pPr>
              <w:rPr>
                <w:rFonts w:hint="eastAsia" w:ascii="仿宋_GB2312" w:hAnsi="仿宋_GB2312" w:eastAsia="仿宋_GB2312" w:cs="仿宋_GB2312"/>
                <w:szCs w:val="21"/>
              </w:rPr>
            </w:pPr>
          </w:p>
        </w:tc>
        <w:tc>
          <w:tcPr>
            <w:tcW w:w="714" w:type="pct"/>
            <w:vMerge w:val="continue"/>
            <w:vAlign w:val="center"/>
          </w:tcPr>
          <w:p>
            <w:pPr>
              <w:rPr>
                <w:rFonts w:hint="eastAsia" w:ascii="仿宋_GB2312" w:hAnsi="仿宋_GB2312" w:eastAsia="仿宋_GB2312" w:cs="仿宋_GB2312"/>
                <w:szCs w:val="21"/>
              </w:rPr>
            </w:pPr>
          </w:p>
        </w:tc>
        <w:tc>
          <w:tcPr>
            <w:tcW w:w="935" w:type="pct"/>
            <w:vMerge w:val="continue"/>
            <w:vAlign w:val="center"/>
          </w:tcPr>
          <w:p>
            <w:pPr>
              <w:rPr>
                <w:rFonts w:hint="eastAsia" w:ascii="仿宋_GB2312" w:hAnsi="仿宋_GB2312" w:eastAsia="仿宋_GB2312" w:cs="仿宋_GB2312"/>
                <w:szCs w:val="21"/>
              </w:rPr>
            </w:pPr>
          </w:p>
        </w:tc>
        <w:tc>
          <w:tcPr>
            <w:tcW w:w="490" w:type="pct"/>
            <w:vMerge w:val="continue"/>
            <w:vAlign w:val="center"/>
          </w:tcPr>
          <w:p>
            <w:pPr>
              <w:rPr>
                <w:rFonts w:hint="eastAsia" w:ascii="仿宋_GB2312" w:hAnsi="仿宋_GB2312" w:eastAsia="仿宋_GB2312" w:cs="仿宋_GB2312"/>
                <w:szCs w:val="21"/>
              </w:rPr>
            </w:pPr>
          </w:p>
        </w:tc>
        <w:tc>
          <w:tcPr>
            <w:tcW w:w="484" w:type="pct"/>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bCs/>
                <w:color w:val="000000"/>
                <w:kern w:val="0"/>
                <w:szCs w:val="21"/>
              </w:rPr>
              <w:t>从重</w:t>
            </w:r>
          </w:p>
        </w:tc>
        <w:tc>
          <w:tcPr>
            <w:tcW w:w="554" w:type="pct"/>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造成生产安全事故的，或造成其他严重后果的</w:t>
            </w:r>
          </w:p>
        </w:tc>
        <w:tc>
          <w:tcPr>
            <w:tcW w:w="965" w:type="pct"/>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责令限期改正，依法没收违法所得；逾期未改正的，处超过七万五千元、十万元以下罚款</w:t>
            </w:r>
          </w:p>
        </w:tc>
      </w:tr>
    </w:tbl>
    <w:p>
      <w:pPr>
        <w:widowControl/>
        <w:jc w:val="left"/>
        <w:rPr>
          <w:rFonts w:hint="eastAsia" w:ascii="仿宋_GB2312" w:hAnsi="仿宋_GB2312" w:eastAsia="仿宋_GB2312" w:cs="仿宋_GB2312"/>
          <w:bCs/>
          <w:color w:val="000000"/>
          <w:szCs w:val="21"/>
        </w:rPr>
      </w:pPr>
      <w:r>
        <w:rPr>
          <w:rFonts w:ascii="宋体" w:hAnsi="宋体" w:eastAsia="宋体" w:cs="宋体"/>
          <w:bCs/>
          <w:color w:val="000000"/>
          <w:kern w:val="44"/>
          <w:sz w:val="32"/>
          <w:szCs w:val="24"/>
        </w:rPr>
        <w:t>《深圳市建筑废弃物管理办法》</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9"/>
        <w:gridCol w:w="1305"/>
        <w:gridCol w:w="2235"/>
        <w:gridCol w:w="3067"/>
        <w:gridCol w:w="1435"/>
        <w:gridCol w:w="1273"/>
        <w:gridCol w:w="1910"/>
        <w:gridCol w:w="17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1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46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78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108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5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44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67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62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9"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ascii="仿宋_GB2312" w:hAnsi="仿宋_GB2312" w:eastAsia="仿宋_GB2312" w:cs="仿宋_GB2312"/>
                <w:szCs w:val="21"/>
              </w:rPr>
              <w:t>114.</w:t>
            </w:r>
            <w:r>
              <w:rPr>
                <w:rFonts w:hint="eastAsia" w:ascii="仿宋_GB2312" w:hAnsi="仿宋_GB2312" w:eastAsia="仿宋_GB2312" w:cs="仿宋_GB2312"/>
                <w:szCs w:val="21"/>
                <w:lang w:val="en"/>
              </w:rPr>
              <w:t>5</w:t>
            </w:r>
          </w:p>
        </w:tc>
        <w:tc>
          <w:tcPr>
            <w:tcW w:w="460"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以隐瞒真实情况、提供虚假证明等不正当手段，获得综合利用产品认定的</w:t>
            </w:r>
          </w:p>
        </w:tc>
        <w:tc>
          <w:tcPr>
            <w:tcW w:w="78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widowControl/>
              <w:jc w:val="left"/>
              <w:rPr>
                <w:rFonts w:hint="eastAsia" w:ascii="仿宋_GB2312" w:hAnsi="仿宋_GB2312" w:eastAsia="仿宋_GB2312" w:cs="仿宋_GB2312"/>
                <w:szCs w:val="21"/>
              </w:rPr>
            </w:pPr>
            <w:r>
              <w:rPr>
                <w:rFonts w:hint="eastAsia" w:ascii="仿宋_GB2312" w:hAnsi="仿宋_GB2312" w:eastAsia="仿宋_GB2312" w:cs="仿宋_GB2312"/>
              </w:rPr>
              <w:t>第三十八条：“</w:t>
            </w:r>
            <w:r>
              <w:rPr>
                <w:rFonts w:hint="eastAsia" w:ascii="仿宋_GB2312" w:hAnsi="仿宋_GB2312" w:eastAsia="仿宋_GB2312" w:cs="仿宋_GB2312"/>
                <w:lang w:bidi="ar"/>
              </w:rPr>
              <w:t> 建筑废弃物综合利用产品实行产品认定制度。综合利用产品的生产和使用经第三方机构认定符合产品质量标准、应用技术规程等规定的，由市建设主管部门按照规定列入综合利用产品目录，并向社会公布。</w:t>
            </w:r>
            <w:r>
              <w:rPr>
                <w:rFonts w:hint="eastAsia" w:ascii="仿宋_GB2312" w:hAnsi="仿宋_GB2312" w:eastAsia="仿宋_GB2312" w:cs="仿宋_GB2312"/>
              </w:rPr>
              <w:t>”</w:t>
            </w:r>
          </w:p>
        </w:tc>
        <w:tc>
          <w:tcPr>
            <w:tcW w:w="1082"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五十一条：“综合利用企业违反本办法规定，有下列行为之一的，按照下列规定予以处罚：（三）违反本办法第三十八条规定，以隐瞒真实情况、提供虚假证明等不正当手段，获得综合利用产品认定的，由市建设主管部门处五千元以上五万元以下罚款，认定产品自综合利用产品目录中移除。”</w:t>
            </w:r>
          </w:p>
        </w:tc>
        <w:tc>
          <w:tcPr>
            <w:tcW w:w="50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rPr>
              <w:t>罚款</w:t>
            </w:r>
          </w:p>
        </w:tc>
        <w:tc>
          <w:tcPr>
            <w:tcW w:w="44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674" w:type="pct"/>
            <w:tcBorders>
              <w:top w:val="single" w:color="auto" w:sz="4" w:space="0"/>
              <w:left w:val="single" w:color="auto" w:sz="4" w:space="0"/>
              <w:bottom w:val="single" w:color="auto" w:sz="4" w:space="0"/>
              <w:right w:val="single" w:color="auto" w:sz="4" w:space="0"/>
              <w:tl2br w:val="nil"/>
              <w:tr2bl w:val="nil"/>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未造成危害后果或造成轻微危害后果的</w:t>
            </w:r>
          </w:p>
        </w:tc>
        <w:tc>
          <w:tcPr>
            <w:tcW w:w="62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处五千元以上、低于二万七千五百元罚款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6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78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108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p>
        </w:tc>
        <w:tc>
          <w:tcPr>
            <w:tcW w:w="44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674" w:type="pct"/>
            <w:tcBorders>
              <w:top w:val="single" w:color="auto" w:sz="4" w:space="0"/>
              <w:left w:val="single" w:color="auto" w:sz="4" w:space="0"/>
              <w:bottom w:val="single" w:color="auto" w:sz="4" w:space="0"/>
              <w:right w:val="single" w:color="auto" w:sz="4" w:space="0"/>
              <w:tl2br w:val="nil"/>
              <w:tr2bl w:val="nil"/>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造成一般危害后果的</w:t>
            </w:r>
          </w:p>
        </w:tc>
        <w:tc>
          <w:tcPr>
            <w:tcW w:w="62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处二万七千五百元罚款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6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78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108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p>
        </w:tc>
        <w:tc>
          <w:tcPr>
            <w:tcW w:w="44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674" w:type="pct"/>
            <w:tcBorders>
              <w:top w:val="single" w:color="auto" w:sz="4" w:space="0"/>
              <w:left w:val="single" w:color="auto" w:sz="4" w:space="0"/>
              <w:bottom w:val="single" w:color="auto" w:sz="4" w:space="0"/>
              <w:right w:val="single" w:color="auto" w:sz="4" w:space="0"/>
              <w:tl2br w:val="nil"/>
              <w:tr2bl w:val="nil"/>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造成生产安全事故的，或造成其他严重后果的</w:t>
            </w:r>
          </w:p>
        </w:tc>
        <w:tc>
          <w:tcPr>
            <w:tcW w:w="62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处超过二万七千五百元、五万元以下罚款</w:t>
            </w:r>
          </w:p>
        </w:tc>
      </w:tr>
    </w:tbl>
    <w:p>
      <w:pPr>
        <w:widowControl/>
        <w:jc w:val="left"/>
        <w:rPr>
          <w:rFonts w:hint="eastAsia" w:ascii="宋体" w:hAnsi="宋体" w:eastAsia="宋体" w:cs="宋体"/>
          <w:bCs/>
          <w:color w:val="000000"/>
          <w:sz w:val="28"/>
          <w:szCs w:val="24"/>
        </w:rPr>
      </w:pPr>
      <w:r>
        <w:rPr>
          <w:rFonts w:ascii="宋体" w:hAnsi="宋体" w:eastAsia="宋体" w:cs="宋体"/>
          <w:bCs/>
          <w:color w:val="000000"/>
          <w:kern w:val="44"/>
          <w:sz w:val="32"/>
          <w:szCs w:val="24"/>
        </w:rPr>
        <w:t>《深圳市建筑废弃物管理办法》</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0"/>
        <w:gridCol w:w="1772"/>
        <w:gridCol w:w="1975"/>
        <w:gridCol w:w="2753"/>
        <w:gridCol w:w="1378"/>
        <w:gridCol w:w="1259"/>
        <w:gridCol w:w="1891"/>
        <w:gridCol w:w="22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3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序号</w:t>
            </w:r>
          </w:p>
        </w:tc>
        <w:tc>
          <w:tcPr>
            <w:tcW w:w="62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违法行为</w:t>
            </w:r>
          </w:p>
        </w:tc>
        <w:tc>
          <w:tcPr>
            <w:tcW w:w="69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lang w:val="en"/>
              </w:rPr>
            </w:pPr>
            <w:r>
              <w:rPr>
                <w:rFonts w:hint="eastAsia" w:ascii="仿宋_GB2312" w:hAnsi="仿宋_GB2312" w:eastAsia="仿宋_GB2312" w:cs="仿宋_GB2312"/>
                <w:b/>
                <w:szCs w:val="24"/>
                <w:lang w:val="en"/>
              </w:rPr>
              <w:t>违反条款</w:t>
            </w:r>
          </w:p>
        </w:tc>
        <w:tc>
          <w:tcPr>
            <w:tcW w:w="97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处罚依据</w:t>
            </w:r>
          </w:p>
        </w:tc>
        <w:tc>
          <w:tcPr>
            <w:tcW w:w="48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处罚种类</w:t>
            </w:r>
          </w:p>
        </w:tc>
        <w:tc>
          <w:tcPr>
            <w:tcW w:w="44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裁量阶次</w:t>
            </w:r>
          </w:p>
        </w:tc>
        <w:tc>
          <w:tcPr>
            <w:tcW w:w="66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适用条件</w:t>
            </w:r>
          </w:p>
        </w:tc>
        <w:tc>
          <w:tcPr>
            <w:tcW w:w="77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2"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left"/>
              <w:rPr>
                <w:rFonts w:hint="eastAsia" w:ascii="仿宋_GB2312" w:hAnsi="仿宋_GB2312" w:eastAsia="仿宋_GB2312" w:cs="仿宋_GB2312"/>
                <w:szCs w:val="21"/>
                <w:lang w:val="en"/>
              </w:rPr>
            </w:pPr>
            <w:r>
              <w:rPr>
                <w:rFonts w:ascii="仿宋_GB2312" w:hAnsi="仿宋_GB2312" w:eastAsia="仿宋_GB2312" w:cs="仿宋_GB2312"/>
                <w:szCs w:val="21"/>
              </w:rPr>
              <w:t>114.</w:t>
            </w:r>
            <w:r>
              <w:rPr>
                <w:rFonts w:hint="eastAsia" w:ascii="仿宋_GB2312" w:hAnsi="仿宋_GB2312" w:eastAsia="仿宋_GB2312" w:cs="仿宋_GB2312"/>
                <w:szCs w:val="21"/>
                <w:lang w:val="en"/>
              </w:rPr>
              <w:t>6</w:t>
            </w:r>
          </w:p>
        </w:tc>
        <w:tc>
          <w:tcPr>
            <w:tcW w:w="62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建筑废弃物固定消纳场建设不符合固定消纳场建设技术规范及相关规定，或者固定消纳场建设单位未建立安全监测预警系统、未将监测数据上传至信息平台的</w:t>
            </w:r>
          </w:p>
        </w:tc>
        <w:tc>
          <w:tcPr>
            <w:tcW w:w="697"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widowControl/>
              <w:jc w:val="left"/>
              <w:rPr>
                <w:rFonts w:hint="eastAsia" w:ascii="仿宋_GB2312" w:hAnsi="仿宋_GB2312" w:eastAsia="仿宋_GB2312" w:cs="仿宋_GB2312"/>
                <w:szCs w:val="21"/>
              </w:rPr>
            </w:pPr>
            <w:r>
              <w:rPr>
                <w:rFonts w:hint="eastAsia" w:ascii="仿宋_GB2312" w:hAnsi="仿宋_GB2312" w:eastAsia="仿宋_GB2312" w:cs="仿宋_GB2312"/>
                <w:szCs w:val="21"/>
              </w:rPr>
              <w:t>第三十二条：“</w:t>
            </w:r>
            <w:r>
              <w:rPr>
                <w:rFonts w:hint="eastAsia" w:ascii="仿宋_GB2312" w:hAnsi="仿宋_GB2312" w:eastAsia="仿宋_GB2312" w:cs="仿宋_GB2312"/>
                <w:szCs w:val="21"/>
                <w:lang w:bidi="ar"/>
              </w:rPr>
              <w:t>建筑废弃物固定消纳场建设，应当符合固定消纳场建设技术规范及相关规定。固定消纳场建设单位应当建立安全监测预警系统，监测数据应当上传至信息平台。</w:t>
            </w:r>
            <w:r>
              <w:rPr>
                <w:rFonts w:hint="eastAsia" w:ascii="仿宋_GB2312" w:hAnsi="仿宋_GB2312" w:eastAsia="仿宋_GB2312" w:cs="仿宋_GB2312"/>
                <w:szCs w:val="21"/>
              </w:rPr>
              <w:t>”</w:t>
            </w:r>
          </w:p>
        </w:tc>
        <w:tc>
          <w:tcPr>
            <w:tcW w:w="97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五十五条：“建筑废弃物固定消纳场的建设单位违反本办法规定，有下列行为之一的，按照下列规定予以处罚：（二）违反本办法第三十二条规定，由区建设主管部门责令限期改正；逾期未改正的，处一万元以上五万元以下罚款；法律、法规另有规定的，从其规定。”</w:t>
            </w:r>
          </w:p>
        </w:tc>
        <w:tc>
          <w:tcPr>
            <w:tcW w:w="48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rPr>
              <w:t>罚款</w:t>
            </w:r>
          </w:p>
        </w:tc>
        <w:tc>
          <w:tcPr>
            <w:tcW w:w="44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rPr>
              <w:t>从轻</w:t>
            </w:r>
          </w:p>
        </w:tc>
        <w:tc>
          <w:tcPr>
            <w:tcW w:w="667" w:type="pct"/>
            <w:tcBorders>
              <w:top w:val="single" w:color="auto" w:sz="4" w:space="0"/>
              <w:left w:val="single" w:color="auto" w:sz="4" w:space="0"/>
              <w:bottom w:val="single" w:color="auto" w:sz="4" w:space="0"/>
              <w:right w:val="single" w:color="auto" w:sz="4" w:space="0"/>
              <w:tl2br w:val="nil"/>
              <w:tr2bl w:val="nil"/>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未造成危害后果或造成轻微危害后果的</w:t>
            </w:r>
          </w:p>
        </w:tc>
        <w:tc>
          <w:tcPr>
            <w:tcW w:w="779"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责令限期改正；逾期未改正的，处一万元以上、低于三万元罚款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2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9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7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8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left"/>
              <w:rPr>
                <w:rFonts w:hint="eastAsia" w:ascii="仿宋_GB2312" w:hAnsi="仿宋_GB2312" w:eastAsia="仿宋_GB2312" w:cs="仿宋_GB2312"/>
                <w:szCs w:val="21"/>
              </w:rPr>
            </w:pPr>
          </w:p>
        </w:tc>
        <w:tc>
          <w:tcPr>
            <w:tcW w:w="44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rPr>
              <w:t>一般</w:t>
            </w:r>
          </w:p>
        </w:tc>
        <w:tc>
          <w:tcPr>
            <w:tcW w:w="667" w:type="pct"/>
            <w:tcBorders>
              <w:top w:val="single" w:color="auto" w:sz="4" w:space="0"/>
              <w:left w:val="single" w:color="auto" w:sz="4" w:space="0"/>
              <w:bottom w:val="single" w:color="auto" w:sz="4" w:space="0"/>
              <w:right w:val="single" w:color="auto" w:sz="4" w:space="0"/>
              <w:tl2br w:val="nil"/>
              <w:tr2bl w:val="nil"/>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造成一般危害后果的</w:t>
            </w:r>
          </w:p>
        </w:tc>
        <w:tc>
          <w:tcPr>
            <w:tcW w:w="779"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责令限期改正；逾期未改正的，处三万元罚款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2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9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7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8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left"/>
              <w:rPr>
                <w:rFonts w:hint="eastAsia" w:ascii="仿宋_GB2312" w:hAnsi="仿宋_GB2312" w:eastAsia="仿宋_GB2312" w:cs="仿宋_GB2312"/>
                <w:szCs w:val="21"/>
              </w:rPr>
            </w:pPr>
          </w:p>
        </w:tc>
        <w:tc>
          <w:tcPr>
            <w:tcW w:w="44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rPr>
              <w:t>从重</w:t>
            </w:r>
          </w:p>
        </w:tc>
        <w:tc>
          <w:tcPr>
            <w:tcW w:w="667" w:type="pct"/>
            <w:tcBorders>
              <w:top w:val="single" w:color="auto" w:sz="4" w:space="0"/>
              <w:left w:val="single" w:color="auto" w:sz="4" w:space="0"/>
              <w:bottom w:val="single" w:color="auto" w:sz="4" w:space="0"/>
              <w:right w:val="single" w:color="auto" w:sz="4" w:space="0"/>
              <w:tl2br w:val="nil"/>
              <w:tr2bl w:val="nil"/>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造成生产安全事故的，或造成其他严重后果的</w:t>
            </w:r>
          </w:p>
        </w:tc>
        <w:tc>
          <w:tcPr>
            <w:tcW w:w="779"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责令限期改正；逾期未改正的，处超过三万元、五万元以下罚款</w:t>
            </w:r>
          </w:p>
        </w:tc>
      </w:tr>
    </w:tbl>
    <w:p>
      <w:pPr>
        <w:widowControl/>
        <w:jc w:val="left"/>
        <w:rPr>
          <w:rFonts w:hint="eastAsia" w:ascii="宋体" w:hAnsi="宋体" w:eastAsia="宋体" w:cs="宋体"/>
          <w:bCs/>
          <w:color w:val="000000"/>
          <w:sz w:val="28"/>
          <w:szCs w:val="24"/>
        </w:rPr>
      </w:pPr>
      <w:r>
        <w:rPr>
          <w:rFonts w:ascii="宋体" w:hAnsi="宋体" w:eastAsia="宋体" w:cs="Times New Roman"/>
          <w:b/>
          <w:szCs w:val="24"/>
        </w:rPr>
        <w:br w:type="page"/>
      </w:r>
      <w:r>
        <w:rPr>
          <w:rFonts w:ascii="宋体" w:hAnsi="宋体" w:eastAsia="宋体" w:cs="宋体"/>
          <w:bCs/>
          <w:color w:val="000000"/>
          <w:kern w:val="44"/>
          <w:sz w:val="32"/>
          <w:szCs w:val="24"/>
        </w:rPr>
        <w:t>《深圳市建筑废弃物管理办法》</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3"/>
        <w:gridCol w:w="1432"/>
        <w:gridCol w:w="1638"/>
        <w:gridCol w:w="3620"/>
        <w:gridCol w:w="1199"/>
        <w:gridCol w:w="1196"/>
        <w:gridCol w:w="1914"/>
        <w:gridCol w:w="22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3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序号</w:t>
            </w:r>
          </w:p>
        </w:tc>
        <w:tc>
          <w:tcPr>
            <w:tcW w:w="50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违法行为</w:t>
            </w:r>
          </w:p>
        </w:tc>
        <w:tc>
          <w:tcPr>
            <w:tcW w:w="57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lang w:val="en"/>
              </w:rPr>
            </w:pPr>
            <w:r>
              <w:rPr>
                <w:rFonts w:hint="eastAsia" w:ascii="仿宋_GB2312" w:hAnsi="仿宋_GB2312" w:eastAsia="仿宋_GB2312" w:cs="仿宋_GB2312"/>
                <w:b/>
                <w:szCs w:val="24"/>
                <w:lang w:val="en"/>
              </w:rPr>
              <w:t>违反条款</w:t>
            </w:r>
          </w:p>
        </w:tc>
        <w:tc>
          <w:tcPr>
            <w:tcW w:w="127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处罚依据</w:t>
            </w:r>
          </w:p>
        </w:tc>
        <w:tc>
          <w:tcPr>
            <w:tcW w:w="42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处罚种类</w:t>
            </w:r>
          </w:p>
        </w:tc>
        <w:tc>
          <w:tcPr>
            <w:tcW w:w="42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裁量阶次</w:t>
            </w:r>
          </w:p>
        </w:tc>
        <w:tc>
          <w:tcPr>
            <w:tcW w:w="67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适用条件</w:t>
            </w:r>
          </w:p>
        </w:tc>
        <w:tc>
          <w:tcPr>
            <w:tcW w:w="78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lang w:val="en"/>
              </w:rPr>
            </w:pPr>
            <w:r>
              <w:rPr>
                <w:rFonts w:hint="eastAsia" w:ascii="仿宋_GB2312" w:hAnsi="仿宋_GB2312" w:eastAsia="仿宋_GB2312" w:cs="仿宋_GB2312"/>
                <w:szCs w:val="24"/>
              </w:rPr>
              <w:t>114.</w:t>
            </w:r>
            <w:r>
              <w:rPr>
                <w:rFonts w:hint="eastAsia" w:ascii="仿宋_GB2312" w:hAnsi="仿宋_GB2312" w:eastAsia="仿宋_GB2312" w:cs="仿宋_GB2312"/>
                <w:szCs w:val="24"/>
                <w:lang w:val="en"/>
              </w:rPr>
              <w:t>7</w:t>
            </w:r>
          </w:p>
        </w:tc>
        <w:tc>
          <w:tcPr>
            <w:tcW w:w="50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擅自关闭建筑废弃物固定消纳场的</w:t>
            </w:r>
          </w:p>
        </w:tc>
        <w:tc>
          <w:tcPr>
            <w:tcW w:w="57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widowControl/>
              <w:jc w:val="left"/>
              <w:rPr>
                <w:rFonts w:hint="eastAsia" w:ascii="仿宋_GB2312" w:hAnsi="仿宋_GB2312" w:eastAsia="仿宋_GB2312" w:cs="仿宋_GB2312"/>
                <w:szCs w:val="21"/>
              </w:rPr>
            </w:pPr>
            <w:r>
              <w:rPr>
                <w:rFonts w:hint="eastAsia" w:ascii="仿宋_GB2312" w:hAnsi="仿宋_GB2312" w:eastAsia="仿宋_GB2312" w:cs="仿宋_GB2312"/>
                <w:szCs w:val="21"/>
              </w:rPr>
              <w:t>第三十三条第一款：“</w:t>
            </w:r>
            <w:r>
              <w:rPr>
                <w:rFonts w:hint="eastAsia" w:ascii="仿宋_GB2312" w:hAnsi="仿宋_GB2312" w:eastAsia="仿宋_GB2312" w:cs="仿宋_GB2312"/>
                <w:szCs w:val="21"/>
                <w:lang w:bidi="ar"/>
              </w:rPr>
              <w:t>单位或者个人不得占用、闲置建筑废弃物固定消纳场，不得擅自关闭建筑废弃物固定消纳场或者改变用途。</w:t>
            </w:r>
            <w:r>
              <w:rPr>
                <w:rFonts w:hint="eastAsia" w:ascii="仿宋_GB2312" w:hAnsi="仿宋_GB2312" w:eastAsia="仿宋_GB2312" w:cs="仿宋_GB2312"/>
                <w:szCs w:val="21"/>
              </w:rPr>
              <w:t>”</w:t>
            </w:r>
          </w:p>
        </w:tc>
        <w:tc>
          <w:tcPr>
            <w:tcW w:w="1277"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五十六条：“违反本办法第三十三条第一款规定，单位或者个人占用、闲置建筑废弃物固定消纳场或者擅自改变建筑废弃物固定消纳场用途的，由区建设主管部门责令改正，对单位处十万元罚款，对个人处一千元罚款；</w:t>
            </w:r>
            <w:r>
              <w:rPr>
                <w:rFonts w:hint="eastAsia" w:ascii="仿宋_GB2312" w:hAnsi="仿宋_GB2312" w:eastAsia="仿宋_GB2312" w:cs="仿宋_GB2312"/>
                <w:b/>
                <w:bCs/>
                <w:szCs w:val="21"/>
              </w:rPr>
              <w:t>擅自关闭建筑废弃物固定消纳场的，由区建设主管部门责令改正，对单位处五千元以上五万元以下罚款。”</w:t>
            </w:r>
          </w:p>
        </w:tc>
        <w:tc>
          <w:tcPr>
            <w:tcW w:w="423"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rPr>
              <w:t>罚款</w:t>
            </w:r>
          </w:p>
        </w:tc>
        <w:tc>
          <w:tcPr>
            <w:tcW w:w="42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675" w:type="pct"/>
            <w:tcBorders>
              <w:top w:val="single" w:color="auto" w:sz="4" w:space="0"/>
              <w:left w:val="single" w:color="auto" w:sz="4" w:space="0"/>
              <w:bottom w:val="single" w:color="auto" w:sz="4" w:space="0"/>
              <w:right w:val="single" w:color="auto" w:sz="4" w:space="0"/>
              <w:tl2br w:val="nil"/>
              <w:tr2bl w:val="nil"/>
            </w:tcBorders>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未造成危害后果或造成轻微危害后果的</w:t>
            </w:r>
          </w:p>
        </w:tc>
        <w:tc>
          <w:tcPr>
            <w:tcW w:w="78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4"/>
              </w:rPr>
              <w:t>责令改正，</w:t>
            </w:r>
            <w:r>
              <w:rPr>
                <w:rFonts w:hint="eastAsia" w:ascii="仿宋_GB2312" w:hAnsi="仿宋_GB2312" w:eastAsia="仿宋_GB2312" w:cs="仿宋_GB2312"/>
                <w:szCs w:val="21"/>
              </w:rPr>
              <w:t>对单位处五千元以上、低于二万七千五百元罚款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p>
        </w:tc>
        <w:tc>
          <w:tcPr>
            <w:tcW w:w="50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7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127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2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p>
        </w:tc>
        <w:tc>
          <w:tcPr>
            <w:tcW w:w="42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675" w:type="pct"/>
            <w:tcBorders>
              <w:top w:val="single" w:color="auto" w:sz="4" w:space="0"/>
              <w:left w:val="single" w:color="auto" w:sz="4" w:space="0"/>
              <w:bottom w:val="single" w:color="auto" w:sz="4" w:space="0"/>
              <w:right w:val="single" w:color="auto" w:sz="4" w:space="0"/>
              <w:tl2br w:val="nil"/>
              <w:tr2bl w:val="nil"/>
            </w:tcBorders>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造成一般危害后果的</w:t>
            </w:r>
          </w:p>
        </w:tc>
        <w:tc>
          <w:tcPr>
            <w:tcW w:w="78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4"/>
              </w:rPr>
              <w:t>责令改正，</w:t>
            </w:r>
            <w:r>
              <w:rPr>
                <w:rFonts w:hint="eastAsia" w:ascii="仿宋_GB2312" w:hAnsi="仿宋_GB2312" w:eastAsia="仿宋_GB2312" w:cs="仿宋_GB2312"/>
                <w:szCs w:val="21"/>
              </w:rPr>
              <w:t>对单位处二万七千五百元罚款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p>
        </w:tc>
        <w:tc>
          <w:tcPr>
            <w:tcW w:w="50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7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127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2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p>
        </w:tc>
        <w:tc>
          <w:tcPr>
            <w:tcW w:w="42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675" w:type="pct"/>
            <w:tcBorders>
              <w:top w:val="single" w:color="auto" w:sz="4" w:space="0"/>
              <w:left w:val="single" w:color="auto" w:sz="4" w:space="0"/>
              <w:bottom w:val="single" w:color="auto" w:sz="4" w:space="0"/>
              <w:right w:val="single" w:color="auto" w:sz="4" w:space="0"/>
              <w:tl2br w:val="nil"/>
              <w:tr2bl w:val="nil"/>
            </w:tcBorders>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造成生产安全事故的，或造成其他严重后果的</w:t>
            </w:r>
          </w:p>
        </w:tc>
        <w:tc>
          <w:tcPr>
            <w:tcW w:w="78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4"/>
              </w:rPr>
              <w:t>责令改正，</w:t>
            </w:r>
            <w:r>
              <w:rPr>
                <w:rFonts w:hint="eastAsia" w:ascii="仿宋_GB2312" w:hAnsi="仿宋_GB2312" w:eastAsia="仿宋_GB2312" w:cs="仿宋_GB2312"/>
                <w:szCs w:val="21"/>
              </w:rPr>
              <w:t>对单位处超过二万七千五百元、五万元以下罚款</w:t>
            </w:r>
          </w:p>
        </w:tc>
      </w:tr>
    </w:tbl>
    <w:p>
      <w:pPr>
        <w:widowControl/>
        <w:jc w:val="left"/>
        <w:rPr>
          <w:rFonts w:hint="eastAsia" w:ascii="宋体" w:hAnsi="宋体" w:eastAsia="宋体" w:cs="宋体"/>
          <w:bCs/>
          <w:color w:val="000000"/>
          <w:sz w:val="28"/>
          <w:szCs w:val="24"/>
        </w:rPr>
      </w:pPr>
      <w:r>
        <w:rPr>
          <w:rFonts w:ascii="宋体" w:hAnsi="宋体" w:eastAsia="宋体" w:cs="宋体"/>
          <w:bCs/>
          <w:color w:val="000000"/>
          <w:kern w:val="44"/>
          <w:sz w:val="32"/>
          <w:szCs w:val="24"/>
        </w:rPr>
        <w:t>《深圳市建筑废弃物管理办法》</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75"/>
        <w:gridCol w:w="1276"/>
        <w:gridCol w:w="1769"/>
        <w:gridCol w:w="3526"/>
        <w:gridCol w:w="1228"/>
        <w:gridCol w:w="1259"/>
        <w:gridCol w:w="1891"/>
        <w:gridCol w:w="20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1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45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62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124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43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44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66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72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4"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ascii="仿宋_GB2312" w:hAnsi="仿宋_GB2312" w:eastAsia="仿宋_GB2312" w:cs="仿宋_GB2312"/>
                <w:szCs w:val="21"/>
              </w:rPr>
              <w:t>114.</w:t>
            </w:r>
            <w:r>
              <w:rPr>
                <w:rFonts w:hint="eastAsia" w:ascii="仿宋_GB2312" w:hAnsi="仿宋_GB2312" w:eastAsia="仿宋_GB2312" w:cs="仿宋_GB2312"/>
                <w:szCs w:val="21"/>
                <w:lang w:val="en"/>
              </w:rPr>
              <w:t>8</w:t>
            </w:r>
          </w:p>
        </w:tc>
        <w:tc>
          <w:tcPr>
            <w:tcW w:w="450"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消纳场所未采取建筑废弃物分类措施，或者超高超量堆放的</w:t>
            </w:r>
          </w:p>
        </w:tc>
        <w:tc>
          <w:tcPr>
            <w:tcW w:w="624"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widowControl/>
              <w:jc w:val="left"/>
              <w:rPr>
                <w:rFonts w:hint="eastAsia" w:ascii="仿宋_GB2312" w:hAnsi="仿宋_GB2312" w:eastAsia="仿宋_GB2312" w:cs="仿宋_GB2312"/>
                <w:szCs w:val="21"/>
              </w:rPr>
            </w:pPr>
            <w:r>
              <w:rPr>
                <w:rFonts w:hint="eastAsia" w:ascii="仿宋_GB2312" w:hAnsi="仿宋_GB2312" w:eastAsia="仿宋_GB2312" w:cs="仿宋_GB2312"/>
                <w:szCs w:val="21"/>
              </w:rPr>
              <w:t>第四十一条：“消纳场所应当遵守下列规定：</w:t>
            </w:r>
            <w:r>
              <w:rPr>
                <w:rFonts w:ascii="仿宋_GB2312" w:hAnsi="仿宋_GB2312" w:eastAsia="仿宋_GB2312" w:cs="仿宋_GB2312"/>
                <w:szCs w:val="21"/>
                <w:lang w:val="en"/>
              </w:rPr>
              <w:t>（</w:t>
            </w:r>
            <w:r>
              <w:rPr>
                <w:rFonts w:hint="eastAsia" w:ascii="仿宋_GB2312" w:hAnsi="仿宋_GB2312" w:eastAsia="仿宋_GB2312" w:cs="仿宋_GB2312"/>
                <w:szCs w:val="21"/>
                <w:lang w:val="en"/>
              </w:rPr>
              <w:t>三</w:t>
            </w:r>
            <w:r>
              <w:rPr>
                <w:rFonts w:ascii="仿宋_GB2312" w:hAnsi="仿宋_GB2312" w:eastAsia="仿宋_GB2312" w:cs="仿宋_GB2312"/>
                <w:szCs w:val="21"/>
                <w:lang w:val="en"/>
              </w:rPr>
              <w:t>）</w:t>
            </w:r>
            <w:r>
              <w:rPr>
                <w:rFonts w:hint="eastAsia" w:ascii="仿宋_GB2312" w:hAnsi="仿宋_GB2312" w:eastAsia="仿宋_GB2312" w:cs="仿宋_GB2312"/>
                <w:szCs w:val="21"/>
              </w:rPr>
              <w:t>“</w:t>
            </w:r>
            <w:r>
              <w:rPr>
                <w:rFonts w:hint="eastAsia" w:ascii="仿宋_GB2312" w:hAnsi="仿宋_GB2312" w:eastAsia="仿宋_GB2312" w:cs="仿宋_GB2312"/>
                <w:szCs w:val="21"/>
                <w:lang w:bidi="ar"/>
              </w:rPr>
              <w:t>采取建筑废弃物分类措施，不得超高超量堆放。</w:t>
            </w:r>
            <w:r>
              <w:rPr>
                <w:rFonts w:hint="eastAsia" w:ascii="仿宋_GB2312" w:hAnsi="仿宋_GB2312" w:eastAsia="仿宋_GB2312" w:cs="仿宋_GB2312"/>
                <w:szCs w:val="21"/>
              </w:rPr>
              <w:t>”</w:t>
            </w:r>
          </w:p>
        </w:tc>
        <w:tc>
          <w:tcPr>
            <w:tcW w:w="1244"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第五十八条：“消纳场所违反本办法规定，有下列行为之一的，由区建设主管部门按照下列规定予以处罚：（一）违反本办法第四十一条第三项规定的，责令改正，处三万元以上五万元以下罚款。”</w:t>
            </w:r>
          </w:p>
        </w:tc>
        <w:tc>
          <w:tcPr>
            <w:tcW w:w="433"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rPr>
              <w:t>罚款</w:t>
            </w:r>
          </w:p>
        </w:tc>
        <w:tc>
          <w:tcPr>
            <w:tcW w:w="44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667" w:type="pct"/>
            <w:tcBorders>
              <w:top w:val="single" w:color="auto" w:sz="4" w:space="0"/>
              <w:left w:val="single" w:color="auto" w:sz="4" w:space="0"/>
              <w:bottom w:val="single" w:color="auto" w:sz="4" w:space="0"/>
              <w:right w:val="single" w:color="auto" w:sz="4" w:space="0"/>
              <w:tl2br w:val="nil"/>
              <w:tr2bl w:val="nil"/>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未造成危害后果或造成轻微危害后果的</w:t>
            </w:r>
          </w:p>
        </w:tc>
        <w:tc>
          <w:tcPr>
            <w:tcW w:w="723"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4"/>
              </w:rPr>
              <w:t>责令改正，</w:t>
            </w:r>
            <w:r>
              <w:rPr>
                <w:rFonts w:hint="eastAsia" w:ascii="仿宋_GB2312" w:hAnsi="仿宋_GB2312" w:eastAsia="仿宋_GB2312" w:cs="仿宋_GB2312"/>
                <w:szCs w:val="21"/>
              </w:rPr>
              <w:t>处三万元以上、低于四万元罚款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5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2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124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3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p>
        </w:tc>
        <w:tc>
          <w:tcPr>
            <w:tcW w:w="44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667" w:type="pct"/>
            <w:tcBorders>
              <w:top w:val="single" w:color="auto" w:sz="4" w:space="0"/>
              <w:left w:val="single" w:color="auto" w:sz="4" w:space="0"/>
              <w:bottom w:val="single" w:color="auto" w:sz="4" w:space="0"/>
              <w:right w:val="single" w:color="auto" w:sz="4" w:space="0"/>
              <w:tl2br w:val="nil"/>
              <w:tr2bl w:val="nil"/>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造成一般危害后果的</w:t>
            </w:r>
          </w:p>
        </w:tc>
        <w:tc>
          <w:tcPr>
            <w:tcW w:w="723"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4"/>
              </w:rPr>
              <w:t>责令改正，</w:t>
            </w:r>
            <w:r>
              <w:rPr>
                <w:rFonts w:hint="eastAsia" w:ascii="仿宋_GB2312" w:hAnsi="仿宋_GB2312" w:eastAsia="仿宋_GB2312" w:cs="仿宋_GB2312"/>
                <w:szCs w:val="21"/>
              </w:rPr>
              <w:t>处四万元罚款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5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2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124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3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p>
        </w:tc>
        <w:tc>
          <w:tcPr>
            <w:tcW w:w="44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667" w:type="pct"/>
            <w:tcBorders>
              <w:top w:val="single" w:color="auto" w:sz="4" w:space="0"/>
              <w:left w:val="single" w:color="auto" w:sz="4" w:space="0"/>
              <w:bottom w:val="single" w:color="auto" w:sz="4" w:space="0"/>
              <w:right w:val="single" w:color="auto" w:sz="4" w:space="0"/>
              <w:tl2br w:val="nil"/>
              <w:tr2bl w:val="nil"/>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造成生产安全事故的，或造成其他严重后果的</w:t>
            </w:r>
          </w:p>
        </w:tc>
        <w:tc>
          <w:tcPr>
            <w:tcW w:w="723"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4"/>
              </w:rPr>
              <w:t>责令改正，</w:t>
            </w:r>
            <w:r>
              <w:rPr>
                <w:rFonts w:hint="eastAsia" w:ascii="仿宋_GB2312" w:hAnsi="仿宋_GB2312" w:eastAsia="仿宋_GB2312" w:cs="仿宋_GB2312"/>
                <w:szCs w:val="21"/>
              </w:rPr>
              <w:t>处超过四万元、五万元以下罚款</w:t>
            </w:r>
          </w:p>
        </w:tc>
      </w:tr>
    </w:tbl>
    <w:p>
      <w:pPr>
        <w:widowControl/>
        <w:jc w:val="left"/>
        <w:rPr>
          <w:rFonts w:hint="eastAsia" w:ascii="宋体" w:hAnsi="宋体" w:eastAsia="宋体" w:cs="宋体"/>
          <w:bCs/>
          <w:color w:val="000000"/>
          <w:sz w:val="28"/>
          <w:szCs w:val="24"/>
        </w:rPr>
      </w:pPr>
      <w:r>
        <w:rPr>
          <w:rFonts w:ascii="宋体" w:hAnsi="宋体" w:eastAsia="宋体" w:cs="Times New Roman"/>
          <w:b/>
          <w:szCs w:val="24"/>
        </w:rPr>
        <w:br w:type="page"/>
      </w:r>
      <w:r>
        <w:rPr>
          <w:rFonts w:ascii="宋体" w:hAnsi="宋体" w:eastAsia="宋体" w:cs="宋体"/>
          <w:bCs/>
          <w:color w:val="000000"/>
          <w:kern w:val="44"/>
          <w:sz w:val="32"/>
          <w:szCs w:val="24"/>
        </w:rPr>
        <w:t>《深圳市建筑废弃物管理办法》</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68"/>
        <w:gridCol w:w="1559"/>
        <w:gridCol w:w="2100"/>
        <w:gridCol w:w="2376"/>
        <w:gridCol w:w="1253"/>
        <w:gridCol w:w="1408"/>
        <w:gridCol w:w="1880"/>
        <w:gridCol w:w="24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1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序号</w:t>
            </w:r>
          </w:p>
        </w:tc>
        <w:tc>
          <w:tcPr>
            <w:tcW w:w="55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违法行为</w:t>
            </w:r>
          </w:p>
        </w:tc>
        <w:tc>
          <w:tcPr>
            <w:tcW w:w="74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lang w:val="en"/>
              </w:rPr>
            </w:pPr>
            <w:r>
              <w:rPr>
                <w:rFonts w:hint="eastAsia" w:ascii="仿宋_GB2312" w:hAnsi="仿宋_GB2312" w:eastAsia="仿宋_GB2312" w:cs="仿宋_GB2312"/>
                <w:b/>
                <w:szCs w:val="24"/>
                <w:lang w:val="en"/>
              </w:rPr>
              <w:t>违反条款</w:t>
            </w:r>
          </w:p>
        </w:tc>
        <w:tc>
          <w:tcPr>
            <w:tcW w:w="83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处罚依据</w:t>
            </w:r>
          </w:p>
        </w:tc>
        <w:tc>
          <w:tcPr>
            <w:tcW w:w="44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处罚种类</w:t>
            </w:r>
          </w:p>
        </w:tc>
        <w:tc>
          <w:tcPr>
            <w:tcW w:w="49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裁量阶次</w:t>
            </w:r>
          </w:p>
        </w:tc>
        <w:tc>
          <w:tcPr>
            <w:tcW w:w="66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适用条件</w:t>
            </w:r>
          </w:p>
        </w:tc>
        <w:tc>
          <w:tcPr>
            <w:tcW w:w="85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2"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lang w:val="en"/>
              </w:rPr>
            </w:pPr>
            <w:r>
              <w:rPr>
                <w:rFonts w:ascii="仿宋_GB2312" w:hAnsi="仿宋_GB2312" w:eastAsia="仿宋_GB2312" w:cs="仿宋_GB2312"/>
                <w:szCs w:val="24"/>
              </w:rPr>
              <w:t>114.</w:t>
            </w:r>
            <w:r>
              <w:rPr>
                <w:rFonts w:hint="eastAsia" w:ascii="仿宋_GB2312" w:hAnsi="仿宋_GB2312" w:eastAsia="仿宋_GB2312" w:cs="仿宋_GB2312"/>
                <w:szCs w:val="24"/>
                <w:lang w:val="en"/>
              </w:rPr>
              <w:t>9</w:t>
            </w:r>
          </w:p>
        </w:tc>
        <w:tc>
          <w:tcPr>
            <w:tcW w:w="550"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消纳场所未建立规范完整的建筑废弃物消纳台账，并定期向区建设主管部门报送</w:t>
            </w:r>
          </w:p>
        </w:tc>
        <w:tc>
          <w:tcPr>
            <w:tcW w:w="74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widowControl/>
              <w:jc w:val="left"/>
              <w:rPr>
                <w:rFonts w:hint="eastAsia" w:ascii="仿宋_GB2312" w:hAnsi="仿宋_GB2312" w:eastAsia="仿宋_GB2312" w:cs="仿宋_GB2312"/>
                <w:szCs w:val="24"/>
                <w:lang w:val="en"/>
              </w:rPr>
            </w:pPr>
            <w:r>
              <w:rPr>
                <w:rFonts w:hint="eastAsia" w:ascii="仿宋_GB2312" w:hAnsi="仿宋_GB2312" w:eastAsia="仿宋_GB2312" w:cs="仿宋_GB2312"/>
                <w:szCs w:val="21"/>
              </w:rPr>
              <w:t>第四十一条：“消纳场所应当遵守下列规定：</w:t>
            </w:r>
            <w:r>
              <w:rPr>
                <w:rFonts w:ascii="仿宋_GB2312" w:hAnsi="仿宋_GB2312" w:eastAsia="仿宋_GB2312" w:cs="仿宋_GB2312"/>
                <w:szCs w:val="21"/>
                <w:lang w:val="en"/>
              </w:rPr>
              <w:t>（</w:t>
            </w:r>
            <w:r>
              <w:rPr>
                <w:rFonts w:hint="eastAsia" w:ascii="仿宋_GB2312" w:hAnsi="仿宋_GB2312" w:eastAsia="仿宋_GB2312" w:cs="仿宋_GB2312"/>
                <w:szCs w:val="21"/>
                <w:lang w:val="en"/>
              </w:rPr>
              <w:t>四</w:t>
            </w:r>
            <w:r>
              <w:rPr>
                <w:rFonts w:ascii="仿宋_GB2312" w:hAnsi="仿宋_GB2312" w:eastAsia="仿宋_GB2312" w:cs="仿宋_GB2312"/>
                <w:szCs w:val="21"/>
                <w:lang w:val="en"/>
              </w:rPr>
              <w:t>）</w:t>
            </w:r>
            <w:r>
              <w:rPr>
                <w:rFonts w:hint="eastAsia" w:ascii="仿宋_GB2312" w:hAnsi="仿宋_GB2312" w:eastAsia="仿宋_GB2312" w:cs="仿宋_GB2312"/>
                <w:szCs w:val="24"/>
                <w:lang w:val="en" w:bidi="ar"/>
              </w:rPr>
              <w:t>建立规范完整的建筑废弃物消纳台账，并定期向区建设主管部门报送。</w:t>
            </w:r>
            <w:r>
              <w:rPr>
                <w:rFonts w:hint="eastAsia" w:ascii="仿宋_GB2312" w:hAnsi="仿宋_GB2312" w:eastAsia="仿宋_GB2312" w:cs="仿宋_GB2312"/>
                <w:szCs w:val="24"/>
                <w:lang w:val="en"/>
              </w:rPr>
              <w:t>”</w:t>
            </w:r>
          </w:p>
        </w:tc>
        <w:tc>
          <w:tcPr>
            <w:tcW w:w="83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lang w:val="en"/>
              </w:rPr>
            </w:pPr>
            <w:r>
              <w:rPr>
                <w:rFonts w:hint="eastAsia" w:ascii="仿宋_GB2312" w:hAnsi="仿宋_GB2312" w:eastAsia="仿宋_GB2312" w:cs="仿宋_GB2312"/>
                <w:szCs w:val="24"/>
                <w:lang w:val="en"/>
              </w:rPr>
              <w:t>第五十八条：“（一）违反本办法第四十一条第四项规定的，责令限期改正；逾期未改正的，处三万元以上五万元以下罚款。”</w:t>
            </w:r>
          </w:p>
        </w:tc>
        <w:tc>
          <w:tcPr>
            <w:tcW w:w="442"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lang w:val="en"/>
              </w:rPr>
            </w:pPr>
            <w:r>
              <w:rPr>
                <w:rFonts w:hint="eastAsia" w:ascii="仿宋_GB2312" w:hAnsi="仿宋_GB2312" w:eastAsia="仿宋_GB2312" w:cs="仿宋_GB2312"/>
                <w:szCs w:val="24"/>
                <w:lang w:val="en"/>
              </w:rPr>
              <w:t>罚款</w:t>
            </w:r>
          </w:p>
        </w:tc>
        <w:tc>
          <w:tcPr>
            <w:tcW w:w="49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lang w:val="en"/>
              </w:rPr>
            </w:pPr>
            <w:r>
              <w:rPr>
                <w:rFonts w:hint="eastAsia" w:ascii="仿宋_GB2312" w:hAnsi="仿宋_GB2312" w:eastAsia="仿宋_GB2312" w:cs="仿宋_GB2312"/>
                <w:szCs w:val="24"/>
                <w:lang w:val="en"/>
              </w:rPr>
              <w:t>从轻</w:t>
            </w:r>
          </w:p>
        </w:tc>
        <w:tc>
          <w:tcPr>
            <w:tcW w:w="663" w:type="pct"/>
            <w:tcBorders>
              <w:top w:val="single" w:color="auto" w:sz="4" w:space="0"/>
              <w:left w:val="single" w:color="auto" w:sz="4" w:space="0"/>
              <w:bottom w:val="single" w:color="auto" w:sz="4" w:space="0"/>
              <w:right w:val="single" w:color="auto" w:sz="4" w:space="0"/>
              <w:tl2br w:val="nil"/>
              <w:tr2bl w:val="nil"/>
            </w:tcBorders>
            <w:vAlign w:val="center"/>
          </w:tcPr>
          <w:p>
            <w:pPr>
              <w:jc w:val="left"/>
              <w:rPr>
                <w:rFonts w:hint="eastAsia" w:ascii="仿宋_GB2312" w:hAnsi="仿宋_GB2312" w:eastAsia="仿宋_GB2312" w:cs="仿宋_GB2312"/>
                <w:szCs w:val="24"/>
                <w:lang w:val="en"/>
              </w:rPr>
            </w:pPr>
            <w:r>
              <w:rPr>
                <w:rFonts w:hint="eastAsia" w:ascii="仿宋_GB2312" w:hAnsi="仿宋_GB2312" w:eastAsia="仿宋_GB2312" w:cs="仿宋_GB2312"/>
                <w:szCs w:val="24"/>
                <w:lang w:val="en"/>
              </w:rPr>
              <w:t>已建立台账，但建立的台账不规范完整或未定期报送的</w:t>
            </w:r>
          </w:p>
        </w:tc>
        <w:tc>
          <w:tcPr>
            <w:tcW w:w="85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lang w:val="en"/>
              </w:rPr>
            </w:pPr>
            <w:r>
              <w:rPr>
                <w:rFonts w:hint="eastAsia" w:ascii="仿宋_GB2312" w:hAnsi="仿宋_GB2312" w:eastAsia="仿宋_GB2312" w:cs="仿宋_GB2312"/>
                <w:szCs w:val="24"/>
                <w:lang w:val="en"/>
              </w:rPr>
              <w:t>责令限期改正；逾期未改正的，处三万元以上、低于四万元罚款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宋体" w:hAnsi="宋体" w:eastAsia="宋体" w:cs="Times New Roman"/>
                <w:szCs w:val="24"/>
              </w:rPr>
            </w:pPr>
          </w:p>
        </w:tc>
        <w:tc>
          <w:tcPr>
            <w:tcW w:w="55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宋体" w:hAnsi="宋体" w:eastAsia="宋体" w:cs="Times New Roman"/>
                <w:szCs w:val="24"/>
              </w:rPr>
            </w:pPr>
          </w:p>
        </w:tc>
        <w:tc>
          <w:tcPr>
            <w:tcW w:w="74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lang w:val="en"/>
              </w:rPr>
            </w:pPr>
          </w:p>
        </w:tc>
        <w:tc>
          <w:tcPr>
            <w:tcW w:w="83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lang w:val="en"/>
              </w:rPr>
            </w:pPr>
          </w:p>
        </w:tc>
        <w:tc>
          <w:tcPr>
            <w:tcW w:w="44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lang w:val="en"/>
              </w:rPr>
            </w:pPr>
          </w:p>
        </w:tc>
        <w:tc>
          <w:tcPr>
            <w:tcW w:w="49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lang w:val="en"/>
              </w:rPr>
            </w:pPr>
            <w:r>
              <w:rPr>
                <w:rFonts w:hint="eastAsia" w:ascii="仿宋_GB2312" w:hAnsi="仿宋_GB2312" w:eastAsia="仿宋_GB2312" w:cs="仿宋_GB2312"/>
                <w:szCs w:val="24"/>
                <w:lang w:val="en"/>
              </w:rPr>
              <w:t>一般</w:t>
            </w:r>
          </w:p>
        </w:tc>
        <w:tc>
          <w:tcPr>
            <w:tcW w:w="663" w:type="pct"/>
            <w:tcBorders>
              <w:top w:val="single" w:color="auto" w:sz="4" w:space="0"/>
              <w:left w:val="single" w:color="auto" w:sz="4" w:space="0"/>
              <w:bottom w:val="single" w:color="auto" w:sz="4" w:space="0"/>
              <w:right w:val="single" w:color="auto" w:sz="4" w:space="0"/>
              <w:tl2br w:val="nil"/>
              <w:tr2bl w:val="nil"/>
            </w:tcBorders>
            <w:vAlign w:val="center"/>
          </w:tcPr>
          <w:p>
            <w:pPr>
              <w:jc w:val="left"/>
              <w:rPr>
                <w:rFonts w:hint="eastAsia" w:ascii="仿宋_GB2312" w:hAnsi="仿宋_GB2312" w:eastAsia="仿宋_GB2312" w:cs="仿宋_GB2312"/>
                <w:szCs w:val="24"/>
                <w:lang w:val="en"/>
              </w:rPr>
            </w:pPr>
            <w:r>
              <w:rPr>
                <w:rFonts w:hint="eastAsia" w:ascii="仿宋_GB2312" w:hAnsi="仿宋_GB2312" w:eastAsia="仿宋_GB2312" w:cs="仿宋_GB2312"/>
                <w:szCs w:val="24"/>
                <w:lang w:val="en"/>
              </w:rPr>
              <w:t>已建立台账，但建立的台账不规范完整且未定期报送的</w:t>
            </w:r>
          </w:p>
        </w:tc>
        <w:tc>
          <w:tcPr>
            <w:tcW w:w="85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lang w:val="en"/>
              </w:rPr>
            </w:pPr>
            <w:r>
              <w:rPr>
                <w:rFonts w:hint="eastAsia" w:ascii="仿宋_GB2312" w:hAnsi="仿宋_GB2312" w:eastAsia="仿宋_GB2312" w:cs="仿宋_GB2312"/>
                <w:szCs w:val="24"/>
                <w:lang w:val="en"/>
              </w:rPr>
              <w:t>责令限期改正；逾期未改正的，处四万元罚款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宋体" w:hAnsi="宋体" w:eastAsia="宋体" w:cs="Times New Roman"/>
                <w:szCs w:val="24"/>
              </w:rPr>
            </w:pPr>
          </w:p>
        </w:tc>
        <w:tc>
          <w:tcPr>
            <w:tcW w:w="55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宋体" w:hAnsi="宋体" w:eastAsia="宋体" w:cs="Times New Roman"/>
                <w:szCs w:val="24"/>
              </w:rPr>
            </w:pPr>
          </w:p>
        </w:tc>
        <w:tc>
          <w:tcPr>
            <w:tcW w:w="74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lang w:val="en"/>
              </w:rPr>
            </w:pPr>
          </w:p>
        </w:tc>
        <w:tc>
          <w:tcPr>
            <w:tcW w:w="83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lang w:val="en"/>
              </w:rPr>
            </w:pPr>
          </w:p>
        </w:tc>
        <w:tc>
          <w:tcPr>
            <w:tcW w:w="44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lang w:val="en"/>
              </w:rPr>
            </w:pPr>
          </w:p>
        </w:tc>
        <w:tc>
          <w:tcPr>
            <w:tcW w:w="49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4"/>
                <w:lang w:val="en"/>
              </w:rPr>
            </w:pPr>
            <w:r>
              <w:rPr>
                <w:rFonts w:hint="eastAsia" w:ascii="仿宋_GB2312" w:hAnsi="仿宋_GB2312" w:eastAsia="仿宋_GB2312" w:cs="仿宋_GB2312"/>
                <w:szCs w:val="24"/>
                <w:lang w:val="en"/>
              </w:rPr>
              <w:t>从重</w:t>
            </w:r>
          </w:p>
        </w:tc>
        <w:tc>
          <w:tcPr>
            <w:tcW w:w="663" w:type="pct"/>
            <w:tcBorders>
              <w:top w:val="single" w:color="auto" w:sz="4" w:space="0"/>
              <w:left w:val="single" w:color="auto" w:sz="4" w:space="0"/>
              <w:right w:val="single" w:color="auto" w:sz="4" w:space="0"/>
              <w:tl2br w:val="nil"/>
              <w:tr2bl w:val="nil"/>
            </w:tcBorders>
            <w:vAlign w:val="center"/>
          </w:tcPr>
          <w:p>
            <w:pPr>
              <w:jc w:val="left"/>
              <w:rPr>
                <w:rFonts w:hint="eastAsia" w:ascii="仿宋_GB2312" w:hAnsi="仿宋_GB2312" w:eastAsia="仿宋_GB2312" w:cs="仿宋_GB2312"/>
                <w:szCs w:val="24"/>
                <w:lang w:val="en"/>
              </w:rPr>
            </w:pPr>
            <w:r>
              <w:rPr>
                <w:rFonts w:hint="eastAsia" w:ascii="仿宋_GB2312" w:hAnsi="仿宋_GB2312" w:eastAsia="仿宋_GB2312" w:cs="仿宋_GB2312"/>
                <w:szCs w:val="24"/>
                <w:lang w:val="en"/>
              </w:rPr>
              <w:t>未建立台账的</w:t>
            </w:r>
          </w:p>
        </w:tc>
        <w:tc>
          <w:tcPr>
            <w:tcW w:w="857" w:type="pct"/>
            <w:tcBorders>
              <w:top w:val="single" w:color="auto" w:sz="4" w:space="0"/>
              <w:left w:val="single" w:color="auto" w:sz="4" w:space="0"/>
              <w:right w:val="single" w:color="auto" w:sz="4" w:space="0"/>
              <w:tl2br w:val="nil"/>
              <w:tr2bl w:val="nil"/>
            </w:tcBorders>
            <w:vAlign w:val="center"/>
          </w:tcPr>
          <w:p>
            <w:pPr>
              <w:rPr>
                <w:rFonts w:hint="eastAsia" w:ascii="仿宋_GB2312" w:hAnsi="仿宋_GB2312" w:eastAsia="仿宋_GB2312" w:cs="仿宋_GB2312"/>
                <w:szCs w:val="24"/>
                <w:lang w:val="en"/>
              </w:rPr>
            </w:pPr>
            <w:r>
              <w:rPr>
                <w:rFonts w:hint="eastAsia" w:ascii="仿宋_GB2312" w:hAnsi="仿宋_GB2312" w:eastAsia="仿宋_GB2312" w:cs="仿宋_GB2312"/>
                <w:szCs w:val="24"/>
                <w:lang w:val="en"/>
              </w:rPr>
              <w:t>责令限期改正；逾期未改正的，处超过四万元、五万元以下罚款</w:t>
            </w:r>
          </w:p>
        </w:tc>
      </w:tr>
    </w:tbl>
    <w:p>
      <w:pPr>
        <w:widowControl/>
        <w:jc w:val="left"/>
        <w:rPr>
          <w:rFonts w:hint="eastAsia" w:ascii="宋体" w:hAnsi="宋体" w:eastAsia="宋体" w:cs="宋体"/>
          <w:bCs/>
          <w:color w:val="000000"/>
          <w:sz w:val="28"/>
          <w:szCs w:val="24"/>
        </w:rPr>
      </w:pPr>
      <w:r>
        <w:rPr>
          <w:rFonts w:ascii="宋体" w:hAnsi="宋体" w:eastAsia="宋体" w:cs="Times New Roman"/>
          <w:b/>
          <w:szCs w:val="24"/>
        </w:rPr>
        <w:br w:type="page"/>
      </w:r>
      <w:r>
        <w:rPr>
          <w:rFonts w:ascii="宋体" w:hAnsi="宋体" w:eastAsia="宋体" w:cs="宋体"/>
          <w:bCs/>
          <w:color w:val="000000"/>
          <w:kern w:val="44"/>
          <w:sz w:val="32"/>
          <w:szCs w:val="24"/>
        </w:rPr>
        <w:t>《深圳市建筑废弃物管理办法》</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9"/>
        <w:gridCol w:w="1809"/>
        <w:gridCol w:w="2157"/>
        <w:gridCol w:w="2313"/>
        <w:gridCol w:w="1287"/>
        <w:gridCol w:w="1278"/>
        <w:gridCol w:w="1910"/>
        <w:gridCol w:w="22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1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序号</w:t>
            </w:r>
          </w:p>
        </w:tc>
        <w:tc>
          <w:tcPr>
            <w:tcW w:w="63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违法行为</w:t>
            </w:r>
          </w:p>
        </w:tc>
        <w:tc>
          <w:tcPr>
            <w:tcW w:w="76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lang w:val="en"/>
              </w:rPr>
            </w:pPr>
            <w:r>
              <w:rPr>
                <w:rFonts w:hint="eastAsia" w:ascii="仿宋_GB2312" w:hAnsi="仿宋_GB2312" w:eastAsia="仿宋_GB2312" w:cs="仿宋_GB2312"/>
                <w:b/>
                <w:szCs w:val="24"/>
                <w:lang w:val="en"/>
              </w:rPr>
              <w:t>违反条款</w:t>
            </w:r>
          </w:p>
        </w:tc>
        <w:tc>
          <w:tcPr>
            <w:tcW w:w="81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处罚依据</w:t>
            </w:r>
          </w:p>
        </w:tc>
        <w:tc>
          <w:tcPr>
            <w:tcW w:w="45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处罚种类</w:t>
            </w:r>
          </w:p>
        </w:tc>
        <w:tc>
          <w:tcPr>
            <w:tcW w:w="45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裁量阶次</w:t>
            </w:r>
          </w:p>
        </w:tc>
        <w:tc>
          <w:tcPr>
            <w:tcW w:w="67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适用条件</w:t>
            </w:r>
          </w:p>
        </w:tc>
        <w:tc>
          <w:tcPr>
            <w:tcW w:w="78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9"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ascii="仿宋_GB2312" w:hAnsi="仿宋_GB2312" w:eastAsia="仿宋_GB2312" w:cs="仿宋_GB2312"/>
                <w:szCs w:val="21"/>
              </w:rPr>
              <w:t>114.</w:t>
            </w:r>
            <w:r>
              <w:rPr>
                <w:rFonts w:hint="eastAsia" w:ascii="仿宋_GB2312" w:hAnsi="仿宋_GB2312" w:eastAsia="仿宋_GB2312" w:cs="仿宋_GB2312"/>
                <w:szCs w:val="21"/>
                <w:lang w:val="en"/>
              </w:rPr>
              <w:t>10</w:t>
            </w:r>
          </w:p>
        </w:tc>
        <w:tc>
          <w:tcPr>
            <w:tcW w:w="63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消纳场所未向社会公开主要污染物排放数据、环境监测数据等，接受监督</w:t>
            </w:r>
          </w:p>
        </w:tc>
        <w:tc>
          <w:tcPr>
            <w:tcW w:w="76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widowControl/>
              <w:jc w:val="left"/>
              <w:rPr>
                <w:rFonts w:hint="eastAsia" w:ascii="仿宋_GB2312" w:hAnsi="仿宋_GB2312" w:eastAsia="仿宋_GB2312" w:cs="仿宋_GB2312"/>
                <w:szCs w:val="21"/>
              </w:rPr>
            </w:pPr>
            <w:r>
              <w:rPr>
                <w:rFonts w:hint="eastAsia" w:ascii="仿宋_GB2312" w:hAnsi="仿宋_GB2312" w:eastAsia="仿宋_GB2312" w:cs="仿宋_GB2312"/>
                <w:szCs w:val="21"/>
              </w:rPr>
              <w:t>第四十一条：“消纳场所应当遵守下列规定：</w:t>
            </w:r>
            <w:r>
              <w:rPr>
                <w:rFonts w:ascii="仿宋_GB2312" w:hAnsi="仿宋_GB2312" w:eastAsia="仿宋_GB2312" w:cs="仿宋_GB2312"/>
                <w:szCs w:val="21"/>
                <w:lang w:val="en"/>
              </w:rPr>
              <w:t>（五）向社会公开主要污染物排放数据、环境监测数据等，接受监督</w:t>
            </w:r>
            <w:r>
              <w:rPr>
                <w:rFonts w:hint="eastAsia" w:ascii="仿宋_GB2312" w:hAnsi="仿宋_GB2312" w:eastAsia="仿宋_GB2312" w:cs="仿宋_GB2312"/>
                <w:szCs w:val="21"/>
                <w:lang w:bidi="ar"/>
              </w:rPr>
              <w:t>。</w:t>
            </w:r>
            <w:r>
              <w:rPr>
                <w:rFonts w:hint="eastAsia" w:ascii="仿宋_GB2312" w:hAnsi="仿宋_GB2312" w:eastAsia="仿宋_GB2312" w:cs="仿宋_GB2312"/>
                <w:szCs w:val="21"/>
              </w:rPr>
              <w:t>”</w:t>
            </w:r>
          </w:p>
        </w:tc>
        <w:tc>
          <w:tcPr>
            <w:tcW w:w="81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第五十八条：“（一）违反本办法第四十一条第五项规定的，责令限期改正；逾期未改正的，处三万元以上五万元以下罚款。”</w:t>
            </w:r>
          </w:p>
        </w:tc>
        <w:tc>
          <w:tcPr>
            <w:tcW w:w="454"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rPr>
              <w:t>罚款</w:t>
            </w:r>
          </w:p>
        </w:tc>
        <w:tc>
          <w:tcPr>
            <w:tcW w:w="45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674" w:type="pct"/>
            <w:tcBorders>
              <w:top w:val="single" w:color="auto" w:sz="4" w:space="0"/>
              <w:left w:val="single" w:color="auto" w:sz="4" w:space="0"/>
              <w:bottom w:val="single" w:color="auto" w:sz="4" w:space="0"/>
              <w:right w:val="single" w:color="auto" w:sz="4" w:space="0"/>
              <w:tl2br w:val="nil"/>
              <w:tr2bl w:val="nil"/>
            </w:tcBorders>
            <w:vAlign w:val="center"/>
          </w:tcPr>
          <w:p>
            <w:pPr>
              <w:jc w:val="left"/>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未造成危害后果或造成轻微危害后果的</w:t>
            </w:r>
          </w:p>
        </w:tc>
        <w:tc>
          <w:tcPr>
            <w:tcW w:w="78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责令限期改正；逾期未改正的，处三万元以上、低于四万元罚款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3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76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1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5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p>
        </w:tc>
        <w:tc>
          <w:tcPr>
            <w:tcW w:w="45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674" w:type="pct"/>
            <w:tcBorders>
              <w:top w:val="single" w:color="auto" w:sz="4" w:space="0"/>
              <w:left w:val="single" w:color="auto" w:sz="4" w:space="0"/>
              <w:bottom w:val="single" w:color="auto" w:sz="4" w:space="0"/>
              <w:right w:val="single" w:color="auto" w:sz="4" w:space="0"/>
              <w:tl2br w:val="nil"/>
              <w:tr2bl w:val="nil"/>
            </w:tcBorders>
            <w:vAlign w:val="center"/>
          </w:tcPr>
          <w:p>
            <w:pPr>
              <w:jc w:val="left"/>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造成一般危害后果的</w:t>
            </w:r>
          </w:p>
        </w:tc>
        <w:tc>
          <w:tcPr>
            <w:tcW w:w="78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责令限期改正；逾期未改正的，处四万元罚款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3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76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1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5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p>
        </w:tc>
        <w:tc>
          <w:tcPr>
            <w:tcW w:w="45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674" w:type="pct"/>
            <w:tcBorders>
              <w:top w:val="single" w:color="auto" w:sz="4" w:space="0"/>
              <w:left w:val="single" w:color="auto" w:sz="4" w:space="0"/>
              <w:bottom w:val="single" w:color="auto" w:sz="4" w:space="0"/>
              <w:right w:val="single" w:color="auto" w:sz="4" w:space="0"/>
              <w:tl2br w:val="nil"/>
              <w:tr2bl w:val="nil"/>
            </w:tcBorders>
            <w:vAlign w:val="center"/>
          </w:tcPr>
          <w:p>
            <w:pPr>
              <w:jc w:val="left"/>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造成生产安全事故的，或造成其他严重后果的</w:t>
            </w:r>
          </w:p>
        </w:tc>
        <w:tc>
          <w:tcPr>
            <w:tcW w:w="78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责令限期改正；逾期未改正的，处超过四万元、五万元以下罚款</w:t>
            </w:r>
          </w:p>
        </w:tc>
      </w:tr>
    </w:tbl>
    <w:p>
      <w:pPr>
        <w:widowControl/>
        <w:jc w:val="left"/>
        <w:rPr>
          <w:rFonts w:hint="eastAsia" w:ascii="宋体" w:hAnsi="宋体" w:eastAsia="宋体" w:cs="宋体"/>
          <w:bCs/>
          <w:color w:val="000000"/>
          <w:sz w:val="32"/>
          <w:szCs w:val="24"/>
        </w:rPr>
      </w:pPr>
      <w:r>
        <w:rPr>
          <w:rFonts w:ascii="宋体" w:hAnsi="宋体" w:eastAsia="宋体" w:cs="宋体"/>
          <w:bCs/>
          <w:color w:val="000000"/>
          <w:kern w:val="44"/>
          <w:sz w:val="32"/>
          <w:szCs w:val="24"/>
        </w:rPr>
        <w:t>《深圳市制止建设工程转包、违法分包及挂靠规定》</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5"/>
        <w:gridCol w:w="1315"/>
        <w:gridCol w:w="1242"/>
        <w:gridCol w:w="1907"/>
        <w:gridCol w:w="1261"/>
        <w:gridCol w:w="1418"/>
        <w:gridCol w:w="1891"/>
        <w:gridCol w:w="42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序号</w:t>
            </w:r>
          </w:p>
        </w:tc>
        <w:tc>
          <w:tcPr>
            <w:tcW w:w="46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违法行为</w:t>
            </w:r>
          </w:p>
        </w:tc>
        <w:tc>
          <w:tcPr>
            <w:tcW w:w="43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lang w:val="en"/>
              </w:rPr>
            </w:pPr>
            <w:r>
              <w:rPr>
                <w:rFonts w:hint="eastAsia" w:ascii="仿宋_GB2312" w:hAnsi="仿宋_GB2312" w:eastAsia="仿宋_GB2312" w:cs="仿宋_GB2312"/>
                <w:b/>
                <w:szCs w:val="24"/>
                <w:lang w:val="en"/>
              </w:rPr>
              <w:t>违反条款</w:t>
            </w:r>
          </w:p>
        </w:tc>
        <w:tc>
          <w:tcPr>
            <w:tcW w:w="67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处罚依据</w:t>
            </w:r>
          </w:p>
        </w:tc>
        <w:tc>
          <w:tcPr>
            <w:tcW w:w="44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处罚种类</w:t>
            </w:r>
          </w:p>
        </w:tc>
        <w:tc>
          <w:tcPr>
            <w:tcW w:w="50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裁量阶次</w:t>
            </w:r>
          </w:p>
        </w:tc>
        <w:tc>
          <w:tcPr>
            <w:tcW w:w="66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适用条件</w:t>
            </w:r>
          </w:p>
        </w:tc>
        <w:tc>
          <w:tcPr>
            <w:tcW w:w="150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12"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ascii="仿宋_GB2312" w:hAnsi="仿宋_GB2312" w:eastAsia="仿宋_GB2312" w:cs="仿宋_GB2312"/>
                <w:szCs w:val="21"/>
              </w:rPr>
              <w:t>115.</w:t>
            </w:r>
            <w:r>
              <w:rPr>
                <w:rFonts w:hint="eastAsia" w:ascii="仿宋_GB2312" w:hAnsi="仿宋_GB2312" w:eastAsia="仿宋_GB2312" w:cs="仿宋_GB2312"/>
                <w:szCs w:val="21"/>
                <w:lang w:val="en"/>
              </w:rPr>
              <w:t>1</w:t>
            </w:r>
          </w:p>
        </w:tc>
        <w:tc>
          <w:tcPr>
            <w:tcW w:w="464"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施工单位转包或者违法分包</w:t>
            </w:r>
          </w:p>
        </w:tc>
        <w:tc>
          <w:tcPr>
            <w:tcW w:w="43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widowControl/>
              <w:jc w:val="left"/>
              <w:rPr>
                <w:rFonts w:hint="eastAsia" w:ascii="仿宋_GB2312" w:hAnsi="仿宋_GB2312" w:eastAsia="仿宋_GB2312" w:cs="仿宋_GB2312"/>
                <w:szCs w:val="21"/>
              </w:rPr>
            </w:pPr>
            <w:r>
              <w:rPr>
                <w:rFonts w:hint="eastAsia" w:ascii="仿宋_GB2312" w:hAnsi="仿宋_GB2312" w:eastAsia="仿宋_GB2312" w:cs="仿宋_GB2312"/>
                <w:szCs w:val="21"/>
              </w:rPr>
              <w:t>第八条：“</w:t>
            </w:r>
            <w:r>
              <w:rPr>
                <w:rFonts w:hint="eastAsia" w:ascii="仿宋_GB2312" w:hAnsi="仿宋_GB2312" w:eastAsia="仿宋_GB2312" w:cs="仿宋_GB2312"/>
                <w:szCs w:val="21"/>
                <w:lang w:bidi="ar"/>
              </w:rPr>
              <w:t> 施工单位应当加强内部管理，禁止任何形式的建设工程转包、违法分包及挂靠行为。</w:t>
            </w:r>
            <w:r>
              <w:rPr>
                <w:rFonts w:hint="eastAsia" w:ascii="仿宋_GB2312" w:hAnsi="仿宋_GB2312" w:eastAsia="仿宋_GB2312" w:cs="仿宋_GB2312"/>
                <w:szCs w:val="21"/>
              </w:rPr>
              <w:t>”</w:t>
            </w:r>
          </w:p>
        </w:tc>
        <w:tc>
          <w:tcPr>
            <w:tcW w:w="673"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十八条：“施工单位违反第八条规定，转包或者违法分包的，由建设行政主管部门责令改正，处工程合同价款百分之零点五以上百分之一以下的罚款；并可按有关法律法规的规定责令停业整顿、降低资质等级及没收违法所得。”</w:t>
            </w:r>
          </w:p>
        </w:tc>
        <w:tc>
          <w:tcPr>
            <w:tcW w:w="44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罚款；责令停产停业；降低资质等级；没收违法所得</w:t>
            </w:r>
          </w:p>
        </w:tc>
        <w:tc>
          <w:tcPr>
            <w:tcW w:w="50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66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工程合同价款五百万元以下的</w:t>
            </w:r>
          </w:p>
        </w:tc>
        <w:tc>
          <w:tcPr>
            <w:tcW w:w="1502"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pacing w:val="8"/>
                <w:kern w:val="0"/>
                <w:szCs w:val="21"/>
              </w:rPr>
              <w:t>责令改正，</w:t>
            </w:r>
            <w:r>
              <w:rPr>
                <w:rFonts w:hint="eastAsia" w:ascii="仿宋_GB2312" w:hAnsi="仿宋_GB2312" w:eastAsia="仿宋_GB2312" w:cs="仿宋_GB2312"/>
                <w:szCs w:val="21"/>
              </w:rPr>
              <w:t>处工程合同价款百分之零点五以上、低于百分之零点七五的罚款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1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6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3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7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4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0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66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工程合同价款超过五百万元、二千万元以下的</w:t>
            </w:r>
          </w:p>
        </w:tc>
        <w:tc>
          <w:tcPr>
            <w:tcW w:w="1502"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pacing w:val="8"/>
                <w:kern w:val="0"/>
                <w:szCs w:val="21"/>
              </w:rPr>
              <w:t>责令改正，</w:t>
            </w:r>
            <w:r>
              <w:rPr>
                <w:rFonts w:hint="eastAsia" w:ascii="仿宋_GB2312" w:hAnsi="仿宋_GB2312" w:eastAsia="仿宋_GB2312" w:cs="仿宋_GB2312"/>
                <w:szCs w:val="21"/>
              </w:rPr>
              <w:t>处工程合同价款百分之零点七五的罚款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1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6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3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7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4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0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667" w:type="pct"/>
            <w:tcBorders>
              <w:top w:val="single" w:color="auto" w:sz="4" w:space="0"/>
              <w:left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工程合同价款超过二千万元或者造成质量安全事故的</w:t>
            </w:r>
          </w:p>
        </w:tc>
        <w:tc>
          <w:tcPr>
            <w:tcW w:w="1502"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pacing w:val="8"/>
                <w:kern w:val="0"/>
                <w:szCs w:val="21"/>
              </w:rPr>
              <w:t>责令改正，</w:t>
            </w:r>
            <w:r>
              <w:rPr>
                <w:rFonts w:hint="eastAsia" w:ascii="仿宋_GB2312" w:hAnsi="仿宋_GB2312" w:eastAsia="仿宋_GB2312" w:cs="仿宋_GB2312"/>
                <w:szCs w:val="21"/>
              </w:rPr>
              <w:t>处工程合同价款超过百分之零点七五、百分之一以下的罚款</w:t>
            </w:r>
          </w:p>
        </w:tc>
      </w:tr>
    </w:tbl>
    <w:p>
      <w:pPr>
        <w:widowControl/>
        <w:jc w:val="left"/>
        <w:rPr>
          <w:rFonts w:hint="eastAsia" w:ascii="宋体" w:hAnsi="宋体" w:eastAsia="宋体" w:cs="宋体"/>
          <w:bCs/>
          <w:color w:val="000000"/>
          <w:sz w:val="32"/>
          <w:szCs w:val="24"/>
        </w:rPr>
      </w:pPr>
      <w:r>
        <w:rPr>
          <w:rFonts w:ascii="宋体" w:hAnsi="宋体" w:eastAsia="宋体" w:cs="宋体"/>
          <w:bCs/>
          <w:color w:val="000000"/>
          <w:kern w:val="44"/>
          <w:sz w:val="32"/>
          <w:szCs w:val="24"/>
        </w:rPr>
        <w:t>《深圳市制止建设工程转包、违法分包及挂靠规定》</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9"/>
        <w:gridCol w:w="1307"/>
        <w:gridCol w:w="1412"/>
        <w:gridCol w:w="2350"/>
        <w:gridCol w:w="1723"/>
        <w:gridCol w:w="1253"/>
        <w:gridCol w:w="2035"/>
        <w:gridCol w:w="321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序号</w:t>
            </w:r>
          </w:p>
        </w:tc>
        <w:tc>
          <w:tcPr>
            <w:tcW w:w="46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违法行为</w:t>
            </w:r>
          </w:p>
        </w:tc>
        <w:tc>
          <w:tcPr>
            <w:tcW w:w="49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lang w:val="en"/>
              </w:rPr>
            </w:pPr>
            <w:r>
              <w:rPr>
                <w:rFonts w:hint="eastAsia" w:ascii="仿宋_GB2312" w:hAnsi="仿宋_GB2312" w:eastAsia="仿宋_GB2312" w:cs="仿宋_GB2312"/>
                <w:b/>
                <w:szCs w:val="24"/>
                <w:lang w:val="en"/>
              </w:rPr>
              <w:t>违反条款</w:t>
            </w:r>
          </w:p>
        </w:tc>
        <w:tc>
          <w:tcPr>
            <w:tcW w:w="82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处罚依据</w:t>
            </w:r>
          </w:p>
        </w:tc>
        <w:tc>
          <w:tcPr>
            <w:tcW w:w="60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处罚种类</w:t>
            </w:r>
          </w:p>
        </w:tc>
        <w:tc>
          <w:tcPr>
            <w:tcW w:w="44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裁量阶次</w:t>
            </w:r>
          </w:p>
        </w:tc>
        <w:tc>
          <w:tcPr>
            <w:tcW w:w="71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适用条件</w:t>
            </w:r>
          </w:p>
        </w:tc>
        <w:tc>
          <w:tcPr>
            <w:tcW w:w="113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10"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ascii="仿宋_GB2312" w:hAnsi="仿宋_GB2312" w:eastAsia="仿宋_GB2312" w:cs="仿宋_GB2312"/>
                <w:szCs w:val="21"/>
              </w:rPr>
              <w:t>115.</w:t>
            </w:r>
            <w:r>
              <w:rPr>
                <w:rFonts w:hint="eastAsia" w:ascii="仿宋_GB2312" w:hAnsi="仿宋_GB2312" w:eastAsia="仿宋_GB2312" w:cs="仿宋_GB2312"/>
                <w:szCs w:val="21"/>
                <w:lang w:val="en"/>
              </w:rPr>
              <w:t>2</w:t>
            </w:r>
          </w:p>
        </w:tc>
        <w:tc>
          <w:tcPr>
            <w:tcW w:w="46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施工单位有挂靠行为的</w:t>
            </w:r>
          </w:p>
        </w:tc>
        <w:tc>
          <w:tcPr>
            <w:tcW w:w="49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widowControl/>
              <w:jc w:val="left"/>
              <w:rPr>
                <w:rFonts w:hint="eastAsia" w:ascii="仿宋_GB2312" w:hAnsi="仿宋_GB2312" w:eastAsia="仿宋_GB2312" w:cs="仿宋_GB2312"/>
                <w:szCs w:val="21"/>
              </w:rPr>
            </w:pPr>
            <w:r>
              <w:rPr>
                <w:rFonts w:hint="eastAsia" w:ascii="仿宋_GB2312" w:hAnsi="仿宋_GB2312" w:eastAsia="仿宋_GB2312" w:cs="仿宋_GB2312"/>
                <w:szCs w:val="21"/>
              </w:rPr>
              <w:t>第八条</w:t>
            </w:r>
            <w:r>
              <w:rPr>
                <w:rFonts w:hint="eastAsia" w:ascii="仿宋_GB2312" w:hAnsi="仿宋_GB2312" w:eastAsia="仿宋_GB2312" w:cs="仿宋_GB2312"/>
                <w:szCs w:val="21"/>
                <w:lang w:bidi="ar"/>
              </w:rPr>
              <w:t>“ 施工单位应当加强内部管理，禁止任何形式的建设工程转包、违法分包及挂靠行为。”</w:t>
            </w:r>
          </w:p>
        </w:tc>
        <w:tc>
          <w:tcPr>
            <w:tcW w:w="829"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十九条：“施工单位违反第八条规定，有挂靠行为的，由建设行政主管部门责令改正，处工程合同价款百分之二以上百分之四以下的罚款；并可按有关法律法规的规定责令停业整顿、降低资质等级及没收违法所得。”</w:t>
            </w:r>
          </w:p>
        </w:tc>
        <w:tc>
          <w:tcPr>
            <w:tcW w:w="60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罚款；责令停产停业；降低资质等级；没收违法所得</w:t>
            </w:r>
          </w:p>
        </w:tc>
        <w:tc>
          <w:tcPr>
            <w:tcW w:w="44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71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工程合同价款五百万元以下的</w:t>
            </w:r>
          </w:p>
        </w:tc>
        <w:tc>
          <w:tcPr>
            <w:tcW w:w="1134"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pacing w:val="8"/>
                <w:kern w:val="0"/>
                <w:szCs w:val="21"/>
              </w:rPr>
              <w:t>责令改正，</w:t>
            </w:r>
            <w:r>
              <w:rPr>
                <w:rFonts w:hint="eastAsia" w:ascii="仿宋_GB2312" w:hAnsi="仿宋_GB2312" w:eastAsia="仿宋_GB2312" w:cs="仿宋_GB2312"/>
                <w:szCs w:val="21"/>
              </w:rPr>
              <w:t>处工程合同价款百分之二以上、低于百分之三的罚款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1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6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9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2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4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71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工程合同价款超过五百万元、二千万元以下的</w:t>
            </w:r>
          </w:p>
        </w:tc>
        <w:tc>
          <w:tcPr>
            <w:tcW w:w="1134"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pacing w:val="8"/>
                <w:kern w:val="0"/>
                <w:szCs w:val="21"/>
              </w:rPr>
              <w:t>责令改正，</w:t>
            </w:r>
            <w:r>
              <w:rPr>
                <w:rFonts w:hint="eastAsia" w:ascii="仿宋_GB2312" w:hAnsi="仿宋_GB2312" w:eastAsia="仿宋_GB2312" w:cs="仿宋_GB2312"/>
                <w:szCs w:val="21"/>
              </w:rPr>
              <w:t>处工程合同价款百分之三的罚款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1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6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9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2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4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718" w:type="pct"/>
            <w:tcBorders>
              <w:top w:val="single" w:color="auto" w:sz="4" w:space="0"/>
              <w:left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工程合同价款超过二千万元或者造成质量安全事故的</w:t>
            </w:r>
          </w:p>
        </w:tc>
        <w:tc>
          <w:tcPr>
            <w:tcW w:w="1134"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pacing w:val="8"/>
                <w:kern w:val="0"/>
                <w:szCs w:val="21"/>
              </w:rPr>
              <w:t>责令改正，</w:t>
            </w:r>
            <w:r>
              <w:rPr>
                <w:rFonts w:hint="eastAsia" w:ascii="仿宋_GB2312" w:hAnsi="仿宋_GB2312" w:eastAsia="仿宋_GB2312" w:cs="仿宋_GB2312"/>
                <w:szCs w:val="21"/>
              </w:rPr>
              <w:t>处工程合同价款超过百分之三、百分之四以下的罚款</w:t>
            </w:r>
          </w:p>
        </w:tc>
      </w:tr>
    </w:tbl>
    <w:p>
      <w:pPr>
        <w:widowControl/>
        <w:jc w:val="left"/>
        <w:rPr>
          <w:rFonts w:hint="eastAsia" w:ascii="宋体" w:hAnsi="宋体" w:eastAsia="宋体" w:cs="宋体"/>
          <w:bCs/>
          <w:color w:val="000000"/>
          <w:sz w:val="32"/>
          <w:szCs w:val="24"/>
        </w:rPr>
      </w:pPr>
      <w:r>
        <w:rPr>
          <w:rFonts w:eastAsia="宋体" w:cs="Times New Roman"/>
          <w:b/>
          <w:sz w:val="32"/>
          <w:szCs w:val="24"/>
        </w:rPr>
        <w:br w:type="page"/>
      </w:r>
      <w:r>
        <w:rPr>
          <w:rFonts w:ascii="宋体" w:hAnsi="宋体" w:eastAsia="宋体" w:cs="宋体"/>
          <w:bCs/>
          <w:color w:val="000000"/>
          <w:kern w:val="44"/>
          <w:sz w:val="32"/>
          <w:szCs w:val="24"/>
        </w:rPr>
        <w:t>《深圳市制止建设工程转包、违法分包及挂靠规定》</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2"/>
        <w:gridCol w:w="1332"/>
        <w:gridCol w:w="2086"/>
        <w:gridCol w:w="2580"/>
        <w:gridCol w:w="1231"/>
        <w:gridCol w:w="1432"/>
        <w:gridCol w:w="1914"/>
        <w:gridCol w:w="27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序号</w:t>
            </w:r>
          </w:p>
        </w:tc>
        <w:tc>
          <w:tcPr>
            <w:tcW w:w="47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违法行为</w:t>
            </w:r>
          </w:p>
        </w:tc>
        <w:tc>
          <w:tcPr>
            <w:tcW w:w="73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lang w:val="en"/>
              </w:rPr>
            </w:pPr>
            <w:r>
              <w:rPr>
                <w:rFonts w:hint="eastAsia" w:ascii="仿宋_GB2312" w:hAnsi="仿宋_GB2312" w:eastAsia="仿宋_GB2312" w:cs="仿宋_GB2312"/>
                <w:b/>
                <w:szCs w:val="24"/>
                <w:lang w:val="en"/>
              </w:rPr>
              <w:t>违反条款</w:t>
            </w:r>
          </w:p>
        </w:tc>
        <w:tc>
          <w:tcPr>
            <w:tcW w:w="91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处罚依据</w:t>
            </w:r>
          </w:p>
        </w:tc>
        <w:tc>
          <w:tcPr>
            <w:tcW w:w="43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处罚种类</w:t>
            </w:r>
          </w:p>
        </w:tc>
        <w:tc>
          <w:tcPr>
            <w:tcW w:w="50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裁量阶次</w:t>
            </w:r>
          </w:p>
        </w:tc>
        <w:tc>
          <w:tcPr>
            <w:tcW w:w="67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适用条件</w:t>
            </w:r>
          </w:p>
        </w:tc>
        <w:tc>
          <w:tcPr>
            <w:tcW w:w="95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1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ascii="仿宋_GB2312" w:hAnsi="仿宋_GB2312" w:eastAsia="仿宋_GB2312" w:cs="仿宋_GB2312"/>
                <w:szCs w:val="21"/>
              </w:rPr>
              <w:t>115.</w:t>
            </w:r>
            <w:r>
              <w:rPr>
                <w:rFonts w:hint="eastAsia" w:ascii="仿宋_GB2312" w:hAnsi="仿宋_GB2312" w:eastAsia="仿宋_GB2312" w:cs="仿宋_GB2312"/>
                <w:szCs w:val="21"/>
                <w:lang w:val="en"/>
              </w:rPr>
              <w:t>3</w:t>
            </w:r>
          </w:p>
        </w:tc>
        <w:tc>
          <w:tcPr>
            <w:tcW w:w="470"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建设单位指定分包单位、明招暗定施工单位，或与施工单位串通转包工程或挂靠施工的</w:t>
            </w:r>
          </w:p>
        </w:tc>
        <w:tc>
          <w:tcPr>
            <w:tcW w:w="73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第十三条：“建设单位不得将施工总承包单位承包合同内的分部、分项工程或专业工程指定分包单位。禁止在工程招标投标活动中弄虚作假、明招暗定施工单位，或与施工单位串通转包工程或挂靠施工。”</w:t>
            </w:r>
          </w:p>
        </w:tc>
        <w:tc>
          <w:tcPr>
            <w:tcW w:w="910"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二十一条：“建设单位违反第十三条规定，指定分包单位、明招暗定施工单位，或与施工单位串通转包工程或挂靠施工的，由建设行政主管部门责令改正，并处以指定分包或转包、挂靠施工工程价款百分之零点五以上百分之一以下的罚款。建设单位还应对项目管理班子作出调整和重组。”</w:t>
            </w:r>
          </w:p>
        </w:tc>
        <w:tc>
          <w:tcPr>
            <w:tcW w:w="434"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rPr>
              <w:t>罚款</w:t>
            </w:r>
          </w:p>
        </w:tc>
        <w:tc>
          <w:tcPr>
            <w:tcW w:w="50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67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工程合同价款五百万元以下的</w:t>
            </w:r>
          </w:p>
        </w:tc>
        <w:tc>
          <w:tcPr>
            <w:tcW w:w="95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pacing w:val="8"/>
                <w:kern w:val="0"/>
                <w:szCs w:val="21"/>
              </w:rPr>
              <w:t>责令改正，并</w:t>
            </w:r>
            <w:r>
              <w:rPr>
                <w:rFonts w:hint="eastAsia" w:ascii="仿宋_GB2312" w:hAnsi="仿宋_GB2312" w:eastAsia="仿宋_GB2312" w:cs="仿宋_GB2312"/>
                <w:szCs w:val="21"/>
              </w:rPr>
              <w:t>处以指定分包或转包、挂靠施工工程价款百分之零点五以上、低于百分之零点七五的罚款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1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7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73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1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3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p>
        </w:tc>
        <w:tc>
          <w:tcPr>
            <w:tcW w:w="50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67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工程合同价款超过五百万元、二千万元以下的</w:t>
            </w:r>
          </w:p>
        </w:tc>
        <w:tc>
          <w:tcPr>
            <w:tcW w:w="95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pacing w:val="8"/>
                <w:kern w:val="0"/>
                <w:szCs w:val="21"/>
              </w:rPr>
              <w:t>责令改正，并</w:t>
            </w:r>
            <w:r>
              <w:rPr>
                <w:rFonts w:hint="eastAsia" w:ascii="仿宋_GB2312" w:hAnsi="仿宋_GB2312" w:eastAsia="仿宋_GB2312" w:cs="仿宋_GB2312"/>
                <w:szCs w:val="21"/>
              </w:rPr>
              <w:t>处以指定分包或转包、挂靠施工工程价款百分之零点七五的罚款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1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7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73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1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3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p>
        </w:tc>
        <w:tc>
          <w:tcPr>
            <w:tcW w:w="50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675" w:type="pct"/>
            <w:tcBorders>
              <w:top w:val="single" w:color="auto" w:sz="4" w:space="0"/>
              <w:left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工程合同价款超过二千万元或者造成质量安全事故的</w:t>
            </w:r>
          </w:p>
        </w:tc>
        <w:tc>
          <w:tcPr>
            <w:tcW w:w="95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pacing w:val="8"/>
                <w:kern w:val="0"/>
                <w:szCs w:val="21"/>
              </w:rPr>
              <w:t>责令改正，并</w:t>
            </w:r>
            <w:r>
              <w:rPr>
                <w:rFonts w:hint="eastAsia" w:ascii="仿宋_GB2312" w:hAnsi="仿宋_GB2312" w:eastAsia="仿宋_GB2312" w:cs="仿宋_GB2312"/>
                <w:szCs w:val="21"/>
              </w:rPr>
              <w:t>处以指定分包或转包、挂靠施工工程价款超过百分之零点七五、百分之一以下的罚款</w:t>
            </w:r>
          </w:p>
        </w:tc>
      </w:tr>
    </w:tbl>
    <w:p>
      <w:pPr>
        <w:widowControl/>
        <w:jc w:val="left"/>
        <w:rPr>
          <w:rFonts w:hint="eastAsia" w:ascii="宋体" w:hAnsi="宋体" w:eastAsia="宋体" w:cs="宋体"/>
          <w:bCs/>
          <w:color w:val="000000"/>
          <w:sz w:val="32"/>
          <w:szCs w:val="24"/>
        </w:rPr>
      </w:pPr>
      <w:r>
        <w:rPr>
          <w:rFonts w:eastAsia="宋体" w:cs="Times New Roman"/>
          <w:b/>
          <w:sz w:val="32"/>
          <w:szCs w:val="24"/>
        </w:rPr>
        <w:br w:type="page"/>
      </w:r>
      <w:r>
        <w:rPr>
          <w:rFonts w:ascii="宋体" w:hAnsi="宋体" w:eastAsia="宋体" w:cs="宋体"/>
          <w:bCs/>
          <w:color w:val="000000"/>
          <w:kern w:val="44"/>
          <w:sz w:val="32"/>
          <w:szCs w:val="24"/>
        </w:rPr>
        <w:t>《深圳市制止建设工程转包、违法分包及挂靠规定》</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3"/>
        <w:gridCol w:w="1319"/>
        <w:gridCol w:w="1821"/>
        <w:gridCol w:w="2113"/>
        <w:gridCol w:w="1465"/>
        <w:gridCol w:w="1516"/>
        <w:gridCol w:w="1749"/>
        <w:gridCol w:w="33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序号</w:t>
            </w:r>
          </w:p>
        </w:tc>
        <w:tc>
          <w:tcPr>
            <w:tcW w:w="46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违法行为</w:t>
            </w:r>
          </w:p>
        </w:tc>
        <w:tc>
          <w:tcPr>
            <w:tcW w:w="64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lang w:val="en"/>
              </w:rPr>
            </w:pPr>
            <w:r>
              <w:rPr>
                <w:rFonts w:hint="eastAsia" w:ascii="仿宋_GB2312" w:hAnsi="仿宋_GB2312" w:eastAsia="仿宋_GB2312" w:cs="仿宋_GB2312"/>
                <w:b/>
                <w:szCs w:val="24"/>
                <w:lang w:val="en"/>
              </w:rPr>
              <w:t>违反条款</w:t>
            </w:r>
          </w:p>
        </w:tc>
        <w:tc>
          <w:tcPr>
            <w:tcW w:w="74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处罚依据</w:t>
            </w:r>
          </w:p>
        </w:tc>
        <w:tc>
          <w:tcPr>
            <w:tcW w:w="51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处罚种类</w:t>
            </w:r>
          </w:p>
        </w:tc>
        <w:tc>
          <w:tcPr>
            <w:tcW w:w="53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裁量阶次</w:t>
            </w:r>
          </w:p>
        </w:tc>
        <w:tc>
          <w:tcPr>
            <w:tcW w:w="61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适用条件</w:t>
            </w:r>
          </w:p>
        </w:tc>
        <w:tc>
          <w:tcPr>
            <w:tcW w:w="116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1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ascii="仿宋_GB2312" w:hAnsi="仿宋_GB2312" w:eastAsia="仿宋_GB2312" w:cs="仿宋_GB2312"/>
                <w:szCs w:val="21"/>
              </w:rPr>
              <w:t>115.</w:t>
            </w:r>
            <w:r>
              <w:rPr>
                <w:rFonts w:hint="eastAsia" w:ascii="仿宋_GB2312" w:hAnsi="仿宋_GB2312" w:eastAsia="仿宋_GB2312" w:cs="仿宋_GB2312"/>
                <w:szCs w:val="21"/>
                <w:lang w:val="en"/>
              </w:rPr>
              <w:t>4</w:t>
            </w:r>
          </w:p>
        </w:tc>
        <w:tc>
          <w:tcPr>
            <w:tcW w:w="46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建设单位肢解发包工程的</w:t>
            </w:r>
          </w:p>
        </w:tc>
        <w:tc>
          <w:tcPr>
            <w:tcW w:w="642"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widowControl/>
              <w:jc w:val="left"/>
              <w:rPr>
                <w:rFonts w:hint="eastAsia" w:ascii="仿宋_GB2312" w:hAnsi="仿宋_GB2312" w:eastAsia="仿宋_GB2312" w:cs="仿宋_GB2312"/>
                <w:szCs w:val="21"/>
              </w:rPr>
            </w:pPr>
            <w:r>
              <w:rPr>
                <w:rFonts w:hint="eastAsia" w:ascii="仿宋_GB2312" w:hAnsi="仿宋_GB2312" w:eastAsia="仿宋_GB2312" w:cs="仿宋_GB2312"/>
                <w:szCs w:val="21"/>
              </w:rPr>
              <w:t>第十四条：“</w:t>
            </w:r>
            <w:r>
              <w:rPr>
                <w:rFonts w:hint="eastAsia" w:ascii="仿宋_GB2312" w:hAnsi="仿宋_GB2312" w:eastAsia="仿宋_GB2312" w:cs="仿宋_GB2312"/>
                <w:szCs w:val="21"/>
                <w:lang w:bidi="ar"/>
              </w:rPr>
              <w:t>禁止肢解发包工程。建设单位不得将应当由一个承包单位完成的建设工程分解成若干部分发包给不同的承包单位。</w:t>
            </w:r>
            <w:r>
              <w:rPr>
                <w:rFonts w:hint="eastAsia" w:ascii="仿宋_GB2312" w:hAnsi="仿宋_GB2312" w:eastAsia="仿宋_GB2312" w:cs="仿宋_GB2312"/>
                <w:szCs w:val="21"/>
              </w:rPr>
              <w:t>”</w:t>
            </w:r>
          </w:p>
        </w:tc>
        <w:tc>
          <w:tcPr>
            <w:tcW w:w="74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第二十二条：“建设单位违反第十四条规定，肢解发包工程的，由建设行政主管部门责令改正，并处以工程合同价款百分之零点五以上百分之一以下的罚款。”</w:t>
            </w:r>
          </w:p>
        </w:tc>
        <w:tc>
          <w:tcPr>
            <w:tcW w:w="517"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rPr>
              <w:t>罚款</w:t>
            </w:r>
          </w:p>
        </w:tc>
        <w:tc>
          <w:tcPr>
            <w:tcW w:w="53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61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工程合同价款五百万元以下的</w:t>
            </w:r>
          </w:p>
        </w:tc>
        <w:tc>
          <w:tcPr>
            <w:tcW w:w="116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pacing w:val="8"/>
                <w:kern w:val="0"/>
                <w:szCs w:val="21"/>
              </w:rPr>
              <w:t>责令改正，并</w:t>
            </w:r>
            <w:r>
              <w:rPr>
                <w:rFonts w:hint="eastAsia" w:ascii="仿宋_GB2312" w:hAnsi="仿宋_GB2312" w:eastAsia="仿宋_GB2312" w:cs="仿宋_GB2312"/>
                <w:szCs w:val="21"/>
              </w:rPr>
              <w:t>处以工程合同价款百分之零点五以上、低于百分之零点七五的罚款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1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6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4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74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1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p>
        </w:tc>
        <w:tc>
          <w:tcPr>
            <w:tcW w:w="53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61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工程合同价款超过五百万元、二千万元以下的</w:t>
            </w:r>
          </w:p>
        </w:tc>
        <w:tc>
          <w:tcPr>
            <w:tcW w:w="116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pacing w:val="8"/>
                <w:kern w:val="0"/>
                <w:szCs w:val="21"/>
              </w:rPr>
              <w:t>责令改正，并</w:t>
            </w:r>
            <w:r>
              <w:rPr>
                <w:rFonts w:hint="eastAsia" w:ascii="仿宋_GB2312" w:hAnsi="仿宋_GB2312" w:eastAsia="仿宋_GB2312" w:cs="仿宋_GB2312"/>
                <w:szCs w:val="21"/>
              </w:rPr>
              <w:t>处以工程合同价款百分之零点七五的罚款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1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6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4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74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1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p>
        </w:tc>
        <w:tc>
          <w:tcPr>
            <w:tcW w:w="53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617" w:type="pct"/>
            <w:tcBorders>
              <w:top w:val="single" w:color="auto" w:sz="4" w:space="0"/>
              <w:left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工程合同价款超过二千万元或者造成质量安全事故的</w:t>
            </w:r>
          </w:p>
        </w:tc>
        <w:tc>
          <w:tcPr>
            <w:tcW w:w="116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pacing w:val="8"/>
                <w:kern w:val="0"/>
                <w:szCs w:val="21"/>
              </w:rPr>
              <w:t>责令改正，并</w:t>
            </w:r>
            <w:r>
              <w:rPr>
                <w:rFonts w:hint="eastAsia" w:ascii="仿宋_GB2312" w:hAnsi="仿宋_GB2312" w:eastAsia="仿宋_GB2312" w:cs="仿宋_GB2312"/>
                <w:szCs w:val="21"/>
              </w:rPr>
              <w:t>处以工程合同价款超过百分之零点七五、百分之一以下的罚款</w:t>
            </w:r>
          </w:p>
        </w:tc>
      </w:tr>
    </w:tbl>
    <w:p>
      <w:pPr>
        <w:widowControl/>
        <w:jc w:val="left"/>
        <w:rPr>
          <w:rFonts w:hint="eastAsia" w:ascii="宋体" w:hAnsi="宋体" w:eastAsia="宋体" w:cs="宋体"/>
          <w:bCs/>
          <w:color w:val="000000"/>
          <w:sz w:val="32"/>
          <w:szCs w:val="24"/>
        </w:rPr>
      </w:pPr>
      <w:r>
        <w:rPr>
          <w:rFonts w:ascii="宋体" w:hAnsi="宋体" w:eastAsia="宋体" w:cs="宋体"/>
          <w:bCs/>
          <w:color w:val="000000"/>
          <w:kern w:val="44"/>
          <w:sz w:val="32"/>
          <w:szCs w:val="24"/>
        </w:rPr>
        <w:t>《深圳市制止建设工程转包、违法分包及挂靠规定》</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9"/>
        <w:gridCol w:w="1301"/>
        <w:gridCol w:w="1573"/>
        <w:gridCol w:w="2829"/>
        <w:gridCol w:w="1199"/>
        <w:gridCol w:w="1318"/>
        <w:gridCol w:w="2032"/>
        <w:gridCol w:w="28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7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序号</w:t>
            </w:r>
          </w:p>
        </w:tc>
        <w:tc>
          <w:tcPr>
            <w:tcW w:w="45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违法行为</w:t>
            </w:r>
          </w:p>
        </w:tc>
        <w:tc>
          <w:tcPr>
            <w:tcW w:w="55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lang w:val="en"/>
              </w:rPr>
            </w:pPr>
            <w:r>
              <w:rPr>
                <w:rFonts w:hint="eastAsia" w:ascii="仿宋_GB2312" w:hAnsi="仿宋_GB2312" w:eastAsia="仿宋_GB2312" w:cs="仿宋_GB2312"/>
                <w:b/>
                <w:szCs w:val="24"/>
                <w:lang w:val="en"/>
              </w:rPr>
              <w:t>违反条款</w:t>
            </w:r>
          </w:p>
        </w:tc>
        <w:tc>
          <w:tcPr>
            <w:tcW w:w="99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处罚依据</w:t>
            </w:r>
          </w:p>
        </w:tc>
        <w:tc>
          <w:tcPr>
            <w:tcW w:w="42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处罚种类</w:t>
            </w:r>
          </w:p>
        </w:tc>
        <w:tc>
          <w:tcPr>
            <w:tcW w:w="46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裁量阶次</w:t>
            </w:r>
          </w:p>
        </w:tc>
        <w:tc>
          <w:tcPr>
            <w:tcW w:w="71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适用条件</w:t>
            </w:r>
          </w:p>
        </w:tc>
        <w:tc>
          <w:tcPr>
            <w:tcW w:w="101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4"/>
              </w:rPr>
            </w:pPr>
            <w:r>
              <w:rPr>
                <w:rFonts w:hint="eastAsia" w:ascii="仿宋_GB2312" w:hAnsi="仿宋_GB2312" w:eastAsia="仿宋_GB2312" w:cs="仿宋_GB2312"/>
                <w:b/>
                <w:szCs w:val="24"/>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3"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rPr>
              <w:t>115.5</w:t>
            </w:r>
          </w:p>
        </w:tc>
        <w:tc>
          <w:tcPr>
            <w:tcW w:w="459"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建设单位</w:t>
            </w:r>
            <w:r>
              <w:rPr>
                <w:rFonts w:hint="eastAsia" w:ascii="仿宋_GB2312" w:hAnsi="仿宋_GB2312" w:eastAsia="仿宋_GB2312" w:cs="仿宋_GB2312"/>
                <w:szCs w:val="21"/>
                <w:lang w:bidi="ar"/>
              </w:rPr>
              <w:t>要求施工单位垫资施工或迫使承包方以低于其实际成本的价格竞标的</w:t>
            </w:r>
          </w:p>
        </w:tc>
        <w:tc>
          <w:tcPr>
            <w:tcW w:w="55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widowControl/>
              <w:jc w:val="left"/>
              <w:rPr>
                <w:rFonts w:hint="eastAsia" w:ascii="仿宋_GB2312" w:hAnsi="仿宋_GB2312" w:eastAsia="仿宋_GB2312" w:cs="仿宋_GB2312"/>
                <w:szCs w:val="21"/>
              </w:rPr>
            </w:pPr>
            <w:r>
              <w:rPr>
                <w:rFonts w:hint="eastAsia" w:ascii="仿宋_GB2312" w:hAnsi="仿宋_GB2312" w:eastAsia="仿宋_GB2312" w:cs="仿宋_GB2312"/>
                <w:szCs w:val="21"/>
              </w:rPr>
              <w:t>第十六条：“</w:t>
            </w:r>
            <w:r>
              <w:rPr>
                <w:rFonts w:hint="eastAsia" w:ascii="仿宋_GB2312" w:hAnsi="仿宋_GB2312" w:eastAsia="仿宋_GB2312" w:cs="仿宋_GB2312"/>
                <w:szCs w:val="21"/>
                <w:lang w:bidi="ar"/>
              </w:rPr>
              <w:t>建设单位不得要求施工单位垫资施工或迫使承包方以低于其实际成本的价格竞标。</w:t>
            </w:r>
            <w:r>
              <w:rPr>
                <w:rFonts w:hint="eastAsia" w:ascii="仿宋_GB2312" w:hAnsi="仿宋_GB2312" w:eastAsia="仿宋_GB2312" w:cs="仿宋_GB2312"/>
                <w:szCs w:val="21"/>
              </w:rPr>
              <w:t>”</w:t>
            </w:r>
          </w:p>
        </w:tc>
        <w:tc>
          <w:tcPr>
            <w:tcW w:w="99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二十三条：“建设单位违反规定，迫使承包方低于其实际成本承包的，由建设行政主管责令改正，并处以20万元以上50万元以下的罚款；要求施工单位垫资施工的，处以垫资款百分之零点五以上百分之一以下的罚款。”</w:t>
            </w:r>
          </w:p>
        </w:tc>
        <w:tc>
          <w:tcPr>
            <w:tcW w:w="423"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rPr>
              <w:t>罚款</w:t>
            </w:r>
          </w:p>
        </w:tc>
        <w:tc>
          <w:tcPr>
            <w:tcW w:w="46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71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未造成危害后果或造成轻微危害后果的</w:t>
            </w:r>
          </w:p>
        </w:tc>
        <w:tc>
          <w:tcPr>
            <w:tcW w:w="1012"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迫使承包方低于其实际成本承包的，</w:t>
            </w:r>
            <w:r>
              <w:rPr>
                <w:rFonts w:hint="eastAsia" w:ascii="仿宋_GB2312" w:hAnsi="仿宋_GB2312" w:eastAsia="仿宋_GB2312" w:cs="仿宋_GB2312"/>
                <w:color w:val="000000"/>
                <w:spacing w:val="8"/>
                <w:kern w:val="0"/>
                <w:szCs w:val="21"/>
              </w:rPr>
              <w:t>责令改正，并处以</w:t>
            </w:r>
            <w:r>
              <w:rPr>
                <w:rFonts w:hint="eastAsia" w:ascii="仿宋_GB2312" w:hAnsi="仿宋_GB2312" w:eastAsia="仿宋_GB2312" w:cs="仿宋_GB2312"/>
                <w:szCs w:val="21"/>
              </w:rPr>
              <w:t>20万元以上、低于35万元的罚款；</w:t>
            </w:r>
          </w:p>
          <w:p>
            <w:pPr>
              <w:rPr>
                <w:rFonts w:hint="eastAsia" w:ascii="仿宋_GB2312" w:hAnsi="仿宋_GB2312" w:eastAsia="仿宋_GB2312" w:cs="仿宋_GB2312"/>
                <w:szCs w:val="21"/>
              </w:rPr>
            </w:pPr>
            <w:r>
              <w:rPr>
                <w:rFonts w:hint="eastAsia" w:ascii="仿宋_GB2312" w:hAnsi="仿宋_GB2312" w:eastAsia="仿宋_GB2312" w:cs="仿宋_GB2312"/>
                <w:szCs w:val="21"/>
              </w:rPr>
              <w:t>要求施工单位垫资施工的，处以垫资款百分之零点五以上、低于百分之零点七五的罚款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46" w:hRule="atLeast"/>
        </w:trPr>
        <w:tc>
          <w:tcPr>
            <w:tcW w:w="373"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Cs w:val="21"/>
              </w:rPr>
            </w:pPr>
          </w:p>
        </w:tc>
        <w:tc>
          <w:tcPr>
            <w:tcW w:w="459"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Cs w:val="21"/>
              </w:rPr>
            </w:pPr>
          </w:p>
        </w:tc>
        <w:tc>
          <w:tcPr>
            <w:tcW w:w="555"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Cs w:val="21"/>
              </w:rPr>
            </w:pPr>
          </w:p>
        </w:tc>
        <w:tc>
          <w:tcPr>
            <w:tcW w:w="998"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Cs w:val="21"/>
              </w:rPr>
            </w:pPr>
          </w:p>
        </w:tc>
        <w:tc>
          <w:tcPr>
            <w:tcW w:w="423"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Cs w:val="21"/>
              </w:rPr>
            </w:pPr>
          </w:p>
        </w:tc>
        <w:tc>
          <w:tcPr>
            <w:tcW w:w="46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71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造成一般危害后果的</w:t>
            </w:r>
          </w:p>
        </w:tc>
        <w:tc>
          <w:tcPr>
            <w:tcW w:w="1012"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迫使承包方低于其实际成本承包的，</w:t>
            </w:r>
            <w:r>
              <w:rPr>
                <w:rFonts w:hint="eastAsia" w:ascii="仿宋_GB2312" w:hAnsi="仿宋_GB2312" w:eastAsia="仿宋_GB2312" w:cs="仿宋_GB2312"/>
                <w:color w:val="000000"/>
                <w:spacing w:val="8"/>
                <w:kern w:val="0"/>
                <w:szCs w:val="21"/>
              </w:rPr>
              <w:t>责令改正，并处以</w:t>
            </w:r>
            <w:r>
              <w:rPr>
                <w:rFonts w:hint="eastAsia" w:ascii="仿宋_GB2312" w:hAnsi="仿宋_GB2312" w:eastAsia="仿宋_GB2312" w:cs="仿宋_GB2312"/>
                <w:szCs w:val="21"/>
              </w:rPr>
              <w:t>35万元的罚款；</w:t>
            </w:r>
          </w:p>
          <w:p>
            <w:pPr>
              <w:rPr>
                <w:rFonts w:hint="eastAsia" w:ascii="仿宋_GB2312" w:hAnsi="仿宋_GB2312" w:eastAsia="仿宋_GB2312" w:cs="仿宋_GB2312"/>
                <w:szCs w:val="21"/>
              </w:rPr>
            </w:pPr>
            <w:r>
              <w:rPr>
                <w:rFonts w:hint="eastAsia" w:ascii="仿宋_GB2312" w:hAnsi="仿宋_GB2312" w:eastAsia="仿宋_GB2312" w:cs="仿宋_GB2312"/>
                <w:szCs w:val="21"/>
              </w:rPr>
              <w:t>要求施工单位垫资施工的，处以垫资款百分之零点七五的罚款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73"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Cs w:val="21"/>
              </w:rPr>
            </w:pPr>
          </w:p>
        </w:tc>
        <w:tc>
          <w:tcPr>
            <w:tcW w:w="459"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Cs w:val="21"/>
              </w:rPr>
            </w:pPr>
          </w:p>
        </w:tc>
        <w:tc>
          <w:tcPr>
            <w:tcW w:w="555"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Cs w:val="21"/>
              </w:rPr>
            </w:pPr>
          </w:p>
        </w:tc>
        <w:tc>
          <w:tcPr>
            <w:tcW w:w="998"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Cs w:val="21"/>
              </w:rPr>
            </w:pPr>
          </w:p>
        </w:tc>
        <w:tc>
          <w:tcPr>
            <w:tcW w:w="423"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Cs w:val="21"/>
              </w:rPr>
            </w:pPr>
          </w:p>
        </w:tc>
        <w:tc>
          <w:tcPr>
            <w:tcW w:w="465" w:type="pct"/>
            <w:tcBorders>
              <w:top w:val="single" w:color="auto" w:sz="4" w:space="0"/>
              <w:left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717" w:type="pct"/>
            <w:tcBorders>
              <w:top w:val="single" w:color="auto" w:sz="4" w:space="0"/>
              <w:left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color w:val="000000"/>
                <w:szCs w:val="21"/>
              </w:rPr>
              <w:t>造成严重危害后果或者造成安全事故的</w:t>
            </w:r>
          </w:p>
        </w:tc>
        <w:tc>
          <w:tcPr>
            <w:tcW w:w="1012" w:type="pct"/>
            <w:tcBorders>
              <w:top w:val="single" w:color="auto" w:sz="4" w:space="0"/>
              <w:left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迫使承包方低于其实际成本承包的，</w:t>
            </w:r>
            <w:r>
              <w:rPr>
                <w:rFonts w:hint="eastAsia" w:ascii="仿宋_GB2312" w:hAnsi="仿宋_GB2312" w:eastAsia="仿宋_GB2312" w:cs="仿宋_GB2312"/>
                <w:color w:val="000000"/>
                <w:spacing w:val="8"/>
                <w:kern w:val="0"/>
                <w:szCs w:val="21"/>
              </w:rPr>
              <w:t>责令改正，并处以超过</w:t>
            </w:r>
            <w:r>
              <w:rPr>
                <w:rFonts w:hint="eastAsia" w:ascii="仿宋_GB2312" w:hAnsi="仿宋_GB2312" w:eastAsia="仿宋_GB2312" w:cs="仿宋_GB2312"/>
                <w:szCs w:val="21"/>
              </w:rPr>
              <w:t>35万元、50万元以下的罚款；</w:t>
            </w:r>
          </w:p>
          <w:p>
            <w:pPr>
              <w:rPr>
                <w:rFonts w:hint="eastAsia" w:ascii="仿宋_GB2312" w:hAnsi="仿宋_GB2312" w:eastAsia="仿宋_GB2312" w:cs="仿宋_GB2312"/>
                <w:szCs w:val="21"/>
              </w:rPr>
            </w:pPr>
            <w:r>
              <w:rPr>
                <w:rFonts w:hint="eastAsia" w:ascii="仿宋_GB2312" w:hAnsi="仿宋_GB2312" w:eastAsia="仿宋_GB2312" w:cs="仿宋_GB2312"/>
                <w:szCs w:val="21"/>
              </w:rPr>
              <w:t>要求施工单位垫资施工的，处以垫资款超过百分之零点七五、百分之一以下的罚款</w:t>
            </w:r>
          </w:p>
        </w:tc>
      </w:tr>
    </w:tbl>
    <w:p>
      <w:pPr>
        <w:widowControl/>
        <w:jc w:val="left"/>
        <w:rPr>
          <w:rFonts w:ascii="宋体" w:hAnsi="宋体" w:eastAsia="宋体" w:cs="宋体"/>
          <w:bCs/>
          <w:color w:val="000000"/>
          <w:kern w:val="44"/>
          <w:sz w:val="32"/>
          <w:szCs w:val="24"/>
        </w:rPr>
      </w:pPr>
    </w:p>
    <w:p>
      <w:pPr>
        <w:widowControl/>
        <w:jc w:val="left"/>
        <w:rPr>
          <w:rFonts w:hint="eastAsia" w:ascii="宋体" w:hAnsi="宋体" w:eastAsia="宋体" w:cs="宋体"/>
          <w:bCs/>
          <w:color w:val="000000"/>
          <w:kern w:val="44"/>
          <w:sz w:val="32"/>
          <w:szCs w:val="24"/>
        </w:rPr>
      </w:pPr>
      <w:r>
        <w:rPr>
          <w:rFonts w:ascii="宋体" w:hAnsi="宋体" w:eastAsia="宋体" w:cs="宋体"/>
          <w:bCs/>
          <w:color w:val="000000"/>
          <w:kern w:val="44"/>
          <w:sz w:val="32"/>
          <w:szCs w:val="24"/>
        </w:rPr>
        <w:t>《</w:t>
      </w:r>
      <w:r>
        <w:rPr>
          <w:rFonts w:ascii="宋体" w:hAnsi="宋体" w:eastAsia="宋体" w:cs="宋体"/>
          <w:bCs/>
          <w:color w:val="000000"/>
          <w:kern w:val="44"/>
          <w:sz w:val="32"/>
          <w:szCs w:val="24"/>
          <w:lang w:val="en"/>
        </w:rPr>
        <w:t>深圳市建设工程造价管理规定</w:t>
      </w:r>
      <w:r>
        <w:rPr>
          <w:rFonts w:ascii="宋体" w:hAnsi="宋体" w:eastAsia="宋体" w:cs="宋体"/>
          <w:bCs/>
          <w:color w:val="000000"/>
          <w:kern w:val="44"/>
          <w:sz w:val="32"/>
          <w:szCs w:val="24"/>
        </w:rPr>
        <w:t>》</w:t>
      </w:r>
    </w:p>
    <w:tbl>
      <w:tblPr>
        <w:tblStyle w:val="11"/>
        <w:tblW w:w="5000" w:type="pct"/>
        <w:tblInd w:w="0" w:type="dxa"/>
        <w:tblLayout w:type="fixed"/>
        <w:tblCellMar>
          <w:top w:w="0" w:type="dxa"/>
          <w:left w:w="108" w:type="dxa"/>
          <w:bottom w:w="0" w:type="dxa"/>
          <w:right w:w="108" w:type="dxa"/>
        </w:tblCellMar>
      </w:tblPr>
      <w:tblGrid>
        <w:gridCol w:w="904"/>
        <w:gridCol w:w="1304"/>
        <w:gridCol w:w="1616"/>
        <w:gridCol w:w="3249"/>
        <w:gridCol w:w="1259"/>
        <w:gridCol w:w="1290"/>
        <w:gridCol w:w="1777"/>
        <w:gridCol w:w="2775"/>
      </w:tblGrid>
      <w:tr>
        <w:tblPrEx>
          <w:tblCellMar>
            <w:top w:w="0" w:type="dxa"/>
            <w:left w:w="108" w:type="dxa"/>
            <w:bottom w:w="0" w:type="dxa"/>
            <w:right w:w="108" w:type="dxa"/>
          </w:tblCellMar>
        </w:tblPrEx>
        <w:trPr>
          <w:trHeight w:val="567" w:hRule="atLeast"/>
        </w:trPr>
        <w:tc>
          <w:tcPr>
            <w:tcW w:w="319"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4"/>
              </w:rPr>
            </w:pPr>
            <w:r>
              <w:rPr>
                <w:rFonts w:hint="eastAsia" w:ascii="仿宋_GB2312" w:hAnsi="仿宋_GB2312" w:eastAsia="仿宋_GB2312" w:cs="仿宋_GB2312"/>
                <w:b/>
                <w:szCs w:val="24"/>
              </w:rPr>
              <w:t>序号</w:t>
            </w:r>
          </w:p>
        </w:tc>
        <w:tc>
          <w:tcPr>
            <w:tcW w:w="460"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4"/>
              </w:rPr>
            </w:pPr>
            <w:r>
              <w:rPr>
                <w:rFonts w:hint="eastAsia" w:ascii="仿宋_GB2312" w:hAnsi="仿宋_GB2312" w:eastAsia="仿宋_GB2312" w:cs="仿宋_GB2312"/>
                <w:b/>
                <w:szCs w:val="24"/>
              </w:rPr>
              <w:t>违法行为</w:t>
            </w:r>
          </w:p>
        </w:tc>
        <w:tc>
          <w:tcPr>
            <w:tcW w:w="570"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4"/>
                <w:lang w:val="en"/>
              </w:rPr>
            </w:pPr>
            <w:r>
              <w:rPr>
                <w:rFonts w:hint="eastAsia" w:ascii="仿宋_GB2312" w:hAnsi="仿宋_GB2312" w:eastAsia="仿宋_GB2312" w:cs="仿宋_GB2312"/>
                <w:b/>
                <w:szCs w:val="24"/>
                <w:lang w:val="en"/>
              </w:rPr>
              <w:t>违反条款</w:t>
            </w:r>
          </w:p>
        </w:tc>
        <w:tc>
          <w:tcPr>
            <w:tcW w:w="1146"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4"/>
              </w:rPr>
            </w:pPr>
            <w:r>
              <w:rPr>
                <w:rFonts w:hint="eastAsia" w:ascii="仿宋_GB2312" w:hAnsi="仿宋_GB2312" w:eastAsia="仿宋_GB2312" w:cs="仿宋_GB2312"/>
                <w:b/>
                <w:szCs w:val="24"/>
              </w:rPr>
              <w:t>处罚依据</w:t>
            </w:r>
          </w:p>
        </w:tc>
        <w:tc>
          <w:tcPr>
            <w:tcW w:w="444"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4"/>
              </w:rPr>
            </w:pPr>
            <w:r>
              <w:rPr>
                <w:rFonts w:hint="eastAsia" w:ascii="仿宋_GB2312" w:hAnsi="仿宋_GB2312" w:eastAsia="仿宋_GB2312" w:cs="仿宋_GB2312"/>
                <w:b/>
                <w:szCs w:val="24"/>
              </w:rPr>
              <w:t>处罚种类</w:t>
            </w:r>
          </w:p>
        </w:tc>
        <w:tc>
          <w:tcPr>
            <w:tcW w:w="455"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4"/>
              </w:rPr>
            </w:pPr>
            <w:r>
              <w:rPr>
                <w:rFonts w:hint="eastAsia" w:ascii="仿宋_GB2312" w:hAnsi="仿宋_GB2312" w:eastAsia="仿宋_GB2312" w:cs="仿宋_GB2312"/>
                <w:b/>
                <w:szCs w:val="24"/>
              </w:rPr>
              <w:t>裁量阶次</w:t>
            </w:r>
          </w:p>
        </w:tc>
        <w:tc>
          <w:tcPr>
            <w:tcW w:w="62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4"/>
              </w:rPr>
            </w:pPr>
            <w:r>
              <w:rPr>
                <w:rFonts w:hint="eastAsia" w:ascii="仿宋_GB2312" w:hAnsi="仿宋_GB2312" w:eastAsia="仿宋_GB2312" w:cs="仿宋_GB2312"/>
                <w:b/>
                <w:szCs w:val="24"/>
              </w:rPr>
              <w:t>适用条件</w:t>
            </w:r>
          </w:p>
        </w:tc>
        <w:tc>
          <w:tcPr>
            <w:tcW w:w="979"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4"/>
              </w:rPr>
            </w:pPr>
            <w:r>
              <w:rPr>
                <w:rFonts w:hint="eastAsia" w:ascii="仿宋_GB2312" w:hAnsi="仿宋_GB2312" w:eastAsia="仿宋_GB2312" w:cs="仿宋_GB2312"/>
                <w:b/>
                <w:szCs w:val="24"/>
              </w:rPr>
              <w:t>具体标准</w:t>
            </w:r>
          </w:p>
        </w:tc>
      </w:tr>
      <w:tr>
        <w:tblPrEx>
          <w:tblCellMar>
            <w:top w:w="0" w:type="dxa"/>
            <w:left w:w="108" w:type="dxa"/>
            <w:bottom w:w="0" w:type="dxa"/>
            <w:right w:w="108" w:type="dxa"/>
          </w:tblCellMar>
        </w:tblPrEx>
        <w:trPr>
          <w:trHeight w:val="2268" w:hRule="atLeast"/>
        </w:trPr>
        <w:tc>
          <w:tcPr>
            <w:tcW w:w="319" w:type="pct"/>
            <w:vMerge w:val="restar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ascii="仿宋_GB2312" w:hAnsi="仿宋_GB2312" w:eastAsia="仿宋_GB2312" w:cs="仿宋_GB2312"/>
                <w:color w:val="000000"/>
                <w:szCs w:val="21"/>
              </w:rPr>
              <w:t>116.</w:t>
            </w:r>
            <w:r>
              <w:rPr>
                <w:rFonts w:hint="eastAsia" w:ascii="仿宋_GB2312" w:hAnsi="仿宋_GB2312" w:eastAsia="仿宋_GB2312" w:cs="仿宋_GB2312"/>
                <w:color w:val="000000"/>
                <w:szCs w:val="21"/>
                <w:lang w:val="en"/>
              </w:rPr>
              <w:t>1</w:t>
            </w:r>
          </w:p>
        </w:tc>
        <w:tc>
          <w:tcPr>
            <w:tcW w:w="460"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widowControl/>
              <w:jc w:val="left"/>
              <w:textAlignment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编制施工图预算、招标控制价、竣工结算等建设工程造价成果文件的质量偏差率，超过按照计价标准、合同计价原则规定计算的百分之五</w:t>
            </w:r>
          </w:p>
        </w:tc>
        <w:tc>
          <w:tcPr>
            <w:tcW w:w="570"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widowControl/>
              <w:jc w:val="left"/>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第三十七条第二款：“</w:t>
            </w:r>
            <w:r>
              <w:rPr>
                <w:rFonts w:hint="eastAsia" w:ascii="仿宋_GB2312" w:hAnsi="仿宋_GB2312" w:eastAsia="仿宋_GB2312" w:cs="仿宋_GB2312"/>
                <w:color w:val="040404"/>
                <w:kern w:val="0"/>
                <w:szCs w:val="21"/>
                <w:shd w:val="clear" w:color="auto" w:fill="FFFFFF"/>
                <w:lang w:bidi="ar"/>
              </w:rPr>
              <w:t>编制施工图预算、招标控制价、竣工结算等建设工程造价成果文件的质量偏差率，不得超过按照计价标准、合同计价原则规定计算的百分之五</w:t>
            </w:r>
          </w:p>
          <w:p>
            <w:pPr>
              <w:widowControl/>
              <w:jc w:val="left"/>
              <w:textAlignment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w:t>
            </w:r>
          </w:p>
        </w:tc>
        <w:tc>
          <w:tcPr>
            <w:tcW w:w="1146"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widowControl/>
              <w:jc w:val="left"/>
              <w:textAlignment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第四十七条：“违反本规定第三十七条第二款规定，造价成果文件的质量偏差率超过按照计价标准、合同计价原则规定计算的百分之五的，由建设行政主管部门责令改正，按照下列标准对造价成果文件编制单位进行处罚，对主要负责人和直接责任人处三千元以上五千元以下罚款：（一）偏差率在百分之五以上百分之十以下的，处五万元罚款；（二）偏差率在百分之十以上百分之十五以下的，处八万元罚款；（三）偏差率在百分之十五以上的，处十万元罚款。”</w:t>
            </w:r>
          </w:p>
        </w:tc>
        <w:tc>
          <w:tcPr>
            <w:tcW w:w="444"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widowControl/>
              <w:jc w:val="center"/>
              <w:textAlignment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罚款</w:t>
            </w:r>
          </w:p>
        </w:tc>
        <w:tc>
          <w:tcPr>
            <w:tcW w:w="455"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rPr>
              <w:t>从轻</w:t>
            </w:r>
          </w:p>
        </w:tc>
        <w:tc>
          <w:tcPr>
            <w:tcW w:w="627" w:type="pct"/>
            <w:tcBorders>
              <w:top w:val="single" w:color="000000" w:sz="4" w:space="0"/>
              <w:left w:val="single" w:color="000000" w:sz="4" w:space="0"/>
              <w:bottom w:val="single" w:color="000000" w:sz="4" w:space="0"/>
              <w:right w:val="single" w:color="000000" w:sz="4" w:space="0"/>
              <w:tl2br w:val="nil"/>
              <w:tr2bl w:val="nil"/>
            </w:tcBorders>
            <w:vAlign w:val="center"/>
          </w:tcPr>
          <w:p>
            <w:pPr>
              <w:widowControl/>
              <w:jc w:val="left"/>
              <w:textAlignment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偏差率在百分之五以上、低于百分之十的</w:t>
            </w:r>
          </w:p>
        </w:tc>
        <w:tc>
          <w:tcPr>
            <w:tcW w:w="979" w:type="pct"/>
            <w:tcBorders>
              <w:top w:val="nil"/>
              <w:left w:val="nil"/>
              <w:bottom w:val="nil"/>
              <w:right w:val="single" w:color="auto"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pacing w:val="8"/>
                <w:kern w:val="0"/>
                <w:szCs w:val="21"/>
              </w:rPr>
              <w:t>责令改正，</w:t>
            </w:r>
            <w:r>
              <w:rPr>
                <w:rFonts w:hint="eastAsia" w:ascii="仿宋_GB2312" w:hAnsi="仿宋_GB2312" w:eastAsia="仿宋_GB2312" w:cs="仿宋_GB2312"/>
                <w:color w:val="000000"/>
                <w:kern w:val="0"/>
                <w:szCs w:val="21"/>
              </w:rPr>
              <w:t>对造价成果文件编制单位处五万元罚款，对主要负责人和直接责任人处三千元以上、低于四千元罚款</w:t>
            </w:r>
          </w:p>
        </w:tc>
      </w:tr>
      <w:tr>
        <w:tblPrEx>
          <w:tblCellMar>
            <w:top w:w="0" w:type="dxa"/>
            <w:left w:w="108" w:type="dxa"/>
            <w:bottom w:w="0" w:type="dxa"/>
            <w:right w:w="108" w:type="dxa"/>
          </w:tblCellMar>
        </w:tblPrEx>
        <w:trPr>
          <w:trHeight w:val="2268" w:hRule="atLeast"/>
        </w:trPr>
        <w:tc>
          <w:tcPr>
            <w:tcW w:w="319" w:type="pct"/>
            <w:vMerge w:val="continue"/>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p>
        </w:tc>
        <w:tc>
          <w:tcPr>
            <w:tcW w:w="460"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570"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1146"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444"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center"/>
              <w:rPr>
                <w:rFonts w:hint="eastAsia" w:ascii="仿宋_GB2312" w:hAnsi="仿宋_GB2312" w:eastAsia="仿宋_GB2312" w:cs="仿宋_GB2312"/>
                <w:color w:val="000000"/>
                <w:szCs w:val="21"/>
              </w:rPr>
            </w:pPr>
          </w:p>
        </w:tc>
        <w:tc>
          <w:tcPr>
            <w:tcW w:w="455"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一般</w:t>
            </w:r>
          </w:p>
        </w:tc>
        <w:tc>
          <w:tcPr>
            <w:tcW w:w="627" w:type="pct"/>
            <w:tcBorders>
              <w:top w:val="single" w:color="000000" w:sz="4" w:space="0"/>
              <w:left w:val="single" w:color="000000" w:sz="4" w:space="0"/>
              <w:bottom w:val="single" w:color="000000" w:sz="4" w:space="0"/>
              <w:right w:val="single" w:color="000000" w:sz="4" w:space="0"/>
              <w:tl2br w:val="nil"/>
              <w:tr2bl w:val="nil"/>
            </w:tcBorders>
            <w:vAlign w:val="center"/>
          </w:tcPr>
          <w:p>
            <w:pPr>
              <w:widowControl/>
              <w:jc w:val="left"/>
              <w:textAlignment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偏差率在百分之十以上、低于百分之十五的</w:t>
            </w:r>
          </w:p>
        </w:tc>
        <w:tc>
          <w:tcPr>
            <w:tcW w:w="979" w:type="pc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pacing w:val="8"/>
                <w:kern w:val="0"/>
                <w:szCs w:val="21"/>
              </w:rPr>
              <w:t>责令改正，</w:t>
            </w:r>
            <w:r>
              <w:rPr>
                <w:rFonts w:hint="eastAsia" w:ascii="仿宋_GB2312" w:hAnsi="仿宋_GB2312" w:eastAsia="仿宋_GB2312" w:cs="仿宋_GB2312"/>
                <w:color w:val="000000"/>
                <w:kern w:val="0"/>
                <w:szCs w:val="21"/>
              </w:rPr>
              <w:t>对造价成果文件编制单位处八万元的罚款，对主要负责人和直接责任人处四千元罚款</w:t>
            </w:r>
          </w:p>
        </w:tc>
      </w:tr>
      <w:tr>
        <w:tblPrEx>
          <w:tblCellMar>
            <w:top w:w="0" w:type="dxa"/>
            <w:left w:w="108" w:type="dxa"/>
            <w:bottom w:w="0" w:type="dxa"/>
            <w:right w:w="108" w:type="dxa"/>
          </w:tblCellMar>
        </w:tblPrEx>
        <w:trPr>
          <w:trHeight w:val="2268" w:hRule="atLeast"/>
        </w:trPr>
        <w:tc>
          <w:tcPr>
            <w:tcW w:w="319" w:type="pct"/>
            <w:vMerge w:val="continue"/>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p>
        </w:tc>
        <w:tc>
          <w:tcPr>
            <w:tcW w:w="460"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570"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1146"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444"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center"/>
              <w:rPr>
                <w:rFonts w:hint="eastAsia" w:ascii="仿宋_GB2312" w:hAnsi="仿宋_GB2312" w:eastAsia="仿宋_GB2312" w:cs="仿宋_GB2312"/>
                <w:color w:val="000000"/>
                <w:szCs w:val="21"/>
              </w:rPr>
            </w:pPr>
          </w:p>
        </w:tc>
        <w:tc>
          <w:tcPr>
            <w:tcW w:w="455"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rPr>
              <w:t>从重</w:t>
            </w:r>
          </w:p>
        </w:tc>
        <w:tc>
          <w:tcPr>
            <w:tcW w:w="627" w:type="pct"/>
            <w:tcBorders>
              <w:top w:val="single" w:color="000000" w:sz="4" w:space="0"/>
              <w:left w:val="single" w:color="000000" w:sz="4" w:space="0"/>
              <w:bottom w:val="single" w:color="000000" w:sz="4" w:space="0"/>
              <w:right w:val="single" w:color="000000" w:sz="4" w:space="0"/>
              <w:tl2br w:val="nil"/>
              <w:tr2bl w:val="nil"/>
            </w:tcBorders>
            <w:vAlign w:val="center"/>
          </w:tcPr>
          <w:p>
            <w:pPr>
              <w:widowControl/>
              <w:jc w:val="left"/>
              <w:textAlignment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偏差率在百分之十五以上的</w:t>
            </w:r>
          </w:p>
        </w:tc>
        <w:tc>
          <w:tcPr>
            <w:tcW w:w="979" w:type="pc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pacing w:val="8"/>
                <w:kern w:val="0"/>
                <w:szCs w:val="21"/>
              </w:rPr>
              <w:t>责令改正，</w:t>
            </w:r>
            <w:r>
              <w:rPr>
                <w:rFonts w:hint="eastAsia" w:ascii="仿宋_GB2312" w:hAnsi="仿宋_GB2312" w:eastAsia="仿宋_GB2312" w:cs="仿宋_GB2312"/>
                <w:color w:val="000000"/>
                <w:kern w:val="0"/>
                <w:szCs w:val="21"/>
              </w:rPr>
              <w:t>对造价成果文件编制单位处</w:t>
            </w:r>
            <w:r>
              <w:rPr>
                <w:rFonts w:hint="eastAsia" w:ascii="仿宋_GB2312" w:hAnsi="仿宋_GB2312" w:eastAsia="仿宋_GB2312" w:cs="仿宋_GB2312"/>
                <w:szCs w:val="21"/>
              </w:rPr>
              <w:t>十万元</w:t>
            </w:r>
            <w:r>
              <w:rPr>
                <w:rFonts w:hint="eastAsia" w:ascii="仿宋_GB2312" w:hAnsi="仿宋_GB2312" w:eastAsia="仿宋_GB2312" w:cs="仿宋_GB2312"/>
                <w:color w:val="000000"/>
                <w:kern w:val="0"/>
                <w:szCs w:val="21"/>
              </w:rPr>
              <w:t>罚款，对主要负责人和直接责任人处超过四千元、五千元以下罚款</w:t>
            </w:r>
          </w:p>
        </w:tc>
      </w:tr>
    </w:tbl>
    <w:p>
      <w:pPr>
        <w:widowControl/>
        <w:jc w:val="left"/>
        <w:rPr>
          <w:rFonts w:hint="eastAsia" w:ascii="宋体" w:hAnsi="宋体" w:eastAsia="宋体" w:cs="宋体"/>
          <w:bCs/>
          <w:color w:val="000000"/>
          <w:kern w:val="44"/>
          <w:sz w:val="32"/>
          <w:szCs w:val="24"/>
        </w:rPr>
      </w:pPr>
      <w:r>
        <w:rPr>
          <w:rFonts w:ascii="宋体" w:hAnsi="宋体" w:eastAsia="宋体" w:cs="宋体"/>
          <w:bCs/>
          <w:color w:val="000000"/>
          <w:kern w:val="44"/>
          <w:sz w:val="32"/>
          <w:szCs w:val="24"/>
        </w:rPr>
        <w:t>《</w:t>
      </w:r>
      <w:r>
        <w:rPr>
          <w:rFonts w:ascii="宋体" w:hAnsi="宋体" w:eastAsia="宋体" w:cs="宋体"/>
          <w:bCs/>
          <w:color w:val="000000"/>
          <w:kern w:val="44"/>
          <w:sz w:val="32"/>
          <w:szCs w:val="24"/>
          <w:lang w:val="en"/>
        </w:rPr>
        <w:t>深圳市建设工程造价管理规定</w:t>
      </w:r>
      <w:r>
        <w:rPr>
          <w:rFonts w:ascii="宋体" w:hAnsi="宋体" w:eastAsia="宋体" w:cs="宋体"/>
          <w:bCs/>
          <w:color w:val="000000"/>
          <w:kern w:val="44"/>
          <w:sz w:val="32"/>
          <w:szCs w:val="24"/>
        </w:rPr>
        <w:t>》</w:t>
      </w:r>
    </w:p>
    <w:tbl>
      <w:tblPr>
        <w:tblStyle w:val="11"/>
        <w:tblW w:w="5000" w:type="pct"/>
        <w:tblInd w:w="0" w:type="dxa"/>
        <w:tblLayout w:type="fixed"/>
        <w:tblCellMar>
          <w:top w:w="0" w:type="dxa"/>
          <w:left w:w="108" w:type="dxa"/>
          <w:bottom w:w="0" w:type="dxa"/>
          <w:right w:w="108" w:type="dxa"/>
        </w:tblCellMar>
      </w:tblPr>
      <w:tblGrid>
        <w:gridCol w:w="1125"/>
        <w:gridCol w:w="1681"/>
        <w:gridCol w:w="1732"/>
        <w:gridCol w:w="3402"/>
        <w:gridCol w:w="1324"/>
        <w:gridCol w:w="1233"/>
        <w:gridCol w:w="1381"/>
        <w:gridCol w:w="2297"/>
      </w:tblGrid>
      <w:tr>
        <w:tblPrEx>
          <w:tblCellMar>
            <w:top w:w="0" w:type="dxa"/>
            <w:left w:w="108" w:type="dxa"/>
            <w:bottom w:w="0" w:type="dxa"/>
            <w:right w:w="108" w:type="dxa"/>
          </w:tblCellMar>
        </w:tblPrEx>
        <w:trPr>
          <w:trHeight w:val="567" w:hRule="atLeast"/>
        </w:trPr>
        <w:tc>
          <w:tcPr>
            <w:tcW w:w="39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4"/>
              </w:rPr>
            </w:pPr>
            <w:r>
              <w:rPr>
                <w:rFonts w:hint="eastAsia" w:ascii="仿宋_GB2312" w:hAnsi="仿宋_GB2312" w:eastAsia="仿宋_GB2312" w:cs="仿宋_GB2312"/>
                <w:b/>
                <w:szCs w:val="24"/>
              </w:rPr>
              <w:t>序号</w:t>
            </w:r>
          </w:p>
        </w:tc>
        <w:tc>
          <w:tcPr>
            <w:tcW w:w="593"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4"/>
              </w:rPr>
            </w:pPr>
            <w:r>
              <w:rPr>
                <w:rFonts w:hint="eastAsia" w:ascii="仿宋_GB2312" w:hAnsi="仿宋_GB2312" w:eastAsia="仿宋_GB2312" w:cs="仿宋_GB2312"/>
                <w:b/>
                <w:szCs w:val="24"/>
              </w:rPr>
              <w:t>违法行为</w:t>
            </w:r>
          </w:p>
        </w:tc>
        <w:tc>
          <w:tcPr>
            <w:tcW w:w="611"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4"/>
                <w:lang w:val="en"/>
              </w:rPr>
            </w:pPr>
            <w:r>
              <w:rPr>
                <w:rFonts w:hint="eastAsia" w:ascii="仿宋_GB2312" w:hAnsi="仿宋_GB2312" w:eastAsia="仿宋_GB2312" w:cs="仿宋_GB2312"/>
                <w:b/>
                <w:szCs w:val="24"/>
                <w:lang w:val="en"/>
              </w:rPr>
              <w:t>违反条款</w:t>
            </w:r>
          </w:p>
        </w:tc>
        <w:tc>
          <w:tcPr>
            <w:tcW w:w="1200"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4"/>
              </w:rPr>
            </w:pPr>
            <w:r>
              <w:rPr>
                <w:rFonts w:hint="eastAsia" w:ascii="仿宋_GB2312" w:hAnsi="仿宋_GB2312" w:eastAsia="仿宋_GB2312" w:cs="仿宋_GB2312"/>
                <w:b/>
                <w:szCs w:val="24"/>
              </w:rPr>
              <w:t>处罚依据</w:t>
            </w:r>
          </w:p>
        </w:tc>
        <w:tc>
          <w:tcPr>
            <w:tcW w:w="46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4"/>
              </w:rPr>
            </w:pPr>
            <w:r>
              <w:rPr>
                <w:rFonts w:hint="eastAsia" w:ascii="仿宋_GB2312" w:hAnsi="仿宋_GB2312" w:eastAsia="仿宋_GB2312" w:cs="仿宋_GB2312"/>
                <w:b/>
                <w:szCs w:val="24"/>
              </w:rPr>
              <w:t>处罚种类</w:t>
            </w:r>
          </w:p>
        </w:tc>
        <w:tc>
          <w:tcPr>
            <w:tcW w:w="435"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4"/>
              </w:rPr>
            </w:pPr>
            <w:r>
              <w:rPr>
                <w:rFonts w:hint="eastAsia" w:ascii="仿宋_GB2312" w:hAnsi="仿宋_GB2312" w:eastAsia="仿宋_GB2312" w:cs="仿宋_GB2312"/>
                <w:b/>
                <w:szCs w:val="24"/>
              </w:rPr>
              <w:t>裁量阶次</w:t>
            </w:r>
          </w:p>
        </w:tc>
        <w:tc>
          <w:tcPr>
            <w:tcW w:w="48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4"/>
              </w:rPr>
            </w:pPr>
            <w:r>
              <w:rPr>
                <w:rFonts w:hint="eastAsia" w:ascii="仿宋_GB2312" w:hAnsi="仿宋_GB2312" w:eastAsia="仿宋_GB2312" w:cs="仿宋_GB2312"/>
                <w:b/>
                <w:szCs w:val="24"/>
              </w:rPr>
              <w:t>适用条件</w:t>
            </w:r>
          </w:p>
        </w:tc>
        <w:tc>
          <w:tcPr>
            <w:tcW w:w="810"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4"/>
              </w:rPr>
            </w:pPr>
            <w:r>
              <w:rPr>
                <w:rFonts w:hint="eastAsia" w:ascii="仿宋_GB2312" w:hAnsi="仿宋_GB2312" w:eastAsia="仿宋_GB2312" w:cs="仿宋_GB2312"/>
                <w:b/>
                <w:szCs w:val="24"/>
              </w:rPr>
              <w:t>具体标准</w:t>
            </w:r>
          </w:p>
        </w:tc>
      </w:tr>
      <w:tr>
        <w:tblPrEx>
          <w:tblCellMar>
            <w:top w:w="0" w:type="dxa"/>
            <w:left w:w="108" w:type="dxa"/>
            <w:bottom w:w="0" w:type="dxa"/>
            <w:right w:w="108" w:type="dxa"/>
          </w:tblCellMar>
        </w:tblPrEx>
        <w:trPr>
          <w:trHeight w:val="2268" w:hRule="atLeast"/>
        </w:trPr>
        <w:tc>
          <w:tcPr>
            <w:tcW w:w="397" w:type="pct"/>
            <w:vMerge w:val="restar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ascii="仿宋_GB2312" w:hAnsi="仿宋_GB2312" w:eastAsia="仿宋_GB2312" w:cs="仿宋_GB2312"/>
                <w:color w:val="000000"/>
                <w:szCs w:val="21"/>
              </w:rPr>
              <w:t>116.</w:t>
            </w:r>
            <w:r>
              <w:rPr>
                <w:rFonts w:hint="eastAsia" w:ascii="仿宋_GB2312" w:hAnsi="仿宋_GB2312" w:eastAsia="仿宋_GB2312" w:cs="仿宋_GB2312"/>
                <w:color w:val="000000"/>
                <w:szCs w:val="21"/>
                <w:lang w:val="en"/>
              </w:rPr>
              <w:t>2</w:t>
            </w:r>
          </w:p>
        </w:tc>
        <w:tc>
          <w:tcPr>
            <w:tcW w:w="593"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widowControl/>
              <w:jc w:val="left"/>
              <w:textAlignment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造价成果文件编制单位或者造价执业人员故意压低或者抬高工程造价的</w:t>
            </w:r>
          </w:p>
        </w:tc>
        <w:tc>
          <w:tcPr>
            <w:tcW w:w="611"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widowControl/>
              <w:jc w:val="left"/>
              <w:textAlignment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第三十八条：“禁止造价成果文件编制单位从事下列行为：（三）故意压低或者抬高工程造价。”</w:t>
            </w:r>
          </w:p>
          <w:p>
            <w:pPr>
              <w:widowControl/>
              <w:jc w:val="left"/>
              <w:textAlignment w:val="center"/>
              <w:rPr>
                <w:rFonts w:hint="eastAsia" w:ascii="仿宋_GB2312" w:hAnsi="仿宋_GB2312" w:eastAsia="仿宋_GB2312" w:cs="仿宋_GB2312"/>
                <w:color w:val="000000"/>
                <w:kern w:val="0"/>
                <w:szCs w:val="21"/>
              </w:rPr>
            </w:pPr>
          </w:p>
          <w:p>
            <w:pPr>
              <w:widowControl/>
              <w:jc w:val="left"/>
              <w:textAlignment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第三十九条：“禁止造价执业人员从事下列行为：（四）故意压低或者抬高工程造价。”</w:t>
            </w:r>
          </w:p>
        </w:tc>
        <w:tc>
          <w:tcPr>
            <w:tcW w:w="1200"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widowControl/>
              <w:jc w:val="left"/>
              <w:textAlignment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第四十八条第一款：“违反本规定第三十八条第三项、第三十九条第四项规定，经审核发现造价成果文件有故意压低或者抬高造价情况，并且造价成果文件的质量偏差率超过按照计价标准、合同计价原则规定计算的百分之五的，由建设行政主管部门责令改正，对造价成果文件编制单位处十万元罚款，对主要负责人和直接责任人处五千元以上一万元以下罚款；构成犯罪的，依法追究刑事责任。”</w:t>
            </w:r>
          </w:p>
        </w:tc>
        <w:tc>
          <w:tcPr>
            <w:tcW w:w="467"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widowControl/>
              <w:jc w:val="center"/>
              <w:textAlignment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罚款</w:t>
            </w:r>
          </w:p>
        </w:tc>
        <w:tc>
          <w:tcPr>
            <w:tcW w:w="435"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rPr>
              <w:t>从轻</w:t>
            </w:r>
          </w:p>
        </w:tc>
        <w:tc>
          <w:tcPr>
            <w:tcW w:w="487" w:type="pct"/>
            <w:tcBorders>
              <w:top w:val="single" w:color="000000" w:sz="4" w:space="0"/>
              <w:left w:val="single" w:color="000000" w:sz="4" w:space="0"/>
              <w:bottom w:val="single" w:color="000000" w:sz="4" w:space="0"/>
              <w:right w:val="single" w:color="000000" w:sz="4" w:space="0"/>
              <w:tl2br w:val="nil"/>
              <w:tr2bl w:val="nil"/>
            </w:tcBorders>
            <w:vAlign w:val="center"/>
          </w:tcPr>
          <w:p>
            <w:pPr>
              <w:widowControl/>
              <w:jc w:val="left"/>
              <w:textAlignment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偏差率在百分之五以上、少于百分之十的</w:t>
            </w:r>
          </w:p>
        </w:tc>
        <w:tc>
          <w:tcPr>
            <w:tcW w:w="810" w:type="pct"/>
            <w:tcBorders>
              <w:top w:val="nil"/>
              <w:left w:val="nil"/>
              <w:bottom w:val="nil"/>
              <w:right w:val="single" w:color="auto"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pacing w:val="8"/>
                <w:kern w:val="0"/>
                <w:szCs w:val="21"/>
              </w:rPr>
              <w:t>责令改正，</w:t>
            </w:r>
            <w:r>
              <w:rPr>
                <w:rFonts w:hint="eastAsia" w:ascii="仿宋_GB2312" w:hAnsi="仿宋_GB2312" w:eastAsia="仿宋_GB2312" w:cs="仿宋_GB2312"/>
                <w:color w:val="000000"/>
                <w:kern w:val="0"/>
                <w:szCs w:val="21"/>
              </w:rPr>
              <w:t>对造价成果文件编制单位处十万元的罚款，对主要负责人和直接责任人处五千元以上、低于七千五百元罚款</w:t>
            </w:r>
          </w:p>
        </w:tc>
      </w:tr>
      <w:tr>
        <w:tblPrEx>
          <w:tblCellMar>
            <w:top w:w="0" w:type="dxa"/>
            <w:left w:w="108" w:type="dxa"/>
            <w:bottom w:w="0" w:type="dxa"/>
            <w:right w:w="108" w:type="dxa"/>
          </w:tblCellMar>
        </w:tblPrEx>
        <w:trPr>
          <w:trHeight w:val="2268" w:hRule="atLeast"/>
        </w:trPr>
        <w:tc>
          <w:tcPr>
            <w:tcW w:w="397" w:type="pct"/>
            <w:vMerge w:val="continue"/>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p>
        </w:tc>
        <w:tc>
          <w:tcPr>
            <w:tcW w:w="593"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611"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1200"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467"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center"/>
              <w:rPr>
                <w:rFonts w:hint="eastAsia" w:ascii="仿宋_GB2312" w:hAnsi="仿宋_GB2312" w:eastAsia="仿宋_GB2312" w:cs="仿宋_GB2312"/>
                <w:color w:val="000000"/>
                <w:szCs w:val="21"/>
              </w:rPr>
            </w:pPr>
          </w:p>
        </w:tc>
        <w:tc>
          <w:tcPr>
            <w:tcW w:w="435"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一般</w:t>
            </w:r>
          </w:p>
        </w:tc>
        <w:tc>
          <w:tcPr>
            <w:tcW w:w="487" w:type="pct"/>
            <w:tcBorders>
              <w:top w:val="single" w:color="000000" w:sz="4" w:space="0"/>
              <w:left w:val="single" w:color="000000" w:sz="4" w:space="0"/>
              <w:bottom w:val="single" w:color="000000" w:sz="4" w:space="0"/>
              <w:right w:val="single" w:color="000000" w:sz="4" w:space="0"/>
              <w:tl2br w:val="nil"/>
              <w:tr2bl w:val="nil"/>
            </w:tcBorders>
            <w:vAlign w:val="center"/>
          </w:tcPr>
          <w:p>
            <w:pPr>
              <w:widowControl/>
              <w:jc w:val="left"/>
              <w:textAlignment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偏差率在百分之十以上、少于百分之十五的</w:t>
            </w:r>
          </w:p>
        </w:tc>
        <w:tc>
          <w:tcPr>
            <w:tcW w:w="810" w:type="pc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pacing w:val="8"/>
                <w:kern w:val="0"/>
                <w:szCs w:val="21"/>
              </w:rPr>
              <w:t>责令改正，</w:t>
            </w:r>
            <w:r>
              <w:rPr>
                <w:rFonts w:hint="eastAsia" w:ascii="仿宋_GB2312" w:hAnsi="仿宋_GB2312" w:eastAsia="仿宋_GB2312" w:cs="仿宋_GB2312"/>
                <w:color w:val="000000"/>
                <w:kern w:val="0"/>
                <w:szCs w:val="21"/>
              </w:rPr>
              <w:t>对造价成果文件编制单位处十万元的罚款，对主要负责人和直接责任人处七千五百元罚款</w:t>
            </w:r>
          </w:p>
        </w:tc>
      </w:tr>
      <w:tr>
        <w:tblPrEx>
          <w:tblCellMar>
            <w:top w:w="0" w:type="dxa"/>
            <w:left w:w="108" w:type="dxa"/>
            <w:bottom w:w="0" w:type="dxa"/>
            <w:right w:w="108" w:type="dxa"/>
          </w:tblCellMar>
        </w:tblPrEx>
        <w:trPr>
          <w:trHeight w:val="2268" w:hRule="atLeast"/>
        </w:trPr>
        <w:tc>
          <w:tcPr>
            <w:tcW w:w="397" w:type="pct"/>
            <w:vMerge w:val="continue"/>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p>
        </w:tc>
        <w:tc>
          <w:tcPr>
            <w:tcW w:w="593"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611"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1200"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467"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center"/>
              <w:rPr>
                <w:rFonts w:hint="eastAsia" w:ascii="仿宋_GB2312" w:hAnsi="仿宋_GB2312" w:eastAsia="仿宋_GB2312" w:cs="仿宋_GB2312"/>
                <w:color w:val="000000"/>
                <w:szCs w:val="21"/>
              </w:rPr>
            </w:pPr>
          </w:p>
        </w:tc>
        <w:tc>
          <w:tcPr>
            <w:tcW w:w="435"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rPr>
              <w:t>从重</w:t>
            </w:r>
          </w:p>
        </w:tc>
        <w:tc>
          <w:tcPr>
            <w:tcW w:w="487" w:type="pct"/>
            <w:tcBorders>
              <w:top w:val="single" w:color="000000" w:sz="4" w:space="0"/>
              <w:left w:val="single" w:color="000000" w:sz="4" w:space="0"/>
              <w:bottom w:val="single" w:color="000000" w:sz="4" w:space="0"/>
              <w:right w:val="single" w:color="000000" w:sz="4" w:space="0"/>
              <w:tl2br w:val="nil"/>
              <w:tr2bl w:val="nil"/>
            </w:tcBorders>
            <w:vAlign w:val="center"/>
          </w:tcPr>
          <w:p>
            <w:pPr>
              <w:widowControl/>
              <w:jc w:val="left"/>
              <w:textAlignment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偏差率在百分之十五以上的</w:t>
            </w:r>
          </w:p>
        </w:tc>
        <w:tc>
          <w:tcPr>
            <w:tcW w:w="810" w:type="pc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pacing w:val="8"/>
                <w:kern w:val="0"/>
                <w:szCs w:val="21"/>
              </w:rPr>
              <w:t>责令改正，</w:t>
            </w:r>
            <w:r>
              <w:rPr>
                <w:rFonts w:hint="eastAsia" w:ascii="仿宋_GB2312" w:hAnsi="仿宋_GB2312" w:eastAsia="仿宋_GB2312" w:cs="仿宋_GB2312"/>
                <w:color w:val="000000"/>
                <w:kern w:val="0"/>
                <w:szCs w:val="21"/>
              </w:rPr>
              <w:t>对造价成果文件编制单位处十万元的罚款，对主要负责人和直接责任人处超过七千五百元、一万元以下罚款</w:t>
            </w:r>
          </w:p>
        </w:tc>
      </w:tr>
    </w:tbl>
    <w:p>
      <w:pPr>
        <w:widowControl/>
        <w:jc w:val="left"/>
        <w:rPr>
          <w:rFonts w:hint="eastAsia" w:ascii="宋体" w:hAnsi="宋体" w:eastAsia="宋体" w:cs="宋体"/>
          <w:bCs/>
          <w:color w:val="000000"/>
          <w:kern w:val="44"/>
          <w:sz w:val="32"/>
          <w:szCs w:val="24"/>
        </w:rPr>
      </w:pPr>
      <w:r>
        <w:rPr>
          <w:rFonts w:ascii="宋体" w:hAnsi="宋体" w:eastAsia="宋体" w:cs="宋体"/>
          <w:bCs/>
          <w:color w:val="000000"/>
          <w:kern w:val="44"/>
          <w:sz w:val="32"/>
          <w:szCs w:val="24"/>
        </w:rPr>
        <w:t>《</w:t>
      </w:r>
      <w:r>
        <w:rPr>
          <w:rFonts w:ascii="宋体" w:hAnsi="宋体" w:eastAsia="宋体" w:cs="宋体"/>
          <w:bCs/>
          <w:color w:val="000000"/>
          <w:kern w:val="44"/>
          <w:sz w:val="32"/>
          <w:szCs w:val="24"/>
          <w:lang w:val="en"/>
        </w:rPr>
        <w:t>深圳市建设工程造价管理规定</w:t>
      </w:r>
      <w:r>
        <w:rPr>
          <w:rFonts w:ascii="宋体" w:hAnsi="宋体" w:eastAsia="宋体" w:cs="宋体"/>
          <w:bCs/>
          <w:color w:val="000000"/>
          <w:kern w:val="44"/>
          <w:sz w:val="32"/>
          <w:szCs w:val="24"/>
        </w:rPr>
        <w:t>》</w:t>
      </w:r>
    </w:p>
    <w:tbl>
      <w:tblPr>
        <w:tblStyle w:val="11"/>
        <w:tblW w:w="5000" w:type="pct"/>
        <w:tblInd w:w="0" w:type="dxa"/>
        <w:tblLayout w:type="fixed"/>
        <w:tblCellMar>
          <w:top w:w="0" w:type="dxa"/>
          <w:left w:w="108" w:type="dxa"/>
          <w:bottom w:w="0" w:type="dxa"/>
          <w:right w:w="108" w:type="dxa"/>
        </w:tblCellMar>
      </w:tblPr>
      <w:tblGrid>
        <w:gridCol w:w="754"/>
        <w:gridCol w:w="1077"/>
        <w:gridCol w:w="1077"/>
        <w:gridCol w:w="2347"/>
        <w:gridCol w:w="1077"/>
        <w:gridCol w:w="1077"/>
        <w:gridCol w:w="2671"/>
        <w:gridCol w:w="4093"/>
      </w:tblGrid>
      <w:tr>
        <w:tblPrEx>
          <w:tblCellMar>
            <w:top w:w="0" w:type="dxa"/>
            <w:left w:w="108" w:type="dxa"/>
            <w:bottom w:w="0" w:type="dxa"/>
            <w:right w:w="108" w:type="dxa"/>
          </w:tblCellMar>
        </w:tblPrEx>
        <w:trPr>
          <w:trHeight w:val="567" w:hRule="atLeast"/>
        </w:trPr>
        <w:tc>
          <w:tcPr>
            <w:tcW w:w="266"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4"/>
              </w:rPr>
            </w:pPr>
            <w:r>
              <w:rPr>
                <w:rFonts w:hint="eastAsia" w:ascii="仿宋_GB2312" w:hAnsi="仿宋_GB2312" w:eastAsia="仿宋_GB2312" w:cs="仿宋_GB2312"/>
                <w:b/>
                <w:szCs w:val="24"/>
              </w:rPr>
              <w:t>序号</w:t>
            </w:r>
          </w:p>
        </w:tc>
        <w:tc>
          <w:tcPr>
            <w:tcW w:w="380"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4"/>
              </w:rPr>
            </w:pPr>
            <w:r>
              <w:rPr>
                <w:rFonts w:hint="eastAsia" w:ascii="仿宋_GB2312" w:hAnsi="仿宋_GB2312" w:eastAsia="仿宋_GB2312" w:cs="仿宋_GB2312"/>
                <w:b/>
                <w:szCs w:val="24"/>
              </w:rPr>
              <w:t>违法行为</w:t>
            </w:r>
          </w:p>
        </w:tc>
        <w:tc>
          <w:tcPr>
            <w:tcW w:w="380"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4"/>
                <w:lang w:val="en"/>
              </w:rPr>
            </w:pPr>
            <w:r>
              <w:rPr>
                <w:rFonts w:hint="eastAsia" w:ascii="仿宋_GB2312" w:hAnsi="仿宋_GB2312" w:eastAsia="仿宋_GB2312" w:cs="仿宋_GB2312"/>
                <w:b/>
                <w:szCs w:val="24"/>
                <w:lang w:val="en"/>
              </w:rPr>
              <w:t>违反条款</w:t>
            </w:r>
          </w:p>
        </w:tc>
        <w:tc>
          <w:tcPr>
            <w:tcW w:w="828"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4"/>
              </w:rPr>
            </w:pPr>
            <w:r>
              <w:rPr>
                <w:rFonts w:hint="eastAsia" w:ascii="仿宋_GB2312" w:hAnsi="仿宋_GB2312" w:eastAsia="仿宋_GB2312" w:cs="仿宋_GB2312"/>
                <w:b/>
                <w:szCs w:val="24"/>
              </w:rPr>
              <w:t>处罚依据</w:t>
            </w:r>
          </w:p>
        </w:tc>
        <w:tc>
          <w:tcPr>
            <w:tcW w:w="380"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4"/>
              </w:rPr>
            </w:pPr>
            <w:r>
              <w:rPr>
                <w:rFonts w:hint="eastAsia" w:ascii="仿宋_GB2312" w:hAnsi="仿宋_GB2312" w:eastAsia="仿宋_GB2312" w:cs="仿宋_GB2312"/>
                <w:b/>
                <w:szCs w:val="24"/>
              </w:rPr>
              <w:t>处罚种类</w:t>
            </w:r>
          </w:p>
        </w:tc>
        <w:tc>
          <w:tcPr>
            <w:tcW w:w="380"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4"/>
              </w:rPr>
            </w:pPr>
            <w:r>
              <w:rPr>
                <w:rFonts w:hint="eastAsia" w:ascii="仿宋_GB2312" w:hAnsi="仿宋_GB2312" w:eastAsia="仿宋_GB2312" w:cs="仿宋_GB2312"/>
                <w:b/>
                <w:szCs w:val="24"/>
              </w:rPr>
              <w:t>裁量阶次</w:t>
            </w:r>
          </w:p>
        </w:tc>
        <w:tc>
          <w:tcPr>
            <w:tcW w:w="942"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4"/>
              </w:rPr>
            </w:pPr>
            <w:r>
              <w:rPr>
                <w:rFonts w:hint="eastAsia" w:ascii="仿宋_GB2312" w:hAnsi="仿宋_GB2312" w:eastAsia="仿宋_GB2312" w:cs="仿宋_GB2312"/>
                <w:b/>
                <w:szCs w:val="24"/>
              </w:rPr>
              <w:t>适用条件</w:t>
            </w:r>
          </w:p>
        </w:tc>
        <w:tc>
          <w:tcPr>
            <w:tcW w:w="1445"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4"/>
              </w:rPr>
            </w:pPr>
            <w:r>
              <w:rPr>
                <w:rFonts w:hint="eastAsia" w:ascii="仿宋_GB2312" w:hAnsi="仿宋_GB2312" w:eastAsia="仿宋_GB2312" w:cs="仿宋_GB2312"/>
                <w:b/>
                <w:szCs w:val="24"/>
              </w:rPr>
              <w:t>具体标准</w:t>
            </w:r>
          </w:p>
        </w:tc>
      </w:tr>
      <w:tr>
        <w:tblPrEx>
          <w:tblCellMar>
            <w:top w:w="0" w:type="dxa"/>
            <w:left w:w="108" w:type="dxa"/>
            <w:bottom w:w="0" w:type="dxa"/>
            <w:right w:w="108" w:type="dxa"/>
          </w:tblCellMar>
        </w:tblPrEx>
        <w:trPr>
          <w:trHeight w:val="2268" w:hRule="atLeast"/>
        </w:trPr>
        <w:tc>
          <w:tcPr>
            <w:tcW w:w="266" w:type="pct"/>
            <w:vMerge w:val="restar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ascii="仿宋_GB2312" w:hAnsi="仿宋_GB2312" w:eastAsia="仿宋_GB2312" w:cs="仿宋_GB2312"/>
                <w:color w:val="000000"/>
                <w:szCs w:val="21"/>
              </w:rPr>
              <w:t>116.</w:t>
            </w:r>
            <w:r>
              <w:rPr>
                <w:rFonts w:hint="eastAsia" w:ascii="仿宋_GB2312" w:hAnsi="仿宋_GB2312" w:eastAsia="仿宋_GB2312" w:cs="仿宋_GB2312"/>
                <w:color w:val="000000"/>
                <w:szCs w:val="21"/>
                <w:lang w:val="en"/>
              </w:rPr>
              <w:t>3</w:t>
            </w:r>
          </w:p>
        </w:tc>
        <w:tc>
          <w:tcPr>
            <w:tcW w:w="380"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widowControl/>
              <w:jc w:val="left"/>
              <w:textAlignment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造价成果文件编制单位出具虚假的造价成果文件或者造价执业人员签署虚假的造价成果文件的</w:t>
            </w:r>
          </w:p>
        </w:tc>
        <w:tc>
          <w:tcPr>
            <w:tcW w:w="380"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widowControl/>
              <w:jc w:val="left"/>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第三十八条：“禁止造价成果文件编制单位从事下列行为：（四）</w:t>
            </w:r>
            <w:r>
              <w:rPr>
                <w:rFonts w:hint="eastAsia" w:ascii="仿宋_GB2312" w:hAnsi="仿宋_GB2312" w:eastAsia="仿宋_GB2312" w:cs="仿宋_GB2312"/>
                <w:color w:val="040404"/>
                <w:kern w:val="0"/>
                <w:szCs w:val="21"/>
                <w:shd w:val="clear" w:color="auto" w:fill="FFFFFF"/>
                <w:lang w:bidi="ar"/>
              </w:rPr>
              <w:t>出具虚假的造价成果文件。</w:t>
            </w:r>
            <w:r>
              <w:rPr>
                <w:rFonts w:hint="eastAsia" w:ascii="仿宋_GB2312" w:hAnsi="仿宋_GB2312" w:eastAsia="仿宋_GB2312" w:cs="仿宋_GB2312"/>
                <w:color w:val="000000"/>
                <w:kern w:val="0"/>
                <w:szCs w:val="21"/>
              </w:rPr>
              <w:t>”</w:t>
            </w:r>
          </w:p>
          <w:p>
            <w:pPr>
              <w:widowControl/>
              <w:jc w:val="left"/>
              <w:rPr>
                <w:rFonts w:hint="eastAsia" w:ascii="仿宋_GB2312" w:hAnsi="仿宋_GB2312" w:eastAsia="仿宋_GB2312" w:cs="仿宋_GB2312"/>
                <w:color w:val="000000"/>
                <w:kern w:val="0"/>
                <w:szCs w:val="21"/>
              </w:rPr>
            </w:pPr>
          </w:p>
          <w:p>
            <w:pPr>
              <w:widowControl/>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第三十九条：“禁止造价执业人员从事下列行为：（五）</w:t>
            </w:r>
            <w:r>
              <w:rPr>
                <w:rFonts w:hint="eastAsia" w:ascii="仿宋_GB2312" w:hAnsi="仿宋_GB2312" w:eastAsia="仿宋_GB2312" w:cs="仿宋_GB2312"/>
                <w:color w:val="040404"/>
                <w:kern w:val="0"/>
                <w:szCs w:val="21"/>
                <w:shd w:val="clear" w:color="auto" w:fill="FFFFFF"/>
                <w:lang w:bidi="ar"/>
              </w:rPr>
              <w:t>签署虚假的造价成果文件</w:t>
            </w:r>
            <w:r>
              <w:rPr>
                <w:rFonts w:hint="eastAsia" w:ascii="仿宋_GB2312" w:hAnsi="仿宋_GB2312" w:eastAsia="仿宋_GB2312" w:cs="仿宋_GB2312"/>
                <w:color w:val="000000"/>
                <w:kern w:val="0"/>
                <w:szCs w:val="21"/>
              </w:rPr>
              <w:t>。”</w:t>
            </w:r>
          </w:p>
        </w:tc>
        <w:tc>
          <w:tcPr>
            <w:tcW w:w="828"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widowControl/>
              <w:jc w:val="left"/>
              <w:textAlignment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第四十九条：“违反本规定第三十八条第四项、第三十九条第五项规定，经审核发现有关单位和个人采用虚增工程量、虚设工程项目、阴阳合同等方式出具或者签署虚假造价成果文件的，由建设行政主管部门责令改正，对造价成果文件编制单位处十万元罚款，对主要负责人和直接责任人处五千元以上一万元以下罚款；构成犯罪的，依法追究刑事责任。”</w:t>
            </w:r>
          </w:p>
        </w:tc>
        <w:tc>
          <w:tcPr>
            <w:tcW w:w="380"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widowControl/>
              <w:jc w:val="center"/>
              <w:textAlignment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罚款</w:t>
            </w:r>
          </w:p>
        </w:tc>
        <w:tc>
          <w:tcPr>
            <w:tcW w:w="380"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rPr>
              <w:t>从轻</w:t>
            </w:r>
          </w:p>
        </w:tc>
        <w:tc>
          <w:tcPr>
            <w:tcW w:w="942" w:type="pct"/>
            <w:tcBorders>
              <w:top w:val="single" w:color="000000" w:sz="4" w:space="0"/>
              <w:left w:val="single" w:color="000000" w:sz="4" w:space="0"/>
              <w:bottom w:val="single" w:color="000000" w:sz="4" w:space="0"/>
              <w:right w:val="single" w:color="000000" w:sz="4" w:space="0"/>
              <w:tl2br w:val="nil"/>
              <w:tr2bl w:val="nil"/>
            </w:tcBorders>
            <w:noWrap/>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未造成危害后果或造成轻微危害后果的</w:t>
            </w:r>
          </w:p>
        </w:tc>
        <w:tc>
          <w:tcPr>
            <w:tcW w:w="1445" w:type="pct"/>
            <w:tcBorders>
              <w:top w:val="nil"/>
              <w:left w:val="nil"/>
              <w:bottom w:val="nil"/>
              <w:right w:val="single" w:color="auto"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pacing w:val="8"/>
                <w:kern w:val="0"/>
                <w:szCs w:val="21"/>
              </w:rPr>
              <w:t>责令改正，</w:t>
            </w:r>
            <w:r>
              <w:rPr>
                <w:rFonts w:hint="eastAsia" w:ascii="仿宋_GB2312" w:hAnsi="仿宋_GB2312" w:eastAsia="仿宋_GB2312" w:cs="仿宋_GB2312"/>
                <w:color w:val="000000"/>
                <w:kern w:val="0"/>
                <w:szCs w:val="21"/>
              </w:rPr>
              <w:t>对造价成果文件编制单位处十万元的罚款，对主要负责人和直接责任人处五千元以上、低于七千五百元罚款</w:t>
            </w:r>
          </w:p>
        </w:tc>
      </w:tr>
      <w:tr>
        <w:tblPrEx>
          <w:tblCellMar>
            <w:top w:w="0" w:type="dxa"/>
            <w:left w:w="108" w:type="dxa"/>
            <w:bottom w:w="0" w:type="dxa"/>
            <w:right w:w="108" w:type="dxa"/>
          </w:tblCellMar>
        </w:tblPrEx>
        <w:trPr>
          <w:trHeight w:val="2268" w:hRule="atLeast"/>
        </w:trPr>
        <w:tc>
          <w:tcPr>
            <w:tcW w:w="266" w:type="pct"/>
            <w:vMerge w:val="continue"/>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p>
        </w:tc>
        <w:tc>
          <w:tcPr>
            <w:tcW w:w="380"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380"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828"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380"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center"/>
              <w:rPr>
                <w:rFonts w:hint="eastAsia" w:ascii="仿宋_GB2312" w:hAnsi="仿宋_GB2312" w:eastAsia="仿宋_GB2312" w:cs="仿宋_GB2312"/>
                <w:color w:val="000000"/>
                <w:szCs w:val="21"/>
              </w:rPr>
            </w:pPr>
          </w:p>
        </w:tc>
        <w:tc>
          <w:tcPr>
            <w:tcW w:w="380"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一般</w:t>
            </w:r>
          </w:p>
        </w:tc>
        <w:tc>
          <w:tcPr>
            <w:tcW w:w="942" w:type="pct"/>
            <w:tcBorders>
              <w:top w:val="single" w:color="000000" w:sz="4" w:space="0"/>
              <w:left w:val="single" w:color="000000" w:sz="4" w:space="0"/>
              <w:bottom w:val="single" w:color="000000" w:sz="4" w:space="0"/>
              <w:right w:val="single" w:color="000000" w:sz="4" w:space="0"/>
              <w:tl2br w:val="nil"/>
              <w:tr2bl w:val="nil"/>
            </w:tcBorders>
            <w:noWrap/>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造成一般危害后果的</w:t>
            </w:r>
          </w:p>
        </w:tc>
        <w:tc>
          <w:tcPr>
            <w:tcW w:w="1445" w:type="pc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pacing w:val="8"/>
                <w:kern w:val="0"/>
                <w:szCs w:val="21"/>
              </w:rPr>
              <w:t>责令改正，</w:t>
            </w:r>
            <w:r>
              <w:rPr>
                <w:rFonts w:hint="eastAsia" w:ascii="仿宋_GB2312" w:hAnsi="仿宋_GB2312" w:eastAsia="仿宋_GB2312" w:cs="仿宋_GB2312"/>
                <w:color w:val="000000"/>
                <w:kern w:val="0"/>
                <w:szCs w:val="21"/>
              </w:rPr>
              <w:t>对造价成果文件编制单位处十万元的罚款，对主要负责人和直接责任人处七千五百元罚款</w:t>
            </w:r>
          </w:p>
        </w:tc>
      </w:tr>
      <w:tr>
        <w:tblPrEx>
          <w:tblCellMar>
            <w:top w:w="0" w:type="dxa"/>
            <w:left w:w="108" w:type="dxa"/>
            <w:bottom w:w="0" w:type="dxa"/>
            <w:right w:w="108" w:type="dxa"/>
          </w:tblCellMar>
        </w:tblPrEx>
        <w:trPr>
          <w:trHeight w:val="2268" w:hRule="atLeast"/>
        </w:trPr>
        <w:tc>
          <w:tcPr>
            <w:tcW w:w="266" w:type="pct"/>
            <w:vMerge w:val="continue"/>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4"/>
              </w:rPr>
            </w:pPr>
          </w:p>
        </w:tc>
        <w:tc>
          <w:tcPr>
            <w:tcW w:w="380"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4"/>
              </w:rPr>
            </w:pPr>
          </w:p>
        </w:tc>
        <w:tc>
          <w:tcPr>
            <w:tcW w:w="380"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4"/>
              </w:rPr>
            </w:pPr>
          </w:p>
        </w:tc>
        <w:tc>
          <w:tcPr>
            <w:tcW w:w="828"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4"/>
              </w:rPr>
            </w:pPr>
          </w:p>
        </w:tc>
        <w:tc>
          <w:tcPr>
            <w:tcW w:w="380"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center"/>
              <w:rPr>
                <w:rFonts w:hint="eastAsia" w:ascii="仿宋_GB2312" w:hAnsi="仿宋_GB2312" w:eastAsia="仿宋_GB2312" w:cs="仿宋_GB2312"/>
                <w:color w:val="000000"/>
                <w:szCs w:val="24"/>
              </w:rPr>
            </w:pPr>
          </w:p>
        </w:tc>
        <w:tc>
          <w:tcPr>
            <w:tcW w:w="380"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4"/>
                <w:lang w:val="en"/>
              </w:rPr>
            </w:pPr>
            <w:r>
              <w:rPr>
                <w:rFonts w:hint="eastAsia" w:ascii="仿宋_GB2312" w:hAnsi="仿宋_GB2312" w:eastAsia="仿宋_GB2312" w:cs="仿宋_GB2312"/>
                <w:color w:val="000000"/>
                <w:kern w:val="0"/>
                <w:szCs w:val="24"/>
              </w:rPr>
              <w:t>从重</w:t>
            </w:r>
          </w:p>
        </w:tc>
        <w:tc>
          <w:tcPr>
            <w:tcW w:w="942" w:type="pct"/>
            <w:tcBorders>
              <w:top w:val="single" w:color="000000" w:sz="4" w:space="0"/>
              <w:left w:val="single" w:color="000000" w:sz="4" w:space="0"/>
              <w:bottom w:val="single" w:color="000000" w:sz="4" w:space="0"/>
              <w:right w:val="single" w:color="000000" w:sz="4" w:space="0"/>
              <w:tl2br w:val="nil"/>
              <w:tr2bl w:val="nil"/>
            </w:tcBorders>
            <w:noWrap/>
            <w:vAlign w:val="center"/>
          </w:tcPr>
          <w:p>
            <w:pPr>
              <w:rPr>
                <w:rFonts w:hint="eastAsia" w:ascii="仿宋_GB2312" w:hAnsi="仿宋_GB2312" w:eastAsia="仿宋_GB2312" w:cs="仿宋_GB2312"/>
                <w:color w:val="000000"/>
                <w:szCs w:val="24"/>
              </w:rPr>
            </w:pPr>
            <w:r>
              <w:rPr>
                <w:rFonts w:hint="eastAsia" w:ascii="仿宋_GB2312" w:hAnsi="仿宋_GB2312" w:eastAsia="仿宋_GB2312" w:cs="仿宋_GB2312"/>
                <w:color w:val="000000"/>
                <w:szCs w:val="21"/>
              </w:rPr>
              <w:t>造成严重危害后果或者造成安全事故的</w:t>
            </w:r>
          </w:p>
        </w:tc>
        <w:tc>
          <w:tcPr>
            <w:tcW w:w="1445" w:type="pc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4"/>
              </w:rPr>
            </w:pPr>
            <w:r>
              <w:rPr>
                <w:rFonts w:hint="eastAsia" w:ascii="仿宋_GB2312" w:hAnsi="仿宋_GB2312" w:eastAsia="仿宋_GB2312" w:cs="仿宋_GB2312"/>
                <w:color w:val="000000"/>
                <w:spacing w:val="8"/>
                <w:kern w:val="0"/>
                <w:szCs w:val="21"/>
              </w:rPr>
              <w:t>责令改正，</w:t>
            </w:r>
            <w:r>
              <w:rPr>
                <w:rFonts w:hint="eastAsia" w:ascii="仿宋_GB2312" w:hAnsi="仿宋_GB2312" w:eastAsia="仿宋_GB2312" w:cs="仿宋_GB2312"/>
                <w:color w:val="000000"/>
                <w:kern w:val="0"/>
                <w:szCs w:val="24"/>
              </w:rPr>
              <w:t>对造价成果文件编制单位处十万元的罚款，对主要负责人和直接责任人处超过七千五百元、一万元以下罚款</w:t>
            </w:r>
          </w:p>
        </w:tc>
      </w:tr>
    </w:tbl>
    <w:p>
      <w:pPr>
        <w:widowControl/>
        <w:jc w:val="left"/>
        <w:rPr>
          <w:rFonts w:hint="eastAsia" w:ascii="宋体" w:hAnsi="宋体" w:eastAsia="宋体" w:cs="宋体"/>
          <w:bCs/>
          <w:color w:val="000000"/>
          <w:kern w:val="44"/>
          <w:sz w:val="32"/>
          <w:szCs w:val="24"/>
        </w:rPr>
      </w:pPr>
      <w:r>
        <w:rPr>
          <w:rFonts w:ascii="宋体" w:hAnsi="宋体" w:eastAsia="宋体" w:cs="宋体"/>
          <w:bCs/>
          <w:color w:val="000000"/>
          <w:kern w:val="44"/>
          <w:sz w:val="32"/>
          <w:szCs w:val="24"/>
        </w:rPr>
        <w:t>《深圳市预拌混凝土和预拌砂浆管理规定》</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5"/>
        <w:gridCol w:w="1159"/>
        <w:gridCol w:w="3025"/>
        <w:gridCol w:w="1925"/>
        <w:gridCol w:w="1340"/>
        <w:gridCol w:w="1299"/>
        <w:gridCol w:w="1950"/>
        <w:gridCol w:w="26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91"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1"/>
              </w:rPr>
            </w:pPr>
            <w:r>
              <w:rPr>
                <w:rFonts w:hint="eastAsia" w:ascii="仿宋_GB2312" w:hAnsi="仿宋_GB2312" w:eastAsia="仿宋_GB2312" w:cs="仿宋_GB2312"/>
                <w:b/>
                <w:color w:val="000000"/>
                <w:kern w:val="0"/>
                <w:szCs w:val="21"/>
              </w:rPr>
              <w:t>序号</w:t>
            </w:r>
          </w:p>
        </w:tc>
        <w:tc>
          <w:tcPr>
            <w:tcW w:w="409"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1"/>
              </w:rPr>
            </w:pPr>
            <w:r>
              <w:rPr>
                <w:rFonts w:hint="eastAsia" w:ascii="仿宋_GB2312" w:hAnsi="仿宋_GB2312" w:eastAsia="仿宋_GB2312" w:cs="仿宋_GB2312"/>
                <w:b/>
                <w:color w:val="000000"/>
                <w:kern w:val="0"/>
                <w:szCs w:val="21"/>
              </w:rPr>
              <w:t>违法行为</w:t>
            </w:r>
          </w:p>
        </w:tc>
        <w:tc>
          <w:tcPr>
            <w:tcW w:w="1067"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1"/>
                <w:lang w:val="en"/>
              </w:rPr>
            </w:pPr>
            <w:r>
              <w:rPr>
                <w:rFonts w:hint="eastAsia" w:ascii="仿宋_GB2312" w:hAnsi="仿宋_GB2312" w:eastAsia="仿宋_GB2312" w:cs="仿宋_GB2312"/>
                <w:b/>
                <w:color w:val="000000"/>
                <w:kern w:val="0"/>
                <w:szCs w:val="21"/>
                <w:lang w:val="en"/>
              </w:rPr>
              <w:t>违反条款</w:t>
            </w:r>
          </w:p>
        </w:tc>
        <w:tc>
          <w:tcPr>
            <w:tcW w:w="679"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1"/>
              </w:rPr>
            </w:pPr>
            <w:r>
              <w:rPr>
                <w:rFonts w:hint="eastAsia" w:ascii="仿宋_GB2312" w:hAnsi="仿宋_GB2312" w:eastAsia="仿宋_GB2312" w:cs="仿宋_GB2312"/>
                <w:b/>
                <w:color w:val="000000"/>
                <w:kern w:val="0"/>
                <w:szCs w:val="21"/>
              </w:rPr>
              <w:t>处罚依据</w:t>
            </w:r>
          </w:p>
        </w:tc>
        <w:tc>
          <w:tcPr>
            <w:tcW w:w="473"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1"/>
              </w:rPr>
            </w:pPr>
            <w:r>
              <w:rPr>
                <w:rFonts w:hint="eastAsia" w:ascii="仿宋_GB2312" w:hAnsi="仿宋_GB2312" w:eastAsia="仿宋_GB2312" w:cs="仿宋_GB2312"/>
                <w:b/>
                <w:color w:val="000000"/>
                <w:kern w:val="0"/>
                <w:szCs w:val="21"/>
              </w:rPr>
              <w:t>处罚种类</w:t>
            </w:r>
          </w:p>
        </w:tc>
        <w:tc>
          <w:tcPr>
            <w:tcW w:w="458"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1"/>
              </w:rPr>
            </w:pPr>
            <w:r>
              <w:rPr>
                <w:rFonts w:hint="eastAsia" w:ascii="仿宋_GB2312" w:hAnsi="仿宋_GB2312" w:eastAsia="仿宋_GB2312" w:cs="仿宋_GB2312"/>
                <w:b/>
                <w:color w:val="000000"/>
                <w:kern w:val="0"/>
                <w:szCs w:val="21"/>
              </w:rPr>
              <w:t>裁量阶次</w:t>
            </w:r>
          </w:p>
        </w:tc>
        <w:tc>
          <w:tcPr>
            <w:tcW w:w="688"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1"/>
              </w:rPr>
            </w:pPr>
            <w:r>
              <w:rPr>
                <w:rFonts w:hint="eastAsia" w:ascii="仿宋_GB2312" w:hAnsi="仿宋_GB2312" w:eastAsia="仿宋_GB2312" w:cs="仿宋_GB2312"/>
                <w:b/>
                <w:color w:val="000000"/>
                <w:kern w:val="0"/>
                <w:szCs w:val="21"/>
              </w:rPr>
              <w:t>适用条件</w:t>
            </w:r>
          </w:p>
        </w:tc>
        <w:tc>
          <w:tcPr>
            <w:tcW w:w="935"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1"/>
              </w:rPr>
            </w:pPr>
            <w:r>
              <w:rPr>
                <w:rFonts w:hint="eastAsia" w:ascii="仿宋_GB2312" w:hAnsi="仿宋_GB2312" w:eastAsia="仿宋_GB2312" w:cs="仿宋_GB2312"/>
                <w:b/>
                <w:color w:val="000000"/>
                <w:kern w:val="0"/>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29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lang w:val="en"/>
              </w:rPr>
            </w:pPr>
            <w:r>
              <w:rPr>
                <w:rFonts w:ascii="仿宋_GB2312" w:hAnsi="仿宋_GB2312" w:eastAsia="仿宋_GB2312" w:cs="仿宋_GB2312"/>
                <w:color w:val="000000"/>
                <w:szCs w:val="21"/>
              </w:rPr>
              <w:t>117.</w:t>
            </w:r>
            <w:r>
              <w:rPr>
                <w:rFonts w:hint="eastAsia" w:ascii="仿宋_GB2312" w:hAnsi="仿宋_GB2312" w:eastAsia="仿宋_GB2312" w:cs="仿宋_GB2312"/>
                <w:color w:val="000000"/>
                <w:szCs w:val="21"/>
                <w:lang w:val="en"/>
              </w:rPr>
              <w:t>1</w:t>
            </w:r>
          </w:p>
        </w:tc>
        <w:tc>
          <w:tcPr>
            <w:tcW w:w="409"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szCs w:val="21"/>
              </w:rPr>
              <w:t>交通、水务、城市轨道等建设工程项目配建的专业站点对外销售或者向其他项目供应预拌混凝土或者预拌砂浆</w:t>
            </w:r>
          </w:p>
        </w:tc>
        <w:tc>
          <w:tcPr>
            <w:tcW w:w="1067"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widowControl/>
              <w:jc w:val="left"/>
              <w:rPr>
                <w:rFonts w:hint="eastAsia" w:ascii="仿宋_GB2312" w:hAnsi="仿宋_GB2312" w:eastAsia="仿宋_GB2312" w:cs="仿宋_GB2312"/>
                <w:color w:val="000000"/>
                <w:spacing w:val="8"/>
                <w:kern w:val="0"/>
                <w:szCs w:val="21"/>
              </w:rPr>
            </w:pPr>
            <w:r>
              <w:rPr>
                <w:rFonts w:hint="eastAsia" w:ascii="仿宋_GB2312" w:hAnsi="仿宋_GB2312" w:eastAsia="仿宋_GB2312" w:cs="仿宋_GB2312"/>
                <w:color w:val="000000"/>
                <w:kern w:val="0"/>
                <w:szCs w:val="21"/>
              </w:rPr>
              <w:t>第十二条第二款：“专业站点无需向区主管部门申请办理竣工验收备案和预拌混凝土专业承包资质证书。专业站点的日常质量和安全生产纳入项目质量和安全监督管理，不适用本规定第三章关于销售和运输等规定。专业站点生产的预拌混凝土和预拌砂浆仅供该项目使用，不得对外销售或者向其他项目供应。专业站点在项目办理联合验收前应当由相关配建主体自行拆除。”</w:t>
            </w:r>
          </w:p>
        </w:tc>
        <w:tc>
          <w:tcPr>
            <w:tcW w:w="679"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第三十六条：“违反本规定第十二条第二款规定，交通、水务、城市轨道等建设工程项目配建的专业站点对外销售或者向其他项目供应预拌混凝土或者预拌砂浆的，由区主管部门责令改正，并处十万元以上二十万元以下罚款。”</w:t>
            </w:r>
          </w:p>
        </w:tc>
        <w:tc>
          <w:tcPr>
            <w:tcW w:w="473"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罚款</w:t>
            </w:r>
          </w:p>
        </w:tc>
        <w:tc>
          <w:tcPr>
            <w:tcW w:w="45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从轻</w:t>
            </w:r>
          </w:p>
        </w:tc>
        <w:tc>
          <w:tcPr>
            <w:tcW w:w="68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未造成危害后果或造成轻微危害后果的</w:t>
            </w:r>
          </w:p>
        </w:tc>
        <w:tc>
          <w:tcPr>
            <w:tcW w:w="93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spacing w:val="8"/>
                <w:kern w:val="0"/>
                <w:szCs w:val="21"/>
              </w:rPr>
              <w:t>责令改正，并处十万元以上、低于十五万元罚款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29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color w:val="000000"/>
                <w:kern w:val="0"/>
                <w:szCs w:val="21"/>
              </w:rPr>
            </w:pPr>
          </w:p>
        </w:tc>
        <w:tc>
          <w:tcPr>
            <w:tcW w:w="40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color w:val="000000"/>
                <w:spacing w:val="8"/>
                <w:kern w:val="0"/>
                <w:szCs w:val="21"/>
              </w:rPr>
            </w:pPr>
          </w:p>
        </w:tc>
        <w:tc>
          <w:tcPr>
            <w:tcW w:w="106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spacing w:line="270" w:lineRule="atLeast"/>
              <w:rPr>
                <w:rFonts w:hint="eastAsia" w:ascii="仿宋_GB2312" w:hAnsi="仿宋_GB2312" w:eastAsia="仿宋_GB2312" w:cs="仿宋_GB2312"/>
                <w:color w:val="000000"/>
                <w:kern w:val="0"/>
                <w:szCs w:val="21"/>
              </w:rPr>
            </w:pPr>
          </w:p>
        </w:tc>
        <w:tc>
          <w:tcPr>
            <w:tcW w:w="67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spacing w:line="270" w:lineRule="atLeast"/>
              <w:rPr>
                <w:rFonts w:hint="eastAsia" w:ascii="仿宋_GB2312" w:hAnsi="仿宋_GB2312" w:eastAsia="仿宋_GB2312" w:cs="仿宋_GB2312"/>
                <w:color w:val="000000"/>
                <w:kern w:val="0"/>
                <w:szCs w:val="21"/>
              </w:rPr>
            </w:pPr>
          </w:p>
        </w:tc>
        <w:tc>
          <w:tcPr>
            <w:tcW w:w="47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p>
        </w:tc>
        <w:tc>
          <w:tcPr>
            <w:tcW w:w="45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一般</w:t>
            </w:r>
          </w:p>
        </w:tc>
        <w:tc>
          <w:tcPr>
            <w:tcW w:w="68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造成一般危害后果的</w:t>
            </w:r>
          </w:p>
        </w:tc>
        <w:tc>
          <w:tcPr>
            <w:tcW w:w="93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spacing w:val="8"/>
                <w:kern w:val="0"/>
                <w:szCs w:val="21"/>
              </w:rPr>
              <w:t>责令改正，并处十五万元罚款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29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jc w:val="left"/>
              <w:rPr>
                <w:rFonts w:hint="eastAsia" w:ascii="仿宋_GB2312" w:hAnsi="仿宋_GB2312" w:eastAsia="仿宋_GB2312" w:cs="仿宋_GB2312"/>
                <w:color w:val="000000"/>
                <w:kern w:val="0"/>
                <w:szCs w:val="21"/>
              </w:rPr>
            </w:pPr>
          </w:p>
        </w:tc>
        <w:tc>
          <w:tcPr>
            <w:tcW w:w="40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color w:val="000000"/>
                <w:kern w:val="0"/>
                <w:szCs w:val="21"/>
              </w:rPr>
            </w:pPr>
          </w:p>
        </w:tc>
        <w:tc>
          <w:tcPr>
            <w:tcW w:w="106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color w:val="000000"/>
                <w:spacing w:val="10"/>
                <w:szCs w:val="21"/>
              </w:rPr>
            </w:pPr>
          </w:p>
        </w:tc>
        <w:tc>
          <w:tcPr>
            <w:tcW w:w="67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p>
        </w:tc>
        <w:tc>
          <w:tcPr>
            <w:tcW w:w="47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p>
        </w:tc>
        <w:tc>
          <w:tcPr>
            <w:tcW w:w="45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从重</w:t>
            </w:r>
          </w:p>
        </w:tc>
        <w:tc>
          <w:tcPr>
            <w:tcW w:w="68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szCs w:val="21"/>
              </w:rPr>
              <w:t>造成严重危害后果或者造成安全事故的</w:t>
            </w:r>
          </w:p>
        </w:tc>
        <w:tc>
          <w:tcPr>
            <w:tcW w:w="935" w:type="pct"/>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spacing w:val="8"/>
                <w:kern w:val="0"/>
                <w:szCs w:val="21"/>
              </w:rPr>
              <w:t>责令改正，并处超过十五万元、二十万元以下罚款</w:t>
            </w:r>
          </w:p>
        </w:tc>
      </w:tr>
    </w:tbl>
    <w:p>
      <w:pPr>
        <w:keepNext/>
        <w:keepLines/>
        <w:snapToGrid w:val="0"/>
        <w:outlineLvl w:val="0"/>
        <w:rPr>
          <w:rFonts w:hint="eastAsia" w:ascii="宋体" w:hAnsi="宋体" w:eastAsia="宋体" w:cs="Times New Roman"/>
          <w:b/>
          <w:color w:val="000000"/>
          <w:kern w:val="44"/>
          <w:sz w:val="32"/>
          <w:szCs w:val="24"/>
        </w:rPr>
      </w:pPr>
      <w:r>
        <w:rPr>
          <w:rFonts w:eastAsia="宋体" w:cs="Times New Roman"/>
          <w:szCs w:val="24"/>
        </w:rPr>
        <w:br w:type="page"/>
      </w:r>
      <w:r>
        <w:rPr>
          <w:rFonts w:ascii="宋体" w:hAnsi="宋体" w:eastAsia="宋体" w:cs="宋体"/>
          <w:bCs/>
          <w:color w:val="000000"/>
          <w:kern w:val="44"/>
          <w:sz w:val="32"/>
          <w:szCs w:val="24"/>
        </w:rPr>
        <w:t>《深圳市预拌混凝土和预拌砂浆管理规定》</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4"/>
        <w:gridCol w:w="1219"/>
        <w:gridCol w:w="3056"/>
        <w:gridCol w:w="2007"/>
        <w:gridCol w:w="1139"/>
        <w:gridCol w:w="1299"/>
        <w:gridCol w:w="1950"/>
        <w:gridCol w:w="26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01"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序号</w:t>
            </w:r>
          </w:p>
        </w:tc>
        <w:tc>
          <w:tcPr>
            <w:tcW w:w="430"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违法行为</w:t>
            </w:r>
          </w:p>
        </w:tc>
        <w:tc>
          <w:tcPr>
            <w:tcW w:w="1078"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lang w:val="en"/>
              </w:rPr>
            </w:pPr>
            <w:r>
              <w:rPr>
                <w:rFonts w:hint="eastAsia" w:ascii="仿宋_GB2312" w:hAnsi="仿宋_GB2312" w:eastAsia="仿宋_GB2312" w:cs="仿宋_GB2312"/>
                <w:b/>
                <w:color w:val="000000"/>
                <w:kern w:val="0"/>
                <w:szCs w:val="24"/>
                <w:lang w:val="en"/>
              </w:rPr>
              <w:t>违反条款</w:t>
            </w:r>
          </w:p>
        </w:tc>
        <w:tc>
          <w:tcPr>
            <w:tcW w:w="708"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处罚依据</w:t>
            </w:r>
          </w:p>
        </w:tc>
        <w:tc>
          <w:tcPr>
            <w:tcW w:w="402"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处罚种类</w:t>
            </w:r>
          </w:p>
        </w:tc>
        <w:tc>
          <w:tcPr>
            <w:tcW w:w="458"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裁量阶次</w:t>
            </w:r>
          </w:p>
        </w:tc>
        <w:tc>
          <w:tcPr>
            <w:tcW w:w="688"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适用条件</w:t>
            </w:r>
          </w:p>
        </w:tc>
        <w:tc>
          <w:tcPr>
            <w:tcW w:w="935"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30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lang w:val="en"/>
              </w:rPr>
            </w:pPr>
            <w:r>
              <w:rPr>
                <w:rFonts w:ascii="仿宋_GB2312" w:hAnsi="仿宋_GB2312" w:eastAsia="仿宋_GB2312" w:cs="仿宋_GB2312"/>
                <w:color w:val="000000"/>
                <w:szCs w:val="21"/>
              </w:rPr>
              <w:t>117.</w:t>
            </w:r>
            <w:r>
              <w:rPr>
                <w:rFonts w:hint="eastAsia" w:ascii="仿宋_GB2312" w:hAnsi="仿宋_GB2312" w:eastAsia="仿宋_GB2312" w:cs="仿宋_GB2312"/>
                <w:color w:val="000000"/>
                <w:szCs w:val="21"/>
                <w:lang w:val="en"/>
              </w:rPr>
              <w:t>2</w:t>
            </w:r>
          </w:p>
        </w:tc>
        <w:tc>
          <w:tcPr>
            <w:tcW w:w="430"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spacing w:val="8"/>
                <w:kern w:val="0"/>
                <w:szCs w:val="21"/>
              </w:rPr>
              <w:t>预拌混凝土生产企业</w:t>
            </w:r>
            <w:r>
              <w:rPr>
                <w:rFonts w:hint="eastAsia" w:ascii="仿宋_GB2312" w:hAnsi="仿宋_GB2312" w:eastAsia="仿宋_GB2312" w:cs="仿宋_GB2312"/>
                <w:szCs w:val="21"/>
              </w:rPr>
              <w:t>未取得相应专业承包资质擅自生产预拌混凝土</w:t>
            </w:r>
          </w:p>
        </w:tc>
        <w:tc>
          <w:tcPr>
            <w:tcW w:w="107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left"/>
              <w:rPr>
                <w:rFonts w:hint="eastAsia" w:ascii="仿宋_GB2312" w:hAnsi="仿宋_GB2312" w:eastAsia="仿宋_GB2312" w:cs="仿宋_GB2312"/>
                <w:color w:val="000000"/>
                <w:spacing w:val="8"/>
                <w:kern w:val="0"/>
                <w:szCs w:val="21"/>
              </w:rPr>
            </w:pPr>
            <w:r>
              <w:rPr>
                <w:rFonts w:hint="eastAsia" w:ascii="仿宋_GB2312" w:hAnsi="仿宋_GB2312" w:eastAsia="仿宋_GB2312" w:cs="仿宋_GB2312"/>
                <w:color w:val="000000"/>
                <w:kern w:val="0"/>
                <w:szCs w:val="21"/>
              </w:rPr>
              <w:t>第十四条：“预拌混凝土生产站点通过竣工验收后，生产企业应当按照国家、广东省相关规定申请预拌混凝土专业承包资质，并在资质许可范围及资质证书注明的生产地点从事生产经营活动，不得转让、出租、出借预拌混凝土专业承包资质。预拌混凝土生产站点拆除或者搬迁后应当及时告知区主管部门，区主管部门应当注销其相应的预拌混凝土专业承包资质。”</w:t>
            </w:r>
          </w:p>
        </w:tc>
        <w:tc>
          <w:tcPr>
            <w:tcW w:w="70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left"/>
              <w:rPr>
                <w:rFonts w:hint="eastAsia" w:ascii="仿宋_GB2312" w:hAnsi="仿宋_GB2312" w:eastAsia="仿宋_GB2312" w:cs="仿宋_GB2312"/>
                <w:szCs w:val="21"/>
              </w:rPr>
            </w:pPr>
            <w:r>
              <w:rPr>
                <w:rFonts w:hint="eastAsia" w:ascii="仿宋_GB2312" w:hAnsi="仿宋_GB2312" w:eastAsia="仿宋_GB2312" w:cs="仿宋_GB2312"/>
                <w:szCs w:val="21"/>
              </w:rPr>
              <w:t>第三十七条</w:t>
            </w:r>
            <w:r>
              <w:rPr>
                <w:rFonts w:ascii="仿宋_GB2312" w:hAnsi="仿宋_GB2312" w:eastAsia="仿宋_GB2312" w:cs="仿宋_GB2312"/>
                <w:szCs w:val="21"/>
                <w:lang w:val="en"/>
              </w:rPr>
              <w:t>第二项</w:t>
            </w:r>
            <w:r>
              <w:rPr>
                <w:rFonts w:hint="eastAsia" w:ascii="仿宋_GB2312" w:hAnsi="仿宋_GB2312" w:eastAsia="仿宋_GB2312" w:cs="仿宋_GB2312"/>
                <w:szCs w:val="21"/>
              </w:rPr>
              <w:t>：“违反本规定第十四条规定，未取得相应专业承包资质擅自生产预拌混凝土或者将资质证书转让、出租、出借他人使用的，由区主管部门没收违法所得，并处一万元以上三万元以下罚款。”</w:t>
            </w:r>
          </w:p>
          <w:p>
            <w:pPr>
              <w:jc w:val="left"/>
              <w:rPr>
                <w:rFonts w:hint="eastAsia" w:ascii="仿宋_GB2312" w:hAnsi="仿宋_GB2312" w:eastAsia="仿宋_GB2312" w:cs="仿宋_GB2312"/>
                <w:color w:val="000000"/>
                <w:kern w:val="0"/>
                <w:szCs w:val="21"/>
              </w:rPr>
            </w:pPr>
          </w:p>
        </w:tc>
        <w:tc>
          <w:tcPr>
            <w:tcW w:w="402"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left"/>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罚款；</w:t>
            </w:r>
            <w:r>
              <w:rPr>
                <w:rFonts w:hint="eastAsia" w:ascii="仿宋_GB2312" w:hAnsi="仿宋_GB2312" w:eastAsia="仿宋_GB2312" w:cs="仿宋_GB2312"/>
                <w:szCs w:val="21"/>
              </w:rPr>
              <w:t>没收违法所得</w:t>
            </w:r>
          </w:p>
        </w:tc>
        <w:tc>
          <w:tcPr>
            <w:tcW w:w="45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从轻</w:t>
            </w:r>
          </w:p>
        </w:tc>
        <w:tc>
          <w:tcPr>
            <w:tcW w:w="68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未造成危害后果或造成轻微危害后果的</w:t>
            </w:r>
          </w:p>
        </w:tc>
        <w:tc>
          <w:tcPr>
            <w:tcW w:w="93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szCs w:val="21"/>
              </w:rPr>
              <w:t>没收违法所得，并</w:t>
            </w:r>
            <w:r>
              <w:rPr>
                <w:rFonts w:hint="eastAsia" w:ascii="仿宋_GB2312" w:hAnsi="仿宋_GB2312" w:eastAsia="仿宋_GB2312" w:cs="仿宋_GB2312"/>
                <w:color w:val="000000"/>
                <w:spacing w:val="8"/>
                <w:kern w:val="0"/>
                <w:szCs w:val="21"/>
              </w:rPr>
              <w:t>处一万元以上、低于二万元罚款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30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color w:val="000000"/>
                <w:kern w:val="0"/>
                <w:szCs w:val="21"/>
              </w:rPr>
            </w:pPr>
          </w:p>
        </w:tc>
        <w:tc>
          <w:tcPr>
            <w:tcW w:w="43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color w:val="000000"/>
                <w:spacing w:val="8"/>
                <w:kern w:val="0"/>
                <w:szCs w:val="21"/>
              </w:rPr>
            </w:pPr>
          </w:p>
        </w:tc>
        <w:tc>
          <w:tcPr>
            <w:tcW w:w="107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spacing w:line="270" w:lineRule="atLeast"/>
              <w:rPr>
                <w:rFonts w:hint="eastAsia" w:ascii="仿宋_GB2312" w:hAnsi="仿宋_GB2312" w:eastAsia="仿宋_GB2312" w:cs="仿宋_GB2312"/>
                <w:color w:val="000000"/>
                <w:kern w:val="0"/>
                <w:szCs w:val="21"/>
              </w:rPr>
            </w:pPr>
          </w:p>
        </w:tc>
        <w:tc>
          <w:tcPr>
            <w:tcW w:w="70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spacing w:line="270" w:lineRule="atLeast"/>
              <w:rPr>
                <w:rFonts w:hint="eastAsia" w:ascii="仿宋_GB2312" w:hAnsi="仿宋_GB2312" w:eastAsia="仿宋_GB2312" w:cs="仿宋_GB2312"/>
                <w:color w:val="000000"/>
                <w:kern w:val="0"/>
                <w:szCs w:val="21"/>
              </w:rPr>
            </w:pPr>
          </w:p>
        </w:tc>
        <w:tc>
          <w:tcPr>
            <w:tcW w:w="40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p>
        </w:tc>
        <w:tc>
          <w:tcPr>
            <w:tcW w:w="45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一般</w:t>
            </w:r>
          </w:p>
        </w:tc>
        <w:tc>
          <w:tcPr>
            <w:tcW w:w="68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造成一般危害后果的</w:t>
            </w:r>
          </w:p>
        </w:tc>
        <w:tc>
          <w:tcPr>
            <w:tcW w:w="93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szCs w:val="21"/>
              </w:rPr>
              <w:t>没收违法所得，并</w:t>
            </w:r>
            <w:r>
              <w:rPr>
                <w:rFonts w:hint="eastAsia" w:ascii="仿宋_GB2312" w:hAnsi="仿宋_GB2312" w:eastAsia="仿宋_GB2312" w:cs="仿宋_GB2312"/>
                <w:color w:val="000000"/>
                <w:spacing w:val="8"/>
                <w:kern w:val="0"/>
                <w:szCs w:val="21"/>
              </w:rPr>
              <w:t>处两万元罚款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30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jc w:val="left"/>
              <w:rPr>
                <w:rFonts w:hint="eastAsia" w:ascii="仿宋_GB2312" w:hAnsi="仿宋_GB2312" w:eastAsia="仿宋_GB2312" w:cs="仿宋_GB2312"/>
                <w:color w:val="000000"/>
                <w:kern w:val="0"/>
                <w:szCs w:val="21"/>
              </w:rPr>
            </w:pPr>
          </w:p>
        </w:tc>
        <w:tc>
          <w:tcPr>
            <w:tcW w:w="43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color w:val="000000"/>
                <w:kern w:val="0"/>
                <w:szCs w:val="21"/>
              </w:rPr>
            </w:pPr>
          </w:p>
        </w:tc>
        <w:tc>
          <w:tcPr>
            <w:tcW w:w="107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color w:val="000000"/>
                <w:spacing w:val="10"/>
                <w:szCs w:val="21"/>
              </w:rPr>
            </w:pPr>
          </w:p>
        </w:tc>
        <w:tc>
          <w:tcPr>
            <w:tcW w:w="70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p>
        </w:tc>
        <w:tc>
          <w:tcPr>
            <w:tcW w:w="40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p>
        </w:tc>
        <w:tc>
          <w:tcPr>
            <w:tcW w:w="45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从重</w:t>
            </w:r>
          </w:p>
        </w:tc>
        <w:tc>
          <w:tcPr>
            <w:tcW w:w="68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szCs w:val="21"/>
              </w:rPr>
              <w:t>造成严重危害后果或者造成安全事故的</w:t>
            </w:r>
          </w:p>
        </w:tc>
        <w:tc>
          <w:tcPr>
            <w:tcW w:w="93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szCs w:val="21"/>
              </w:rPr>
              <w:t>没收违法所得，并</w:t>
            </w:r>
            <w:r>
              <w:rPr>
                <w:rFonts w:hint="eastAsia" w:ascii="仿宋_GB2312" w:hAnsi="仿宋_GB2312" w:eastAsia="仿宋_GB2312" w:cs="仿宋_GB2312"/>
                <w:color w:val="000000"/>
                <w:spacing w:val="8"/>
                <w:kern w:val="0"/>
                <w:szCs w:val="21"/>
              </w:rPr>
              <w:t>处超过二万元、三万元以下罚款</w:t>
            </w:r>
          </w:p>
        </w:tc>
      </w:tr>
    </w:tbl>
    <w:p>
      <w:pPr>
        <w:keepNext/>
        <w:keepLines/>
        <w:snapToGrid w:val="0"/>
        <w:outlineLvl w:val="0"/>
        <w:rPr>
          <w:rFonts w:hint="eastAsia" w:ascii="宋体" w:hAnsi="宋体" w:eastAsia="宋体" w:cs="Times New Roman"/>
          <w:b/>
          <w:color w:val="000000"/>
          <w:kern w:val="44"/>
          <w:sz w:val="32"/>
          <w:szCs w:val="24"/>
        </w:rPr>
      </w:pPr>
      <w:r>
        <w:rPr>
          <w:rFonts w:eastAsia="宋体" w:cs="Times New Roman"/>
          <w:szCs w:val="24"/>
        </w:rPr>
        <w:br w:type="page"/>
      </w:r>
      <w:r>
        <w:rPr>
          <w:rFonts w:ascii="宋体" w:hAnsi="宋体" w:eastAsia="宋体" w:cs="宋体"/>
          <w:bCs/>
          <w:color w:val="000000"/>
          <w:kern w:val="44"/>
          <w:sz w:val="32"/>
          <w:szCs w:val="24"/>
        </w:rPr>
        <w:t>《深圳市预拌混凝土和预拌砂浆管理规定》</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5"/>
        <w:gridCol w:w="1267"/>
        <w:gridCol w:w="2929"/>
        <w:gridCol w:w="1893"/>
        <w:gridCol w:w="1340"/>
        <w:gridCol w:w="1299"/>
        <w:gridCol w:w="1950"/>
        <w:gridCol w:w="26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98"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序号</w:t>
            </w:r>
          </w:p>
        </w:tc>
        <w:tc>
          <w:tcPr>
            <w:tcW w:w="447"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违法行为</w:t>
            </w:r>
          </w:p>
        </w:tc>
        <w:tc>
          <w:tcPr>
            <w:tcW w:w="1033"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lang w:val="en"/>
              </w:rPr>
            </w:pPr>
            <w:r>
              <w:rPr>
                <w:rFonts w:hint="eastAsia" w:ascii="仿宋_GB2312" w:hAnsi="仿宋_GB2312" w:eastAsia="仿宋_GB2312" w:cs="仿宋_GB2312"/>
                <w:b/>
                <w:color w:val="000000"/>
                <w:kern w:val="0"/>
                <w:szCs w:val="24"/>
                <w:lang w:val="en"/>
              </w:rPr>
              <w:t>违反条款</w:t>
            </w:r>
          </w:p>
        </w:tc>
        <w:tc>
          <w:tcPr>
            <w:tcW w:w="668"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处罚依据</w:t>
            </w:r>
          </w:p>
        </w:tc>
        <w:tc>
          <w:tcPr>
            <w:tcW w:w="473"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处罚种类</w:t>
            </w:r>
          </w:p>
        </w:tc>
        <w:tc>
          <w:tcPr>
            <w:tcW w:w="458"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裁量阶次</w:t>
            </w:r>
          </w:p>
        </w:tc>
        <w:tc>
          <w:tcPr>
            <w:tcW w:w="688"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适用条件</w:t>
            </w:r>
          </w:p>
        </w:tc>
        <w:tc>
          <w:tcPr>
            <w:tcW w:w="935"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29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4"/>
                <w:lang w:val="en"/>
              </w:rPr>
            </w:pPr>
            <w:r>
              <w:rPr>
                <w:rFonts w:ascii="仿宋_GB2312" w:hAnsi="仿宋_GB2312" w:eastAsia="仿宋_GB2312" w:cs="仿宋_GB2312"/>
                <w:color w:val="000000"/>
                <w:szCs w:val="24"/>
              </w:rPr>
              <w:t>117.</w:t>
            </w:r>
            <w:r>
              <w:rPr>
                <w:rFonts w:hint="eastAsia" w:ascii="仿宋_GB2312" w:hAnsi="仿宋_GB2312" w:eastAsia="仿宋_GB2312" w:cs="仿宋_GB2312"/>
                <w:color w:val="000000"/>
                <w:szCs w:val="24"/>
                <w:lang w:val="en"/>
              </w:rPr>
              <w:t>3</w:t>
            </w:r>
          </w:p>
        </w:tc>
        <w:tc>
          <w:tcPr>
            <w:tcW w:w="447"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4"/>
                <w:lang w:val="en"/>
              </w:rPr>
            </w:pPr>
            <w:r>
              <w:rPr>
                <w:rFonts w:hint="eastAsia" w:ascii="仿宋_GB2312" w:hAnsi="仿宋_GB2312" w:eastAsia="仿宋_GB2312" w:cs="仿宋_GB2312"/>
                <w:color w:val="000000"/>
                <w:spacing w:val="8"/>
                <w:kern w:val="0"/>
                <w:szCs w:val="24"/>
              </w:rPr>
              <w:t>预拌混凝土生产企业转让、出租、出借预拌混凝土专业承包资质证书</w:t>
            </w:r>
          </w:p>
        </w:tc>
        <w:tc>
          <w:tcPr>
            <w:tcW w:w="1033"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spacing w:val="8"/>
                <w:kern w:val="0"/>
                <w:szCs w:val="24"/>
              </w:rPr>
            </w:pPr>
            <w:r>
              <w:rPr>
                <w:rFonts w:hint="eastAsia" w:ascii="仿宋_GB2312" w:hAnsi="仿宋_GB2312" w:eastAsia="仿宋_GB2312" w:cs="仿宋_GB2312"/>
                <w:color w:val="000000"/>
                <w:szCs w:val="21"/>
              </w:rPr>
              <w:t>第十四条：“预拌混凝土生产站点通过竣工验收后，生产企业应当按照国家、广东省相关规定申请预拌混凝土专业承包资质，并在资质许可范围及资质证书注明的生产地点从事生产经营活动，不得转让、出租、出借预拌混凝土专业承包资质。预拌混凝土生产站点拆除或者搬迁后应当及时告知区主管部门，区主管部门应当注销其相应的预拌混凝土专业承包资质。”</w:t>
            </w:r>
          </w:p>
        </w:tc>
        <w:tc>
          <w:tcPr>
            <w:tcW w:w="66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4"/>
              </w:rPr>
            </w:pPr>
            <w:r>
              <w:rPr>
                <w:rFonts w:hint="eastAsia" w:ascii="仿宋_GB2312" w:hAnsi="仿宋_GB2312" w:eastAsia="仿宋_GB2312" w:cs="仿宋_GB2312"/>
                <w:szCs w:val="24"/>
              </w:rPr>
              <w:t>第三十七条</w:t>
            </w:r>
            <w:r>
              <w:rPr>
                <w:rFonts w:ascii="仿宋_GB2312" w:hAnsi="仿宋_GB2312" w:eastAsia="仿宋_GB2312" w:cs="仿宋_GB2312"/>
                <w:szCs w:val="24"/>
                <w:lang w:val="en"/>
              </w:rPr>
              <w:t>第二项</w:t>
            </w:r>
            <w:r>
              <w:rPr>
                <w:rFonts w:hint="eastAsia" w:ascii="仿宋_GB2312" w:hAnsi="仿宋_GB2312" w:eastAsia="仿宋_GB2312" w:cs="仿宋_GB2312"/>
                <w:szCs w:val="24"/>
              </w:rPr>
              <w:t>：“违反本规定第十四条规定，未取得相应专业承包资质擅自生产预拌混凝土或者将资质证书转让、出租、出借他人使用的，由区主管部门没收违法所得，并处一万元以上三万元以下罚款。”</w:t>
            </w:r>
          </w:p>
          <w:p>
            <w:pPr>
              <w:rPr>
                <w:rFonts w:hint="eastAsia" w:ascii="仿宋_GB2312" w:hAnsi="仿宋_GB2312" w:eastAsia="仿宋_GB2312" w:cs="仿宋_GB2312"/>
                <w:color w:val="000000"/>
                <w:kern w:val="0"/>
                <w:szCs w:val="24"/>
              </w:rPr>
            </w:pPr>
          </w:p>
        </w:tc>
        <w:tc>
          <w:tcPr>
            <w:tcW w:w="473"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4"/>
              </w:rPr>
            </w:pPr>
            <w:r>
              <w:rPr>
                <w:rFonts w:hint="eastAsia" w:ascii="仿宋_GB2312" w:hAnsi="仿宋_GB2312" w:eastAsia="仿宋_GB2312" w:cs="仿宋_GB2312"/>
                <w:color w:val="000000"/>
                <w:kern w:val="0"/>
                <w:szCs w:val="24"/>
              </w:rPr>
              <w:t>罚款；</w:t>
            </w:r>
            <w:r>
              <w:rPr>
                <w:rFonts w:hint="eastAsia" w:ascii="仿宋_GB2312" w:hAnsi="仿宋_GB2312" w:eastAsia="仿宋_GB2312" w:cs="仿宋_GB2312"/>
                <w:szCs w:val="24"/>
              </w:rPr>
              <w:t>没收违法所得</w:t>
            </w:r>
          </w:p>
        </w:tc>
        <w:tc>
          <w:tcPr>
            <w:tcW w:w="45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4"/>
              </w:rPr>
            </w:pPr>
            <w:r>
              <w:rPr>
                <w:rFonts w:hint="eastAsia" w:ascii="仿宋_GB2312" w:hAnsi="仿宋_GB2312" w:eastAsia="仿宋_GB2312" w:cs="仿宋_GB2312"/>
                <w:color w:val="000000"/>
                <w:kern w:val="0"/>
                <w:szCs w:val="24"/>
              </w:rPr>
              <w:t>从轻</w:t>
            </w:r>
          </w:p>
        </w:tc>
        <w:tc>
          <w:tcPr>
            <w:tcW w:w="68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4"/>
              </w:rPr>
            </w:pPr>
            <w:r>
              <w:rPr>
                <w:rFonts w:hint="eastAsia" w:ascii="仿宋_GB2312" w:hAnsi="仿宋_GB2312" w:eastAsia="仿宋_GB2312" w:cs="仿宋_GB2312"/>
                <w:color w:val="000000"/>
                <w:kern w:val="0"/>
                <w:szCs w:val="24"/>
              </w:rPr>
              <w:t>未造成危害后果或造成轻微危害后果的</w:t>
            </w:r>
          </w:p>
        </w:tc>
        <w:tc>
          <w:tcPr>
            <w:tcW w:w="93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4"/>
              </w:rPr>
            </w:pPr>
            <w:r>
              <w:rPr>
                <w:rFonts w:hint="eastAsia" w:ascii="仿宋_GB2312" w:hAnsi="仿宋_GB2312" w:eastAsia="仿宋_GB2312" w:cs="仿宋_GB2312"/>
                <w:szCs w:val="24"/>
              </w:rPr>
              <w:t>没收违法所得，并</w:t>
            </w:r>
            <w:r>
              <w:rPr>
                <w:rFonts w:hint="eastAsia" w:ascii="仿宋_GB2312" w:hAnsi="仿宋_GB2312" w:eastAsia="仿宋_GB2312" w:cs="仿宋_GB2312"/>
                <w:color w:val="000000"/>
                <w:spacing w:val="8"/>
                <w:kern w:val="0"/>
                <w:szCs w:val="24"/>
              </w:rPr>
              <w:t>处一万元以上、低于二万元罚款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29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color w:val="000000"/>
                <w:kern w:val="0"/>
                <w:szCs w:val="24"/>
              </w:rPr>
            </w:pPr>
          </w:p>
        </w:tc>
        <w:tc>
          <w:tcPr>
            <w:tcW w:w="44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color w:val="000000"/>
                <w:spacing w:val="8"/>
                <w:kern w:val="0"/>
                <w:szCs w:val="24"/>
              </w:rPr>
            </w:pPr>
          </w:p>
        </w:tc>
        <w:tc>
          <w:tcPr>
            <w:tcW w:w="103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spacing w:line="270" w:lineRule="atLeast"/>
              <w:rPr>
                <w:rFonts w:hint="eastAsia" w:ascii="仿宋_GB2312" w:hAnsi="仿宋_GB2312" w:eastAsia="仿宋_GB2312" w:cs="仿宋_GB2312"/>
                <w:color w:val="000000"/>
                <w:kern w:val="0"/>
                <w:szCs w:val="24"/>
              </w:rPr>
            </w:pPr>
          </w:p>
        </w:tc>
        <w:tc>
          <w:tcPr>
            <w:tcW w:w="66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spacing w:line="270" w:lineRule="atLeast"/>
              <w:rPr>
                <w:rFonts w:hint="eastAsia" w:ascii="仿宋_GB2312" w:hAnsi="仿宋_GB2312" w:eastAsia="仿宋_GB2312" w:cs="仿宋_GB2312"/>
                <w:color w:val="000000"/>
                <w:kern w:val="0"/>
                <w:szCs w:val="24"/>
              </w:rPr>
            </w:pPr>
          </w:p>
        </w:tc>
        <w:tc>
          <w:tcPr>
            <w:tcW w:w="47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4"/>
              </w:rPr>
            </w:pPr>
          </w:p>
        </w:tc>
        <w:tc>
          <w:tcPr>
            <w:tcW w:w="45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4"/>
              </w:rPr>
            </w:pPr>
            <w:r>
              <w:rPr>
                <w:rFonts w:hint="eastAsia" w:ascii="仿宋_GB2312" w:hAnsi="仿宋_GB2312" w:eastAsia="仿宋_GB2312" w:cs="仿宋_GB2312"/>
                <w:color w:val="000000"/>
                <w:kern w:val="0"/>
                <w:szCs w:val="24"/>
              </w:rPr>
              <w:t>一般</w:t>
            </w:r>
          </w:p>
        </w:tc>
        <w:tc>
          <w:tcPr>
            <w:tcW w:w="68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4"/>
              </w:rPr>
            </w:pPr>
            <w:r>
              <w:rPr>
                <w:rFonts w:hint="eastAsia" w:ascii="仿宋_GB2312" w:hAnsi="仿宋_GB2312" w:eastAsia="仿宋_GB2312" w:cs="仿宋_GB2312"/>
                <w:color w:val="000000"/>
                <w:kern w:val="0"/>
                <w:szCs w:val="24"/>
              </w:rPr>
              <w:t>造成一般危害后果的</w:t>
            </w:r>
          </w:p>
        </w:tc>
        <w:tc>
          <w:tcPr>
            <w:tcW w:w="93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4"/>
              </w:rPr>
            </w:pPr>
            <w:r>
              <w:rPr>
                <w:rFonts w:hint="eastAsia" w:ascii="仿宋_GB2312" w:hAnsi="仿宋_GB2312" w:eastAsia="仿宋_GB2312" w:cs="仿宋_GB2312"/>
                <w:szCs w:val="24"/>
              </w:rPr>
              <w:t>没收违法所得，并</w:t>
            </w:r>
            <w:r>
              <w:rPr>
                <w:rFonts w:hint="eastAsia" w:ascii="仿宋_GB2312" w:hAnsi="仿宋_GB2312" w:eastAsia="仿宋_GB2312" w:cs="仿宋_GB2312"/>
                <w:color w:val="000000"/>
                <w:spacing w:val="8"/>
                <w:kern w:val="0"/>
                <w:szCs w:val="24"/>
              </w:rPr>
              <w:t>处两万元罚款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29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color w:val="000000"/>
                <w:kern w:val="0"/>
                <w:szCs w:val="24"/>
              </w:rPr>
            </w:pPr>
          </w:p>
        </w:tc>
        <w:tc>
          <w:tcPr>
            <w:tcW w:w="44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color w:val="000000"/>
                <w:kern w:val="0"/>
                <w:szCs w:val="24"/>
              </w:rPr>
            </w:pPr>
          </w:p>
        </w:tc>
        <w:tc>
          <w:tcPr>
            <w:tcW w:w="103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color w:val="000000"/>
                <w:spacing w:val="10"/>
                <w:szCs w:val="24"/>
              </w:rPr>
            </w:pPr>
          </w:p>
        </w:tc>
        <w:tc>
          <w:tcPr>
            <w:tcW w:w="66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4"/>
              </w:rPr>
            </w:pPr>
          </w:p>
        </w:tc>
        <w:tc>
          <w:tcPr>
            <w:tcW w:w="47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4"/>
              </w:rPr>
            </w:pPr>
          </w:p>
        </w:tc>
        <w:tc>
          <w:tcPr>
            <w:tcW w:w="45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4"/>
              </w:rPr>
            </w:pPr>
            <w:r>
              <w:rPr>
                <w:rFonts w:hint="eastAsia" w:ascii="仿宋_GB2312" w:hAnsi="仿宋_GB2312" w:eastAsia="仿宋_GB2312" w:cs="仿宋_GB2312"/>
                <w:color w:val="000000"/>
                <w:kern w:val="0"/>
                <w:szCs w:val="24"/>
              </w:rPr>
              <w:t>从重</w:t>
            </w:r>
          </w:p>
        </w:tc>
        <w:tc>
          <w:tcPr>
            <w:tcW w:w="68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4"/>
              </w:rPr>
            </w:pPr>
            <w:r>
              <w:rPr>
                <w:rFonts w:hint="eastAsia" w:ascii="仿宋_GB2312" w:hAnsi="仿宋_GB2312" w:eastAsia="仿宋_GB2312" w:cs="仿宋_GB2312"/>
                <w:color w:val="000000"/>
                <w:szCs w:val="21"/>
              </w:rPr>
              <w:t>造成严重危害后果或者造成安全事故的</w:t>
            </w:r>
          </w:p>
        </w:tc>
        <w:tc>
          <w:tcPr>
            <w:tcW w:w="93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4"/>
              </w:rPr>
            </w:pPr>
            <w:r>
              <w:rPr>
                <w:rFonts w:hint="eastAsia" w:ascii="仿宋_GB2312" w:hAnsi="仿宋_GB2312" w:eastAsia="仿宋_GB2312" w:cs="仿宋_GB2312"/>
                <w:szCs w:val="24"/>
              </w:rPr>
              <w:t>没收违法所得，并</w:t>
            </w:r>
            <w:r>
              <w:rPr>
                <w:rFonts w:hint="eastAsia" w:ascii="仿宋_GB2312" w:hAnsi="仿宋_GB2312" w:eastAsia="仿宋_GB2312" w:cs="仿宋_GB2312"/>
                <w:color w:val="000000"/>
                <w:spacing w:val="8"/>
                <w:kern w:val="0"/>
                <w:szCs w:val="24"/>
              </w:rPr>
              <w:t>处超过二万元、三万元以下罚款</w:t>
            </w:r>
          </w:p>
        </w:tc>
      </w:tr>
    </w:tbl>
    <w:p>
      <w:pPr>
        <w:keepNext/>
        <w:keepLines/>
        <w:snapToGrid w:val="0"/>
        <w:outlineLvl w:val="0"/>
        <w:rPr>
          <w:rFonts w:hint="eastAsia" w:ascii="宋体" w:hAnsi="宋体" w:eastAsia="宋体" w:cs="Times New Roman"/>
          <w:b/>
          <w:color w:val="000000"/>
          <w:kern w:val="44"/>
          <w:sz w:val="32"/>
          <w:szCs w:val="24"/>
        </w:rPr>
      </w:pPr>
      <w:r>
        <w:rPr>
          <w:rFonts w:eastAsia="宋体" w:cs="Times New Roman"/>
          <w:szCs w:val="24"/>
        </w:rPr>
        <w:br w:type="page"/>
      </w:r>
      <w:r>
        <w:rPr>
          <w:rFonts w:ascii="宋体" w:hAnsi="宋体" w:eastAsia="宋体" w:cs="宋体"/>
          <w:bCs/>
          <w:color w:val="000000"/>
          <w:kern w:val="44"/>
          <w:sz w:val="32"/>
          <w:szCs w:val="24"/>
        </w:rPr>
        <w:t>《深圳市预拌混凝土和预拌砂浆管理规定》</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5"/>
        <w:gridCol w:w="1220"/>
        <w:gridCol w:w="3227"/>
        <w:gridCol w:w="1961"/>
        <w:gridCol w:w="1139"/>
        <w:gridCol w:w="1171"/>
        <w:gridCol w:w="1950"/>
        <w:gridCol w:w="26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01"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序号</w:t>
            </w:r>
          </w:p>
        </w:tc>
        <w:tc>
          <w:tcPr>
            <w:tcW w:w="430"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违法行为</w:t>
            </w:r>
          </w:p>
        </w:tc>
        <w:tc>
          <w:tcPr>
            <w:tcW w:w="1138"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lang w:val="en"/>
              </w:rPr>
            </w:pPr>
            <w:r>
              <w:rPr>
                <w:rFonts w:hint="eastAsia" w:ascii="仿宋_GB2312" w:hAnsi="仿宋_GB2312" w:eastAsia="仿宋_GB2312" w:cs="仿宋_GB2312"/>
                <w:b/>
                <w:color w:val="000000"/>
                <w:kern w:val="0"/>
                <w:szCs w:val="24"/>
                <w:lang w:val="en"/>
              </w:rPr>
              <w:t>违反条款</w:t>
            </w:r>
          </w:p>
        </w:tc>
        <w:tc>
          <w:tcPr>
            <w:tcW w:w="692"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处罚依据</w:t>
            </w:r>
          </w:p>
        </w:tc>
        <w:tc>
          <w:tcPr>
            <w:tcW w:w="402"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处罚种类</w:t>
            </w:r>
          </w:p>
        </w:tc>
        <w:tc>
          <w:tcPr>
            <w:tcW w:w="413"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裁量阶次</w:t>
            </w:r>
          </w:p>
        </w:tc>
        <w:tc>
          <w:tcPr>
            <w:tcW w:w="688"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适用条件</w:t>
            </w:r>
          </w:p>
        </w:tc>
        <w:tc>
          <w:tcPr>
            <w:tcW w:w="935"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30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lang w:val="en"/>
              </w:rPr>
            </w:pPr>
            <w:r>
              <w:rPr>
                <w:rFonts w:ascii="仿宋_GB2312" w:hAnsi="仿宋_GB2312" w:eastAsia="仿宋_GB2312" w:cs="仿宋_GB2312"/>
                <w:color w:val="000000"/>
                <w:szCs w:val="21"/>
              </w:rPr>
              <w:t>117.</w:t>
            </w:r>
            <w:r>
              <w:rPr>
                <w:rFonts w:hint="eastAsia" w:ascii="仿宋_GB2312" w:hAnsi="仿宋_GB2312" w:eastAsia="仿宋_GB2312" w:cs="仿宋_GB2312"/>
                <w:color w:val="000000"/>
                <w:szCs w:val="21"/>
                <w:lang w:val="en"/>
              </w:rPr>
              <w:t>4</w:t>
            </w:r>
          </w:p>
        </w:tc>
        <w:tc>
          <w:tcPr>
            <w:tcW w:w="430"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spacing w:val="8"/>
                <w:kern w:val="0"/>
                <w:szCs w:val="21"/>
              </w:rPr>
              <w:t>预拌混凝土生产企业使用未经检验或者经检验不合格的原材料生产预拌混凝土</w:t>
            </w:r>
          </w:p>
        </w:tc>
        <w:tc>
          <w:tcPr>
            <w:tcW w:w="113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spacing w:val="8"/>
                <w:kern w:val="0"/>
                <w:szCs w:val="21"/>
              </w:rPr>
            </w:pPr>
            <w:r>
              <w:rPr>
                <w:rFonts w:hint="eastAsia" w:ascii="仿宋_GB2312" w:hAnsi="仿宋_GB2312" w:eastAsia="仿宋_GB2312" w:cs="仿宋_GB2312"/>
                <w:color w:val="000000"/>
                <w:kern w:val="0"/>
                <w:szCs w:val="21"/>
              </w:rPr>
              <w:t>第十七条：“预拌混凝土和预拌砂浆生产企业应当按照有关技术标准规范的要求对原材料进行取样、检验，并按照规定留存样品、对检验资料存档。预拌混凝土和预拌砂浆生产企业不得使用未经检验或者经检验不合格的原材料，不得使用袋装水泥。鼓励在符合产品质量标准的前提下在预拌混凝土和预拌砂浆生产中科学合理应用绿色再生骨料。”</w:t>
            </w:r>
          </w:p>
        </w:tc>
        <w:tc>
          <w:tcPr>
            <w:tcW w:w="692"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第三十七条</w:t>
            </w:r>
            <w:r>
              <w:rPr>
                <w:rFonts w:ascii="仿宋_GB2312" w:hAnsi="仿宋_GB2312" w:eastAsia="仿宋_GB2312" w:cs="仿宋_GB2312"/>
                <w:szCs w:val="21"/>
                <w:lang w:val="en"/>
              </w:rPr>
              <w:t>第三项</w:t>
            </w:r>
            <w:r>
              <w:rPr>
                <w:rFonts w:hint="eastAsia" w:ascii="仿宋_GB2312" w:hAnsi="仿宋_GB2312" w:eastAsia="仿宋_GB2312" w:cs="仿宋_GB2312"/>
                <w:szCs w:val="21"/>
              </w:rPr>
              <w:t>：“违反本规定第十七条规定，使用未经检验或者经检验不合格的原材料生产预拌混凝土的，由区主管部门处十万元以上二十万元以下罚款。”</w:t>
            </w:r>
          </w:p>
          <w:p>
            <w:pPr>
              <w:rPr>
                <w:rFonts w:hint="eastAsia" w:ascii="仿宋_GB2312" w:hAnsi="仿宋_GB2312" w:eastAsia="仿宋_GB2312" w:cs="仿宋_GB2312"/>
                <w:color w:val="000000"/>
                <w:kern w:val="0"/>
                <w:szCs w:val="21"/>
              </w:rPr>
            </w:pPr>
          </w:p>
        </w:tc>
        <w:tc>
          <w:tcPr>
            <w:tcW w:w="402"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罚款</w:t>
            </w:r>
          </w:p>
        </w:tc>
        <w:tc>
          <w:tcPr>
            <w:tcW w:w="41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从轻</w:t>
            </w:r>
          </w:p>
        </w:tc>
        <w:tc>
          <w:tcPr>
            <w:tcW w:w="68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未造成危害后果或造成轻微危害后果的</w:t>
            </w:r>
          </w:p>
        </w:tc>
        <w:tc>
          <w:tcPr>
            <w:tcW w:w="93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spacing w:val="8"/>
                <w:kern w:val="0"/>
                <w:szCs w:val="21"/>
              </w:rPr>
              <w:t>处十万元以上、低于十五万元罚款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30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color w:val="000000"/>
                <w:kern w:val="0"/>
                <w:szCs w:val="21"/>
              </w:rPr>
            </w:pPr>
          </w:p>
        </w:tc>
        <w:tc>
          <w:tcPr>
            <w:tcW w:w="43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color w:val="000000"/>
                <w:spacing w:val="8"/>
                <w:kern w:val="0"/>
                <w:szCs w:val="21"/>
              </w:rPr>
            </w:pPr>
          </w:p>
        </w:tc>
        <w:tc>
          <w:tcPr>
            <w:tcW w:w="113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spacing w:line="270" w:lineRule="atLeast"/>
              <w:rPr>
                <w:rFonts w:hint="eastAsia" w:ascii="仿宋_GB2312" w:hAnsi="仿宋_GB2312" w:eastAsia="仿宋_GB2312" w:cs="仿宋_GB2312"/>
                <w:color w:val="000000"/>
                <w:kern w:val="0"/>
                <w:szCs w:val="21"/>
              </w:rPr>
            </w:pPr>
          </w:p>
        </w:tc>
        <w:tc>
          <w:tcPr>
            <w:tcW w:w="69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spacing w:line="270" w:lineRule="atLeast"/>
              <w:rPr>
                <w:rFonts w:hint="eastAsia" w:ascii="仿宋_GB2312" w:hAnsi="仿宋_GB2312" w:eastAsia="仿宋_GB2312" w:cs="仿宋_GB2312"/>
                <w:color w:val="000000"/>
                <w:kern w:val="0"/>
                <w:szCs w:val="21"/>
              </w:rPr>
            </w:pPr>
          </w:p>
        </w:tc>
        <w:tc>
          <w:tcPr>
            <w:tcW w:w="40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p>
        </w:tc>
        <w:tc>
          <w:tcPr>
            <w:tcW w:w="41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一般</w:t>
            </w:r>
          </w:p>
        </w:tc>
        <w:tc>
          <w:tcPr>
            <w:tcW w:w="68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造成一般危害后果的</w:t>
            </w:r>
          </w:p>
        </w:tc>
        <w:tc>
          <w:tcPr>
            <w:tcW w:w="93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spacing w:val="8"/>
                <w:kern w:val="0"/>
                <w:szCs w:val="21"/>
              </w:rPr>
              <w:t>处十五万元罚款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30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jc w:val="left"/>
              <w:rPr>
                <w:rFonts w:hint="eastAsia" w:ascii="仿宋_GB2312" w:hAnsi="仿宋_GB2312" w:eastAsia="仿宋_GB2312" w:cs="仿宋_GB2312"/>
                <w:color w:val="000000"/>
                <w:kern w:val="0"/>
                <w:szCs w:val="21"/>
              </w:rPr>
            </w:pPr>
          </w:p>
        </w:tc>
        <w:tc>
          <w:tcPr>
            <w:tcW w:w="43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color w:val="000000"/>
                <w:kern w:val="0"/>
                <w:szCs w:val="21"/>
              </w:rPr>
            </w:pPr>
          </w:p>
        </w:tc>
        <w:tc>
          <w:tcPr>
            <w:tcW w:w="113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color w:val="000000"/>
                <w:spacing w:val="10"/>
                <w:szCs w:val="21"/>
              </w:rPr>
            </w:pPr>
          </w:p>
        </w:tc>
        <w:tc>
          <w:tcPr>
            <w:tcW w:w="69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p>
        </w:tc>
        <w:tc>
          <w:tcPr>
            <w:tcW w:w="40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p>
        </w:tc>
        <w:tc>
          <w:tcPr>
            <w:tcW w:w="41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从重</w:t>
            </w:r>
          </w:p>
        </w:tc>
        <w:tc>
          <w:tcPr>
            <w:tcW w:w="68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szCs w:val="21"/>
              </w:rPr>
              <w:t>造成严重危害后果或者造成安全事故的</w:t>
            </w:r>
          </w:p>
        </w:tc>
        <w:tc>
          <w:tcPr>
            <w:tcW w:w="935" w:type="pct"/>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spacing w:val="8"/>
                <w:kern w:val="0"/>
                <w:szCs w:val="21"/>
              </w:rPr>
              <w:t>处超过十五万元、二十万元以下罚款</w:t>
            </w:r>
          </w:p>
        </w:tc>
      </w:tr>
    </w:tbl>
    <w:p>
      <w:pPr>
        <w:keepNext/>
        <w:keepLines/>
        <w:snapToGrid w:val="0"/>
        <w:outlineLvl w:val="0"/>
        <w:rPr>
          <w:rFonts w:hint="eastAsia" w:ascii="宋体" w:hAnsi="宋体" w:eastAsia="宋体" w:cs="Times New Roman"/>
          <w:b/>
          <w:color w:val="000000"/>
          <w:kern w:val="44"/>
          <w:sz w:val="32"/>
          <w:szCs w:val="24"/>
        </w:rPr>
      </w:pPr>
      <w:r>
        <w:rPr>
          <w:rFonts w:eastAsia="宋体" w:cs="Times New Roman"/>
          <w:szCs w:val="24"/>
        </w:rPr>
        <w:br w:type="page"/>
      </w:r>
      <w:r>
        <w:rPr>
          <w:rFonts w:ascii="宋体" w:hAnsi="宋体" w:eastAsia="宋体" w:cs="宋体"/>
          <w:bCs/>
          <w:color w:val="000000"/>
          <w:kern w:val="44"/>
          <w:sz w:val="32"/>
          <w:szCs w:val="24"/>
        </w:rPr>
        <w:t>《深圳市预拌混凝土和预拌砂浆管理规定》</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5"/>
        <w:gridCol w:w="1153"/>
        <w:gridCol w:w="2891"/>
        <w:gridCol w:w="2075"/>
        <w:gridCol w:w="1340"/>
        <w:gridCol w:w="1299"/>
        <w:gridCol w:w="1950"/>
        <w:gridCol w:w="26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87"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序号</w:t>
            </w:r>
          </w:p>
        </w:tc>
        <w:tc>
          <w:tcPr>
            <w:tcW w:w="407"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违法行为</w:t>
            </w:r>
          </w:p>
        </w:tc>
        <w:tc>
          <w:tcPr>
            <w:tcW w:w="1020"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lang w:val="en"/>
              </w:rPr>
            </w:pPr>
            <w:r>
              <w:rPr>
                <w:rFonts w:hint="eastAsia" w:ascii="仿宋_GB2312" w:hAnsi="仿宋_GB2312" w:eastAsia="仿宋_GB2312" w:cs="仿宋_GB2312"/>
                <w:b/>
                <w:color w:val="000000"/>
                <w:kern w:val="0"/>
                <w:szCs w:val="24"/>
                <w:lang w:val="en"/>
              </w:rPr>
              <w:t>违反条款</w:t>
            </w:r>
          </w:p>
        </w:tc>
        <w:tc>
          <w:tcPr>
            <w:tcW w:w="732"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处罚依据</w:t>
            </w:r>
          </w:p>
        </w:tc>
        <w:tc>
          <w:tcPr>
            <w:tcW w:w="473"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处罚种类</w:t>
            </w:r>
          </w:p>
        </w:tc>
        <w:tc>
          <w:tcPr>
            <w:tcW w:w="458"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裁量阶次</w:t>
            </w:r>
          </w:p>
        </w:tc>
        <w:tc>
          <w:tcPr>
            <w:tcW w:w="688"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适用条件</w:t>
            </w:r>
          </w:p>
        </w:tc>
        <w:tc>
          <w:tcPr>
            <w:tcW w:w="935"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287"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lang w:val="en"/>
              </w:rPr>
            </w:pPr>
            <w:r>
              <w:rPr>
                <w:rFonts w:ascii="仿宋_GB2312" w:hAnsi="仿宋_GB2312" w:eastAsia="仿宋_GB2312" w:cs="仿宋_GB2312"/>
                <w:color w:val="000000"/>
                <w:szCs w:val="21"/>
              </w:rPr>
              <w:t>117.</w:t>
            </w:r>
            <w:r>
              <w:rPr>
                <w:rFonts w:hint="eastAsia" w:ascii="仿宋_GB2312" w:hAnsi="仿宋_GB2312" w:eastAsia="仿宋_GB2312" w:cs="仿宋_GB2312"/>
                <w:color w:val="000000"/>
                <w:szCs w:val="21"/>
                <w:lang w:val="en"/>
              </w:rPr>
              <w:t>5</w:t>
            </w:r>
          </w:p>
        </w:tc>
        <w:tc>
          <w:tcPr>
            <w:tcW w:w="407"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szCs w:val="21"/>
              </w:rPr>
              <w:t>预拌混凝土和预拌砂浆</w:t>
            </w:r>
            <w:r>
              <w:rPr>
                <w:rFonts w:hint="eastAsia" w:ascii="仿宋_GB2312" w:hAnsi="仿宋_GB2312" w:eastAsia="仿宋_GB2312" w:cs="仿宋_GB2312"/>
                <w:color w:val="000000"/>
                <w:spacing w:val="8"/>
                <w:kern w:val="0"/>
                <w:szCs w:val="21"/>
              </w:rPr>
              <w:t>生产企业出厂销售性能不符合要求的预拌混凝土和预拌砂浆</w:t>
            </w:r>
          </w:p>
        </w:tc>
        <w:tc>
          <w:tcPr>
            <w:tcW w:w="1020"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spacing w:val="8"/>
                <w:kern w:val="0"/>
                <w:szCs w:val="21"/>
              </w:rPr>
            </w:pPr>
            <w:r>
              <w:rPr>
                <w:rFonts w:hint="eastAsia" w:ascii="仿宋_GB2312" w:hAnsi="仿宋_GB2312" w:eastAsia="仿宋_GB2312" w:cs="仿宋_GB2312"/>
                <w:color w:val="000000"/>
                <w:kern w:val="0"/>
                <w:szCs w:val="21"/>
              </w:rPr>
              <w:t>第十九条：“预拌混凝土和预拌砂浆生产企业应当按照有关技术标准规范、合同约定对预拌混凝土和预拌砂浆进行出厂检验，记录检验结果，并且存档备查。经检验，所生产的预拌混凝土和预拌砂浆性能不符合要求的，按照有关技术标准规范进行处理，不得出厂销售。”</w:t>
            </w:r>
          </w:p>
        </w:tc>
        <w:tc>
          <w:tcPr>
            <w:tcW w:w="732"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第三十七条</w:t>
            </w:r>
            <w:r>
              <w:rPr>
                <w:rFonts w:ascii="仿宋_GB2312" w:hAnsi="仿宋_GB2312" w:eastAsia="仿宋_GB2312" w:cs="仿宋_GB2312"/>
                <w:szCs w:val="21"/>
                <w:lang w:val="en"/>
              </w:rPr>
              <w:t>第四项</w:t>
            </w:r>
            <w:r>
              <w:rPr>
                <w:rFonts w:hint="eastAsia" w:ascii="仿宋_GB2312" w:hAnsi="仿宋_GB2312" w:eastAsia="仿宋_GB2312" w:cs="仿宋_GB2312"/>
                <w:szCs w:val="21"/>
              </w:rPr>
              <w:t>：“违反本规定第十九条规定，生产的预拌混凝土和预拌砂浆性能不符合要求并出厂销售的，由区主管部门处十万元以上二十万元以下罚款。”</w:t>
            </w:r>
          </w:p>
          <w:p>
            <w:pPr>
              <w:rPr>
                <w:rFonts w:hint="eastAsia" w:ascii="仿宋_GB2312" w:hAnsi="仿宋_GB2312" w:eastAsia="仿宋_GB2312" w:cs="仿宋_GB2312"/>
                <w:color w:val="000000"/>
                <w:kern w:val="0"/>
                <w:szCs w:val="21"/>
              </w:rPr>
            </w:pPr>
          </w:p>
        </w:tc>
        <w:tc>
          <w:tcPr>
            <w:tcW w:w="473"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罚款</w:t>
            </w:r>
          </w:p>
        </w:tc>
        <w:tc>
          <w:tcPr>
            <w:tcW w:w="45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从轻</w:t>
            </w:r>
          </w:p>
        </w:tc>
        <w:tc>
          <w:tcPr>
            <w:tcW w:w="68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未造成危害后果或造成轻微危害后果的</w:t>
            </w:r>
          </w:p>
        </w:tc>
        <w:tc>
          <w:tcPr>
            <w:tcW w:w="93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spacing w:val="8"/>
                <w:kern w:val="0"/>
                <w:szCs w:val="21"/>
              </w:rPr>
              <w:t>处十万元以上、低于十五万元罚款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28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color w:val="000000"/>
                <w:kern w:val="0"/>
                <w:szCs w:val="21"/>
              </w:rPr>
            </w:pPr>
          </w:p>
        </w:tc>
        <w:tc>
          <w:tcPr>
            <w:tcW w:w="40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color w:val="000000"/>
                <w:spacing w:val="8"/>
                <w:kern w:val="0"/>
                <w:szCs w:val="21"/>
              </w:rPr>
            </w:pPr>
          </w:p>
        </w:tc>
        <w:tc>
          <w:tcPr>
            <w:tcW w:w="102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spacing w:line="270" w:lineRule="atLeast"/>
              <w:rPr>
                <w:rFonts w:hint="eastAsia" w:ascii="仿宋_GB2312" w:hAnsi="仿宋_GB2312" w:eastAsia="仿宋_GB2312" w:cs="仿宋_GB2312"/>
                <w:color w:val="000000"/>
                <w:kern w:val="0"/>
                <w:szCs w:val="21"/>
              </w:rPr>
            </w:pPr>
          </w:p>
        </w:tc>
        <w:tc>
          <w:tcPr>
            <w:tcW w:w="73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spacing w:line="270" w:lineRule="atLeast"/>
              <w:rPr>
                <w:rFonts w:hint="eastAsia" w:ascii="仿宋_GB2312" w:hAnsi="仿宋_GB2312" w:eastAsia="仿宋_GB2312" w:cs="仿宋_GB2312"/>
                <w:color w:val="000000"/>
                <w:kern w:val="0"/>
                <w:szCs w:val="21"/>
              </w:rPr>
            </w:pPr>
          </w:p>
        </w:tc>
        <w:tc>
          <w:tcPr>
            <w:tcW w:w="47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p>
        </w:tc>
        <w:tc>
          <w:tcPr>
            <w:tcW w:w="45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一般</w:t>
            </w:r>
          </w:p>
        </w:tc>
        <w:tc>
          <w:tcPr>
            <w:tcW w:w="68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造成一般危害后果的</w:t>
            </w:r>
          </w:p>
        </w:tc>
        <w:tc>
          <w:tcPr>
            <w:tcW w:w="93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spacing w:val="8"/>
                <w:kern w:val="0"/>
                <w:szCs w:val="21"/>
              </w:rPr>
              <w:t>处十五万元罚款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28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jc w:val="left"/>
              <w:rPr>
                <w:rFonts w:hint="eastAsia" w:ascii="仿宋_GB2312" w:hAnsi="仿宋_GB2312" w:eastAsia="仿宋_GB2312" w:cs="仿宋_GB2312"/>
                <w:color w:val="000000"/>
                <w:kern w:val="0"/>
                <w:szCs w:val="21"/>
              </w:rPr>
            </w:pPr>
          </w:p>
        </w:tc>
        <w:tc>
          <w:tcPr>
            <w:tcW w:w="40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color w:val="000000"/>
                <w:kern w:val="0"/>
                <w:szCs w:val="21"/>
              </w:rPr>
            </w:pPr>
          </w:p>
        </w:tc>
        <w:tc>
          <w:tcPr>
            <w:tcW w:w="102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color w:val="000000"/>
                <w:spacing w:val="10"/>
                <w:szCs w:val="21"/>
              </w:rPr>
            </w:pPr>
          </w:p>
        </w:tc>
        <w:tc>
          <w:tcPr>
            <w:tcW w:w="73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p>
        </w:tc>
        <w:tc>
          <w:tcPr>
            <w:tcW w:w="47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p>
        </w:tc>
        <w:tc>
          <w:tcPr>
            <w:tcW w:w="45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从重</w:t>
            </w:r>
          </w:p>
        </w:tc>
        <w:tc>
          <w:tcPr>
            <w:tcW w:w="68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szCs w:val="21"/>
              </w:rPr>
              <w:t>造成严重危害后果或者造成安全事故的</w:t>
            </w:r>
          </w:p>
        </w:tc>
        <w:tc>
          <w:tcPr>
            <w:tcW w:w="935" w:type="pct"/>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spacing w:val="8"/>
                <w:kern w:val="0"/>
                <w:szCs w:val="21"/>
              </w:rPr>
              <w:t>处超过十五万元、二十万元以下罚款</w:t>
            </w:r>
          </w:p>
        </w:tc>
      </w:tr>
    </w:tbl>
    <w:p>
      <w:pPr>
        <w:keepNext/>
        <w:keepLines/>
        <w:snapToGrid w:val="0"/>
        <w:outlineLvl w:val="0"/>
        <w:rPr>
          <w:rFonts w:hint="eastAsia" w:ascii="宋体" w:hAnsi="宋体" w:eastAsia="宋体" w:cs="Times New Roman"/>
          <w:b/>
          <w:color w:val="000000"/>
          <w:kern w:val="44"/>
          <w:sz w:val="32"/>
          <w:szCs w:val="24"/>
        </w:rPr>
      </w:pPr>
      <w:r>
        <w:rPr>
          <w:rFonts w:eastAsia="宋体" w:cs="Times New Roman"/>
          <w:szCs w:val="24"/>
        </w:rPr>
        <w:br w:type="page"/>
      </w:r>
      <w:r>
        <w:rPr>
          <w:rFonts w:ascii="宋体" w:hAnsi="宋体" w:eastAsia="宋体" w:cs="宋体"/>
          <w:bCs/>
          <w:color w:val="000000"/>
          <w:kern w:val="44"/>
          <w:sz w:val="32"/>
          <w:szCs w:val="24"/>
        </w:rPr>
        <w:t>《深圳市预拌混凝土和预拌砂浆管理规定》</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7"/>
        <w:gridCol w:w="2227"/>
        <w:gridCol w:w="2716"/>
        <w:gridCol w:w="1346"/>
        <w:gridCol w:w="1148"/>
        <w:gridCol w:w="1299"/>
        <w:gridCol w:w="1950"/>
        <w:gridCol w:w="26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95"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1"/>
              </w:rPr>
            </w:pPr>
            <w:r>
              <w:rPr>
                <w:rFonts w:hint="eastAsia" w:ascii="仿宋_GB2312" w:hAnsi="仿宋_GB2312" w:eastAsia="仿宋_GB2312" w:cs="仿宋_GB2312"/>
                <w:b/>
                <w:color w:val="000000"/>
                <w:kern w:val="0"/>
                <w:szCs w:val="21"/>
              </w:rPr>
              <w:t>序号</w:t>
            </w:r>
          </w:p>
        </w:tc>
        <w:tc>
          <w:tcPr>
            <w:tcW w:w="785"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1"/>
              </w:rPr>
            </w:pPr>
            <w:r>
              <w:rPr>
                <w:rFonts w:hint="eastAsia" w:ascii="仿宋_GB2312" w:hAnsi="仿宋_GB2312" w:eastAsia="仿宋_GB2312" w:cs="仿宋_GB2312"/>
                <w:b/>
                <w:color w:val="000000"/>
                <w:kern w:val="0"/>
                <w:szCs w:val="21"/>
              </w:rPr>
              <w:t>违法行为</w:t>
            </w:r>
          </w:p>
        </w:tc>
        <w:tc>
          <w:tcPr>
            <w:tcW w:w="958"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1"/>
                <w:lang w:val="en"/>
              </w:rPr>
            </w:pPr>
            <w:r>
              <w:rPr>
                <w:rFonts w:hint="eastAsia" w:ascii="仿宋_GB2312" w:hAnsi="仿宋_GB2312" w:eastAsia="仿宋_GB2312" w:cs="仿宋_GB2312"/>
                <w:b/>
                <w:color w:val="000000"/>
                <w:kern w:val="0"/>
                <w:szCs w:val="21"/>
                <w:lang w:val="en"/>
              </w:rPr>
              <w:t>违反条款</w:t>
            </w:r>
          </w:p>
        </w:tc>
        <w:tc>
          <w:tcPr>
            <w:tcW w:w="475"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1"/>
              </w:rPr>
            </w:pPr>
            <w:r>
              <w:rPr>
                <w:rFonts w:hint="eastAsia" w:ascii="仿宋_GB2312" w:hAnsi="仿宋_GB2312" w:eastAsia="仿宋_GB2312" w:cs="仿宋_GB2312"/>
                <w:b/>
                <w:color w:val="000000"/>
                <w:kern w:val="0"/>
                <w:szCs w:val="21"/>
              </w:rPr>
              <w:t>处罚依据</w:t>
            </w:r>
          </w:p>
        </w:tc>
        <w:tc>
          <w:tcPr>
            <w:tcW w:w="405"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1"/>
              </w:rPr>
            </w:pPr>
            <w:r>
              <w:rPr>
                <w:rFonts w:hint="eastAsia" w:ascii="仿宋_GB2312" w:hAnsi="仿宋_GB2312" w:eastAsia="仿宋_GB2312" w:cs="仿宋_GB2312"/>
                <w:b/>
                <w:color w:val="000000"/>
                <w:kern w:val="0"/>
                <w:szCs w:val="21"/>
              </w:rPr>
              <w:t>处罚种类</w:t>
            </w:r>
          </w:p>
        </w:tc>
        <w:tc>
          <w:tcPr>
            <w:tcW w:w="458"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1"/>
              </w:rPr>
            </w:pPr>
            <w:r>
              <w:rPr>
                <w:rFonts w:hint="eastAsia" w:ascii="仿宋_GB2312" w:hAnsi="仿宋_GB2312" w:eastAsia="仿宋_GB2312" w:cs="仿宋_GB2312"/>
                <w:b/>
                <w:color w:val="000000"/>
                <w:kern w:val="0"/>
                <w:szCs w:val="21"/>
              </w:rPr>
              <w:t>裁量阶次</w:t>
            </w:r>
          </w:p>
        </w:tc>
        <w:tc>
          <w:tcPr>
            <w:tcW w:w="688"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1"/>
              </w:rPr>
            </w:pPr>
            <w:r>
              <w:rPr>
                <w:rFonts w:hint="eastAsia" w:ascii="仿宋_GB2312" w:hAnsi="仿宋_GB2312" w:eastAsia="仿宋_GB2312" w:cs="仿宋_GB2312"/>
                <w:b/>
                <w:color w:val="000000"/>
                <w:kern w:val="0"/>
                <w:szCs w:val="21"/>
              </w:rPr>
              <w:t>适用条件</w:t>
            </w:r>
          </w:p>
        </w:tc>
        <w:tc>
          <w:tcPr>
            <w:tcW w:w="935"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1"/>
              </w:rPr>
            </w:pPr>
            <w:r>
              <w:rPr>
                <w:rFonts w:hint="eastAsia" w:ascii="仿宋_GB2312" w:hAnsi="仿宋_GB2312" w:eastAsia="仿宋_GB2312" w:cs="仿宋_GB2312"/>
                <w:b/>
                <w:color w:val="000000"/>
                <w:kern w:val="0"/>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29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lang w:val="en"/>
              </w:rPr>
            </w:pPr>
            <w:r>
              <w:rPr>
                <w:rFonts w:ascii="仿宋_GB2312" w:hAnsi="仿宋_GB2312" w:eastAsia="仿宋_GB2312" w:cs="仿宋_GB2312"/>
                <w:color w:val="000000"/>
                <w:szCs w:val="21"/>
              </w:rPr>
              <w:t>117.</w:t>
            </w:r>
            <w:r>
              <w:rPr>
                <w:rFonts w:hint="eastAsia" w:ascii="仿宋_GB2312" w:hAnsi="仿宋_GB2312" w:eastAsia="仿宋_GB2312" w:cs="仿宋_GB2312"/>
                <w:color w:val="000000"/>
                <w:szCs w:val="21"/>
                <w:lang w:val="en"/>
              </w:rPr>
              <w:t>6</w:t>
            </w:r>
          </w:p>
        </w:tc>
        <w:tc>
          <w:tcPr>
            <w:tcW w:w="78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szCs w:val="21"/>
              </w:rPr>
              <w:t>预拌混凝土和预拌砂浆</w:t>
            </w:r>
            <w:r>
              <w:rPr>
                <w:rFonts w:hint="eastAsia" w:ascii="仿宋_GB2312" w:hAnsi="仿宋_GB2312" w:eastAsia="仿宋_GB2312" w:cs="仿宋_GB2312"/>
                <w:color w:val="000000"/>
                <w:spacing w:val="8"/>
                <w:kern w:val="0"/>
                <w:szCs w:val="21"/>
              </w:rPr>
              <w:t>生产企业以其他单位名义或者允许其他单位、个人以本单位名义承揽业务；</w:t>
            </w:r>
            <w:r>
              <w:rPr>
                <w:rFonts w:hint="eastAsia" w:ascii="仿宋_GB2312" w:hAnsi="仿宋_GB2312" w:eastAsia="仿宋_GB2312" w:cs="仿宋_GB2312"/>
                <w:color w:val="000000"/>
                <w:szCs w:val="21"/>
              </w:rPr>
              <w:t>将生产站点的场地租赁给其他单位、个人，或者租赁其他生产站点的场地用于生产预拌混凝土或者预拌砂浆</w:t>
            </w:r>
          </w:p>
        </w:tc>
        <w:tc>
          <w:tcPr>
            <w:tcW w:w="95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widowControl/>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第二十条：“预拌混凝土和预拌砂浆生产企业不得从事下列行为：</w:t>
            </w:r>
          </w:p>
          <w:p>
            <w:pPr>
              <w:widowControl/>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（一）以其他单位名义或者允许其他单位、个人以本单位名义承揽业务；</w:t>
            </w:r>
          </w:p>
          <w:p>
            <w:pPr>
              <w:widowControl/>
              <w:jc w:val="left"/>
              <w:rPr>
                <w:rFonts w:hint="eastAsia" w:ascii="仿宋_GB2312" w:hAnsi="仿宋_GB2312" w:eastAsia="仿宋_GB2312" w:cs="仿宋_GB2312"/>
                <w:color w:val="000000"/>
                <w:spacing w:val="8"/>
                <w:kern w:val="0"/>
                <w:szCs w:val="21"/>
              </w:rPr>
            </w:pPr>
            <w:r>
              <w:rPr>
                <w:rFonts w:hint="eastAsia" w:ascii="仿宋_GB2312" w:hAnsi="仿宋_GB2312" w:eastAsia="仿宋_GB2312" w:cs="仿宋_GB2312"/>
                <w:color w:val="000000"/>
                <w:szCs w:val="21"/>
              </w:rPr>
              <w:t>（二）将生产站点的场地租赁给其他单位、个人，或者租赁其他生产站点的场地用于生产预拌混凝土或者预拌砂浆。”</w:t>
            </w:r>
          </w:p>
        </w:tc>
        <w:tc>
          <w:tcPr>
            <w:tcW w:w="47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第三十七条</w:t>
            </w:r>
            <w:r>
              <w:rPr>
                <w:rFonts w:ascii="仿宋_GB2312" w:hAnsi="仿宋_GB2312" w:eastAsia="仿宋_GB2312" w:cs="仿宋_GB2312"/>
                <w:szCs w:val="21"/>
                <w:lang w:val="en"/>
              </w:rPr>
              <w:t>第五项</w:t>
            </w:r>
            <w:r>
              <w:rPr>
                <w:rFonts w:hint="eastAsia" w:ascii="仿宋_GB2312" w:hAnsi="仿宋_GB2312" w:eastAsia="仿宋_GB2312" w:cs="仿宋_GB2312"/>
                <w:szCs w:val="21"/>
              </w:rPr>
              <w:t>：“从事本规定第二十条第一项、第二项所列行为的，由区主管部门处一万元以上三万元以下罚款。”</w:t>
            </w:r>
          </w:p>
        </w:tc>
        <w:tc>
          <w:tcPr>
            <w:tcW w:w="40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罚款</w:t>
            </w:r>
          </w:p>
        </w:tc>
        <w:tc>
          <w:tcPr>
            <w:tcW w:w="45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从轻</w:t>
            </w:r>
          </w:p>
        </w:tc>
        <w:tc>
          <w:tcPr>
            <w:tcW w:w="68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未造成危害后果或造成轻微危害后果的</w:t>
            </w:r>
          </w:p>
        </w:tc>
        <w:tc>
          <w:tcPr>
            <w:tcW w:w="93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spacing w:val="8"/>
                <w:kern w:val="0"/>
                <w:szCs w:val="21"/>
              </w:rPr>
              <w:t>处一万元以上、低于两万元罚款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29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color w:val="000000"/>
                <w:kern w:val="0"/>
                <w:szCs w:val="21"/>
              </w:rPr>
            </w:pPr>
          </w:p>
        </w:tc>
        <w:tc>
          <w:tcPr>
            <w:tcW w:w="78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color w:val="000000"/>
                <w:spacing w:val="8"/>
                <w:kern w:val="0"/>
                <w:szCs w:val="21"/>
              </w:rPr>
            </w:pPr>
          </w:p>
        </w:tc>
        <w:tc>
          <w:tcPr>
            <w:tcW w:w="95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spacing w:line="270" w:lineRule="atLeast"/>
              <w:rPr>
                <w:rFonts w:hint="eastAsia" w:ascii="仿宋_GB2312" w:hAnsi="仿宋_GB2312" w:eastAsia="仿宋_GB2312" w:cs="仿宋_GB2312"/>
                <w:color w:val="000000"/>
                <w:kern w:val="0"/>
                <w:szCs w:val="21"/>
              </w:rPr>
            </w:pPr>
          </w:p>
        </w:tc>
        <w:tc>
          <w:tcPr>
            <w:tcW w:w="47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spacing w:line="270" w:lineRule="atLeast"/>
              <w:rPr>
                <w:rFonts w:hint="eastAsia" w:ascii="仿宋_GB2312" w:hAnsi="仿宋_GB2312" w:eastAsia="仿宋_GB2312" w:cs="仿宋_GB2312"/>
                <w:color w:val="000000"/>
                <w:kern w:val="0"/>
                <w:szCs w:val="21"/>
              </w:rPr>
            </w:pPr>
          </w:p>
        </w:tc>
        <w:tc>
          <w:tcPr>
            <w:tcW w:w="40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p>
        </w:tc>
        <w:tc>
          <w:tcPr>
            <w:tcW w:w="45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一般</w:t>
            </w:r>
          </w:p>
        </w:tc>
        <w:tc>
          <w:tcPr>
            <w:tcW w:w="68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造成一般危害后果的</w:t>
            </w:r>
          </w:p>
        </w:tc>
        <w:tc>
          <w:tcPr>
            <w:tcW w:w="93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spacing w:val="8"/>
                <w:kern w:val="0"/>
                <w:szCs w:val="21"/>
              </w:rPr>
              <w:t>处两万元罚款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29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jc w:val="left"/>
              <w:rPr>
                <w:rFonts w:hint="eastAsia" w:ascii="仿宋_GB2312" w:hAnsi="仿宋_GB2312" w:eastAsia="仿宋_GB2312" w:cs="仿宋_GB2312"/>
                <w:color w:val="000000"/>
                <w:kern w:val="0"/>
                <w:szCs w:val="21"/>
              </w:rPr>
            </w:pPr>
          </w:p>
        </w:tc>
        <w:tc>
          <w:tcPr>
            <w:tcW w:w="78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color w:val="000000"/>
                <w:kern w:val="0"/>
                <w:szCs w:val="21"/>
              </w:rPr>
            </w:pPr>
          </w:p>
        </w:tc>
        <w:tc>
          <w:tcPr>
            <w:tcW w:w="95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color w:val="000000"/>
                <w:spacing w:val="10"/>
                <w:szCs w:val="21"/>
              </w:rPr>
            </w:pPr>
          </w:p>
        </w:tc>
        <w:tc>
          <w:tcPr>
            <w:tcW w:w="47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p>
        </w:tc>
        <w:tc>
          <w:tcPr>
            <w:tcW w:w="40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p>
        </w:tc>
        <w:tc>
          <w:tcPr>
            <w:tcW w:w="45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从重</w:t>
            </w:r>
          </w:p>
        </w:tc>
        <w:tc>
          <w:tcPr>
            <w:tcW w:w="68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szCs w:val="21"/>
              </w:rPr>
              <w:t>造成严重危害后果或者造成安全事故的</w:t>
            </w:r>
          </w:p>
        </w:tc>
        <w:tc>
          <w:tcPr>
            <w:tcW w:w="935" w:type="pct"/>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spacing w:val="8"/>
                <w:kern w:val="0"/>
                <w:szCs w:val="21"/>
              </w:rPr>
              <w:t>处超过两万元、三万元以下罚款</w:t>
            </w:r>
          </w:p>
        </w:tc>
      </w:tr>
    </w:tbl>
    <w:p>
      <w:pPr>
        <w:keepNext/>
        <w:keepLines/>
        <w:snapToGrid w:val="0"/>
        <w:outlineLvl w:val="0"/>
        <w:rPr>
          <w:rFonts w:hint="eastAsia" w:ascii="宋体" w:hAnsi="宋体" w:eastAsia="宋体" w:cs="Times New Roman"/>
          <w:b/>
          <w:color w:val="000000"/>
          <w:kern w:val="44"/>
          <w:sz w:val="32"/>
          <w:szCs w:val="24"/>
        </w:rPr>
      </w:pPr>
      <w:r>
        <w:rPr>
          <w:rFonts w:eastAsia="宋体" w:cs="Times New Roman"/>
          <w:szCs w:val="24"/>
        </w:rPr>
        <w:br w:type="page"/>
      </w:r>
      <w:r>
        <w:rPr>
          <w:rFonts w:ascii="宋体" w:hAnsi="宋体" w:eastAsia="宋体" w:cs="宋体"/>
          <w:bCs/>
          <w:color w:val="000000"/>
          <w:kern w:val="44"/>
          <w:sz w:val="32"/>
          <w:szCs w:val="24"/>
        </w:rPr>
        <w:t>《深圳市预拌混凝土和预拌砂浆管理规定》</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7"/>
        <w:gridCol w:w="1250"/>
        <w:gridCol w:w="3070"/>
        <w:gridCol w:w="1777"/>
        <w:gridCol w:w="1340"/>
        <w:gridCol w:w="1299"/>
        <w:gridCol w:w="1950"/>
        <w:gridCol w:w="26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95"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序号</w:t>
            </w:r>
          </w:p>
        </w:tc>
        <w:tc>
          <w:tcPr>
            <w:tcW w:w="441"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违法行为</w:t>
            </w:r>
          </w:p>
        </w:tc>
        <w:tc>
          <w:tcPr>
            <w:tcW w:w="1083"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lang w:val="en"/>
              </w:rPr>
            </w:pPr>
            <w:r>
              <w:rPr>
                <w:rFonts w:hint="eastAsia" w:ascii="仿宋_GB2312" w:hAnsi="仿宋_GB2312" w:eastAsia="仿宋_GB2312" w:cs="仿宋_GB2312"/>
                <w:b/>
                <w:color w:val="000000"/>
                <w:kern w:val="0"/>
                <w:szCs w:val="24"/>
                <w:lang w:val="en"/>
              </w:rPr>
              <w:t>违反条款</w:t>
            </w:r>
          </w:p>
        </w:tc>
        <w:tc>
          <w:tcPr>
            <w:tcW w:w="627"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处罚依据</w:t>
            </w:r>
          </w:p>
        </w:tc>
        <w:tc>
          <w:tcPr>
            <w:tcW w:w="473"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处罚种类</w:t>
            </w:r>
          </w:p>
        </w:tc>
        <w:tc>
          <w:tcPr>
            <w:tcW w:w="458"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裁量阶次</w:t>
            </w:r>
          </w:p>
        </w:tc>
        <w:tc>
          <w:tcPr>
            <w:tcW w:w="688"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适用条件</w:t>
            </w:r>
          </w:p>
        </w:tc>
        <w:tc>
          <w:tcPr>
            <w:tcW w:w="935"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29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lang w:val="en"/>
              </w:rPr>
            </w:pPr>
            <w:r>
              <w:rPr>
                <w:rFonts w:ascii="仿宋_GB2312" w:hAnsi="仿宋_GB2312" w:eastAsia="仿宋_GB2312" w:cs="仿宋_GB2312"/>
                <w:color w:val="000000"/>
                <w:szCs w:val="21"/>
              </w:rPr>
              <w:t>117.</w:t>
            </w:r>
            <w:r>
              <w:rPr>
                <w:rFonts w:hint="eastAsia" w:ascii="仿宋_GB2312" w:hAnsi="仿宋_GB2312" w:eastAsia="仿宋_GB2312" w:cs="仿宋_GB2312"/>
                <w:color w:val="000000"/>
                <w:szCs w:val="21"/>
              </w:rPr>
              <w:t>7</w:t>
            </w:r>
          </w:p>
        </w:tc>
        <w:tc>
          <w:tcPr>
            <w:tcW w:w="44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szCs w:val="21"/>
              </w:rPr>
              <w:t>建设或施工单位在施工现场，未经批准使用袋装水泥，或者自行搅拌混凝土或者砂浆</w:t>
            </w:r>
          </w:p>
        </w:tc>
        <w:tc>
          <w:tcPr>
            <w:tcW w:w="1083"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color w:val="000000"/>
                <w:spacing w:val="8"/>
                <w:kern w:val="0"/>
                <w:szCs w:val="21"/>
              </w:rPr>
            </w:pPr>
            <w:r>
              <w:rPr>
                <w:rFonts w:hint="eastAsia" w:ascii="仿宋_GB2312" w:hAnsi="仿宋_GB2312" w:eastAsia="仿宋_GB2312" w:cs="仿宋_GB2312"/>
                <w:color w:val="000000"/>
                <w:szCs w:val="21"/>
              </w:rPr>
              <w:t>第</w:t>
            </w:r>
            <w:r>
              <w:rPr>
                <w:rFonts w:hint="eastAsia" w:ascii="仿宋_GB2312" w:hAnsi="仿宋_GB2312" w:eastAsia="仿宋_GB2312" w:cs="仿宋_GB2312"/>
                <w:szCs w:val="21"/>
              </w:rPr>
              <w:t>二十七条：“</w:t>
            </w:r>
            <w:r>
              <w:rPr>
                <w:rFonts w:hint="eastAsia" w:ascii="仿宋_GB2312" w:hAnsi="仿宋_GB2312" w:eastAsia="仿宋_GB2312" w:cs="仿宋_GB2312"/>
                <w:szCs w:val="21"/>
                <w:lang w:bidi="ar"/>
              </w:rPr>
              <w:t>全市新建、改建、扩建工程项目应当使用预拌混凝土和预拌砂浆。工程项目需要使用袋装水泥或者现场少量搅拌混凝土、砂浆的，应当符合《广东省建设工程项目使用袋装水泥和现场搅拌混凝土行政许可规定》并经相关部门批准。房屋、轨道等工程项目由市、区主管部门按照项目管理权限批准；交通、水务等工程项目由交通、水务主管部门按照项目管理权限批准。</w:t>
            </w:r>
            <w:r>
              <w:rPr>
                <w:rFonts w:hint="eastAsia" w:ascii="仿宋_GB2312" w:hAnsi="仿宋_GB2312" w:eastAsia="仿宋_GB2312" w:cs="仿宋_GB2312"/>
                <w:szCs w:val="21"/>
              </w:rPr>
              <w:t>”</w:t>
            </w:r>
          </w:p>
        </w:tc>
        <w:tc>
          <w:tcPr>
            <w:tcW w:w="627"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第三十九条</w:t>
            </w:r>
            <w:r>
              <w:rPr>
                <w:rFonts w:ascii="仿宋_GB2312" w:hAnsi="仿宋_GB2312" w:eastAsia="仿宋_GB2312" w:cs="仿宋_GB2312"/>
                <w:szCs w:val="21"/>
                <w:lang w:val="en"/>
              </w:rPr>
              <w:t>第一项</w:t>
            </w:r>
            <w:r>
              <w:rPr>
                <w:rFonts w:hint="eastAsia" w:ascii="仿宋_GB2312" w:hAnsi="仿宋_GB2312" w:eastAsia="仿宋_GB2312" w:cs="仿宋_GB2312"/>
                <w:szCs w:val="21"/>
              </w:rPr>
              <w:t>：“违反本规定第二十七条规定，在施工现场，未经批准使用袋装水泥，或者自行搅拌混凝土或者砂浆的，处三万元以下罚款。”</w:t>
            </w:r>
          </w:p>
          <w:p>
            <w:pPr>
              <w:rPr>
                <w:rFonts w:hint="eastAsia" w:ascii="仿宋_GB2312" w:hAnsi="仿宋_GB2312" w:eastAsia="仿宋_GB2312" w:cs="仿宋_GB2312"/>
                <w:color w:val="000000"/>
                <w:kern w:val="0"/>
                <w:szCs w:val="21"/>
              </w:rPr>
            </w:pPr>
          </w:p>
        </w:tc>
        <w:tc>
          <w:tcPr>
            <w:tcW w:w="473"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罚款</w:t>
            </w:r>
          </w:p>
        </w:tc>
        <w:tc>
          <w:tcPr>
            <w:tcW w:w="45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从轻</w:t>
            </w:r>
          </w:p>
        </w:tc>
        <w:tc>
          <w:tcPr>
            <w:tcW w:w="68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未造成危害后果或造成轻微危害后果的</w:t>
            </w:r>
          </w:p>
        </w:tc>
        <w:tc>
          <w:tcPr>
            <w:tcW w:w="93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spacing w:val="8"/>
                <w:kern w:val="0"/>
                <w:szCs w:val="21"/>
              </w:rPr>
              <w:t>处六千元罚款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29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color w:val="000000"/>
                <w:kern w:val="0"/>
                <w:szCs w:val="21"/>
              </w:rPr>
            </w:pPr>
          </w:p>
        </w:tc>
        <w:tc>
          <w:tcPr>
            <w:tcW w:w="44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color w:val="000000"/>
                <w:spacing w:val="8"/>
                <w:kern w:val="0"/>
                <w:szCs w:val="21"/>
              </w:rPr>
            </w:pPr>
          </w:p>
        </w:tc>
        <w:tc>
          <w:tcPr>
            <w:tcW w:w="108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spacing w:line="270" w:lineRule="atLeast"/>
              <w:rPr>
                <w:rFonts w:hint="eastAsia" w:ascii="仿宋_GB2312" w:hAnsi="仿宋_GB2312" w:eastAsia="仿宋_GB2312" w:cs="仿宋_GB2312"/>
                <w:color w:val="000000"/>
                <w:kern w:val="0"/>
                <w:szCs w:val="21"/>
              </w:rPr>
            </w:pPr>
          </w:p>
        </w:tc>
        <w:tc>
          <w:tcPr>
            <w:tcW w:w="62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spacing w:line="270" w:lineRule="atLeast"/>
              <w:rPr>
                <w:rFonts w:hint="eastAsia" w:ascii="仿宋_GB2312" w:hAnsi="仿宋_GB2312" w:eastAsia="仿宋_GB2312" w:cs="仿宋_GB2312"/>
                <w:color w:val="000000"/>
                <w:kern w:val="0"/>
                <w:szCs w:val="21"/>
              </w:rPr>
            </w:pPr>
          </w:p>
        </w:tc>
        <w:tc>
          <w:tcPr>
            <w:tcW w:w="47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p>
        </w:tc>
        <w:tc>
          <w:tcPr>
            <w:tcW w:w="45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一般</w:t>
            </w:r>
          </w:p>
        </w:tc>
        <w:tc>
          <w:tcPr>
            <w:tcW w:w="68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造成一般危害后果的</w:t>
            </w:r>
          </w:p>
        </w:tc>
        <w:tc>
          <w:tcPr>
            <w:tcW w:w="93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spacing w:val="8"/>
                <w:kern w:val="0"/>
                <w:szCs w:val="21"/>
              </w:rPr>
              <w:t>处一万五千元罚款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29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jc w:val="left"/>
              <w:rPr>
                <w:rFonts w:hint="eastAsia" w:ascii="仿宋_GB2312" w:hAnsi="仿宋_GB2312" w:eastAsia="仿宋_GB2312" w:cs="仿宋_GB2312"/>
                <w:color w:val="000000"/>
                <w:kern w:val="0"/>
                <w:szCs w:val="21"/>
              </w:rPr>
            </w:pPr>
          </w:p>
        </w:tc>
        <w:tc>
          <w:tcPr>
            <w:tcW w:w="44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color w:val="000000"/>
                <w:kern w:val="0"/>
                <w:szCs w:val="21"/>
              </w:rPr>
            </w:pPr>
          </w:p>
        </w:tc>
        <w:tc>
          <w:tcPr>
            <w:tcW w:w="108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color w:val="000000"/>
                <w:spacing w:val="10"/>
                <w:szCs w:val="21"/>
              </w:rPr>
            </w:pPr>
          </w:p>
        </w:tc>
        <w:tc>
          <w:tcPr>
            <w:tcW w:w="62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p>
        </w:tc>
        <w:tc>
          <w:tcPr>
            <w:tcW w:w="47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p>
        </w:tc>
        <w:tc>
          <w:tcPr>
            <w:tcW w:w="45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从重</w:t>
            </w:r>
          </w:p>
        </w:tc>
        <w:tc>
          <w:tcPr>
            <w:tcW w:w="68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szCs w:val="21"/>
              </w:rPr>
              <w:t>造成严重危害后果或者造成安全事故的</w:t>
            </w:r>
          </w:p>
        </w:tc>
        <w:tc>
          <w:tcPr>
            <w:tcW w:w="935" w:type="pct"/>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spacing w:val="8"/>
                <w:kern w:val="0"/>
                <w:szCs w:val="21"/>
              </w:rPr>
              <w:t>处超过一万五千元、三万元以下的罚款</w:t>
            </w:r>
          </w:p>
        </w:tc>
      </w:tr>
    </w:tbl>
    <w:p>
      <w:pPr>
        <w:keepNext/>
        <w:keepLines/>
        <w:snapToGrid w:val="0"/>
        <w:outlineLvl w:val="0"/>
        <w:rPr>
          <w:rFonts w:hint="eastAsia" w:ascii="宋体" w:hAnsi="宋体" w:eastAsia="宋体" w:cs="Times New Roman"/>
          <w:b/>
          <w:color w:val="000000"/>
          <w:kern w:val="44"/>
          <w:sz w:val="32"/>
          <w:szCs w:val="24"/>
        </w:rPr>
      </w:pPr>
      <w:r>
        <w:rPr>
          <w:rFonts w:eastAsia="宋体" w:cs="Times New Roman"/>
          <w:szCs w:val="24"/>
        </w:rPr>
        <w:br w:type="page"/>
      </w:r>
      <w:r>
        <w:rPr>
          <w:rFonts w:ascii="宋体" w:hAnsi="宋体" w:eastAsia="宋体" w:cs="宋体"/>
          <w:bCs/>
          <w:color w:val="000000"/>
          <w:kern w:val="44"/>
          <w:sz w:val="32"/>
          <w:szCs w:val="24"/>
        </w:rPr>
        <w:t>《深圳市预拌混凝土和预拌砂浆管理规定》</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4"/>
        <w:gridCol w:w="1429"/>
        <w:gridCol w:w="2661"/>
        <w:gridCol w:w="2095"/>
        <w:gridCol w:w="1245"/>
        <w:gridCol w:w="1299"/>
        <w:gridCol w:w="1950"/>
        <w:gridCol w:w="26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98"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序号</w:t>
            </w:r>
          </w:p>
        </w:tc>
        <w:tc>
          <w:tcPr>
            <w:tcW w:w="504"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违法行为</w:t>
            </w:r>
          </w:p>
        </w:tc>
        <w:tc>
          <w:tcPr>
            <w:tcW w:w="939"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lang w:val="en"/>
              </w:rPr>
            </w:pPr>
            <w:r>
              <w:rPr>
                <w:rFonts w:hint="eastAsia" w:ascii="仿宋_GB2312" w:hAnsi="仿宋_GB2312" w:eastAsia="仿宋_GB2312" w:cs="仿宋_GB2312"/>
                <w:b/>
                <w:color w:val="000000"/>
                <w:kern w:val="0"/>
                <w:szCs w:val="24"/>
                <w:lang w:val="en"/>
              </w:rPr>
              <w:t>违反条款</w:t>
            </w:r>
          </w:p>
        </w:tc>
        <w:tc>
          <w:tcPr>
            <w:tcW w:w="739"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处罚依据</w:t>
            </w:r>
          </w:p>
        </w:tc>
        <w:tc>
          <w:tcPr>
            <w:tcW w:w="439"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处罚种类</w:t>
            </w:r>
          </w:p>
        </w:tc>
        <w:tc>
          <w:tcPr>
            <w:tcW w:w="458"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裁量阶次</w:t>
            </w:r>
          </w:p>
        </w:tc>
        <w:tc>
          <w:tcPr>
            <w:tcW w:w="688"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适用条件</w:t>
            </w:r>
          </w:p>
        </w:tc>
        <w:tc>
          <w:tcPr>
            <w:tcW w:w="935"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29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lang w:val="en"/>
              </w:rPr>
            </w:pPr>
            <w:r>
              <w:rPr>
                <w:rFonts w:ascii="仿宋_GB2312" w:hAnsi="仿宋_GB2312" w:eastAsia="仿宋_GB2312" w:cs="仿宋_GB2312"/>
                <w:color w:val="000000"/>
                <w:szCs w:val="21"/>
              </w:rPr>
              <w:t>117.</w:t>
            </w:r>
            <w:r>
              <w:rPr>
                <w:rFonts w:hint="eastAsia" w:ascii="仿宋_GB2312" w:hAnsi="仿宋_GB2312" w:eastAsia="仿宋_GB2312" w:cs="仿宋_GB2312"/>
                <w:color w:val="000000"/>
                <w:szCs w:val="21"/>
              </w:rPr>
              <w:t>8</w:t>
            </w:r>
          </w:p>
        </w:tc>
        <w:tc>
          <w:tcPr>
            <w:tcW w:w="504"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szCs w:val="21"/>
              </w:rPr>
              <w:t>建设或施工单位向未取得相应专业承包资质的预拌混凝土生产企业购买预拌混凝土</w:t>
            </w:r>
          </w:p>
        </w:tc>
        <w:tc>
          <w:tcPr>
            <w:tcW w:w="939"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spacing w:val="8"/>
                <w:kern w:val="0"/>
                <w:szCs w:val="21"/>
              </w:rPr>
            </w:pPr>
            <w:r>
              <w:rPr>
                <w:rFonts w:hint="eastAsia" w:ascii="仿宋_GB2312" w:hAnsi="仿宋_GB2312" w:eastAsia="仿宋_GB2312" w:cs="仿宋_GB2312"/>
                <w:color w:val="000000"/>
                <w:kern w:val="0"/>
                <w:szCs w:val="21"/>
              </w:rPr>
              <w:t>第二十八条：“建设、施工单位应当向具有相应资质的预拌混凝土生产企业购买预拌混凝土。鼓励建设、施工单位选择通过绿色生产达标考核并且信用良好的生产站点提供的预拌混凝土或者预拌砂浆。”</w:t>
            </w:r>
          </w:p>
        </w:tc>
        <w:tc>
          <w:tcPr>
            <w:tcW w:w="739"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szCs w:val="21"/>
              </w:rPr>
              <w:t>第三十九条</w:t>
            </w:r>
            <w:r>
              <w:rPr>
                <w:rFonts w:ascii="仿宋_GB2312" w:hAnsi="仿宋_GB2312" w:eastAsia="仿宋_GB2312" w:cs="仿宋_GB2312"/>
                <w:szCs w:val="21"/>
                <w:lang w:val="en"/>
              </w:rPr>
              <w:t>第二项</w:t>
            </w:r>
            <w:r>
              <w:rPr>
                <w:rFonts w:hint="eastAsia" w:ascii="仿宋_GB2312" w:hAnsi="仿宋_GB2312" w:eastAsia="仿宋_GB2312" w:cs="仿宋_GB2312"/>
                <w:szCs w:val="21"/>
              </w:rPr>
              <w:t>：“违反本规定第二十八条规定，向未取得相应专业承包资质的预拌混凝土生产企业购买预拌混凝土的，处一万元以上三万元以下罚款。”</w:t>
            </w:r>
          </w:p>
        </w:tc>
        <w:tc>
          <w:tcPr>
            <w:tcW w:w="439"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罚款</w:t>
            </w:r>
          </w:p>
        </w:tc>
        <w:tc>
          <w:tcPr>
            <w:tcW w:w="45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从轻</w:t>
            </w:r>
          </w:p>
        </w:tc>
        <w:tc>
          <w:tcPr>
            <w:tcW w:w="68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未造成危害后果或造成轻微危害后果的</w:t>
            </w:r>
          </w:p>
        </w:tc>
        <w:tc>
          <w:tcPr>
            <w:tcW w:w="93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spacing w:val="8"/>
                <w:kern w:val="0"/>
                <w:szCs w:val="21"/>
              </w:rPr>
              <w:t>处一万元以上、低于二万元罚款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29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color w:val="000000"/>
                <w:kern w:val="0"/>
                <w:szCs w:val="21"/>
              </w:rPr>
            </w:pPr>
          </w:p>
        </w:tc>
        <w:tc>
          <w:tcPr>
            <w:tcW w:w="50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color w:val="000000"/>
                <w:spacing w:val="8"/>
                <w:kern w:val="0"/>
                <w:szCs w:val="21"/>
              </w:rPr>
            </w:pPr>
          </w:p>
        </w:tc>
        <w:tc>
          <w:tcPr>
            <w:tcW w:w="93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spacing w:line="270" w:lineRule="atLeast"/>
              <w:rPr>
                <w:rFonts w:hint="eastAsia" w:ascii="仿宋_GB2312" w:hAnsi="仿宋_GB2312" w:eastAsia="仿宋_GB2312" w:cs="仿宋_GB2312"/>
                <w:color w:val="000000"/>
                <w:kern w:val="0"/>
                <w:szCs w:val="21"/>
              </w:rPr>
            </w:pPr>
          </w:p>
        </w:tc>
        <w:tc>
          <w:tcPr>
            <w:tcW w:w="73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spacing w:line="270" w:lineRule="atLeast"/>
              <w:rPr>
                <w:rFonts w:hint="eastAsia" w:ascii="仿宋_GB2312" w:hAnsi="仿宋_GB2312" w:eastAsia="仿宋_GB2312" w:cs="仿宋_GB2312"/>
                <w:color w:val="000000"/>
                <w:kern w:val="0"/>
                <w:szCs w:val="21"/>
              </w:rPr>
            </w:pPr>
          </w:p>
        </w:tc>
        <w:tc>
          <w:tcPr>
            <w:tcW w:w="43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p>
        </w:tc>
        <w:tc>
          <w:tcPr>
            <w:tcW w:w="45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一般</w:t>
            </w:r>
          </w:p>
        </w:tc>
        <w:tc>
          <w:tcPr>
            <w:tcW w:w="68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造成一般危害后果的</w:t>
            </w:r>
          </w:p>
        </w:tc>
        <w:tc>
          <w:tcPr>
            <w:tcW w:w="93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spacing w:val="8"/>
                <w:kern w:val="0"/>
                <w:szCs w:val="21"/>
              </w:rPr>
              <w:t>处两万元罚款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29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jc w:val="left"/>
              <w:rPr>
                <w:rFonts w:hint="eastAsia" w:ascii="仿宋_GB2312" w:hAnsi="仿宋_GB2312" w:eastAsia="仿宋_GB2312" w:cs="仿宋_GB2312"/>
                <w:color w:val="000000"/>
                <w:kern w:val="0"/>
                <w:szCs w:val="21"/>
              </w:rPr>
            </w:pPr>
          </w:p>
        </w:tc>
        <w:tc>
          <w:tcPr>
            <w:tcW w:w="50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color w:val="000000"/>
                <w:kern w:val="0"/>
                <w:szCs w:val="21"/>
              </w:rPr>
            </w:pPr>
          </w:p>
        </w:tc>
        <w:tc>
          <w:tcPr>
            <w:tcW w:w="93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color w:val="000000"/>
                <w:spacing w:val="10"/>
                <w:szCs w:val="21"/>
              </w:rPr>
            </w:pPr>
          </w:p>
        </w:tc>
        <w:tc>
          <w:tcPr>
            <w:tcW w:w="73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p>
        </w:tc>
        <w:tc>
          <w:tcPr>
            <w:tcW w:w="43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p>
        </w:tc>
        <w:tc>
          <w:tcPr>
            <w:tcW w:w="45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从重</w:t>
            </w:r>
          </w:p>
        </w:tc>
        <w:tc>
          <w:tcPr>
            <w:tcW w:w="68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szCs w:val="21"/>
              </w:rPr>
              <w:t>造成严重危害后果或者造成安全事故的</w:t>
            </w:r>
          </w:p>
        </w:tc>
        <w:tc>
          <w:tcPr>
            <w:tcW w:w="935" w:type="pct"/>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spacing w:val="8"/>
                <w:kern w:val="0"/>
                <w:szCs w:val="21"/>
              </w:rPr>
              <w:t>处超过二万元、三万元以下罚款</w:t>
            </w:r>
          </w:p>
        </w:tc>
      </w:tr>
    </w:tbl>
    <w:p>
      <w:pPr>
        <w:keepNext/>
        <w:keepLines/>
        <w:snapToGrid w:val="0"/>
        <w:outlineLvl w:val="0"/>
        <w:rPr>
          <w:rFonts w:hint="eastAsia" w:ascii="宋体" w:hAnsi="宋体" w:eastAsia="宋体" w:cs="Times New Roman"/>
          <w:b/>
          <w:color w:val="000000"/>
          <w:kern w:val="44"/>
          <w:sz w:val="32"/>
          <w:szCs w:val="24"/>
        </w:rPr>
      </w:pPr>
      <w:r>
        <w:rPr>
          <w:rFonts w:eastAsia="宋体" w:cs="Times New Roman"/>
          <w:szCs w:val="24"/>
        </w:rPr>
        <w:br w:type="page"/>
      </w:r>
      <w:r>
        <w:rPr>
          <w:rFonts w:ascii="宋体" w:hAnsi="宋体" w:eastAsia="宋体" w:cs="宋体"/>
          <w:bCs/>
          <w:color w:val="000000"/>
          <w:kern w:val="44"/>
          <w:sz w:val="32"/>
          <w:szCs w:val="24"/>
        </w:rPr>
        <w:t>《深圳市预拌混凝土和预拌砂浆管理规定》</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4"/>
        <w:gridCol w:w="1139"/>
        <w:gridCol w:w="2628"/>
        <w:gridCol w:w="2234"/>
        <w:gridCol w:w="1340"/>
        <w:gridCol w:w="1299"/>
        <w:gridCol w:w="1950"/>
        <w:gridCol w:w="26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29"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序号</w:t>
            </w:r>
          </w:p>
        </w:tc>
        <w:tc>
          <w:tcPr>
            <w:tcW w:w="402"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违法行为</w:t>
            </w:r>
          </w:p>
        </w:tc>
        <w:tc>
          <w:tcPr>
            <w:tcW w:w="927"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lang w:val="en"/>
              </w:rPr>
            </w:pPr>
            <w:r>
              <w:rPr>
                <w:rFonts w:hint="eastAsia" w:ascii="仿宋_GB2312" w:hAnsi="仿宋_GB2312" w:eastAsia="仿宋_GB2312" w:cs="仿宋_GB2312"/>
                <w:b/>
                <w:color w:val="000000"/>
                <w:kern w:val="0"/>
                <w:szCs w:val="24"/>
                <w:lang w:val="en"/>
              </w:rPr>
              <w:t>违反条款</w:t>
            </w:r>
          </w:p>
        </w:tc>
        <w:tc>
          <w:tcPr>
            <w:tcW w:w="788"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处罚依据</w:t>
            </w:r>
          </w:p>
        </w:tc>
        <w:tc>
          <w:tcPr>
            <w:tcW w:w="473"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处罚种类</w:t>
            </w:r>
          </w:p>
        </w:tc>
        <w:tc>
          <w:tcPr>
            <w:tcW w:w="458"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裁量阶次</w:t>
            </w:r>
          </w:p>
        </w:tc>
        <w:tc>
          <w:tcPr>
            <w:tcW w:w="688"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适用条件</w:t>
            </w:r>
          </w:p>
        </w:tc>
        <w:tc>
          <w:tcPr>
            <w:tcW w:w="935"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329"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lang w:val="en"/>
              </w:rPr>
            </w:pPr>
            <w:r>
              <w:rPr>
                <w:rFonts w:ascii="仿宋_GB2312" w:hAnsi="仿宋_GB2312" w:eastAsia="仿宋_GB2312" w:cs="仿宋_GB2312"/>
                <w:color w:val="000000"/>
                <w:szCs w:val="21"/>
              </w:rPr>
              <w:t>117.</w:t>
            </w:r>
            <w:r>
              <w:rPr>
                <w:rFonts w:hint="eastAsia" w:ascii="仿宋_GB2312" w:hAnsi="仿宋_GB2312" w:eastAsia="仿宋_GB2312" w:cs="仿宋_GB2312"/>
                <w:color w:val="000000"/>
                <w:szCs w:val="21"/>
              </w:rPr>
              <w:t>9</w:t>
            </w:r>
          </w:p>
        </w:tc>
        <w:tc>
          <w:tcPr>
            <w:tcW w:w="402"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szCs w:val="21"/>
              </w:rPr>
              <w:t>施工单位未按照规定浇筑、振捣和养护预拌混凝土和预拌砂浆</w:t>
            </w:r>
          </w:p>
        </w:tc>
        <w:tc>
          <w:tcPr>
            <w:tcW w:w="927"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widowControl/>
              <w:jc w:val="left"/>
              <w:rPr>
                <w:rFonts w:hint="eastAsia" w:ascii="仿宋_GB2312" w:hAnsi="仿宋_GB2312" w:eastAsia="仿宋_GB2312" w:cs="仿宋_GB2312"/>
                <w:color w:val="000000"/>
                <w:spacing w:val="8"/>
                <w:kern w:val="0"/>
                <w:szCs w:val="21"/>
              </w:rPr>
            </w:pPr>
            <w:r>
              <w:rPr>
                <w:rFonts w:hint="eastAsia" w:ascii="仿宋_GB2312" w:hAnsi="仿宋_GB2312" w:eastAsia="仿宋_GB2312" w:cs="仿宋_GB2312"/>
                <w:color w:val="000000"/>
                <w:szCs w:val="21"/>
              </w:rPr>
              <w:t>第</w:t>
            </w:r>
            <w:r>
              <w:rPr>
                <w:rFonts w:hint="eastAsia" w:ascii="仿宋_GB2312" w:hAnsi="仿宋_GB2312" w:eastAsia="仿宋_GB2312" w:cs="仿宋_GB2312"/>
                <w:szCs w:val="21"/>
              </w:rPr>
              <w:t>三十二条：“</w:t>
            </w:r>
            <w:r>
              <w:rPr>
                <w:rFonts w:hint="eastAsia" w:ascii="仿宋_GB2312" w:hAnsi="仿宋_GB2312" w:eastAsia="仿宋_GB2312" w:cs="仿宋_GB2312"/>
                <w:szCs w:val="21"/>
                <w:lang w:bidi="ar"/>
              </w:rPr>
              <w:t>施工单位应当按照预拌混凝土和预拌砂浆有关技术标准规范、预拌混凝土和预拌砂浆生产企业提供的技术交底资料进行施工，并且对预拌混凝土和预拌砂浆的浇筑、振捣及养护质量负责。</w:t>
            </w:r>
            <w:r>
              <w:rPr>
                <w:rFonts w:hint="eastAsia" w:ascii="仿宋_GB2312" w:hAnsi="仿宋_GB2312" w:eastAsia="仿宋_GB2312" w:cs="仿宋_GB2312"/>
                <w:szCs w:val="21"/>
              </w:rPr>
              <w:t>”</w:t>
            </w:r>
          </w:p>
        </w:tc>
        <w:tc>
          <w:tcPr>
            <w:tcW w:w="78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第三十九条</w:t>
            </w:r>
            <w:r>
              <w:rPr>
                <w:rFonts w:ascii="仿宋_GB2312" w:hAnsi="仿宋_GB2312" w:eastAsia="仿宋_GB2312" w:cs="仿宋_GB2312"/>
                <w:szCs w:val="21"/>
                <w:lang w:val="en"/>
              </w:rPr>
              <w:t>第四项</w:t>
            </w:r>
            <w:r>
              <w:rPr>
                <w:rFonts w:hint="eastAsia" w:ascii="仿宋_GB2312" w:hAnsi="仿宋_GB2312" w:eastAsia="仿宋_GB2312" w:cs="仿宋_GB2312"/>
                <w:szCs w:val="21"/>
              </w:rPr>
              <w:t>：“施工单位违反本规定第三十二条规定，未按照规定浇筑、振捣和养护预拌混凝土和预拌砂浆的，处一万元以上三万元以下罚款。”</w:t>
            </w:r>
          </w:p>
          <w:p>
            <w:pPr>
              <w:rPr>
                <w:rFonts w:hint="eastAsia" w:ascii="仿宋_GB2312" w:hAnsi="仿宋_GB2312" w:eastAsia="仿宋_GB2312" w:cs="仿宋_GB2312"/>
                <w:color w:val="000000"/>
                <w:kern w:val="0"/>
                <w:szCs w:val="21"/>
              </w:rPr>
            </w:pPr>
          </w:p>
        </w:tc>
        <w:tc>
          <w:tcPr>
            <w:tcW w:w="473"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罚款</w:t>
            </w:r>
          </w:p>
        </w:tc>
        <w:tc>
          <w:tcPr>
            <w:tcW w:w="45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从轻</w:t>
            </w:r>
          </w:p>
        </w:tc>
        <w:tc>
          <w:tcPr>
            <w:tcW w:w="68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未造成危害后果或造成轻微危害后果的</w:t>
            </w:r>
          </w:p>
        </w:tc>
        <w:tc>
          <w:tcPr>
            <w:tcW w:w="93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spacing w:val="8"/>
                <w:kern w:val="0"/>
                <w:szCs w:val="21"/>
              </w:rPr>
              <w:t>处一万元以上、低于二万元罚款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32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color w:val="000000"/>
                <w:kern w:val="0"/>
                <w:szCs w:val="21"/>
              </w:rPr>
            </w:pPr>
          </w:p>
        </w:tc>
        <w:tc>
          <w:tcPr>
            <w:tcW w:w="40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color w:val="000000"/>
                <w:spacing w:val="8"/>
                <w:kern w:val="0"/>
                <w:szCs w:val="21"/>
              </w:rPr>
            </w:pPr>
          </w:p>
        </w:tc>
        <w:tc>
          <w:tcPr>
            <w:tcW w:w="92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spacing w:line="270" w:lineRule="atLeast"/>
              <w:rPr>
                <w:rFonts w:hint="eastAsia" w:ascii="仿宋_GB2312" w:hAnsi="仿宋_GB2312" w:eastAsia="仿宋_GB2312" w:cs="仿宋_GB2312"/>
                <w:color w:val="000000"/>
                <w:kern w:val="0"/>
                <w:szCs w:val="21"/>
              </w:rPr>
            </w:pPr>
          </w:p>
        </w:tc>
        <w:tc>
          <w:tcPr>
            <w:tcW w:w="78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spacing w:line="270" w:lineRule="atLeast"/>
              <w:rPr>
                <w:rFonts w:hint="eastAsia" w:ascii="仿宋_GB2312" w:hAnsi="仿宋_GB2312" w:eastAsia="仿宋_GB2312" w:cs="仿宋_GB2312"/>
                <w:color w:val="000000"/>
                <w:kern w:val="0"/>
                <w:szCs w:val="21"/>
              </w:rPr>
            </w:pPr>
          </w:p>
        </w:tc>
        <w:tc>
          <w:tcPr>
            <w:tcW w:w="47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p>
        </w:tc>
        <w:tc>
          <w:tcPr>
            <w:tcW w:w="45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一般</w:t>
            </w:r>
          </w:p>
        </w:tc>
        <w:tc>
          <w:tcPr>
            <w:tcW w:w="68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造成一般危害后果的</w:t>
            </w:r>
          </w:p>
        </w:tc>
        <w:tc>
          <w:tcPr>
            <w:tcW w:w="93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spacing w:val="8"/>
                <w:kern w:val="0"/>
                <w:szCs w:val="21"/>
              </w:rPr>
              <w:t>处两万元罚款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32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jc w:val="left"/>
              <w:rPr>
                <w:rFonts w:hint="eastAsia" w:ascii="仿宋_GB2312" w:hAnsi="仿宋_GB2312" w:eastAsia="仿宋_GB2312" w:cs="仿宋_GB2312"/>
                <w:color w:val="000000"/>
                <w:kern w:val="0"/>
                <w:szCs w:val="21"/>
              </w:rPr>
            </w:pPr>
          </w:p>
        </w:tc>
        <w:tc>
          <w:tcPr>
            <w:tcW w:w="40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color w:val="000000"/>
                <w:kern w:val="0"/>
                <w:szCs w:val="21"/>
              </w:rPr>
            </w:pPr>
          </w:p>
        </w:tc>
        <w:tc>
          <w:tcPr>
            <w:tcW w:w="92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color w:val="000000"/>
                <w:spacing w:val="10"/>
                <w:szCs w:val="21"/>
              </w:rPr>
            </w:pPr>
          </w:p>
        </w:tc>
        <w:tc>
          <w:tcPr>
            <w:tcW w:w="78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p>
        </w:tc>
        <w:tc>
          <w:tcPr>
            <w:tcW w:w="47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p>
        </w:tc>
        <w:tc>
          <w:tcPr>
            <w:tcW w:w="45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从重</w:t>
            </w:r>
          </w:p>
        </w:tc>
        <w:tc>
          <w:tcPr>
            <w:tcW w:w="68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szCs w:val="21"/>
              </w:rPr>
              <w:t>造成严重危害后果或者造成安全事故的</w:t>
            </w:r>
          </w:p>
        </w:tc>
        <w:tc>
          <w:tcPr>
            <w:tcW w:w="935" w:type="pct"/>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spacing w:val="8"/>
                <w:kern w:val="0"/>
                <w:szCs w:val="21"/>
              </w:rPr>
              <w:t>处超过二万元、三万元以下罚款</w:t>
            </w:r>
          </w:p>
        </w:tc>
      </w:tr>
    </w:tbl>
    <w:p>
      <w:pPr>
        <w:keepNext/>
        <w:keepLines/>
        <w:snapToGrid w:val="0"/>
        <w:outlineLvl w:val="0"/>
        <w:rPr>
          <w:rFonts w:hint="eastAsia" w:ascii="宋体" w:hAnsi="宋体" w:eastAsia="宋体" w:cs="Times New Roman"/>
          <w:b/>
          <w:color w:val="000000"/>
          <w:kern w:val="44"/>
          <w:sz w:val="32"/>
          <w:szCs w:val="24"/>
        </w:rPr>
      </w:pPr>
      <w:r>
        <w:rPr>
          <w:rFonts w:eastAsia="宋体" w:cs="Times New Roman"/>
          <w:szCs w:val="24"/>
        </w:rPr>
        <w:br w:type="page"/>
      </w:r>
      <w:r>
        <w:rPr>
          <w:rFonts w:ascii="宋体" w:hAnsi="宋体" w:eastAsia="宋体" w:cs="宋体"/>
          <w:bCs/>
          <w:color w:val="000000"/>
          <w:kern w:val="44"/>
          <w:sz w:val="32"/>
          <w:szCs w:val="24"/>
        </w:rPr>
        <w:t>《深圳市预拌混凝土和预拌砂浆管理规定》</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1"/>
        <w:gridCol w:w="1140"/>
        <w:gridCol w:w="3618"/>
        <w:gridCol w:w="1798"/>
        <w:gridCol w:w="1139"/>
        <w:gridCol w:w="1202"/>
        <w:gridCol w:w="1636"/>
        <w:gridCol w:w="26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49"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序号</w:t>
            </w:r>
          </w:p>
        </w:tc>
        <w:tc>
          <w:tcPr>
            <w:tcW w:w="402"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违法行为</w:t>
            </w:r>
          </w:p>
        </w:tc>
        <w:tc>
          <w:tcPr>
            <w:tcW w:w="1276"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lang w:val="en"/>
              </w:rPr>
            </w:pPr>
            <w:r>
              <w:rPr>
                <w:rFonts w:hint="eastAsia" w:ascii="仿宋_GB2312" w:hAnsi="仿宋_GB2312" w:eastAsia="仿宋_GB2312" w:cs="仿宋_GB2312"/>
                <w:b/>
                <w:color w:val="000000"/>
                <w:kern w:val="0"/>
                <w:szCs w:val="24"/>
                <w:lang w:val="en"/>
              </w:rPr>
              <w:t>违反条款</w:t>
            </w:r>
          </w:p>
        </w:tc>
        <w:tc>
          <w:tcPr>
            <w:tcW w:w="634"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处罚依据</w:t>
            </w:r>
          </w:p>
        </w:tc>
        <w:tc>
          <w:tcPr>
            <w:tcW w:w="402"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处罚种类</w:t>
            </w:r>
          </w:p>
        </w:tc>
        <w:tc>
          <w:tcPr>
            <w:tcW w:w="424"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裁量阶次</w:t>
            </w:r>
          </w:p>
        </w:tc>
        <w:tc>
          <w:tcPr>
            <w:tcW w:w="577"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适用条件</w:t>
            </w:r>
          </w:p>
        </w:tc>
        <w:tc>
          <w:tcPr>
            <w:tcW w:w="935"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color w:val="000000"/>
                <w:kern w:val="0"/>
                <w:szCs w:val="24"/>
              </w:rPr>
            </w:pPr>
            <w:r>
              <w:rPr>
                <w:rFonts w:hint="eastAsia" w:ascii="仿宋_GB2312" w:hAnsi="仿宋_GB2312" w:eastAsia="仿宋_GB2312" w:cs="仿宋_GB2312"/>
                <w:b/>
                <w:color w:val="000000"/>
                <w:kern w:val="0"/>
                <w:szCs w:val="24"/>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349"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lang w:val="en"/>
              </w:rPr>
            </w:pPr>
            <w:r>
              <w:rPr>
                <w:rFonts w:ascii="仿宋_GB2312" w:hAnsi="仿宋_GB2312" w:eastAsia="仿宋_GB2312" w:cs="仿宋_GB2312"/>
                <w:color w:val="000000"/>
                <w:szCs w:val="21"/>
              </w:rPr>
              <w:t>117.</w:t>
            </w:r>
            <w:r>
              <w:rPr>
                <w:rFonts w:hint="eastAsia" w:ascii="仿宋_GB2312" w:hAnsi="仿宋_GB2312" w:eastAsia="仿宋_GB2312" w:cs="仿宋_GB2312"/>
                <w:color w:val="000000"/>
                <w:szCs w:val="21"/>
                <w:lang w:val="en"/>
              </w:rPr>
              <w:t>1</w:t>
            </w:r>
            <w:r>
              <w:rPr>
                <w:rFonts w:hint="eastAsia" w:ascii="仿宋_GB2312" w:hAnsi="仿宋_GB2312" w:eastAsia="仿宋_GB2312" w:cs="仿宋_GB2312"/>
                <w:color w:val="000000"/>
                <w:szCs w:val="21"/>
              </w:rPr>
              <w:t>0</w:t>
            </w:r>
          </w:p>
        </w:tc>
        <w:tc>
          <w:tcPr>
            <w:tcW w:w="402"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szCs w:val="21"/>
              </w:rPr>
              <w:t>监理单位未按规定对预拌混凝土和预拌砂浆的使用情况进行监理</w:t>
            </w:r>
          </w:p>
        </w:tc>
        <w:tc>
          <w:tcPr>
            <w:tcW w:w="127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spacing w:val="8"/>
                <w:kern w:val="0"/>
                <w:szCs w:val="21"/>
              </w:rPr>
            </w:pPr>
            <w:r>
              <w:rPr>
                <w:rFonts w:hint="eastAsia" w:ascii="仿宋_GB2312" w:hAnsi="仿宋_GB2312" w:eastAsia="仿宋_GB2312" w:cs="仿宋_GB2312"/>
                <w:color w:val="000000"/>
                <w:kern w:val="0"/>
                <w:szCs w:val="21"/>
              </w:rPr>
              <w:t>第三十四条：“监理单位应当对预拌混凝土和预拌砂浆的使用情况进行监理，发现以下情况，应当予以制止，并且要求整改。情节严重的，应当及时报告建设单位或者签发工程暂停令。施工单位拒不整改的，应当及时向市、区主管部门报告：（一）违反规定使用袋装水泥的；（二）违反规定现场搅拌混凝土或者砂浆的；（三）使用不合格预拌混凝土或者预拌砂浆的；（四）向不具备相应资质的预拌混凝土生产企业购买预拌混凝土的。”</w:t>
            </w:r>
          </w:p>
        </w:tc>
        <w:tc>
          <w:tcPr>
            <w:tcW w:w="634"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第四十条：“监理单位发现本规定第三十四条所列行为未予制止或者未按照规定向市、区主管部门报告的，由市、区主管部门责令改正，并处一万元以上三万元以下罚款。”</w:t>
            </w:r>
          </w:p>
          <w:p>
            <w:pPr>
              <w:rPr>
                <w:rFonts w:hint="eastAsia" w:ascii="仿宋_GB2312" w:hAnsi="仿宋_GB2312" w:eastAsia="仿宋_GB2312" w:cs="仿宋_GB2312"/>
                <w:color w:val="000000"/>
                <w:kern w:val="0"/>
                <w:szCs w:val="21"/>
              </w:rPr>
            </w:pPr>
          </w:p>
        </w:tc>
        <w:tc>
          <w:tcPr>
            <w:tcW w:w="402"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罚款</w:t>
            </w:r>
          </w:p>
        </w:tc>
        <w:tc>
          <w:tcPr>
            <w:tcW w:w="42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从轻</w:t>
            </w:r>
          </w:p>
        </w:tc>
        <w:tc>
          <w:tcPr>
            <w:tcW w:w="57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未造成危害后果或造成轻微危害后果的</w:t>
            </w:r>
          </w:p>
        </w:tc>
        <w:tc>
          <w:tcPr>
            <w:tcW w:w="93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spacing w:val="8"/>
                <w:kern w:val="0"/>
                <w:szCs w:val="21"/>
              </w:rPr>
              <w:t>责令改正，并处一万元以上、低于两万元罚款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34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color w:val="000000"/>
                <w:kern w:val="0"/>
                <w:szCs w:val="21"/>
              </w:rPr>
            </w:pPr>
          </w:p>
        </w:tc>
        <w:tc>
          <w:tcPr>
            <w:tcW w:w="40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color w:val="000000"/>
                <w:spacing w:val="8"/>
                <w:kern w:val="0"/>
                <w:szCs w:val="21"/>
              </w:rPr>
            </w:pPr>
          </w:p>
        </w:tc>
        <w:tc>
          <w:tcPr>
            <w:tcW w:w="127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spacing w:line="270" w:lineRule="atLeast"/>
              <w:rPr>
                <w:rFonts w:hint="eastAsia" w:ascii="仿宋_GB2312" w:hAnsi="仿宋_GB2312" w:eastAsia="仿宋_GB2312" w:cs="仿宋_GB2312"/>
                <w:color w:val="000000"/>
                <w:kern w:val="0"/>
                <w:szCs w:val="21"/>
              </w:rPr>
            </w:pPr>
          </w:p>
        </w:tc>
        <w:tc>
          <w:tcPr>
            <w:tcW w:w="63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spacing w:line="270" w:lineRule="atLeast"/>
              <w:rPr>
                <w:rFonts w:hint="eastAsia" w:ascii="仿宋_GB2312" w:hAnsi="仿宋_GB2312" w:eastAsia="仿宋_GB2312" w:cs="仿宋_GB2312"/>
                <w:color w:val="000000"/>
                <w:kern w:val="0"/>
                <w:szCs w:val="21"/>
              </w:rPr>
            </w:pPr>
          </w:p>
        </w:tc>
        <w:tc>
          <w:tcPr>
            <w:tcW w:w="40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p>
        </w:tc>
        <w:tc>
          <w:tcPr>
            <w:tcW w:w="42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一般</w:t>
            </w:r>
          </w:p>
        </w:tc>
        <w:tc>
          <w:tcPr>
            <w:tcW w:w="57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造成一般危害后果的</w:t>
            </w:r>
          </w:p>
        </w:tc>
        <w:tc>
          <w:tcPr>
            <w:tcW w:w="93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spacing w:val="8"/>
                <w:kern w:val="0"/>
                <w:szCs w:val="21"/>
              </w:rPr>
              <w:t>责令改正，并处两万元罚款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34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jc w:val="left"/>
              <w:rPr>
                <w:rFonts w:hint="eastAsia" w:ascii="仿宋_GB2312" w:hAnsi="仿宋_GB2312" w:eastAsia="仿宋_GB2312" w:cs="仿宋_GB2312"/>
                <w:color w:val="000000"/>
                <w:kern w:val="0"/>
                <w:szCs w:val="21"/>
              </w:rPr>
            </w:pPr>
          </w:p>
        </w:tc>
        <w:tc>
          <w:tcPr>
            <w:tcW w:w="40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color w:val="000000"/>
                <w:kern w:val="0"/>
                <w:szCs w:val="21"/>
              </w:rPr>
            </w:pPr>
          </w:p>
        </w:tc>
        <w:tc>
          <w:tcPr>
            <w:tcW w:w="127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color w:val="000000"/>
                <w:spacing w:val="10"/>
                <w:szCs w:val="21"/>
              </w:rPr>
            </w:pPr>
          </w:p>
        </w:tc>
        <w:tc>
          <w:tcPr>
            <w:tcW w:w="63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p>
        </w:tc>
        <w:tc>
          <w:tcPr>
            <w:tcW w:w="40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p>
        </w:tc>
        <w:tc>
          <w:tcPr>
            <w:tcW w:w="42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从重</w:t>
            </w:r>
          </w:p>
        </w:tc>
        <w:tc>
          <w:tcPr>
            <w:tcW w:w="57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szCs w:val="21"/>
              </w:rPr>
              <w:t>造成严重危害后果或者造成安全事故的</w:t>
            </w:r>
          </w:p>
        </w:tc>
        <w:tc>
          <w:tcPr>
            <w:tcW w:w="935" w:type="pct"/>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spacing w:val="8"/>
                <w:kern w:val="0"/>
                <w:szCs w:val="21"/>
              </w:rPr>
              <w:t>责令改正，并处超过二万元、三万元以下罚款</w:t>
            </w:r>
          </w:p>
        </w:tc>
      </w:tr>
    </w:tbl>
    <w:p>
      <w:pPr>
        <w:rPr>
          <w:rFonts w:eastAsia="宋体" w:cs="Times New Roman"/>
          <w:szCs w:val="24"/>
        </w:rPr>
      </w:pPr>
    </w:p>
    <w:p>
      <w:pPr>
        <w:rPr>
          <w:rFonts w:eastAsia="宋体" w:cs="Times New Roman"/>
        </w:rPr>
      </w:pPr>
    </w:p>
    <w:p>
      <w:pPr>
        <w:widowControl/>
        <w:jc w:val="left"/>
        <w:rPr>
          <w:b/>
          <w:sz w:val="84"/>
          <w:szCs w:val="24"/>
        </w:rPr>
      </w:pPr>
    </w:p>
    <w:p>
      <w:pPr>
        <w:widowControl/>
        <w:jc w:val="left"/>
        <w:rPr>
          <w:b/>
          <w:sz w:val="84"/>
          <w:szCs w:val="24"/>
        </w:rPr>
      </w:pPr>
    </w:p>
    <w:p>
      <w:pPr>
        <w:widowControl/>
        <w:jc w:val="center"/>
        <w:rPr>
          <w:b/>
          <w:sz w:val="52"/>
          <w:szCs w:val="24"/>
        </w:rPr>
      </w:pPr>
      <w:r>
        <w:rPr>
          <w:rFonts w:ascii="宋体"/>
          <w:b/>
          <w:sz w:val="52"/>
          <w:szCs w:val="24"/>
        </w:rPr>
        <w:t xml:space="preserve">第二部分 </w:t>
      </w:r>
      <w:r>
        <w:rPr>
          <w:b/>
          <w:sz w:val="52"/>
          <w:szCs w:val="24"/>
        </w:rPr>
        <w:t xml:space="preserve"> </w:t>
      </w:r>
      <w:r>
        <w:rPr>
          <w:rFonts w:hint="eastAsia"/>
          <w:b/>
          <w:sz w:val="52"/>
          <w:szCs w:val="24"/>
        </w:rPr>
        <w:t>房地产</w:t>
      </w:r>
      <w:r>
        <w:rPr>
          <w:rFonts w:ascii="宋体"/>
          <w:b/>
          <w:sz w:val="52"/>
          <w:szCs w:val="24"/>
        </w:rPr>
        <w:t>与住房保障类</w:t>
      </w:r>
    </w:p>
    <w:p>
      <w:pPr>
        <w:widowControl/>
        <w:jc w:val="left"/>
        <w:rPr>
          <w:b/>
          <w:sz w:val="84"/>
          <w:szCs w:val="24"/>
        </w:rPr>
      </w:pPr>
    </w:p>
    <w:p>
      <w:pPr>
        <w:widowControl/>
        <w:jc w:val="left"/>
        <w:rPr>
          <w:szCs w:val="24"/>
        </w:rPr>
        <w:sectPr>
          <w:footerReference r:id="rId5" w:type="default"/>
          <w:pgSz w:w="16838" w:h="11906" w:orient="landscape"/>
          <w:pgMar w:top="1800" w:right="1440" w:bottom="1800" w:left="1440" w:header="851" w:footer="992" w:gutter="0"/>
          <w:pgNumType w:fmt="numberInDash"/>
          <w:cols w:space="720" w:num="1"/>
          <w:docGrid w:type="lines" w:linePitch="312" w:charSpace="0"/>
        </w:sectPr>
      </w:pPr>
    </w:p>
    <w:p>
      <w:pPr>
        <w:keepNext/>
        <w:keepLines/>
        <w:snapToGrid w:val="0"/>
        <w:outlineLvl w:val="0"/>
        <w:rPr>
          <w:rFonts w:hint="eastAsia" w:ascii="宋体" w:hAnsi="宋体"/>
          <w:bCs/>
          <w:color w:val="000000"/>
          <w:kern w:val="44"/>
          <w:sz w:val="32"/>
          <w:szCs w:val="24"/>
          <w:lang w:val="en"/>
        </w:rPr>
      </w:pPr>
      <w:r>
        <w:rPr>
          <w:rFonts w:ascii="宋体" w:hAnsi="宋体" w:eastAsia="宋体 (正文)"/>
          <w:bCs/>
          <w:color w:val="000000"/>
          <w:kern w:val="44"/>
          <w:sz w:val="32"/>
          <w:szCs w:val="24"/>
          <w:lang w:val="en"/>
        </w:rPr>
        <w:t>《商品房销售管理办法》</w:t>
      </w:r>
    </w:p>
    <w:tbl>
      <w:tblPr>
        <w:tblStyle w:val="11"/>
        <w:tblW w:w="5000" w:type="pct"/>
        <w:tblInd w:w="0" w:type="dxa"/>
        <w:tblLayout w:type="fixed"/>
        <w:tblCellMar>
          <w:top w:w="0" w:type="dxa"/>
          <w:left w:w="108" w:type="dxa"/>
          <w:bottom w:w="0" w:type="dxa"/>
          <w:right w:w="108" w:type="dxa"/>
        </w:tblCellMar>
      </w:tblPr>
      <w:tblGrid>
        <w:gridCol w:w="749"/>
        <w:gridCol w:w="1075"/>
        <w:gridCol w:w="4140"/>
        <w:gridCol w:w="1364"/>
        <w:gridCol w:w="1139"/>
        <w:gridCol w:w="1256"/>
        <w:gridCol w:w="2211"/>
        <w:gridCol w:w="2240"/>
      </w:tblGrid>
      <w:tr>
        <w:tblPrEx>
          <w:tblCellMar>
            <w:top w:w="0" w:type="dxa"/>
            <w:left w:w="108" w:type="dxa"/>
            <w:bottom w:w="0" w:type="dxa"/>
            <w:right w:w="108" w:type="dxa"/>
          </w:tblCellMar>
        </w:tblPrEx>
        <w:trPr>
          <w:trHeight w:val="567" w:hRule="atLeast"/>
        </w:trPr>
        <w:tc>
          <w:tcPr>
            <w:tcW w:w="264"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序号</w:t>
            </w:r>
          </w:p>
        </w:tc>
        <w:tc>
          <w:tcPr>
            <w:tcW w:w="379"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违法行为</w:t>
            </w:r>
          </w:p>
        </w:tc>
        <w:tc>
          <w:tcPr>
            <w:tcW w:w="1459"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b/>
                <w:szCs w:val="21"/>
                <w:lang w:val="en"/>
              </w:rPr>
              <w:t>违反条款</w:t>
            </w:r>
          </w:p>
        </w:tc>
        <w:tc>
          <w:tcPr>
            <w:tcW w:w="481"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处罚依据</w:t>
            </w:r>
          </w:p>
        </w:tc>
        <w:tc>
          <w:tcPr>
            <w:tcW w:w="402"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处罚种类</w:t>
            </w:r>
          </w:p>
        </w:tc>
        <w:tc>
          <w:tcPr>
            <w:tcW w:w="443"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裁量阶次</w:t>
            </w:r>
          </w:p>
        </w:tc>
        <w:tc>
          <w:tcPr>
            <w:tcW w:w="779"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适用条件</w:t>
            </w:r>
          </w:p>
        </w:tc>
        <w:tc>
          <w:tcPr>
            <w:tcW w:w="789"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具体标准</w:t>
            </w:r>
          </w:p>
        </w:tc>
      </w:tr>
      <w:tr>
        <w:tblPrEx>
          <w:tblCellMar>
            <w:top w:w="0" w:type="dxa"/>
            <w:left w:w="108" w:type="dxa"/>
            <w:bottom w:w="0" w:type="dxa"/>
            <w:right w:w="108" w:type="dxa"/>
          </w:tblCellMar>
        </w:tblPrEx>
        <w:trPr>
          <w:cantSplit/>
          <w:trHeight w:val="2268" w:hRule="atLeast"/>
        </w:trPr>
        <w:tc>
          <w:tcPr>
            <w:tcW w:w="264" w:type="pct"/>
            <w:vMerge w:val="restart"/>
            <w:tcBorders>
              <w:top w:val="single" w:color="000000" w:sz="4" w:space="0"/>
              <w:left w:val="single" w:color="000000" w:sz="4" w:space="0"/>
              <w:bottom w:val="single" w:color="000000" w:sz="4" w:space="0"/>
              <w:right w:val="single" w:color="000000" w:sz="4" w:space="0"/>
              <w:tl2br w:val="nil"/>
              <w:tr2bl w:val="nil"/>
            </w:tcBorders>
            <w:noWrap/>
            <w:vAlign w:val="center"/>
          </w:tcPr>
          <w:p>
            <w:pPr>
              <w:widowControl/>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lang w:val="en"/>
              </w:rPr>
              <w:t>201.1</w:t>
            </w:r>
          </w:p>
        </w:tc>
        <w:tc>
          <w:tcPr>
            <w:tcW w:w="379"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未取得房地产开发企业资质证书，擅自销售商品房的</w:t>
            </w:r>
          </w:p>
        </w:tc>
        <w:tc>
          <w:tcPr>
            <w:tcW w:w="1459"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第六条：“商品房预售实行预售许可制度。商品房预售条件及商品房预售许可证明的办理程序，按照《城市房地产开发经营管理条例》和《城市商品房预售管理办法》的有关规定执行。”</w:t>
            </w:r>
          </w:p>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第七条：“商品房现售，应当符合以下条件：</w:t>
            </w:r>
          </w:p>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（一）现售商品房的房地产开发企业应当具有企业法人营业执照和房地产开发企业资质证书；</w:t>
            </w:r>
          </w:p>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（二）取得土地使用权证书或者使用土地的批准文件；</w:t>
            </w:r>
          </w:p>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（三）持有建设工程规划许可证和施工许可证</w:t>
            </w:r>
          </w:p>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（四）已通过竣工验收；</w:t>
            </w:r>
          </w:p>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（五）拆迁安置已经落实；</w:t>
            </w:r>
          </w:p>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（六）供水、供电、供热、燃气、通讯等配套基础设施具备交付使用条件，其他配套基础设施和公共设施具备交付使用条件或者已确定施工进度和交付日期；</w:t>
            </w:r>
          </w:p>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（七）物业管理方案已经落实。”</w:t>
            </w:r>
          </w:p>
        </w:tc>
        <w:tc>
          <w:tcPr>
            <w:tcW w:w="481"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第三十七条：“未取得房地产开发企业资质证书，擅自销售商品房的，责令停止销售活动，处五万元以上十万元以下的罚款。”</w:t>
            </w:r>
          </w:p>
        </w:tc>
        <w:tc>
          <w:tcPr>
            <w:tcW w:w="402"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责令停产停业；罚款</w:t>
            </w:r>
          </w:p>
        </w:tc>
        <w:tc>
          <w:tcPr>
            <w:tcW w:w="443"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rPr>
              <w:t>从轻</w:t>
            </w:r>
          </w:p>
        </w:tc>
        <w:tc>
          <w:tcPr>
            <w:tcW w:w="779" w:type="pct"/>
            <w:tcBorders>
              <w:top w:val="single" w:color="000000" w:sz="4" w:space="0"/>
              <w:left w:val="single" w:color="000000" w:sz="4" w:space="0"/>
              <w:bottom w:val="single" w:color="000000" w:sz="4" w:space="0"/>
              <w:right w:val="single" w:color="000000" w:sz="4" w:space="0"/>
              <w:tl2br w:val="nil"/>
              <w:tr2bl w:val="nil"/>
            </w:tcBorders>
            <w:noWrap/>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擅自销售商品房十套以下的</w:t>
            </w:r>
          </w:p>
        </w:tc>
        <w:tc>
          <w:tcPr>
            <w:tcW w:w="789" w:type="pc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责令停止销售活动，处五万元以上、低于七万五千元罚款</w:t>
            </w:r>
          </w:p>
        </w:tc>
      </w:tr>
      <w:tr>
        <w:tblPrEx>
          <w:tblCellMar>
            <w:top w:w="0" w:type="dxa"/>
            <w:left w:w="108" w:type="dxa"/>
            <w:bottom w:w="0" w:type="dxa"/>
            <w:right w:w="108" w:type="dxa"/>
          </w:tblCellMar>
        </w:tblPrEx>
        <w:trPr>
          <w:trHeight w:val="2268" w:hRule="atLeast"/>
        </w:trPr>
        <w:tc>
          <w:tcPr>
            <w:tcW w:w="264" w:type="pct"/>
            <w:vMerge w:val="continue"/>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p>
        </w:tc>
        <w:tc>
          <w:tcPr>
            <w:tcW w:w="379"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center"/>
              <w:rPr>
                <w:rFonts w:hint="eastAsia" w:ascii="仿宋_GB2312" w:hAnsi="仿宋_GB2312" w:eastAsia="仿宋_GB2312" w:cs="仿宋_GB2312"/>
                <w:color w:val="000000"/>
                <w:szCs w:val="21"/>
              </w:rPr>
            </w:pPr>
          </w:p>
        </w:tc>
        <w:tc>
          <w:tcPr>
            <w:tcW w:w="1459"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center"/>
              <w:rPr>
                <w:rFonts w:hint="eastAsia" w:ascii="仿宋_GB2312" w:hAnsi="仿宋_GB2312" w:eastAsia="仿宋_GB2312" w:cs="仿宋_GB2312"/>
                <w:color w:val="000000"/>
                <w:szCs w:val="21"/>
              </w:rPr>
            </w:pPr>
          </w:p>
        </w:tc>
        <w:tc>
          <w:tcPr>
            <w:tcW w:w="481"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center"/>
              <w:rPr>
                <w:rFonts w:hint="eastAsia" w:ascii="仿宋_GB2312" w:hAnsi="仿宋_GB2312" w:eastAsia="仿宋_GB2312" w:cs="仿宋_GB2312"/>
                <w:color w:val="000000"/>
                <w:szCs w:val="21"/>
              </w:rPr>
            </w:pPr>
          </w:p>
        </w:tc>
        <w:tc>
          <w:tcPr>
            <w:tcW w:w="402"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center"/>
              <w:rPr>
                <w:rFonts w:hint="eastAsia" w:ascii="仿宋_GB2312" w:hAnsi="仿宋_GB2312" w:eastAsia="仿宋_GB2312" w:cs="仿宋_GB2312"/>
                <w:color w:val="000000"/>
                <w:szCs w:val="21"/>
              </w:rPr>
            </w:pPr>
          </w:p>
        </w:tc>
        <w:tc>
          <w:tcPr>
            <w:tcW w:w="443"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一般</w:t>
            </w:r>
          </w:p>
        </w:tc>
        <w:tc>
          <w:tcPr>
            <w:tcW w:w="779" w:type="pct"/>
            <w:tcBorders>
              <w:top w:val="single" w:color="000000" w:sz="4" w:space="0"/>
              <w:left w:val="single" w:color="000000" w:sz="4" w:space="0"/>
              <w:bottom w:val="single" w:color="000000" w:sz="4" w:space="0"/>
              <w:right w:val="single" w:color="000000" w:sz="4" w:space="0"/>
              <w:tl2br w:val="nil"/>
              <w:tr2bl w:val="nil"/>
            </w:tcBorders>
            <w:noWrap/>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擅自销售商品房超过十套少于三十套的</w:t>
            </w:r>
          </w:p>
        </w:tc>
        <w:tc>
          <w:tcPr>
            <w:tcW w:w="789" w:type="pc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责令停止销售活动，处七万五千元罚款</w:t>
            </w:r>
          </w:p>
        </w:tc>
      </w:tr>
      <w:tr>
        <w:tblPrEx>
          <w:tblCellMar>
            <w:top w:w="0" w:type="dxa"/>
            <w:left w:w="108" w:type="dxa"/>
            <w:bottom w:w="0" w:type="dxa"/>
            <w:right w:w="108" w:type="dxa"/>
          </w:tblCellMar>
        </w:tblPrEx>
        <w:trPr>
          <w:trHeight w:val="2268" w:hRule="atLeast"/>
        </w:trPr>
        <w:tc>
          <w:tcPr>
            <w:tcW w:w="264" w:type="pct"/>
            <w:vMerge w:val="continue"/>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p>
        </w:tc>
        <w:tc>
          <w:tcPr>
            <w:tcW w:w="379"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center"/>
              <w:rPr>
                <w:rFonts w:hint="eastAsia" w:ascii="仿宋_GB2312" w:hAnsi="仿宋_GB2312" w:eastAsia="仿宋_GB2312" w:cs="仿宋_GB2312"/>
                <w:color w:val="000000"/>
                <w:szCs w:val="21"/>
              </w:rPr>
            </w:pPr>
          </w:p>
        </w:tc>
        <w:tc>
          <w:tcPr>
            <w:tcW w:w="1459"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center"/>
              <w:rPr>
                <w:rFonts w:hint="eastAsia" w:ascii="仿宋_GB2312" w:hAnsi="仿宋_GB2312" w:eastAsia="仿宋_GB2312" w:cs="仿宋_GB2312"/>
                <w:color w:val="000000"/>
                <w:szCs w:val="21"/>
              </w:rPr>
            </w:pPr>
          </w:p>
        </w:tc>
        <w:tc>
          <w:tcPr>
            <w:tcW w:w="481"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center"/>
              <w:rPr>
                <w:rFonts w:hint="eastAsia" w:ascii="仿宋_GB2312" w:hAnsi="仿宋_GB2312" w:eastAsia="仿宋_GB2312" w:cs="仿宋_GB2312"/>
                <w:color w:val="000000"/>
                <w:szCs w:val="21"/>
              </w:rPr>
            </w:pPr>
          </w:p>
        </w:tc>
        <w:tc>
          <w:tcPr>
            <w:tcW w:w="402"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center"/>
              <w:rPr>
                <w:rFonts w:hint="eastAsia" w:ascii="仿宋_GB2312" w:hAnsi="仿宋_GB2312" w:eastAsia="仿宋_GB2312" w:cs="仿宋_GB2312"/>
                <w:color w:val="000000"/>
                <w:szCs w:val="21"/>
              </w:rPr>
            </w:pPr>
          </w:p>
        </w:tc>
        <w:tc>
          <w:tcPr>
            <w:tcW w:w="443"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rPr>
              <w:t>从重</w:t>
            </w:r>
          </w:p>
        </w:tc>
        <w:tc>
          <w:tcPr>
            <w:tcW w:w="779" w:type="pct"/>
            <w:tcBorders>
              <w:top w:val="single" w:color="000000" w:sz="4" w:space="0"/>
              <w:left w:val="single" w:color="000000" w:sz="4" w:space="0"/>
              <w:bottom w:val="single" w:color="000000" w:sz="4" w:space="0"/>
              <w:right w:val="single" w:color="000000" w:sz="4" w:space="0"/>
              <w:tl2br w:val="nil"/>
              <w:tr2bl w:val="nil"/>
            </w:tcBorders>
            <w:noWrap/>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擅自销售商品房三十套以上的</w:t>
            </w:r>
          </w:p>
        </w:tc>
        <w:tc>
          <w:tcPr>
            <w:tcW w:w="789" w:type="pc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责令停止销售活动，处超过七万五千元、十万元以下罚款</w:t>
            </w:r>
          </w:p>
        </w:tc>
      </w:tr>
    </w:tbl>
    <w:p>
      <w:pPr>
        <w:keepNext w:val="0"/>
        <w:keepLines w:val="0"/>
        <w:snapToGrid/>
        <w:outlineLvl w:val="9"/>
        <w:rPr>
          <w:rFonts w:hint="eastAsia" w:ascii="宋体" w:hAnsi="宋体"/>
          <w:b/>
          <w:color w:val="000000"/>
          <w:kern w:val="44"/>
          <w:sz w:val="32"/>
          <w:szCs w:val="24"/>
          <w:lang w:val="en"/>
        </w:rPr>
      </w:pPr>
      <w:r>
        <w:rPr>
          <w:rFonts w:ascii="宋体" w:hAnsi="宋体" w:eastAsia="宋体 (正文)"/>
          <w:color w:val="000000"/>
          <w:kern w:val="44"/>
          <w:sz w:val="32"/>
          <w:szCs w:val="24"/>
          <w:lang w:val="en"/>
        </w:rPr>
        <w:t>《商品房销售管理办法》</w:t>
      </w:r>
    </w:p>
    <w:tbl>
      <w:tblPr>
        <w:tblStyle w:val="11"/>
        <w:tblW w:w="5000" w:type="pct"/>
        <w:tblInd w:w="0" w:type="dxa"/>
        <w:tblLayout w:type="fixed"/>
        <w:tblCellMar>
          <w:top w:w="0" w:type="dxa"/>
          <w:left w:w="108" w:type="dxa"/>
          <w:bottom w:w="0" w:type="dxa"/>
          <w:right w:w="108" w:type="dxa"/>
        </w:tblCellMar>
      </w:tblPr>
      <w:tblGrid>
        <w:gridCol w:w="754"/>
        <w:gridCol w:w="1077"/>
        <w:gridCol w:w="1839"/>
        <w:gridCol w:w="1582"/>
        <w:gridCol w:w="1077"/>
        <w:gridCol w:w="1077"/>
        <w:gridCol w:w="2674"/>
        <w:gridCol w:w="4093"/>
      </w:tblGrid>
      <w:tr>
        <w:tblPrEx>
          <w:tblCellMar>
            <w:top w:w="0" w:type="dxa"/>
            <w:left w:w="108" w:type="dxa"/>
            <w:bottom w:w="0" w:type="dxa"/>
            <w:right w:w="108" w:type="dxa"/>
          </w:tblCellMar>
        </w:tblPrEx>
        <w:trPr>
          <w:trHeight w:val="567" w:hRule="atLeast"/>
        </w:trPr>
        <w:tc>
          <w:tcPr>
            <w:tcW w:w="266"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序号</w:t>
            </w:r>
          </w:p>
        </w:tc>
        <w:tc>
          <w:tcPr>
            <w:tcW w:w="380"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违法行为</w:t>
            </w:r>
          </w:p>
        </w:tc>
        <w:tc>
          <w:tcPr>
            <w:tcW w:w="649"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b/>
                <w:szCs w:val="21"/>
                <w:lang w:val="en"/>
              </w:rPr>
              <w:t>违反条款</w:t>
            </w:r>
          </w:p>
        </w:tc>
        <w:tc>
          <w:tcPr>
            <w:tcW w:w="558"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处罚依据</w:t>
            </w:r>
          </w:p>
        </w:tc>
        <w:tc>
          <w:tcPr>
            <w:tcW w:w="380"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处罚种类</w:t>
            </w:r>
          </w:p>
        </w:tc>
        <w:tc>
          <w:tcPr>
            <w:tcW w:w="380"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裁量阶次</w:t>
            </w:r>
          </w:p>
        </w:tc>
        <w:tc>
          <w:tcPr>
            <w:tcW w:w="943"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适用条件</w:t>
            </w:r>
          </w:p>
        </w:tc>
        <w:tc>
          <w:tcPr>
            <w:tcW w:w="1445"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具体标准</w:t>
            </w:r>
          </w:p>
        </w:tc>
      </w:tr>
      <w:tr>
        <w:tblPrEx>
          <w:tblCellMar>
            <w:top w:w="0" w:type="dxa"/>
            <w:left w:w="108" w:type="dxa"/>
            <w:bottom w:w="0" w:type="dxa"/>
            <w:right w:w="108" w:type="dxa"/>
          </w:tblCellMar>
        </w:tblPrEx>
        <w:trPr>
          <w:trHeight w:val="2268" w:hRule="atLeast"/>
        </w:trPr>
        <w:tc>
          <w:tcPr>
            <w:tcW w:w="266" w:type="pct"/>
            <w:vMerge w:val="restart"/>
            <w:tcBorders>
              <w:top w:val="single" w:color="000000" w:sz="4" w:space="0"/>
              <w:left w:val="single" w:color="000000" w:sz="4" w:space="0"/>
              <w:bottom w:val="single" w:color="000000" w:sz="4" w:space="0"/>
              <w:right w:val="single" w:color="000000" w:sz="4" w:space="0"/>
              <w:tl2br w:val="nil"/>
              <w:tr2bl w:val="nil"/>
            </w:tcBorders>
            <w:noWrap/>
            <w:vAlign w:val="center"/>
          </w:tcPr>
          <w:p>
            <w:pPr>
              <w:widowControl/>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lang w:val="en"/>
              </w:rPr>
              <w:t>201.2</w:t>
            </w:r>
          </w:p>
        </w:tc>
        <w:tc>
          <w:tcPr>
            <w:tcW w:w="380"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违反法律、法规规定，擅自预售商品房的</w:t>
            </w:r>
          </w:p>
        </w:tc>
        <w:tc>
          <w:tcPr>
            <w:tcW w:w="649"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第六条：“商品房预售实行预售许可制度。</w:t>
            </w:r>
          </w:p>
          <w:p>
            <w:pPr>
              <w:ind w:firstLine="420" w:firstLineChars="200"/>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商品房预售条件及商品房预售许可证明的办理程序，按照《城市房地产开发经营管理条例》和《城市商品房预售管理办法》的有关规定执行。”</w:t>
            </w:r>
          </w:p>
        </w:tc>
        <w:tc>
          <w:tcPr>
            <w:tcW w:w="558"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第三十八条：“违反法律、法规规定，擅自预售商品房的，责令停止违法行为，没收违法所得；收取预付款的，可以并处已收取的预付款百分之一以下的罚款。”</w:t>
            </w:r>
          </w:p>
        </w:tc>
        <w:tc>
          <w:tcPr>
            <w:tcW w:w="380"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罚款；没收违法所得</w:t>
            </w:r>
          </w:p>
        </w:tc>
        <w:tc>
          <w:tcPr>
            <w:tcW w:w="380"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rPr>
              <w:t>从轻</w:t>
            </w:r>
          </w:p>
        </w:tc>
        <w:tc>
          <w:tcPr>
            <w:tcW w:w="943" w:type="pct"/>
            <w:tcBorders>
              <w:top w:val="single" w:color="000000" w:sz="4" w:space="0"/>
              <w:left w:val="single" w:color="000000" w:sz="4" w:space="0"/>
              <w:bottom w:val="single" w:color="000000" w:sz="4" w:space="0"/>
              <w:right w:val="single" w:color="000000" w:sz="4" w:space="0"/>
              <w:tl2br w:val="nil"/>
              <w:tr2bl w:val="nil"/>
            </w:tcBorders>
            <w:noWrap/>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擅自预售商品房十套以下的</w:t>
            </w:r>
          </w:p>
        </w:tc>
        <w:tc>
          <w:tcPr>
            <w:tcW w:w="1445" w:type="pc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责令停止违法行为，没收违法所得；收取预付款的，可以并处已收取的预付款千分之二罚款</w:t>
            </w:r>
          </w:p>
        </w:tc>
      </w:tr>
      <w:tr>
        <w:tblPrEx>
          <w:tblCellMar>
            <w:top w:w="0" w:type="dxa"/>
            <w:left w:w="108" w:type="dxa"/>
            <w:bottom w:w="0" w:type="dxa"/>
            <w:right w:w="108" w:type="dxa"/>
          </w:tblCellMar>
        </w:tblPrEx>
        <w:trPr>
          <w:trHeight w:val="2268" w:hRule="atLeast"/>
        </w:trPr>
        <w:tc>
          <w:tcPr>
            <w:tcW w:w="266" w:type="pct"/>
            <w:vMerge w:val="continue"/>
            <w:tcBorders>
              <w:top w:val="single" w:color="000000" w:sz="4" w:space="0"/>
              <w:left w:val="single" w:color="000000" w:sz="4" w:space="0"/>
              <w:bottom w:val="single" w:color="000000" w:sz="4" w:space="0"/>
              <w:right w:val="single" w:color="000000" w:sz="4" w:space="0"/>
              <w:tl2br w:val="nil"/>
              <w:tr2bl w:val="nil"/>
            </w:tcBorders>
            <w:noWrap/>
            <w:vAlign w:val="center"/>
          </w:tcPr>
          <w:p>
            <w:pPr>
              <w:jc w:val="left"/>
              <w:rPr>
                <w:rFonts w:hint="eastAsia" w:ascii="仿宋_GB2312" w:hAnsi="仿宋_GB2312" w:eastAsia="仿宋_GB2312" w:cs="仿宋_GB2312"/>
                <w:color w:val="000000"/>
                <w:szCs w:val="21"/>
              </w:rPr>
            </w:pPr>
          </w:p>
        </w:tc>
        <w:tc>
          <w:tcPr>
            <w:tcW w:w="380"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649"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558"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380"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380"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一般</w:t>
            </w:r>
          </w:p>
        </w:tc>
        <w:tc>
          <w:tcPr>
            <w:tcW w:w="943" w:type="pct"/>
            <w:tcBorders>
              <w:top w:val="single" w:color="000000" w:sz="4" w:space="0"/>
              <w:left w:val="single" w:color="000000" w:sz="4" w:space="0"/>
              <w:bottom w:val="single" w:color="000000" w:sz="4" w:space="0"/>
              <w:right w:val="single" w:color="000000" w:sz="4" w:space="0"/>
              <w:tl2br w:val="nil"/>
              <w:tr2bl w:val="nil"/>
            </w:tcBorders>
            <w:noWrap/>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擅自预售商品房超过十套、三十套以下的</w:t>
            </w:r>
          </w:p>
        </w:tc>
        <w:tc>
          <w:tcPr>
            <w:tcW w:w="1445" w:type="pc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责令停止违法行为，没收违法所得；收取预付款的，可以并处已收取的预付款千分之五的罚款</w:t>
            </w:r>
          </w:p>
        </w:tc>
      </w:tr>
      <w:tr>
        <w:tblPrEx>
          <w:tblCellMar>
            <w:top w:w="0" w:type="dxa"/>
            <w:left w:w="108" w:type="dxa"/>
            <w:bottom w:w="0" w:type="dxa"/>
            <w:right w:w="108" w:type="dxa"/>
          </w:tblCellMar>
        </w:tblPrEx>
        <w:trPr>
          <w:trHeight w:val="2268" w:hRule="atLeast"/>
        </w:trPr>
        <w:tc>
          <w:tcPr>
            <w:tcW w:w="266" w:type="pct"/>
            <w:vMerge w:val="continue"/>
            <w:tcBorders>
              <w:top w:val="single" w:color="000000" w:sz="4" w:space="0"/>
              <w:left w:val="single" w:color="000000" w:sz="4" w:space="0"/>
              <w:bottom w:val="single" w:color="000000" w:sz="4" w:space="0"/>
              <w:right w:val="single" w:color="000000" w:sz="4" w:space="0"/>
              <w:tl2br w:val="nil"/>
              <w:tr2bl w:val="nil"/>
            </w:tcBorders>
            <w:noWrap/>
            <w:vAlign w:val="center"/>
          </w:tcPr>
          <w:p>
            <w:pPr>
              <w:jc w:val="left"/>
              <w:rPr>
                <w:rFonts w:hint="eastAsia" w:ascii="仿宋_GB2312" w:hAnsi="仿宋_GB2312" w:eastAsia="仿宋_GB2312" w:cs="仿宋_GB2312"/>
                <w:color w:val="000000"/>
                <w:szCs w:val="21"/>
              </w:rPr>
            </w:pPr>
          </w:p>
        </w:tc>
        <w:tc>
          <w:tcPr>
            <w:tcW w:w="380"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649"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558"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380"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380"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rPr>
              <w:t>从重</w:t>
            </w:r>
          </w:p>
        </w:tc>
        <w:tc>
          <w:tcPr>
            <w:tcW w:w="943" w:type="pct"/>
            <w:tcBorders>
              <w:top w:val="single" w:color="000000" w:sz="4" w:space="0"/>
              <w:left w:val="single" w:color="000000" w:sz="4" w:space="0"/>
              <w:bottom w:val="single" w:color="000000" w:sz="4" w:space="0"/>
              <w:right w:val="single" w:color="000000" w:sz="4" w:space="0"/>
              <w:tl2br w:val="nil"/>
              <w:tr2bl w:val="nil"/>
            </w:tcBorders>
            <w:noWrap/>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擅自预售商品房超过三十套的</w:t>
            </w:r>
          </w:p>
        </w:tc>
        <w:tc>
          <w:tcPr>
            <w:tcW w:w="1445" w:type="pc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责令停止违法行为，没收违法所得；收取预付款的，可以并处已收取的预付款超过千分之五、百分之一以下的罚款</w:t>
            </w:r>
          </w:p>
        </w:tc>
      </w:tr>
    </w:tbl>
    <w:p>
      <w:pPr>
        <w:keepNext w:val="0"/>
        <w:keepLines w:val="0"/>
        <w:snapToGrid/>
        <w:outlineLvl w:val="9"/>
        <w:rPr>
          <w:rFonts w:hint="eastAsia" w:ascii="宋体" w:hAnsi="宋体"/>
          <w:b/>
          <w:color w:val="000000"/>
          <w:kern w:val="44"/>
          <w:sz w:val="32"/>
          <w:szCs w:val="24"/>
          <w:lang w:val="en"/>
        </w:rPr>
      </w:pPr>
      <w:r>
        <w:rPr>
          <w:rFonts w:ascii="宋体" w:hAnsi="宋体"/>
          <w:b/>
          <w:color w:val="000000"/>
          <w:kern w:val="44"/>
          <w:sz w:val="32"/>
          <w:szCs w:val="24"/>
        </w:rPr>
        <w:br w:type="page"/>
      </w:r>
      <w:r>
        <w:rPr>
          <w:rFonts w:ascii="宋体" w:hAnsi="宋体" w:eastAsia="宋体 (正文)"/>
          <w:color w:val="000000"/>
          <w:kern w:val="44"/>
          <w:sz w:val="32"/>
          <w:szCs w:val="24"/>
          <w:lang w:val="en"/>
        </w:rPr>
        <w:t>《商品房销售管理办法》</w:t>
      </w:r>
    </w:p>
    <w:tbl>
      <w:tblPr>
        <w:tblStyle w:val="11"/>
        <w:tblW w:w="5000" w:type="pct"/>
        <w:tblInd w:w="0" w:type="dxa"/>
        <w:tblLayout w:type="fixed"/>
        <w:tblCellMar>
          <w:top w:w="0" w:type="dxa"/>
          <w:left w:w="108" w:type="dxa"/>
          <w:bottom w:w="0" w:type="dxa"/>
          <w:right w:w="108" w:type="dxa"/>
        </w:tblCellMar>
      </w:tblPr>
      <w:tblGrid>
        <w:gridCol w:w="741"/>
        <w:gridCol w:w="1058"/>
        <w:gridCol w:w="1058"/>
        <w:gridCol w:w="1789"/>
        <w:gridCol w:w="1273"/>
        <w:gridCol w:w="1245"/>
        <w:gridCol w:w="3357"/>
        <w:gridCol w:w="3654"/>
      </w:tblGrid>
      <w:tr>
        <w:tblPrEx>
          <w:tblCellMar>
            <w:top w:w="0" w:type="dxa"/>
            <w:left w:w="108" w:type="dxa"/>
            <w:bottom w:w="0" w:type="dxa"/>
            <w:right w:w="108" w:type="dxa"/>
          </w:tblCellMar>
        </w:tblPrEx>
        <w:trPr>
          <w:trHeight w:val="567" w:hRule="atLeast"/>
        </w:trPr>
        <w:tc>
          <w:tcPr>
            <w:tcW w:w="261"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序号</w:t>
            </w:r>
          </w:p>
        </w:tc>
        <w:tc>
          <w:tcPr>
            <w:tcW w:w="373"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违法行为</w:t>
            </w:r>
          </w:p>
        </w:tc>
        <w:tc>
          <w:tcPr>
            <w:tcW w:w="373"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b/>
                <w:szCs w:val="21"/>
                <w:lang w:val="en"/>
              </w:rPr>
              <w:t>违反条款</w:t>
            </w:r>
          </w:p>
        </w:tc>
        <w:tc>
          <w:tcPr>
            <w:tcW w:w="631"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处罚依据</w:t>
            </w:r>
          </w:p>
        </w:tc>
        <w:tc>
          <w:tcPr>
            <w:tcW w:w="449"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处罚种类</w:t>
            </w:r>
          </w:p>
        </w:tc>
        <w:tc>
          <w:tcPr>
            <w:tcW w:w="439"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裁量阶次</w:t>
            </w:r>
          </w:p>
        </w:tc>
        <w:tc>
          <w:tcPr>
            <w:tcW w:w="1184"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适用条件</w:t>
            </w:r>
          </w:p>
        </w:tc>
        <w:tc>
          <w:tcPr>
            <w:tcW w:w="1288"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具体标准</w:t>
            </w:r>
          </w:p>
        </w:tc>
      </w:tr>
      <w:tr>
        <w:tblPrEx>
          <w:tblCellMar>
            <w:top w:w="0" w:type="dxa"/>
            <w:left w:w="108" w:type="dxa"/>
            <w:bottom w:w="0" w:type="dxa"/>
            <w:right w:w="108" w:type="dxa"/>
          </w:tblCellMar>
        </w:tblPrEx>
        <w:trPr>
          <w:trHeight w:val="2268" w:hRule="atLeast"/>
        </w:trPr>
        <w:tc>
          <w:tcPr>
            <w:tcW w:w="261" w:type="pct"/>
            <w:vMerge w:val="restart"/>
            <w:tcBorders>
              <w:top w:val="single" w:color="000000" w:sz="4" w:space="0"/>
              <w:left w:val="single" w:color="000000" w:sz="4" w:space="0"/>
              <w:bottom w:val="single" w:color="000000" w:sz="4" w:space="0"/>
              <w:right w:val="single" w:color="000000" w:sz="4" w:space="0"/>
              <w:tl2br w:val="nil"/>
              <w:tr2bl w:val="nil"/>
            </w:tcBorders>
            <w:noWrap/>
            <w:vAlign w:val="center"/>
          </w:tcPr>
          <w:p>
            <w:pPr>
              <w:widowControl/>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lang w:val="en"/>
              </w:rPr>
              <w:t>201.3</w:t>
            </w:r>
          </w:p>
        </w:tc>
        <w:tc>
          <w:tcPr>
            <w:tcW w:w="373"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在未解除商品房买卖合同前，将作为合同标的物的商品房再行销售给他人的</w:t>
            </w:r>
          </w:p>
        </w:tc>
        <w:tc>
          <w:tcPr>
            <w:tcW w:w="373"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widowControl/>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第十条：“房地产开发企业不得在未解除商品房买卖合同前，将作为合同标的物的商品房再行销售给他人。”</w:t>
            </w:r>
          </w:p>
          <w:p>
            <w:pPr>
              <w:jc w:val="left"/>
              <w:rPr>
                <w:rFonts w:hint="eastAsia" w:ascii="仿宋_GB2312" w:hAnsi="仿宋_GB2312" w:eastAsia="仿宋_GB2312" w:cs="仿宋_GB2312"/>
                <w:color w:val="000000"/>
                <w:szCs w:val="21"/>
              </w:rPr>
            </w:pPr>
          </w:p>
        </w:tc>
        <w:tc>
          <w:tcPr>
            <w:tcW w:w="631"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第三十九条：“在未解除商品房买卖合同前，将作为合同标的物的商品房再行销售给他人的，处以警告，责令限期改正，并处二万元以上三万元以下罚款；构成犯罪的，依法追究刑事责任。”</w:t>
            </w:r>
          </w:p>
        </w:tc>
        <w:tc>
          <w:tcPr>
            <w:tcW w:w="449"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警告；罚款</w:t>
            </w:r>
          </w:p>
        </w:tc>
        <w:tc>
          <w:tcPr>
            <w:tcW w:w="439"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rPr>
              <w:t>从轻</w:t>
            </w:r>
          </w:p>
        </w:tc>
        <w:tc>
          <w:tcPr>
            <w:tcW w:w="1184" w:type="pct"/>
            <w:tcBorders>
              <w:top w:val="single" w:color="000000" w:sz="4" w:space="0"/>
              <w:left w:val="single" w:color="000000" w:sz="4" w:space="0"/>
              <w:bottom w:val="single" w:color="000000" w:sz="4" w:space="0"/>
              <w:right w:val="single" w:color="000000" w:sz="4" w:space="0"/>
              <w:tl2br w:val="nil"/>
              <w:tr2bl w:val="nil"/>
            </w:tcBorders>
            <w:noWrap/>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将作为合同标的物的已售商品房再行销售给他人一套的</w:t>
            </w:r>
          </w:p>
        </w:tc>
        <w:tc>
          <w:tcPr>
            <w:tcW w:w="1288" w:type="pc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警告，责令限期改正，</w:t>
            </w:r>
            <w:r>
              <w:rPr>
                <w:rFonts w:hint="eastAsia" w:ascii="仿宋_GB2312" w:hAnsi="仿宋_GB2312" w:eastAsia="仿宋_GB2312" w:cs="仿宋_GB2312"/>
                <w:color w:val="000000"/>
                <w:szCs w:val="21"/>
              </w:rPr>
              <w:t>并处二万元以上、低于二万五千元罚款</w:t>
            </w:r>
          </w:p>
        </w:tc>
      </w:tr>
      <w:tr>
        <w:tblPrEx>
          <w:tblCellMar>
            <w:top w:w="0" w:type="dxa"/>
            <w:left w:w="108" w:type="dxa"/>
            <w:bottom w:w="0" w:type="dxa"/>
            <w:right w:w="108" w:type="dxa"/>
          </w:tblCellMar>
        </w:tblPrEx>
        <w:trPr>
          <w:trHeight w:val="2268" w:hRule="atLeast"/>
        </w:trPr>
        <w:tc>
          <w:tcPr>
            <w:tcW w:w="261" w:type="pct"/>
            <w:vMerge w:val="continue"/>
            <w:tcBorders>
              <w:top w:val="single" w:color="000000" w:sz="4" w:space="0"/>
              <w:left w:val="single" w:color="000000" w:sz="4" w:space="0"/>
              <w:bottom w:val="single" w:color="000000" w:sz="4" w:space="0"/>
              <w:right w:val="single" w:color="000000" w:sz="4" w:space="0"/>
              <w:tl2br w:val="nil"/>
              <w:tr2bl w:val="nil"/>
            </w:tcBorders>
            <w:noWrap/>
            <w:vAlign w:val="center"/>
          </w:tcPr>
          <w:p>
            <w:pPr>
              <w:jc w:val="left"/>
              <w:rPr>
                <w:rFonts w:hint="eastAsia" w:ascii="仿宋_GB2312" w:hAnsi="仿宋_GB2312" w:eastAsia="仿宋_GB2312" w:cs="仿宋_GB2312"/>
                <w:color w:val="000000"/>
                <w:szCs w:val="21"/>
              </w:rPr>
            </w:pPr>
          </w:p>
        </w:tc>
        <w:tc>
          <w:tcPr>
            <w:tcW w:w="373"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373"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631"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449"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439"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一般</w:t>
            </w:r>
          </w:p>
        </w:tc>
        <w:tc>
          <w:tcPr>
            <w:tcW w:w="1184" w:type="pct"/>
            <w:tcBorders>
              <w:top w:val="single" w:color="000000" w:sz="4" w:space="0"/>
              <w:left w:val="single" w:color="000000" w:sz="4" w:space="0"/>
              <w:bottom w:val="single" w:color="000000" w:sz="4" w:space="0"/>
              <w:right w:val="single" w:color="000000" w:sz="4" w:space="0"/>
              <w:tl2br w:val="nil"/>
              <w:tr2bl w:val="nil"/>
            </w:tcBorders>
            <w:noWrap/>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将作为合同标的物的已售商品房再行销售给他人二套的</w:t>
            </w:r>
          </w:p>
        </w:tc>
        <w:tc>
          <w:tcPr>
            <w:tcW w:w="1288" w:type="pc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警告，责令限期改正，</w:t>
            </w:r>
            <w:r>
              <w:rPr>
                <w:rFonts w:hint="eastAsia" w:ascii="仿宋_GB2312" w:hAnsi="仿宋_GB2312" w:eastAsia="仿宋_GB2312" w:cs="仿宋_GB2312"/>
                <w:color w:val="000000"/>
                <w:szCs w:val="21"/>
              </w:rPr>
              <w:t>并处以二万五千元罚款</w:t>
            </w:r>
          </w:p>
        </w:tc>
      </w:tr>
      <w:tr>
        <w:tblPrEx>
          <w:tblCellMar>
            <w:top w:w="0" w:type="dxa"/>
            <w:left w:w="108" w:type="dxa"/>
            <w:bottom w:w="0" w:type="dxa"/>
            <w:right w:w="108" w:type="dxa"/>
          </w:tblCellMar>
        </w:tblPrEx>
        <w:trPr>
          <w:trHeight w:val="2268" w:hRule="atLeast"/>
        </w:trPr>
        <w:tc>
          <w:tcPr>
            <w:tcW w:w="261" w:type="pct"/>
            <w:vMerge w:val="continue"/>
            <w:tcBorders>
              <w:top w:val="single" w:color="000000" w:sz="4" w:space="0"/>
              <w:left w:val="single" w:color="000000" w:sz="4" w:space="0"/>
              <w:bottom w:val="single" w:color="000000" w:sz="4" w:space="0"/>
              <w:right w:val="single" w:color="000000" w:sz="4" w:space="0"/>
              <w:tl2br w:val="nil"/>
              <w:tr2bl w:val="nil"/>
            </w:tcBorders>
            <w:noWrap/>
            <w:vAlign w:val="center"/>
          </w:tcPr>
          <w:p>
            <w:pPr>
              <w:jc w:val="left"/>
              <w:rPr>
                <w:rFonts w:hint="eastAsia" w:ascii="仿宋_GB2312" w:hAnsi="仿宋_GB2312" w:eastAsia="仿宋_GB2312" w:cs="仿宋_GB2312"/>
                <w:color w:val="000000"/>
                <w:szCs w:val="21"/>
              </w:rPr>
            </w:pPr>
          </w:p>
        </w:tc>
        <w:tc>
          <w:tcPr>
            <w:tcW w:w="373"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373"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631"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449"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439"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rPr>
              <w:t>从重</w:t>
            </w:r>
          </w:p>
        </w:tc>
        <w:tc>
          <w:tcPr>
            <w:tcW w:w="1184" w:type="pct"/>
            <w:tcBorders>
              <w:top w:val="single" w:color="000000" w:sz="4" w:space="0"/>
              <w:left w:val="single" w:color="000000" w:sz="4" w:space="0"/>
              <w:bottom w:val="single" w:color="000000" w:sz="4" w:space="0"/>
              <w:right w:val="single" w:color="000000" w:sz="4" w:space="0"/>
              <w:tl2br w:val="nil"/>
              <w:tr2bl w:val="nil"/>
            </w:tcBorders>
            <w:noWrap/>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将作为合同标的物的已售商品房再行销售给他人三套以上的</w:t>
            </w:r>
          </w:p>
        </w:tc>
        <w:tc>
          <w:tcPr>
            <w:tcW w:w="1288" w:type="pc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警告，责令限期改正，</w:t>
            </w:r>
            <w:r>
              <w:rPr>
                <w:rFonts w:hint="eastAsia" w:ascii="仿宋_GB2312" w:hAnsi="仿宋_GB2312" w:eastAsia="仿宋_GB2312" w:cs="仿宋_GB2312"/>
                <w:color w:val="000000"/>
                <w:szCs w:val="21"/>
              </w:rPr>
              <w:t>并处超过二万五千元、三万元以下罚款</w:t>
            </w:r>
          </w:p>
        </w:tc>
      </w:tr>
    </w:tbl>
    <w:p>
      <w:pPr>
        <w:keepNext w:val="0"/>
        <w:keepLines w:val="0"/>
        <w:snapToGrid/>
        <w:outlineLvl w:val="9"/>
        <w:rPr>
          <w:rFonts w:hint="eastAsia" w:ascii="宋体" w:hAnsi="宋体"/>
          <w:b/>
          <w:color w:val="000000"/>
          <w:kern w:val="44"/>
          <w:sz w:val="32"/>
          <w:szCs w:val="24"/>
          <w:lang w:val="en"/>
        </w:rPr>
      </w:pPr>
      <w:r>
        <w:rPr>
          <w:rFonts w:ascii="宋体" w:hAnsi="宋体"/>
          <w:b/>
          <w:color w:val="000000"/>
          <w:kern w:val="44"/>
          <w:sz w:val="32"/>
          <w:szCs w:val="24"/>
        </w:rPr>
        <w:br w:type="page"/>
      </w:r>
      <w:r>
        <w:rPr>
          <w:rFonts w:ascii="宋体" w:hAnsi="宋体" w:eastAsia="宋体 (正文)"/>
          <w:color w:val="000000"/>
          <w:kern w:val="44"/>
          <w:sz w:val="32"/>
          <w:szCs w:val="24"/>
          <w:lang w:val="en"/>
        </w:rPr>
        <w:t>《商品房销售管理办法》</w:t>
      </w:r>
    </w:p>
    <w:tbl>
      <w:tblPr>
        <w:tblStyle w:val="11"/>
        <w:tblW w:w="5000" w:type="pct"/>
        <w:tblInd w:w="0" w:type="dxa"/>
        <w:tblLayout w:type="fixed"/>
        <w:tblCellMar>
          <w:top w:w="0" w:type="dxa"/>
          <w:left w:w="108" w:type="dxa"/>
          <w:bottom w:w="0" w:type="dxa"/>
          <w:right w:w="108" w:type="dxa"/>
        </w:tblCellMar>
      </w:tblPr>
      <w:tblGrid>
        <w:gridCol w:w="860"/>
        <w:gridCol w:w="1009"/>
        <w:gridCol w:w="2880"/>
        <w:gridCol w:w="1584"/>
        <w:gridCol w:w="1153"/>
        <w:gridCol w:w="1151"/>
        <w:gridCol w:w="2880"/>
        <w:gridCol w:w="2656"/>
      </w:tblGrid>
      <w:tr>
        <w:tblPrEx>
          <w:tblCellMar>
            <w:top w:w="0" w:type="dxa"/>
            <w:left w:w="108" w:type="dxa"/>
            <w:bottom w:w="0" w:type="dxa"/>
            <w:right w:w="108" w:type="dxa"/>
          </w:tblCellMar>
        </w:tblPrEx>
        <w:trPr>
          <w:trHeight w:val="567" w:hRule="atLeast"/>
        </w:trPr>
        <w:tc>
          <w:tcPr>
            <w:tcW w:w="303"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序号</w:t>
            </w:r>
          </w:p>
        </w:tc>
        <w:tc>
          <w:tcPr>
            <w:tcW w:w="356"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违法行为</w:t>
            </w:r>
          </w:p>
        </w:tc>
        <w:tc>
          <w:tcPr>
            <w:tcW w:w="1016"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b/>
                <w:szCs w:val="21"/>
                <w:lang w:val="en"/>
              </w:rPr>
              <w:t>违反条款</w:t>
            </w:r>
          </w:p>
        </w:tc>
        <w:tc>
          <w:tcPr>
            <w:tcW w:w="559"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处罚依据</w:t>
            </w:r>
          </w:p>
        </w:tc>
        <w:tc>
          <w:tcPr>
            <w:tcW w:w="40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处罚种类</w:t>
            </w:r>
          </w:p>
        </w:tc>
        <w:tc>
          <w:tcPr>
            <w:tcW w:w="406"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裁量阶次</w:t>
            </w:r>
          </w:p>
        </w:tc>
        <w:tc>
          <w:tcPr>
            <w:tcW w:w="1016"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适用条件</w:t>
            </w:r>
          </w:p>
        </w:tc>
        <w:tc>
          <w:tcPr>
            <w:tcW w:w="93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具体标准</w:t>
            </w:r>
          </w:p>
        </w:tc>
      </w:tr>
      <w:tr>
        <w:tblPrEx>
          <w:tblCellMar>
            <w:top w:w="0" w:type="dxa"/>
            <w:left w:w="108" w:type="dxa"/>
            <w:bottom w:w="0" w:type="dxa"/>
            <w:right w:w="108" w:type="dxa"/>
          </w:tblCellMar>
        </w:tblPrEx>
        <w:trPr>
          <w:trHeight w:val="2268" w:hRule="atLeast"/>
        </w:trPr>
        <w:tc>
          <w:tcPr>
            <w:tcW w:w="303" w:type="pct"/>
            <w:vMerge w:val="restart"/>
            <w:tcBorders>
              <w:top w:val="single" w:color="000000" w:sz="4" w:space="0"/>
              <w:left w:val="single" w:color="000000" w:sz="4" w:space="0"/>
              <w:bottom w:val="single" w:color="000000" w:sz="4" w:space="0"/>
              <w:right w:val="single" w:color="000000" w:sz="4" w:space="0"/>
              <w:tl2br w:val="nil"/>
              <w:tr2bl w:val="nil"/>
            </w:tcBorders>
            <w:noWrap/>
            <w:vAlign w:val="center"/>
          </w:tcPr>
          <w:p>
            <w:pPr>
              <w:widowControl/>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lang w:val="en"/>
              </w:rPr>
              <w:t>201.4</w:t>
            </w:r>
          </w:p>
        </w:tc>
        <w:tc>
          <w:tcPr>
            <w:tcW w:w="356"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房地产开发企业未按规定将测绘成果或者需要由其提供的办理房屋权属登记的资料报送房地产行政主管部门的</w:t>
            </w:r>
          </w:p>
        </w:tc>
        <w:tc>
          <w:tcPr>
            <w:tcW w:w="1016"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widowControl/>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第三十四条：“房地产开发企业应当在商品房交付使用前按项目委托具有房产测绘资格的单位实施测绘，测绘成果报房地产行政主管部门审核后用于房屋权属登记。</w:t>
            </w:r>
          </w:p>
          <w:p>
            <w:pPr>
              <w:widowControl/>
              <w:ind w:firstLine="420" w:firstLineChars="200"/>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房地产开发企业应当在商品房交付使用之日起60日内，将需要由其提供的办理房屋权属登记的资料报送房屋所在地房地产行政主管部门。</w:t>
            </w:r>
          </w:p>
          <w:p>
            <w:pPr>
              <w:widowControl/>
              <w:ind w:firstLine="420" w:firstLineChars="200"/>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房地产开发企业应当协助商品房买受人办理土地使用权变更和房屋所有权登记手续。”</w:t>
            </w:r>
          </w:p>
        </w:tc>
        <w:tc>
          <w:tcPr>
            <w:tcW w:w="559"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第四十一条：房地产开发企业未按规定将测绘成果或者需要由其提供的办理房屋权属登记的资料报送房地产行政主管部门的，处以警告，责令限期改正，并可处以二万元以上三万元以下罚款。</w:t>
            </w:r>
          </w:p>
        </w:tc>
        <w:tc>
          <w:tcPr>
            <w:tcW w:w="407"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警告；罚款</w:t>
            </w:r>
          </w:p>
        </w:tc>
        <w:tc>
          <w:tcPr>
            <w:tcW w:w="406"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rPr>
              <w:t>从轻</w:t>
            </w:r>
          </w:p>
        </w:tc>
        <w:tc>
          <w:tcPr>
            <w:tcW w:w="1016" w:type="pct"/>
            <w:tcBorders>
              <w:top w:val="single" w:color="000000" w:sz="4" w:space="0"/>
              <w:left w:val="single" w:color="000000" w:sz="4" w:space="0"/>
              <w:bottom w:val="single" w:color="000000" w:sz="4" w:space="0"/>
              <w:right w:val="single" w:color="000000" w:sz="4" w:space="0"/>
              <w:tl2br w:val="nil"/>
              <w:tr2bl w:val="nil"/>
            </w:tcBorders>
            <w:noWrap/>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szCs w:val="21"/>
              </w:rPr>
              <w:t>未将测绘成果或者办理房屋权属登记的资料报送房地产行政主管部门三个月以下</w:t>
            </w:r>
          </w:p>
        </w:tc>
        <w:tc>
          <w:tcPr>
            <w:tcW w:w="937" w:type="pc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警告，责令限期改正，</w:t>
            </w:r>
            <w:r>
              <w:rPr>
                <w:rFonts w:hint="eastAsia" w:ascii="仿宋_GB2312" w:hAnsi="仿宋_GB2312" w:eastAsia="仿宋_GB2312" w:cs="仿宋_GB2312"/>
                <w:color w:val="000000"/>
                <w:szCs w:val="21"/>
              </w:rPr>
              <w:t>并可处二万元以上、低于二万五千元罚款</w:t>
            </w:r>
          </w:p>
        </w:tc>
      </w:tr>
      <w:tr>
        <w:tblPrEx>
          <w:tblCellMar>
            <w:top w:w="0" w:type="dxa"/>
            <w:left w:w="108" w:type="dxa"/>
            <w:bottom w:w="0" w:type="dxa"/>
            <w:right w:w="108" w:type="dxa"/>
          </w:tblCellMar>
        </w:tblPrEx>
        <w:trPr>
          <w:trHeight w:val="2268" w:hRule="atLeast"/>
        </w:trPr>
        <w:tc>
          <w:tcPr>
            <w:tcW w:w="303" w:type="pct"/>
            <w:vMerge w:val="continue"/>
            <w:tcBorders>
              <w:top w:val="single" w:color="000000" w:sz="4" w:space="0"/>
              <w:left w:val="single" w:color="000000" w:sz="4" w:space="0"/>
              <w:bottom w:val="single" w:color="000000" w:sz="4" w:space="0"/>
              <w:right w:val="single" w:color="000000" w:sz="4" w:space="0"/>
              <w:tl2br w:val="nil"/>
              <w:tr2bl w:val="nil"/>
            </w:tcBorders>
            <w:noWrap/>
            <w:vAlign w:val="center"/>
          </w:tcPr>
          <w:p>
            <w:pPr>
              <w:jc w:val="left"/>
              <w:rPr>
                <w:rFonts w:hint="eastAsia" w:ascii="仿宋_GB2312" w:hAnsi="仿宋_GB2312" w:eastAsia="仿宋_GB2312" w:cs="仿宋_GB2312"/>
                <w:color w:val="000000"/>
                <w:szCs w:val="21"/>
              </w:rPr>
            </w:pPr>
          </w:p>
        </w:tc>
        <w:tc>
          <w:tcPr>
            <w:tcW w:w="356"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1016"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559"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407"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406"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一般</w:t>
            </w:r>
          </w:p>
        </w:tc>
        <w:tc>
          <w:tcPr>
            <w:tcW w:w="1016" w:type="pct"/>
            <w:tcBorders>
              <w:top w:val="single" w:color="000000" w:sz="4" w:space="0"/>
              <w:left w:val="single" w:color="000000" w:sz="4" w:space="0"/>
              <w:bottom w:val="single" w:color="000000" w:sz="4" w:space="0"/>
              <w:right w:val="single" w:color="000000" w:sz="4" w:space="0"/>
              <w:tl2br w:val="nil"/>
              <w:tr2bl w:val="nil"/>
            </w:tcBorders>
            <w:noWrap/>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szCs w:val="21"/>
              </w:rPr>
              <w:t>未将测绘成果或者办理房屋权属登记的资料报送房地产行政主管部门超过三个月、六个月以下</w:t>
            </w:r>
          </w:p>
        </w:tc>
        <w:tc>
          <w:tcPr>
            <w:tcW w:w="937" w:type="pc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警告，责令限期改正，</w:t>
            </w:r>
            <w:r>
              <w:rPr>
                <w:rFonts w:hint="eastAsia" w:ascii="仿宋_GB2312" w:hAnsi="仿宋_GB2312" w:eastAsia="仿宋_GB2312" w:cs="仿宋_GB2312"/>
                <w:color w:val="000000"/>
                <w:szCs w:val="21"/>
              </w:rPr>
              <w:t>并可处以二万五千元罚款</w:t>
            </w:r>
          </w:p>
        </w:tc>
      </w:tr>
      <w:tr>
        <w:tblPrEx>
          <w:tblCellMar>
            <w:top w:w="0" w:type="dxa"/>
            <w:left w:w="108" w:type="dxa"/>
            <w:bottom w:w="0" w:type="dxa"/>
            <w:right w:w="108" w:type="dxa"/>
          </w:tblCellMar>
        </w:tblPrEx>
        <w:trPr>
          <w:trHeight w:val="2268" w:hRule="atLeast"/>
        </w:trPr>
        <w:tc>
          <w:tcPr>
            <w:tcW w:w="303" w:type="pct"/>
            <w:vMerge w:val="continue"/>
            <w:tcBorders>
              <w:top w:val="single" w:color="000000" w:sz="4" w:space="0"/>
              <w:left w:val="single" w:color="000000" w:sz="4" w:space="0"/>
              <w:bottom w:val="single" w:color="000000" w:sz="4" w:space="0"/>
              <w:right w:val="single" w:color="000000" w:sz="4" w:space="0"/>
              <w:tl2br w:val="nil"/>
              <w:tr2bl w:val="nil"/>
            </w:tcBorders>
            <w:noWrap/>
            <w:vAlign w:val="center"/>
          </w:tcPr>
          <w:p>
            <w:pPr>
              <w:jc w:val="left"/>
              <w:rPr>
                <w:rFonts w:hint="eastAsia" w:ascii="仿宋_GB2312" w:hAnsi="仿宋_GB2312" w:eastAsia="仿宋_GB2312" w:cs="仿宋_GB2312"/>
                <w:color w:val="000000"/>
                <w:szCs w:val="21"/>
              </w:rPr>
            </w:pPr>
          </w:p>
        </w:tc>
        <w:tc>
          <w:tcPr>
            <w:tcW w:w="356"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1016"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559"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407"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406"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rPr>
              <w:t>从重</w:t>
            </w:r>
          </w:p>
        </w:tc>
        <w:tc>
          <w:tcPr>
            <w:tcW w:w="1016" w:type="pct"/>
            <w:tcBorders>
              <w:top w:val="single" w:color="000000" w:sz="4" w:space="0"/>
              <w:left w:val="single" w:color="000000" w:sz="4" w:space="0"/>
              <w:bottom w:val="single" w:color="000000" w:sz="4" w:space="0"/>
              <w:right w:val="single" w:color="000000" w:sz="4" w:space="0"/>
              <w:tl2br w:val="nil"/>
              <w:tr2bl w:val="nil"/>
            </w:tcBorders>
            <w:noWrap/>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szCs w:val="21"/>
              </w:rPr>
              <w:t>未将测绘成果或者办理房屋权属登记的资料报送房地产行政主管部门超过六个月</w:t>
            </w:r>
          </w:p>
        </w:tc>
        <w:tc>
          <w:tcPr>
            <w:tcW w:w="937" w:type="pc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警告，责令限期改正，</w:t>
            </w:r>
            <w:r>
              <w:rPr>
                <w:rFonts w:hint="eastAsia" w:ascii="仿宋_GB2312" w:hAnsi="仿宋_GB2312" w:eastAsia="仿宋_GB2312" w:cs="仿宋_GB2312"/>
                <w:color w:val="000000"/>
                <w:szCs w:val="21"/>
              </w:rPr>
              <w:t>并处超过二万五千元、三万元以下罚款</w:t>
            </w:r>
          </w:p>
        </w:tc>
      </w:tr>
    </w:tbl>
    <w:p>
      <w:pPr>
        <w:keepNext w:val="0"/>
        <w:keepLines w:val="0"/>
        <w:snapToGrid/>
        <w:outlineLvl w:val="9"/>
        <w:rPr>
          <w:rFonts w:hint="eastAsia" w:ascii="宋体" w:hAnsi="宋体"/>
          <w:b/>
          <w:color w:val="000000"/>
          <w:kern w:val="44"/>
          <w:sz w:val="32"/>
          <w:szCs w:val="24"/>
          <w:lang w:val="en"/>
        </w:rPr>
      </w:pPr>
      <w:r>
        <w:rPr>
          <w:rFonts w:ascii="宋体" w:hAnsi="宋体"/>
          <w:b/>
          <w:color w:val="000000"/>
          <w:kern w:val="44"/>
          <w:sz w:val="32"/>
          <w:szCs w:val="24"/>
        </w:rPr>
        <w:br w:type="page"/>
      </w:r>
      <w:r>
        <w:rPr>
          <w:rFonts w:ascii="宋体" w:hAnsi="宋体" w:eastAsia="宋体 (正文)"/>
          <w:color w:val="000000"/>
          <w:kern w:val="44"/>
          <w:sz w:val="32"/>
          <w:szCs w:val="24"/>
          <w:lang w:val="en"/>
        </w:rPr>
        <w:t>《商品房销售管理办法》</w:t>
      </w:r>
    </w:p>
    <w:tbl>
      <w:tblPr>
        <w:tblStyle w:val="11"/>
        <w:tblW w:w="5000" w:type="pct"/>
        <w:tblInd w:w="0" w:type="dxa"/>
        <w:tblLayout w:type="fixed"/>
        <w:tblCellMar>
          <w:top w:w="0" w:type="dxa"/>
          <w:left w:w="108" w:type="dxa"/>
          <w:bottom w:w="0" w:type="dxa"/>
          <w:right w:w="108" w:type="dxa"/>
        </w:tblCellMar>
      </w:tblPr>
      <w:tblGrid>
        <w:gridCol w:w="754"/>
        <w:gridCol w:w="1077"/>
        <w:gridCol w:w="3348"/>
        <w:gridCol w:w="1730"/>
        <w:gridCol w:w="1443"/>
        <w:gridCol w:w="1153"/>
        <w:gridCol w:w="3107"/>
        <w:gridCol w:w="1562"/>
      </w:tblGrid>
      <w:tr>
        <w:tblPrEx>
          <w:tblCellMar>
            <w:top w:w="0" w:type="dxa"/>
            <w:left w:w="108" w:type="dxa"/>
            <w:bottom w:w="0" w:type="dxa"/>
            <w:right w:w="108" w:type="dxa"/>
          </w:tblCellMar>
        </w:tblPrEx>
        <w:trPr>
          <w:trHeight w:val="567" w:hRule="atLeast"/>
        </w:trPr>
        <w:tc>
          <w:tcPr>
            <w:tcW w:w="266"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序号</w:t>
            </w:r>
          </w:p>
        </w:tc>
        <w:tc>
          <w:tcPr>
            <w:tcW w:w="380"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违法行为</w:t>
            </w:r>
          </w:p>
        </w:tc>
        <w:tc>
          <w:tcPr>
            <w:tcW w:w="1181"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b/>
                <w:szCs w:val="21"/>
                <w:lang w:val="en"/>
              </w:rPr>
              <w:t>违反条款</w:t>
            </w:r>
          </w:p>
        </w:tc>
        <w:tc>
          <w:tcPr>
            <w:tcW w:w="610"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处罚依据</w:t>
            </w:r>
          </w:p>
        </w:tc>
        <w:tc>
          <w:tcPr>
            <w:tcW w:w="509"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处罚种类</w:t>
            </w:r>
          </w:p>
        </w:tc>
        <w:tc>
          <w:tcPr>
            <w:tcW w:w="40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裁量阶次</w:t>
            </w:r>
          </w:p>
        </w:tc>
        <w:tc>
          <w:tcPr>
            <w:tcW w:w="1096"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适用条件</w:t>
            </w:r>
          </w:p>
        </w:tc>
        <w:tc>
          <w:tcPr>
            <w:tcW w:w="551"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具体标准</w:t>
            </w:r>
          </w:p>
        </w:tc>
      </w:tr>
      <w:tr>
        <w:tblPrEx>
          <w:tblCellMar>
            <w:top w:w="0" w:type="dxa"/>
            <w:left w:w="108" w:type="dxa"/>
            <w:bottom w:w="0" w:type="dxa"/>
            <w:right w:w="108" w:type="dxa"/>
          </w:tblCellMar>
        </w:tblPrEx>
        <w:trPr>
          <w:trHeight w:val="2268" w:hRule="atLeast"/>
        </w:trPr>
        <w:tc>
          <w:tcPr>
            <w:tcW w:w="266" w:type="pct"/>
            <w:vMerge w:val="restart"/>
            <w:tcBorders>
              <w:top w:val="single" w:color="000000" w:sz="4" w:space="0"/>
              <w:left w:val="single" w:color="000000" w:sz="4" w:space="0"/>
              <w:bottom w:val="single" w:color="000000" w:sz="4" w:space="0"/>
              <w:right w:val="single" w:color="000000" w:sz="4" w:space="0"/>
              <w:tl2br w:val="nil"/>
              <w:tr2bl w:val="nil"/>
            </w:tcBorders>
            <w:noWrap/>
            <w:vAlign w:val="center"/>
          </w:tcPr>
          <w:p>
            <w:pPr>
              <w:widowControl/>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lang w:val="en"/>
              </w:rPr>
              <w:t>201.5</w:t>
            </w:r>
          </w:p>
        </w:tc>
        <w:tc>
          <w:tcPr>
            <w:tcW w:w="380"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未按照规定的现售条件现售商品房的</w:t>
            </w:r>
          </w:p>
        </w:tc>
        <w:tc>
          <w:tcPr>
            <w:tcW w:w="1181"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widowControl/>
              <w:numPr>
                <w:ilvl w:val="255"/>
                <w:numId w:val="0"/>
              </w:numPr>
              <w:jc w:val="left"/>
              <w:rPr>
                <w:rFonts w:hint="eastAsia" w:ascii="仿宋_GB2312" w:hAnsi="仿宋_GB2312" w:eastAsia="仿宋_GB2312" w:cs="仿宋_GB2312"/>
              </w:rPr>
            </w:pPr>
            <w:r>
              <w:rPr>
                <w:rFonts w:hint="eastAsia" w:ascii="仿宋_GB2312" w:hAnsi="仿宋_GB2312" w:eastAsia="仿宋_GB2312" w:cs="仿宋_GB2312"/>
              </w:rPr>
              <w:t>第七条：“商品房现售，应当符合以下条件：</w:t>
            </w:r>
          </w:p>
          <w:p>
            <w:pPr>
              <w:widowControl/>
              <w:numPr>
                <w:ilvl w:val="255"/>
                <w:numId w:val="0"/>
              </w:numPr>
              <w:jc w:val="left"/>
              <w:rPr>
                <w:rFonts w:hint="eastAsia" w:ascii="仿宋_GB2312" w:hAnsi="仿宋_GB2312" w:eastAsia="仿宋_GB2312" w:cs="仿宋_GB2312"/>
              </w:rPr>
            </w:pPr>
            <w:r>
              <w:rPr>
                <w:rFonts w:hint="eastAsia" w:ascii="仿宋_GB2312" w:hAnsi="仿宋_GB2312" w:eastAsia="仿宋_GB2312" w:cs="仿宋_GB2312"/>
              </w:rPr>
              <w:t>（一）现售商品房的房地产开发企业应当具有企业法人营业执照和房地产开发企业资质证书；</w:t>
            </w:r>
          </w:p>
          <w:p>
            <w:pPr>
              <w:widowControl/>
              <w:numPr>
                <w:ilvl w:val="255"/>
                <w:numId w:val="0"/>
              </w:numPr>
              <w:jc w:val="left"/>
              <w:rPr>
                <w:rFonts w:hint="eastAsia" w:ascii="仿宋_GB2312" w:hAnsi="仿宋_GB2312" w:eastAsia="仿宋_GB2312" w:cs="仿宋_GB2312"/>
              </w:rPr>
            </w:pPr>
            <w:r>
              <w:rPr>
                <w:rFonts w:hint="eastAsia" w:ascii="仿宋_GB2312" w:hAnsi="仿宋_GB2312" w:eastAsia="仿宋_GB2312" w:cs="仿宋_GB2312"/>
              </w:rPr>
              <w:t>（二）取得土地使用权证书或者使用土地的批准文件；</w:t>
            </w:r>
          </w:p>
          <w:p>
            <w:pPr>
              <w:widowControl/>
              <w:numPr>
                <w:ilvl w:val="255"/>
                <w:numId w:val="0"/>
              </w:numPr>
              <w:jc w:val="left"/>
              <w:rPr>
                <w:rFonts w:hint="eastAsia" w:ascii="仿宋_GB2312" w:hAnsi="仿宋_GB2312" w:eastAsia="仿宋_GB2312" w:cs="仿宋_GB2312"/>
              </w:rPr>
            </w:pPr>
            <w:r>
              <w:rPr>
                <w:rFonts w:hint="eastAsia" w:ascii="仿宋_GB2312" w:hAnsi="仿宋_GB2312" w:eastAsia="仿宋_GB2312" w:cs="仿宋_GB2312"/>
              </w:rPr>
              <w:t>（三）持有建设工程规划许可证和施工许可证；</w:t>
            </w:r>
          </w:p>
          <w:p>
            <w:pPr>
              <w:widowControl/>
              <w:numPr>
                <w:ilvl w:val="255"/>
                <w:numId w:val="0"/>
              </w:numPr>
              <w:jc w:val="left"/>
              <w:rPr>
                <w:rFonts w:hint="eastAsia" w:ascii="仿宋_GB2312" w:hAnsi="仿宋_GB2312" w:eastAsia="仿宋_GB2312" w:cs="仿宋_GB2312"/>
              </w:rPr>
            </w:pPr>
            <w:r>
              <w:rPr>
                <w:rFonts w:hint="eastAsia" w:ascii="仿宋_GB2312" w:hAnsi="仿宋_GB2312" w:eastAsia="仿宋_GB2312" w:cs="仿宋_GB2312"/>
              </w:rPr>
              <w:t>（四）已通过竣工验收；</w:t>
            </w:r>
          </w:p>
          <w:p>
            <w:pPr>
              <w:widowControl/>
              <w:numPr>
                <w:ilvl w:val="255"/>
                <w:numId w:val="0"/>
              </w:numPr>
              <w:jc w:val="left"/>
              <w:rPr>
                <w:rFonts w:hint="eastAsia" w:ascii="仿宋_GB2312" w:hAnsi="仿宋_GB2312" w:eastAsia="仿宋_GB2312" w:cs="仿宋_GB2312"/>
              </w:rPr>
            </w:pPr>
            <w:r>
              <w:rPr>
                <w:rFonts w:hint="eastAsia" w:ascii="仿宋_GB2312" w:hAnsi="仿宋_GB2312" w:eastAsia="仿宋_GB2312" w:cs="仿宋_GB2312"/>
              </w:rPr>
              <w:t>（五）拆迁安置已经落实；</w:t>
            </w:r>
          </w:p>
          <w:p>
            <w:pPr>
              <w:widowControl/>
              <w:numPr>
                <w:ilvl w:val="255"/>
                <w:numId w:val="0"/>
              </w:numPr>
              <w:jc w:val="left"/>
              <w:rPr>
                <w:rFonts w:hint="eastAsia" w:ascii="仿宋_GB2312" w:hAnsi="仿宋_GB2312" w:eastAsia="仿宋_GB2312" w:cs="仿宋_GB2312"/>
              </w:rPr>
            </w:pPr>
            <w:r>
              <w:rPr>
                <w:rFonts w:hint="eastAsia" w:ascii="仿宋_GB2312" w:hAnsi="仿宋_GB2312" w:eastAsia="仿宋_GB2312" w:cs="仿宋_GB2312"/>
              </w:rPr>
              <w:t>（六）供水、供电、供热、燃气、通讯等配套基础设施具备交付使用条件，其他配套基础设施和公共设施具备交付使用条件或者已确定施工进度和交付日期；</w:t>
            </w:r>
          </w:p>
          <w:p>
            <w:pPr>
              <w:widowControl/>
              <w:numPr>
                <w:ilvl w:val="255"/>
                <w:numId w:val="0"/>
              </w:numPr>
              <w:jc w:val="left"/>
            </w:pPr>
            <w:r>
              <w:rPr>
                <w:rFonts w:hint="eastAsia" w:ascii="仿宋_GB2312" w:hAnsi="仿宋_GB2312" w:eastAsia="仿宋_GB2312" w:cs="仿宋_GB2312"/>
              </w:rPr>
              <w:t>（七）物业管理方案已经落实。”</w:t>
            </w:r>
          </w:p>
        </w:tc>
        <w:tc>
          <w:tcPr>
            <w:tcW w:w="610"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第四十二条第一项：“房地产开发企业在销售商品房中有下列行为之一的，处以警告，责令限期改正，并可处以一万元以上三万元以下罚款：（一）未按照规定的现售条件现售商品房的。”</w:t>
            </w:r>
          </w:p>
        </w:tc>
        <w:tc>
          <w:tcPr>
            <w:tcW w:w="509"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警告；罚款</w:t>
            </w:r>
          </w:p>
        </w:tc>
        <w:tc>
          <w:tcPr>
            <w:tcW w:w="40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rPr>
              <w:t>从轻</w:t>
            </w:r>
          </w:p>
        </w:tc>
        <w:tc>
          <w:tcPr>
            <w:tcW w:w="1096" w:type="pct"/>
            <w:tcBorders>
              <w:top w:val="single" w:color="000000" w:sz="4" w:space="0"/>
              <w:left w:val="single" w:color="000000" w:sz="4" w:space="0"/>
              <w:bottom w:val="single" w:color="000000" w:sz="4" w:space="0"/>
              <w:right w:val="single" w:color="000000" w:sz="4" w:space="0"/>
              <w:tl2br w:val="nil"/>
              <w:tr2bl w:val="nil"/>
            </w:tcBorders>
            <w:noWrap/>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未按照规定的现售条件现售商品房一套的</w:t>
            </w:r>
          </w:p>
        </w:tc>
        <w:tc>
          <w:tcPr>
            <w:tcW w:w="551" w:type="pct"/>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警告，责令限期改正，</w:t>
            </w:r>
            <w:r>
              <w:rPr>
                <w:rFonts w:hint="eastAsia" w:ascii="仿宋_GB2312" w:hAnsi="仿宋_GB2312" w:eastAsia="仿宋_GB2312" w:cs="仿宋_GB2312"/>
                <w:color w:val="000000"/>
                <w:szCs w:val="21"/>
              </w:rPr>
              <w:t>并可处以一万元以上、低于二万元罚款</w:t>
            </w:r>
          </w:p>
        </w:tc>
      </w:tr>
      <w:tr>
        <w:tblPrEx>
          <w:tblCellMar>
            <w:top w:w="0" w:type="dxa"/>
            <w:left w:w="108" w:type="dxa"/>
            <w:bottom w:w="0" w:type="dxa"/>
            <w:right w:w="108" w:type="dxa"/>
          </w:tblCellMar>
        </w:tblPrEx>
        <w:trPr>
          <w:trHeight w:val="2268" w:hRule="atLeast"/>
        </w:trPr>
        <w:tc>
          <w:tcPr>
            <w:tcW w:w="266" w:type="pct"/>
            <w:vMerge w:val="continue"/>
            <w:tcBorders>
              <w:top w:val="single" w:color="000000" w:sz="4" w:space="0"/>
              <w:left w:val="single" w:color="000000" w:sz="4" w:space="0"/>
              <w:bottom w:val="single" w:color="000000" w:sz="4" w:space="0"/>
              <w:right w:val="single" w:color="000000" w:sz="4" w:space="0"/>
              <w:tl2br w:val="nil"/>
              <w:tr2bl w:val="nil"/>
            </w:tcBorders>
            <w:noWrap/>
            <w:vAlign w:val="center"/>
          </w:tcPr>
          <w:p>
            <w:pPr>
              <w:jc w:val="left"/>
              <w:rPr>
                <w:rFonts w:hint="eastAsia" w:ascii="仿宋_GB2312" w:hAnsi="仿宋_GB2312" w:eastAsia="仿宋_GB2312" w:cs="仿宋_GB2312"/>
                <w:color w:val="000000"/>
                <w:szCs w:val="21"/>
              </w:rPr>
            </w:pPr>
          </w:p>
        </w:tc>
        <w:tc>
          <w:tcPr>
            <w:tcW w:w="380"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1181"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610"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509"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40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一般</w:t>
            </w:r>
          </w:p>
        </w:tc>
        <w:tc>
          <w:tcPr>
            <w:tcW w:w="1096" w:type="pct"/>
            <w:tcBorders>
              <w:top w:val="single" w:color="000000" w:sz="4" w:space="0"/>
              <w:left w:val="single" w:color="000000" w:sz="4" w:space="0"/>
              <w:bottom w:val="single" w:color="000000" w:sz="4" w:space="0"/>
              <w:right w:val="single" w:color="000000" w:sz="4" w:space="0"/>
              <w:tl2br w:val="nil"/>
              <w:tr2bl w:val="nil"/>
            </w:tcBorders>
            <w:noWrap/>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未按照规定的现售条件现售商品房二套的</w:t>
            </w:r>
          </w:p>
        </w:tc>
        <w:tc>
          <w:tcPr>
            <w:tcW w:w="551" w:type="pct"/>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警告，责令限期改正，</w:t>
            </w:r>
            <w:r>
              <w:rPr>
                <w:rFonts w:hint="eastAsia" w:ascii="仿宋_GB2312" w:hAnsi="仿宋_GB2312" w:eastAsia="仿宋_GB2312" w:cs="仿宋_GB2312"/>
                <w:color w:val="000000"/>
                <w:szCs w:val="21"/>
              </w:rPr>
              <w:t>并可处以二万元罚款</w:t>
            </w:r>
          </w:p>
        </w:tc>
      </w:tr>
      <w:tr>
        <w:tblPrEx>
          <w:tblCellMar>
            <w:top w:w="0" w:type="dxa"/>
            <w:left w:w="108" w:type="dxa"/>
            <w:bottom w:w="0" w:type="dxa"/>
            <w:right w:w="108" w:type="dxa"/>
          </w:tblCellMar>
        </w:tblPrEx>
        <w:trPr>
          <w:trHeight w:val="2268" w:hRule="atLeast"/>
        </w:trPr>
        <w:tc>
          <w:tcPr>
            <w:tcW w:w="266" w:type="pct"/>
            <w:vMerge w:val="continue"/>
            <w:tcBorders>
              <w:top w:val="single" w:color="000000" w:sz="4" w:space="0"/>
              <w:left w:val="single" w:color="000000" w:sz="4" w:space="0"/>
              <w:bottom w:val="single" w:color="000000" w:sz="4" w:space="0"/>
              <w:right w:val="single" w:color="000000" w:sz="4" w:space="0"/>
              <w:tl2br w:val="nil"/>
              <w:tr2bl w:val="nil"/>
            </w:tcBorders>
            <w:noWrap/>
            <w:vAlign w:val="center"/>
          </w:tcPr>
          <w:p>
            <w:pPr>
              <w:jc w:val="left"/>
              <w:rPr>
                <w:rFonts w:hint="eastAsia" w:ascii="仿宋_GB2312" w:hAnsi="仿宋_GB2312" w:eastAsia="仿宋_GB2312" w:cs="仿宋_GB2312"/>
                <w:color w:val="000000"/>
                <w:szCs w:val="21"/>
              </w:rPr>
            </w:pPr>
          </w:p>
        </w:tc>
        <w:tc>
          <w:tcPr>
            <w:tcW w:w="380"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1181"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610"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509"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40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rPr>
              <w:t>从重</w:t>
            </w:r>
          </w:p>
        </w:tc>
        <w:tc>
          <w:tcPr>
            <w:tcW w:w="1096" w:type="pct"/>
            <w:tcBorders>
              <w:top w:val="single" w:color="000000" w:sz="4" w:space="0"/>
              <w:left w:val="single" w:color="000000" w:sz="4" w:space="0"/>
              <w:bottom w:val="single" w:color="000000" w:sz="4" w:space="0"/>
              <w:right w:val="single" w:color="000000" w:sz="4" w:space="0"/>
              <w:tl2br w:val="nil"/>
              <w:tr2bl w:val="nil"/>
            </w:tcBorders>
            <w:noWrap/>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未按照规定的现售条件现售商品房三套以上的</w:t>
            </w:r>
          </w:p>
        </w:tc>
        <w:tc>
          <w:tcPr>
            <w:tcW w:w="551" w:type="pct"/>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警告，责令限期改正，</w:t>
            </w:r>
            <w:r>
              <w:rPr>
                <w:rFonts w:hint="eastAsia" w:ascii="仿宋_GB2312" w:hAnsi="仿宋_GB2312" w:eastAsia="仿宋_GB2312" w:cs="仿宋_GB2312"/>
                <w:color w:val="000000"/>
                <w:szCs w:val="21"/>
              </w:rPr>
              <w:t>并可处以超过二万元、三万元以下罚款</w:t>
            </w:r>
          </w:p>
        </w:tc>
      </w:tr>
    </w:tbl>
    <w:p>
      <w:pPr>
        <w:keepNext w:val="0"/>
        <w:keepLines w:val="0"/>
        <w:snapToGrid/>
        <w:outlineLvl w:val="9"/>
        <w:rPr>
          <w:rFonts w:hint="eastAsia" w:ascii="宋体" w:hAnsi="宋体"/>
          <w:b/>
          <w:color w:val="000000"/>
          <w:kern w:val="44"/>
          <w:sz w:val="32"/>
          <w:szCs w:val="24"/>
          <w:lang w:val="en"/>
        </w:rPr>
      </w:pPr>
      <w:r>
        <w:rPr>
          <w:rFonts w:ascii="宋体" w:hAnsi="宋体" w:eastAsia="宋体 (正文)"/>
          <w:color w:val="000000"/>
          <w:kern w:val="44"/>
          <w:sz w:val="32"/>
          <w:szCs w:val="24"/>
          <w:lang w:val="en"/>
        </w:rPr>
        <w:t>《商品房销售管理办法》</w:t>
      </w:r>
    </w:p>
    <w:tbl>
      <w:tblPr>
        <w:tblStyle w:val="11"/>
        <w:tblW w:w="5000" w:type="pct"/>
        <w:tblInd w:w="0" w:type="dxa"/>
        <w:tblLayout w:type="fixed"/>
        <w:tblCellMar>
          <w:top w:w="0" w:type="dxa"/>
          <w:left w:w="108" w:type="dxa"/>
          <w:bottom w:w="0" w:type="dxa"/>
          <w:right w:w="108" w:type="dxa"/>
        </w:tblCellMar>
      </w:tblPr>
      <w:tblGrid>
        <w:gridCol w:w="755"/>
        <w:gridCol w:w="1077"/>
        <w:gridCol w:w="1619"/>
        <w:gridCol w:w="2305"/>
        <w:gridCol w:w="1153"/>
        <w:gridCol w:w="1153"/>
        <w:gridCol w:w="2880"/>
        <w:gridCol w:w="3232"/>
      </w:tblGrid>
      <w:tr>
        <w:tblPrEx>
          <w:tblCellMar>
            <w:top w:w="0" w:type="dxa"/>
            <w:left w:w="108" w:type="dxa"/>
            <w:bottom w:w="0" w:type="dxa"/>
            <w:right w:w="108" w:type="dxa"/>
          </w:tblCellMar>
        </w:tblPrEx>
        <w:trPr>
          <w:trHeight w:val="567" w:hRule="atLeast"/>
        </w:trPr>
        <w:tc>
          <w:tcPr>
            <w:tcW w:w="266"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序号</w:t>
            </w:r>
          </w:p>
        </w:tc>
        <w:tc>
          <w:tcPr>
            <w:tcW w:w="380"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违法行为</w:t>
            </w:r>
          </w:p>
        </w:tc>
        <w:tc>
          <w:tcPr>
            <w:tcW w:w="571"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b/>
                <w:szCs w:val="21"/>
                <w:lang w:val="en"/>
              </w:rPr>
              <w:t>违反条款</w:t>
            </w:r>
          </w:p>
        </w:tc>
        <w:tc>
          <w:tcPr>
            <w:tcW w:w="813"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处罚依据</w:t>
            </w:r>
          </w:p>
        </w:tc>
        <w:tc>
          <w:tcPr>
            <w:tcW w:w="40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处罚种类</w:t>
            </w:r>
          </w:p>
        </w:tc>
        <w:tc>
          <w:tcPr>
            <w:tcW w:w="40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裁量阶次</w:t>
            </w:r>
          </w:p>
        </w:tc>
        <w:tc>
          <w:tcPr>
            <w:tcW w:w="1016"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适用条件</w:t>
            </w:r>
          </w:p>
        </w:tc>
        <w:tc>
          <w:tcPr>
            <w:tcW w:w="1140"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具体标准</w:t>
            </w:r>
          </w:p>
        </w:tc>
      </w:tr>
      <w:tr>
        <w:tblPrEx>
          <w:tblCellMar>
            <w:top w:w="0" w:type="dxa"/>
            <w:left w:w="108" w:type="dxa"/>
            <w:bottom w:w="0" w:type="dxa"/>
            <w:right w:w="108" w:type="dxa"/>
          </w:tblCellMar>
        </w:tblPrEx>
        <w:trPr>
          <w:trHeight w:val="2268" w:hRule="atLeast"/>
        </w:trPr>
        <w:tc>
          <w:tcPr>
            <w:tcW w:w="266" w:type="pct"/>
            <w:vMerge w:val="restart"/>
            <w:tcBorders>
              <w:top w:val="single" w:color="000000" w:sz="4" w:space="0"/>
              <w:left w:val="single" w:color="000000" w:sz="4" w:space="0"/>
              <w:bottom w:val="single" w:color="000000" w:sz="4" w:space="0"/>
              <w:right w:val="single" w:color="000000" w:sz="4" w:space="0"/>
              <w:tl2br w:val="nil"/>
              <w:tr2bl w:val="nil"/>
            </w:tcBorders>
            <w:noWrap/>
            <w:vAlign w:val="center"/>
          </w:tcPr>
          <w:p>
            <w:pPr>
              <w:widowControl/>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lang w:val="en"/>
              </w:rPr>
              <w:t>201.6</w:t>
            </w:r>
          </w:p>
        </w:tc>
        <w:tc>
          <w:tcPr>
            <w:tcW w:w="380"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未按照规定在商品房现售前将房地产开发项目手册及符合商品房现售条件的有关证明文件报送房地产开发主管部门备案的</w:t>
            </w:r>
          </w:p>
        </w:tc>
        <w:tc>
          <w:tcPr>
            <w:tcW w:w="571"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第八条：“房地产开发企业应当在商品房现售前将房地产开发项目手册及符合商品房现售条件的有关证明文件报送房地产开发主管部门备案。”</w:t>
            </w:r>
          </w:p>
        </w:tc>
        <w:tc>
          <w:tcPr>
            <w:tcW w:w="813"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第四十二条第二项：“房地产开发企业在销售商品房中有下列行为之一的，处以警告，责令限期改正，并可处以一万元以上三万元以下罚款：（二）未按照规定在商品房现售前将房地产开发项目手册及符合商品房现售条件的有关证明文件报送房地产开发主管部门备案的。”</w:t>
            </w:r>
          </w:p>
        </w:tc>
        <w:tc>
          <w:tcPr>
            <w:tcW w:w="407"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警告；罚款</w:t>
            </w:r>
          </w:p>
        </w:tc>
        <w:tc>
          <w:tcPr>
            <w:tcW w:w="40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rPr>
              <w:t>从轻</w:t>
            </w:r>
          </w:p>
        </w:tc>
        <w:tc>
          <w:tcPr>
            <w:tcW w:w="1016" w:type="pct"/>
            <w:tcBorders>
              <w:top w:val="single" w:color="000000" w:sz="4" w:space="0"/>
              <w:left w:val="single" w:color="000000" w:sz="4" w:space="0"/>
              <w:bottom w:val="single" w:color="000000" w:sz="4" w:space="0"/>
              <w:right w:val="single" w:color="000000" w:sz="4" w:space="0"/>
              <w:tl2br w:val="nil"/>
              <w:tr2bl w:val="nil"/>
            </w:tcBorders>
            <w:noWrap/>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szCs w:val="21"/>
              </w:rPr>
              <w:t>未按照规定将有关文件报送主管部门备案在三个月以下</w:t>
            </w:r>
          </w:p>
        </w:tc>
        <w:tc>
          <w:tcPr>
            <w:tcW w:w="1140" w:type="pct"/>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警告，责令限期改正，</w:t>
            </w:r>
            <w:r>
              <w:rPr>
                <w:rFonts w:hint="eastAsia" w:ascii="仿宋_GB2312" w:hAnsi="仿宋_GB2312" w:eastAsia="仿宋_GB2312" w:cs="仿宋_GB2312"/>
                <w:color w:val="000000"/>
                <w:szCs w:val="21"/>
              </w:rPr>
              <w:t>并可处以一万元以上、低于二万元罚款</w:t>
            </w:r>
          </w:p>
        </w:tc>
      </w:tr>
      <w:tr>
        <w:tblPrEx>
          <w:tblCellMar>
            <w:top w:w="0" w:type="dxa"/>
            <w:left w:w="108" w:type="dxa"/>
            <w:bottom w:w="0" w:type="dxa"/>
            <w:right w:w="108" w:type="dxa"/>
          </w:tblCellMar>
        </w:tblPrEx>
        <w:trPr>
          <w:trHeight w:val="2268" w:hRule="atLeast"/>
        </w:trPr>
        <w:tc>
          <w:tcPr>
            <w:tcW w:w="266" w:type="pct"/>
            <w:vMerge w:val="continue"/>
            <w:tcBorders>
              <w:top w:val="single" w:color="000000" w:sz="4" w:space="0"/>
              <w:left w:val="single" w:color="000000" w:sz="4" w:space="0"/>
              <w:bottom w:val="single" w:color="000000" w:sz="4" w:space="0"/>
              <w:right w:val="single" w:color="000000" w:sz="4" w:space="0"/>
              <w:tl2br w:val="nil"/>
              <w:tr2bl w:val="nil"/>
            </w:tcBorders>
            <w:noWrap/>
            <w:vAlign w:val="center"/>
          </w:tcPr>
          <w:p>
            <w:pPr>
              <w:jc w:val="left"/>
              <w:rPr>
                <w:rFonts w:hint="eastAsia" w:ascii="仿宋_GB2312" w:hAnsi="仿宋_GB2312" w:eastAsia="仿宋_GB2312" w:cs="仿宋_GB2312"/>
                <w:color w:val="000000"/>
                <w:szCs w:val="21"/>
              </w:rPr>
            </w:pPr>
          </w:p>
        </w:tc>
        <w:tc>
          <w:tcPr>
            <w:tcW w:w="380"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571"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813"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407"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40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一般</w:t>
            </w:r>
          </w:p>
        </w:tc>
        <w:tc>
          <w:tcPr>
            <w:tcW w:w="1016" w:type="pct"/>
            <w:tcBorders>
              <w:top w:val="single" w:color="000000" w:sz="4" w:space="0"/>
              <w:left w:val="single" w:color="000000" w:sz="4" w:space="0"/>
              <w:bottom w:val="single" w:color="000000" w:sz="4" w:space="0"/>
              <w:right w:val="single" w:color="000000" w:sz="4" w:space="0"/>
              <w:tl2br w:val="nil"/>
              <w:tr2bl w:val="nil"/>
            </w:tcBorders>
            <w:noWrap/>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szCs w:val="21"/>
              </w:rPr>
              <w:t>未按照规定将有关文件报送主管部门备案超过三个月、六个月以下</w:t>
            </w:r>
          </w:p>
        </w:tc>
        <w:tc>
          <w:tcPr>
            <w:tcW w:w="1140" w:type="pct"/>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警告，责令限期改正，</w:t>
            </w:r>
            <w:r>
              <w:rPr>
                <w:rFonts w:hint="eastAsia" w:ascii="仿宋_GB2312" w:hAnsi="仿宋_GB2312" w:eastAsia="仿宋_GB2312" w:cs="仿宋_GB2312"/>
                <w:color w:val="000000"/>
                <w:szCs w:val="21"/>
              </w:rPr>
              <w:t>并可处以二万元罚款</w:t>
            </w:r>
          </w:p>
        </w:tc>
      </w:tr>
      <w:tr>
        <w:tblPrEx>
          <w:tblCellMar>
            <w:top w:w="0" w:type="dxa"/>
            <w:left w:w="108" w:type="dxa"/>
            <w:bottom w:w="0" w:type="dxa"/>
            <w:right w:w="108" w:type="dxa"/>
          </w:tblCellMar>
        </w:tblPrEx>
        <w:trPr>
          <w:trHeight w:val="2268" w:hRule="atLeast"/>
        </w:trPr>
        <w:tc>
          <w:tcPr>
            <w:tcW w:w="266" w:type="pct"/>
            <w:vMerge w:val="continue"/>
            <w:tcBorders>
              <w:top w:val="single" w:color="000000" w:sz="4" w:space="0"/>
              <w:left w:val="single" w:color="000000" w:sz="4" w:space="0"/>
              <w:bottom w:val="single" w:color="000000" w:sz="4" w:space="0"/>
              <w:right w:val="single" w:color="000000" w:sz="4" w:space="0"/>
              <w:tl2br w:val="nil"/>
              <w:tr2bl w:val="nil"/>
            </w:tcBorders>
            <w:noWrap/>
            <w:vAlign w:val="center"/>
          </w:tcPr>
          <w:p>
            <w:pPr>
              <w:jc w:val="left"/>
              <w:rPr>
                <w:rFonts w:hint="eastAsia" w:ascii="仿宋_GB2312" w:hAnsi="仿宋_GB2312" w:eastAsia="仿宋_GB2312" w:cs="仿宋_GB2312"/>
                <w:color w:val="000000"/>
                <w:szCs w:val="21"/>
              </w:rPr>
            </w:pPr>
          </w:p>
        </w:tc>
        <w:tc>
          <w:tcPr>
            <w:tcW w:w="380"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571"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813"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407"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40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rPr>
              <w:t>从重</w:t>
            </w:r>
          </w:p>
        </w:tc>
        <w:tc>
          <w:tcPr>
            <w:tcW w:w="1016" w:type="pct"/>
            <w:tcBorders>
              <w:top w:val="single" w:color="000000" w:sz="4" w:space="0"/>
              <w:left w:val="single" w:color="000000" w:sz="4" w:space="0"/>
              <w:bottom w:val="single" w:color="000000" w:sz="4" w:space="0"/>
              <w:right w:val="single" w:color="000000" w:sz="4" w:space="0"/>
              <w:tl2br w:val="nil"/>
              <w:tr2bl w:val="nil"/>
            </w:tcBorders>
            <w:noWrap/>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szCs w:val="21"/>
              </w:rPr>
              <w:t>未按照规定将有关文件报送主管部门备案超过六个月</w:t>
            </w:r>
          </w:p>
        </w:tc>
        <w:tc>
          <w:tcPr>
            <w:tcW w:w="1140" w:type="pct"/>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警告，责令限期改正，</w:t>
            </w:r>
            <w:r>
              <w:rPr>
                <w:rFonts w:hint="eastAsia" w:ascii="仿宋_GB2312" w:hAnsi="仿宋_GB2312" w:eastAsia="仿宋_GB2312" w:cs="仿宋_GB2312"/>
                <w:color w:val="000000"/>
                <w:szCs w:val="21"/>
              </w:rPr>
              <w:t>并可处以超过二万元、三万元以下罚款</w:t>
            </w:r>
          </w:p>
        </w:tc>
      </w:tr>
    </w:tbl>
    <w:p>
      <w:pPr>
        <w:keepNext w:val="0"/>
        <w:keepLines w:val="0"/>
        <w:snapToGrid/>
        <w:outlineLvl w:val="9"/>
        <w:rPr>
          <w:rFonts w:hint="eastAsia" w:ascii="宋体" w:hAnsi="宋体"/>
          <w:b/>
          <w:color w:val="000000"/>
          <w:kern w:val="44"/>
          <w:sz w:val="32"/>
          <w:szCs w:val="24"/>
          <w:lang w:val="en"/>
        </w:rPr>
      </w:pPr>
      <w:r>
        <w:rPr>
          <w:rFonts w:ascii="宋体" w:hAnsi="宋体"/>
          <w:b/>
          <w:color w:val="000000"/>
          <w:kern w:val="44"/>
          <w:sz w:val="32"/>
          <w:szCs w:val="24"/>
        </w:rPr>
        <w:br w:type="page"/>
      </w:r>
      <w:r>
        <w:rPr>
          <w:rFonts w:ascii="宋体" w:hAnsi="宋体" w:eastAsia="宋体 (正文)"/>
          <w:color w:val="000000"/>
          <w:kern w:val="44"/>
          <w:sz w:val="32"/>
          <w:szCs w:val="24"/>
          <w:lang w:val="en"/>
        </w:rPr>
        <w:t>《商品房销售管理办法》</w:t>
      </w:r>
    </w:p>
    <w:tbl>
      <w:tblPr>
        <w:tblStyle w:val="11"/>
        <w:tblW w:w="5000" w:type="pct"/>
        <w:tblInd w:w="0" w:type="dxa"/>
        <w:tblLayout w:type="fixed"/>
        <w:tblCellMar>
          <w:top w:w="0" w:type="dxa"/>
          <w:left w:w="108" w:type="dxa"/>
          <w:bottom w:w="0" w:type="dxa"/>
          <w:right w:w="108" w:type="dxa"/>
        </w:tblCellMar>
      </w:tblPr>
      <w:tblGrid>
        <w:gridCol w:w="755"/>
        <w:gridCol w:w="1074"/>
        <w:gridCol w:w="1074"/>
        <w:gridCol w:w="1950"/>
        <w:gridCol w:w="2531"/>
        <w:gridCol w:w="2118"/>
        <w:gridCol w:w="2305"/>
        <w:gridCol w:w="2367"/>
      </w:tblGrid>
      <w:tr>
        <w:tblPrEx>
          <w:tblCellMar>
            <w:top w:w="0" w:type="dxa"/>
            <w:left w:w="108" w:type="dxa"/>
            <w:bottom w:w="0" w:type="dxa"/>
            <w:right w:w="108" w:type="dxa"/>
          </w:tblCellMar>
        </w:tblPrEx>
        <w:trPr>
          <w:trHeight w:val="567" w:hRule="atLeast"/>
        </w:trPr>
        <w:tc>
          <w:tcPr>
            <w:tcW w:w="266"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序号</w:t>
            </w:r>
          </w:p>
        </w:tc>
        <w:tc>
          <w:tcPr>
            <w:tcW w:w="379"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违法行为</w:t>
            </w:r>
          </w:p>
        </w:tc>
        <w:tc>
          <w:tcPr>
            <w:tcW w:w="379"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b/>
                <w:szCs w:val="21"/>
                <w:lang w:val="en"/>
              </w:rPr>
              <w:t>违反条款</w:t>
            </w:r>
          </w:p>
        </w:tc>
        <w:tc>
          <w:tcPr>
            <w:tcW w:w="68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处罚依据</w:t>
            </w:r>
          </w:p>
        </w:tc>
        <w:tc>
          <w:tcPr>
            <w:tcW w:w="892"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处罚种类</w:t>
            </w:r>
          </w:p>
        </w:tc>
        <w:tc>
          <w:tcPr>
            <w:tcW w:w="746"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裁量阶次</w:t>
            </w:r>
          </w:p>
        </w:tc>
        <w:tc>
          <w:tcPr>
            <w:tcW w:w="812"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适用条件</w:t>
            </w:r>
          </w:p>
        </w:tc>
        <w:tc>
          <w:tcPr>
            <w:tcW w:w="834"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具体标准</w:t>
            </w:r>
          </w:p>
        </w:tc>
      </w:tr>
      <w:tr>
        <w:tblPrEx>
          <w:tblCellMar>
            <w:top w:w="0" w:type="dxa"/>
            <w:left w:w="108" w:type="dxa"/>
            <w:bottom w:w="0" w:type="dxa"/>
            <w:right w:w="108" w:type="dxa"/>
          </w:tblCellMar>
        </w:tblPrEx>
        <w:trPr>
          <w:trHeight w:val="2268" w:hRule="atLeast"/>
        </w:trPr>
        <w:tc>
          <w:tcPr>
            <w:tcW w:w="266" w:type="pct"/>
            <w:vMerge w:val="restart"/>
            <w:tcBorders>
              <w:top w:val="single" w:color="000000" w:sz="4" w:space="0"/>
              <w:left w:val="single" w:color="000000" w:sz="4" w:space="0"/>
              <w:bottom w:val="single" w:color="000000" w:sz="4" w:space="0"/>
              <w:right w:val="single" w:color="000000" w:sz="4" w:space="0"/>
              <w:tl2br w:val="nil"/>
              <w:tr2bl w:val="nil"/>
            </w:tcBorders>
            <w:noWrap/>
            <w:vAlign w:val="center"/>
          </w:tcPr>
          <w:p>
            <w:pPr>
              <w:widowControl/>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lang w:val="en"/>
              </w:rPr>
              <w:t>201.7</w:t>
            </w:r>
          </w:p>
        </w:tc>
        <w:tc>
          <w:tcPr>
            <w:tcW w:w="379"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返本销售或者变相返本销售商品房的</w:t>
            </w:r>
          </w:p>
        </w:tc>
        <w:tc>
          <w:tcPr>
            <w:tcW w:w="379"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widowControl/>
              <w:jc w:val="left"/>
            </w:pPr>
            <w:r>
              <w:rPr>
                <w:rFonts w:hint="eastAsia" w:ascii="仿宋_GB2312" w:hAnsi="仿宋_GB2312" w:eastAsia="仿宋_GB2312" w:cs="仿宋_GB2312"/>
              </w:rPr>
              <w:t>第十一条第一款：“房地产开发企业不得采取返本销售或者变相返本销售的方式销售商品房。”</w:t>
            </w:r>
          </w:p>
        </w:tc>
        <w:tc>
          <w:tcPr>
            <w:tcW w:w="687"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第四十二条第三项：“房地产开发企业在销售商品房中有下列行为之一的，处以警告，责令限期改正，并可处以一万元以上三万元以下罚款：（三）返本销售或者变相返本销售商品房的。”</w:t>
            </w:r>
          </w:p>
        </w:tc>
        <w:tc>
          <w:tcPr>
            <w:tcW w:w="892"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警告；罚款</w:t>
            </w:r>
          </w:p>
        </w:tc>
        <w:tc>
          <w:tcPr>
            <w:tcW w:w="746"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rPr>
              <w:t>从轻</w:t>
            </w:r>
          </w:p>
        </w:tc>
        <w:tc>
          <w:tcPr>
            <w:tcW w:w="812"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返本销售或者变相返本销售商品房一套的</w:t>
            </w:r>
          </w:p>
        </w:tc>
        <w:tc>
          <w:tcPr>
            <w:tcW w:w="834" w:type="pct"/>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警告，责令限期改正，</w:t>
            </w:r>
            <w:r>
              <w:rPr>
                <w:rFonts w:hint="eastAsia" w:ascii="仿宋_GB2312" w:hAnsi="仿宋_GB2312" w:eastAsia="仿宋_GB2312" w:cs="仿宋_GB2312"/>
                <w:color w:val="000000"/>
                <w:szCs w:val="21"/>
              </w:rPr>
              <w:t>并可处以一万元以上、低于二万元罚款</w:t>
            </w:r>
          </w:p>
        </w:tc>
      </w:tr>
      <w:tr>
        <w:tblPrEx>
          <w:tblCellMar>
            <w:top w:w="0" w:type="dxa"/>
            <w:left w:w="108" w:type="dxa"/>
            <w:bottom w:w="0" w:type="dxa"/>
            <w:right w:w="108" w:type="dxa"/>
          </w:tblCellMar>
        </w:tblPrEx>
        <w:trPr>
          <w:trHeight w:val="2268" w:hRule="atLeast"/>
        </w:trPr>
        <w:tc>
          <w:tcPr>
            <w:tcW w:w="266" w:type="pct"/>
            <w:vMerge w:val="continue"/>
            <w:tcBorders>
              <w:top w:val="single" w:color="000000" w:sz="4" w:space="0"/>
              <w:left w:val="single" w:color="000000" w:sz="4" w:space="0"/>
              <w:bottom w:val="single" w:color="000000" w:sz="4" w:space="0"/>
              <w:right w:val="single" w:color="000000" w:sz="4" w:space="0"/>
              <w:tl2br w:val="nil"/>
              <w:tr2bl w:val="nil"/>
            </w:tcBorders>
            <w:noWrap/>
            <w:vAlign w:val="center"/>
          </w:tcPr>
          <w:p>
            <w:pPr>
              <w:jc w:val="left"/>
              <w:rPr>
                <w:rFonts w:hint="eastAsia" w:ascii="仿宋_GB2312" w:hAnsi="仿宋_GB2312" w:eastAsia="仿宋_GB2312" w:cs="仿宋_GB2312"/>
                <w:color w:val="000000"/>
                <w:szCs w:val="21"/>
              </w:rPr>
            </w:pPr>
          </w:p>
        </w:tc>
        <w:tc>
          <w:tcPr>
            <w:tcW w:w="379"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379"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687"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892"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746"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一般</w:t>
            </w:r>
          </w:p>
        </w:tc>
        <w:tc>
          <w:tcPr>
            <w:tcW w:w="812"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返本销售或者变相返本销售商品房二套的</w:t>
            </w:r>
          </w:p>
        </w:tc>
        <w:tc>
          <w:tcPr>
            <w:tcW w:w="834" w:type="pct"/>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警告，责令限期改正，</w:t>
            </w:r>
            <w:r>
              <w:rPr>
                <w:rFonts w:hint="eastAsia" w:ascii="仿宋_GB2312" w:hAnsi="仿宋_GB2312" w:eastAsia="仿宋_GB2312" w:cs="仿宋_GB2312"/>
                <w:color w:val="000000"/>
                <w:szCs w:val="21"/>
              </w:rPr>
              <w:t>并可处以二万元罚款</w:t>
            </w:r>
          </w:p>
        </w:tc>
      </w:tr>
      <w:tr>
        <w:tblPrEx>
          <w:tblCellMar>
            <w:top w:w="0" w:type="dxa"/>
            <w:left w:w="108" w:type="dxa"/>
            <w:bottom w:w="0" w:type="dxa"/>
            <w:right w:w="108" w:type="dxa"/>
          </w:tblCellMar>
        </w:tblPrEx>
        <w:trPr>
          <w:trHeight w:val="2268" w:hRule="atLeast"/>
        </w:trPr>
        <w:tc>
          <w:tcPr>
            <w:tcW w:w="266" w:type="pct"/>
            <w:vMerge w:val="continue"/>
            <w:tcBorders>
              <w:top w:val="single" w:color="000000" w:sz="4" w:space="0"/>
              <w:left w:val="single" w:color="000000" w:sz="4" w:space="0"/>
              <w:bottom w:val="single" w:color="000000" w:sz="4" w:space="0"/>
              <w:right w:val="single" w:color="000000" w:sz="4" w:space="0"/>
              <w:tl2br w:val="nil"/>
              <w:tr2bl w:val="nil"/>
            </w:tcBorders>
            <w:noWrap/>
            <w:vAlign w:val="center"/>
          </w:tcPr>
          <w:p>
            <w:pPr>
              <w:jc w:val="left"/>
              <w:rPr>
                <w:rFonts w:hint="eastAsia" w:ascii="仿宋_GB2312" w:hAnsi="仿宋_GB2312" w:eastAsia="仿宋_GB2312" w:cs="仿宋_GB2312"/>
                <w:color w:val="000000"/>
                <w:szCs w:val="21"/>
              </w:rPr>
            </w:pPr>
          </w:p>
        </w:tc>
        <w:tc>
          <w:tcPr>
            <w:tcW w:w="379"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379"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687"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892"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746"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rPr>
              <w:t>从重</w:t>
            </w:r>
          </w:p>
        </w:tc>
        <w:tc>
          <w:tcPr>
            <w:tcW w:w="812"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返本销售或者变相返本销售商品房三套以上的</w:t>
            </w:r>
          </w:p>
        </w:tc>
        <w:tc>
          <w:tcPr>
            <w:tcW w:w="834" w:type="pct"/>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警告，责令限期改正，</w:t>
            </w:r>
            <w:r>
              <w:rPr>
                <w:rFonts w:hint="eastAsia" w:ascii="仿宋_GB2312" w:hAnsi="仿宋_GB2312" w:eastAsia="仿宋_GB2312" w:cs="仿宋_GB2312"/>
                <w:color w:val="000000"/>
                <w:szCs w:val="21"/>
              </w:rPr>
              <w:t>并可处以超过二万元、三万元以下罚款</w:t>
            </w:r>
          </w:p>
        </w:tc>
      </w:tr>
    </w:tbl>
    <w:p>
      <w:pPr>
        <w:keepNext w:val="0"/>
        <w:keepLines w:val="0"/>
        <w:snapToGrid/>
        <w:outlineLvl w:val="9"/>
        <w:rPr>
          <w:rFonts w:hint="eastAsia" w:ascii="宋体" w:hAnsi="宋体"/>
          <w:b/>
          <w:color w:val="000000"/>
          <w:kern w:val="44"/>
          <w:sz w:val="32"/>
          <w:szCs w:val="24"/>
          <w:lang w:val="en"/>
        </w:rPr>
      </w:pPr>
      <w:r>
        <w:rPr>
          <w:rFonts w:ascii="宋体" w:hAnsi="宋体"/>
          <w:b/>
          <w:color w:val="000000"/>
          <w:kern w:val="44"/>
          <w:sz w:val="32"/>
          <w:szCs w:val="24"/>
        </w:rPr>
        <w:br w:type="page"/>
      </w:r>
      <w:r>
        <w:rPr>
          <w:rFonts w:ascii="宋体" w:hAnsi="宋体" w:eastAsia="宋体 (正文)"/>
          <w:color w:val="000000"/>
          <w:kern w:val="44"/>
          <w:sz w:val="32"/>
          <w:szCs w:val="24"/>
          <w:lang w:val="en"/>
        </w:rPr>
        <w:t>《商品房销售管理办法》</w:t>
      </w:r>
    </w:p>
    <w:tbl>
      <w:tblPr>
        <w:tblStyle w:val="11"/>
        <w:tblW w:w="5000" w:type="pct"/>
        <w:tblInd w:w="0" w:type="dxa"/>
        <w:tblLayout w:type="fixed"/>
        <w:tblCellMar>
          <w:top w:w="0" w:type="dxa"/>
          <w:left w:w="108" w:type="dxa"/>
          <w:bottom w:w="0" w:type="dxa"/>
          <w:right w:w="108" w:type="dxa"/>
        </w:tblCellMar>
      </w:tblPr>
      <w:tblGrid>
        <w:gridCol w:w="741"/>
        <w:gridCol w:w="1059"/>
        <w:gridCol w:w="1670"/>
        <w:gridCol w:w="2234"/>
        <w:gridCol w:w="1213"/>
        <w:gridCol w:w="1245"/>
        <w:gridCol w:w="2688"/>
        <w:gridCol w:w="3325"/>
      </w:tblGrid>
      <w:tr>
        <w:tblPrEx>
          <w:tblCellMar>
            <w:top w:w="0" w:type="dxa"/>
            <w:left w:w="108" w:type="dxa"/>
            <w:bottom w:w="0" w:type="dxa"/>
            <w:right w:w="108" w:type="dxa"/>
          </w:tblCellMar>
        </w:tblPrEx>
        <w:trPr>
          <w:trHeight w:val="567" w:hRule="atLeast"/>
        </w:trPr>
        <w:tc>
          <w:tcPr>
            <w:tcW w:w="261"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序号</w:t>
            </w:r>
          </w:p>
        </w:tc>
        <w:tc>
          <w:tcPr>
            <w:tcW w:w="373"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违法行为</w:t>
            </w:r>
          </w:p>
        </w:tc>
        <w:tc>
          <w:tcPr>
            <w:tcW w:w="589"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b/>
                <w:szCs w:val="21"/>
                <w:lang w:val="en"/>
              </w:rPr>
              <w:t>违反条款</w:t>
            </w:r>
          </w:p>
        </w:tc>
        <w:tc>
          <w:tcPr>
            <w:tcW w:w="788"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处罚依据</w:t>
            </w:r>
          </w:p>
        </w:tc>
        <w:tc>
          <w:tcPr>
            <w:tcW w:w="428"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处罚种类</w:t>
            </w:r>
          </w:p>
        </w:tc>
        <w:tc>
          <w:tcPr>
            <w:tcW w:w="439"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裁量阶次</w:t>
            </w:r>
          </w:p>
        </w:tc>
        <w:tc>
          <w:tcPr>
            <w:tcW w:w="94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适用条件</w:t>
            </w:r>
          </w:p>
        </w:tc>
        <w:tc>
          <w:tcPr>
            <w:tcW w:w="1172"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具体标准</w:t>
            </w:r>
          </w:p>
        </w:tc>
      </w:tr>
      <w:tr>
        <w:tblPrEx>
          <w:tblCellMar>
            <w:top w:w="0" w:type="dxa"/>
            <w:left w:w="108" w:type="dxa"/>
            <w:bottom w:w="0" w:type="dxa"/>
            <w:right w:w="108" w:type="dxa"/>
          </w:tblCellMar>
        </w:tblPrEx>
        <w:trPr>
          <w:trHeight w:val="2268" w:hRule="atLeast"/>
        </w:trPr>
        <w:tc>
          <w:tcPr>
            <w:tcW w:w="261" w:type="pct"/>
            <w:vMerge w:val="restart"/>
            <w:tcBorders>
              <w:top w:val="single" w:color="000000" w:sz="4" w:space="0"/>
              <w:left w:val="single" w:color="000000" w:sz="4" w:space="0"/>
              <w:bottom w:val="single" w:color="000000" w:sz="4" w:space="0"/>
              <w:right w:val="single" w:color="000000" w:sz="4" w:space="0"/>
              <w:tl2br w:val="nil"/>
              <w:tr2bl w:val="nil"/>
            </w:tcBorders>
            <w:noWrap/>
            <w:vAlign w:val="center"/>
          </w:tcPr>
          <w:p>
            <w:pPr>
              <w:widowControl/>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lang w:val="en"/>
              </w:rPr>
              <w:t>201.8</w:t>
            </w:r>
          </w:p>
        </w:tc>
        <w:tc>
          <w:tcPr>
            <w:tcW w:w="373"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采取售后包租或者变相售后包租方式销售未竣工商品房的</w:t>
            </w:r>
          </w:p>
        </w:tc>
        <w:tc>
          <w:tcPr>
            <w:tcW w:w="589"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第十一条第二款：“房地产开发企业不得采取售后包租或者变相售后包租的方式销售未竣工商品房。”</w:t>
            </w:r>
          </w:p>
        </w:tc>
        <w:tc>
          <w:tcPr>
            <w:tcW w:w="788"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第四十二条第四项：“房地产开发企业在销售商品房中有下列行为之一的，处以警告，责令限期改正，并可处以一万元以上三万元以下罚款：（四）采取售后包租或者变相售后包租方式销售未竣工商品房的。”</w:t>
            </w:r>
          </w:p>
        </w:tc>
        <w:tc>
          <w:tcPr>
            <w:tcW w:w="428"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警告；罚款</w:t>
            </w:r>
          </w:p>
        </w:tc>
        <w:tc>
          <w:tcPr>
            <w:tcW w:w="439"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rPr>
              <w:t>从轻</w:t>
            </w:r>
          </w:p>
        </w:tc>
        <w:tc>
          <w:tcPr>
            <w:tcW w:w="947" w:type="pct"/>
            <w:tcBorders>
              <w:top w:val="single" w:color="000000" w:sz="4" w:space="0"/>
              <w:left w:val="single" w:color="000000" w:sz="4" w:space="0"/>
              <w:bottom w:val="single" w:color="000000" w:sz="4" w:space="0"/>
              <w:right w:val="single" w:color="000000" w:sz="4" w:space="0"/>
              <w:tl2br w:val="nil"/>
              <w:tr2bl w:val="nil"/>
            </w:tcBorders>
            <w:noWrap/>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采取售后包租或者变相售后包租方式销售未竣工商品房一套的</w:t>
            </w:r>
          </w:p>
        </w:tc>
        <w:tc>
          <w:tcPr>
            <w:tcW w:w="1172" w:type="pct"/>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警告，责令限期改正，</w:t>
            </w:r>
            <w:r>
              <w:rPr>
                <w:rFonts w:hint="eastAsia" w:ascii="仿宋_GB2312" w:hAnsi="仿宋_GB2312" w:eastAsia="仿宋_GB2312" w:cs="仿宋_GB2312"/>
                <w:color w:val="000000"/>
                <w:szCs w:val="21"/>
              </w:rPr>
              <w:t>并可处以一万元以上、低于二万元罚款</w:t>
            </w:r>
          </w:p>
        </w:tc>
      </w:tr>
      <w:tr>
        <w:tblPrEx>
          <w:tblCellMar>
            <w:top w:w="0" w:type="dxa"/>
            <w:left w:w="108" w:type="dxa"/>
            <w:bottom w:w="0" w:type="dxa"/>
            <w:right w:w="108" w:type="dxa"/>
          </w:tblCellMar>
        </w:tblPrEx>
        <w:trPr>
          <w:trHeight w:val="2268" w:hRule="atLeast"/>
        </w:trPr>
        <w:tc>
          <w:tcPr>
            <w:tcW w:w="261" w:type="pct"/>
            <w:vMerge w:val="continue"/>
            <w:tcBorders>
              <w:top w:val="single" w:color="000000" w:sz="4" w:space="0"/>
              <w:left w:val="single" w:color="000000" w:sz="4" w:space="0"/>
              <w:bottom w:val="single" w:color="000000" w:sz="4" w:space="0"/>
              <w:right w:val="single" w:color="000000" w:sz="4" w:space="0"/>
              <w:tl2br w:val="nil"/>
              <w:tr2bl w:val="nil"/>
            </w:tcBorders>
            <w:noWrap/>
            <w:vAlign w:val="center"/>
          </w:tcPr>
          <w:p>
            <w:pPr>
              <w:jc w:val="left"/>
              <w:rPr>
                <w:rFonts w:hint="eastAsia" w:ascii="仿宋_GB2312" w:hAnsi="仿宋_GB2312" w:eastAsia="仿宋_GB2312" w:cs="仿宋_GB2312"/>
                <w:color w:val="000000"/>
                <w:szCs w:val="21"/>
              </w:rPr>
            </w:pPr>
          </w:p>
        </w:tc>
        <w:tc>
          <w:tcPr>
            <w:tcW w:w="373"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589"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788"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428"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439"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一般</w:t>
            </w:r>
          </w:p>
        </w:tc>
        <w:tc>
          <w:tcPr>
            <w:tcW w:w="947" w:type="pct"/>
            <w:tcBorders>
              <w:top w:val="single" w:color="000000" w:sz="4" w:space="0"/>
              <w:left w:val="single" w:color="000000" w:sz="4" w:space="0"/>
              <w:bottom w:val="single" w:color="000000" w:sz="4" w:space="0"/>
              <w:right w:val="single" w:color="000000" w:sz="4" w:space="0"/>
              <w:tl2br w:val="nil"/>
              <w:tr2bl w:val="nil"/>
            </w:tcBorders>
            <w:noWrap/>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采取售后包租或者变相售后包租方式销售未竣工商品房二套的</w:t>
            </w:r>
          </w:p>
        </w:tc>
        <w:tc>
          <w:tcPr>
            <w:tcW w:w="1172" w:type="pct"/>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警告，责令限期改正，</w:t>
            </w:r>
            <w:r>
              <w:rPr>
                <w:rFonts w:hint="eastAsia" w:ascii="仿宋_GB2312" w:hAnsi="仿宋_GB2312" w:eastAsia="仿宋_GB2312" w:cs="仿宋_GB2312"/>
                <w:color w:val="000000"/>
                <w:szCs w:val="21"/>
              </w:rPr>
              <w:t>并可处以二万元罚款</w:t>
            </w:r>
          </w:p>
        </w:tc>
      </w:tr>
      <w:tr>
        <w:tblPrEx>
          <w:tblCellMar>
            <w:top w:w="0" w:type="dxa"/>
            <w:left w:w="108" w:type="dxa"/>
            <w:bottom w:w="0" w:type="dxa"/>
            <w:right w:w="108" w:type="dxa"/>
          </w:tblCellMar>
        </w:tblPrEx>
        <w:trPr>
          <w:trHeight w:val="2268" w:hRule="atLeast"/>
        </w:trPr>
        <w:tc>
          <w:tcPr>
            <w:tcW w:w="261" w:type="pct"/>
            <w:vMerge w:val="continue"/>
            <w:tcBorders>
              <w:top w:val="single" w:color="000000" w:sz="4" w:space="0"/>
              <w:left w:val="single" w:color="000000" w:sz="4" w:space="0"/>
              <w:bottom w:val="single" w:color="000000" w:sz="4" w:space="0"/>
              <w:right w:val="single" w:color="000000" w:sz="4" w:space="0"/>
              <w:tl2br w:val="nil"/>
              <w:tr2bl w:val="nil"/>
            </w:tcBorders>
            <w:noWrap/>
            <w:vAlign w:val="center"/>
          </w:tcPr>
          <w:p>
            <w:pPr>
              <w:jc w:val="left"/>
              <w:rPr>
                <w:rFonts w:hint="eastAsia" w:ascii="仿宋_GB2312" w:hAnsi="仿宋_GB2312" w:eastAsia="仿宋_GB2312" w:cs="仿宋_GB2312"/>
                <w:color w:val="000000"/>
                <w:szCs w:val="21"/>
              </w:rPr>
            </w:pPr>
          </w:p>
        </w:tc>
        <w:tc>
          <w:tcPr>
            <w:tcW w:w="373"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589"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788"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428"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439"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rPr>
              <w:t>从重</w:t>
            </w:r>
          </w:p>
        </w:tc>
        <w:tc>
          <w:tcPr>
            <w:tcW w:w="947" w:type="pct"/>
            <w:tcBorders>
              <w:top w:val="single" w:color="000000" w:sz="4" w:space="0"/>
              <w:left w:val="single" w:color="000000" w:sz="4" w:space="0"/>
              <w:bottom w:val="single" w:color="000000" w:sz="4" w:space="0"/>
              <w:right w:val="single" w:color="000000" w:sz="4" w:space="0"/>
              <w:tl2br w:val="nil"/>
              <w:tr2bl w:val="nil"/>
            </w:tcBorders>
            <w:noWrap/>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采取售后包租或者变相售后包租方式销售未竣工商品房三套以上的</w:t>
            </w:r>
          </w:p>
        </w:tc>
        <w:tc>
          <w:tcPr>
            <w:tcW w:w="1172" w:type="pct"/>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警告，责令限期改正，</w:t>
            </w:r>
            <w:r>
              <w:rPr>
                <w:rFonts w:hint="eastAsia" w:ascii="仿宋_GB2312" w:hAnsi="仿宋_GB2312" w:eastAsia="仿宋_GB2312" w:cs="仿宋_GB2312"/>
                <w:color w:val="000000"/>
                <w:szCs w:val="21"/>
              </w:rPr>
              <w:t>并可处以超过二万元、三万元以下罚款</w:t>
            </w:r>
          </w:p>
        </w:tc>
      </w:tr>
    </w:tbl>
    <w:p>
      <w:pPr>
        <w:keepNext w:val="0"/>
        <w:keepLines w:val="0"/>
        <w:snapToGrid/>
        <w:outlineLvl w:val="9"/>
        <w:rPr>
          <w:rFonts w:hint="eastAsia" w:ascii="宋体" w:hAnsi="宋体"/>
          <w:b/>
          <w:color w:val="000000"/>
          <w:kern w:val="44"/>
          <w:sz w:val="32"/>
          <w:szCs w:val="24"/>
          <w:lang w:val="en"/>
        </w:rPr>
      </w:pPr>
      <w:r>
        <w:rPr>
          <w:rFonts w:ascii="宋体" w:hAnsi="宋体"/>
          <w:b/>
          <w:color w:val="000000"/>
          <w:kern w:val="44"/>
          <w:sz w:val="32"/>
          <w:szCs w:val="24"/>
        </w:rPr>
        <w:br w:type="page"/>
      </w:r>
      <w:r>
        <w:rPr>
          <w:rFonts w:ascii="宋体" w:hAnsi="宋体" w:eastAsia="宋体 (正文)"/>
          <w:color w:val="000000"/>
          <w:kern w:val="44"/>
          <w:sz w:val="32"/>
          <w:szCs w:val="24"/>
          <w:lang w:val="en"/>
        </w:rPr>
        <w:t>《商品房销售管理办法》</w:t>
      </w:r>
    </w:p>
    <w:tbl>
      <w:tblPr>
        <w:tblStyle w:val="11"/>
        <w:tblW w:w="5000" w:type="pct"/>
        <w:tblInd w:w="0" w:type="dxa"/>
        <w:tblLayout w:type="fixed"/>
        <w:tblCellMar>
          <w:top w:w="0" w:type="dxa"/>
          <w:left w:w="108" w:type="dxa"/>
          <w:bottom w:w="0" w:type="dxa"/>
          <w:right w:w="108" w:type="dxa"/>
        </w:tblCellMar>
      </w:tblPr>
      <w:tblGrid>
        <w:gridCol w:w="755"/>
        <w:gridCol w:w="1077"/>
        <w:gridCol w:w="1077"/>
        <w:gridCol w:w="2416"/>
        <w:gridCol w:w="1584"/>
        <w:gridCol w:w="1153"/>
        <w:gridCol w:w="2341"/>
        <w:gridCol w:w="3770"/>
      </w:tblGrid>
      <w:tr>
        <w:tblPrEx>
          <w:tblCellMar>
            <w:top w:w="0" w:type="dxa"/>
            <w:left w:w="108" w:type="dxa"/>
            <w:bottom w:w="0" w:type="dxa"/>
            <w:right w:w="108" w:type="dxa"/>
          </w:tblCellMar>
        </w:tblPrEx>
        <w:trPr>
          <w:trHeight w:val="567" w:hRule="atLeast"/>
        </w:trPr>
        <w:tc>
          <w:tcPr>
            <w:tcW w:w="266"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序号</w:t>
            </w:r>
          </w:p>
        </w:tc>
        <w:tc>
          <w:tcPr>
            <w:tcW w:w="380"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违法行为</w:t>
            </w:r>
          </w:p>
        </w:tc>
        <w:tc>
          <w:tcPr>
            <w:tcW w:w="380"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b/>
                <w:szCs w:val="21"/>
                <w:lang w:val="en"/>
              </w:rPr>
              <w:t>违反条款</w:t>
            </w:r>
          </w:p>
        </w:tc>
        <w:tc>
          <w:tcPr>
            <w:tcW w:w="852"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处罚依据</w:t>
            </w:r>
          </w:p>
        </w:tc>
        <w:tc>
          <w:tcPr>
            <w:tcW w:w="559"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处罚种类</w:t>
            </w:r>
          </w:p>
        </w:tc>
        <w:tc>
          <w:tcPr>
            <w:tcW w:w="40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裁量阶次</w:t>
            </w:r>
          </w:p>
        </w:tc>
        <w:tc>
          <w:tcPr>
            <w:tcW w:w="826"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适用条件</w:t>
            </w:r>
          </w:p>
        </w:tc>
        <w:tc>
          <w:tcPr>
            <w:tcW w:w="1330"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具体标准</w:t>
            </w:r>
          </w:p>
        </w:tc>
      </w:tr>
      <w:tr>
        <w:tblPrEx>
          <w:tblCellMar>
            <w:top w:w="0" w:type="dxa"/>
            <w:left w:w="108" w:type="dxa"/>
            <w:bottom w:w="0" w:type="dxa"/>
            <w:right w:w="108" w:type="dxa"/>
          </w:tblCellMar>
        </w:tblPrEx>
        <w:trPr>
          <w:trHeight w:val="2268" w:hRule="atLeast"/>
        </w:trPr>
        <w:tc>
          <w:tcPr>
            <w:tcW w:w="266" w:type="pct"/>
            <w:vMerge w:val="restart"/>
            <w:tcBorders>
              <w:top w:val="single" w:color="000000" w:sz="4" w:space="0"/>
              <w:left w:val="single" w:color="000000" w:sz="4" w:space="0"/>
              <w:bottom w:val="single" w:color="000000" w:sz="4" w:space="0"/>
              <w:right w:val="single" w:color="000000" w:sz="4" w:space="0"/>
              <w:tl2br w:val="nil"/>
              <w:tr2bl w:val="nil"/>
            </w:tcBorders>
            <w:noWrap/>
            <w:vAlign w:val="center"/>
          </w:tcPr>
          <w:p>
            <w:pPr>
              <w:widowControl/>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lang w:val="en"/>
              </w:rPr>
              <w:t>201.9</w:t>
            </w:r>
          </w:p>
        </w:tc>
        <w:tc>
          <w:tcPr>
            <w:tcW w:w="380"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分割拆零销售商品住宅的</w:t>
            </w:r>
          </w:p>
        </w:tc>
        <w:tc>
          <w:tcPr>
            <w:tcW w:w="380"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第十二条：“商品住宅按套销售，不得分割拆零销售。”</w:t>
            </w:r>
          </w:p>
        </w:tc>
        <w:tc>
          <w:tcPr>
            <w:tcW w:w="852"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第四十二条第五项：“房地产开发企业在销售商品房中有下列行为之一的，处以警告，责令限期改正，并可处以一万元以上三万元以下罚款：（五）分割拆零销售商品住宅的。”</w:t>
            </w:r>
          </w:p>
        </w:tc>
        <w:tc>
          <w:tcPr>
            <w:tcW w:w="559"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警告；罚款</w:t>
            </w:r>
          </w:p>
        </w:tc>
        <w:tc>
          <w:tcPr>
            <w:tcW w:w="40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rPr>
              <w:t>从轻</w:t>
            </w:r>
          </w:p>
        </w:tc>
        <w:tc>
          <w:tcPr>
            <w:tcW w:w="826" w:type="pct"/>
            <w:tcBorders>
              <w:top w:val="single" w:color="000000" w:sz="4" w:space="0"/>
              <w:left w:val="single" w:color="000000" w:sz="4" w:space="0"/>
              <w:bottom w:val="single" w:color="000000" w:sz="4" w:space="0"/>
              <w:right w:val="single" w:color="000000" w:sz="4" w:space="0"/>
              <w:tl2br w:val="nil"/>
              <w:tr2bl w:val="nil"/>
            </w:tcBorders>
            <w:noWrap/>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分割拆零销售商品住宅一套的</w:t>
            </w:r>
          </w:p>
        </w:tc>
        <w:tc>
          <w:tcPr>
            <w:tcW w:w="1330" w:type="pct"/>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警告，责令限期改正，</w:t>
            </w:r>
            <w:r>
              <w:rPr>
                <w:rFonts w:hint="eastAsia" w:ascii="仿宋_GB2312" w:hAnsi="仿宋_GB2312" w:eastAsia="仿宋_GB2312" w:cs="仿宋_GB2312"/>
                <w:color w:val="000000"/>
                <w:szCs w:val="21"/>
              </w:rPr>
              <w:t>并可处以一万元以上、低于二万元罚款</w:t>
            </w:r>
          </w:p>
        </w:tc>
      </w:tr>
      <w:tr>
        <w:tblPrEx>
          <w:tblCellMar>
            <w:top w:w="0" w:type="dxa"/>
            <w:left w:w="108" w:type="dxa"/>
            <w:bottom w:w="0" w:type="dxa"/>
            <w:right w:w="108" w:type="dxa"/>
          </w:tblCellMar>
        </w:tblPrEx>
        <w:trPr>
          <w:trHeight w:val="2268" w:hRule="atLeast"/>
        </w:trPr>
        <w:tc>
          <w:tcPr>
            <w:tcW w:w="266" w:type="pct"/>
            <w:vMerge w:val="continue"/>
            <w:tcBorders>
              <w:top w:val="single" w:color="000000" w:sz="4" w:space="0"/>
              <w:left w:val="single" w:color="000000" w:sz="4" w:space="0"/>
              <w:bottom w:val="single" w:color="000000" w:sz="4" w:space="0"/>
              <w:right w:val="single" w:color="000000" w:sz="4" w:space="0"/>
              <w:tl2br w:val="nil"/>
              <w:tr2bl w:val="nil"/>
            </w:tcBorders>
            <w:noWrap/>
            <w:vAlign w:val="center"/>
          </w:tcPr>
          <w:p>
            <w:pPr>
              <w:jc w:val="left"/>
              <w:rPr>
                <w:rFonts w:hint="eastAsia" w:ascii="仿宋_GB2312" w:hAnsi="仿宋_GB2312" w:eastAsia="仿宋_GB2312" w:cs="仿宋_GB2312"/>
                <w:color w:val="000000"/>
                <w:szCs w:val="21"/>
              </w:rPr>
            </w:pPr>
          </w:p>
        </w:tc>
        <w:tc>
          <w:tcPr>
            <w:tcW w:w="380"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380"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852"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559"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40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一般</w:t>
            </w:r>
          </w:p>
        </w:tc>
        <w:tc>
          <w:tcPr>
            <w:tcW w:w="826" w:type="pct"/>
            <w:tcBorders>
              <w:top w:val="single" w:color="000000" w:sz="4" w:space="0"/>
              <w:left w:val="single" w:color="000000" w:sz="4" w:space="0"/>
              <w:bottom w:val="single" w:color="000000" w:sz="4" w:space="0"/>
              <w:right w:val="single" w:color="000000" w:sz="4" w:space="0"/>
              <w:tl2br w:val="nil"/>
              <w:tr2bl w:val="nil"/>
            </w:tcBorders>
            <w:noWrap/>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分割拆零销售商品住宅二套的</w:t>
            </w:r>
          </w:p>
        </w:tc>
        <w:tc>
          <w:tcPr>
            <w:tcW w:w="1330" w:type="pct"/>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警告，责令限期改正，</w:t>
            </w:r>
            <w:r>
              <w:rPr>
                <w:rFonts w:hint="eastAsia" w:ascii="仿宋_GB2312" w:hAnsi="仿宋_GB2312" w:eastAsia="仿宋_GB2312" w:cs="仿宋_GB2312"/>
                <w:color w:val="000000"/>
                <w:szCs w:val="21"/>
              </w:rPr>
              <w:t>并可处以二万元罚款</w:t>
            </w:r>
          </w:p>
        </w:tc>
      </w:tr>
      <w:tr>
        <w:tblPrEx>
          <w:tblCellMar>
            <w:top w:w="0" w:type="dxa"/>
            <w:left w:w="108" w:type="dxa"/>
            <w:bottom w:w="0" w:type="dxa"/>
            <w:right w:w="108" w:type="dxa"/>
          </w:tblCellMar>
        </w:tblPrEx>
        <w:trPr>
          <w:trHeight w:val="2268" w:hRule="atLeast"/>
        </w:trPr>
        <w:tc>
          <w:tcPr>
            <w:tcW w:w="266" w:type="pct"/>
            <w:vMerge w:val="continue"/>
            <w:tcBorders>
              <w:top w:val="single" w:color="000000" w:sz="4" w:space="0"/>
              <w:left w:val="single" w:color="000000" w:sz="4" w:space="0"/>
              <w:bottom w:val="single" w:color="000000" w:sz="4" w:space="0"/>
              <w:right w:val="single" w:color="000000" w:sz="4" w:space="0"/>
              <w:tl2br w:val="nil"/>
              <w:tr2bl w:val="nil"/>
            </w:tcBorders>
            <w:noWrap/>
            <w:vAlign w:val="center"/>
          </w:tcPr>
          <w:p>
            <w:pPr>
              <w:jc w:val="left"/>
              <w:rPr>
                <w:rFonts w:hint="eastAsia" w:ascii="仿宋_GB2312" w:hAnsi="仿宋_GB2312" w:eastAsia="仿宋_GB2312" w:cs="仿宋_GB2312"/>
                <w:color w:val="000000"/>
                <w:szCs w:val="21"/>
              </w:rPr>
            </w:pPr>
          </w:p>
        </w:tc>
        <w:tc>
          <w:tcPr>
            <w:tcW w:w="380"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380"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852"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559"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40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rPr>
              <w:t>从重</w:t>
            </w:r>
          </w:p>
        </w:tc>
        <w:tc>
          <w:tcPr>
            <w:tcW w:w="826" w:type="pct"/>
            <w:tcBorders>
              <w:top w:val="single" w:color="000000" w:sz="4" w:space="0"/>
              <w:left w:val="single" w:color="000000" w:sz="4" w:space="0"/>
              <w:bottom w:val="single" w:color="000000" w:sz="4" w:space="0"/>
              <w:right w:val="single" w:color="000000" w:sz="4" w:space="0"/>
              <w:tl2br w:val="nil"/>
              <w:tr2bl w:val="nil"/>
            </w:tcBorders>
            <w:noWrap/>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分割拆零销售商品住宅三套以上的</w:t>
            </w:r>
          </w:p>
        </w:tc>
        <w:tc>
          <w:tcPr>
            <w:tcW w:w="1330" w:type="pct"/>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警告，责令限期改正，</w:t>
            </w:r>
            <w:r>
              <w:rPr>
                <w:rFonts w:hint="eastAsia" w:ascii="仿宋_GB2312" w:hAnsi="仿宋_GB2312" w:eastAsia="仿宋_GB2312" w:cs="仿宋_GB2312"/>
                <w:color w:val="000000"/>
                <w:szCs w:val="21"/>
              </w:rPr>
              <w:t>并可处以超过二万元、三万元以下罚款</w:t>
            </w:r>
          </w:p>
        </w:tc>
      </w:tr>
    </w:tbl>
    <w:p>
      <w:pPr>
        <w:keepNext w:val="0"/>
        <w:keepLines w:val="0"/>
        <w:snapToGrid/>
        <w:outlineLvl w:val="9"/>
        <w:rPr>
          <w:rFonts w:hint="eastAsia" w:ascii="宋体" w:hAnsi="宋体"/>
          <w:b/>
          <w:color w:val="000000"/>
          <w:kern w:val="44"/>
          <w:sz w:val="32"/>
          <w:szCs w:val="24"/>
          <w:lang w:val="en"/>
        </w:rPr>
      </w:pPr>
      <w:r>
        <w:rPr>
          <w:rFonts w:ascii="宋体" w:hAnsi="宋体"/>
          <w:b/>
          <w:color w:val="000000"/>
          <w:kern w:val="44"/>
          <w:sz w:val="32"/>
          <w:szCs w:val="24"/>
        </w:rPr>
        <w:br w:type="page"/>
      </w:r>
      <w:r>
        <w:rPr>
          <w:rFonts w:ascii="宋体" w:hAnsi="宋体" w:eastAsia="宋体 (正文)"/>
          <w:color w:val="000000"/>
          <w:kern w:val="44"/>
          <w:sz w:val="32"/>
          <w:szCs w:val="24"/>
          <w:lang w:val="en"/>
        </w:rPr>
        <w:t>《商品房销售管理办法》</w:t>
      </w:r>
    </w:p>
    <w:tbl>
      <w:tblPr>
        <w:tblStyle w:val="11"/>
        <w:tblW w:w="5000" w:type="pct"/>
        <w:tblInd w:w="0" w:type="dxa"/>
        <w:tblLayout w:type="fixed"/>
        <w:tblCellMar>
          <w:top w:w="0" w:type="dxa"/>
          <w:left w:w="108" w:type="dxa"/>
          <w:bottom w:w="0" w:type="dxa"/>
          <w:right w:w="108" w:type="dxa"/>
        </w:tblCellMar>
      </w:tblPr>
      <w:tblGrid>
        <w:gridCol w:w="812"/>
        <w:gridCol w:w="1203"/>
        <w:gridCol w:w="3023"/>
        <w:gridCol w:w="2305"/>
        <w:gridCol w:w="1153"/>
        <w:gridCol w:w="1153"/>
        <w:gridCol w:w="2015"/>
        <w:gridCol w:w="2509"/>
      </w:tblGrid>
      <w:tr>
        <w:tblPrEx>
          <w:tblCellMar>
            <w:top w:w="0" w:type="dxa"/>
            <w:left w:w="108" w:type="dxa"/>
            <w:bottom w:w="0" w:type="dxa"/>
            <w:right w:w="108" w:type="dxa"/>
          </w:tblCellMar>
        </w:tblPrEx>
        <w:trPr>
          <w:trHeight w:val="567" w:hRule="atLeast"/>
        </w:trPr>
        <w:tc>
          <w:tcPr>
            <w:tcW w:w="286"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序号</w:t>
            </w:r>
          </w:p>
        </w:tc>
        <w:tc>
          <w:tcPr>
            <w:tcW w:w="424"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违法行为</w:t>
            </w:r>
          </w:p>
        </w:tc>
        <w:tc>
          <w:tcPr>
            <w:tcW w:w="1066"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b/>
                <w:szCs w:val="21"/>
                <w:lang w:val="en"/>
              </w:rPr>
              <w:t>违反条款</w:t>
            </w:r>
          </w:p>
        </w:tc>
        <w:tc>
          <w:tcPr>
            <w:tcW w:w="813"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处罚依据</w:t>
            </w:r>
          </w:p>
        </w:tc>
        <w:tc>
          <w:tcPr>
            <w:tcW w:w="40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处罚种类</w:t>
            </w:r>
          </w:p>
        </w:tc>
        <w:tc>
          <w:tcPr>
            <w:tcW w:w="40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裁量阶次</w:t>
            </w:r>
          </w:p>
        </w:tc>
        <w:tc>
          <w:tcPr>
            <w:tcW w:w="711"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适用条件</w:t>
            </w:r>
          </w:p>
        </w:tc>
        <w:tc>
          <w:tcPr>
            <w:tcW w:w="885"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具体标准</w:t>
            </w:r>
          </w:p>
        </w:tc>
      </w:tr>
      <w:tr>
        <w:tblPrEx>
          <w:tblCellMar>
            <w:top w:w="0" w:type="dxa"/>
            <w:left w:w="108" w:type="dxa"/>
            <w:bottom w:w="0" w:type="dxa"/>
            <w:right w:w="108" w:type="dxa"/>
          </w:tblCellMar>
        </w:tblPrEx>
        <w:trPr>
          <w:trHeight w:val="2268" w:hRule="atLeast"/>
        </w:trPr>
        <w:tc>
          <w:tcPr>
            <w:tcW w:w="286" w:type="pct"/>
            <w:vMerge w:val="restart"/>
            <w:tcBorders>
              <w:top w:val="single" w:color="000000" w:sz="4" w:space="0"/>
              <w:left w:val="single" w:color="000000" w:sz="4" w:space="0"/>
              <w:bottom w:val="single" w:color="000000" w:sz="4" w:space="0"/>
              <w:right w:val="single" w:color="000000" w:sz="4" w:space="0"/>
              <w:tl2br w:val="nil"/>
              <w:tr2bl w:val="nil"/>
            </w:tcBorders>
            <w:noWrap/>
            <w:vAlign w:val="center"/>
          </w:tcPr>
          <w:p>
            <w:pPr>
              <w:widowControl/>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lang w:val="en"/>
              </w:rPr>
              <w:t>201.10</w:t>
            </w:r>
          </w:p>
        </w:tc>
        <w:tc>
          <w:tcPr>
            <w:tcW w:w="424"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不符合商品房销售条件，向买受人收取预订款性质费用的</w:t>
            </w:r>
          </w:p>
        </w:tc>
        <w:tc>
          <w:tcPr>
            <w:tcW w:w="1066"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第二十二条：“不符合商品房销售条件的，房地产开发企业不得销售商品房，不得向买受人收取任何预订款性质费用。</w:t>
            </w:r>
          </w:p>
          <w:p>
            <w:pPr>
              <w:ind w:firstLine="420" w:firstLineChars="200"/>
              <w:rPr>
                <w:rFonts w:hint="eastAsia" w:ascii="仿宋_GB2312" w:hAnsi="仿宋_GB2312" w:eastAsia="仿宋_GB2312" w:cs="仿宋_GB2312"/>
                <w:color w:val="000000"/>
                <w:szCs w:val="21"/>
              </w:rPr>
            </w:pPr>
            <w:r>
              <w:rPr>
                <w:rFonts w:hint="eastAsia" w:ascii="仿宋_GB2312" w:hAnsi="仿宋_GB2312" w:eastAsia="仿宋_GB2312" w:cs="仿宋_GB2312"/>
                <w:szCs w:val="21"/>
              </w:rPr>
              <w:t>符合商品房销售条件的，房地产开发企业在订立商品房买卖合同之前向买受人收取预订款性质费用的，订立商品房买卖合同时，所收费用应当抵作房价款；当事人未能订立商品房买卖合同的，房地产开发企业应当向买受人返还所收费用；当事人之间另有约定的，从其约定。”</w:t>
            </w:r>
          </w:p>
        </w:tc>
        <w:tc>
          <w:tcPr>
            <w:tcW w:w="813"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第四十二条第六项：“房地产开发企业在销售商品房中有下列行为之一的，处以警告，责令限期改正，并可处以一万元以上三万元以下罚款：（六）不符合商品房销售条件，向买受人收取预订款性质费用的。”</w:t>
            </w:r>
          </w:p>
        </w:tc>
        <w:tc>
          <w:tcPr>
            <w:tcW w:w="407"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警告；罚款</w:t>
            </w:r>
          </w:p>
        </w:tc>
        <w:tc>
          <w:tcPr>
            <w:tcW w:w="40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rPr>
              <w:t>从轻</w:t>
            </w:r>
          </w:p>
        </w:tc>
        <w:tc>
          <w:tcPr>
            <w:tcW w:w="711" w:type="pct"/>
            <w:tcBorders>
              <w:top w:val="single" w:color="000000" w:sz="4" w:space="0"/>
              <w:left w:val="single" w:color="000000" w:sz="4" w:space="0"/>
              <w:bottom w:val="single" w:color="000000" w:sz="4" w:space="0"/>
              <w:right w:val="single" w:color="000000" w:sz="4" w:space="0"/>
              <w:tl2br w:val="nil"/>
              <w:tr2bl w:val="nil"/>
            </w:tcBorders>
            <w:noWrap/>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不符合商品房销售条件，向买受人收取预订款性质费用销售商品房一套的</w:t>
            </w:r>
          </w:p>
        </w:tc>
        <w:tc>
          <w:tcPr>
            <w:tcW w:w="885" w:type="pct"/>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警告，责令限期改正，</w:t>
            </w:r>
            <w:r>
              <w:rPr>
                <w:rFonts w:hint="eastAsia" w:ascii="仿宋_GB2312" w:hAnsi="仿宋_GB2312" w:eastAsia="仿宋_GB2312" w:cs="仿宋_GB2312"/>
                <w:color w:val="000000"/>
                <w:szCs w:val="21"/>
              </w:rPr>
              <w:t>并可处以一万元以上、低于二万元罚款</w:t>
            </w:r>
          </w:p>
        </w:tc>
      </w:tr>
      <w:tr>
        <w:tblPrEx>
          <w:tblCellMar>
            <w:top w:w="0" w:type="dxa"/>
            <w:left w:w="108" w:type="dxa"/>
            <w:bottom w:w="0" w:type="dxa"/>
            <w:right w:w="108" w:type="dxa"/>
          </w:tblCellMar>
        </w:tblPrEx>
        <w:trPr>
          <w:trHeight w:val="2268" w:hRule="atLeast"/>
        </w:trPr>
        <w:tc>
          <w:tcPr>
            <w:tcW w:w="286" w:type="pct"/>
            <w:vMerge w:val="continue"/>
            <w:tcBorders>
              <w:top w:val="single" w:color="000000" w:sz="4" w:space="0"/>
              <w:left w:val="single" w:color="000000" w:sz="4" w:space="0"/>
              <w:bottom w:val="single" w:color="000000" w:sz="4" w:space="0"/>
              <w:right w:val="single" w:color="000000" w:sz="4" w:space="0"/>
              <w:tl2br w:val="nil"/>
              <w:tr2bl w:val="nil"/>
            </w:tcBorders>
            <w:noWrap/>
            <w:vAlign w:val="center"/>
          </w:tcPr>
          <w:p>
            <w:pPr>
              <w:jc w:val="left"/>
              <w:rPr>
                <w:rFonts w:hint="eastAsia" w:ascii="仿宋_GB2312" w:hAnsi="仿宋_GB2312" w:eastAsia="仿宋_GB2312" w:cs="仿宋_GB2312"/>
                <w:color w:val="000000"/>
                <w:szCs w:val="21"/>
              </w:rPr>
            </w:pPr>
          </w:p>
        </w:tc>
        <w:tc>
          <w:tcPr>
            <w:tcW w:w="424"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1066"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813"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407"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40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一般</w:t>
            </w:r>
          </w:p>
        </w:tc>
        <w:tc>
          <w:tcPr>
            <w:tcW w:w="711" w:type="pct"/>
            <w:tcBorders>
              <w:top w:val="single" w:color="000000" w:sz="4" w:space="0"/>
              <w:left w:val="single" w:color="000000" w:sz="4" w:space="0"/>
              <w:bottom w:val="single" w:color="000000" w:sz="4" w:space="0"/>
              <w:right w:val="single" w:color="000000" w:sz="4" w:space="0"/>
              <w:tl2br w:val="nil"/>
              <w:tr2bl w:val="nil"/>
            </w:tcBorders>
            <w:noWrap/>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不符合商品房销售条件，向买受人收取预订款性质费用销售商品房二套的</w:t>
            </w:r>
          </w:p>
        </w:tc>
        <w:tc>
          <w:tcPr>
            <w:tcW w:w="885" w:type="pct"/>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警告，责令限期改正，</w:t>
            </w:r>
            <w:r>
              <w:rPr>
                <w:rFonts w:hint="eastAsia" w:ascii="仿宋_GB2312" w:hAnsi="仿宋_GB2312" w:eastAsia="仿宋_GB2312" w:cs="仿宋_GB2312"/>
                <w:color w:val="000000"/>
                <w:szCs w:val="21"/>
              </w:rPr>
              <w:t>并可处以二万元罚款</w:t>
            </w:r>
          </w:p>
        </w:tc>
      </w:tr>
      <w:tr>
        <w:tblPrEx>
          <w:tblCellMar>
            <w:top w:w="0" w:type="dxa"/>
            <w:left w:w="108" w:type="dxa"/>
            <w:bottom w:w="0" w:type="dxa"/>
            <w:right w:w="108" w:type="dxa"/>
          </w:tblCellMar>
        </w:tblPrEx>
        <w:trPr>
          <w:trHeight w:val="2268" w:hRule="atLeast"/>
        </w:trPr>
        <w:tc>
          <w:tcPr>
            <w:tcW w:w="286" w:type="pct"/>
            <w:vMerge w:val="continue"/>
            <w:tcBorders>
              <w:top w:val="single" w:color="000000" w:sz="4" w:space="0"/>
              <w:left w:val="single" w:color="000000" w:sz="4" w:space="0"/>
              <w:bottom w:val="single" w:color="000000" w:sz="4" w:space="0"/>
              <w:right w:val="single" w:color="000000" w:sz="4" w:space="0"/>
              <w:tl2br w:val="nil"/>
              <w:tr2bl w:val="nil"/>
            </w:tcBorders>
            <w:noWrap/>
            <w:vAlign w:val="center"/>
          </w:tcPr>
          <w:p>
            <w:pPr>
              <w:jc w:val="left"/>
              <w:rPr>
                <w:rFonts w:hint="eastAsia" w:ascii="仿宋_GB2312" w:hAnsi="仿宋_GB2312" w:eastAsia="仿宋_GB2312" w:cs="仿宋_GB2312"/>
                <w:color w:val="000000"/>
                <w:szCs w:val="21"/>
              </w:rPr>
            </w:pPr>
          </w:p>
        </w:tc>
        <w:tc>
          <w:tcPr>
            <w:tcW w:w="424"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1066"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813"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407"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40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rPr>
              <w:t>从重</w:t>
            </w:r>
          </w:p>
        </w:tc>
        <w:tc>
          <w:tcPr>
            <w:tcW w:w="711" w:type="pct"/>
            <w:tcBorders>
              <w:top w:val="single" w:color="000000" w:sz="4" w:space="0"/>
              <w:left w:val="single" w:color="000000" w:sz="4" w:space="0"/>
              <w:bottom w:val="single" w:color="000000" w:sz="4" w:space="0"/>
              <w:right w:val="single" w:color="000000" w:sz="4" w:space="0"/>
              <w:tl2br w:val="nil"/>
              <w:tr2bl w:val="nil"/>
            </w:tcBorders>
            <w:noWrap/>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不符合商品房销售条件，向买受人收取预订款性质费用销售商品房三套以上的</w:t>
            </w:r>
          </w:p>
        </w:tc>
        <w:tc>
          <w:tcPr>
            <w:tcW w:w="885" w:type="pct"/>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警告，责令限期改正，</w:t>
            </w:r>
            <w:r>
              <w:rPr>
                <w:rFonts w:hint="eastAsia" w:ascii="仿宋_GB2312" w:hAnsi="仿宋_GB2312" w:eastAsia="仿宋_GB2312" w:cs="仿宋_GB2312"/>
                <w:color w:val="000000"/>
                <w:szCs w:val="21"/>
              </w:rPr>
              <w:t>并可处以超过二万元、三万元以下罚款</w:t>
            </w:r>
          </w:p>
        </w:tc>
      </w:tr>
    </w:tbl>
    <w:p>
      <w:pPr>
        <w:keepNext w:val="0"/>
        <w:keepLines w:val="0"/>
        <w:snapToGrid/>
        <w:outlineLvl w:val="9"/>
        <w:rPr>
          <w:rFonts w:hint="eastAsia" w:ascii="宋体" w:hAnsi="宋体"/>
          <w:b/>
          <w:color w:val="000000"/>
          <w:kern w:val="44"/>
          <w:sz w:val="32"/>
          <w:szCs w:val="24"/>
          <w:lang w:val="en"/>
        </w:rPr>
      </w:pPr>
      <w:r>
        <w:rPr>
          <w:rFonts w:ascii="宋体" w:hAnsi="宋体" w:eastAsia="宋体 (正文)"/>
          <w:color w:val="000000"/>
          <w:kern w:val="44"/>
          <w:sz w:val="32"/>
          <w:szCs w:val="24"/>
          <w:lang w:val="en"/>
        </w:rPr>
        <w:t>《商品房销售管理办法》</w:t>
      </w:r>
    </w:p>
    <w:tbl>
      <w:tblPr>
        <w:tblStyle w:val="11"/>
        <w:tblW w:w="5000" w:type="pct"/>
        <w:tblInd w:w="0" w:type="dxa"/>
        <w:tblLayout w:type="fixed"/>
        <w:tblCellMar>
          <w:top w:w="0" w:type="dxa"/>
          <w:left w:w="108" w:type="dxa"/>
          <w:bottom w:w="0" w:type="dxa"/>
          <w:right w:w="108" w:type="dxa"/>
        </w:tblCellMar>
      </w:tblPr>
      <w:tblGrid>
        <w:gridCol w:w="1004"/>
        <w:gridCol w:w="1153"/>
        <w:gridCol w:w="2015"/>
        <w:gridCol w:w="2160"/>
        <w:gridCol w:w="1151"/>
        <w:gridCol w:w="1153"/>
        <w:gridCol w:w="2739"/>
        <w:gridCol w:w="2798"/>
      </w:tblGrid>
      <w:tr>
        <w:tblPrEx>
          <w:tblCellMar>
            <w:top w:w="0" w:type="dxa"/>
            <w:left w:w="108" w:type="dxa"/>
            <w:bottom w:w="0" w:type="dxa"/>
            <w:right w:w="108" w:type="dxa"/>
          </w:tblCellMar>
        </w:tblPrEx>
        <w:trPr>
          <w:trHeight w:val="567" w:hRule="atLeast"/>
        </w:trPr>
        <w:tc>
          <w:tcPr>
            <w:tcW w:w="354"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序号</w:t>
            </w:r>
          </w:p>
        </w:tc>
        <w:tc>
          <w:tcPr>
            <w:tcW w:w="40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违法行为</w:t>
            </w:r>
          </w:p>
        </w:tc>
        <w:tc>
          <w:tcPr>
            <w:tcW w:w="711"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b/>
                <w:szCs w:val="21"/>
                <w:lang w:val="en"/>
              </w:rPr>
              <w:t>违反条款</w:t>
            </w:r>
          </w:p>
        </w:tc>
        <w:tc>
          <w:tcPr>
            <w:tcW w:w="762"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处罚依据</w:t>
            </w:r>
          </w:p>
        </w:tc>
        <w:tc>
          <w:tcPr>
            <w:tcW w:w="406"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处罚种类</w:t>
            </w:r>
          </w:p>
        </w:tc>
        <w:tc>
          <w:tcPr>
            <w:tcW w:w="40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裁量阶次</w:t>
            </w:r>
          </w:p>
        </w:tc>
        <w:tc>
          <w:tcPr>
            <w:tcW w:w="966"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适用条件</w:t>
            </w:r>
          </w:p>
        </w:tc>
        <w:tc>
          <w:tcPr>
            <w:tcW w:w="98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具体标准</w:t>
            </w:r>
          </w:p>
        </w:tc>
      </w:tr>
      <w:tr>
        <w:tblPrEx>
          <w:tblCellMar>
            <w:top w:w="0" w:type="dxa"/>
            <w:left w:w="108" w:type="dxa"/>
            <w:bottom w:w="0" w:type="dxa"/>
            <w:right w:w="108" w:type="dxa"/>
          </w:tblCellMar>
        </w:tblPrEx>
        <w:trPr>
          <w:trHeight w:val="2268" w:hRule="atLeast"/>
        </w:trPr>
        <w:tc>
          <w:tcPr>
            <w:tcW w:w="354" w:type="pct"/>
            <w:vMerge w:val="restart"/>
            <w:tcBorders>
              <w:top w:val="single" w:color="000000" w:sz="4" w:space="0"/>
              <w:left w:val="single" w:color="000000" w:sz="4" w:space="0"/>
              <w:bottom w:val="single" w:color="000000" w:sz="4" w:space="0"/>
              <w:right w:val="single" w:color="000000" w:sz="4" w:space="0"/>
              <w:tl2br w:val="nil"/>
              <w:tr2bl w:val="nil"/>
            </w:tcBorders>
            <w:noWrap/>
            <w:vAlign w:val="center"/>
          </w:tcPr>
          <w:p>
            <w:pPr>
              <w:widowControl/>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lang w:val="en"/>
              </w:rPr>
              <w:t>201.11</w:t>
            </w:r>
          </w:p>
        </w:tc>
        <w:tc>
          <w:tcPr>
            <w:tcW w:w="407"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未按照规定向买受人明示</w:t>
            </w:r>
            <w:r>
              <w:rPr>
                <w:rFonts w:hint="eastAsia" w:ascii="仿宋_GB2312" w:hAnsi="仿宋_GB2312" w:eastAsia="仿宋_GB2312" w:cs="仿宋_GB2312"/>
                <w:color w:val="000000"/>
                <w:szCs w:val="21"/>
                <w:lang w:val="en"/>
              </w:rPr>
              <w:t>《商品房销售管理办法》</w:t>
            </w:r>
            <w:r>
              <w:rPr>
                <w:rFonts w:hint="eastAsia" w:ascii="仿宋_GB2312" w:hAnsi="仿宋_GB2312" w:eastAsia="仿宋_GB2312" w:cs="仿宋_GB2312"/>
                <w:color w:val="000000"/>
                <w:szCs w:val="21"/>
              </w:rPr>
              <w:t>、《商品房买卖合同示范文本》、《城市商品房预售管理办法》的</w:t>
            </w:r>
          </w:p>
        </w:tc>
        <w:tc>
          <w:tcPr>
            <w:tcW w:w="711"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第二十三条：“房地产开发企业应当在订立商品房买卖合同之前向买受人明示</w:t>
            </w:r>
            <w:r>
              <w:rPr>
                <w:rFonts w:hint="eastAsia" w:ascii="仿宋_GB2312" w:hAnsi="仿宋_GB2312" w:eastAsia="仿宋_GB2312" w:cs="仿宋_GB2312"/>
                <w:color w:val="000000"/>
                <w:szCs w:val="21"/>
                <w:lang w:val="en"/>
              </w:rPr>
              <w:t>《商品房销售管理办法》</w:t>
            </w:r>
            <w:r>
              <w:rPr>
                <w:rFonts w:hint="eastAsia" w:ascii="仿宋_GB2312" w:hAnsi="仿宋_GB2312" w:eastAsia="仿宋_GB2312" w:cs="仿宋_GB2312"/>
                <w:color w:val="000000"/>
                <w:szCs w:val="21"/>
              </w:rPr>
              <w:t>和《商品房买卖合同示范文本》；预售商品房的，还必须明示《城市商品房预售管理办法》。”</w:t>
            </w:r>
          </w:p>
        </w:tc>
        <w:tc>
          <w:tcPr>
            <w:tcW w:w="762"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第四十二条第七项：“房地产开发企业在销售商品房中有下列行为之一的，处以警告，责令限期改正，并可处以一万元以上三万元以下罚款：（七）未按照规定向买受人明示</w:t>
            </w:r>
            <w:r>
              <w:rPr>
                <w:rFonts w:hint="eastAsia" w:ascii="仿宋_GB2312" w:hAnsi="仿宋_GB2312" w:eastAsia="仿宋_GB2312" w:cs="仿宋_GB2312"/>
                <w:color w:val="000000"/>
                <w:szCs w:val="21"/>
                <w:lang w:val="en"/>
              </w:rPr>
              <w:t>《商品房销售管理办法》</w:t>
            </w:r>
            <w:r>
              <w:rPr>
                <w:rFonts w:hint="eastAsia" w:ascii="仿宋_GB2312" w:hAnsi="仿宋_GB2312" w:eastAsia="仿宋_GB2312" w:cs="仿宋_GB2312"/>
                <w:color w:val="000000"/>
                <w:szCs w:val="21"/>
              </w:rPr>
              <w:t>、《商品房买卖合同示范文本》、《城市商品房预售管理办法》的。”</w:t>
            </w:r>
          </w:p>
        </w:tc>
        <w:tc>
          <w:tcPr>
            <w:tcW w:w="406"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警告；罚款</w:t>
            </w:r>
          </w:p>
        </w:tc>
        <w:tc>
          <w:tcPr>
            <w:tcW w:w="40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rPr>
              <w:t>从轻</w:t>
            </w:r>
          </w:p>
        </w:tc>
        <w:tc>
          <w:tcPr>
            <w:tcW w:w="966" w:type="pct"/>
            <w:tcBorders>
              <w:top w:val="single" w:color="000000" w:sz="4" w:space="0"/>
              <w:left w:val="single" w:color="000000" w:sz="4" w:space="0"/>
              <w:bottom w:val="single" w:color="000000" w:sz="4" w:space="0"/>
              <w:right w:val="single" w:color="000000" w:sz="4" w:space="0"/>
              <w:tl2br w:val="nil"/>
              <w:tr2bl w:val="nil"/>
            </w:tcBorders>
            <w:noWrap/>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未按照规定向买受人明示</w:t>
            </w:r>
            <w:r>
              <w:rPr>
                <w:rFonts w:hint="eastAsia" w:ascii="仿宋_GB2312" w:hAnsi="仿宋_GB2312" w:eastAsia="仿宋_GB2312" w:cs="仿宋_GB2312"/>
                <w:color w:val="000000"/>
                <w:szCs w:val="21"/>
                <w:lang w:val="en"/>
              </w:rPr>
              <w:t>《商品房销售管理办法》</w:t>
            </w:r>
            <w:r>
              <w:rPr>
                <w:rFonts w:hint="eastAsia" w:ascii="仿宋_GB2312" w:hAnsi="仿宋_GB2312" w:eastAsia="仿宋_GB2312" w:cs="仿宋_GB2312"/>
                <w:color w:val="000000"/>
                <w:szCs w:val="21"/>
              </w:rPr>
              <w:t>、《商品房买卖合同示范文本》、《城市商品房预售管理办法》销售商品房一套的</w:t>
            </w:r>
          </w:p>
        </w:tc>
        <w:tc>
          <w:tcPr>
            <w:tcW w:w="987" w:type="pct"/>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警告，责令限期改正，</w:t>
            </w:r>
            <w:r>
              <w:rPr>
                <w:rFonts w:hint="eastAsia" w:ascii="仿宋_GB2312" w:hAnsi="仿宋_GB2312" w:eastAsia="仿宋_GB2312" w:cs="仿宋_GB2312"/>
                <w:color w:val="000000"/>
                <w:szCs w:val="21"/>
              </w:rPr>
              <w:t>并可处以一万元以上、低于二万元罚款</w:t>
            </w:r>
          </w:p>
        </w:tc>
      </w:tr>
      <w:tr>
        <w:tblPrEx>
          <w:tblCellMar>
            <w:top w:w="0" w:type="dxa"/>
            <w:left w:w="108" w:type="dxa"/>
            <w:bottom w:w="0" w:type="dxa"/>
            <w:right w:w="108" w:type="dxa"/>
          </w:tblCellMar>
        </w:tblPrEx>
        <w:trPr>
          <w:trHeight w:val="2268" w:hRule="atLeast"/>
        </w:trPr>
        <w:tc>
          <w:tcPr>
            <w:tcW w:w="354" w:type="pct"/>
            <w:vMerge w:val="continue"/>
            <w:tcBorders>
              <w:top w:val="single" w:color="000000" w:sz="4" w:space="0"/>
              <w:left w:val="single" w:color="000000" w:sz="4" w:space="0"/>
              <w:bottom w:val="single" w:color="000000" w:sz="4" w:space="0"/>
              <w:right w:val="single" w:color="000000" w:sz="4" w:space="0"/>
              <w:tl2br w:val="nil"/>
              <w:tr2bl w:val="nil"/>
            </w:tcBorders>
            <w:noWrap/>
            <w:vAlign w:val="center"/>
          </w:tcPr>
          <w:p>
            <w:pPr>
              <w:jc w:val="left"/>
              <w:rPr>
                <w:rFonts w:hint="eastAsia" w:ascii="仿宋_GB2312" w:hAnsi="仿宋_GB2312" w:eastAsia="仿宋_GB2312" w:cs="仿宋_GB2312"/>
                <w:color w:val="000000"/>
                <w:szCs w:val="21"/>
              </w:rPr>
            </w:pPr>
          </w:p>
        </w:tc>
        <w:tc>
          <w:tcPr>
            <w:tcW w:w="407"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711"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762"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406"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40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一般</w:t>
            </w:r>
          </w:p>
        </w:tc>
        <w:tc>
          <w:tcPr>
            <w:tcW w:w="966" w:type="pct"/>
            <w:tcBorders>
              <w:top w:val="single" w:color="000000" w:sz="4" w:space="0"/>
              <w:left w:val="single" w:color="000000" w:sz="4" w:space="0"/>
              <w:bottom w:val="single" w:color="000000" w:sz="4" w:space="0"/>
              <w:right w:val="single" w:color="000000" w:sz="4" w:space="0"/>
              <w:tl2br w:val="nil"/>
              <w:tr2bl w:val="nil"/>
            </w:tcBorders>
            <w:noWrap/>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未按照规定向买受人明示</w:t>
            </w:r>
            <w:r>
              <w:rPr>
                <w:rFonts w:hint="eastAsia" w:ascii="仿宋_GB2312" w:hAnsi="仿宋_GB2312" w:eastAsia="仿宋_GB2312" w:cs="仿宋_GB2312"/>
                <w:color w:val="000000"/>
                <w:szCs w:val="21"/>
                <w:lang w:val="en"/>
              </w:rPr>
              <w:t>《商品房销售管理办法》</w:t>
            </w:r>
            <w:r>
              <w:rPr>
                <w:rFonts w:hint="eastAsia" w:ascii="仿宋_GB2312" w:hAnsi="仿宋_GB2312" w:eastAsia="仿宋_GB2312" w:cs="仿宋_GB2312"/>
                <w:color w:val="000000"/>
                <w:szCs w:val="21"/>
              </w:rPr>
              <w:t>、《商品房买卖合同示范文本》、《城市商品房预售管理办法》销售商品房二套的</w:t>
            </w:r>
          </w:p>
        </w:tc>
        <w:tc>
          <w:tcPr>
            <w:tcW w:w="987" w:type="pct"/>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警告，责令限期改正，</w:t>
            </w:r>
            <w:r>
              <w:rPr>
                <w:rFonts w:hint="eastAsia" w:ascii="仿宋_GB2312" w:hAnsi="仿宋_GB2312" w:eastAsia="仿宋_GB2312" w:cs="仿宋_GB2312"/>
                <w:color w:val="000000"/>
                <w:szCs w:val="21"/>
              </w:rPr>
              <w:t>并可处以二万元罚款</w:t>
            </w:r>
          </w:p>
        </w:tc>
      </w:tr>
      <w:tr>
        <w:tblPrEx>
          <w:tblCellMar>
            <w:top w:w="0" w:type="dxa"/>
            <w:left w:w="108" w:type="dxa"/>
            <w:bottom w:w="0" w:type="dxa"/>
            <w:right w:w="108" w:type="dxa"/>
          </w:tblCellMar>
        </w:tblPrEx>
        <w:trPr>
          <w:trHeight w:val="2268" w:hRule="atLeast"/>
        </w:trPr>
        <w:tc>
          <w:tcPr>
            <w:tcW w:w="354" w:type="pct"/>
            <w:vMerge w:val="continue"/>
            <w:tcBorders>
              <w:top w:val="single" w:color="000000" w:sz="4" w:space="0"/>
              <w:left w:val="single" w:color="000000" w:sz="4" w:space="0"/>
              <w:bottom w:val="single" w:color="000000" w:sz="4" w:space="0"/>
              <w:right w:val="single" w:color="000000" w:sz="4" w:space="0"/>
              <w:tl2br w:val="nil"/>
              <w:tr2bl w:val="nil"/>
            </w:tcBorders>
            <w:noWrap/>
            <w:vAlign w:val="center"/>
          </w:tcPr>
          <w:p>
            <w:pPr>
              <w:jc w:val="left"/>
              <w:rPr>
                <w:rFonts w:hint="eastAsia" w:ascii="仿宋_GB2312" w:hAnsi="仿宋_GB2312" w:eastAsia="仿宋_GB2312" w:cs="仿宋_GB2312"/>
                <w:color w:val="000000"/>
                <w:szCs w:val="21"/>
              </w:rPr>
            </w:pPr>
          </w:p>
        </w:tc>
        <w:tc>
          <w:tcPr>
            <w:tcW w:w="407"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711"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762"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406"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40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rPr>
              <w:t>从重</w:t>
            </w:r>
          </w:p>
        </w:tc>
        <w:tc>
          <w:tcPr>
            <w:tcW w:w="966" w:type="pct"/>
            <w:tcBorders>
              <w:top w:val="single" w:color="000000" w:sz="4" w:space="0"/>
              <w:left w:val="single" w:color="000000" w:sz="4" w:space="0"/>
              <w:bottom w:val="single" w:color="000000" w:sz="4" w:space="0"/>
              <w:right w:val="single" w:color="000000" w:sz="4" w:space="0"/>
              <w:tl2br w:val="nil"/>
              <w:tr2bl w:val="nil"/>
            </w:tcBorders>
            <w:noWrap/>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未按照规定向买受人明示</w:t>
            </w:r>
            <w:r>
              <w:rPr>
                <w:rFonts w:hint="eastAsia" w:ascii="仿宋_GB2312" w:hAnsi="仿宋_GB2312" w:eastAsia="仿宋_GB2312" w:cs="仿宋_GB2312"/>
                <w:color w:val="000000"/>
                <w:szCs w:val="21"/>
                <w:lang w:val="en"/>
              </w:rPr>
              <w:t>《商品房销售管理办法》</w:t>
            </w:r>
            <w:r>
              <w:rPr>
                <w:rFonts w:hint="eastAsia" w:ascii="仿宋_GB2312" w:hAnsi="仿宋_GB2312" w:eastAsia="仿宋_GB2312" w:cs="仿宋_GB2312"/>
                <w:color w:val="000000"/>
                <w:szCs w:val="21"/>
              </w:rPr>
              <w:t>、《商品房买卖合同示范文本》、《城市商品房预售管理办法》销售商品房三套以上的</w:t>
            </w:r>
          </w:p>
        </w:tc>
        <w:tc>
          <w:tcPr>
            <w:tcW w:w="987" w:type="pct"/>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警告，责令限期改正，</w:t>
            </w:r>
            <w:r>
              <w:rPr>
                <w:rFonts w:hint="eastAsia" w:ascii="仿宋_GB2312" w:hAnsi="仿宋_GB2312" w:eastAsia="仿宋_GB2312" w:cs="仿宋_GB2312"/>
                <w:color w:val="000000"/>
                <w:szCs w:val="21"/>
              </w:rPr>
              <w:t>并可处以超过二万元、三万元以下罚款</w:t>
            </w:r>
          </w:p>
        </w:tc>
      </w:tr>
    </w:tbl>
    <w:p>
      <w:pPr>
        <w:keepNext w:val="0"/>
        <w:keepLines w:val="0"/>
        <w:snapToGrid/>
        <w:outlineLvl w:val="9"/>
        <w:rPr>
          <w:rFonts w:hint="eastAsia" w:ascii="宋体" w:hAnsi="宋体"/>
          <w:b/>
          <w:color w:val="000000"/>
          <w:kern w:val="44"/>
          <w:sz w:val="32"/>
          <w:szCs w:val="24"/>
          <w:lang w:val="en"/>
        </w:rPr>
      </w:pPr>
      <w:r>
        <w:rPr>
          <w:rFonts w:ascii="宋体" w:hAnsi="宋体"/>
          <w:b/>
          <w:color w:val="000000"/>
          <w:kern w:val="44"/>
          <w:sz w:val="32"/>
          <w:szCs w:val="24"/>
        </w:rPr>
        <w:br w:type="page"/>
      </w:r>
      <w:r>
        <w:rPr>
          <w:rFonts w:ascii="宋体" w:hAnsi="宋体" w:eastAsia="宋体 (正文)"/>
          <w:color w:val="000000"/>
          <w:kern w:val="44"/>
          <w:sz w:val="32"/>
          <w:szCs w:val="24"/>
          <w:lang w:val="en"/>
        </w:rPr>
        <w:t>《商品房销售管理办法》</w:t>
      </w:r>
    </w:p>
    <w:tbl>
      <w:tblPr>
        <w:tblStyle w:val="11"/>
        <w:tblW w:w="5000" w:type="pct"/>
        <w:tblInd w:w="0" w:type="dxa"/>
        <w:tblLayout w:type="fixed"/>
        <w:tblCellMar>
          <w:top w:w="0" w:type="dxa"/>
          <w:left w:w="108" w:type="dxa"/>
          <w:bottom w:w="0" w:type="dxa"/>
          <w:right w:w="108" w:type="dxa"/>
        </w:tblCellMar>
      </w:tblPr>
      <w:tblGrid>
        <w:gridCol w:w="860"/>
        <w:gridCol w:w="1077"/>
        <w:gridCol w:w="2668"/>
        <w:gridCol w:w="2160"/>
        <w:gridCol w:w="1153"/>
        <w:gridCol w:w="1153"/>
        <w:gridCol w:w="2446"/>
        <w:gridCol w:w="2656"/>
      </w:tblGrid>
      <w:tr>
        <w:tblPrEx>
          <w:tblCellMar>
            <w:top w:w="0" w:type="dxa"/>
            <w:left w:w="108" w:type="dxa"/>
            <w:bottom w:w="0" w:type="dxa"/>
            <w:right w:w="108" w:type="dxa"/>
          </w:tblCellMar>
        </w:tblPrEx>
        <w:trPr>
          <w:trHeight w:val="567" w:hRule="atLeast"/>
        </w:trPr>
        <w:tc>
          <w:tcPr>
            <w:tcW w:w="303"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序号</w:t>
            </w:r>
          </w:p>
        </w:tc>
        <w:tc>
          <w:tcPr>
            <w:tcW w:w="380"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违法行为</w:t>
            </w:r>
          </w:p>
        </w:tc>
        <w:tc>
          <w:tcPr>
            <w:tcW w:w="941"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b/>
                <w:szCs w:val="21"/>
                <w:lang w:val="en"/>
              </w:rPr>
              <w:t>违反条款</w:t>
            </w:r>
          </w:p>
        </w:tc>
        <w:tc>
          <w:tcPr>
            <w:tcW w:w="762"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处罚依据</w:t>
            </w:r>
          </w:p>
        </w:tc>
        <w:tc>
          <w:tcPr>
            <w:tcW w:w="40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处罚种类</w:t>
            </w:r>
          </w:p>
        </w:tc>
        <w:tc>
          <w:tcPr>
            <w:tcW w:w="40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裁量阶次</w:t>
            </w:r>
          </w:p>
        </w:tc>
        <w:tc>
          <w:tcPr>
            <w:tcW w:w="863"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适用条件</w:t>
            </w:r>
          </w:p>
        </w:tc>
        <w:tc>
          <w:tcPr>
            <w:tcW w:w="93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具体标准</w:t>
            </w:r>
          </w:p>
        </w:tc>
      </w:tr>
      <w:tr>
        <w:tblPrEx>
          <w:tblCellMar>
            <w:top w:w="0" w:type="dxa"/>
            <w:left w:w="108" w:type="dxa"/>
            <w:bottom w:w="0" w:type="dxa"/>
            <w:right w:w="108" w:type="dxa"/>
          </w:tblCellMar>
        </w:tblPrEx>
        <w:trPr>
          <w:trHeight w:val="2268" w:hRule="atLeast"/>
        </w:trPr>
        <w:tc>
          <w:tcPr>
            <w:tcW w:w="303" w:type="pct"/>
            <w:vMerge w:val="restart"/>
            <w:tcBorders>
              <w:top w:val="single" w:color="000000" w:sz="4" w:space="0"/>
              <w:left w:val="single" w:color="000000" w:sz="4" w:space="0"/>
              <w:bottom w:val="single" w:color="000000" w:sz="4" w:space="0"/>
              <w:right w:val="single" w:color="000000" w:sz="4" w:space="0"/>
              <w:tl2br w:val="nil"/>
              <w:tr2bl w:val="nil"/>
            </w:tcBorders>
            <w:noWrap/>
            <w:vAlign w:val="center"/>
          </w:tcPr>
          <w:p>
            <w:pPr>
              <w:widowControl/>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lang w:val="en"/>
              </w:rPr>
              <w:t>201.12</w:t>
            </w:r>
          </w:p>
        </w:tc>
        <w:tc>
          <w:tcPr>
            <w:tcW w:w="380"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委托没有资格的机构代理销售商品房的</w:t>
            </w:r>
          </w:p>
        </w:tc>
        <w:tc>
          <w:tcPr>
            <w:tcW w:w="941"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第二十五条：“房地产开发企业委托中介服务机构销售商品房的，受托机构应当是依法设立并取得工商营业执照的房地产中介服务机构。</w:t>
            </w:r>
          </w:p>
          <w:p>
            <w:pPr>
              <w:ind w:firstLine="420" w:firstLineChars="200"/>
              <w:rPr>
                <w:rFonts w:hint="eastAsia" w:ascii="仿宋_GB2312" w:hAnsi="仿宋_GB2312" w:eastAsia="仿宋_GB2312" w:cs="仿宋_GB2312"/>
                <w:color w:val="000000"/>
                <w:szCs w:val="21"/>
              </w:rPr>
            </w:pPr>
            <w:r>
              <w:rPr>
                <w:rFonts w:hint="eastAsia" w:ascii="仿宋_GB2312" w:hAnsi="仿宋_GB2312" w:eastAsia="仿宋_GB2312" w:cs="仿宋_GB2312"/>
                <w:szCs w:val="21"/>
              </w:rPr>
              <w:t>房地产开发企业应当与受托房地产中介服务机构订立书面委托合同，委托合同应当载明委托期限、委托权限以及委托人和被委托人的权利、义务。”</w:t>
            </w:r>
          </w:p>
        </w:tc>
        <w:tc>
          <w:tcPr>
            <w:tcW w:w="762"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第四十二条第八项：“房地产开发企业在销售商品房中有下列行为之一的，处以警告，责令限期改正，并可处以一万元以上三万元以下罚款：（八）委托没有资格的机构代理销售商品房的。”</w:t>
            </w:r>
          </w:p>
        </w:tc>
        <w:tc>
          <w:tcPr>
            <w:tcW w:w="407"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警告；罚款</w:t>
            </w:r>
          </w:p>
        </w:tc>
        <w:tc>
          <w:tcPr>
            <w:tcW w:w="40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rPr>
              <w:t>从轻</w:t>
            </w:r>
          </w:p>
        </w:tc>
        <w:tc>
          <w:tcPr>
            <w:tcW w:w="863"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szCs w:val="21"/>
              </w:rPr>
              <w:t>委托没有资格的机构代理销售商品房一套的</w:t>
            </w:r>
          </w:p>
        </w:tc>
        <w:tc>
          <w:tcPr>
            <w:tcW w:w="937" w:type="pct"/>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警告，责令限期改正，</w:t>
            </w:r>
            <w:r>
              <w:rPr>
                <w:rFonts w:hint="eastAsia" w:ascii="仿宋_GB2312" w:hAnsi="仿宋_GB2312" w:eastAsia="仿宋_GB2312" w:cs="仿宋_GB2312"/>
                <w:color w:val="000000"/>
                <w:szCs w:val="21"/>
              </w:rPr>
              <w:t>并可处以一万元以上、低于二万元罚款</w:t>
            </w:r>
          </w:p>
        </w:tc>
      </w:tr>
      <w:tr>
        <w:tblPrEx>
          <w:tblCellMar>
            <w:top w:w="0" w:type="dxa"/>
            <w:left w:w="108" w:type="dxa"/>
            <w:bottom w:w="0" w:type="dxa"/>
            <w:right w:w="108" w:type="dxa"/>
          </w:tblCellMar>
        </w:tblPrEx>
        <w:trPr>
          <w:trHeight w:val="2268" w:hRule="atLeast"/>
        </w:trPr>
        <w:tc>
          <w:tcPr>
            <w:tcW w:w="303" w:type="pct"/>
            <w:vMerge w:val="continue"/>
            <w:tcBorders>
              <w:top w:val="single" w:color="000000" w:sz="4" w:space="0"/>
              <w:left w:val="single" w:color="000000" w:sz="4" w:space="0"/>
              <w:bottom w:val="single" w:color="000000" w:sz="4" w:space="0"/>
              <w:right w:val="single" w:color="000000" w:sz="4" w:space="0"/>
              <w:tl2br w:val="nil"/>
              <w:tr2bl w:val="nil"/>
            </w:tcBorders>
            <w:noWrap/>
            <w:vAlign w:val="center"/>
          </w:tcPr>
          <w:p>
            <w:pPr>
              <w:jc w:val="left"/>
              <w:rPr>
                <w:rFonts w:hint="eastAsia" w:ascii="仿宋_GB2312" w:hAnsi="仿宋_GB2312" w:eastAsia="仿宋_GB2312" w:cs="仿宋_GB2312"/>
                <w:color w:val="000000"/>
                <w:szCs w:val="21"/>
              </w:rPr>
            </w:pPr>
          </w:p>
        </w:tc>
        <w:tc>
          <w:tcPr>
            <w:tcW w:w="380"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941"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762"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407"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40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一般</w:t>
            </w:r>
          </w:p>
        </w:tc>
        <w:tc>
          <w:tcPr>
            <w:tcW w:w="863"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szCs w:val="21"/>
              </w:rPr>
              <w:t>委托没有资格的机构代理销售商品房二套的</w:t>
            </w:r>
          </w:p>
        </w:tc>
        <w:tc>
          <w:tcPr>
            <w:tcW w:w="937" w:type="pct"/>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警告，责令限期改正，</w:t>
            </w:r>
            <w:r>
              <w:rPr>
                <w:rFonts w:hint="eastAsia" w:ascii="仿宋_GB2312" w:hAnsi="仿宋_GB2312" w:eastAsia="仿宋_GB2312" w:cs="仿宋_GB2312"/>
                <w:color w:val="000000"/>
                <w:szCs w:val="21"/>
              </w:rPr>
              <w:t>并可处以二万元罚款</w:t>
            </w:r>
          </w:p>
        </w:tc>
      </w:tr>
      <w:tr>
        <w:tblPrEx>
          <w:tblCellMar>
            <w:top w:w="0" w:type="dxa"/>
            <w:left w:w="108" w:type="dxa"/>
            <w:bottom w:w="0" w:type="dxa"/>
            <w:right w:w="108" w:type="dxa"/>
          </w:tblCellMar>
        </w:tblPrEx>
        <w:trPr>
          <w:trHeight w:val="2268" w:hRule="atLeast"/>
        </w:trPr>
        <w:tc>
          <w:tcPr>
            <w:tcW w:w="303" w:type="pct"/>
            <w:vMerge w:val="continue"/>
            <w:tcBorders>
              <w:top w:val="single" w:color="000000" w:sz="4" w:space="0"/>
              <w:left w:val="single" w:color="000000" w:sz="4" w:space="0"/>
              <w:bottom w:val="single" w:color="000000" w:sz="4" w:space="0"/>
              <w:right w:val="single" w:color="000000" w:sz="4" w:space="0"/>
              <w:tl2br w:val="nil"/>
              <w:tr2bl w:val="nil"/>
            </w:tcBorders>
            <w:noWrap/>
            <w:vAlign w:val="center"/>
          </w:tcPr>
          <w:p>
            <w:pPr>
              <w:jc w:val="left"/>
              <w:rPr>
                <w:rFonts w:hint="eastAsia" w:ascii="仿宋_GB2312" w:hAnsi="仿宋_GB2312" w:eastAsia="仿宋_GB2312" w:cs="仿宋_GB2312"/>
                <w:color w:val="000000"/>
                <w:szCs w:val="21"/>
              </w:rPr>
            </w:pPr>
          </w:p>
        </w:tc>
        <w:tc>
          <w:tcPr>
            <w:tcW w:w="380"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941"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762"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407"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40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rPr>
              <w:t>从重</w:t>
            </w:r>
          </w:p>
        </w:tc>
        <w:tc>
          <w:tcPr>
            <w:tcW w:w="863"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szCs w:val="21"/>
              </w:rPr>
              <w:t>委托没有资格的机构代理销售商品房三套以上的</w:t>
            </w:r>
          </w:p>
        </w:tc>
        <w:tc>
          <w:tcPr>
            <w:tcW w:w="937" w:type="pct"/>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警告，责令限期改正，</w:t>
            </w:r>
            <w:r>
              <w:rPr>
                <w:rFonts w:hint="eastAsia" w:ascii="仿宋_GB2312" w:hAnsi="仿宋_GB2312" w:eastAsia="仿宋_GB2312" w:cs="仿宋_GB2312"/>
                <w:color w:val="000000"/>
                <w:szCs w:val="21"/>
              </w:rPr>
              <w:t>并可处以超过二万元、三万元以下罚款</w:t>
            </w:r>
          </w:p>
        </w:tc>
      </w:tr>
    </w:tbl>
    <w:p>
      <w:pPr>
        <w:keepNext w:val="0"/>
        <w:keepLines w:val="0"/>
        <w:snapToGrid/>
        <w:outlineLvl w:val="9"/>
        <w:rPr>
          <w:rFonts w:hint="eastAsia" w:ascii="宋体" w:hAnsi="宋体"/>
          <w:b/>
          <w:color w:val="000000"/>
          <w:kern w:val="44"/>
          <w:sz w:val="32"/>
          <w:szCs w:val="24"/>
          <w:lang w:val="en"/>
        </w:rPr>
      </w:pPr>
      <w:r>
        <w:rPr>
          <w:rFonts w:ascii="宋体" w:hAnsi="宋体"/>
          <w:b/>
          <w:color w:val="000000"/>
          <w:kern w:val="44"/>
          <w:sz w:val="32"/>
          <w:szCs w:val="24"/>
        </w:rPr>
        <w:br w:type="page"/>
      </w:r>
      <w:r>
        <w:rPr>
          <w:rFonts w:ascii="宋体" w:hAnsi="宋体" w:eastAsia="宋体 (正文)"/>
          <w:color w:val="000000"/>
          <w:kern w:val="44"/>
          <w:sz w:val="32"/>
          <w:szCs w:val="24"/>
          <w:lang w:val="en"/>
        </w:rPr>
        <w:t>《商品房销售管理办法》</w:t>
      </w:r>
    </w:p>
    <w:tbl>
      <w:tblPr>
        <w:tblStyle w:val="11"/>
        <w:tblW w:w="5000" w:type="pct"/>
        <w:tblInd w:w="0" w:type="dxa"/>
        <w:tblLayout w:type="fixed"/>
        <w:tblCellMar>
          <w:top w:w="0" w:type="dxa"/>
          <w:left w:w="108" w:type="dxa"/>
          <w:bottom w:w="0" w:type="dxa"/>
          <w:right w:w="108" w:type="dxa"/>
        </w:tblCellMar>
      </w:tblPr>
      <w:tblGrid>
        <w:gridCol w:w="860"/>
        <w:gridCol w:w="1078"/>
        <w:gridCol w:w="1908"/>
        <w:gridCol w:w="1625"/>
        <w:gridCol w:w="1153"/>
        <w:gridCol w:w="1440"/>
        <w:gridCol w:w="2736"/>
        <w:gridCol w:w="3374"/>
      </w:tblGrid>
      <w:tr>
        <w:tblPrEx>
          <w:tblCellMar>
            <w:top w:w="0" w:type="dxa"/>
            <w:left w:w="108" w:type="dxa"/>
            <w:bottom w:w="0" w:type="dxa"/>
            <w:right w:w="108" w:type="dxa"/>
          </w:tblCellMar>
        </w:tblPrEx>
        <w:trPr>
          <w:trHeight w:val="567" w:hRule="atLeast"/>
        </w:trPr>
        <w:tc>
          <w:tcPr>
            <w:tcW w:w="303"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序号</w:t>
            </w:r>
          </w:p>
        </w:tc>
        <w:tc>
          <w:tcPr>
            <w:tcW w:w="380"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违法行为</w:t>
            </w:r>
          </w:p>
        </w:tc>
        <w:tc>
          <w:tcPr>
            <w:tcW w:w="673"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b/>
                <w:szCs w:val="21"/>
                <w:lang w:val="en"/>
              </w:rPr>
              <w:t>违反条款</w:t>
            </w:r>
          </w:p>
        </w:tc>
        <w:tc>
          <w:tcPr>
            <w:tcW w:w="573"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处罚依据</w:t>
            </w:r>
          </w:p>
        </w:tc>
        <w:tc>
          <w:tcPr>
            <w:tcW w:w="40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处罚种类</w:t>
            </w:r>
          </w:p>
        </w:tc>
        <w:tc>
          <w:tcPr>
            <w:tcW w:w="508"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裁量阶次</w:t>
            </w:r>
          </w:p>
        </w:tc>
        <w:tc>
          <w:tcPr>
            <w:tcW w:w="965"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适用条件</w:t>
            </w:r>
          </w:p>
        </w:tc>
        <w:tc>
          <w:tcPr>
            <w:tcW w:w="1190"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具体标准</w:t>
            </w:r>
          </w:p>
        </w:tc>
      </w:tr>
      <w:tr>
        <w:tblPrEx>
          <w:tblCellMar>
            <w:top w:w="0" w:type="dxa"/>
            <w:left w:w="108" w:type="dxa"/>
            <w:bottom w:w="0" w:type="dxa"/>
            <w:right w:w="108" w:type="dxa"/>
          </w:tblCellMar>
        </w:tblPrEx>
        <w:trPr>
          <w:trHeight w:val="2268" w:hRule="atLeast"/>
        </w:trPr>
        <w:tc>
          <w:tcPr>
            <w:tcW w:w="303" w:type="pct"/>
            <w:vMerge w:val="restart"/>
            <w:tcBorders>
              <w:top w:val="single" w:color="000000" w:sz="4" w:space="0"/>
              <w:left w:val="single" w:color="000000" w:sz="4" w:space="0"/>
              <w:bottom w:val="single" w:color="000000" w:sz="4" w:space="0"/>
              <w:right w:val="single" w:color="000000" w:sz="4" w:space="0"/>
              <w:tl2br w:val="nil"/>
              <w:tr2bl w:val="nil"/>
            </w:tcBorders>
            <w:noWrap/>
            <w:vAlign w:val="center"/>
          </w:tcPr>
          <w:p>
            <w:pPr>
              <w:widowControl/>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lang w:val="en"/>
              </w:rPr>
              <w:t>201.13</w:t>
            </w:r>
          </w:p>
        </w:tc>
        <w:tc>
          <w:tcPr>
            <w:tcW w:w="380"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房地产中介服务机构代理销售不符合销售条件的商品房的</w:t>
            </w:r>
          </w:p>
        </w:tc>
        <w:tc>
          <w:tcPr>
            <w:tcW w:w="673"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第二十七条：“受托房地产中介服务机构销售商品房时，应当如实向买受人介绍所代理销售商品房的有关情况。</w:t>
            </w:r>
          </w:p>
          <w:p>
            <w:pPr>
              <w:ind w:firstLine="420" w:firstLineChars="200"/>
              <w:rPr>
                <w:rFonts w:hint="eastAsia" w:ascii="仿宋_GB2312" w:hAnsi="仿宋_GB2312" w:eastAsia="仿宋_GB2312" w:cs="仿宋_GB2312"/>
                <w:color w:val="000000"/>
                <w:szCs w:val="21"/>
              </w:rPr>
            </w:pPr>
            <w:r>
              <w:rPr>
                <w:rFonts w:hint="eastAsia" w:ascii="仿宋_GB2312" w:hAnsi="仿宋_GB2312" w:eastAsia="仿宋_GB2312" w:cs="仿宋_GB2312"/>
                <w:szCs w:val="21"/>
              </w:rPr>
              <w:t>受托房地产中介服务机构不得代理销售不符合销售条件的商品房。”</w:t>
            </w:r>
          </w:p>
        </w:tc>
        <w:tc>
          <w:tcPr>
            <w:tcW w:w="573"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第四十三条：“房地产中介服务机构代理销售不符合销售条件的商品房的，处以警告，责令停止销售，并可处以二万元以上三万元以下罚款。”</w:t>
            </w:r>
          </w:p>
        </w:tc>
        <w:tc>
          <w:tcPr>
            <w:tcW w:w="407"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警告；限制开展生产经营活动；罚款</w:t>
            </w:r>
          </w:p>
        </w:tc>
        <w:tc>
          <w:tcPr>
            <w:tcW w:w="508"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rPr>
              <w:t>从轻</w:t>
            </w:r>
          </w:p>
        </w:tc>
        <w:tc>
          <w:tcPr>
            <w:tcW w:w="965" w:type="pct"/>
            <w:tcBorders>
              <w:top w:val="single" w:color="000000" w:sz="4" w:space="0"/>
              <w:left w:val="single" w:color="000000" w:sz="4" w:space="0"/>
              <w:bottom w:val="single" w:color="000000" w:sz="4" w:space="0"/>
              <w:right w:val="single" w:color="000000" w:sz="4" w:space="0"/>
              <w:tl2br w:val="nil"/>
              <w:tr2bl w:val="nil"/>
            </w:tcBorders>
            <w:noWrap/>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szCs w:val="21"/>
              </w:rPr>
              <w:t>房地产中介服务机构代理销售不符合销售条件的商品房一套的</w:t>
            </w:r>
          </w:p>
        </w:tc>
        <w:tc>
          <w:tcPr>
            <w:tcW w:w="1190" w:type="pc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警告，责令停止销售，并可处以二万元以上、低于二万五千元罚款</w:t>
            </w:r>
          </w:p>
        </w:tc>
      </w:tr>
      <w:tr>
        <w:tblPrEx>
          <w:tblCellMar>
            <w:top w:w="0" w:type="dxa"/>
            <w:left w:w="108" w:type="dxa"/>
            <w:bottom w:w="0" w:type="dxa"/>
            <w:right w:w="108" w:type="dxa"/>
          </w:tblCellMar>
        </w:tblPrEx>
        <w:trPr>
          <w:trHeight w:val="2268" w:hRule="atLeast"/>
        </w:trPr>
        <w:tc>
          <w:tcPr>
            <w:tcW w:w="303" w:type="pct"/>
            <w:vMerge w:val="continue"/>
            <w:tcBorders>
              <w:top w:val="single" w:color="000000" w:sz="4" w:space="0"/>
              <w:left w:val="single" w:color="000000" w:sz="4" w:space="0"/>
              <w:bottom w:val="single" w:color="000000" w:sz="4" w:space="0"/>
              <w:right w:val="single" w:color="000000" w:sz="4" w:space="0"/>
              <w:tl2br w:val="nil"/>
              <w:tr2bl w:val="nil"/>
            </w:tcBorders>
            <w:noWrap/>
            <w:vAlign w:val="center"/>
          </w:tcPr>
          <w:p>
            <w:pPr>
              <w:jc w:val="left"/>
              <w:rPr>
                <w:rFonts w:hint="eastAsia" w:ascii="仿宋_GB2312" w:hAnsi="仿宋_GB2312" w:eastAsia="仿宋_GB2312" w:cs="仿宋_GB2312"/>
                <w:color w:val="000000"/>
                <w:szCs w:val="21"/>
              </w:rPr>
            </w:pPr>
          </w:p>
        </w:tc>
        <w:tc>
          <w:tcPr>
            <w:tcW w:w="380"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673"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573"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407"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508"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一般</w:t>
            </w:r>
          </w:p>
        </w:tc>
        <w:tc>
          <w:tcPr>
            <w:tcW w:w="965" w:type="pct"/>
            <w:tcBorders>
              <w:top w:val="single" w:color="000000" w:sz="4" w:space="0"/>
              <w:left w:val="single" w:color="000000" w:sz="4" w:space="0"/>
              <w:bottom w:val="single" w:color="000000" w:sz="4" w:space="0"/>
              <w:right w:val="single" w:color="000000" w:sz="4" w:space="0"/>
              <w:tl2br w:val="nil"/>
              <w:tr2bl w:val="nil"/>
            </w:tcBorders>
            <w:noWrap/>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szCs w:val="21"/>
              </w:rPr>
              <w:t>房地产中介服务机构代理销售不符合销售条件的商品房二套以下的</w:t>
            </w:r>
          </w:p>
        </w:tc>
        <w:tc>
          <w:tcPr>
            <w:tcW w:w="1190" w:type="pc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警告，责令停止销售，并可处以二万五千元罚款</w:t>
            </w:r>
          </w:p>
        </w:tc>
      </w:tr>
      <w:tr>
        <w:tblPrEx>
          <w:tblCellMar>
            <w:top w:w="0" w:type="dxa"/>
            <w:left w:w="108" w:type="dxa"/>
            <w:bottom w:w="0" w:type="dxa"/>
            <w:right w:w="108" w:type="dxa"/>
          </w:tblCellMar>
        </w:tblPrEx>
        <w:trPr>
          <w:trHeight w:val="2268" w:hRule="atLeast"/>
        </w:trPr>
        <w:tc>
          <w:tcPr>
            <w:tcW w:w="303" w:type="pct"/>
            <w:vMerge w:val="continue"/>
            <w:tcBorders>
              <w:top w:val="single" w:color="000000" w:sz="4" w:space="0"/>
              <w:left w:val="single" w:color="000000" w:sz="4" w:space="0"/>
              <w:bottom w:val="single" w:color="000000" w:sz="4" w:space="0"/>
              <w:right w:val="single" w:color="000000" w:sz="4" w:space="0"/>
              <w:tl2br w:val="nil"/>
              <w:tr2bl w:val="nil"/>
            </w:tcBorders>
            <w:noWrap/>
            <w:vAlign w:val="center"/>
          </w:tcPr>
          <w:p>
            <w:pPr>
              <w:jc w:val="left"/>
              <w:rPr>
                <w:rFonts w:hint="eastAsia" w:ascii="仿宋_GB2312" w:hAnsi="仿宋_GB2312" w:eastAsia="仿宋_GB2312" w:cs="仿宋_GB2312"/>
                <w:color w:val="000000"/>
                <w:szCs w:val="21"/>
              </w:rPr>
            </w:pPr>
          </w:p>
        </w:tc>
        <w:tc>
          <w:tcPr>
            <w:tcW w:w="380"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673"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573"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407"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jc w:val="left"/>
              <w:rPr>
                <w:rFonts w:hint="eastAsia" w:ascii="仿宋_GB2312" w:hAnsi="仿宋_GB2312" w:eastAsia="仿宋_GB2312" w:cs="仿宋_GB2312"/>
                <w:color w:val="000000"/>
                <w:szCs w:val="21"/>
              </w:rPr>
            </w:pPr>
          </w:p>
        </w:tc>
        <w:tc>
          <w:tcPr>
            <w:tcW w:w="508"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rPr>
              <w:t>从重</w:t>
            </w:r>
          </w:p>
        </w:tc>
        <w:tc>
          <w:tcPr>
            <w:tcW w:w="965" w:type="pct"/>
            <w:tcBorders>
              <w:top w:val="single" w:color="000000" w:sz="4" w:space="0"/>
              <w:left w:val="single" w:color="000000" w:sz="4" w:space="0"/>
              <w:bottom w:val="single" w:color="000000" w:sz="4" w:space="0"/>
              <w:right w:val="single" w:color="000000" w:sz="4" w:space="0"/>
              <w:tl2br w:val="nil"/>
              <w:tr2bl w:val="nil"/>
            </w:tcBorders>
            <w:noWrap/>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szCs w:val="21"/>
              </w:rPr>
              <w:t>房地产中介服务机构代理销售不符合销售条件的商品房三套以上的</w:t>
            </w:r>
          </w:p>
        </w:tc>
        <w:tc>
          <w:tcPr>
            <w:tcW w:w="1190" w:type="pct"/>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警告，责令停止销售，并可处以超过二万五千元、三万元以下罚款</w:t>
            </w:r>
          </w:p>
        </w:tc>
      </w:tr>
    </w:tbl>
    <w:p>
      <w:pPr>
        <w:keepNext w:val="0"/>
        <w:keepLines w:val="0"/>
        <w:snapToGrid/>
        <w:outlineLvl w:val="9"/>
        <w:rPr>
          <w:rFonts w:hint="eastAsia" w:ascii="宋体" w:hAnsi="宋体"/>
          <w:b/>
          <w:color w:val="000000"/>
          <w:kern w:val="44"/>
          <w:sz w:val="32"/>
          <w:szCs w:val="24"/>
          <w:lang w:val="en"/>
        </w:rPr>
      </w:pPr>
      <w:r>
        <w:rPr>
          <w:rFonts w:ascii="宋体" w:hAnsi="宋体"/>
          <w:b/>
          <w:color w:val="000000"/>
          <w:kern w:val="44"/>
          <w:sz w:val="32"/>
          <w:szCs w:val="24"/>
        </w:rPr>
        <w:br w:type="page"/>
      </w:r>
      <w:r>
        <w:rPr>
          <w:rFonts w:ascii="宋体" w:hAnsi="宋体" w:eastAsia="宋体 (正文)"/>
          <w:color w:val="000000"/>
          <w:kern w:val="44"/>
          <w:sz w:val="32"/>
          <w:szCs w:val="24"/>
          <w:lang w:val="en"/>
        </w:rPr>
        <w:t>《深圳经济特区房地产转让条例》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5"/>
        <w:gridCol w:w="1706"/>
        <w:gridCol w:w="1630"/>
        <w:gridCol w:w="2710"/>
        <w:gridCol w:w="1576"/>
        <w:gridCol w:w="1261"/>
        <w:gridCol w:w="2823"/>
        <w:gridCol w:w="158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60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57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95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55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44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99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55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12"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202.1</w:t>
            </w:r>
          </w:p>
        </w:tc>
        <w:tc>
          <w:tcPr>
            <w:tcW w:w="602"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房地产开发商未依照《中华人民共和国城市房地产管理法》的规定将预售房地产的买卖合同向主管部门备案</w:t>
            </w:r>
          </w:p>
        </w:tc>
        <w:tc>
          <w:tcPr>
            <w:tcW w:w="57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第三十八条：“房</w:t>
            </w:r>
            <w:r>
              <w:rPr>
                <w:rFonts w:ascii="仿宋_GB2312" w:hAnsi="仿宋_GB2312" w:eastAsia="仿宋_GB2312" w:cs="仿宋_GB2312"/>
                <w:color w:val="000000"/>
                <w:kern w:val="0"/>
                <w:szCs w:val="21"/>
              </w:rPr>
              <w:t>地产开发商应当依照《中华人民共和国城市房地产管理法》的规定将预售房地产的买卖合同向主管部门备案。</w:t>
            </w:r>
            <w:r>
              <w:rPr>
                <w:rFonts w:hint="eastAsia" w:ascii="仿宋_GB2312" w:hAnsi="仿宋_GB2312" w:eastAsia="仿宋_GB2312" w:cs="仿宋_GB2312"/>
                <w:color w:val="000000"/>
                <w:kern w:val="0"/>
                <w:szCs w:val="21"/>
              </w:rPr>
              <w:t>”</w:t>
            </w:r>
          </w:p>
        </w:tc>
        <w:tc>
          <w:tcPr>
            <w:tcW w:w="95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第六十一条：“房地产开发商预售房地产，未按照规定将房地产买卖合同报主管部门备案而预售房地产的，由主管部门对转让人处转让价款百分之五以下罚款；转让人持有房地产开发资质证的，可以视情节轻重作出警告、不予资质年审或者吊销房地产开发资质证的处罚。”</w:t>
            </w:r>
          </w:p>
        </w:tc>
        <w:tc>
          <w:tcPr>
            <w:tcW w:w="55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警告；罚款；</w:t>
            </w:r>
          </w:p>
          <w:p>
            <w:pPr>
              <w:widowControl/>
              <w:textAlignment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吊销许可证件</w:t>
            </w:r>
          </w:p>
        </w:tc>
        <w:tc>
          <w:tcPr>
            <w:tcW w:w="44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996" w:type="pct"/>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房地产开发商预售房地产，未按照规定将房地产买卖合同报主管部门备案而预售房地产一套的</w:t>
            </w:r>
          </w:p>
        </w:tc>
        <w:tc>
          <w:tcPr>
            <w:tcW w:w="559" w:type="pct"/>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对转让人处转让价款百分之一罚款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12"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Cs w:val="21"/>
              </w:rPr>
            </w:pPr>
          </w:p>
        </w:tc>
        <w:tc>
          <w:tcPr>
            <w:tcW w:w="602"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Cs w:val="21"/>
              </w:rPr>
            </w:pPr>
          </w:p>
        </w:tc>
        <w:tc>
          <w:tcPr>
            <w:tcW w:w="575"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Cs w:val="21"/>
              </w:rPr>
            </w:pPr>
          </w:p>
        </w:tc>
        <w:tc>
          <w:tcPr>
            <w:tcW w:w="956"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Cs w:val="21"/>
              </w:rPr>
            </w:pPr>
          </w:p>
        </w:tc>
        <w:tc>
          <w:tcPr>
            <w:tcW w:w="556"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Cs w:val="21"/>
              </w:rPr>
            </w:pPr>
          </w:p>
        </w:tc>
        <w:tc>
          <w:tcPr>
            <w:tcW w:w="44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996" w:type="pct"/>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房地产开发商预售房地产，未按照规定将房地产买卖合同报主管部门备案而预售房地产</w:t>
            </w:r>
            <w:r>
              <w:rPr>
                <w:rFonts w:hint="eastAsia" w:ascii="仿宋_GB2312" w:hAnsi="仿宋_GB2312" w:eastAsia="仿宋_GB2312" w:cs="仿宋_GB2312"/>
                <w:spacing w:val="8"/>
                <w:kern w:val="0"/>
                <w:szCs w:val="21"/>
              </w:rPr>
              <w:t>二套的</w:t>
            </w:r>
          </w:p>
        </w:tc>
        <w:tc>
          <w:tcPr>
            <w:tcW w:w="559" w:type="pct"/>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对转让人处转让价款百分之二点五罚款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12"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Cs w:val="21"/>
              </w:rPr>
            </w:pPr>
          </w:p>
        </w:tc>
        <w:tc>
          <w:tcPr>
            <w:tcW w:w="602"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Cs w:val="21"/>
              </w:rPr>
            </w:pPr>
          </w:p>
        </w:tc>
        <w:tc>
          <w:tcPr>
            <w:tcW w:w="575"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Cs w:val="21"/>
              </w:rPr>
            </w:pPr>
          </w:p>
        </w:tc>
        <w:tc>
          <w:tcPr>
            <w:tcW w:w="956"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Cs w:val="21"/>
              </w:rPr>
            </w:pPr>
          </w:p>
        </w:tc>
        <w:tc>
          <w:tcPr>
            <w:tcW w:w="556"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Cs w:val="21"/>
              </w:rPr>
            </w:pPr>
          </w:p>
        </w:tc>
        <w:tc>
          <w:tcPr>
            <w:tcW w:w="44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996" w:type="pct"/>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房地产开发商预售房地产，未按照规定将房地产买卖合同报主管部门备案而预售房地产三套以上的</w:t>
            </w:r>
          </w:p>
        </w:tc>
        <w:tc>
          <w:tcPr>
            <w:tcW w:w="559" w:type="pct"/>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对转让人处转让价款超过百分之二点五、百分之五以下罚款</w:t>
            </w:r>
          </w:p>
        </w:tc>
      </w:tr>
    </w:tbl>
    <w:p>
      <w:pPr>
        <w:keepNext w:val="0"/>
        <w:keepLines w:val="0"/>
        <w:widowControl/>
        <w:snapToGrid/>
        <w:jc w:val="left"/>
        <w:outlineLvl w:val="9"/>
        <w:rPr>
          <w:rFonts w:hint="eastAsia" w:ascii="宋体" w:hAnsi="宋体"/>
          <w:b/>
          <w:color w:val="000000"/>
          <w:kern w:val="44"/>
          <w:sz w:val="32"/>
          <w:szCs w:val="24"/>
          <w:lang w:val="en"/>
        </w:rPr>
      </w:pPr>
      <w:r>
        <w:rPr>
          <w:b/>
          <w:sz w:val="32"/>
          <w:szCs w:val="24"/>
        </w:rPr>
        <w:br w:type="page"/>
      </w:r>
      <w:r>
        <w:rPr>
          <w:rFonts w:ascii="宋体" w:hAnsi="宋体" w:eastAsia="宋体 (正文)"/>
          <w:color w:val="000000"/>
          <w:kern w:val="44"/>
          <w:sz w:val="32"/>
          <w:szCs w:val="24"/>
          <w:lang w:val="en"/>
        </w:rPr>
        <w:t>《深圳经济特区物业管理条例》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4"/>
        <w:gridCol w:w="1931"/>
        <w:gridCol w:w="1301"/>
        <w:gridCol w:w="3469"/>
        <w:gridCol w:w="1381"/>
        <w:gridCol w:w="1216"/>
        <w:gridCol w:w="1860"/>
        <w:gridCol w:w="181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2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68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45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122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48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42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65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64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203.1</w:t>
            </w:r>
          </w:p>
        </w:tc>
        <w:tc>
          <w:tcPr>
            <w:tcW w:w="68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业主大会将物业管理区域地上以及地下建筑物、设施设备和相关场地进行分割管理，逾期未改正的</w:t>
            </w:r>
          </w:p>
        </w:tc>
        <w:tc>
          <w:tcPr>
            <w:tcW w:w="459"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第八条第四款：“物业管理区域地上以及地下建筑物、设施设备和相关场地不得分割管理。”</w:t>
            </w:r>
          </w:p>
        </w:tc>
        <w:tc>
          <w:tcPr>
            <w:tcW w:w="1224"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一百零六条：“业主大会有下列情形之一的，由区住房和建设部门给予警告，并责令限期改正；逾期未改正的，对相关责任人处一万元以上三万元以下罚款：（一）违反本条例第八条第四款规定，将物业管理区域地上以及地下建筑物、设施设备和相关场地进行分割管理。”</w:t>
            </w:r>
          </w:p>
        </w:tc>
        <w:tc>
          <w:tcPr>
            <w:tcW w:w="487"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警告；罚款</w:t>
            </w:r>
          </w:p>
        </w:tc>
        <w:tc>
          <w:tcPr>
            <w:tcW w:w="42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65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未造成后果或造成轻微危害后果的</w:t>
            </w:r>
          </w:p>
        </w:tc>
        <w:tc>
          <w:tcPr>
            <w:tcW w:w="640"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警告，并责令限期改正；逾期未改正，对相关责任人处一万元以上、低于二万元罚款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8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5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122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8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2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65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造成一般危害后果的</w:t>
            </w:r>
          </w:p>
        </w:tc>
        <w:tc>
          <w:tcPr>
            <w:tcW w:w="640"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警告，并责令限期改正；逾期未改正，对相关责任人处二万元罚款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8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5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122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8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2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65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造成严重危害后果的</w:t>
            </w:r>
          </w:p>
        </w:tc>
        <w:tc>
          <w:tcPr>
            <w:tcW w:w="640"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警告，并责令限期改正；逾期未改正，对相关责任人处超过二万元、三万元以下罚款</w:t>
            </w:r>
          </w:p>
        </w:tc>
      </w:tr>
    </w:tbl>
    <w:p>
      <w:pPr>
        <w:rPr>
          <w:b/>
          <w:sz w:val="32"/>
          <w:szCs w:val="24"/>
          <w:lang w:val="en"/>
        </w:rPr>
      </w:pPr>
      <w:r>
        <w:rPr>
          <w:szCs w:val="24"/>
        </w:rPr>
        <w:br w:type="page"/>
      </w:r>
      <w:r>
        <w:rPr>
          <w:rFonts w:ascii="宋体" w:hAnsi="宋体" w:eastAsia="宋体 (正文)"/>
          <w:color w:val="000000"/>
          <w:kern w:val="44"/>
          <w:sz w:val="32"/>
          <w:szCs w:val="24"/>
          <w:lang w:val="en"/>
        </w:rPr>
        <w:t>《深圳经济特区物业管理条例》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3"/>
        <w:gridCol w:w="1717"/>
        <w:gridCol w:w="2146"/>
        <w:gridCol w:w="2908"/>
        <w:gridCol w:w="1397"/>
        <w:gridCol w:w="1202"/>
        <w:gridCol w:w="1874"/>
        <w:gridCol w:w="17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2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75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102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49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42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203.2</w:t>
            </w:r>
          </w:p>
        </w:tc>
        <w:tc>
          <w:tcPr>
            <w:tcW w:w="60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业主大会未按照国家有关规定建立财务管理制度，逾期未改正的</w:t>
            </w:r>
          </w:p>
        </w:tc>
        <w:tc>
          <w:tcPr>
            <w:tcW w:w="757"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第七十二条第二款：“业主共有资金开户账户单位应当按照国家有关规定建立健全财务管理制度，保证资金安全，并通过物业管理信息平台，向全体业主实时公开业主共有资金基本账户或者共管账户信息。”</w:t>
            </w:r>
          </w:p>
        </w:tc>
        <w:tc>
          <w:tcPr>
            <w:tcW w:w="102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一百零六条：“业主大会有下列情形之一的，由区住房和建设部门给予警告，并责令限期改正；逾期未改正的，对相关责任人处一万元以上三万元以下罚款：（二）违反本条例第七十二条第二款规定，未按照国家有关规定建立财务管理制度。”</w:t>
            </w:r>
          </w:p>
        </w:tc>
        <w:tc>
          <w:tcPr>
            <w:tcW w:w="493"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警告；罚款</w:t>
            </w:r>
          </w:p>
        </w:tc>
        <w:tc>
          <w:tcPr>
            <w:tcW w:w="42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未造成后果或造成轻微危害后果的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警告，并责令限期改正；逾期未改正，对相关责任人处一万元以上、低于二万元罚款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75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102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9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2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警告，并责令限期改正；逾期未改正，对相关责任人处二万元罚款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75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102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9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2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警告，并责令限期改正；逾期未改正，对相关责任人处超过二万元、三万元以下罚款</w:t>
            </w:r>
          </w:p>
        </w:tc>
      </w:tr>
    </w:tbl>
    <w:p>
      <w:pPr>
        <w:rPr>
          <w:b/>
          <w:sz w:val="32"/>
          <w:szCs w:val="24"/>
          <w:lang w:val="en"/>
        </w:rPr>
      </w:pPr>
      <w:r>
        <w:rPr>
          <w:rFonts w:hAnsi="宋体"/>
          <w:b/>
          <w:szCs w:val="24"/>
        </w:rPr>
        <w:br w:type="page"/>
      </w:r>
      <w:r>
        <w:rPr>
          <w:rFonts w:ascii="宋体" w:hAnsi="宋体" w:eastAsia="宋体 (正文)"/>
          <w:color w:val="000000"/>
          <w:kern w:val="44"/>
          <w:sz w:val="32"/>
          <w:szCs w:val="24"/>
          <w:lang w:val="en"/>
        </w:rPr>
        <w:t>《深圳经济特区物业管理条例》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2"/>
        <w:gridCol w:w="1717"/>
        <w:gridCol w:w="2724"/>
        <w:gridCol w:w="2365"/>
        <w:gridCol w:w="1307"/>
        <w:gridCol w:w="1259"/>
        <w:gridCol w:w="1874"/>
        <w:gridCol w:w="17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2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96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83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46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44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203.3</w:t>
            </w:r>
          </w:p>
        </w:tc>
        <w:tc>
          <w:tcPr>
            <w:tcW w:w="60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业主大会未定期与数据共享银行核对本物业管理区域业主共有资金账目并按季度公示，逾期未改正的</w:t>
            </w:r>
          </w:p>
        </w:tc>
        <w:tc>
          <w:tcPr>
            <w:tcW w:w="96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第七十三条：“业主共有资金账户开户单位应当定期与数据共享银行核对业主共有资金账目，并按季度公示下列情况：</w:t>
            </w:r>
          </w:p>
          <w:p>
            <w:pPr>
              <w:numPr>
                <w:ilvl w:val="0"/>
                <w:numId w:val="2"/>
              </w:numPr>
              <w:rPr>
                <w:rFonts w:hint="eastAsia" w:ascii="仿宋_GB2312" w:hAnsi="仿宋_GB2312" w:eastAsia="仿宋_GB2312" w:cs="仿宋_GB2312"/>
                <w:szCs w:val="21"/>
              </w:rPr>
            </w:pPr>
            <w:r>
              <w:rPr>
                <w:rFonts w:hint="eastAsia" w:ascii="仿宋_GB2312" w:hAnsi="仿宋_GB2312" w:eastAsia="仿宋_GB2312" w:cs="仿宋_GB2312"/>
                <w:szCs w:val="21"/>
              </w:rPr>
              <w:t>业主共有资金缴存及结余情况；</w:t>
            </w:r>
          </w:p>
          <w:p>
            <w:pPr>
              <w:numPr>
                <w:ilvl w:val="0"/>
                <w:numId w:val="2"/>
              </w:numPr>
              <w:rPr>
                <w:rFonts w:hint="eastAsia" w:ascii="仿宋_GB2312" w:hAnsi="仿宋_GB2312" w:eastAsia="仿宋_GB2312" w:cs="仿宋_GB2312"/>
                <w:szCs w:val="21"/>
              </w:rPr>
            </w:pPr>
            <w:r>
              <w:rPr>
                <w:rFonts w:hint="eastAsia" w:ascii="仿宋_GB2312" w:hAnsi="仿宋_GB2312" w:eastAsia="仿宋_GB2312" w:cs="仿宋_GB2312"/>
                <w:szCs w:val="21"/>
              </w:rPr>
              <w:t>发生列支的项目、费用和分摊情况；</w:t>
            </w:r>
          </w:p>
          <w:p>
            <w:pPr>
              <w:numPr>
                <w:ilvl w:val="0"/>
                <w:numId w:val="2"/>
              </w:numPr>
              <w:rPr>
                <w:rFonts w:hint="eastAsia" w:ascii="仿宋_GB2312" w:hAnsi="仿宋_GB2312" w:eastAsia="仿宋_GB2312" w:cs="仿宋_GB2312"/>
                <w:szCs w:val="21"/>
              </w:rPr>
            </w:pPr>
            <w:r>
              <w:rPr>
                <w:rFonts w:hint="eastAsia" w:ascii="仿宋_GB2312" w:hAnsi="仿宋_GB2312" w:eastAsia="仿宋_GB2312" w:cs="仿宋_GB2312"/>
                <w:szCs w:val="21"/>
              </w:rPr>
              <w:t>业主拖欠物业管理费、物业专项维修资金和其他分摊费用的情况；</w:t>
            </w:r>
          </w:p>
          <w:p>
            <w:pPr>
              <w:rPr>
                <w:rFonts w:hint="eastAsia" w:ascii="仿宋_GB2312" w:hAnsi="仿宋_GB2312" w:eastAsia="仿宋_GB2312" w:cs="仿宋_GB2312"/>
                <w:szCs w:val="21"/>
              </w:rPr>
            </w:pPr>
            <w:r>
              <w:rPr>
                <w:rFonts w:hint="eastAsia" w:ascii="仿宋_GB2312" w:hAnsi="仿宋_GB2312" w:eastAsia="仿宋_GB2312" w:cs="仿宋_GB2312"/>
                <w:szCs w:val="21"/>
              </w:rPr>
              <w:t>（四）其他有关业主共有资金使用和管理情况。”</w:t>
            </w:r>
          </w:p>
        </w:tc>
        <w:tc>
          <w:tcPr>
            <w:tcW w:w="834"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一百零六条：“业主大会有下列情形之一的，由区住房和建设部门给予警告，并责令限期改正；逾期未改正的，对相关责任人处一万元以上三万元以下罚款：（三）违反本条例第七十三条规定，未定期与数据共享银行核对本物业管理区域业主共有资金账目并按季度公示。”</w:t>
            </w:r>
          </w:p>
        </w:tc>
        <w:tc>
          <w:tcPr>
            <w:tcW w:w="46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警告；罚款</w:t>
            </w:r>
          </w:p>
        </w:tc>
        <w:tc>
          <w:tcPr>
            <w:tcW w:w="44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未造成后果或造成轻微危害后果的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警告，并责令限期改正；逾期未改正，对相关责任人处一万元以上、低于二万元罚款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6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3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6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4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警告，并责令限期改正；逾期未改正，对相关责任人处二万元罚款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6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3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6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4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警告，并责令限期改正；逾期未改正，对相关责任人处超过二万元、三万元以下罚款</w:t>
            </w:r>
          </w:p>
        </w:tc>
      </w:tr>
    </w:tbl>
    <w:p>
      <w:pPr>
        <w:rPr>
          <w:b/>
          <w:sz w:val="32"/>
          <w:szCs w:val="24"/>
          <w:lang w:val="en"/>
        </w:rPr>
      </w:pPr>
      <w:r>
        <w:rPr>
          <w:rFonts w:hAnsi="宋体"/>
          <w:b/>
          <w:szCs w:val="24"/>
        </w:rPr>
        <w:br w:type="page"/>
      </w:r>
      <w:r>
        <w:rPr>
          <w:rFonts w:ascii="宋体" w:hAnsi="宋体" w:eastAsia="宋体 (正文)"/>
          <w:color w:val="000000"/>
          <w:kern w:val="44"/>
          <w:sz w:val="32"/>
          <w:szCs w:val="24"/>
          <w:lang w:val="en"/>
        </w:rPr>
        <w:t>《深圳经济特区物业管理条例》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4"/>
        <w:gridCol w:w="1718"/>
        <w:gridCol w:w="1792"/>
        <w:gridCol w:w="3121"/>
        <w:gridCol w:w="1570"/>
        <w:gridCol w:w="1168"/>
        <w:gridCol w:w="1874"/>
        <w:gridCol w:w="17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2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63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110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55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41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203.4</w:t>
            </w:r>
          </w:p>
        </w:tc>
        <w:tc>
          <w:tcPr>
            <w:tcW w:w="60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业主大会未续筹物业专项维修资金，逾期未改正的</w:t>
            </w:r>
          </w:p>
        </w:tc>
        <w:tc>
          <w:tcPr>
            <w:tcW w:w="632"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第九十三条：“物业专项维修资金专户的余额低于首期归集的专项维修资金百分之三十的，业主大会应当续筹。”</w:t>
            </w:r>
          </w:p>
        </w:tc>
        <w:tc>
          <w:tcPr>
            <w:tcW w:w="110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一百零六条：“业主大会有下列情形之一的，由区住房和建设部门给予警告，并责令限期改正；逾期未改正的，对相关责任人处一万元以上三万元以下罚款：（四）违反本条例第九十三条规定，未续筹物业专项维修资金。”</w:t>
            </w:r>
          </w:p>
        </w:tc>
        <w:tc>
          <w:tcPr>
            <w:tcW w:w="554"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警告；罚款</w:t>
            </w:r>
          </w:p>
        </w:tc>
        <w:tc>
          <w:tcPr>
            <w:tcW w:w="41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物业专项维修资金余额低于首期归集的专项维修资金百分之三十</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警告，并责令限期改正；逾期未改正，对相关责任人处一万元以上、低于二万元罚款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3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110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5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1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物业专项维修资金余额低于首期归集的专项维修资金百分之二十</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警告，并责令限期改正；逾期未改正，对相关责任人处二万元罚款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3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110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5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1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物业专项维修资金余额低于首期归集的专项维修资金百分之十</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警告，并责令限期改正；逾期未改正，对相关责任人处超过二万元、三万元以下罚款</w:t>
            </w:r>
          </w:p>
        </w:tc>
      </w:tr>
    </w:tbl>
    <w:p>
      <w:pPr>
        <w:rPr>
          <w:b/>
          <w:sz w:val="32"/>
          <w:szCs w:val="24"/>
          <w:lang w:val="en"/>
        </w:rPr>
      </w:pPr>
      <w:r>
        <w:rPr>
          <w:rFonts w:hAnsi="宋体"/>
          <w:b/>
          <w:szCs w:val="24"/>
        </w:rPr>
        <w:br w:type="page"/>
      </w:r>
      <w:r>
        <w:rPr>
          <w:rFonts w:ascii="宋体" w:hAnsi="宋体" w:eastAsia="宋体 (正文)"/>
          <w:color w:val="000000"/>
          <w:kern w:val="44"/>
          <w:sz w:val="32"/>
          <w:szCs w:val="24"/>
          <w:lang w:val="en"/>
        </w:rPr>
        <w:t>《深圳经济特区物业管理条例》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4"/>
        <w:gridCol w:w="1288"/>
        <w:gridCol w:w="3634"/>
        <w:gridCol w:w="2047"/>
        <w:gridCol w:w="1355"/>
        <w:gridCol w:w="1207"/>
        <w:gridCol w:w="1712"/>
        <w:gridCol w:w="17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2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45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128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72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47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42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60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203.5</w:t>
            </w:r>
          </w:p>
        </w:tc>
        <w:tc>
          <w:tcPr>
            <w:tcW w:w="454"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业主委员会逾期未召集业主大会会议，逾期未改正的</w:t>
            </w:r>
          </w:p>
        </w:tc>
        <w:tc>
          <w:tcPr>
            <w:tcW w:w="1282"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第二十七条：“业主大会定期会议每年至少召开一次。</w:t>
            </w:r>
            <w:r>
              <w:rPr>
                <w:rFonts w:ascii="仿宋_GB2312" w:hAnsi="仿宋_GB2312" w:eastAsia="仿宋_GB2312" w:cs="仿宋_GB2312"/>
                <w:szCs w:val="21"/>
              </w:rPr>
              <w:t xml:space="preserve"> </w:t>
            </w:r>
          </w:p>
          <w:p>
            <w:pPr>
              <w:ind w:firstLine="420" w:firstLineChars="200"/>
              <w:rPr>
                <w:rFonts w:hint="eastAsia" w:ascii="仿宋_GB2312" w:hAnsi="仿宋_GB2312" w:eastAsia="仿宋_GB2312" w:cs="仿宋_GB2312"/>
                <w:szCs w:val="21"/>
              </w:rPr>
            </w:pPr>
            <w:r>
              <w:rPr>
                <w:rFonts w:hint="eastAsia" w:ascii="仿宋_GB2312" w:hAnsi="仿宋_GB2312" w:eastAsia="仿宋_GB2312" w:cs="仿宋_GB2312"/>
                <w:szCs w:val="21"/>
              </w:rPr>
              <w:t>经业主总人数百分之二十以上业主或者持投票权数百分之二十以上业主提议，或者有业主大会议事规则规定的其他情形时，业主委员会应当召集业主大会临时会议。</w:t>
            </w:r>
          </w:p>
          <w:p>
            <w:pPr>
              <w:ind w:firstLine="420" w:firstLineChars="200"/>
              <w:rPr>
                <w:rFonts w:hint="eastAsia" w:ascii="仿宋_GB2312" w:hAnsi="仿宋_GB2312" w:eastAsia="仿宋_GB2312" w:cs="仿宋_GB2312"/>
                <w:szCs w:val="21"/>
              </w:rPr>
            </w:pPr>
            <w:r>
              <w:rPr>
                <w:rFonts w:hint="eastAsia" w:ascii="仿宋_GB2312" w:hAnsi="仿宋_GB2312" w:eastAsia="仿宋_GB2312" w:cs="仿宋_GB2312"/>
                <w:szCs w:val="21"/>
              </w:rPr>
              <w:t>召开住宅物业的业主大会会议，应当提前三个工作日书面告知物业所在地社区居民委员会。社区居民委员会应当派员列席会议或者了解会议情况。</w:t>
            </w:r>
          </w:p>
          <w:p>
            <w:pPr>
              <w:ind w:firstLine="420" w:firstLineChars="200"/>
              <w:rPr>
                <w:rFonts w:hint="eastAsia" w:ascii="仿宋_GB2312" w:hAnsi="仿宋_GB2312" w:eastAsia="仿宋_GB2312" w:cs="仿宋_GB2312"/>
                <w:szCs w:val="21"/>
              </w:rPr>
            </w:pPr>
            <w:r>
              <w:rPr>
                <w:rFonts w:hint="eastAsia" w:ascii="仿宋_GB2312" w:hAnsi="仿宋_GB2312" w:eastAsia="仿宋_GB2312" w:cs="仿宋_GB2312"/>
                <w:szCs w:val="21"/>
              </w:rPr>
              <w:t>业主大会未能及时召开，或者会议未能形成相关决议决定，以及业主就会议议题内容存在重大意见分歧的，业主委员会应当及时向社区党委报告。”</w:t>
            </w:r>
          </w:p>
        </w:tc>
        <w:tc>
          <w:tcPr>
            <w:tcW w:w="722"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一百零七条：“业主委员会有下列情形之一的，由区住房和建设部门给予警告，并责令限期改正；逾期未改正的，对相关责任人处一万元以上三万元以下罚款：（一）违反本条例第二十七条规定，逾期未召集业主大会会议。”</w:t>
            </w:r>
          </w:p>
        </w:tc>
        <w:tc>
          <w:tcPr>
            <w:tcW w:w="47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警告；罚款</w:t>
            </w:r>
          </w:p>
        </w:tc>
        <w:tc>
          <w:tcPr>
            <w:tcW w:w="42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604"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未造成后果或造成轻微危害后果的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警告，并责令限期改正；逾期未改正，对相关责任人处一万元以上、低于二万元罚款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5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128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72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7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2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604"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警告，并责令限期改正；逾期未改正，对相关责任人处二万元罚款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5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128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72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7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2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604"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警告，并责令限期改正；逾期未改正，对相关责任人处超过二万元、三万元以下罚款</w:t>
            </w:r>
          </w:p>
        </w:tc>
      </w:tr>
    </w:tbl>
    <w:p>
      <w:pPr>
        <w:rPr>
          <w:b/>
          <w:sz w:val="32"/>
          <w:szCs w:val="24"/>
          <w:lang w:val="en"/>
        </w:rPr>
      </w:pPr>
      <w:r>
        <w:rPr>
          <w:rFonts w:hAnsi="宋体"/>
          <w:b/>
          <w:szCs w:val="24"/>
        </w:rPr>
        <w:br w:type="page"/>
      </w:r>
      <w:r>
        <w:rPr>
          <w:rFonts w:ascii="宋体" w:hAnsi="宋体" w:eastAsia="宋体 (正文)"/>
          <w:color w:val="000000"/>
          <w:kern w:val="44"/>
          <w:sz w:val="32"/>
          <w:szCs w:val="24"/>
          <w:lang w:val="en"/>
        </w:rPr>
        <w:t>《深圳经济特区物业管理条例》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4"/>
        <w:gridCol w:w="1718"/>
        <w:gridCol w:w="2948"/>
        <w:gridCol w:w="1947"/>
        <w:gridCol w:w="1570"/>
        <w:gridCol w:w="1185"/>
        <w:gridCol w:w="1874"/>
        <w:gridCol w:w="17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2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104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68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55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41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203.6</w:t>
            </w:r>
          </w:p>
        </w:tc>
        <w:tc>
          <w:tcPr>
            <w:tcW w:w="60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业主委员会未公示终止职务的业主委员会委员、候补委员名单，逾期未改正的</w:t>
            </w:r>
          </w:p>
        </w:tc>
        <w:tc>
          <w:tcPr>
            <w:tcW w:w="1040"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第三十九条：“除任期届满外，业主委员会委员、候补委员有下列情形之一时，其职务自行终止，由业主委员会公示，并向业主大会报告：</w:t>
            </w:r>
          </w:p>
          <w:p>
            <w:pPr>
              <w:numPr>
                <w:ilvl w:val="0"/>
                <w:numId w:val="3"/>
              </w:numPr>
              <w:rPr>
                <w:rFonts w:hint="eastAsia" w:ascii="仿宋_GB2312" w:hAnsi="仿宋_GB2312" w:eastAsia="仿宋_GB2312" w:cs="仿宋_GB2312"/>
                <w:szCs w:val="21"/>
              </w:rPr>
            </w:pPr>
            <w:r>
              <w:rPr>
                <w:rFonts w:hint="eastAsia" w:ascii="仿宋_GB2312" w:hAnsi="仿宋_GB2312" w:eastAsia="仿宋_GB2312" w:cs="仿宋_GB2312"/>
                <w:szCs w:val="21"/>
              </w:rPr>
              <w:t>不再是本物业管理区域的业主；</w:t>
            </w:r>
          </w:p>
          <w:p>
            <w:pPr>
              <w:numPr>
                <w:ilvl w:val="0"/>
                <w:numId w:val="3"/>
              </w:numPr>
              <w:rPr>
                <w:rFonts w:hint="eastAsia" w:ascii="仿宋_GB2312" w:hAnsi="仿宋_GB2312" w:eastAsia="仿宋_GB2312" w:cs="仿宋_GB2312"/>
                <w:szCs w:val="21"/>
              </w:rPr>
            </w:pPr>
            <w:r>
              <w:rPr>
                <w:rFonts w:hint="eastAsia" w:ascii="仿宋_GB2312" w:hAnsi="仿宋_GB2312" w:eastAsia="仿宋_GB2312" w:cs="仿宋_GB2312"/>
                <w:szCs w:val="21"/>
              </w:rPr>
              <w:t>丧失民事行为能力；</w:t>
            </w:r>
          </w:p>
          <w:p>
            <w:pPr>
              <w:numPr>
                <w:ilvl w:val="0"/>
                <w:numId w:val="3"/>
              </w:numPr>
              <w:rPr>
                <w:rFonts w:hint="eastAsia" w:ascii="仿宋_GB2312" w:hAnsi="仿宋_GB2312" w:eastAsia="仿宋_GB2312" w:cs="仿宋_GB2312"/>
                <w:szCs w:val="21"/>
              </w:rPr>
            </w:pPr>
            <w:r>
              <w:rPr>
                <w:rFonts w:hint="eastAsia" w:ascii="仿宋_GB2312" w:hAnsi="仿宋_GB2312" w:eastAsia="仿宋_GB2312" w:cs="仿宋_GB2312"/>
                <w:szCs w:val="21"/>
              </w:rPr>
              <w:t>因犯罪被判处刑罚；</w:t>
            </w:r>
          </w:p>
          <w:p>
            <w:pPr>
              <w:numPr>
                <w:ilvl w:val="0"/>
                <w:numId w:val="3"/>
              </w:numPr>
              <w:rPr>
                <w:rFonts w:hint="eastAsia" w:ascii="仿宋_GB2312" w:hAnsi="仿宋_GB2312" w:eastAsia="仿宋_GB2312" w:cs="仿宋_GB2312"/>
                <w:szCs w:val="21"/>
              </w:rPr>
            </w:pPr>
            <w:r>
              <w:rPr>
                <w:rFonts w:hint="eastAsia" w:ascii="仿宋_GB2312" w:hAnsi="仿宋_GB2312" w:eastAsia="仿宋_GB2312" w:cs="仿宋_GB2312"/>
                <w:szCs w:val="21"/>
              </w:rPr>
              <w:t>存在本条例第三十八条所列禁止行为且受到行政处罚；</w:t>
            </w:r>
          </w:p>
          <w:p>
            <w:pPr>
              <w:rPr>
                <w:rFonts w:hint="eastAsia" w:ascii="仿宋_GB2312" w:hAnsi="仿宋_GB2312" w:eastAsia="仿宋_GB2312" w:cs="仿宋_GB2312"/>
                <w:szCs w:val="21"/>
              </w:rPr>
            </w:pPr>
            <w:r>
              <w:rPr>
                <w:rFonts w:hint="eastAsia" w:ascii="仿宋_GB2312" w:hAnsi="仿宋_GB2312" w:eastAsia="仿宋_GB2312" w:cs="仿宋_GB2312"/>
                <w:szCs w:val="21"/>
              </w:rPr>
              <w:t>（五）以书面形式向业主大会或者业主委员会提出辞职之日起一个月后。”</w:t>
            </w:r>
          </w:p>
        </w:tc>
        <w:tc>
          <w:tcPr>
            <w:tcW w:w="687"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一百零七条：“业主委员会有下列情形之一的，由区住房和建设部门给予警告，并责令限期改正；逾期未改正的，对相关责任人处一万元以上三万元以下罚款：（二）违反本条例第三十九条规定，未公示终止职务的业主委员会委员、候补委员名单。”</w:t>
            </w:r>
          </w:p>
        </w:tc>
        <w:tc>
          <w:tcPr>
            <w:tcW w:w="554"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警告；罚款</w:t>
            </w:r>
          </w:p>
        </w:tc>
        <w:tc>
          <w:tcPr>
            <w:tcW w:w="41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未造成后果或造成轻微危害后果的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警告，并责令限期改正；逾期未改正，对相关责任人处一万元以上、低于二万元罚款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104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8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5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1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警告，并责令限期改正；逾期未改正，对相关责任人处二万元罚款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104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8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5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1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警告，并责令限期改正；逾期未改正，对相关责任人处超过二万元、三万元以下罚款</w:t>
            </w:r>
          </w:p>
        </w:tc>
      </w:tr>
    </w:tbl>
    <w:p>
      <w:pPr>
        <w:rPr>
          <w:b/>
          <w:sz w:val="32"/>
          <w:szCs w:val="24"/>
          <w:lang w:val="en"/>
        </w:rPr>
      </w:pPr>
      <w:r>
        <w:rPr>
          <w:rFonts w:hAnsi="宋体"/>
          <w:b/>
          <w:szCs w:val="24"/>
        </w:rPr>
        <w:br w:type="page"/>
      </w:r>
      <w:r>
        <w:rPr>
          <w:rFonts w:ascii="宋体" w:eastAsia="宋体 (正文)"/>
          <w:sz w:val="32"/>
          <w:szCs w:val="24"/>
          <w:lang w:val="en"/>
        </w:rPr>
        <w:t>《深圳经济特区物业管理条例》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2"/>
        <w:gridCol w:w="1717"/>
        <w:gridCol w:w="2100"/>
        <w:gridCol w:w="2807"/>
        <w:gridCol w:w="1489"/>
        <w:gridCol w:w="1259"/>
        <w:gridCol w:w="1874"/>
        <w:gridCol w:w="17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2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74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99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52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44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203.7</w:t>
            </w:r>
          </w:p>
        </w:tc>
        <w:tc>
          <w:tcPr>
            <w:tcW w:w="60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业主委员会未向区住房和建设部门办理业主委员会候补委员递补备案手续，逾期未改正的</w:t>
            </w:r>
          </w:p>
        </w:tc>
        <w:tc>
          <w:tcPr>
            <w:tcW w:w="74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第四十一条第一款：“业主委员会委员职务终止后，由业主委员会从候补委员中按照得票顺序依次递补为委员并予以公示，在公示结束之日起十五日内向区住房和建设部门备案。”</w:t>
            </w:r>
          </w:p>
        </w:tc>
        <w:tc>
          <w:tcPr>
            <w:tcW w:w="990"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一百零七条：“业主委员会有下列情形之一的，由区住房和建设部门给予警告，并责令限期改正；逾期未改正的，对相关责任人处一万元以上三万元以下罚款：（三）违反本条例第四十一条第一款规定，未办理业主委员会候补委员递补备案手续。”</w:t>
            </w:r>
          </w:p>
        </w:tc>
        <w:tc>
          <w:tcPr>
            <w:tcW w:w="52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警告；罚款</w:t>
            </w:r>
          </w:p>
        </w:tc>
        <w:tc>
          <w:tcPr>
            <w:tcW w:w="44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未造成后果或造成轻微危害后果的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警告，并责令限期改正；逾期未改正，对相关责任人处一万元以上、低于二万元罚款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74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9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2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4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警告，并责令限期改正；逾期未改正，对相关责任人处二万元罚款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74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9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2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4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警告，并责令限期改正；逾期未改正，对相关责任人处超过二万元、三万元以下罚款</w:t>
            </w:r>
          </w:p>
        </w:tc>
      </w:tr>
    </w:tbl>
    <w:p>
      <w:pPr>
        <w:rPr>
          <w:b/>
          <w:sz w:val="32"/>
          <w:szCs w:val="24"/>
          <w:lang w:val="en"/>
        </w:rPr>
      </w:pPr>
      <w:r>
        <w:rPr>
          <w:rFonts w:hAnsi="宋体"/>
          <w:b/>
          <w:szCs w:val="24"/>
        </w:rPr>
        <w:br w:type="page"/>
      </w:r>
      <w:r>
        <w:rPr>
          <w:rFonts w:ascii="宋体" w:eastAsia="宋体 (正文)"/>
          <w:sz w:val="32"/>
          <w:szCs w:val="24"/>
          <w:lang w:val="en"/>
        </w:rPr>
        <w:t>《深圳经济特区物业管理条例》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3"/>
        <w:gridCol w:w="1717"/>
        <w:gridCol w:w="2571"/>
        <w:gridCol w:w="2512"/>
        <w:gridCol w:w="1270"/>
        <w:gridCol w:w="1301"/>
        <w:gridCol w:w="1494"/>
        <w:gridCol w:w="20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2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90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88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44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45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52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74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203.8</w:t>
            </w:r>
          </w:p>
        </w:tc>
        <w:tc>
          <w:tcPr>
            <w:tcW w:w="60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业主委员会未按照规定将业主大会、业主委员会会议资料提供给业主查阅，或者未定期公示业主委员会委员、候补委员、监事缴纳物业管理费、停车费情况以及停车位使用情况，逾期未改正的</w:t>
            </w:r>
          </w:p>
        </w:tc>
        <w:tc>
          <w:tcPr>
            <w:tcW w:w="907"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第四十六条：“业主可以查阅业主大会、业主委员会、监事会所有会议资料，并有权就物业管理事项向业主委员会、监事会或者监事提出询问，业主委员会、监事会或者监事应当及时予以答复。</w:t>
            </w:r>
          </w:p>
          <w:p>
            <w:pPr>
              <w:ind w:firstLine="420" w:firstLineChars="200"/>
              <w:rPr>
                <w:rFonts w:hint="eastAsia" w:ascii="仿宋_GB2312" w:hAnsi="仿宋_GB2312" w:eastAsia="仿宋_GB2312" w:cs="仿宋_GB2312"/>
                <w:szCs w:val="21"/>
              </w:rPr>
            </w:pPr>
            <w:r>
              <w:rPr>
                <w:rFonts w:hint="eastAsia" w:ascii="仿宋_GB2312" w:hAnsi="仿宋_GB2312" w:eastAsia="仿宋_GB2312" w:cs="仿宋_GB2312"/>
                <w:szCs w:val="21"/>
              </w:rPr>
              <w:t>业主委员会应当定期将工作情况通报全体业主，并每半年公示业主委员会委员、候补委员、监事缴纳物业专项维修资金、物业管理费、停车费情况以及停车位使用情况。”</w:t>
            </w:r>
          </w:p>
        </w:tc>
        <w:tc>
          <w:tcPr>
            <w:tcW w:w="88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一百零七条：“业主委员会有下列情形之一的，由区住房和建设部门给予警告，并责令限期改正；逾期未改正的，对相关责任人处一万元以上三万元以下罚款：（四）违反本条例第四十六条规定，未按照规定将业主大会、业主委员会会议资料提供给业主查阅，或者未定期公示业主委员会委员、候补委员、监事缴纳物业管理费、停车费情况以及停车位使用情况。”</w:t>
            </w:r>
          </w:p>
        </w:tc>
        <w:tc>
          <w:tcPr>
            <w:tcW w:w="44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警告；罚款</w:t>
            </w:r>
          </w:p>
        </w:tc>
        <w:tc>
          <w:tcPr>
            <w:tcW w:w="45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52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未造成后果或造成轻微危害后果的</w:t>
            </w:r>
          </w:p>
        </w:tc>
        <w:tc>
          <w:tcPr>
            <w:tcW w:w="740"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警告，并责令限期改正；逾期未改正，对相关责任人处一万元以上、低于二万元罚款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0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8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4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5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52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造成一般危害后果的</w:t>
            </w:r>
          </w:p>
        </w:tc>
        <w:tc>
          <w:tcPr>
            <w:tcW w:w="740"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警告，并责令限期改正；逾期未改正，对相关责任人处二万元罚款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0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8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4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5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52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造成严重危害后果的</w:t>
            </w:r>
          </w:p>
        </w:tc>
        <w:tc>
          <w:tcPr>
            <w:tcW w:w="740"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警告，并责令限期改正；逾期未改正，对相关责任人处超过二万元、三万元以下罚款</w:t>
            </w:r>
          </w:p>
        </w:tc>
      </w:tr>
    </w:tbl>
    <w:p>
      <w:pPr>
        <w:rPr>
          <w:b/>
          <w:sz w:val="32"/>
          <w:szCs w:val="24"/>
          <w:lang w:val="en"/>
        </w:rPr>
      </w:pPr>
      <w:r>
        <w:rPr>
          <w:szCs w:val="24"/>
        </w:rPr>
        <w:br w:type="page"/>
      </w:r>
      <w:r>
        <w:rPr>
          <w:rFonts w:ascii="宋体" w:eastAsia="宋体 (正文)"/>
          <w:sz w:val="32"/>
          <w:szCs w:val="24"/>
          <w:lang w:val="en"/>
        </w:rPr>
        <w:t>《深圳经济特区物业管理条例》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4"/>
        <w:gridCol w:w="1717"/>
        <w:gridCol w:w="2365"/>
        <w:gridCol w:w="2772"/>
        <w:gridCol w:w="1307"/>
        <w:gridCol w:w="1207"/>
        <w:gridCol w:w="1874"/>
        <w:gridCol w:w="17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2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83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97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46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42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203.9</w:t>
            </w:r>
          </w:p>
        </w:tc>
        <w:tc>
          <w:tcPr>
            <w:tcW w:w="60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业主委员会未配合相关专营单位维修养护、改造物业管理区域相关设施设备或者设置管线，逾期未改正的</w:t>
            </w:r>
          </w:p>
        </w:tc>
        <w:tc>
          <w:tcPr>
            <w:tcW w:w="834"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八十一条第二款：“供水、排水、供电、供气、通讯等相关专营单位因维修养护、改造物业管理区域设施设备或者设置管线等，需要进入物业管理区域或者使用物业专有部分时，物业服务企业、业主委员会和业主等应当予以配合，并不得违规收取费用。”</w:t>
            </w:r>
          </w:p>
        </w:tc>
        <w:tc>
          <w:tcPr>
            <w:tcW w:w="97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一百零七条：“业主委员会有下列情形之一的，由区住房和建设部门给予警告，并责令限期改正；逾期未改正的，对相关责任人处一万元以上三万元以下罚款：（五）违反本条例第八十一条第二款规定，未配合相关专营单位维修养护、改造物业管理区域相关设施设备或者设置管线。”</w:t>
            </w:r>
          </w:p>
        </w:tc>
        <w:tc>
          <w:tcPr>
            <w:tcW w:w="46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警告；罚款</w:t>
            </w:r>
          </w:p>
        </w:tc>
        <w:tc>
          <w:tcPr>
            <w:tcW w:w="42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未造成后果或造成轻微危害后果的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警告，并责令限期改正；逾期未改正，对相关责任人处一万元以上、低于二万元罚款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3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7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6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2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警告，并责令限期改正；逾期未改正，对相关责任人处二万元罚款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3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7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6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2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警告，并责令限期改正；逾期未改正，对相关责任人处超过二万元、三万元以下罚款</w:t>
            </w:r>
          </w:p>
        </w:tc>
      </w:tr>
    </w:tbl>
    <w:p>
      <w:pPr>
        <w:rPr>
          <w:b/>
          <w:sz w:val="32"/>
          <w:szCs w:val="24"/>
          <w:lang w:val="en"/>
        </w:rPr>
      </w:pPr>
      <w:r>
        <w:rPr>
          <w:rFonts w:eastAsia="宋体 (正文)" w:asciiTheme="majorEastAsia" w:hAnsiTheme="majorEastAsia" w:cstheme="majorEastAsia"/>
          <w:sz w:val="32"/>
          <w:szCs w:val="24"/>
          <w:lang w:val="en"/>
        </w:rPr>
        <w:t>《深圳经济特区物业管理条例》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4"/>
        <w:gridCol w:w="1718"/>
        <w:gridCol w:w="1681"/>
        <w:gridCol w:w="3214"/>
        <w:gridCol w:w="1570"/>
        <w:gridCol w:w="1185"/>
        <w:gridCol w:w="1874"/>
        <w:gridCol w:w="17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2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59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113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55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41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54" w:hRule="atLeast"/>
        </w:trPr>
        <w:tc>
          <w:tcPr>
            <w:tcW w:w="42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203.10</w:t>
            </w:r>
          </w:p>
        </w:tc>
        <w:tc>
          <w:tcPr>
            <w:tcW w:w="60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业主大会、业主委员会将业主共有资金用于银行储蓄和依法购买国债以外的其他投资、借贷给他人或者为他人提供担保，逾期未改正的</w:t>
            </w:r>
          </w:p>
        </w:tc>
        <w:tc>
          <w:tcPr>
            <w:tcW w:w="593"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第七十一条第二款：“业主共有资金除银行储蓄或者依法购买国债外，不得用于其他投资，不得借贷给他人或者为他人提供担保。”</w:t>
            </w:r>
          </w:p>
        </w:tc>
        <w:tc>
          <w:tcPr>
            <w:tcW w:w="1134"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一百零八条：“业主大会、业主委员会违反本条例第七十一条第二款规定，将业主共有资金用于银行储蓄和依法购买国债以外的其他投资、借贷给他人或者为他人提供担保的，由区住房和建设部门责令限期改正；逾期未改正的，对相关责任人处二万元以上五万元以下罚款。”</w:t>
            </w:r>
          </w:p>
        </w:tc>
        <w:tc>
          <w:tcPr>
            <w:tcW w:w="554"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rPr>
              <w:t>罚款</w:t>
            </w:r>
          </w:p>
        </w:tc>
        <w:tc>
          <w:tcPr>
            <w:tcW w:w="41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资金数额十万元以下的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责令限期改正；逾期未改正，对相关责任人处二万元以上、低于三万五千元罚款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54"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9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113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5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p>
        </w:tc>
        <w:tc>
          <w:tcPr>
            <w:tcW w:w="41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资金数额超过十万元、五十万元以下的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责令限期改正；逾期未改正，对相关责任人处三万五千元罚款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54"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9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113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5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p>
        </w:tc>
        <w:tc>
          <w:tcPr>
            <w:tcW w:w="41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资金数额超过五十万元的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责令限期改正；逾期未改正，对相关责任人处超过三万五千元、五万元以下罚款</w:t>
            </w:r>
          </w:p>
        </w:tc>
      </w:tr>
    </w:tbl>
    <w:p>
      <w:pPr>
        <w:rPr>
          <w:b/>
          <w:sz w:val="32"/>
          <w:szCs w:val="24"/>
          <w:lang w:val="en"/>
        </w:rPr>
      </w:pPr>
      <w:r>
        <w:rPr>
          <w:szCs w:val="24"/>
        </w:rPr>
        <w:br w:type="page"/>
      </w:r>
      <w:r>
        <w:rPr>
          <w:rFonts w:eastAsia="宋体 (正文)" w:asciiTheme="majorEastAsia" w:hAnsiTheme="majorEastAsia" w:cstheme="majorEastAsia"/>
          <w:sz w:val="32"/>
          <w:szCs w:val="24"/>
          <w:lang w:val="en"/>
        </w:rPr>
        <w:t>《深圳经济特区物业管理条例》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5"/>
        <w:gridCol w:w="3401"/>
        <w:gridCol w:w="3814"/>
        <w:gridCol w:w="1349"/>
        <w:gridCol w:w="1204"/>
        <w:gridCol w:w="1064"/>
        <w:gridCol w:w="1154"/>
        <w:gridCol w:w="12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2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序号</w:t>
            </w:r>
          </w:p>
        </w:tc>
        <w:tc>
          <w:tcPr>
            <w:tcW w:w="119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违法行为</w:t>
            </w:r>
          </w:p>
        </w:tc>
        <w:tc>
          <w:tcPr>
            <w:tcW w:w="134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lang w:val="en"/>
              </w:rPr>
            </w:pPr>
            <w:r>
              <w:rPr>
                <w:rFonts w:hint="eastAsia" w:ascii="仿宋_GB2312" w:hAnsi="仿宋_GB2312" w:eastAsia="仿宋_GB2312" w:cs="仿宋_GB2312"/>
                <w:b/>
                <w:sz w:val="21"/>
                <w:szCs w:val="21"/>
                <w:lang w:val="en"/>
              </w:rPr>
              <w:t>违反条款</w:t>
            </w:r>
          </w:p>
        </w:tc>
        <w:tc>
          <w:tcPr>
            <w:tcW w:w="47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处罚依据</w:t>
            </w:r>
          </w:p>
        </w:tc>
        <w:tc>
          <w:tcPr>
            <w:tcW w:w="42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处罚种类</w:t>
            </w:r>
          </w:p>
        </w:tc>
        <w:tc>
          <w:tcPr>
            <w:tcW w:w="37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裁量阶次</w:t>
            </w:r>
          </w:p>
        </w:tc>
        <w:tc>
          <w:tcPr>
            <w:tcW w:w="40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适用条件</w:t>
            </w:r>
          </w:p>
        </w:tc>
        <w:tc>
          <w:tcPr>
            <w:tcW w:w="44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29"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 w:val="15"/>
                <w:szCs w:val="15"/>
                <w:lang w:val="en"/>
              </w:rPr>
            </w:pPr>
            <w:r>
              <w:rPr>
                <w:rFonts w:hint="eastAsia" w:ascii="仿宋_GB2312" w:hAnsi="仿宋_GB2312" w:eastAsia="仿宋_GB2312" w:cs="仿宋_GB2312"/>
                <w:sz w:val="21"/>
                <w:szCs w:val="21"/>
                <w:lang w:val="en"/>
              </w:rPr>
              <w:t>203.11</w:t>
            </w:r>
          </w:p>
        </w:tc>
        <w:tc>
          <w:tcPr>
            <w:tcW w:w="1199"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5"/>
                <w:szCs w:val="15"/>
              </w:rPr>
            </w:pPr>
            <w:r>
              <w:rPr>
                <w:rFonts w:hint="eastAsia" w:ascii="仿宋_GB2312" w:hAnsi="仿宋_GB2312" w:eastAsia="仿宋_GB2312" w:cs="仿宋_GB2312"/>
                <w:sz w:val="15"/>
                <w:szCs w:val="15"/>
              </w:rPr>
              <w:t>业主委员会委员、候补委员、监事、执行秘书和财务人员阻挠、妨碍业主大会行使职权或者拒不执行业主大会决定的；弄虚作假，隐瞒事实真相，转移、隐匿、篡改、毁弃或者拒绝、拖延提供物业管理有关文件、资料，或者擅自使用业主大会、业主委员会印章；违反业主大会议事规则或者未经业主大会授权与物业服务企业签订、修改物业服务合同；侵占、挪用业主共有资金，将业主共有资金借贷给他人或者以业主共有资金为他人提供担保；收受物业服务企业或者与其履行职务有利害关系的单位或者个人提供的红包礼金、减免收费、停车便利等利益；违规泄露业主信息；与本业主大会订立合同或者进行交易；为在本物业管理区域提供服务的物业服务企业承揽、介绍相关业务或者推荐他人就业；拒不执行街道办事处、相关主管部门关于本物业管理区域的整改要求或者人民法院有关裁判；有侵害业主合法权益的其他行为的</w:t>
            </w:r>
          </w:p>
        </w:tc>
        <w:tc>
          <w:tcPr>
            <w:tcW w:w="134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5"/>
                <w:szCs w:val="15"/>
              </w:rPr>
            </w:pPr>
            <w:r>
              <w:rPr>
                <w:rFonts w:hint="eastAsia" w:ascii="仿宋_GB2312" w:hAnsi="仿宋_GB2312" w:eastAsia="仿宋_GB2312" w:cs="仿宋_GB2312"/>
                <w:sz w:val="15"/>
                <w:szCs w:val="15"/>
              </w:rPr>
              <w:t>第三十八条：“业主委员会委员、候补委员、监事、执行秘书和财务人员不得有下列行为：</w:t>
            </w:r>
          </w:p>
          <w:p>
            <w:pPr>
              <w:numPr>
                <w:ilvl w:val="0"/>
                <w:numId w:val="4"/>
              </w:numPr>
              <w:rPr>
                <w:rFonts w:hint="eastAsia" w:ascii="仿宋_GB2312" w:hAnsi="仿宋_GB2312" w:eastAsia="仿宋_GB2312" w:cs="仿宋_GB2312"/>
                <w:sz w:val="15"/>
                <w:szCs w:val="15"/>
              </w:rPr>
            </w:pPr>
            <w:r>
              <w:rPr>
                <w:rFonts w:hint="eastAsia" w:ascii="仿宋_GB2312" w:hAnsi="仿宋_GB2312" w:eastAsia="仿宋_GB2312" w:cs="仿宋_GB2312"/>
                <w:sz w:val="15"/>
                <w:szCs w:val="15"/>
              </w:rPr>
              <w:t>阻挠、妨碍业主大会行使职权或者拒不执行业主大会决定；</w:t>
            </w:r>
          </w:p>
          <w:p>
            <w:pPr>
              <w:numPr>
                <w:ilvl w:val="0"/>
                <w:numId w:val="4"/>
              </w:numPr>
              <w:rPr>
                <w:rFonts w:hint="eastAsia" w:ascii="仿宋_GB2312" w:hAnsi="仿宋_GB2312" w:eastAsia="仿宋_GB2312" w:cs="仿宋_GB2312"/>
                <w:sz w:val="15"/>
                <w:szCs w:val="15"/>
              </w:rPr>
            </w:pPr>
            <w:r>
              <w:rPr>
                <w:rFonts w:hint="eastAsia" w:ascii="仿宋_GB2312" w:hAnsi="仿宋_GB2312" w:eastAsia="仿宋_GB2312" w:cs="仿宋_GB2312"/>
                <w:sz w:val="15"/>
                <w:szCs w:val="15"/>
              </w:rPr>
              <w:t>弄虚作假，隐瞒事实真相，转移、隐匿、篡改、毁弃或者拒绝、拖延提供物业管理有关文件、资料，或者擅自使用业主大会、业主委员会印章；</w:t>
            </w:r>
          </w:p>
          <w:p>
            <w:pPr>
              <w:numPr>
                <w:ilvl w:val="0"/>
                <w:numId w:val="4"/>
              </w:numPr>
              <w:rPr>
                <w:rFonts w:hint="eastAsia" w:ascii="仿宋_GB2312" w:hAnsi="仿宋_GB2312" w:eastAsia="仿宋_GB2312" w:cs="仿宋_GB2312"/>
                <w:sz w:val="15"/>
                <w:szCs w:val="15"/>
              </w:rPr>
            </w:pPr>
            <w:r>
              <w:rPr>
                <w:rFonts w:hint="eastAsia" w:ascii="仿宋_GB2312" w:hAnsi="仿宋_GB2312" w:eastAsia="仿宋_GB2312" w:cs="仿宋_GB2312"/>
                <w:sz w:val="15"/>
                <w:szCs w:val="15"/>
              </w:rPr>
              <w:t>违反业主大会议事规则或者未经业主大会授权与物业服务企业签订、修改物业服务合同；</w:t>
            </w:r>
          </w:p>
          <w:p>
            <w:pPr>
              <w:numPr>
                <w:ilvl w:val="0"/>
                <w:numId w:val="4"/>
              </w:numPr>
              <w:rPr>
                <w:rFonts w:hint="eastAsia" w:ascii="仿宋_GB2312" w:hAnsi="仿宋_GB2312" w:eastAsia="仿宋_GB2312" w:cs="仿宋_GB2312"/>
                <w:sz w:val="15"/>
                <w:szCs w:val="15"/>
              </w:rPr>
            </w:pPr>
            <w:r>
              <w:rPr>
                <w:rFonts w:hint="eastAsia" w:ascii="仿宋_GB2312" w:hAnsi="仿宋_GB2312" w:eastAsia="仿宋_GB2312" w:cs="仿宋_GB2312"/>
                <w:sz w:val="15"/>
                <w:szCs w:val="15"/>
              </w:rPr>
              <w:t>侵占、挪用业主共有资金，将业主共有资金借贷给他人或者以业主共有资金为他人提供担保；</w:t>
            </w:r>
          </w:p>
          <w:p>
            <w:pPr>
              <w:numPr>
                <w:ilvl w:val="0"/>
                <w:numId w:val="4"/>
              </w:numPr>
              <w:rPr>
                <w:rFonts w:hint="eastAsia" w:ascii="仿宋_GB2312" w:hAnsi="仿宋_GB2312" w:eastAsia="仿宋_GB2312" w:cs="仿宋_GB2312"/>
                <w:sz w:val="15"/>
                <w:szCs w:val="15"/>
              </w:rPr>
            </w:pPr>
            <w:r>
              <w:rPr>
                <w:rFonts w:hint="eastAsia" w:ascii="仿宋_GB2312" w:hAnsi="仿宋_GB2312" w:eastAsia="仿宋_GB2312" w:cs="仿宋_GB2312"/>
                <w:sz w:val="15"/>
                <w:szCs w:val="15"/>
              </w:rPr>
              <w:t>收受物业服务企业或者与其履行职务有利害关系的单位或者个人提供的红包礼金、减免收费、停车便利等利益；</w:t>
            </w:r>
          </w:p>
          <w:p>
            <w:pPr>
              <w:numPr>
                <w:ilvl w:val="0"/>
                <w:numId w:val="4"/>
              </w:numPr>
              <w:rPr>
                <w:rFonts w:hint="eastAsia" w:ascii="仿宋_GB2312" w:hAnsi="仿宋_GB2312" w:eastAsia="仿宋_GB2312" w:cs="仿宋_GB2312"/>
                <w:sz w:val="15"/>
                <w:szCs w:val="15"/>
              </w:rPr>
            </w:pPr>
            <w:r>
              <w:rPr>
                <w:rFonts w:hint="eastAsia" w:ascii="仿宋_GB2312" w:hAnsi="仿宋_GB2312" w:eastAsia="仿宋_GB2312" w:cs="仿宋_GB2312"/>
                <w:sz w:val="15"/>
                <w:szCs w:val="15"/>
              </w:rPr>
              <w:t>违规泄露业主信息；</w:t>
            </w:r>
          </w:p>
          <w:p>
            <w:pPr>
              <w:numPr>
                <w:ilvl w:val="0"/>
                <w:numId w:val="4"/>
              </w:numPr>
              <w:rPr>
                <w:rFonts w:hint="eastAsia" w:ascii="仿宋_GB2312" w:hAnsi="仿宋_GB2312" w:eastAsia="仿宋_GB2312" w:cs="仿宋_GB2312"/>
                <w:sz w:val="15"/>
                <w:szCs w:val="15"/>
              </w:rPr>
            </w:pPr>
            <w:r>
              <w:rPr>
                <w:rFonts w:hint="eastAsia" w:ascii="仿宋_GB2312" w:hAnsi="仿宋_GB2312" w:eastAsia="仿宋_GB2312" w:cs="仿宋_GB2312"/>
                <w:sz w:val="15"/>
                <w:szCs w:val="15"/>
              </w:rPr>
              <w:t>与本业主大会订立合同或者进行交易；</w:t>
            </w:r>
          </w:p>
          <w:p>
            <w:pPr>
              <w:numPr>
                <w:ilvl w:val="0"/>
                <w:numId w:val="4"/>
              </w:numPr>
              <w:rPr>
                <w:rFonts w:hint="eastAsia" w:ascii="仿宋_GB2312" w:hAnsi="仿宋_GB2312" w:eastAsia="仿宋_GB2312" w:cs="仿宋_GB2312"/>
                <w:sz w:val="15"/>
                <w:szCs w:val="15"/>
              </w:rPr>
            </w:pPr>
            <w:r>
              <w:rPr>
                <w:rFonts w:hint="eastAsia" w:ascii="仿宋_GB2312" w:hAnsi="仿宋_GB2312" w:eastAsia="仿宋_GB2312" w:cs="仿宋_GB2312"/>
                <w:sz w:val="15"/>
                <w:szCs w:val="15"/>
              </w:rPr>
              <w:t>为在本物业管理区域提供服务的物业服务企业承揽、介绍相关业务或者推荐他人就业；</w:t>
            </w:r>
          </w:p>
          <w:p>
            <w:pPr>
              <w:numPr>
                <w:ilvl w:val="0"/>
                <w:numId w:val="4"/>
              </w:numPr>
              <w:rPr>
                <w:rFonts w:hint="eastAsia" w:ascii="仿宋_GB2312" w:hAnsi="仿宋_GB2312" w:eastAsia="仿宋_GB2312" w:cs="仿宋_GB2312"/>
                <w:sz w:val="15"/>
                <w:szCs w:val="15"/>
              </w:rPr>
            </w:pPr>
            <w:r>
              <w:rPr>
                <w:rFonts w:hint="eastAsia" w:ascii="仿宋_GB2312" w:hAnsi="仿宋_GB2312" w:eastAsia="仿宋_GB2312" w:cs="仿宋_GB2312"/>
                <w:sz w:val="15"/>
                <w:szCs w:val="15"/>
              </w:rPr>
              <w:t>拒不执行街道办事处、相关主管部门关于本物业管理区域的整改要求或者人民法院有关裁判；</w:t>
            </w:r>
          </w:p>
          <w:p>
            <w:pPr>
              <w:rPr>
                <w:rFonts w:hint="eastAsia" w:ascii="仿宋_GB2312" w:hAnsi="仿宋_GB2312" w:eastAsia="仿宋_GB2312" w:cs="仿宋_GB2312"/>
                <w:sz w:val="15"/>
                <w:szCs w:val="15"/>
              </w:rPr>
            </w:pPr>
            <w:r>
              <w:rPr>
                <w:rFonts w:hint="eastAsia" w:ascii="仿宋_GB2312" w:hAnsi="仿宋_GB2312" w:eastAsia="仿宋_GB2312" w:cs="仿宋_GB2312"/>
                <w:sz w:val="15"/>
                <w:szCs w:val="15"/>
              </w:rPr>
              <w:t>（十）侵害业主合法权益的其他行为。”</w:t>
            </w:r>
          </w:p>
        </w:tc>
        <w:tc>
          <w:tcPr>
            <w:tcW w:w="47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numPr>
                <w:ilvl w:val="255"/>
                <w:numId w:val="0"/>
              </w:num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第一百零九条：“业主委员会委员、候补委员、监事、执行秘书和财务人员违反本条例第三十八条规定，由区住房和建设部门给予警告，并处一万元以上三万元以下罚款，有违法所得的，没收违法所得。”</w:t>
            </w:r>
          </w:p>
        </w:tc>
        <w:tc>
          <w:tcPr>
            <w:tcW w:w="424"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警告；罚款；没收违法所得</w:t>
            </w:r>
          </w:p>
        </w:tc>
        <w:tc>
          <w:tcPr>
            <w:tcW w:w="37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 w:val="21"/>
                <w:szCs w:val="21"/>
              </w:rPr>
            </w:pPr>
            <w:r>
              <w:rPr>
                <w:rFonts w:hint="eastAsia" w:ascii="仿宋_GB2312" w:hAnsi="仿宋_GB2312" w:eastAsia="仿宋_GB2312" w:cs="仿宋_GB2312"/>
                <w:color w:val="000000"/>
                <w:kern w:val="0"/>
                <w:sz w:val="21"/>
                <w:szCs w:val="21"/>
              </w:rPr>
              <w:t>从轻</w:t>
            </w:r>
          </w:p>
        </w:tc>
        <w:tc>
          <w:tcPr>
            <w:tcW w:w="40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具有前述任一项违法行为的</w:t>
            </w:r>
          </w:p>
        </w:tc>
        <w:tc>
          <w:tcPr>
            <w:tcW w:w="442"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警告，并处一万元以上、低于二万元罚款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2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5"/>
                <w:szCs w:val="15"/>
              </w:rPr>
            </w:pPr>
          </w:p>
        </w:tc>
        <w:tc>
          <w:tcPr>
            <w:tcW w:w="119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5"/>
                <w:szCs w:val="15"/>
              </w:rPr>
            </w:pPr>
          </w:p>
        </w:tc>
        <w:tc>
          <w:tcPr>
            <w:tcW w:w="134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5"/>
                <w:szCs w:val="15"/>
              </w:rPr>
            </w:pPr>
          </w:p>
        </w:tc>
        <w:tc>
          <w:tcPr>
            <w:tcW w:w="47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21"/>
                <w:szCs w:val="21"/>
              </w:rPr>
            </w:pPr>
          </w:p>
        </w:tc>
        <w:tc>
          <w:tcPr>
            <w:tcW w:w="42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21"/>
                <w:szCs w:val="21"/>
              </w:rPr>
            </w:pPr>
          </w:p>
        </w:tc>
        <w:tc>
          <w:tcPr>
            <w:tcW w:w="37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 w:val="21"/>
                <w:szCs w:val="21"/>
              </w:rPr>
            </w:pPr>
            <w:r>
              <w:rPr>
                <w:rFonts w:hint="eastAsia" w:ascii="仿宋_GB2312" w:hAnsi="仿宋_GB2312" w:eastAsia="仿宋_GB2312" w:cs="仿宋_GB2312"/>
                <w:color w:val="000000"/>
                <w:kern w:val="0"/>
                <w:sz w:val="21"/>
                <w:szCs w:val="21"/>
              </w:rPr>
              <w:t>一般</w:t>
            </w:r>
          </w:p>
        </w:tc>
        <w:tc>
          <w:tcPr>
            <w:tcW w:w="40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具有前述两项违法行为的</w:t>
            </w:r>
          </w:p>
        </w:tc>
        <w:tc>
          <w:tcPr>
            <w:tcW w:w="442"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警告，并处二万元罚款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2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5"/>
                <w:szCs w:val="15"/>
              </w:rPr>
            </w:pPr>
          </w:p>
        </w:tc>
        <w:tc>
          <w:tcPr>
            <w:tcW w:w="119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5"/>
                <w:szCs w:val="15"/>
              </w:rPr>
            </w:pPr>
          </w:p>
        </w:tc>
        <w:tc>
          <w:tcPr>
            <w:tcW w:w="134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5"/>
                <w:szCs w:val="15"/>
              </w:rPr>
            </w:pPr>
          </w:p>
        </w:tc>
        <w:tc>
          <w:tcPr>
            <w:tcW w:w="47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21"/>
                <w:szCs w:val="21"/>
              </w:rPr>
            </w:pPr>
          </w:p>
        </w:tc>
        <w:tc>
          <w:tcPr>
            <w:tcW w:w="42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21"/>
                <w:szCs w:val="21"/>
              </w:rPr>
            </w:pPr>
          </w:p>
        </w:tc>
        <w:tc>
          <w:tcPr>
            <w:tcW w:w="37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 w:val="21"/>
                <w:szCs w:val="21"/>
              </w:rPr>
            </w:pPr>
            <w:r>
              <w:rPr>
                <w:rFonts w:hint="eastAsia" w:ascii="仿宋_GB2312" w:hAnsi="仿宋_GB2312" w:eastAsia="仿宋_GB2312" w:cs="仿宋_GB2312"/>
                <w:color w:val="000000"/>
                <w:kern w:val="0"/>
                <w:sz w:val="21"/>
                <w:szCs w:val="21"/>
              </w:rPr>
              <w:t>从重</w:t>
            </w:r>
          </w:p>
        </w:tc>
        <w:tc>
          <w:tcPr>
            <w:tcW w:w="40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具有前述三项以上违法行为的</w:t>
            </w:r>
          </w:p>
        </w:tc>
        <w:tc>
          <w:tcPr>
            <w:tcW w:w="442"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警告，并处超过二万元、三万元以下罚款</w:t>
            </w:r>
          </w:p>
        </w:tc>
      </w:tr>
    </w:tbl>
    <w:p>
      <w:pPr>
        <w:rPr>
          <w:b/>
          <w:sz w:val="32"/>
          <w:szCs w:val="24"/>
          <w:lang w:val="en"/>
        </w:rPr>
      </w:pPr>
      <w:r>
        <w:rPr>
          <w:szCs w:val="24"/>
        </w:rPr>
        <w:br w:type="page"/>
      </w:r>
      <w:r>
        <w:rPr>
          <w:rFonts w:ascii="宋体" w:eastAsia="宋体 (正文)"/>
          <w:sz w:val="32"/>
          <w:szCs w:val="24"/>
          <w:lang w:val="en"/>
        </w:rPr>
        <w:t>《深圳经济特区物业管理条例》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4"/>
        <w:gridCol w:w="1717"/>
        <w:gridCol w:w="2498"/>
        <w:gridCol w:w="2333"/>
        <w:gridCol w:w="1519"/>
        <w:gridCol w:w="1301"/>
        <w:gridCol w:w="1874"/>
        <w:gridCol w:w="17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2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88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82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53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45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203.12</w:t>
            </w:r>
          </w:p>
        </w:tc>
        <w:tc>
          <w:tcPr>
            <w:tcW w:w="60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建设单位未及时移交供水、排水、供电、供气、通讯等设施设备，逾期未改正的</w:t>
            </w:r>
          </w:p>
        </w:tc>
        <w:tc>
          <w:tcPr>
            <w:tcW w:w="88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十三条第一款：“新建住宅建设项目竣工验收备案之日起三个月内，建设单位应当将附着于物业管理区域共有物业符合国家标准和技术规范的供水、排水、供电、供气、通讯等设施设备移交相关专营单位管理养护，相关专营单位应当接收。”</w:t>
            </w:r>
          </w:p>
        </w:tc>
        <w:tc>
          <w:tcPr>
            <w:tcW w:w="823"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一百一十条：“建设单位有下列情形之一的，由区住房和建设部门给予警告，并责令限期改正；逾期未改正的，处二万元以上十万元以下罚款：（一）违反本条例第十三条第一款规定，未及时移交供水、排水、供电、供气、通讯等设施设备。”</w:t>
            </w:r>
          </w:p>
        </w:tc>
        <w:tc>
          <w:tcPr>
            <w:tcW w:w="53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警告；罚款</w:t>
            </w:r>
          </w:p>
        </w:tc>
        <w:tc>
          <w:tcPr>
            <w:tcW w:w="45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未造成后果或造成轻微危害后果的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警告，并责令限期改正；逾期未改正的，处二万元以上、低于六万元罚款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8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2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3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5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警告，并责令限期改正；逾期未改正的，处六万元罚款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8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2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3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5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警告，并责令限期改正；逾期未改正的，处超过六万元、十万元以下罚款</w:t>
            </w:r>
          </w:p>
        </w:tc>
      </w:tr>
    </w:tbl>
    <w:p>
      <w:pPr>
        <w:rPr>
          <w:b/>
          <w:sz w:val="32"/>
          <w:szCs w:val="24"/>
          <w:lang w:val="en"/>
        </w:rPr>
      </w:pPr>
      <w:r>
        <w:rPr>
          <w:szCs w:val="24"/>
        </w:rPr>
        <w:br w:type="page"/>
      </w:r>
      <w:r>
        <w:rPr>
          <w:rFonts w:ascii="宋体" w:eastAsia="宋体 (正文)"/>
          <w:sz w:val="32"/>
          <w:szCs w:val="24"/>
          <w:lang w:val="en"/>
        </w:rPr>
        <w:t>《深圳经济特区物业管理条例》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3"/>
        <w:gridCol w:w="1717"/>
        <w:gridCol w:w="2299"/>
        <w:gridCol w:w="2458"/>
        <w:gridCol w:w="1636"/>
        <w:gridCol w:w="1259"/>
        <w:gridCol w:w="1874"/>
        <w:gridCol w:w="17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2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81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86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57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44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203.13</w:t>
            </w:r>
          </w:p>
        </w:tc>
        <w:tc>
          <w:tcPr>
            <w:tcW w:w="60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建设单位未将前期物业服务合同、临时管理规约作为房地产买卖合同附件报送备案，逾期未改正的</w:t>
            </w:r>
          </w:p>
        </w:tc>
        <w:tc>
          <w:tcPr>
            <w:tcW w:w="81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第五十条：“建设单位在办理房地产买卖合同备案时，应当将前期物业服务合同、临时管理规约同时报送备案。</w:t>
            </w:r>
          </w:p>
          <w:p>
            <w:pPr>
              <w:ind w:firstLine="420" w:firstLineChars="200"/>
              <w:rPr>
                <w:rFonts w:hint="eastAsia" w:ascii="仿宋_GB2312" w:hAnsi="仿宋_GB2312" w:eastAsia="仿宋_GB2312" w:cs="仿宋_GB2312"/>
                <w:szCs w:val="21"/>
              </w:rPr>
            </w:pPr>
            <w:r>
              <w:rPr>
                <w:rFonts w:hint="eastAsia" w:ascii="仿宋_GB2312" w:hAnsi="仿宋_GB2312" w:eastAsia="仿宋_GB2312" w:cs="仿宋_GB2312"/>
                <w:szCs w:val="21"/>
              </w:rPr>
              <w:t>经备案的前期物业服务合同和临时管理规约，应当作为建设单位与物业买受人签订的房地产买卖合同附件。”</w:t>
            </w:r>
          </w:p>
        </w:tc>
        <w:tc>
          <w:tcPr>
            <w:tcW w:w="867"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一百一十条：“建设单位有下列情形之一的，由区住房和建设部门给予警告，并责令限期改正；逾期未改正的，处二万元以上十万元以下罚款：（二）违反本条例第五十条规定，未将前期物业服务合同、临时管理规约作为房地产买卖合同附件报送备案。”</w:t>
            </w:r>
          </w:p>
        </w:tc>
        <w:tc>
          <w:tcPr>
            <w:tcW w:w="577"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警告；罚款</w:t>
            </w:r>
          </w:p>
        </w:tc>
        <w:tc>
          <w:tcPr>
            <w:tcW w:w="44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未造成后果或造成轻微危害后果的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警告，并责令限期改正；逾期未改正的，处二万元以上、低于六万元罚款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1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6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7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4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警告，并责令限期改正；逾期未改正的，处六万元罚款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1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6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7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4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警告，并责令限期改正；逾期未改正的，处超过六万元、十万元以下罚款</w:t>
            </w:r>
          </w:p>
        </w:tc>
      </w:tr>
    </w:tbl>
    <w:p>
      <w:pPr>
        <w:rPr>
          <w:b/>
          <w:sz w:val="32"/>
          <w:szCs w:val="24"/>
          <w:lang w:val="en"/>
        </w:rPr>
      </w:pPr>
      <w:r>
        <w:rPr>
          <w:rFonts w:ascii="宋体" w:eastAsia="宋体 (正文)"/>
          <w:sz w:val="32"/>
          <w:szCs w:val="24"/>
          <w:lang w:val="en"/>
        </w:rPr>
        <w:t>《深圳经济特区物业管理条例》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4"/>
        <w:gridCol w:w="1717"/>
        <w:gridCol w:w="2509"/>
        <w:gridCol w:w="2585"/>
        <w:gridCol w:w="1321"/>
        <w:gridCol w:w="1236"/>
        <w:gridCol w:w="1874"/>
        <w:gridCol w:w="17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2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88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91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46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43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48" w:hRule="atLeast"/>
        </w:trPr>
        <w:tc>
          <w:tcPr>
            <w:tcW w:w="42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203.14</w:t>
            </w:r>
          </w:p>
        </w:tc>
        <w:tc>
          <w:tcPr>
            <w:tcW w:w="60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建设单位未将本物业管理区域用于出售、附赠或者出租的车位、车库的数量予以公示，并在房地产买卖合同中明示，逾期未改正的</w:t>
            </w:r>
          </w:p>
        </w:tc>
        <w:tc>
          <w:tcPr>
            <w:tcW w:w="88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八十六条第二款：“住宅物业的车位、车库约定归建设单位所有的，其所有的车位、车库只能出售、附赠、出租给本物业管理区域的业主。建设单位应当在房屋预售或者现售时，将本物业管理区域用于出售、附赠、出租的车位、车库的数量予以公示，并在房地产买卖合同中明示。”</w:t>
            </w:r>
          </w:p>
        </w:tc>
        <w:tc>
          <w:tcPr>
            <w:tcW w:w="912"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一百一十条：“建设单位有下列情形之一的，由区住房和建设部门给予警告，并责令限期改正；逾期未改正的，处二万元以上十万元以下罚款：（三）违反本条例第八十六条第二款规定，未将本物业管理区域用于出售、附赠或者出租的车位、车库的数量予以公示，并在房地产买卖合同中明示。”</w:t>
            </w:r>
          </w:p>
        </w:tc>
        <w:tc>
          <w:tcPr>
            <w:tcW w:w="46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警告；罚款</w:t>
            </w:r>
          </w:p>
        </w:tc>
        <w:tc>
          <w:tcPr>
            <w:tcW w:w="43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未造成后果或造成轻微危害后果的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警告，并责令限期改正；逾期未改正的，处二万元以上、低于六万元罚款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2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8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1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6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3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警告，并责令限期改正；逾期未改正的，处六万元罚款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8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1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6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3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警告，并责令限期改正；逾期未改正的，处超过六万元、十万元以下罚款</w:t>
            </w:r>
          </w:p>
        </w:tc>
      </w:tr>
    </w:tbl>
    <w:p>
      <w:pPr>
        <w:rPr>
          <w:b/>
          <w:sz w:val="32"/>
          <w:szCs w:val="24"/>
          <w:lang w:val="en"/>
        </w:rPr>
      </w:pPr>
      <w:r>
        <w:rPr>
          <w:szCs w:val="24"/>
        </w:rPr>
        <w:br w:type="page"/>
      </w:r>
      <w:r>
        <w:rPr>
          <w:rFonts w:ascii="宋体" w:eastAsia="宋体 (正文)"/>
          <w:sz w:val="32"/>
          <w:szCs w:val="24"/>
          <w:lang w:val="en"/>
        </w:rPr>
        <w:t>《深圳经济特区物业管理条例》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2"/>
        <w:gridCol w:w="1717"/>
        <w:gridCol w:w="1551"/>
        <w:gridCol w:w="3439"/>
        <w:gridCol w:w="1489"/>
        <w:gridCol w:w="1177"/>
        <w:gridCol w:w="1798"/>
        <w:gridCol w:w="17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2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54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121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52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41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63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63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203.15</w:t>
            </w:r>
          </w:p>
        </w:tc>
        <w:tc>
          <w:tcPr>
            <w:tcW w:w="60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建设单位将物业管理区域地上以及地下建筑物、设施设备和相关场地进行分割管理，逾期未改正的</w:t>
            </w:r>
          </w:p>
        </w:tc>
        <w:tc>
          <w:tcPr>
            <w:tcW w:w="547"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第八条第四款：“物业管理区域地上以及地下建筑物、设施设备和相关场地不得分割管理。”</w:t>
            </w:r>
          </w:p>
        </w:tc>
        <w:tc>
          <w:tcPr>
            <w:tcW w:w="1213"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一百一十一条：“建设单位有下列情形之一的，由区住房和建设部门给予警告，并责令限期改正；逾期未改正的，处五万元以上二十万元以下罚款：（一）违反本条例第八条第四款规定，将物业管理区域地上以及地下建筑物、设施设备和相关场地进行分割管理。”</w:t>
            </w:r>
          </w:p>
        </w:tc>
        <w:tc>
          <w:tcPr>
            <w:tcW w:w="52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警告；罚款</w:t>
            </w:r>
          </w:p>
        </w:tc>
        <w:tc>
          <w:tcPr>
            <w:tcW w:w="41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634"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未造成后果或造成轻微危害后果的</w:t>
            </w:r>
          </w:p>
        </w:tc>
        <w:tc>
          <w:tcPr>
            <w:tcW w:w="633"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警告，并责令限期改正；逾期未改正，处五万元以上、低于十二万五千元罚款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4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121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2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1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634"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造成一般危害后果的</w:t>
            </w:r>
          </w:p>
        </w:tc>
        <w:tc>
          <w:tcPr>
            <w:tcW w:w="633"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警告，并责令限期改正；逾期未改正，处十二万五千元罚款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4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121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2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1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634"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造成严重危害后果的</w:t>
            </w:r>
          </w:p>
        </w:tc>
        <w:tc>
          <w:tcPr>
            <w:tcW w:w="633"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警告，并责令限期改正；逾期未改正，处超过十二万五千元、二十万元以下罚款</w:t>
            </w:r>
          </w:p>
        </w:tc>
      </w:tr>
    </w:tbl>
    <w:p>
      <w:pPr>
        <w:rPr>
          <w:b/>
          <w:sz w:val="32"/>
          <w:szCs w:val="24"/>
          <w:lang w:val="en"/>
        </w:rPr>
      </w:pPr>
      <w:r>
        <w:rPr>
          <w:szCs w:val="24"/>
        </w:rPr>
        <w:br w:type="page"/>
      </w:r>
      <w:r>
        <w:rPr>
          <w:rFonts w:ascii="宋体" w:eastAsia="宋体 (正文)"/>
          <w:sz w:val="32"/>
          <w:szCs w:val="24"/>
          <w:lang w:val="en"/>
        </w:rPr>
        <w:t>《深圳经济特区物业管理条例》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3"/>
        <w:gridCol w:w="1874"/>
        <w:gridCol w:w="2254"/>
        <w:gridCol w:w="2701"/>
        <w:gridCol w:w="1321"/>
        <w:gridCol w:w="1219"/>
        <w:gridCol w:w="1874"/>
        <w:gridCol w:w="17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2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79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95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46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43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203.16</w:t>
            </w:r>
          </w:p>
        </w:tc>
        <w:tc>
          <w:tcPr>
            <w:tcW w:w="66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建设单位在物业出售且已经交付使用的建筑面积达到物业总建筑面积百分之二十以上或者首套物业出售并交付使用满一年之日起十五日内未书面报告物业所在地街道办事处并提供相关资料，逾期未改正的</w:t>
            </w:r>
          </w:p>
        </w:tc>
        <w:tc>
          <w:tcPr>
            <w:tcW w:w="79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十九条第一款：“新建物业管理区域物业出售且已经交付使用的建筑面积达到物业总建筑面积百分之二十以上或者首套物业出售并交付使用满一年之日起十五日内，建设单位应当书面报告物业所在地街道办事处，并提供物业出售和物业交付资料、物业测绘文件、已筹集的物业专项维修资金清册等相关资料。”</w:t>
            </w:r>
          </w:p>
        </w:tc>
        <w:tc>
          <w:tcPr>
            <w:tcW w:w="953"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一百一十一条：“建设单位有下列情形之一的，由区住房和建设部门给予警告，并责令限期改正；逾期未改正的，处五万元以上二十万元以下罚款：（二）违反本条例第十九条第一款规定，在物业出售且已经交付使用的建筑面积达到物业总建筑面积百分之二十以上或者首套物业出售并交付使用满一年之日起十五日内未书面报告物业所在地街道办事处并提供相关资料。”</w:t>
            </w:r>
          </w:p>
        </w:tc>
        <w:tc>
          <w:tcPr>
            <w:tcW w:w="46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警告；罚款</w:t>
            </w:r>
          </w:p>
        </w:tc>
        <w:tc>
          <w:tcPr>
            <w:tcW w:w="43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未造成后果或造成轻微危害后果的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警告，并责令限期改正；逾期未改正，处五万元以上、低于十二万五千元罚款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6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79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5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6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3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警告，并责令限期改正；逾期未改正，处十二万五千元罚款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6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79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5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6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3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警告，并责令限期改正；逾期未改正，处超过十二万五千元、二十万元以下罚款</w:t>
            </w:r>
          </w:p>
        </w:tc>
      </w:tr>
    </w:tbl>
    <w:p>
      <w:pPr>
        <w:rPr>
          <w:b/>
          <w:sz w:val="32"/>
          <w:szCs w:val="24"/>
          <w:lang w:val="en"/>
        </w:rPr>
      </w:pPr>
      <w:r>
        <w:rPr>
          <w:szCs w:val="24"/>
        </w:rPr>
        <w:br w:type="page"/>
      </w:r>
      <w:r>
        <w:rPr>
          <w:rFonts w:ascii="宋体" w:eastAsia="宋体 (正文)"/>
          <w:sz w:val="32"/>
          <w:szCs w:val="24"/>
          <w:lang w:val="en"/>
        </w:rPr>
        <w:t>《深圳经济特区物业管理条例》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3"/>
        <w:gridCol w:w="1205"/>
        <w:gridCol w:w="3833"/>
        <w:gridCol w:w="1899"/>
        <w:gridCol w:w="1403"/>
        <w:gridCol w:w="1239"/>
        <w:gridCol w:w="1664"/>
        <w:gridCol w:w="17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2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42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135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67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49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43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58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203.17</w:t>
            </w:r>
          </w:p>
        </w:tc>
        <w:tc>
          <w:tcPr>
            <w:tcW w:w="42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建设单位拒不履行物业承接查验义务的，逾期未改正的</w:t>
            </w:r>
          </w:p>
        </w:tc>
        <w:tc>
          <w:tcPr>
            <w:tcW w:w="1352"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五十三条：“物业承接查验应当自业主大会完成备案之日起三十日内由业主大会与建设单位、物业服务企业共同进行。提供前期物业服务的企业不得擅自代为承接查验。筹备组应当对承接查验过程进行指导和协调。</w:t>
            </w:r>
          </w:p>
          <w:p>
            <w:pPr>
              <w:ind w:firstLine="420" w:firstLineChars="200"/>
              <w:rPr>
                <w:rFonts w:hint="eastAsia" w:ascii="仿宋_GB2312" w:hAnsi="仿宋_GB2312" w:eastAsia="仿宋_GB2312" w:cs="仿宋_GB2312"/>
                <w:szCs w:val="21"/>
              </w:rPr>
            </w:pPr>
            <w:r>
              <w:rPr>
                <w:rFonts w:hint="eastAsia" w:ascii="仿宋_GB2312" w:hAnsi="仿宋_GB2312" w:eastAsia="仿宋_GB2312" w:cs="仿宋_GB2312"/>
                <w:szCs w:val="21"/>
              </w:rPr>
              <w:t>筹备组依照本条例规定，经街道办事处批准延长三个月仍无法召开首次业主大会并选举产生业主委员会的，由筹备组监督指导提供前期物业服务的企业代为承接查验。</w:t>
            </w:r>
          </w:p>
          <w:p>
            <w:pPr>
              <w:ind w:firstLine="420" w:firstLineChars="200"/>
              <w:rPr>
                <w:rFonts w:hint="eastAsia" w:ascii="仿宋_GB2312" w:hAnsi="仿宋_GB2312" w:eastAsia="仿宋_GB2312" w:cs="仿宋_GB2312"/>
                <w:szCs w:val="21"/>
              </w:rPr>
            </w:pPr>
            <w:r>
              <w:rPr>
                <w:rFonts w:hint="eastAsia" w:ascii="仿宋_GB2312" w:hAnsi="仿宋_GB2312" w:eastAsia="仿宋_GB2312" w:cs="仿宋_GB2312"/>
                <w:szCs w:val="21"/>
              </w:rPr>
              <w:t>物业承接查验前，业主大会、物业服务企业应当与建设单位签订承接查验协议，对承接查验的基本内容、各方权利义务、存在问题的解决方式及其时限、违约责任等事项作出明确约定。</w:t>
            </w:r>
          </w:p>
          <w:p>
            <w:pPr>
              <w:ind w:firstLine="420" w:firstLineChars="200"/>
              <w:rPr>
                <w:rFonts w:hint="eastAsia" w:ascii="仿宋_GB2312" w:hAnsi="仿宋_GB2312" w:eastAsia="仿宋_GB2312" w:cs="仿宋_GB2312"/>
                <w:szCs w:val="21"/>
              </w:rPr>
            </w:pPr>
            <w:r>
              <w:rPr>
                <w:rFonts w:hint="eastAsia" w:ascii="仿宋_GB2312" w:hAnsi="仿宋_GB2312" w:eastAsia="仿宋_GB2312" w:cs="仿宋_GB2312"/>
                <w:szCs w:val="21"/>
              </w:rPr>
              <w:t>市住房和建设部门应当组织制定物业承接查验规范，明确承接查验具体标准和程序。”</w:t>
            </w:r>
          </w:p>
        </w:tc>
        <w:tc>
          <w:tcPr>
            <w:tcW w:w="670"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一百一十一条：“建设单位有下列情形之一的，由区住房和建设部门给予警告，并责令限期改正；逾期未改正的，处五万元以上二十万元以下罚款：（三）违反本条例第五十三条规定，拒不履行物业承接查验义务。”</w:t>
            </w:r>
          </w:p>
        </w:tc>
        <w:tc>
          <w:tcPr>
            <w:tcW w:w="49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警告；罚款</w:t>
            </w:r>
          </w:p>
        </w:tc>
        <w:tc>
          <w:tcPr>
            <w:tcW w:w="43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58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未造成后果或造成轻微危害后果的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警告，并责令限期改正；逾期未改正，处五万元以上、低于十二万五千元罚款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2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135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7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9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3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58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警告，并责令限期改正；逾期未改正，处十二万五千元罚款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2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135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7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9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3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58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警告，并责令限期改正；逾期未改正，处超过十二万五千元、二十万元以下罚款</w:t>
            </w:r>
          </w:p>
        </w:tc>
      </w:tr>
    </w:tbl>
    <w:p>
      <w:pPr>
        <w:rPr>
          <w:b/>
          <w:sz w:val="32"/>
          <w:szCs w:val="24"/>
          <w:lang w:val="en"/>
        </w:rPr>
      </w:pPr>
      <w:r>
        <w:rPr>
          <w:szCs w:val="24"/>
        </w:rPr>
        <w:br w:type="page"/>
      </w:r>
      <w:r>
        <w:rPr>
          <w:rFonts w:ascii="宋体" w:eastAsia="宋体 (正文)"/>
          <w:sz w:val="32"/>
          <w:szCs w:val="24"/>
          <w:lang w:val="en"/>
        </w:rPr>
        <w:t>《深圳经济特区物业管理条例》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9"/>
        <w:gridCol w:w="1505"/>
        <w:gridCol w:w="4638"/>
        <w:gridCol w:w="1812"/>
        <w:gridCol w:w="1080"/>
        <w:gridCol w:w="1151"/>
        <w:gridCol w:w="1327"/>
        <w:gridCol w:w="17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0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序号</w:t>
            </w:r>
          </w:p>
        </w:tc>
        <w:tc>
          <w:tcPr>
            <w:tcW w:w="53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违法行为</w:t>
            </w:r>
          </w:p>
        </w:tc>
        <w:tc>
          <w:tcPr>
            <w:tcW w:w="163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lang w:val="en"/>
              </w:rPr>
            </w:pPr>
            <w:r>
              <w:rPr>
                <w:rFonts w:hint="eastAsia" w:ascii="仿宋_GB2312" w:hAnsi="仿宋_GB2312" w:eastAsia="仿宋_GB2312" w:cs="仿宋_GB2312"/>
                <w:b/>
                <w:sz w:val="21"/>
                <w:szCs w:val="21"/>
                <w:lang w:val="en"/>
              </w:rPr>
              <w:t>违反条款</w:t>
            </w:r>
          </w:p>
        </w:tc>
        <w:tc>
          <w:tcPr>
            <w:tcW w:w="63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处罚依据</w:t>
            </w:r>
          </w:p>
        </w:tc>
        <w:tc>
          <w:tcPr>
            <w:tcW w:w="38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处罚种类</w:t>
            </w:r>
          </w:p>
        </w:tc>
        <w:tc>
          <w:tcPr>
            <w:tcW w:w="4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裁量阶次</w:t>
            </w:r>
          </w:p>
        </w:tc>
        <w:tc>
          <w:tcPr>
            <w:tcW w:w="46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适用条件</w:t>
            </w:r>
          </w:p>
        </w:tc>
        <w:tc>
          <w:tcPr>
            <w:tcW w:w="63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07"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 w:val="18"/>
                <w:szCs w:val="18"/>
                <w:lang w:val="en"/>
              </w:rPr>
            </w:pPr>
            <w:r>
              <w:rPr>
                <w:rFonts w:hint="eastAsia" w:ascii="仿宋_GB2312" w:hAnsi="仿宋_GB2312" w:eastAsia="仿宋_GB2312" w:cs="仿宋_GB2312"/>
                <w:sz w:val="18"/>
                <w:szCs w:val="18"/>
                <w:lang w:val="en"/>
              </w:rPr>
              <w:t>203.18</w:t>
            </w:r>
          </w:p>
        </w:tc>
        <w:tc>
          <w:tcPr>
            <w:tcW w:w="53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建设单位未按照要求提供物业管理用房的</w:t>
            </w:r>
          </w:p>
        </w:tc>
        <w:tc>
          <w:tcPr>
            <w:tcW w:w="163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第九条：“建设单位应当在物业管理区域无偿提供符合功能要求的业主委员会办公用房、物业服务办公用房、物业管理设施设备用房等物业管理用房。</w:t>
            </w:r>
          </w:p>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业主委员会办公用房、物业服务办公用房、物业管理设施设备用房属于业主共有，应当办理产权登记并具有正常使用功能，任何单位和个人不得将其分割、转让、抵押，不得擅自变更用途。”</w:t>
            </w:r>
          </w:p>
          <w:p>
            <w:pPr>
              <w:rPr>
                <w:rFonts w:hint="eastAsia" w:ascii="仿宋_GB2312" w:hAnsi="仿宋_GB2312" w:eastAsia="仿宋_GB2312" w:cs="仿宋_GB2312"/>
                <w:sz w:val="18"/>
                <w:szCs w:val="18"/>
              </w:rPr>
            </w:pPr>
          </w:p>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第十条：“业主委员会办公用房建筑面积应当不少于二十平方米。</w:t>
            </w:r>
          </w:p>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物业服务办公用房面积按照下列标准提供：</w:t>
            </w:r>
          </w:p>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（一）物业管理区域物业总建筑面积未超过二十五万平方米的，按照不少于物业总建筑面积的千分之二提供，并不得少于一百平方米；</w:t>
            </w:r>
          </w:p>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（二）物业管理区域物业总建筑面积超过二十五万平方米的，二十五万平方米以内部分，按照该部分面积的千分之二提供；二十五万平方米以外部分，按照该部分面积的千分之一提供。</w:t>
            </w:r>
          </w:p>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物业管理设施设备用房面积根据设施设备安装、使用、维护的实际需要提供。”</w:t>
            </w:r>
          </w:p>
        </w:tc>
        <w:tc>
          <w:tcPr>
            <w:tcW w:w="639"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第一百一十二条：“建设单位违反本条例第九条、第十条规定，未按照要求提供物业管理用房的，由区住房和建设部门责令限期三个月内提供；逾期未提供的，责令建设单位按照本物业管理区域物业市场平均售价和规定的物业管理用房面积支付专款，存入业主共有资金账户，用于购置、租赁物业管理用房，并处二十万元以上五十万元以下罚款。”</w:t>
            </w:r>
          </w:p>
        </w:tc>
        <w:tc>
          <w:tcPr>
            <w:tcW w:w="38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罚款</w:t>
            </w:r>
          </w:p>
        </w:tc>
        <w:tc>
          <w:tcPr>
            <w:tcW w:w="4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rPr>
              <w:t>从轻</w:t>
            </w:r>
          </w:p>
        </w:tc>
        <w:tc>
          <w:tcPr>
            <w:tcW w:w="46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物业管理区域物业总建筑面积少于五万平方米的</w:t>
            </w:r>
          </w:p>
        </w:tc>
        <w:tc>
          <w:tcPr>
            <w:tcW w:w="633"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责令限期三个月内提供；逾期未提供的，责令建设单位支付专款，并处二十万元以上、低于三十五万元罚款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07"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 w:val="18"/>
                <w:szCs w:val="18"/>
              </w:rPr>
            </w:pPr>
          </w:p>
        </w:tc>
        <w:tc>
          <w:tcPr>
            <w:tcW w:w="531"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 w:val="18"/>
                <w:szCs w:val="18"/>
              </w:rPr>
            </w:pPr>
          </w:p>
        </w:tc>
        <w:tc>
          <w:tcPr>
            <w:tcW w:w="1636"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 w:val="18"/>
                <w:szCs w:val="18"/>
              </w:rPr>
            </w:pPr>
          </w:p>
        </w:tc>
        <w:tc>
          <w:tcPr>
            <w:tcW w:w="639"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 w:val="18"/>
                <w:szCs w:val="18"/>
              </w:rPr>
            </w:pPr>
          </w:p>
        </w:tc>
        <w:tc>
          <w:tcPr>
            <w:tcW w:w="381"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 w:val="18"/>
                <w:szCs w:val="18"/>
              </w:rPr>
            </w:pPr>
          </w:p>
        </w:tc>
        <w:tc>
          <w:tcPr>
            <w:tcW w:w="4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rPr>
              <w:t>一般</w:t>
            </w:r>
          </w:p>
        </w:tc>
        <w:tc>
          <w:tcPr>
            <w:tcW w:w="46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物业管理区域物业总建筑面积在五万平方米以上、少于二十五万平方米的</w:t>
            </w:r>
          </w:p>
        </w:tc>
        <w:tc>
          <w:tcPr>
            <w:tcW w:w="633"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责令限期三个月内提供；逾期未提供的，责令建设单位支付专款，并处三十五万元罚款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07"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 w:val="18"/>
                <w:szCs w:val="18"/>
              </w:rPr>
            </w:pPr>
          </w:p>
        </w:tc>
        <w:tc>
          <w:tcPr>
            <w:tcW w:w="531"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 w:val="18"/>
                <w:szCs w:val="18"/>
              </w:rPr>
            </w:pPr>
          </w:p>
        </w:tc>
        <w:tc>
          <w:tcPr>
            <w:tcW w:w="1636"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 w:val="18"/>
                <w:szCs w:val="18"/>
              </w:rPr>
            </w:pPr>
          </w:p>
        </w:tc>
        <w:tc>
          <w:tcPr>
            <w:tcW w:w="639"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 w:val="18"/>
                <w:szCs w:val="18"/>
              </w:rPr>
            </w:pPr>
          </w:p>
        </w:tc>
        <w:tc>
          <w:tcPr>
            <w:tcW w:w="381" w:type="pct"/>
            <w:vMerge w:val="continue"/>
            <w:tcBorders>
              <w:top w:val="single" w:color="auto" w:sz="4" w:space="0"/>
              <w:left w:val="single" w:color="auto" w:sz="4" w:space="0"/>
              <w:bottom w:val="single" w:color="auto" w:sz="4" w:space="0"/>
              <w:right w:val="single" w:color="auto" w:sz="4" w:space="0"/>
              <w:tl2br w:val="nil"/>
              <w:tr2bl w:val="nil"/>
            </w:tcBorders>
          </w:tcPr>
          <w:p>
            <w:pPr>
              <w:rPr>
                <w:rFonts w:hint="eastAsia" w:ascii="仿宋_GB2312" w:hAnsi="仿宋_GB2312" w:eastAsia="仿宋_GB2312" w:cs="仿宋_GB2312"/>
                <w:sz w:val="18"/>
                <w:szCs w:val="18"/>
              </w:rPr>
            </w:pPr>
          </w:p>
        </w:tc>
        <w:tc>
          <w:tcPr>
            <w:tcW w:w="406" w:type="pct"/>
            <w:tcBorders>
              <w:top w:val="single" w:color="auto" w:sz="4" w:space="0"/>
              <w:left w:val="single" w:color="auto" w:sz="4" w:space="0"/>
              <w:right w:val="single" w:color="auto" w:sz="4" w:space="0"/>
              <w:tl2br w:val="nil"/>
              <w:tr2bl w:val="nil"/>
            </w:tcBorders>
            <w:vAlign w:val="center"/>
          </w:tcPr>
          <w:p>
            <w:pPr>
              <w:jc w:val="center"/>
              <w:rPr>
                <w:rFonts w:hint="eastAsia"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rPr>
              <w:t>从重</w:t>
            </w:r>
          </w:p>
        </w:tc>
        <w:tc>
          <w:tcPr>
            <w:tcW w:w="468" w:type="pct"/>
            <w:tcBorders>
              <w:top w:val="single" w:color="auto" w:sz="4" w:space="0"/>
              <w:left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物业管理区域物业总建筑面积二十五万平方米以上的</w:t>
            </w:r>
          </w:p>
        </w:tc>
        <w:tc>
          <w:tcPr>
            <w:tcW w:w="633"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责令限期三个月内提供；逾期未提供的，责令建设单位支付专款，并处超过三十五万元、五十万元以下罚款</w:t>
            </w:r>
          </w:p>
        </w:tc>
      </w:tr>
    </w:tbl>
    <w:p>
      <w:pPr>
        <w:rPr>
          <w:b/>
          <w:sz w:val="32"/>
          <w:szCs w:val="24"/>
          <w:lang w:val="en"/>
        </w:rPr>
      </w:pPr>
      <w:r>
        <w:rPr>
          <w:szCs w:val="24"/>
        </w:rPr>
        <w:br w:type="page"/>
      </w:r>
      <w:r>
        <w:rPr>
          <w:rFonts w:ascii="宋体" w:eastAsia="宋体 (正文)"/>
          <w:sz w:val="32"/>
          <w:szCs w:val="24"/>
          <w:lang w:val="en"/>
        </w:rPr>
        <w:t>《深圳经济特区物业管理条例》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3"/>
        <w:gridCol w:w="1717"/>
        <w:gridCol w:w="2818"/>
        <w:gridCol w:w="2305"/>
        <w:gridCol w:w="1338"/>
        <w:gridCol w:w="1191"/>
        <w:gridCol w:w="1874"/>
        <w:gridCol w:w="17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2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99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81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47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42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203.19</w:t>
            </w:r>
          </w:p>
        </w:tc>
        <w:tc>
          <w:tcPr>
            <w:tcW w:w="60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物业服务企业未设立业主共有资金共管账户，或者未将业主共有资金转入业主共有资金基本账户的，逾期未改正的</w:t>
            </w:r>
          </w:p>
        </w:tc>
        <w:tc>
          <w:tcPr>
            <w:tcW w:w="994"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五十一条第一款：“提供前期物业服务的企业应当自与建设单位签订前期物业服务合同之日起十日内，在与物业管理信息平台共享相关数据的银行（以下简称数据共享银行）设立用于存储业主共有资金的专门账户，作为业主共有资金共管账户。业主大会设立业主共有资金基本账户后十五日内，物业服务企业应当将业主共有资金转入业主共有资金基本账户，并撤销业主共有资金共管账户。”</w:t>
            </w:r>
          </w:p>
        </w:tc>
        <w:tc>
          <w:tcPr>
            <w:tcW w:w="813"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一百一十四条：“物业服务企业有下列情形之一的，由区住房和建设部门给予警告，并责令限期改正；逾期未改正的，处二万元以上五万元以下罚款：（一）违反本条例第五十一条第一款规定，未设立业主共有资金共管账户，或者未将业主共有资金转入业主共有资金基本账户。”</w:t>
            </w:r>
          </w:p>
        </w:tc>
        <w:tc>
          <w:tcPr>
            <w:tcW w:w="472"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警告；罚款</w:t>
            </w:r>
          </w:p>
        </w:tc>
        <w:tc>
          <w:tcPr>
            <w:tcW w:w="42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未造成后果或造成轻微危害后果的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警告，并责令限期改正；逾期未改正，处二万元以上、低于三万五千元罚款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9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1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7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2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警告，并责令限期改正；逾期未改正，处三万五千元罚款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9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1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7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2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警告，并责令限期改正；逾期未改正，处超过三万五千元、五万元以下罚款</w:t>
            </w:r>
          </w:p>
        </w:tc>
      </w:tr>
    </w:tbl>
    <w:p>
      <w:pPr>
        <w:rPr>
          <w:b/>
          <w:sz w:val="32"/>
          <w:szCs w:val="24"/>
          <w:lang w:val="en"/>
        </w:rPr>
      </w:pPr>
      <w:r>
        <w:rPr>
          <w:szCs w:val="24"/>
        </w:rPr>
        <w:br w:type="page"/>
      </w:r>
      <w:r>
        <w:rPr>
          <w:rFonts w:ascii="宋体" w:eastAsia="宋体 (正文)"/>
          <w:sz w:val="32"/>
          <w:szCs w:val="24"/>
          <w:lang w:val="en"/>
        </w:rPr>
        <w:t>《深圳经济特区物业管理条例》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4"/>
        <w:gridCol w:w="1717"/>
        <w:gridCol w:w="1888"/>
        <w:gridCol w:w="3271"/>
        <w:gridCol w:w="1307"/>
        <w:gridCol w:w="1185"/>
        <w:gridCol w:w="1874"/>
        <w:gridCol w:w="17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2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66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115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46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41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203.20</w:t>
            </w:r>
          </w:p>
        </w:tc>
        <w:tc>
          <w:tcPr>
            <w:tcW w:w="60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物业服务企业未在物业管理区域设立独立核算的服务机构，逾期未改正的</w:t>
            </w:r>
          </w:p>
        </w:tc>
        <w:tc>
          <w:tcPr>
            <w:tcW w:w="66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第五十七条第一款：“从事物业服务的企业应当具有独立法人资格。物业服务企业应当在物业管理区域设立独立核算的服务机构。”</w:t>
            </w:r>
          </w:p>
        </w:tc>
        <w:tc>
          <w:tcPr>
            <w:tcW w:w="1154"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一百一十四条：“物业服务企业有下列情形之一的，由区住房和建设部门给予警告，并责令限期改正；逾期未改正的，处二万元以上五万元以下罚款：（二）违反本例第五十七条第一款规定，未在物业管理区域设立独立核算的服务机构。”</w:t>
            </w:r>
          </w:p>
        </w:tc>
        <w:tc>
          <w:tcPr>
            <w:tcW w:w="46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警告；罚款</w:t>
            </w:r>
          </w:p>
        </w:tc>
        <w:tc>
          <w:tcPr>
            <w:tcW w:w="41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未造成后果或造成轻微危害后果的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警告，并责令限期改正；逾期未改正，处二万元以上、低于三万五千元罚款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6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115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6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1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警告，并责令限期改正；逾期未改正，处三万五千元罚款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6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115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6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1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警告，并责令限期改正；逾期未改正，处超过三万五千元、五万元以下罚款</w:t>
            </w:r>
          </w:p>
        </w:tc>
      </w:tr>
    </w:tbl>
    <w:p>
      <w:pPr>
        <w:rPr>
          <w:b/>
          <w:sz w:val="32"/>
          <w:szCs w:val="24"/>
          <w:lang w:val="en"/>
        </w:rPr>
      </w:pPr>
      <w:r>
        <w:rPr>
          <w:szCs w:val="24"/>
        </w:rPr>
        <w:br w:type="page"/>
      </w:r>
      <w:r>
        <w:rPr>
          <w:rFonts w:ascii="宋体" w:eastAsia="宋体 (正文)"/>
          <w:sz w:val="32"/>
          <w:szCs w:val="24"/>
          <w:lang w:val="en"/>
        </w:rPr>
        <w:t>《深圳经济特区物业管理条例》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3"/>
        <w:gridCol w:w="1717"/>
        <w:gridCol w:w="2013"/>
        <w:gridCol w:w="3059"/>
        <w:gridCol w:w="1273"/>
        <w:gridCol w:w="1307"/>
        <w:gridCol w:w="1874"/>
        <w:gridCol w:w="17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2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71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107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44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46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203.21</w:t>
            </w:r>
          </w:p>
        </w:tc>
        <w:tc>
          <w:tcPr>
            <w:tcW w:w="60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物业服务企业未将物业服务合同副本报区住房和建设部门备案，逾期未改正的</w:t>
            </w:r>
          </w:p>
        </w:tc>
        <w:tc>
          <w:tcPr>
            <w:tcW w:w="710"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第五十八条第四款：“物业服务企业应当在签订物业服务合同之日起十五日内将物业服务合同副本报物业所在地区住房和建设部门备案。”</w:t>
            </w:r>
          </w:p>
        </w:tc>
        <w:tc>
          <w:tcPr>
            <w:tcW w:w="1079"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一百一十四条：“物业服务企业有下列情形之一的，由区住房和建设部门给予警告，并责令限期改正；逾期未改正的，处二万元以上五万元以下罚款：（三）违反本条例第五十八条第四款规定，未将物业服务合同副本报区住房和建设部门备案。”</w:t>
            </w:r>
          </w:p>
        </w:tc>
        <w:tc>
          <w:tcPr>
            <w:tcW w:w="449"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警告；罚款</w:t>
            </w:r>
          </w:p>
        </w:tc>
        <w:tc>
          <w:tcPr>
            <w:tcW w:w="46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未造成后果或造成轻微危害后果的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警告，并责令限期改正；逾期未改正，处二万元以上、低于三万五千元罚款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71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107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4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6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警告，并责令限期改正；逾期未改正，处三万五千元罚款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71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107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4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6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警告，并责令限期改正；逾期未改正，处超过三万五千元、五万元以下罚款</w:t>
            </w:r>
          </w:p>
        </w:tc>
      </w:tr>
    </w:tbl>
    <w:p>
      <w:pPr>
        <w:rPr>
          <w:b/>
          <w:sz w:val="32"/>
          <w:szCs w:val="24"/>
          <w:lang w:val="en"/>
        </w:rPr>
      </w:pPr>
      <w:r>
        <w:rPr>
          <w:szCs w:val="24"/>
        </w:rPr>
        <w:br w:type="page"/>
      </w:r>
      <w:r>
        <w:rPr>
          <w:rFonts w:ascii="宋体" w:eastAsia="宋体 (正文)"/>
          <w:sz w:val="32"/>
          <w:szCs w:val="24"/>
          <w:lang w:val="en"/>
        </w:rPr>
        <w:t>《深圳经济特区物业管理条例》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4"/>
        <w:gridCol w:w="1717"/>
        <w:gridCol w:w="1712"/>
        <w:gridCol w:w="2937"/>
        <w:gridCol w:w="1817"/>
        <w:gridCol w:w="1185"/>
        <w:gridCol w:w="1874"/>
        <w:gridCol w:w="17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2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60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103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64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41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203.22</w:t>
            </w:r>
          </w:p>
        </w:tc>
        <w:tc>
          <w:tcPr>
            <w:tcW w:w="60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物业服务企业未公示公共水电分摊费用情况、物业管理费与物业专项维修资金使用情况，逾期未改正的</w:t>
            </w:r>
          </w:p>
        </w:tc>
        <w:tc>
          <w:tcPr>
            <w:tcW w:w="604"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第六十一条第一款第五项：“物业服务企业应当将下列信息予以公示：（五）公共水电费用分摊情况、物业管理费与物业专项维修资金使用情况。”</w:t>
            </w:r>
          </w:p>
        </w:tc>
        <w:tc>
          <w:tcPr>
            <w:tcW w:w="103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一百一十四条：“物业服务企业有下列情形之一的，由区住房和建设部门给予警告，并责令限期改正；逾期未改正的，处二万元以上五万元以下罚款：（四）违反本条例第六十一条第一款第五项规定，未公示公共水电分摊费用情况、物业管理费与物业专项维修资金使用情况。”</w:t>
            </w:r>
          </w:p>
        </w:tc>
        <w:tc>
          <w:tcPr>
            <w:tcW w:w="64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警告；罚款</w:t>
            </w:r>
          </w:p>
        </w:tc>
        <w:tc>
          <w:tcPr>
            <w:tcW w:w="41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未造成后果或造成轻微危害后果的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警告，并责令限期改正；逾期未改正，处二万元以上、低于三万五千元罚款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103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4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1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警告，并责令限期改正；逾期未改正，处三万五千元罚款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103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4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1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警告，并责令限期改正；逾期未改正，处超过三万五千元、五万元以下罚款</w:t>
            </w:r>
          </w:p>
        </w:tc>
      </w:tr>
    </w:tbl>
    <w:p>
      <w:pPr>
        <w:rPr>
          <w:b/>
          <w:sz w:val="32"/>
          <w:szCs w:val="24"/>
          <w:lang w:val="en"/>
        </w:rPr>
      </w:pPr>
      <w:r>
        <w:rPr>
          <w:szCs w:val="24"/>
        </w:rPr>
        <w:br w:type="page"/>
      </w:r>
      <w:r>
        <w:rPr>
          <w:rFonts w:ascii="宋体" w:eastAsia="宋体 (正文)"/>
          <w:sz w:val="32"/>
          <w:szCs w:val="24"/>
          <w:lang w:val="en"/>
        </w:rPr>
        <w:t>《深圳经济特区物业管理条例》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4"/>
        <w:gridCol w:w="1717"/>
        <w:gridCol w:w="2693"/>
        <w:gridCol w:w="2378"/>
        <w:gridCol w:w="1239"/>
        <w:gridCol w:w="1340"/>
        <w:gridCol w:w="1551"/>
        <w:gridCol w:w="204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2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95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83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43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47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54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72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203.23</w:t>
            </w:r>
          </w:p>
        </w:tc>
        <w:tc>
          <w:tcPr>
            <w:tcW w:w="60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物业服务企业未制定物业管理区域安全防范应急预案并报区住房和建设部门备案，逾期未改正的</w:t>
            </w:r>
          </w:p>
        </w:tc>
        <w:tc>
          <w:tcPr>
            <w:tcW w:w="950"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六十四条第一款：“物业服务企业应当遵守安全生产、公共卫生、治安、消防、防灾管理等有关公共安全法律、法规的规定，制定物业管理区域安全防范应急预案，在相关部门指导下做好物业管理区域的安全管理工作。安全防范应急预案应当报区住房和建设部门备案，区住房和建设部门应当对安全防范应急预案的制定和实施给予必要的指导。”</w:t>
            </w:r>
          </w:p>
        </w:tc>
        <w:tc>
          <w:tcPr>
            <w:tcW w:w="839"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一百一十四条：“物业服务企业有下列情形之一的，由区住房和建设部门给予警告，并责令限期改正；逾期未改正的，处二万元以上五万元以下罚款：（五）违反本条例第六十四条第一款规定，未制定物业管理区域安全防范应急预案并报区住房和建设部门备案。”</w:t>
            </w:r>
          </w:p>
        </w:tc>
        <w:tc>
          <w:tcPr>
            <w:tcW w:w="437"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警告；罚款</w:t>
            </w:r>
          </w:p>
        </w:tc>
        <w:tc>
          <w:tcPr>
            <w:tcW w:w="47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54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未造成后果或造成轻微危害后果的</w:t>
            </w:r>
          </w:p>
        </w:tc>
        <w:tc>
          <w:tcPr>
            <w:tcW w:w="720"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警告，并责令限期改正；逾期未改正，处二万元以上、低于三万五千元罚款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5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3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3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7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54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造成一般危害后果的</w:t>
            </w:r>
          </w:p>
        </w:tc>
        <w:tc>
          <w:tcPr>
            <w:tcW w:w="720"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警告，并责令限期改正；逾期未改正，处三万五千元罚款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5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3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3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7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54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造成严重危害后果的</w:t>
            </w:r>
          </w:p>
        </w:tc>
        <w:tc>
          <w:tcPr>
            <w:tcW w:w="720"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警告，并责令限期改正；逾期未改正，处超过三万五千元、五万元以下罚款</w:t>
            </w:r>
          </w:p>
        </w:tc>
      </w:tr>
    </w:tbl>
    <w:p>
      <w:pPr>
        <w:rPr>
          <w:b/>
          <w:sz w:val="32"/>
          <w:szCs w:val="24"/>
          <w:lang w:val="en"/>
        </w:rPr>
      </w:pPr>
      <w:r>
        <w:rPr>
          <w:szCs w:val="24"/>
        </w:rPr>
        <w:br w:type="page"/>
      </w:r>
      <w:r>
        <w:rPr>
          <w:rFonts w:ascii="宋体" w:eastAsia="宋体 (正文)"/>
          <w:sz w:val="32"/>
          <w:szCs w:val="24"/>
          <w:lang w:val="en"/>
        </w:rPr>
        <w:t>《深圳经济特区物业管理条例》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4"/>
        <w:gridCol w:w="1718"/>
        <w:gridCol w:w="2270"/>
        <w:gridCol w:w="2593"/>
        <w:gridCol w:w="1437"/>
        <w:gridCol w:w="1350"/>
        <w:gridCol w:w="1874"/>
        <w:gridCol w:w="17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2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80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91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50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47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203.24</w:t>
            </w:r>
          </w:p>
        </w:tc>
        <w:tc>
          <w:tcPr>
            <w:tcW w:w="60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物业服务企业未按照国家有关规定建立财务管理制度，逾期未改正的</w:t>
            </w:r>
          </w:p>
        </w:tc>
        <w:tc>
          <w:tcPr>
            <w:tcW w:w="80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第七十二条第二款：“业主共有资金开户账户单位应当按照国家有关规定建立健全财务管理制度，保证资金安全，并通过物业管理信息平台，向全体业主实时公开业主共有资金基本账户或者共管账户信息。”</w:t>
            </w:r>
          </w:p>
        </w:tc>
        <w:tc>
          <w:tcPr>
            <w:tcW w:w="91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一百一十四条：“物业服务企业有下列情形之一的，由区住房和建设部门给予警告，并责令限期改正；逾期未改正的，处二万元以上五万元以下罚款：（六）违反本条例第七十二条第二款规定，未按照国家有关规定建立财务管理制度。”</w:t>
            </w:r>
          </w:p>
        </w:tc>
        <w:tc>
          <w:tcPr>
            <w:tcW w:w="507"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警告；罚款</w:t>
            </w:r>
          </w:p>
        </w:tc>
        <w:tc>
          <w:tcPr>
            <w:tcW w:w="47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未造成后果或造成轻微危害后果的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警告，并责令限期改正；逾期未改正，处二万元以上、低于三万五千元罚款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0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1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0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7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警告，并责令限期改正；逾期未改正，处三万五千元罚款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0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1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0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7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警告，并责令限期改正；逾期未改正，处超过三万五千元、五万元以下罚款</w:t>
            </w:r>
          </w:p>
        </w:tc>
      </w:tr>
    </w:tbl>
    <w:p>
      <w:pPr>
        <w:rPr>
          <w:b/>
          <w:sz w:val="32"/>
          <w:szCs w:val="24"/>
          <w:lang w:val="en"/>
        </w:rPr>
      </w:pPr>
      <w:r>
        <w:rPr>
          <w:szCs w:val="24"/>
        </w:rPr>
        <w:br w:type="page"/>
      </w:r>
      <w:r>
        <w:rPr>
          <w:rFonts w:ascii="宋体" w:eastAsia="宋体 (正文)"/>
          <w:sz w:val="32"/>
          <w:szCs w:val="24"/>
          <w:lang w:val="en"/>
        </w:rPr>
        <w:t>《深圳经济特区物业管理条例》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3"/>
        <w:gridCol w:w="1717"/>
        <w:gridCol w:w="2715"/>
        <w:gridCol w:w="2140"/>
        <w:gridCol w:w="1273"/>
        <w:gridCol w:w="1273"/>
        <w:gridCol w:w="1602"/>
        <w:gridCol w:w="22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2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95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75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44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44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56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79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203.25</w:t>
            </w:r>
          </w:p>
        </w:tc>
        <w:tc>
          <w:tcPr>
            <w:tcW w:w="60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物业服务企业未定期与数据共享银行核对本物业管理区域业主共有资金账目并按季度公示，逾期未改正的</w:t>
            </w:r>
          </w:p>
        </w:tc>
        <w:tc>
          <w:tcPr>
            <w:tcW w:w="95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第七十三条：“业主共有资金账户开户单位应当定期与数据共享银行核对业主共有资金账目，并按季度公示下列情况：</w:t>
            </w:r>
          </w:p>
          <w:p>
            <w:pPr>
              <w:numPr>
                <w:ilvl w:val="0"/>
                <w:numId w:val="5"/>
              </w:numPr>
              <w:rPr>
                <w:rFonts w:hint="eastAsia" w:ascii="仿宋_GB2312" w:hAnsi="仿宋_GB2312" w:eastAsia="仿宋_GB2312" w:cs="仿宋_GB2312"/>
                <w:szCs w:val="21"/>
              </w:rPr>
            </w:pPr>
            <w:r>
              <w:rPr>
                <w:rFonts w:hint="eastAsia" w:ascii="仿宋_GB2312" w:hAnsi="仿宋_GB2312" w:eastAsia="仿宋_GB2312" w:cs="仿宋_GB2312"/>
                <w:szCs w:val="21"/>
              </w:rPr>
              <w:t>业主共有资金缴存及结余情况；</w:t>
            </w:r>
          </w:p>
          <w:p>
            <w:pPr>
              <w:numPr>
                <w:ilvl w:val="0"/>
                <w:numId w:val="5"/>
              </w:numPr>
              <w:rPr>
                <w:rFonts w:hint="eastAsia" w:ascii="仿宋_GB2312" w:hAnsi="仿宋_GB2312" w:eastAsia="仿宋_GB2312" w:cs="仿宋_GB2312"/>
                <w:szCs w:val="21"/>
              </w:rPr>
            </w:pPr>
            <w:r>
              <w:rPr>
                <w:rFonts w:hint="eastAsia" w:ascii="仿宋_GB2312" w:hAnsi="仿宋_GB2312" w:eastAsia="仿宋_GB2312" w:cs="仿宋_GB2312"/>
                <w:szCs w:val="21"/>
              </w:rPr>
              <w:t>发生列支的项目、费用和分摊情况；</w:t>
            </w:r>
          </w:p>
          <w:p>
            <w:pPr>
              <w:rPr>
                <w:rFonts w:hint="eastAsia" w:ascii="仿宋_GB2312" w:hAnsi="仿宋_GB2312" w:eastAsia="仿宋_GB2312" w:cs="仿宋_GB2312"/>
                <w:szCs w:val="21"/>
              </w:rPr>
            </w:pPr>
            <w:r>
              <w:rPr>
                <w:rFonts w:hint="eastAsia" w:ascii="仿宋_GB2312" w:hAnsi="仿宋_GB2312" w:eastAsia="仿宋_GB2312" w:cs="仿宋_GB2312"/>
                <w:szCs w:val="21"/>
              </w:rPr>
              <w:t>（三）业主拖欠物业管理费、物业专项维修资金和其他分摊费用的情况；</w:t>
            </w:r>
          </w:p>
          <w:p>
            <w:pPr>
              <w:rPr>
                <w:rFonts w:hint="eastAsia" w:ascii="仿宋_GB2312" w:hAnsi="仿宋_GB2312" w:eastAsia="仿宋_GB2312" w:cs="仿宋_GB2312"/>
                <w:szCs w:val="21"/>
              </w:rPr>
            </w:pPr>
            <w:r>
              <w:rPr>
                <w:rFonts w:hint="eastAsia" w:ascii="仿宋_GB2312" w:hAnsi="仿宋_GB2312" w:eastAsia="仿宋_GB2312" w:cs="仿宋_GB2312"/>
                <w:szCs w:val="21"/>
              </w:rPr>
              <w:t>（四）其他有关业主共有资金使用和管理情况。”</w:t>
            </w:r>
          </w:p>
        </w:tc>
        <w:tc>
          <w:tcPr>
            <w:tcW w:w="75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一百一十四条：“物业服务企业有下列情形之一的，由区住房和建设部门给予警告，并责令限期改正；逾期未改正的，处二万元以上五万元以下罚款：（七）违反本条例第七十三条规定，未定期与数据共享银行核对本物业管理区域业主共有资金账目并按季度公示。”</w:t>
            </w:r>
          </w:p>
        </w:tc>
        <w:tc>
          <w:tcPr>
            <w:tcW w:w="449"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警告；罚款</w:t>
            </w:r>
          </w:p>
        </w:tc>
        <w:tc>
          <w:tcPr>
            <w:tcW w:w="44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56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未造成后果或造成轻微危害后果的</w:t>
            </w:r>
          </w:p>
        </w:tc>
        <w:tc>
          <w:tcPr>
            <w:tcW w:w="790"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警告，并责令限期改正；逾期未改正，处二万元以上、低于三万五千元罚款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5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75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4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4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56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造成一般危害后果的</w:t>
            </w:r>
          </w:p>
        </w:tc>
        <w:tc>
          <w:tcPr>
            <w:tcW w:w="790"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警告，并责令限期改正；逾期未改正，处三万五千元罚款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5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75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4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4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56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造成严重危害后果的</w:t>
            </w:r>
          </w:p>
        </w:tc>
        <w:tc>
          <w:tcPr>
            <w:tcW w:w="790"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警告，并责令限期改正；逾期未改正，处超过三万五千元、五万元以下罚款</w:t>
            </w:r>
          </w:p>
        </w:tc>
      </w:tr>
    </w:tbl>
    <w:p>
      <w:pPr>
        <w:rPr>
          <w:b/>
          <w:sz w:val="32"/>
          <w:szCs w:val="24"/>
          <w:lang w:val="en"/>
        </w:rPr>
      </w:pPr>
      <w:r>
        <w:rPr>
          <w:szCs w:val="24"/>
        </w:rPr>
        <w:br w:type="page"/>
      </w:r>
      <w:r>
        <w:rPr>
          <w:rFonts w:ascii="宋体" w:eastAsia="宋体 (正文)"/>
          <w:sz w:val="32"/>
          <w:szCs w:val="24"/>
          <w:lang w:val="en"/>
        </w:rPr>
        <w:t>《深圳经济特区物业管理条例》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4"/>
        <w:gridCol w:w="1718"/>
        <w:gridCol w:w="2626"/>
        <w:gridCol w:w="2354"/>
        <w:gridCol w:w="1421"/>
        <w:gridCol w:w="1250"/>
        <w:gridCol w:w="1874"/>
        <w:gridCol w:w="17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2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92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83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50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44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203.26</w:t>
            </w:r>
          </w:p>
        </w:tc>
        <w:tc>
          <w:tcPr>
            <w:tcW w:w="60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物业服务企业未及时对违法行为予以劝阻、未及时报告街道办事处或者有关职能部门，逾期未改正的</w:t>
            </w:r>
          </w:p>
        </w:tc>
        <w:tc>
          <w:tcPr>
            <w:tcW w:w="92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七十九第二款：“物业管理区域发生前款所列行为时，业主、物业使用人有权投诉、举报，物业服务企业、业主委员会应当及时劝阻；劝阻无效的，物业服务企业、业主委员会应当及时报告街道办事处或者有关职能部门；街道办事处或者有关职能部门应当依法及时处理，相关业主、物业使用人应当予以配合。”</w:t>
            </w:r>
          </w:p>
        </w:tc>
        <w:tc>
          <w:tcPr>
            <w:tcW w:w="830"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一百一十四条：“物业服务企业有下列情形之一的，由区住房和建设部门给予警告，并责令限期改正；逾期未改正的，处二万元以上五万元以下罚款：（八）违反本条例第七十九第二款规定，未及时对违法行为予以劝阻、未及时报告街道办事处或者有关职能部门。”</w:t>
            </w:r>
          </w:p>
        </w:tc>
        <w:tc>
          <w:tcPr>
            <w:tcW w:w="50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警告；罚款</w:t>
            </w:r>
          </w:p>
        </w:tc>
        <w:tc>
          <w:tcPr>
            <w:tcW w:w="44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未造成后果或造成轻微危害后果的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警告，并责令限期改正；逾期未改正，处二万元以上、低于三万五千元罚款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2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3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0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4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警告，并责令限期改正；逾期未改正，处三万五千元罚款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2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3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0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4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警告，并责令限期改正；逾期未改正，处超过三万五千元、五万元以下罚款</w:t>
            </w:r>
          </w:p>
        </w:tc>
      </w:tr>
    </w:tbl>
    <w:p>
      <w:pPr>
        <w:rPr>
          <w:b/>
          <w:sz w:val="32"/>
          <w:szCs w:val="24"/>
          <w:lang w:val="en"/>
        </w:rPr>
      </w:pPr>
      <w:r>
        <w:rPr>
          <w:rFonts w:ascii="宋体" w:eastAsia="宋体 (正文)"/>
          <w:sz w:val="32"/>
          <w:szCs w:val="24"/>
          <w:lang w:val="en"/>
        </w:rPr>
        <w:t>《深圳经济特区物业管理条例》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4"/>
        <w:gridCol w:w="1717"/>
        <w:gridCol w:w="1839"/>
        <w:gridCol w:w="2755"/>
        <w:gridCol w:w="1752"/>
        <w:gridCol w:w="1307"/>
        <w:gridCol w:w="1874"/>
        <w:gridCol w:w="17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2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64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97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61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46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203.27</w:t>
            </w:r>
          </w:p>
        </w:tc>
        <w:tc>
          <w:tcPr>
            <w:tcW w:w="60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物业服务企业未将车位、车库的使用情况按月予以公示，逾期未改正的</w:t>
            </w:r>
          </w:p>
        </w:tc>
        <w:tc>
          <w:tcPr>
            <w:tcW w:w="649"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第八十五条第二款：“物业服务企业应当将车位、车库的使用情况按月予以公示。公示内容包括可以使用车位、车库的总数，车位、车库使用信息等。”</w:t>
            </w:r>
          </w:p>
        </w:tc>
        <w:tc>
          <w:tcPr>
            <w:tcW w:w="972"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一百一十四条：“物业服务企业有下列情形之一的，由区住房和建设部门给予警告，并责令限期改正；逾期未改正的，处二万元以上五万元以下罚款：（九）违反本条例第八十五条第二款规定，未将车位、车库的使用情况按月予以公示。”</w:t>
            </w:r>
          </w:p>
        </w:tc>
        <w:tc>
          <w:tcPr>
            <w:tcW w:w="61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rPr>
              <w:t>警告；罚款</w:t>
            </w:r>
          </w:p>
        </w:tc>
        <w:tc>
          <w:tcPr>
            <w:tcW w:w="46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未造成后果或造成轻微危害后果的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警告，并责令限期改正；逾期未改正，处二万元以上、低于三万五千元罚款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4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7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1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6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警告，并责令限期改正；逾期未改正，处三万五千元罚款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4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7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1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6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警告，并责令限期改正；逾期未改正，处超过三万五千元、五万元以下罚款</w:t>
            </w:r>
          </w:p>
        </w:tc>
      </w:tr>
    </w:tbl>
    <w:p>
      <w:pPr>
        <w:rPr>
          <w:b/>
          <w:sz w:val="32"/>
          <w:szCs w:val="24"/>
          <w:lang w:val="en"/>
        </w:rPr>
      </w:pPr>
      <w:r>
        <w:rPr>
          <w:szCs w:val="24"/>
        </w:rPr>
        <w:br w:type="page"/>
      </w:r>
      <w:r>
        <w:rPr>
          <w:rFonts w:ascii="宋体" w:eastAsia="宋体 (正文)"/>
          <w:sz w:val="32"/>
          <w:szCs w:val="24"/>
          <w:lang w:val="en"/>
        </w:rPr>
        <w:t>《深圳经济特区物业管理条例》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3"/>
        <w:gridCol w:w="1717"/>
        <w:gridCol w:w="2384"/>
        <w:gridCol w:w="2347"/>
        <w:gridCol w:w="1636"/>
        <w:gridCol w:w="1284"/>
        <w:gridCol w:w="1874"/>
        <w:gridCol w:w="17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2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84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82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57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45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203.28</w:t>
            </w:r>
          </w:p>
        </w:tc>
        <w:tc>
          <w:tcPr>
            <w:tcW w:w="60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物业服务企业无正当理由擅自对共有物业或者物业专有部分实施停水、停电、停气的</w:t>
            </w:r>
          </w:p>
        </w:tc>
        <w:tc>
          <w:tcPr>
            <w:tcW w:w="84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六十八条第二款：“未经供水、供电、供气等相关专营单位或者业主授权、行政决定或者司法裁决，物业服务企业不得对共有物业或者物业专有部分实施停水、停电、停气。但是，可能对业主利益或者公共安全造成重大损失的紧急情形除外。”</w:t>
            </w:r>
          </w:p>
        </w:tc>
        <w:tc>
          <w:tcPr>
            <w:tcW w:w="82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一百一十五条：“物业服务企业有下列情形之一的，由区住房和建设部门责令立即改正，给予警告，并处二万元以上五万元以下罚款：（一）违反本条例第六十八条第二款规定，无正当理由擅自对共有物业或者物业专有部分实施停水、停电、停气。”</w:t>
            </w:r>
          </w:p>
        </w:tc>
        <w:tc>
          <w:tcPr>
            <w:tcW w:w="577"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警告；罚款</w:t>
            </w:r>
          </w:p>
        </w:tc>
        <w:tc>
          <w:tcPr>
            <w:tcW w:w="45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未造成后果或造成轻微危害后果的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责令立即改正，给予警告，并处二万元以上、低于三万五千元罚款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4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7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5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责令立即改正，给予警告，并处三万五千元罚款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4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7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5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责令立即改正，给予警告，并处超过三万五千元、五万元以下罚款</w:t>
            </w:r>
          </w:p>
        </w:tc>
      </w:tr>
    </w:tbl>
    <w:p>
      <w:pPr>
        <w:rPr>
          <w:b/>
          <w:sz w:val="32"/>
          <w:szCs w:val="24"/>
          <w:lang w:val="en"/>
        </w:rPr>
      </w:pPr>
      <w:r>
        <w:rPr>
          <w:szCs w:val="24"/>
        </w:rPr>
        <w:br w:type="page"/>
      </w:r>
      <w:r>
        <w:rPr>
          <w:rFonts w:ascii="宋体" w:eastAsia="宋体 (正文)"/>
          <w:sz w:val="32"/>
          <w:szCs w:val="24"/>
          <w:lang w:val="en"/>
        </w:rPr>
        <w:t>《深圳经济特区物业管理条例》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4"/>
        <w:gridCol w:w="1717"/>
        <w:gridCol w:w="2449"/>
        <w:gridCol w:w="2606"/>
        <w:gridCol w:w="1389"/>
        <w:gridCol w:w="1207"/>
        <w:gridCol w:w="1874"/>
        <w:gridCol w:w="17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2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86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91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49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42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203.29</w:t>
            </w:r>
          </w:p>
        </w:tc>
        <w:tc>
          <w:tcPr>
            <w:tcW w:w="60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物业服务企业未配合相关专营单位维修养护、改造物业管理区域相关设施设备或者设置管线的</w:t>
            </w:r>
          </w:p>
        </w:tc>
        <w:tc>
          <w:tcPr>
            <w:tcW w:w="864"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八十一条第二款：“供水、排水、供电、供气、通讯等相关专营单位因维修养护、改造物业管理区域设施设备或者设置管线等，需要进入物业管理区域或者使用物业专有部分时，物业服务企业、业主委员会和业主等应当予以配合，并不得违规收取费用。”</w:t>
            </w:r>
          </w:p>
        </w:tc>
        <w:tc>
          <w:tcPr>
            <w:tcW w:w="919"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一百一十五条：“物业服务企业有下列情形之一的，由区住房和建设部门责令立即改正，给予警告，并处二万元以上五万元以下罚款：（二）违反本例第八十一条第二款规定，未配合相关专营单位维修养护、改造物业管理区域相关设施设备或者设置管线。”</w:t>
            </w:r>
          </w:p>
        </w:tc>
        <w:tc>
          <w:tcPr>
            <w:tcW w:w="490"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警告；罚款</w:t>
            </w:r>
          </w:p>
        </w:tc>
        <w:tc>
          <w:tcPr>
            <w:tcW w:w="42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未造成后果或造成轻微危害后果的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责令立即改正，给予警告，并处二万元以上、低于三万五千元罚款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6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1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9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2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责令立即改正，给予警告，并处三万五千元罚款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6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1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9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2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6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造成严重危害后果的</w:t>
            </w:r>
          </w:p>
        </w:tc>
        <w:tc>
          <w:tcPr>
            <w:tcW w:w="60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责令立即改正，给予警告，并处超过三万五千元、五万元以下罚款</w:t>
            </w:r>
          </w:p>
        </w:tc>
      </w:tr>
    </w:tbl>
    <w:p>
      <w:pPr>
        <w:rPr>
          <w:b/>
          <w:sz w:val="32"/>
          <w:szCs w:val="24"/>
          <w:lang w:val="en"/>
        </w:rPr>
      </w:pPr>
      <w:r>
        <w:rPr>
          <w:szCs w:val="24"/>
        </w:rPr>
        <w:br w:type="page"/>
      </w:r>
      <w:r>
        <w:rPr>
          <w:rFonts w:ascii="宋体" w:eastAsia="宋体 (正文)"/>
          <w:sz w:val="32"/>
          <w:szCs w:val="24"/>
          <w:lang w:val="en"/>
        </w:rPr>
        <w:t>《深圳经济特区物业管理条例》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3"/>
        <w:gridCol w:w="1247"/>
        <w:gridCol w:w="4383"/>
        <w:gridCol w:w="1704"/>
        <w:gridCol w:w="1168"/>
        <w:gridCol w:w="1221"/>
        <w:gridCol w:w="1554"/>
        <w:gridCol w:w="16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2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44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154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60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41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43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54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59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203.30</w:t>
            </w:r>
          </w:p>
        </w:tc>
        <w:tc>
          <w:tcPr>
            <w:tcW w:w="440"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物业服务企业未立即采取应急处置措施、及时报告相关紧急情况和进行应急维修的</w:t>
            </w:r>
          </w:p>
        </w:tc>
        <w:tc>
          <w:tcPr>
            <w:tcW w:w="154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第八十二条：“物业管理区域有下列情形时，物业服务企业应当立即采取应急处置措施，保障安全：</w:t>
            </w:r>
          </w:p>
          <w:p>
            <w:pPr>
              <w:numPr>
                <w:ilvl w:val="0"/>
                <w:numId w:val="6"/>
              </w:numPr>
              <w:rPr>
                <w:rFonts w:hint="eastAsia" w:ascii="仿宋_GB2312" w:hAnsi="仿宋_GB2312" w:eastAsia="仿宋_GB2312" w:cs="仿宋_GB2312"/>
                <w:szCs w:val="21"/>
              </w:rPr>
            </w:pPr>
            <w:r>
              <w:rPr>
                <w:rFonts w:hint="eastAsia" w:ascii="仿宋_GB2312" w:hAnsi="仿宋_GB2312" w:eastAsia="仿宋_GB2312" w:cs="仿宋_GB2312"/>
                <w:szCs w:val="21"/>
              </w:rPr>
              <w:t>供水、排水、供电、供气设施设备发生故障或者其他影响正常使用的情况；</w:t>
            </w:r>
          </w:p>
          <w:p>
            <w:pPr>
              <w:numPr>
                <w:ilvl w:val="0"/>
                <w:numId w:val="6"/>
              </w:numPr>
              <w:rPr>
                <w:rFonts w:hint="eastAsia" w:ascii="仿宋_GB2312" w:hAnsi="仿宋_GB2312" w:eastAsia="仿宋_GB2312" w:cs="仿宋_GB2312"/>
                <w:szCs w:val="21"/>
              </w:rPr>
            </w:pPr>
            <w:r>
              <w:rPr>
                <w:rFonts w:hint="eastAsia" w:ascii="仿宋_GB2312" w:hAnsi="仿宋_GB2312" w:eastAsia="仿宋_GB2312" w:cs="仿宋_GB2312"/>
                <w:szCs w:val="21"/>
              </w:rPr>
              <w:t>电梯、消防设施发生故障；</w:t>
            </w:r>
          </w:p>
          <w:p>
            <w:pPr>
              <w:numPr>
                <w:ilvl w:val="0"/>
                <w:numId w:val="6"/>
              </w:numPr>
              <w:rPr>
                <w:rFonts w:hint="eastAsia" w:ascii="仿宋_GB2312" w:hAnsi="仿宋_GB2312" w:eastAsia="仿宋_GB2312" w:cs="仿宋_GB2312"/>
                <w:szCs w:val="21"/>
              </w:rPr>
            </w:pPr>
            <w:r>
              <w:rPr>
                <w:rFonts w:hint="eastAsia" w:ascii="仿宋_GB2312" w:hAnsi="仿宋_GB2312" w:eastAsia="仿宋_GB2312" w:cs="仿宋_GB2312"/>
                <w:szCs w:val="21"/>
              </w:rPr>
              <w:t>外墙墙面存在脱落危险、外墙或者屋顶出现渗漏等情况；</w:t>
            </w:r>
          </w:p>
          <w:p>
            <w:pPr>
              <w:rPr>
                <w:rFonts w:hint="eastAsia" w:ascii="仿宋_GB2312" w:hAnsi="仿宋_GB2312" w:eastAsia="仿宋_GB2312" w:cs="仿宋_GB2312"/>
                <w:szCs w:val="21"/>
              </w:rPr>
            </w:pPr>
            <w:r>
              <w:rPr>
                <w:rFonts w:hint="eastAsia" w:ascii="仿宋_GB2312" w:hAnsi="仿宋_GB2312" w:eastAsia="仿宋_GB2312" w:cs="仿宋_GB2312"/>
                <w:szCs w:val="21"/>
              </w:rPr>
              <w:t>（四）其他危及物业安全的紧急情况。</w:t>
            </w:r>
          </w:p>
          <w:p>
            <w:pPr>
              <w:ind w:firstLine="420" w:firstLineChars="200"/>
              <w:rPr>
                <w:rFonts w:hint="eastAsia" w:ascii="仿宋_GB2312" w:hAnsi="仿宋_GB2312" w:eastAsia="仿宋_GB2312" w:cs="仿宋_GB2312"/>
                <w:szCs w:val="21"/>
              </w:rPr>
            </w:pPr>
            <w:r>
              <w:rPr>
                <w:rFonts w:hint="eastAsia" w:ascii="仿宋_GB2312" w:hAnsi="仿宋_GB2312" w:eastAsia="仿宋_GB2312" w:cs="仿宋_GB2312"/>
                <w:szCs w:val="21"/>
              </w:rPr>
              <w:t>发生前款第一项情形的，物业服务企业应当及时报告相关专营单位；发生前款第二项至四项情形的，物业服务企业应当及时报告业主委员会、街道办事处，并进行应急维修，应急维修费用从业主共有资金账户或者物业专项维修资金专户中支出。</w:t>
            </w:r>
          </w:p>
          <w:p>
            <w:pPr>
              <w:ind w:firstLine="420" w:firstLineChars="200"/>
              <w:rPr>
                <w:rFonts w:hint="eastAsia" w:ascii="仿宋_GB2312" w:hAnsi="仿宋_GB2312" w:eastAsia="仿宋_GB2312" w:cs="仿宋_GB2312"/>
                <w:szCs w:val="21"/>
              </w:rPr>
            </w:pPr>
            <w:r>
              <w:rPr>
                <w:rFonts w:hint="eastAsia" w:ascii="仿宋_GB2312" w:hAnsi="仿宋_GB2312" w:eastAsia="仿宋_GB2312" w:cs="仿宋_GB2312"/>
                <w:szCs w:val="21"/>
              </w:rPr>
              <w:t>物业存在安全隐患经鉴定属于危险房屋的，按照国家有关危险房屋的规定处理。”</w:t>
            </w:r>
          </w:p>
        </w:tc>
        <w:tc>
          <w:tcPr>
            <w:tcW w:w="60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一百一十五条：“物业服务企业有下列情形之一的，由区住房和建设部门责令立即改正，给予警告，并处二万元以上五万元以下罚款：（三）违反本条例第八十二条规定，未立即采取应急处置措施、及时报告相关紧急情况和进行应急维修的。”</w:t>
            </w:r>
          </w:p>
        </w:tc>
        <w:tc>
          <w:tcPr>
            <w:tcW w:w="412"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警告；罚款</w:t>
            </w:r>
          </w:p>
        </w:tc>
        <w:tc>
          <w:tcPr>
            <w:tcW w:w="43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54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未造成后果或造成轻微危害后果的</w:t>
            </w:r>
          </w:p>
        </w:tc>
        <w:tc>
          <w:tcPr>
            <w:tcW w:w="594"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责令立即改正，给予警告，并处二万元以上、低于三万五千元罚款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4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154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1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3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54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造成一般危害后果的</w:t>
            </w:r>
          </w:p>
        </w:tc>
        <w:tc>
          <w:tcPr>
            <w:tcW w:w="594"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责令立即改正，给予警告，并处三万五千元罚款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4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154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1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3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54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造成严重危害后果的</w:t>
            </w:r>
          </w:p>
        </w:tc>
        <w:tc>
          <w:tcPr>
            <w:tcW w:w="594"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责令立即改正，给予警告，并处超过三万五千元、五万元以下罚款</w:t>
            </w:r>
          </w:p>
        </w:tc>
      </w:tr>
    </w:tbl>
    <w:p>
      <w:pPr>
        <w:rPr>
          <w:b/>
          <w:sz w:val="32"/>
          <w:szCs w:val="24"/>
          <w:lang w:val="en"/>
        </w:rPr>
      </w:pPr>
      <w:r>
        <w:rPr>
          <w:szCs w:val="24"/>
        </w:rPr>
        <w:br w:type="page"/>
      </w:r>
      <w:r>
        <w:rPr>
          <w:rFonts w:ascii="宋体" w:eastAsia="宋体 (正文)"/>
          <w:sz w:val="32"/>
          <w:szCs w:val="24"/>
          <w:lang w:val="en"/>
        </w:rPr>
        <w:t>《深圳经济特区物业管理条例》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65"/>
        <w:gridCol w:w="1647"/>
        <w:gridCol w:w="2855"/>
        <w:gridCol w:w="2560"/>
        <w:gridCol w:w="1166"/>
        <w:gridCol w:w="1188"/>
        <w:gridCol w:w="1602"/>
        <w:gridCol w:w="19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1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58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100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90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41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41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56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70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203.31</w:t>
            </w:r>
          </w:p>
        </w:tc>
        <w:tc>
          <w:tcPr>
            <w:tcW w:w="58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物业服务企业及其工作人员擅自改变物业管理用房等共有物业用途，逾期未改正的</w:t>
            </w:r>
          </w:p>
        </w:tc>
        <w:tc>
          <w:tcPr>
            <w:tcW w:w="1007"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第六十二条：“物业服务企业及其工作人员不得有下列行为：</w:t>
            </w:r>
          </w:p>
          <w:p>
            <w:pPr>
              <w:numPr>
                <w:ilvl w:val="0"/>
                <w:numId w:val="7"/>
              </w:numPr>
              <w:rPr>
                <w:rFonts w:hint="eastAsia" w:ascii="仿宋_GB2312" w:hAnsi="仿宋_GB2312" w:eastAsia="仿宋_GB2312" w:cs="仿宋_GB2312"/>
                <w:szCs w:val="21"/>
              </w:rPr>
            </w:pPr>
            <w:r>
              <w:rPr>
                <w:rFonts w:hint="eastAsia" w:ascii="仿宋_GB2312" w:hAnsi="仿宋_GB2312" w:eastAsia="仿宋_GB2312" w:cs="仿宋_GB2312"/>
                <w:szCs w:val="21"/>
              </w:rPr>
              <w:t>挪用、侵占业主共有资金；</w:t>
            </w:r>
          </w:p>
          <w:p>
            <w:pPr>
              <w:numPr>
                <w:ilvl w:val="0"/>
                <w:numId w:val="7"/>
              </w:numPr>
              <w:rPr>
                <w:rFonts w:hint="eastAsia" w:ascii="仿宋_GB2312" w:hAnsi="仿宋_GB2312" w:eastAsia="仿宋_GB2312" w:cs="仿宋_GB2312"/>
                <w:szCs w:val="21"/>
              </w:rPr>
            </w:pPr>
            <w:r>
              <w:rPr>
                <w:rFonts w:hint="eastAsia" w:ascii="仿宋_GB2312" w:hAnsi="仿宋_GB2312" w:eastAsia="仿宋_GB2312" w:cs="仿宋_GB2312"/>
                <w:szCs w:val="21"/>
              </w:rPr>
              <w:t>擅自改变物业管理用房等共有物业用途；</w:t>
            </w:r>
          </w:p>
          <w:p>
            <w:pPr>
              <w:numPr>
                <w:ilvl w:val="0"/>
                <w:numId w:val="7"/>
              </w:numPr>
              <w:rPr>
                <w:rFonts w:hint="eastAsia" w:ascii="仿宋_GB2312" w:hAnsi="仿宋_GB2312" w:eastAsia="仿宋_GB2312" w:cs="仿宋_GB2312"/>
                <w:szCs w:val="21"/>
              </w:rPr>
            </w:pPr>
            <w:r>
              <w:rPr>
                <w:rFonts w:hint="eastAsia" w:ascii="仿宋_GB2312" w:hAnsi="仿宋_GB2312" w:eastAsia="仿宋_GB2312" w:cs="仿宋_GB2312"/>
                <w:szCs w:val="21"/>
              </w:rPr>
              <w:t>违规泄露业主信息；</w:t>
            </w:r>
          </w:p>
          <w:p>
            <w:pPr>
              <w:rPr>
                <w:rFonts w:hint="eastAsia" w:ascii="仿宋_GB2312" w:hAnsi="仿宋_GB2312" w:eastAsia="仿宋_GB2312" w:cs="仿宋_GB2312"/>
                <w:szCs w:val="21"/>
              </w:rPr>
            </w:pPr>
            <w:r>
              <w:rPr>
                <w:rFonts w:hint="eastAsia" w:ascii="仿宋_GB2312" w:hAnsi="仿宋_GB2312" w:eastAsia="仿宋_GB2312" w:cs="仿宋_GB2312"/>
                <w:szCs w:val="21"/>
              </w:rPr>
              <w:t>（四）其他违反相关规定，损害业主利益的行为。”</w:t>
            </w:r>
          </w:p>
        </w:tc>
        <w:tc>
          <w:tcPr>
            <w:tcW w:w="903"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一百一十八条：“物业服务企业及其工作人员违反本条例第六十二条规定，擅自改变物业管理用房等共有物业用途的，由区住房和建设部门给予警告，并责令限期改正，逾期未改正的，对物业服务企业处五万元以上二十万元以下罚款。”</w:t>
            </w:r>
          </w:p>
        </w:tc>
        <w:tc>
          <w:tcPr>
            <w:tcW w:w="41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警告；罚款</w:t>
            </w:r>
          </w:p>
        </w:tc>
        <w:tc>
          <w:tcPr>
            <w:tcW w:w="41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56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未造成后果或造成轻微危害后果的</w:t>
            </w:r>
          </w:p>
        </w:tc>
        <w:tc>
          <w:tcPr>
            <w:tcW w:w="703"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警告，并责令限期改正，逾期未改正，对物业服务企业处五万元以上、低于十二万五千元罚款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8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100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0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1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1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56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造成一般危害后果的</w:t>
            </w:r>
          </w:p>
        </w:tc>
        <w:tc>
          <w:tcPr>
            <w:tcW w:w="703"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警告，并责令限期改正，逾期未改正，对物业服务企业处十二万五千元罚款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8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100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0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1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1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56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造成严重危害后果的</w:t>
            </w:r>
          </w:p>
        </w:tc>
        <w:tc>
          <w:tcPr>
            <w:tcW w:w="703"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警告，并责令限期改正，逾期未改正，对物业服务企业处超过十二万五千元、二十万元以下罚款</w:t>
            </w:r>
          </w:p>
        </w:tc>
      </w:tr>
    </w:tbl>
    <w:p>
      <w:pPr>
        <w:rPr>
          <w:b/>
          <w:sz w:val="32"/>
          <w:szCs w:val="24"/>
          <w:lang w:val="en"/>
        </w:rPr>
      </w:pPr>
      <w:r>
        <w:rPr>
          <w:szCs w:val="24"/>
        </w:rPr>
        <w:br w:type="page"/>
      </w:r>
      <w:r>
        <w:rPr>
          <w:rFonts w:ascii="宋体" w:eastAsia="宋体 (正文)"/>
          <w:sz w:val="32"/>
          <w:szCs w:val="24"/>
          <w:lang w:val="en"/>
        </w:rPr>
        <w:t>《深圳经济特区物业管理条例》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63"/>
        <w:gridCol w:w="1644"/>
        <w:gridCol w:w="2815"/>
        <w:gridCol w:w="2069"/>
        <w:gridCol w:w="1454"/>
        <w:gridCol w:w="1321"/>
        <w:gridCol w:w="1698"/>
        <w:gridCol w:w="20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1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58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99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73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51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46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59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71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0"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203.32</w:t>
            </w:r>
          </w:p>
        </w:tc>
        <w:tc>
          <w:tcPr>
            <w:tcW w:w="580"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物业服务企业及其工作人员违规泄露业主信息的</w:t>
            </w:r>
          </w:p>
        </w:tc>
        <w:tc>
          <w:tcPr>
            <w:tcW w:w="993"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第六十二条：“物业服务企业及其工作人员不得有下列行为：</w:t>
            </w:r>
          </w:p>
          <w:p>
            <w:pPr>
              <w:numPr>
                <w:ilvl w:val="0"/>
                <w:numId w:val="8"/>
              </w:numPr>
              <w:rPr>
                <w:rFonts w:hint="eastAsia" w:ascii="仿宋_GB2312" w:hAnsi="仿宋_GB2312" w:eastAsia="仿宋_GB2312" w:cs="仿宋_GB2312"/>
                <w:szCs w:val="21"/>
              </w:rPr>
            </w:pPr>
            <w:r>
              <w:rPr>
                <w:rFonts w:hint="eastAsia" w:ascii="仿宋_GB2312" w:hAnsi="仿宋_GB2312" w:eastAsia="仿宋_GB2312" w:cs="仿宋_GB2312"/>
                <w:szCs w:val="21"/>
              </w:rPr>
              <w:t>挪用、侵占业主共有资金；</w:t>
            </w:r>
          </w:p>
          <w:p>
            <w:pPr>
              <w:numPr>
                <w:ilvl w:val="0"/>
                <w:numId w:val="8"/>
              </w:numPr>
              <w:rPr>
                <w:rFonts w:hint="eastAsia" w:ascii="仿宋_GB2312" w:hAnsi="仿宋_GB2312" w:eastAsia="仿宋_GB2312" w:cs="仿宋_GB2312"/>
                <w:szCs w:val="21"/>
              </w:rPr>
            </w:pPr>
            <w:r>
              <w:rPr>
                <w:rFonts w:hint="eastAsia" w:ascii="仿宋_GB2312" w:hAnsi="仿宋_GB2312" w:eastAsia="仿宋_GB2312" w:cs="仿宋_GB2312"/>
                <w:szCs w:val="21"/>
              </w:rPr>
              <w:t>擅自改变物业管理用房等共有物业用途；</w:t>
            </w:r>
          </w:p>
          <w:p>
            <w:pPr>
              <w:numPr>
                <w:ilvl w:val="0"/>
                <w:numId w:val="8"/>
              </w:numPr>
              <w:rPr>
                <w:rFonts w:hint="eastAsia" w:ascii="仿宋_GB2312" w:hAnsi="仿宋_GB2312" w:eastAsia="仿宋_GB2312" w:cs="仿宋_GB2312"/>
                <w:szCs w:val="21"/>
              </w:rPr>
            </w:pPr>
            <w:r>
              <w:rPr>
                <w:rFonts w:hint="eastAsia" w:ascii="仿宋_GB2312" w:hAnsi="仿宋_GB2312" w:eastAsia="仿宋_GB2312" w:cs="仿宋_GB2312"/>
                <w:szCs w:val="21"/>
              </w:rPr>
              <w:t>违规泄露业主信息；</w:t>
            </w:r>
          </w:p>
          <w:p>
            <w:pPr>
              <w:rPr>
                <w:rFonts w:hint="eastAsia" w:ascii="仿宋_GB2312" w:hAnsi="仿宋_GB2312" w:eastAsia="仿宋_GB2312" w:cs="仿宋_GB2312"/>
                <w:szCs w:val="21"/>
              </w:rPr>
            </w:pPr>
            <w:r>
              <w:rPr>
                <w:rFonts w:hint="eastAsia" w:ascii="仿宋_GB2312" w:hAnsi="仿宋_GB2312" w:eastAsia="仿宋_GB2312" w:cs="仿宋_GB2312"/>
                <w:szCs w:val="21"/>
              </w:rPr>
              <w:t>（四）其他违反相关规定，损害业主利益的行为。”</w:t>
            </w:r>
          </w:p>
        </w:tc>
        <w:tc>
          <w:tcPr>
            <w:tcW w:w="730"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第一百一十八条：“物业服务企业及其工作人员违反本条例第六十二条规定，违规泄露业主信息的，由区住房和建设部门对物业服务企业处一万元以上三万元以下罚款；有违法所得的，没收违法所得。”</w:t>
            </w:r>
          </w:p>
        </w:tc>
        <w:tc>
          <w:tcPr>
            <w:tcW w:w="513"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罚款；没收违法所得</w:t>
            </w:r>
          </w:p>
        </w:tc>
        <w:tc>
          <w:tcPr>
            <w:tcW w:w="46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599"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未造成后果或造成轻微危害后果的</w:t>
            </w:r>
          </w:p>
        </w:tc>
        <w:tc>
          <w:tcPr>
            <w:tcW w:w="710"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对物业服务企业处一万元以上、低于二万元罚款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8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9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73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1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6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599"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造成一般危害后果的</w:t>
            </w:r>
          </w:p>
        </w:tc>
        <w:tc>
          <w:tcPr>
            <w:tcW w:w="710"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对物业服务企业处二万元罚款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8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9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73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1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6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599"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造成严重危害后果的</w:t>
            </w:r>
          </w:p>
        </w:tc>
        <w:tc>
          <w:tcPr>
            <w:tcW w:w="710"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对物业服务企业处超过二万元、三万元以下罚款</w:t>
            </w:r>
          </w:p>
        </w:tc>
      </w:tr>
    </w:tbl>
    <w:p>
      <w:pPr>
        <w:rPr>
          <w:b/>
          <w:sz w:val="32"/>
          <w:szCs w:val="24"/>
          <w:lang w:val="en"/>
        </w:rPr>
      </w:pPr>
      <w:r>
        <w:rPr>
          <w:szCs w:val="24"/>
        </w:rPr>
        <w:br w:type="page"/>
      </w:r>
      <w:r>
        <w:rPr>
          <w:rFonts w:ascii="宋体" w:eastAsia="宋体 (正文)"/>
          <w:sz w:val="32"/>
          <w:szCs w:val="24"/>
          <w:lang w:val="en"/>
        </w:rPr>
        <w:t>《深圳经济特区物业管理条例》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74"/>
        <w:gridCol w:w="1658"/>
        <w:gridCol w:w="2135"/>
        <w:gridCol w:w="3325"/>
        <w:gridCol w:w="1177"/>
        <w:gridCol w:w="1207"/>
        <w:gridCol w:w="1605"/>
        <w:gridCol w:w="18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1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58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75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117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41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42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56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66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4"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203.33</w:t>
            </w:r>
          </w:p>
        </w:tc>
        <w:tc>
          <w:tcPr>
            <w:tcW w:w="58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相关业主、物业使用人、物业服务企业及其工作人员损坏或者擅自变动房屋承重结构和主体结构的</w:t>
            </w:r>
          </w:p>
        </w:tc>
        <w:tc>
          <w:tcPr>
            <w:tcW w:w="753"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第七十九条第一款第一项：“物业管理区域禁止下列行为：（一）损坏或者擅自变动房屋承重结构和主体结构。”</w:t>
            </w:r>
          </w:p>
        </w:tc>
        <w:tc>
          <w:tcPr>
            <w:tcW w:w="1173"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一百一十九条：“物业管理区域有下列行为之一的，由有关行政主管部门按照下列规定予以查处：（一）违反本条例第七十九条第一款第一项规定的，由区住房和建设部门责令限期改正，对违法行为人处五万元以上二十万元以下罚款。”</w:t>
            </w:r>
          </w:p>
        </w:tc>
        <w:tc>
          <w:tcPr>
            <w:tcW w:w="41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rPr>
              <w:t>罚款</w:t>
            </w:r>
          </w:p>
        </w:tc>
        <w:tc>
          <w:tcPr>
            <w:tcW w:w="42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56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未造成后果或造成轻微危害后果的</w:t>
            </w:r>
          </w:p>
        </w:tc>
        <w:tc>
          <w:tcPr>
            <w:tcW w:w="66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责令限期改正，对违法行为人处五万元以上、低于十二万五千元罚款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8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75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117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1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p>
        </w:tc>
        <w:tc>
          <w:tcPr>
            <w:tcW w:w="42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56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造成一般危害后果的</w:t>
            </w:r>
          </w:p>
        </w:tc>
        <w:tc>
          <w:tcPr>
            <w:tcW w:w="66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责令限期改正，对违法行为人处十二万五千元罚款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8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75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117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1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p>
        </w:tc>
        <w:tc>
          <w:tcPr>
            <w:tcW w:w="42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56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造成严重危害后果的</w:t>
            </w:r>
          </w:p>
        </w:tc>
        <w:tc>
          <w:tcPr>
            <w:tcW w:w="66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责令限期改正，对违法行为人处超过十二万五千元、二十万元以下罚款</w:t>
            </w:r>
          </w:p>
        </w:tc>
      </w:tr>
    </w:tbl>
    <w:p>
      <w:pPr>
        <w:rPr>
          <w:b/>
          <w:sz w:val="32"/>
          <w:szCs w:val="24"/>
          <w:lang w:val="en"/>
        </w:rPr>
      </w:pPr>
      <w:r>
        <w:rPr>
          <w:szCs w:val="24"/>
        </w:rPr>
        <w:br w:type="page"/>
      </w:r>
      <w:r>
        <w:rPr>
          <w:rFonts w:ascii="宋体" w:eastAsia="宋体 (正文)"/>
          <w:sz w:val="32"/>
          <w:szCs w:val="24"/>
          <w:lang w:val="en"/>
        </w:rPr>
        <w:t>《深圳经济特区物业管理条例》</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62"/>
        <w:gridCol w:w="1644"/>
        <w:gridCol w:w="2097"/>
        <w:gridCol w:w="2736"/>
        <w:gridCol w:w="1406"/>
        <w:gridCol w:w="1418"/>
        <w:gridCol w:w="1353"/>
        <w:gridCol w:w="23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1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58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74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96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49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50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47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83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0"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203.34</w:t>
            </w:r>
          </w:p>
        </w:tc>
        <w:tc>
          <w:tcPr>
            <w:tcW w:w="580"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损坏或者擅自占用、改建共有物业，逾期不改正的</w:t>
            </w:r>
          </w:p>
        </w:tc>
        <w:tc>
          <w:tcPr>
            <w:tcW w:w="740"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第七十九条第一款第六项：“物业管理区域禁止下列行为：（六）损坏或者擅自占用、改建共有物业。”</w:t>
            </w:r>
          </w:p>
        </w:tc>
        <w:tc>
          <w:tcPr>
            <w:tcW w:w="96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一百一十九条：“物业管理区域有下列行为之一的，由有关行政主管部门按照下列规定予以查处：（四）违反本条例第七十九条第一款第六项规定的，由区住房和建设部门给予警告，并责令限期改正；逾期不改正的，对实施违法行为的个人处一万元以上三万元以下罚款，对实施违法行为的单位处五万元以上二十万元以下罚款。”</w:t>
            </w:r>
          </w:p>
        </w:tc>
        <w:tc>
          <w:tcPr>
            <w:tcW w:w="49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警告；罚款</w:t>
            </w:r>
          </w:p>
        </w:tc>
        <w:tc>
          <w:tcPr>
            <w:tcW w:w="50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47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损坏或者擅自占用、改建共有物业一百平方米以下的</w:t>
            </w:r>
          </w:p>
        </w:tc>
        <w:tc>
          <w:tcPr>
            <w:tcW w:w="833"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w:t>
            </w:r>
          </w:p>
          <w:p>
            <w:pPr>
              <w:rPr>
                <w:rFonts w:hint="eastAsia" w:ascii="仿宋_GB2312" w:hAnsi="仿宋_GB2312" w:eastAsia="仿宋_GB2312" w:cs="仿宋_GB2312"/>
                <w:szCs w:val="21"/>
              </w:rPr>
            </w:pPr>
            <w:r>
              <w:rPr>
                <w:rFonts w:hint="eastAsia" w:ascii="仿宋_GB2312" w:hAnsi="仿宋_GB2312" w:eastAsia="仿宋_GB2312" w:cs="仿宋_GB2312"/>
                <w:szCs w:val="21"/>
              </w:rPr>
              <w:t>逾期未改正，对实施违法行为的个人处一万元以上、低于二万元罚款，对实施该行为的单位处五万元以上、低于十二万五千元罚款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8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74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6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9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0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47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损坏或者擅自占用、改建共有物业超过一百平方米、三百平方米以下的</w:t>
            </w:r>
          </w:p>
        </w:tc>
        <w:tc>
          <w:tcPr>
            <w:tcW w:w="833"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w:t>
            </w:r>
          </w:p>
          <w:p>
            <w:pPr>
              <w:rPr>
                <w:rFonts w:hint="eastAsia" w:ascii="仿宋_GB2312" w:hAnsi="仿宋_GB2312" w:eastAsia="仿宋_GB2312" w:cs="仿宋_GB2312"/>
                <w:szCs w:val="21"/>
              </w:rPr>
            </w:pPr>
            <w:r>
              <w:rPr>
                <w:rFonts w:hint="eastAsia" w:ascii="仿宋_GB2312" w:hAnsi="仿宋_GB2312" w:eastAsia="仿宋_GB2312" w:cs="仿宋_GB2312"/>
                <w:szCs w:val="21"/>
              </w:rPr>
              <w:t>逾期未改正，对实施违法行为的个人处二万元罚款，对实施该行为的单位处十二万五千元罚款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8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74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6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9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0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47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损坏或者擅自占用、改建共有物业超过三百平方米的</w:t>
            </w:r>
          </w:p>
        </w:tc>
        <w:tc>
          <w:tcPr>
            <w:tcW w:w="833"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警告，并责令限期改正；</w:t>
            </w:r>
          </w:p>
          <w:p>
            <w:pPr>
              <w:rPr>
                <w:rFonts w:hint="eastAsia" w:ascii="仿宋_GB2312" w:hAnsi="仿宋_GB2312" w:eastAsia="仿宋_GB2312" w:cs="仿宋_GB2312"/>
                <w:szCs w:val="21"/>
              </w:rPr>
            </w:pPr>
            <w:r>
              <w:rPr>
                <w:rFonts w:hint="eastAsia" w:ascii="仿宋_GB2312" w:hAnsi="仿宋_GB2312" w:eastAsia="仿宋_GB2312" w:cs="仿宋_GB2312"/>
                <w:szCs w:val="21"/>
              </w:rPr>
              <w:t>逾期未改正，对实施违法行为的个人处超过二万元、三万元以下罚款，对实施该行为的单位处超过十二万五千元、二十万元以下罚款</w:t>
            </w:r>
          </w:p>
        </w:tc>
      </w:tr>
    </w:tbl>
    <w:p>
      <w:pPr>
        <w:rPr>
          <w:b/>
          <w:sz w:val="32"/>
          <w:szCs w:val="24"/>
          <w:lang w:val="en"/>
        </w:rPr>
      </w:pPr>
      <w:r>
        <w:rPr>
          <w:szCs w:val="24"/>
        </w:rPr>
        <w:br w:type="page"/>
      </w:r>
      <w:r>
        <w:rPr>
          <w:rFonts w:ascii="宋体" w:eastAsia="宋体 (正文)"/>
          <w:sz w:val="32"/>
          <w:szCs w:val="24"/>
          <w:lang w:val="en"/>
        </w:rPr>
        <w:t>《深圳经济特区物业管理条例》</w:t>
      </w:r>
    </w:p>
    <w:tbl>
      <w:tblPr>
        <w:tblStyle w:val="1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67"/>
        <w:gridCol w:w="1266"/>
        <w:gridCol w:w="3969"/>
        <w:gridCol w:w="1650"/>
        <w:gridCol w:w="1177"/>
        <w:gridCol w:w="1085"/>
        <w:gridCol w:w="1428"/>
        <w:gridCol w:w="138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67" w:type="dxa"/>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1266" w:type="dxa"/>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3969" w:type="dxa"/>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1650" w:type="dxa"/>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1177" w:type="dxa"/>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1085" w:type="dxa"/>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1428" w:type="dxa"/>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1387" w:type="dxa"/>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1067" w:type="dxa"/>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 w:val="21"/>
                <w:szCs w:val="21"/>
                <w:lang w:val="en"/>
              </w:rPr>
            </w:pPr>
            <w:r>
              <w:rPr>
                <w:rFonts w:hint="eastAsia" w:ascii="仿宋_GB2312" w:hAnsi="仿宋_GB2312" w:eastAsia="仿宋_GB2312" w:cs="仿宋_GB2312"/>
                <w:sz w:val="21"/>
                <w:szCs w:val="21"/>
                <w:lang w:val="en"/>
              </w:rPr>
              <w:t>203.35</w:t>
            </w:r>
          </w:p>
        </w:tc>
        <w:tc>
          <w:tcPr>
            <w:tcW w:w="1266" w:type="dxa"/>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相关专营单位拒绝接收移交的供气设施设备或者不履行维修养护责任，逾期不改正的</w:t>
            </w:r>
          </w:p>
        </w:tc>
        <w:tc>
          <w:tcPr>
            <w:tcW w:w="3969" w:type="dxa"/>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第十三条：“新建住宅建设项目竣工验收备案之日起三个月内，建设单位应当将附着于物业管理区域共有物业符合国家标准和技术规范的供水、排水、供电、供气、通讯等设施设备移交相关专营单位管理养护，相关专营单位应当接收。</w:t>
            </w:r>
          </w:p>
          <w:p>
            <w:pPr>
              <w:ind w:firstLine="360" w:firstLineChars="200"/>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现有住宅物业区域附着于共有物业的供水、供电、供气、通讯等设施设备，符合国家标准和技术规范，经业主共同决定移交的，相关专营单位应当接收，物业服务企业应当配合移交工作。”</w:t>
            </w:r>
          </w:p>
          <w:p>
            <w:pPr>
              <w:rPr>
                <w:rFonts w:hint="eastAsia" w:ascii="仿宋_GB2312" w:hAnsi="仿宋_GB2312" w:eastAsia="仿宋_GB2312" w:cs="仿宋_GB2312"/>
                <w:sz w:val="18"/>
                <w:szCs w:val="18"/>
              </w:rPr>
            </w:pPr>
          </w:p>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第六十八条第一款:“物业管理区域供水、供电、供气、通讯等相关专营单位应当向最终用户收取有关费用。相关专营单位委托物业服务企业代收代缴有关费用和进行有关设施设备日常维修养护的，应当签订委托协议，明确委托的主要事项和费用支付标准与方式。未签订委托协议的，由相关专营单位自行负责相关工作，法律、法规另有规定的除外。”</w:t>
            </w:r>
          </w:p>
        </w:tc>
        <w:tc>
          <w:tcPr>
            <w:tcW w:w="1650" w:type="dxa"/>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第一百二十条：“相关专营单位违反本条例第十三条、第六十八条第一款规定，拒绝接收移交的供水、排水、供电、供气、通讯等设施设备或者不履行维修养护责任的，由相关专营单位主管部门给予警告，并责令限期改正；逾期不改正的，处二万元以上十万元以下罚款.”</w:t>
            </w:r>
          </w:p>
        </w:tc>
        <w:tc>
          <w:tcPr>
            <w:tcW w:w="1177" w:type="dxa"/>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警告；罚款</w:t>
            </w:r>
          </w:p>
        </w:tc>
        <w:tc>
          <w:tcPr>
            <w:tcW w:w="1085" w:type="dxa"/>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 w:val="21"/>
                <w:szCs w:val="21"/>
              </w:rPr>
            </w:pPr>
            <w:r>
              <w:rPr>
                <w:rFonts w:hint="eastAsia" w:ascii="仿宋_GB2312" w:hAnsi="仿宋_GB2312" w:eastAsia="仿宋_GB2312" w:cs="仿宋_GB2312"/>
                <w:color w:val="000000"/>
                <w:kern w:val="0"/>
                <w:sz w:val="21"/>
                <w:szCs w:val="21"/>
              </w:rPr>
              <w:t>从轻</w:t>
            </w:r>
          </w:p>
        </w:tc>
        <w:tc>
          <w:tcPr>
            <w:tcW w:w="1428" w:type="dxa"/>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未造成后果或造成轻微危害后果的</w:t>
            </w:r>
          </w:p>
        </w:tc>
        <w:tc>
          <w:tcPr>
            <w:tcW w:w="1387" w:type="dxa"/>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警告，并责令限期改正；</w:t>
            </w:r>
          </w:p>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逾期未改正，处二万元以上、低于六万元罚款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1067" w:type="dxa"/>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p>
        </w:tc>
        <w:tc>
          <w:tcPr>
            <w:tcW w:w="1266" w:type="dxa"/>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p>
        </w:tc>
        <w:tc>
          <w:tcPr>
            <w:tcW w:w="3969" w:type="dxa"/>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p>
        </w:tc>
        <w:tc>
          <w:tcPr>
            <w:tcW w:w="1650" w:type="dxa"/>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21"/>
                <w:szCs w:val="21"/>
              </w:rPr>
            </w:pPr>
          </w:p>
        </w:tc>
        <w:tc>
          <w:tcPr>
            <w:tcW w:w="1177" w:type="dxa"/>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21"/>
                <w:szCs w:val="21"/>
              </w:rPr>
            </w:pPr>
          </w:p>
        </w:tc>
        <w:tc>
          <w:tcPr>
            <w:tcW w:w="1085" w:type="dxa"/>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 w:val="21"/>
                <w:szCs w:val="21"/>
              </w:rPr>
            </w:pPr>
            <w:r>
              <w:rPr>
                <w:rFonts w:hint="eastAsia" w:ascii="仿宋_GB2312" w:hAnsi="仿宋_GB2312" w:eastAsia="仿宋_GB2312" w:cs="仿宋_GB2312"/>
                <w:color w:val="000000"/>
                <w:kern w:val="0"/>
                <w:sz w:val="21"/>
                <w:szCs w:val="21"/>
              </w:rPr>
              <w:t>一般</w:t>
            </w:r>
          </w:p>
        </w:tc>
        <w:tc>
          <w:tcPr>
            <w:tcW w:w="1428" w:type="dxa"/>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造成一般危害后果的</w:t>
            </w:r>
          </w:p>
        </w:tc>
        <w:tc>
          <w:tcPr>
            <w:tcW w:w="1387" w:type="dxa"/>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警告，并责令限期改正；</w:t>
            </w:r>
          </w:p>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逾期未改正，处六万元罚款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1067" w:type="dxa"/>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p>
        </w:tc>
        <w:tc>
          <w:tcPr>
            <w:tcW w:w="1266" w:type="dxa"/>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p>
        </w:tc>
        <w:tc>
          <w:tcPr>
            <w:tcW w:w="3969" w:type="dxa"/>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p>
        </w:tc>
        <w:tc>
          <w:tcPr>
            <w:tcW w:w="1650" w:type="dxa"/>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21"/>
                <w:szCs w:val="21"/>
              </w:rPr>
            </w:pPr>
          </w:p>
        </w:tc>
        <w:tc>
          <w:tcPr>
            <w:tcW w:w="1177" w:type="dxa"/>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21"/>
                <w:szCs w:val="21"/>
              </w:rPr>
            </w:pPr>
          </w:p>
        </w:tc>
        <w:tc>
          <w:tcPr>
            <w:tcW w:w="1085" w:type="dxa"/>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 w:val="21"/>
                <w:szCs w:val="21"/>
              </w:rPr>
            </w:pPr>
            <w:r>
              <w:rPr>
                <w:rFonts w:hint="eastAsia" w:ascii="仿宋_GB2312" w:hAnsi="仿宋_GB2312" w:eastAsia="仿宋_GB2312" w:cs="仿宋_GB2312"/>
                <w:color w:val="000000"/>
                <w:kern w:val="0"/>
                <w:sz w:val="21"/>
                <w:szCs w:val="21"/>
              </w:rPr>
              <w:t>从重</w:t>
            </w:r>
          </w:p>
        </w:tc>
        <w:tc>
          <w:tcPr>
            <w:tcW w:w="1428" w:type="dxa"/>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造成严重危害后果的</w:t>
            </w:r>
          </w:p>
        </w:tc>
        <w:tc>
          <w:tcPr>
            <w:tcW w:w="1387" w:type="dxa"/>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警告，并责令限期改正；</w:t>
            </w:r>
          </w:p>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逾期未改正，处超过六万元、十万元以下罚款</w:t>
            </w:r>
          </w:p>
        </w:tc>
      </w:tr>
    </w:tbl>
    <w:p>
      <w:pPr>
        <w:rPr>
          <w:rFonts w:ascii="宋体"/>
          <w:b/>
          <w:sz w:val="32"/>
          <w:szCs w:val="24"/>
          <w:lang w:val="en"/>
        </w:rPr>
      </w:pPr>
      <w:r>
        <w:rPr>
          <w:rFonts w:ascii="宋体" w:eastAsia="宋体 (正文)"/>
          <w:sz w:val="32"/>
          <w:szCs w:val="24"/>
          <w:lang w:val="en"/>
        </w:rPr>
        <w:t>《深圳经济特区城市更新条例》</w:t>
      </w:r>
    </w:p>
    <w:tbl>
      <w:tblPr>
        <w:tblStyle w:val="11"/>
        <w:tblW w:w="5000" w:type="pct"/>
        <w:tblInd w:w="0" w:type="dxa"/>
        <w:tblLayout w:type="fixed"/>
        <w:tblCellMar>
          <w:top w:w="0" w:type="dxa"/>
          <w:left w:w="108" w:type="dxa"/>
          <w:bottom w:w="0" w:type="dxa"/>
          <w:right w:w="108" w:type="dxa"/>
        </w:tblCellMar>
      </w:tblPr>
      <w:tblGrid>
        <w:gridCol w:w="860"/>
        <w:gridCol w:w="1153"/>
        <w:gridCol w:w="2449"/>
        <w:gridCol w:w="1871"/>
        <w:gridCol w:w="1151"/>
        <w:gridCol w:w="1153"/>
        <w:gridCol w:w="2593"/>
        <w:gridCol w:w="2943"/>
      </w:tblGrid>
      <w:tr>
        <w:tblPrEx>
          <w:tblCellMar>
            <w:top w:w="0" w:type="dxa"/>
            <w:left w:w="108" w:type="dxa"/>
            <w:bottom w:w="0" w:type="dxa"/>
            <w:right w:w="108" w:type="dxa"/>
          </w:tblCellMar>
        </w:tblPrEx>
        <w:trPr>
          <w:trHeight w:val="567" w:hRule="atLeast"/>
        </w:trPr>
        <w:tc>
          <w:tcPr>
            <w:tcW w:w="303"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序号</w:t>
            </w:r>
          </w:p>
        </w:tc>
        <w:tc>
          <w:tcPr>
            <w:tcW w:w="40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违法行为</w:t>
            </w:r>
          </w:p>
        </w:tc>
        <w:tc>
          <w:tcPr>
            <w:tcW w:w="864"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b/>
                <w:szCs w:val="21"/>
                <w:lang w:val="en"/>
              </w:rPr>
              <w:t>违反条款</w:t>
            </w:r>
          </w:p>
        </w:tc>
        <w:tc>
          <w:tcPr>
            <w:tcW w:w="660"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处罚依据</w:t>
            </w:r>
          </w:p>
        </w:tc>
        <w:tc>
          <w:tcPr>
            <w:tcW w:w="406"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处罚种类</w:t>
            </w:r>
          </w:p>
        </w:tc>
        <w:tc>
          <w:tcPr>
            <w:tcW w:w="40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裁量阶次</w:t>
            </w:r>
          </w:p>
        </w:tc>
        <w:tc>
          <w:tcPr>
            <w:tcW w:w="915"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适用条件</w:t>
            </w:r>
          </w:p>
        </w:tc>
        <w:tc>
          <w:tcPr>
            <w:tcW w:w="1038"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具体标准</w:t>
            </w:r>
          </w:p>
        </w:tc>
      </w:tr>
      <w:tr>
        <w:tblPrEx>
          <w:tblCellMar>
            <w:top w:w="0" w:type="dxa"/>
            <w:left w:w="108" w:type="dxa"/>
            <w:bottom w:w="0" w:type="dxa"/>
            <w:right w:w="108" w:type="dxa"/>
          </w:tblCellMar>
        </w:tblPrEx>
        <w:trPr>
          <w:trHeight w:val="2268" w:hRule="atLeast"/>
        </w:trPr>
        <w:tc>
          <w:tcPr>
            <w:tcW w:w="303" w:type="pct"/>
            <w:vMerge w:val="restar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szCs w:val="21"/>
                <w:lang w:val="en"/>
              </w:rPr>
              <w:t>204.1</w:t>
            </w:r>
          </w:p>
        </w:tc>
        <w:tc>
          <w:tcPr>
            <w:tcW w:w="407"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widowControl/>
              <w:textAlignment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市场主体与未经核查确认的物业权利人签订搬迁补偿协议的行为</w:t>
            </w:r>
          </w:p>
        </w:tc>
        <w:tc>
          <w:tcPr>
            <w:tcW w:w="864"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widowControl/>
              <w:textAlignment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第三十条:“区城市更新部门负责对物业权利人更新意愿进行核实。属于本条例第二十五条第一款第三项规定情形的，区城市更新部门应当在物业权利人更新意愿核实阶段组织区规划土地监察机构、辖区街道办事处和原农村集体经济组织继受单位对历史违建物业权利人进行核实，由经核实的物业权利人与市场主体签订搬迁补偿协议。”</w:t>
            </w:r>
          </w:p>
        </w:tc>
        <w:tc>
          <w:tcPr>
            <w:tcW w:w="660"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widowControl/>
              <w:textAlignment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第六十五条：“违反本条例第三十条规定，市场主体与未经核查确认的物业权利人签订搬迁补偿协议的，由区城市更新部门给予警告，并责令限期改正；逾期不改正的，处五十万元以上一百万元以下罚款。”</w:t>
            </w:r>
          </w:p>
        </w:tc>
        <w:tc>
          <w:tcPr>
            <w:tcW w:w="406"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widowControl/>
              <w:textAlignment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警告；罚款</w:t>
            </w:r>
          </w:p>
        </w:tc>
        <w:tc>
          <w:tcPr>
            <w:tcW w:w="40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rPr>
              <w:t>从轻</w:t>
            </w:r>
          </w:p>
        </w:tc>
        <w:tc>
          <w:tcPr>
            <w:tcW w:w="915" w:type="pct"/>
            <w:tcBorders>
              <w:top w:val="single" w:color="000000" w:sz="4" w:space="0"/>
              <w:left w:val="single" w:color="000000" w:sz="4" w:space="0"/>
              <w:bottom w:val="single" w:color="000000" w:sz="4" w:space="0"/>
              <w:right w:val="single" w:color="000000" w:sz="4" w:space="0"/>
              <w:tl2br w:val="nil"/>
              <w:tr2bl w:val="nil"/>
            </w:tcBorders>
            <w:noWrap/>
            <w:vAlign w:val="center"/>
          </w:tcPr>
          <w:p>
            <w:pPr>
              <w:widowControl/>
              <w:textAlignment w:val="center"/>
              <w:rPr>
                <w:rFonts w:hint="eastAsia" w:ascii="仿宋_GB2312" w:hAnsi="仿宋_GB2312" w:eastAsia="仿宋_GB2312" w:cs="仿宋_GB2312"/>
                <w:color w:val="000000"/>
                <w:szCs w:val="21"/>
              </w:rPr>
            </w:pPr>
            <w:r>
              <w:rPr>
                <w:rFonts w:hint="eastAsia" w:ascii="仿宋_GB2312" w:hAnsi="仿宋_GB2312" w:eastAsia="仿宋_GB2312" w:cs="仿宋_GB2312"/>
                <w:spacing w:val="8"/>
                <w:kern w:val="0"/>
                <w:szCs w:val="21"/>
              </w:rPr>
              <w:t>在同一项目中与未经核查确认的物业权利人签订搬迁补偿协议五份以下，经责令限期改正逾期未改正的</w:t>
            </w:r>
          </w:p>
        </w:tc>
        <w:tc>
          <w:tcPr>
            <w:tcW w:w="1038" w:type="pct"/>
            <w:tcBorders>
              <w:top w:val="single" w:color="000000" w:sz="4" w:space="0"/>
              <w:left w:val="single" w:color="000000" w:sz="4" w:space="0"/>
              <w:bottom w:val="single" w:color="000000" w:sz="4" w:space="0"/>
              <w:right w:val="single" w:color="000000" w:sz="4" w:space="0"/>
              <w:tl2br w:val="nil"/>
              <w:tr2bl w:val="nil"/>
            </w:tcBorders>
            <w:vAlign w:val="center"/>
          </w:tcPr>
          <w:p>
            <w:pPr>
              <w:widowControl/>
              <w:textAlignment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警告</w:t>
            </w:r>
            <w:r>
              <w:rPr>
                <w:rFonts w:hint="eastAsia" w:ascii="仿宋_GB2312" w:hAnsi="仿宋_GB2312" w:eastAsia="仿宋_GB2312" w:cs="仿宋_GB2312"/>
                <w:szCs w:val="21"/>
              </w:rPr>
              <w:t>，并责令限期改正</w:t>
            </w:r>
            <w:r>
              <w:rPr>
                <w:rFonts w:hint="eastAsia" w:ascii="仿宋_GB2312" w:hAnsi="仿宋_GB2312" w:eastAsia="仿宋_GB2312" w:cs="仿宋_GB2312"/>
                <w:color w:val="000000"/>
                <w:kern w:val="0"/>
                <w:szCs w:val="21"/>
              </w:rPr>
              <w:t>；</w:t>
            </w:r>
          </w:p>
          <w:p>
            <w:pPr>
              <w:widowControl/>
              <w:textAlignment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逾期未改正，</w:t>
            </w:r>
            <w:r>
              <w:rPr>
                <w:rFonts w:hint="eastAsia" w:ascii="仿宋_GB2312" w:hAnsi="仿宋_GB2312" w:eastAsia="仿宋_GB2312" w:cs="仿宋_GB2312"/>
                <w:color w:val="000000"/>
                <w:kern w:val="0"/>
                <w:szCs w:val="21"/>
                <w:lang w:bidi="ar"/>
              </w:rPr>
              <w:t>处五十万元以上、低于七十五万元的罚款</w:t>
            </w:r>
          </w:p>
        </w:tc>
      </w:tr>
      <w:tr>
        <w:tblPrEx>
          <w:tblCellMar>
            <w:top w:w="0" w:type="dxa"/>
            <w:left w:w="108" w:type="dxa"/>
            <w:bottom w:w="0" w:type="dxa"/>
            <w:right w:w="108" w:type="dxa"/>
          </w:tblCellMar>
        </w:tblPrEx>
        <w:trPr>
          <w:trHeight w:val="2268" w:hRule="atLeast"/>
        </w:trPr>
        <w:tc>
          <w:tcPr>
            <w:tcW w:w="303" w:type="pct"/>
            <w:vMerge w:val="continue"/>
            <w:tcBorders>
              <w:top w:val="single" w:color="000000" w:sz="4" w:space="0"/>
              <w:left w:val="single" w:color="000000" w:sz="4" w:space="0"/>
              <w:bottom w:val="single" w:color="000000" w:sz="4" w:space="0"/>
              <w:right w:val="single" w:color="000000" w:sz="4" w:space="0"/>
              <w:tl2br w:val="nil"/>
              <w:tr2bl w:val="nil"/>
            </w:tcBorders>
            <w:noWrap/>
            <w:vAlign w:val="center"/>
          </w:tcPr>
          <w:p>
            <w:pPr>
              <w:rPr>
                <w:rFonts w:hint="eastAsia" w:ascii="仿宋_GB2312" w:hAnsi="仿宋_GB2312" w:eastAsia="仿宋_GB2312" w:cs="仿宋_GB2312"/>
                <w:color w:val="000000"/>
                <w:szCs w:val="21"/>
              </w:rPr>
            </w:pPr>
          </w:p>
        </w:tc>
        <w:tc>
          <w:tcPr>
            <w:tcW w:w="407"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p>
        </w:tc>
        <w:tc>
          <w:tcPr>
            <w:tcW w:w="864"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p>
        </w:tc>
        <w:tc>
          <w:tcPr>
            <w:tcW w:w="660"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p>
        </w:tc>
        <w:tc>
          <w:tcPr>
            <w:tcW w:w="406"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p>
        </w:tc>
        <w:tc>
          <w:tcPr>
            <w:tcW w:w="40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一般</w:t>
            </w:r>
          </w:p>
        </w:tc>
        <w:tc>
          <w:tcPr>
            <w:tcW w:w="915" w:type="pct"/>
            <w:tcBorders>
              <w:top w:val="single" w:color="000000" w:sz="4" w:space="0"/>
              <w:left w:val="single" w:color="000000" w:sz="4" w:space="0"/>
              <w:bottom w:val="single" w:color="000000" w:sz="4" w:space="0"/>
              <w:right w:val="single" w:color="000000" w:sz="4" w:space="0"/>
              <w:tl2br w:val="nil"/>
              <w:tr2bl w:val="nil"/>
            </w:tcBorders>
            <w:noWrap/>
            <w:vAlign w:val="center"/>
          </w:tcPr>
          <w:p>
            <w:pPr>
              <w:widowControl/>
              <w:textAlignment w:val="center"/>
              <w:rPr>
                <w:rFonts w:hint="eastAsia" w:ascii="仿宋_GB2312" w:hAnsi="仿宋_GB2312" w:eastAsia="仿宋_GB2312" w:cs="仿宋_GB2312"/>
                <w:color w:val="000000"/>
                <w:szCs w:val="21"/>
              </w:rPr>
            </w:pPr>
            <w:r>
              <w:rPr>
                <w:rFonts w:hint="eastAsia" w:ascii="仿宋_GB2312" w:hAnsi="仿宋_GB2312" w:eastAsia="仿宋_GB2312" w:cs="仿宋_GB2312"/>
                <w:spacing w:val="8"/>
                <w:kern w:val="0"/>
                <w:szCs w:val="21"/>
              </w:rPr>
              <w:t>在同一项目中与未经核查确认的物业权利人签订搬迁补偿协议超过五份、十份以下，经责令限期改正逾期未改正的</w:t>
            </w:r>
          </w:p>
        </w:tc>
        <w:tc>
          <w:tcPr>
            <w:tcW w:w="1038" w:type="pct"/>
            <w:tcBorders>
              <w:top w:val="single" w:color="000000" w:sz="4" w:space="0"/>
              <w:left w:val="single" w:color="000000" w:sz="4" w:space="0"/>
              <w:bottom w:val="single" w:color="000000" w:sz="4" w:space="0"/>
              <w:right w:val="single" w:color="000000" w:sz="4" w:space="0"/>
              <w:tl2br w:val="nil"/>
              <w:tr2bl w:val="nil"/>
            </w:tcBorders>
            <w:vAlign w:val="center"/>
          </w:tcPr>
          <w:p>
            <w:pPr>
              <w:widowControl/>
              <w:textAlignment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警告</w:t>
            </w:r>
            <w:r>
              <w:rPr>
                <w:rFonts w:hint="eastAsia" w:ascii="仿宋_GB2312" w:hAnsi="仿宋_GB2312" w:eastAsia="仿宋_GB2312" w:cs="仿宋_GB2312"/>
                <w:szCs w:val="21"/>
              </w:rPr>
              <w:t>，并责令限期改正</w:t>
            </w:r>
            <w:r>
              <w:rPr>
                <w:rFonts w:hint="eastAsia" w:ascii="仿宋_GB2312" w:hAnsi="仿宋_GB2312" w:eastAsia="仿宋_GB2312" w:cs="仿宋_GB2312"/>
                <w:color w:val="000000"/>
                <w:kern w:val="0"/>
                <w:szCs w:val="21"/>
              </w:rPr>
              <w:t>；</w:t>
            </w:r>
          </w:p>
          <w:p>
            <w:pPr>
              <w:widowControl/>
              <w:textAlignment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逾期未改正，处七十五万元的罚款</w:t>
            </w:r>
          </w:p>
        </w:tc>
      </w:tr>
      <w:tr>
        <w:tblPrEx>
          <w:tblCellMar>
            <w:top w:w="0" w:type="dxa"/>
            <w:left w:w="108" w:type="dxa"/>
            <w:bottom w:w="0" w:type="dxa"/>
            <w:right w:w="108" w:type="dxa"/>
          </w:tblCellMar>
        </w:tblPrEx>
        <w:trPr>
          <w:trHeight w:val="2268" w:hRule="atLeast"/>
        </w:trPr>
        <w:tc>
          <w:tcPr>
            <w:tcW w:w="303" w:type="pct"/>
            <w:vMerge w:val="continue"/>
            <w:tcBorders>
              <w:top w:val="single" w:color="000000" w:sz="4" w:space="0"/>
              <w:left w:val="single" w:color="000000" w:sz="4" w:space="0"/>
              <w:bottom w:val="single" w:color="000000" w:sz="4" w:space="0"/>
              <w:right w:val="single" w:color="000000" w:sz="4" w:space="0"/>
              <w:tl2br w:val="nil"/>
              <w:tr2bl w:val="nil"/>
            </w:tcBorders>
            <w:noWrap/>
            <w:vAlign w:val="center"/>
          </w:tcPr>
          <w:p>
            <w:pPr>
              <w:rPr>
                <w:rFonts w:hint="eastAsia" w:ascii="仿宋_GB2312" w:hAnsi="仿宋_GB2312" w:eastAsia="仿宋_GB2312" w:cs="仿宋_GB2312"/>
                <w:color w:val="000000"/>
                <w:szCs w:val="21"/>
              </w:rPr>
            </w:pPr>
          </w:p>
        </w:tc>
        <w:tc>
          <w:tcPr>
            <w:tcW w:w="407"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p>
        </w:tc>
        <w:tc>
          <w:tcPr>
            <w:tcW w:w="864"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p>
        </w:tc>
        <w:tc>
          <w:tcPr>
            <w:tcW w:w="660"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p>
        </w:tc>
        <w:tc>
          <w:tcPr>
            <w:tcW w:w="406"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p>
        </w:tc>
        <w:tc>
          <w:tcPr>
            <w:tcW w:w="40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rPr>
              <w:t>从重</w:t>
            </w:r>
          </w:p>
        </w:tc>
        <w:tc>
          <w:tcPr>
            <w:tcW w:w="915" w:type="pct"/>
            <w:tcBorders>
              <w:top w:val="single" w:color="000000" w:sz="4" w:space="0"/>
              <w:left w:val="single" w:color="000000" w:sz="4" w:space="0"/>
              <w:bottom w:val="single" w:color="000000" w:sz="4" w:space="0"/>
              <w:right w:val="single" w:color="000000" w:sz="4" w:space="0"/>
              <w:tl2br w:val="nil"/>
              <w:tr2bl w:val="nil"/>
            </w:tcBorders>
            <w:noWrap/>
            <w:vAlign w:val="center"/>
          </w:tcPr>
          <w:p>
            <w:pPr>
              <w:widowControl/>
              <w:textAlignment w:val="center"/>
              <w:rPr>
                <w:rFonts w:hint="eastAsia" w:ascii="仿宋_GB2312" w:hAnsi="仿宋_GB2312" w:eastAsia="仿宋_GB2312" w:cs="仿宋_GB2312"/>
                <w:color w:val="000000"/>
                <w:szCs w:val="21"/>
              </w:rPr>
            </w:pPr>
            <w:r>
              <w:rPr>
                <w:rFonts w:hint="eastAsia" w:ascii="仿宋_GB2312" w:hAnsi="仿宋_GB2312" w:eastAsia="仿宋_GB2312" w:cs="仿宋_GB2312"/>
                <w:spacing w:val="8"/>
                <w:kern w:val="0"/>
                <w:szCs w:val="21"/>
              </w:rPr>
              <w:t>在同一项目中与未经核查确认的物业权利人签订搬迁补偿协议超过十份，经责令限期改正逾期未改正的</w:t>
            </w:r>
          </w:p>
        </w:tc>
        <w:tc>
          <w:tcPr>
            <w:tcW w:w="1038" w:type="pct"/>
            <w:tcBorders>
              <w:top w:val="single" w:color="000000" w:sz="4" w:space="0"/>
              <w:left w:val="single" w:color="000000" w:sz="4" w:space="0"/>
              <w:bottom w:val="single" w:color="000000" w:sz="4" w:space="0"/>
              <w:right w:val="single" w:color="000000" w:sz="4" w:space="0"/>
              <w:tl2br w:val="nil"/>
              <w:tr2bl w:val="nil"/>
            </w:tcBorders>
            <w:vAlign w:val="center"/>
          </w:tcPr>
          <w:p>
            <w:pPr>
              <w:widowControl/>
              <w:textAlignment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警告</w:t>
            </w:r>
            <w:r>
              <w:rPr>
                <w:rFonts w:hint="eastAsia" w:ascii="仿宋_GB2312" w:hAnsi="仿宋_GB2312" w:eastAsia="仿宋_GB2312" w:cs="仿宋_GB2312"/>
                <w:szCs w:val="21"/>
              </w:rPr>
              <w:t>，并责令限期改正</w:t>
            </w:r>
            <w:r>
              <w:rPr>
                <w:rFonts w:hint="eastAsia" w:ascii="仿宋_GB2312" w:hAnsi="仿宋_GB2312" w:eastAsia="仿宋_GB2312" w:cs="仿宋_GB2312"/>
                <w:color w:val="000000"/>
                <w:kern w:val="0"/>
                <w:szCs w:val="21"/>
              </w:rPr>
              <w:t>；</w:t>
            </w:r>
          </w:p>
          <w:p>
            <w:pPr>
              <w:widowControl/>
              <w:textAlignment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逾期未改正，</w:t>
            </w:r>
            <w:r>
              <w:rPr>
                <w:rFonts w:hint="eastAsia" w:ascii="仿宋_GB2312" w:hAnsi="仿宋_GB2312" w:eastAsia="仿宋_GB2312" w:cs="仿宋_GB2312"/>
                <w:color w:val="000000"/>
                <w:kern w:val="0"/>
                <w:szCs w:val="21"/>
                <w:lang w:bidi="ar"/>
              </w:rPr>
              <w:t>处超过七十五万元、一百万元以下的罚款</w:t>
            </w:r>
          </w:p>
        </w:tc>
      </w:tr>
    </w:tbl>
    <w:p>
      <w:pPr>
        <w:rPr>
          <w:rFonts w:ascii="宋体"/>
          <w:b/>
          <w:sz w:val="32"/>
          <w:szCs w:val="24"/>
          <w:lang w:val="en"/>
        </w:rPr>
      </w:pPr>
      <w:r>
        <w:rPr>
          <w:rFonts w:ascii="宋体" w:eastAsia="宋体 (正文)"/>
          <w:sz w:val="32"/>
          <w:szCs w:val="24"/>
          <w:lang w:val="en"/>
        </w:rPr>
        <w:t>《深圳经济特区城市更新条例》</w:t>
      </w:r>
    </w:p>
    <w:tbl>
      <w:tblPr>
        <w:tblStyle w:val="11"/>
        <w:tblW w:w="5000" w:type="pct"/>
        <w:tblInd w:w="0" w:type="dxa"/>
        <w:tblLayout w:type="fixed"/>
        <w:tblCellMar>
          <w:top w:w="0" w:type="dxa"/>
          <w:left w:w="108" w:type="dxa"/>
          <w:bottom w:w="0" w:type="dxa"/>
          <w:right w:w="108" w:type="dxa"/>
        </w:tblCellMar>
      </w:tblPr>
      <w:tblGrid>
        <w:gridCol w:w="755"/>
        <w:gridCol w:w="1077"/>
        <w:gridCol w:w="3782"/>
        <w:gridCol w:w="2015"/>
        <w:gridCol w:w="1153"/>
        <w:gridCol w:w="1153"/>
        <w:gridCol w:w="1658"/>
        <w:gridCol w:w="2580"/>
      </w:tblGrid>
      <w:tr>
        <w:tblPrEx>
          <w:tblCellMar>
            <w:top w:w="0" w:type="dxa"/>
            <w:left w:w="108" w:type="dxa"/>
            <w:bottom w:w="0" w:type="dxa"/>
            <w:right w:w="108" w:type="dxa"/>
          </w:tblCellMar>
        </w:tblPrEx>
        <w:trPr>
          <w:trHeight w:val="567" w:hRule="atLeast"/>
        </w:trPr>
        <w:tc>
          <w:tcPr>
            <w:tcW w:w="266" w:type="pct"/>
            <w:tcBorders>
              <w:top w:val="single" w:color="000000" w:sz="4" w:space="0"/>
              <w:left w:val="single" w:color="000000" w:sz="4" w:space="0"/>
              <w:bottom w:val="single" w:color="auto"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序号</w:t>
            </w:r>
          </w:p>
        </w:tc>
        <w:tc>
          <w:tcPr>
            <w:tcW w:w="380" w:type="pct"/>
            <w:tcBorders>
              <w:top w:val="single" w:color="000000" w:sz="4" w:space="0"/>
              <w:left w:val="single" w:color="000000" w:sz="4" w:space="0"/>
              <w:bottom w:val="single" w:color="auto"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违法行为</w:t>
            </w:r>
          </w:p>
        </w:tc>
        <w:tc>
          <w:tcPr>
            <w:tcW w:w="1334" w:type="pct"/>
            <w:tcBorders>
              <w:top w:val="single" w:color="000000" w:sz="4" w:space="0"/>
              <w:left w:val="single" w:color="000000" w:sz="4" w:space="0"/>
              <w:bottom w:val="single" w:color="auto"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b/>
                <w:szCs w:val="21"/>
                <w:lang w:val="en"/>
              </w:rPr>
              <w:t>违反条款</w:t>
            </w:r>
          </w:p>
        </w:tc>
        <w:tc>
          <w:tcPr>
            <w:tcW w:w="711" w:type="pct"/>
            <w:tcBorders>
              <w:top w:val="single" w:color="000000" w:sz="4" w:space="0"/>
              <w:left w:val="single" w:color="000000" w:sz="4" w:space="0"/>
              <w:bottom w:val="single" w:color="auto"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处罚依据</w:t>
            </w:r>
          </w:p>
        </w:tc>
        <w:tc>
          <w:tcPr>
            <w:tcW w:w="407" w:type="pct"/>
            <w:tcBorders>
              <w:top w:val="single" w:color="000000" w:sz="4" w:space="0"/>
              <w:left w:val="single" w:color="000000" w:sz="4" w:space="0"/>
              <w:bottom w:val="single" w:color="auto"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处罚种类</w:t>
            </w:r>
          </w:p>
        </w:tc>
        <w:tc>
          <w:tcPr>
            <w:tcW w:w="407" w:type="pct"/>
            <w:tcBorders>
              <w:top w:val="single" w:color="000000" w:sz="4" w:space="0"/>
              <w:left w:val="single" w:color="000000" w:sz="4" w:space="0"/>
              <w:bottom w:val="single" w:color="auto"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裁量阶次</w:t>
            </w:r>
          </w:p>
        </w:tc>
        <w:tc>
          <w:tcPr>
            <w:tcW w:w="585" w:type="pct"/>
            <w:tcBorders>
              <w:top w:val="single" w:color="000000" w:sz="4" w:space="0"/>
              <w:left w:val="single" w:color="000000" w:sz="4" w:space="0"/>
              <w:bottom w:val="single" w:color="auto"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适用条件</w:t>
            </w:r>
          </w:p>
        </w:tc>
        <w:tc>
          <w:tcPr>
            <w:tcW w:w="911" w:type="pct"/>
            <w:tcBorders>
              <w:top w:val="single" w:color="000000" w:sz="4" w:space="0"/>
              <w:left w:val="single" w:color="000000" w:sz="4" w:space="0"/>
              <w:bottom w:val="single" w:color="auto" w:sz="4" w:space="0"/>
              <w:right w:val="single" w:color="000000" w:sz="4" w:space="0"/>
              <w:tl2br w:val="nil"/>
              <w:tr2bl w:val="nil"/>
            </w:tcBorders>
            <w:noWrap/>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CellMar>
            <w:top w:w="0" w:type="dxa"/>
            <w:left w:w="108" w:type="dxa"/>
            <w:bottom w:w="0" w:type="dxa"/>
            <w:right w:w="108" w:type="dxa"/>
          </w:tblCellMar>
        </w:tblPrEx>
        <w:trPr>
          <w:trHeight w:val="1701" w:hRule="atLeast"/>
        </w:trPr>
        <w:tc>
          <w:tcPr>
            <w:tcW w:w="266" w:type="pct"/>
            <w:vMerge w:val="restart"/>
            <w:tcBorders>
              <w:top w:val="single" w:color="auto" w:sz="4" w:space="0"/>
              <w:left w:val="single" w:color="auto" w:sz="4" w:space="0"/>
              <w:bottom w:val="nil"/>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szCs w:val="21"/>
                <w:lang w:val="en"/>
              </w:rPr>
              <w:t>204.2</w:t>
            </w:r>
          </w:p>
        </w:tc>
        <w:tc>
          <w:tcPr>
            <w:tcW w:w="380" w:type="pct"/>
            <w:vMerge w:val="restart"/>
            <w:tcBorders>
              <w:top w:val="single" w:color="auto" w:sz="4" w:space="0"/>
              <w:left w:val="single" w:color="000000" w:sz="4" w:space="0"/>
              <w:bottom w:val="nil"/>
              <w:right w:val="single" w:color="000000" w:sz="4" w:space="0"/>
              <w:tl2br w:val="nil"/>
              <w:tr2bl w:val="nil"/>
            </w:tcBorders>
            <w:vAlign w:val="center"/>
          </w:tcPr>
          <w:p>
            <w:pPr>
              <w:widowControl/>
              <w:textAlignment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未经确定为城市更新单元计划申报主体，擅自在旧住宅区开展现状调研、意愿征集等城市更新单元计划申报前期工作的行为</w:t>
            </w:r>
          </w:p>
        </w:tc>
        <w:tc>
          <w:tcPr>
            <w:tcW w:w="1334" w:type="pct"/>
            <w:vMerge w:val="restart"/>
            <w:tcBorders>
              <w:top w:val="single" w:color="auto" w:sz="4" w:space="0"/>
              <w:left w:val="single" w:color="000000" w:sz="4" w:space="0"/>
              <w:bottom w:val="nil"/>
              <w:right w:val="single" w:color="000000" w:sz="4" w:space="0"/>
              <w:tl2br w:val="nil"/>
              <w:tr2bl w:val="nil"/>
            </w:tcBorders>
            <w:vAlign w:val="center"/>
          </w:tcPr>
          <w:p>
            <w:pPr>
              <w:widowControl/>
              <w:textAlignment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第十七条第一款：“城市更新单元计划申报主体按照下列规定确定：</w:t>
            </w:r>
          </w:p>
          <w:p>
            <w:pPr>
              <w:widowControl/>
              <w:numPr>
                <w:ilvl w:val="0"/>
                <w:numId w:val="9"/>
              </w:numPr>
              <w:textAlignment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城市更新单元涉及单一物业权利人的，由物业权利人或者其委托的单一市场主体申报；</w:t>
            </w:r>
          </w:p>
          <w:p>
            <w:pPr>
              <w:widowControl/>
              <w:numPr>
                <w:ilvl w:val="0"/>
                <w:numId w:val="9"/>
              </w:numPr>
              <w:textAlignment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城市更新单元涉及多个物业权利人的，由其共同委托的单一物业权利人或者单一市场主体申报；</w:t>
            </w:r>
          </w:p>
          <w:p>
            <w:pPr>
              <w:widowControl/>
              <w:numPr>
                <w:ilvl w:val="0"/>
                <w:numId w:val="9"/>
              </w:numPr>
              <w:textAlignment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城市更新单元用地属于城中村、旧屋村或者原农村集体经济组织和原村民在城中村、旧屋村范围外形成的建成区域的，由其所在原农村集体经济组织继受单位或者其委托的单一市场主体申报；</w:t>
            </w:r>
          </w:p>
          <w:p>
            <w:pPr>
              <w:widowControl/>
              <w:numPr>
                <w:ilvl w:val="0"/>
                <w:numId w:val="9"/>
              </w:numPr>
              <w:textAlignment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城市更新单元由市、区人民政府组织实施的，由市、区人民政府相关部门申报；</w:t>
            </w:r>
          </w:p>
          <w:p>
            <w:pPr>
              <w:widowControl/>
              <w:textAlignment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（五）旧住宅区更新单元计划由辖区街道办事处负责申报。”</w:t>
            </w:r>
          </w:p>
        </w:tc>
        <w:tc>
          <w:tcPr>
            <w:tcW w:w="711" w:type="pct"/>
            <w:vMerge w:val="restart"/>
            <w:tcBorders>
              <w:top w:val="single" w:color="auto" w:sz="4" w:space="0"/>
              <w:left w:val="single" w:color="000000" w:sz="4" w:space="0"/>
              <w:bottom w:val="nil"/>
              <w:right w:val="single" w:color="000000" w:sz="4" w:space="0"/>
              <w:tl2br w:val="nil"/>
              <w:tr2bl w:val="nil"/>
            </w:tcBorders>
            <w:vAlign w:val="center"/>
          </w:tcPr>
          <w:p>
            <w:pPr>
              <w:widowControl/>
              <w:textAlignment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第六十六条：“未经本条例第十七条第一款规定确定为城市更新单元计划申报主体，擅自在旧住宅区开展现状调研、意愿征集等城市更新单元计划申报前期工作的，由区城市更新部门责令限期改正；逾期不改正的，处一百万元以上五百万元以下罚款；构成犯罪的，依法追究刑事责任。”</w:t>
            </w:r>
          </w:p>
        </w:tc>
        <w:tc>
          <w:tcPr>
            <w:tcW w:w="407" w:type="pct"/>
            <w:vMerge w:val="restart"/>
            <w:tcBorders>
              <w:top w:val="single" w:color="auto" w:sz="4" w:space="0"/>
              <w:left w:val="single" w:color="000000" w:sz="4" w:space="0"/>
              <w:bottom w:val="nil"/>
              <w:right w:val="single" w:color="000000" w:sz="4" w:space="0"/>
              <w:tl2br w:val="nil"/>
              <w:tr2bl w:val="nil"/>
            </w:tcBorders>
            <w:vAlign w:val="center"/>
          </w:tcPr>
          <w:p>
            <w:pPr>
              <w:widowControl/>
              <w:jc w:val="center"/>
              <w:textAlignment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罚款</w:t>
            </w:r>
          </w:p>
        </w:tc>
        <w:tc>
          <w:tcPr>
            <w:tcW w:w="407" w:type="pct"/>
            <w:tcBorders>
              <w:top w:val="single" w:color="auto" w:sz="4" w:space="0"/>
              <w:left w:val="single" w:color="000000" w:sz="4" w:space="0"/>
              <w:bottom w:val="nil"/>
              <w:right w:val="single" w:color="000000" w:sz="4" w:space="0"/>
              <w:tl2br w:val="nil"/>
              <w:tr2bl w:val="nil"/>
            </w:tcBorders>
            <w:noWrap/>
            <w:vAlign w:val="center"/>
          </w:tcPr>
          <w:p>
            <w:pPr>
              <w:jc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从轻</w:t>
            </w:r>
          </w:p>
        </w:tc>
        <w:tc>
          <w:tcPr>
            <w:tcW w:w="585" w:type="pct"/>
            <w:tcBorders>
              <w:top w:val="single" w:color="auto" w:sz="4" w:space="0"/>
              <w:left w:val="single" w:color="000000" w:sz="4" w:space="0"/>
              <w:bottom w:val="nil"/>
              <w:right w:val="single" w:color="000000" w:sz="4" w:space="0"/>
              <w:tl2br w:val="nil"/>
              <w:tr2bl w:val="nil"/>
            </w:tcBorders>
            <w:noWrap/>
            <w:vAlign w:val="center"/>
          </w:tcPr>
          <w:p>
            <w:pPr>
              <w:widowControl/>
              <w:textAlignment w:val="center"/>
              <w:rPr>
                <w:rFonts w:hint="eastAsia" w:ascii="仿宋_GB2312" w:hAnsi="仿宋_GB2312" w:eastAsia="仿宋_GB2312" w:cs="仿宋_GB2312"/>
                <w:spacing w:val="8"/>
                <w:kern w:val="0"/>
                <w:szCs w:val="21"/>
              </w:rPr>
            </w:pPr>
            <w:r>
              <w:rPr>
                <w:rFonts w:hint="eastAsia" w:ascii="仿宋_GB2312" w:hAnsi="仿宋_GB2312" w:eastAsia="仿宋_GB2312" w:cs="仿宋_GB2312"/>
                <w:spacing w:val="8"/>
                <w:kern w:val="0"/>
                <w:szCs w:val="21"/>
              </w:rPr>
              <w:t>首次违法的</w:t>
            </w:r>
          </w:p>
        </w:tc>
        <w:tc>
          <w:tcPr>
            <w:tcW w:w="911" w:type="pct"/>
            <w:tcBorders>
              <w:top w:val="single" w:color="auto" w:sz="4" w:space="0"/>
              <w:left w:val="single" w:color="000000" w:sz="4" w:space="0"/>
              <w:bottom w:val="single" w:color="000000" w:sz="4" w:space="0"/>
              <w:right w:val="single" w:color="auto" w:sz="4" w:space="0"/>
              <w:tl2br w:val="nil"/>
              <w:tr2bl w:val="nil"/>
            </w:tcBorders>
            <w:vAlign w:val="center"/>
          </w:tcPr>
          <w:p>
            <w:pPr>
              <w:widowControl/>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责令限期改正，逾期未改正的，处一百万元以上、低于三百万元的罚款</w:t>
            </w:r>
          </w:p>
        </w:tc>
      </w:tr>
      <w:tr>
        <w:tblPrEx>
          <w:tblCellMar>
            <w:top w:w="0" w:type="dxa"/>
            <w:left w:w="108" w:type="dxa"/>
            <w:bottom w:w="0" w:type="dxa"/>
            <w:right w:w="108" w:type="dxa"/>
          </w:tblCellMar>
        </w:tblPrEx>
        <w:trPr>
          <w:trHeight w:val="1701" w:hRule="atLeast"/>
        </w:trPr>
        <w:tc>
          <w:tcPr>
            <w:tcW w:w="266" w:type="pct"/>
            <w:vMerge w:val="continue"/>
            <w:tcBorders>
              <w:top w:val="nil"/>
              <w:left w:val="single" w:color="auto" w:sz="4" w:space="0"/>
              <w:bottom w:val="nil"/>
              <w:right w:val="single" w:color="000000" w:sz="4" w:space="0"/>
              <w:tl2br w:val="nil"/>
              <w:tr2bl w:val="nil"/>
            </w:tcBorders>
            <w:noWrap/>
            <w:vAlign w:val="center"/>
          </w:tcPr>
          <w:p>
            <w:pPr>
              <w:rPr>
                <w:rFonts w:hint="eastAsia" w:ascii="仿宋_GB2312" w:hAnsi="仿宋_GB2312" w:eastAsia="仿宋_GB2312" w:cs="仿宋_GB2312"/>
                <w:color w:val="000000"/>
                <w:szCs w:val="21"/>
              </w:rPr>
            </w:pPr>
          </w:p>
        </w:tc>
        <w:tc>
          <w:tcPr>
            <w:tcW w:w="380" w:type="pct"/>
            <w:vMerge w:val="continue"/>
            <w:tcBorders>
              <w:top w:val="nil"/>
              <w:left w:val="single" w:color="000000" w:sz="4" w:space="0"/>
              <w:bottom w:val="nil"/>
              <w:right w:val="single" w:color="000000" w:sz="4" w:space="0"/>
              <w:tl2br w:val="nil"/>
              <w:tr2bl w:val="nil"/>
            </w:tcBorders>
            <w:vAlign w:val="center"/>
          </w:tcPr>
          <w:p>
            <w:pPr>
              <w:widowControl/>
              <w:textAlignment w:val="center"/>
              <w:rPr>
                <w:rFonts w:hint="eastAsia" w:ascii="仿宋_GB2312" w:hAnsi="仿宋_GB2312" w:eastAsia="仿宋_GB2312" w:cs="仿宋_GB2312"/>
                <w:color w:val="000000"/>
                <w:kern w:val="0"/>
                <w:szCs w:val="21"/>
              </w:rPr>
            </w:pPr>
          </w:p>
        </w:tc>
        <w:tc>
          <w:tcPr>
            <w:tcW w:w="1334" w:type="pct"/>
            <w:vMerge w:val="continue"/>
            <w:tcBorders>
              <w:top w:val="nil"/>
              <w:left w:val="single" w:color="000000" w:sz="4" w:space="0"/>
              <w:bottom w:val="nil"/>
              <w:right w:val="single" w:color="000000" w:sz="4" w:space="0"/>
              <w:tl2br w:val="nil"/>
              <w:tr2bl w:val="nil"/>
            </w:tcBorders>
            <w:vAlign w:val="center"/>
          </w:tcPr>
          <w:p>
            <w:pPr>
              <w:widowControl/>
              <w:textAlignment w:val="center"/>
              <w:rPr>
                <w:rFonts w:hint="eastAsia" w:ascii="仿宋_GB2312" w:hAnsi="仿宋_GB2312" w:eastAsia="仿宋_GB2312" w:cs="仿宋_GB2312"/>
                <w:color w:val="000000"/>
                <w:kern w:val="0"/>
                <w:szCs w:val="21"/>
              </w:rPr>
            </w:pPr>
          </w:p>
        </w:tc>
        <w:tc>
          <w:tcPr>
            <w:tcW w:w="711" w:type="pct"/>
            <w:vMerge w:val="continue"/>
            <w:tcBorders>
              <w:top w:val="nil"/>
              <w:left w:val="single" w:color="000000" w:sz="4" w:space="0"/>
              <w:bottom w:val="nil"/>
              <w:right w:val="single" w:color="000000" w:sz="4" w:space="0"/>
              <w:tl2br w:val="nil"/>
              <w:tr2bl w:val="nil"/>
            </w:tcBorders>
            <w:vAlign w:val="center"/>
          </w:tcPr>
          <w:p>
            <w:pPr>
              <w:widowControl/>
              <w:textAlignment w:val="center"/>
              <w:rPr>
                <w:rFonts w:hint="eastAsia" w:ascii="仿宋_GB2312" w:hAnsi="仿宋_GB2312" w:eastAsia="仿宋_GB2312" w:cs="仿宋_GB2312"/>
                <w:color w:val="000000"/>
                <w:kern w:val="0"/>
                <w:szCs w:val="21"/>
              </w:rPr>
            </w:pPr>
          </w:p>
        </w:tc>
        <w:tc>
          <w:tcPr>
            <w:tcW w:w="407" w:type="pct"/>
            <w:vMerge w:val="continue"/>
            <w:tcBorders>
              <w:top w:val="nil"/>
              <w:left w:val="single" w:color="000000" w:sz="4" w:space="0"/>
              <w:bottom w:val="nil"/>
              <w:right w:val="single" w:color="000000" w:sz="4" w:space="0"/>
              <w:tl2br w:val="nil"/>
              <w:tr2bl w:val="nil"/>
            </w:tcBorders>
            <w:vAlign w:val="center"/>
          </w:tcPr>
          <w:p>
            <w:pPr>
              <w:widowControl/>
              <w:textAlignment w:val="center"/>
              <w:rPr>
                <w:rFonts w:hint="eastAsia" w:ascii="仿宋_GB2312" w:hAnsi="仿宋_GB2312" w:eastAsia="仿宋_GB2312" w:cs="仿宋_GB2312"/>
                <w:color w:val="000000"/>
                <w:kern w:val="0"/>
                <w:szCs w:val="21"/>
              </w:rPr>
            </w:pPr>
          </w:p>
        </w:tc>
        <w:tc>
          <w:tcPr>
            <w:tcW w:w="407" w:type="pct"/>
            <w:tcBorders>
              <w:top w:val="single" w:color="000000" w:sz="4" w:space="0"/>
              <w:left w:val="single" w:color="000000" w:sz="4" w:space="0"/>
              <w:bottom w:val="nil"/>
              <w:right w:val="single" w:color="000000" w:sz="4" w:space="0"/>
              <w:tl2br w:val="nil"/>
              <w:tr2bl w:val="nil"/>
            </w:tcBorders>
            <w:noWrap/>
            <w:vAlign w:val="center"/>
          </w:tcPr>
          <w:p>
            <w:pPr>
              <w:jc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一般</w:t>
            </w:r>
          </w:p>
        </w:tc>
        <w:tc>
          <w:tcPr>
            <w:tcW w:w="585" w:type="pct"/>
            <w:tcBorders>
              <w:top w:val="single" w:color="000000" w:sz="4" w:space="0"/>
              <w:left w:val="single" w:color="000000" w:sz="4" w:space="0"/>
              <w:bottom w:val="nil"/>
              <w:right w:val="single" w:color="000000" w:sz="4" w:space="0"/>
              <w:tl2br w:val="nil"/>
              <w:tr2bl w:val="nil"/>
            </w:tcBorders>
            <w:noWrap/>
            <w:vAlign w:val="center"/>
          </w:tcPr>
          <w:p>
            <w:pPr>
              <w:widowControl/>
              <w:textAlignment w:val="center"/>
              <w:rPr>
                <w:rFonts w:hint="eastAsia" w:ascii="仿宋_GB2312" w:hAnsi="仿宋_GB2312" w:eastAsia="仿宋_GB2312" w:cs="仿宋_GB2312"/>
                <w:spacing w:val="8"/>
                <w:kern w:val="0"/>
                <w:szCs w:val="21"/>
              </w:rPr>
            </w:pPr>
            <w:r>
              <w:rPr>
                <w:rFonts w:hint="eastAsia" w:ascii="仿宋_GB2312" w:hAnsi="仿宋_GB2312" w:eastAsia="仿宋_GB2312" w:cs="仿宋_GB2312"/>
                <w:spacing w:val="8"/>
                <w:kern w:val="0"/>
                <w:szCs w:val="21"/>
              </w:rPr>
              <w:t>造成一般社会影响或第二次违法的</w:t>
            </w:r>
          </w:p>
        </w:tc>
        <w:tc>
          <w:tcPr>
            <w:tcW w:w="911" w:type="pct"/>
            <w:tcBorders>
              <w:top w:val="single" w:color="000000" w:sz="4" w:space="0"/>
              <w:left w:val="single" w:color="000000" w:sz="4" w:space="0"/>
              <w:bottom w:val="single" w:color="000000" w:sz="4" w:space="0"/>
              <w:right w:val="single" w:color="auto" w:sz="4" w:space="0"/>
              <w:tl2br w:val="nil"/>
              <w:tr2bl w:val="nil"/>
            </w:tcBorders>
            <w:vAlign w:val="center"/>
          </w:tcPr>
          <w:p>
            <w:pPr>
              <w:widowControl/>
              <w:rPr>
                <w:rFonts w:hint="eastAsia" w:ascii="仿宋_GB2312" w:hAnsi="仿宋_GB2312" w:eastAsia="仿宋_GB2312" w:cs="仿宋_GB2312"/>
                <w:color w:val="000000"/>
                <w:kern w:val="0"/>
                <w:szCs w:val="21"/>
              </w:rPr>
            </w:pPr>
          </w:p>
          <w:p>
            <w:pPr>
              <w:widowControl/>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责令限期改正，逾期未改正，处三百万元的罚款</w:t>
            </w:r>
          </w:p>
          <w:p>
            <w:pPr>
              <w:widowControl/>
              <w:rPr>
                <w:rFonts w:hint="eastAsia" w:ascii="仿宋_GB2312" w:hAnsi="仿宋_GB2312" w:eastAsia="仿宋_GB2312" w:cs="仿宋_GB2312"/>
                <w:color w:val="000000"/>
                <w:kern w:val="0"/>
                <w:szCs w:val="21"/>
              </w:rPr>
            </w:pPr>
          </w:p>
        </w:tc>
      </w:tr>
      <w:tr>
        <w:tblPrEx>
          <w:tblCellMar>
            <w:top w:w="0" w:type="dxa"/>
            <w:left w:w="108" w:type="dxa"/>
            <w:bottom w:w="0" w:type="dxa"/>
            <w:right w:w="108" w:type="dxa"/>
          </w:tblCellMar>
        </w:tblPrEx>
        <w:trPr>
          <w:trHeight w:val="1701" w:hRule="atLeast"/>
        </w:trPr>
        <w:tc>
          <w:tcPr>
            <w:tcW w:w="266" w:type="pct"/>
            <w:vMerge w:val="continue"/>
            <w:tcBorders>
              <w:top w:val="nil"/>
              <w:left w:val="single" w:color="auto" w:sz="4" w:space="0"/>
              <w:bottom w:val="single" w:color="auto" w:sz="4" w:space="0"/>
              <w:right w:val="single" w:color="000000" w:sz="4" w:space="0"/>
              <w:tl2br w:val="nil"/>
              <w:tr2bl w:val="nil"/>
            </w:tcBorders>
            <w:noWrap/>
            <w:vAlign w:val="center"/>
          </w:tcPr>
          <w:p>
            <w:pPr>
              <w:rPr>
                <w:rFonts w:hint="eastAsia" w:ascii="仿宋_GB2312" w:hAnsi="仿宋_GB2312" w:eastAsia="仿宋_GB2312" w:cs="仿宋_GB2312"/>
                <w:color w:val="000000"/>
                <w:szCs w:val="21"/>
              </w:rPr>
            </w:pPr>
          </w:p>
        </w:tc>
        <w:tc>
          <w:tcPr>
            <w:tcW w:w="380" w:type="pct"/>
            <w:vMerge w:val="continue"/>
            <w:tcBorders>
              <w:top w:val="nil"/>
              <w:left w:val="single" w:color="000000" w:sz="4" w:space="0"/>
              <w:bottom w:val="single" w:color="auto" w:sz="4" w:space="0"/>
              <w:right w:val="single" w:color="000000" w:sz="4" w:space="0"/>
              <w:tl2br w:val="nil"/>
              <w:tr2bl w:val="nil"/>
            </w:tcBorders>
            <w:vAlign w:val="center"/>
          </w:tcPr>
          <w:p>
            <w:pPr>
              <w:widowControl/>
              <w:textAlignment w:val="center"/>
              <w:rPr>
                <w:rFonts w:hint="eastAsia" w:ascii="仿宋_GB2312" w:hAnsi="仿宋_GB2312" w:eastAsia="仿宋_GB2312" w:cs="仿宋_GB2312"/>
                <w:color w:val="000000"/>
                <w:szCs w:val="21"/>
              </w:rPr>
            </w:pPr>
          </w:p>
        </w:tc>
        <w:tc>
          <w:tcPr>
            <w:tcW w:w="1334" w:type="pct"/>
            <w:vMerge w:val="continue"/>
            <w:tcBorders>
              <w:top w:val="nil"/>
              <w:left w:val="single" w:color="000000" w:sz="4" w:space="0"/>
              <w:bottom w:val="single" w:color="auto" w:sz="4" w:space="0"/>
              <w:right w:val="single" w:color="000000" w:sz="4" w:space="0"/>
              <w:tl2br w:val="nil"/>
              <w:tr2bl w:val="nil"/>
            </w:tcBorders>
            <w:vAlign w:val="center"/>
          </w:tcPr>
          <w:p>
            <w:pPr>
              <w:widowControl/>
              <w:textAlignment w:val="center"/>
              <w:rPr>
                <w:rFonts w:hint="eastAsia" w:ascii="仿宋_GB2312" w:hAnsi="仿宋_GB2312" w:eastAsia="仿宋_GB2312" w:cs="仿宋_GB2312"/>
                <w:color w:val="000000"/>
                <w:szCs w:val="21"/>
              </w:rPr>
            </w:pPr>
          </w:p>
        </w:tc>
        <w:tc>
          <w:tcPr>
            <w:tcW w:w="711" w:type="pct"/>
            <w:vMerge w:val="continue"/>
            <w:tcBorders>
              <w:top w:val="nil"/>
              <w:left w:val="single" w:color="000000" w:sz="4" w:space="0"/>
              <w:bottom w:val="single" w:color="auto" w:sz="4" w:space="0"/>
              <w:right w:val="single" w:color="000000" w:sz="4" w:space="0"/>
              <w:tl2br w:val="nil"/>
              <w:tr2bl w:val="nil"/>
            </w:tcBorders>
            <w:vAlign w:val="center"/>
          </w:tcPr>
          <w:p>
            <w:pPr>
              <w:widowControl/>
              <w:textAlignment w:val="center"/>
              <w:rPr>
                <w:rFonts w:hint="eastAsia" w:ascii="仿宋_GB2312" w:hAnsi="仿宋_GB2312" w:eastAsia="仿宋_GB2312" w:cs="仿宋_GB2312"/>
                <w:color w:val="000000"/>
                <w:szCs w:val="21"/>
              </w:rPr>
            </w:pPr>
          </w:p>
        </w:tc>
        <w:tc>
          <w:tcPr>
            <w:tcW w:w="407" w:type="pct"/>
            <w:vMerge w:val="continue"/>
            <w:tcBorders>
              <w:top w:val="nil"/>
              <w:left w:val="single" w:color="000000" w:sz="4" w:space="0"/>
              <w:bottom w:val="single" w:color="auto" w:sz="4" w:space="0"/>
              <w:right w:val="single" w:color="000000" w:sz="4" w:space="0"/>
              <w:tl2br w:val="nil"/>
              <w:tr2bl w:val="nil"/>
            </w:tcBorders>
            <w:vAlign w:val="center"/>
          </w:tcPr>
          <w:p>
            <w:pPr>
              <w:widowControl/>
              <w:textAlignment w:val="center"/>
              <w:rPr>
                <w:rFonts w:hint="eastAsia" w:ascii="仿宋_GB2312" w:hAnsi="仿宋_GB2312" w:eastAsia="仿宋_GB2312" w:cs="仿宋_GB2312"/>
                <w:color w:val="000000"/>
                <w:szCs w:val="21"/>
              </w:rPr>
            </w:pPr>
          </w:p>
        </w:tc>
        <w:tc>
          <w:tcPr>
            <w:tcW w:w="407" w:type="pct"/>
            <w:tcBorders>
              <w:top w:val="single" w:color="000000" w:sz="4" w:space="0"/>
              <w:left w:val="single" w:color="000000" w:sz="4" w:space="0"/>
              <w:bottom w:val="single" w:color="auto"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rPr>
              <w:t>从重</w:t>
            </w:r>
          </w:p>
        </w:tc>
        <w:tc>
          <w:tcPr>
            <w:tcW w:w="585" w:type="pct"/>
            <w:tcBorders>
              <w:top w:val="single" w:color="000000" w:sz="4" w:space="0"/>
              <w:left w:val="single" w:color="000000" w:sz="4" w:space="0"/>
              <w:bottom w:val="single" w:color="auto" w:sz="4" w:space="0"/>
              <w:right w:val="single" w:color="000000" w:sz="4" w:space="0"/>
              <w:tl2br w:val="nil"/>
              <w:tr2bl w:val="nil"/>
            </w:tcBorders>
            <w:noWrap/>
            <w:vAlign w:val="center"/>
          </w:tcPr>
          <w:p>
            <w:pPr>
              <w:widowControl/>
              <w:textAlignment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造成重大社会影响的或第三次及以上违法的</w:t>
            </w:r>
          </w:p>
        </w:tc>
        <w:tc>
          <w:tcPr>
            <w:tcW w:w="911" w:type="pct"/>
            <w:tcBorders>
              <w:top w:val="single" w:color="000000" w:sz="4" w:space="0"/>
              <w:left w:val="single" w:color="000000"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责令限期改正，逾期未改正，处超过三百万元、五百万元以下的罚款</w:t>
            </w:r>
          </w:p>
        </w:tc>
      </w:tr>
    </w:tbl>
    <w:p>
      <w:pPr>
        <w:rPr>
          <w:rFonts w:hint="eastAsia" w:ascii="宋体" w:hAnsi="宋体"/>
          <w:bCs/>
          <w:sz w:val="18"/>
          <w:szCs w:val="21"/>
        </w:rPr>
      </w:pPr>
      <w:r>
        <w:rPr>
          <w:rFonts w:hint="eastAsia" w:ascii="宋体" w:hAnsi="宋体"/>
          <w:bCs/>
          <w:sz w:val="18"/>
          <w:szCs w:val="21"/>
        </w:rPr>
        <w:t>注：1.“一般社会影响”是指引发参与人数在5人以上、少于30人的群体性事件。</w:t>
      </w:r>
    </w:p>
    <w:p>
      <w:pPr>
        <w:ind w:firstLine="360" w:firstLineChars="200"/>
        <w:rPr>
          <w:rFonts w:hint="eastAsia" w:ascii="仿宋_GB2312" w:hAnsi="仿宋_GB2312" w:eastAsia="仿宋_GB2312"/>
          <w:bCs/>
          <w:sz w:val="24"/>
          <w:szCs w:val="21"/>
        </w:rPr>
      </w:pPr>
      <w:r>
        <w:rPr>
          <w:rFonts w:hint="eastAsia" w:ascii="宋体" w:hAnsi="宋体"/>
          <w:bCs/>
          <w:sz w:val="18"/>
          <w:szCs w:val="21"/>
        </w:rPr>
        <w:t>2.“重大社会影响”是指存在以下情形之一：（1）引起社会关注并经互联网门户网站、省级或省级以上新闻媒体报道；（2）引发参与人数在30人以上的群体性事件。</w:t>
      </w:r>
    </w:p>
    <w:p>
      <w:pPr>
        <w:rPr>
          <w:rFonts w:ascii="宋体"/>
          <w:b/>
          <w:sz w:val="32"/>
          <w:szCs w:val="24"/>
          <w:lang w:val="en"/>
        </w:rPr>
      </w:pPr>
      <w:r>
        <w:rPr>
          <w:rFonts w:ascii="宋体" w:eastAsia="宋体 (正文)"/>
          <w:sz w:val="32"/>
          <w:szCs w:val="24"/>
          <w:lang w:val="en"/>
        </w:rPr>
        <w:t>《深圳经济特区城市更新条例》</w:t>
      </w:r>
    </w:p>
    <w:tbl>
      <w:tblPr>
        <w:tblStyle w:val="11"/>
        <w:tblW w:w="5000" w:type="pct"/>
        <w:tblInd w:w="0" w:type="dxa"/>
        <w:tblLayout w:type="fixed"/>
        <w:tblCellMar>
          <w:top w:w="0" w:type="dxa"/>
          <w:left w:w="108" w:type="dxa"/>
          <w:bottom w:w="0" w:type="dxa"/>
          <w:right w:w="108" w:type="dxa"/>
        </w:tblCellMar>
      </w:tblPr>
      <w:tblGrid>
        <w:gridCol w:w="904"/>
        <w:gridCol w:w="1483"/>
        <w:gridCol w:w="2943"/>
        <w:gridCol w:w="1664"/>
        <w:gridCol w:w="1324"/>
        <w:gridCol w:w="1486"/>
        <w:gridCol w:w="1828"/>
        <w:gridCol w:w="2543"/>
      </w:tblGrid>
      <w:tr>
        <w:tblPrEx>
          <w:tblCellMar>
            <w:top w:w="0" w:type="dxa"/>
            <w:left w:w="108" w:type="dxa"/>
            <w:bottom w:w="0" w:type="dxa"/>
            <w:right w:w="108" w:type="dxa"/>
          </w:tblCellMar>
        </w:tblPrEx>
        <w:trPr>
          <w:trHeight w:val="567" w:hRule="atLeast"/>
        </w:trPr>
        <w:tc>
          <w:tcPr>
            <w:tcW w:w="319"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序号</w:t>
            </w:r>
          </w:p>
        </w:tc>
        <w:tc>
          <w:tcPr>
            <w:tcW w:w="523"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违法行为</w:t>
            </w:r>
          </w:p>
        </w:tc>
        <w:tc>
          <w:tcPr>
            <w:tcW w:w="1038"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b/>
                <w:szCs w:val="21"/>
                <w:lang w:val="en"/>
              </w:rPr>
              <w:t>违反条款</w:t>
            </w:r>
          </w:p>
        </w:tc>
        <w:tc>
          <w:tcPr>
            <w:tcW w:w="58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处罚依据</w:t>
            </w:r>
          </w:p>
        </w:tc>
        <w:tc>
          <w:tcPr>
            <w:tcW w:w="46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处罚种类</w:t>
            </w:r>
          </w:p>
        </w:tc>
        <w:tc>
          <w:tcPr>
            <w:tcW w:w="524"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裁量阶次</w:t>
            </w:r>
          </w:p>
        </w:tc>
        <w:tc>
          <w:tcPr>
            <w:tcW w:w="645"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适用条件</w:t>
            </w:r>
          </w:p>
        </w:tc>
        <w:tc>
          <w:tcPr>
            <w:tcW w:w="897"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b/>
                <w:szCs w:val="21"/>
              </w:rPr>
              <w:t>具体标准</w:t>
            </w:r>
          </w:p>
        </w:tc>
      </w:tr>
      <w:tr>
        <w:tblPrEx>
          <w:tblCellMar>
            <w:top w:w="0" w:type="dxa"/>
            <w:left w:w="108" w:type="dxa"/>
            <w:bottom w:w="0" w:type="dxa"/>
            <w:right w:w="108" w:type="dxa"/>
          </w:tblCellMar>
        </w:tblPrEx>
        <w:trPr>
          <w:trHeight w:val="2268" w:hRule="atLeast"/>
        </w:trPr>
        <w:tc>
          <w:tcPr>
            <w:tcW w:w="319" w:type="pct"/>
            <w:vMerge w:val="restar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szCs w:val="21"/>
                <w:lang w:val="en"/>
              </w:rPr>
              <w:t>204.3</w:t>
            </w:r>
          </w:p>
        </w:tc>
        <w:tc>
          <w:tcPr>
            <w:tcW w:w="523"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widowControl/>
              <w:textAlignment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销售或抵押产权置换的房屋或配建的创新型产业用房、公共住房的</w:t>
            </w:r>
          </w:p>
        </w:tc>
        <w:tc>
          <w:tcPr>
            <w:tcW w:w="1038"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widowControl/>
              <w:textAlignment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第六十一条：“城市更新项目以产权置换方式进行补偿的，实施主体在办理房地产销售时，应当向区住房建设部门告知用于产权置换房屋的数量、面积和位置。区住房建设部门根据实施主体的报告以及经备案的搬迁补偿协议将用于产权置换的房屋预先保留，不予销售。”</w:t>
            </w:r>
          </w:p>
          <w:p>
            <w:pPr>
              <w:widowControl/>
              <w:textAlignment w:val="center"/>
              <w:rPr>
                <w:rFonts w:hint="eastAsia"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第六十二条：“城市更新项目配建的创新型产业用房、公共住房等，实施主体不得销售或者用作抵押。</w:t>
            </w:r>
          </w:p>
          <w:p>
            <w:pPr>
              <w:widowControl/>
              <w:ind w:firstLine="420" w:firstLineChars="200"/>
              <w:textAlignment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实施主体未按照要求完成创新型产业用房、公共住房等配建的，不予通过规划核实。”</w:t>
            </w:r>
          </w:p>
        </w:tc>
        <w:tc>
          <w:tcPr>
            <w:tcW w:w="587"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widowControl/>
              <w:textAlignment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第六十八条：“违反本条例第六十一条、第六十二条规定销售、抵押置换房屋或者配建用房的，由市、区住房建设部门责令停止违法行为，没收部分或者全部保证金，没收违法所得，可以并处已销售商品房价款百分之三十以上百分之五十以下的罚款。”</w:t>
            </w:r>
          </w:p>
        </w:tc>
        <w:tc>
          <w:tcPr>
            <w:tcW w:w="467" w:type="pct"/>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widowControl/>
              <w:textAlignment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没收违法所得；罚款</w:t>
            </w:r>
          </w:p>
        </w:tc>
        <w:tc>
          <w:tcPr>
            <w:tcW w:w="524"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rPr>
              <w:t>从轻</w:t>
            </w:r>
          </w:p>
        </w:tc>
        <w:tc>
          <w:tcPr>
            <w:tcW w:w="645" w:type="pct"/>
            <w:tcBorders>
              <w:top w:val="single" w:color="000000" w:sz="4" w:space="0"/>
              <w:left w:val="single" w:color="000000" w:sz="4" w:space="0"/>
              <w:bottom w:val="single" w:color="000000" w:sz="4" w:space="0"/>
              <w:right w:val="single" w:color="000000" w:sz="4" w:space="0"/>
              <w:tl2br w:val="nil"/>
              <w:tr2bl w:val="nil"/>
            </w:tcBorders>
            <w:noWrap/>
            <w:vAlign w:val="center"/>
          </w:tcPr>
          <w:p>
            <w:pPr>
              <w:widowControl/>
              <w:textAlignment w:val="center"/>
              <w:rPr>
                <w:rFonts w:hint="eastAsia" w:ascii="仿宋_GB2312" w:hAnsi="仿宋_GB2312" w:eastAsia="仿宋_GB2312" w:cs="仿宋_GB2312"/>
                <w:color w:val="000000"/>
                <w:szCs w:val="21"/>
              </w:rPr>
            </w:pPr>
            <w:r>
              <w:rPr>
                <w:rFonts w:hint="eastAsia" w:ascii="仿宋_GB2312" w:hAnsi="仿宋_GB2312" w:eastAsia="仿宋_GB2312" w:cs="仿宋_GB2312"/>
                <w:spacing w:val="8"/>
                <w:kern w:val="0"/>
                <w:szCs w:val="21"/>
              </w:rPr>
              <w:t>擅自</w:t>
            </w:r>
            <w:r>
              <w:rPr>
                <w:rFonts w:hint="eastAsia" w:ascii="仿宋_GB2312" w:hAnsi="仿宋_GB2312" w:eastAsia="仿宋_GB2312" w:cs="仿宋_GB2312"/>
                <w:color w:val="000000"/>
                <w:kern w:val="0"/>
                <w:szCs w:val="21"/>
              </w:rPr>
              <w:t>销售或抵押</w:t>
            </w:r>
            <w:r>
              <w:rPr>
                <w:rFonts w:hint="eastAsia" w:ascii="仿宋_GB2312" w:hAnsi="仿宋_GB2312" w:eastAsia="仿宋_GB2312" w:cs="仿宋_GB2312"/>
                <w:spacing w:val="8"/>
                <w:kern w:val="0"/>
                <w:szCs w:val="21"/>
              </w:rPr>
              <w:t>一套的</w:t>
            </w:r>
          </w:p>
        </w:tc>
        <w:tc>
          <w:tcPr>
            <w:tcW w:w="897" w:type="pct"/>
            <w:tcBorders>
              <w:top w:val="single" w:color="000000" w:sz="4" w:space="0"/>
              <w:left w:val="single" w:color="000000" w:sz="4" w:space="0"/>
              <w:bottom w:val="single" w:color="000000" w:sz="4" w:space="0"/>
              <w:right w:val="single" w:color="000000" w:sz="4" w:space="0"/>
              <w:tl2br w:val="nil"/>
              <w:tr2bl w:val="nil"/>
            </w:tcBorders>
            <w:vAlign w:val="center"/>
          </w:tcPr>
          <w:p>
            <w:pPr>
              <w:widowControl/>
              <w:textAlignment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责令停止违法行为，没收部分或者全部保证金，没收违法所得，可以并处已销售商品房价款百分之三十以上、低于百分之四十的罚款</w:t>
            </w:r>
          </w:p>
        </w:tc>
      </w:tr>
      <w:tr>
        <w:tblPrEx>
          <w:tblCellMar>
            <w:top w:w="0" w:type="dxa"/>
            <w:left w:w="108" w:type="dxa"/>
            <w:bottom w:w="0" w:type="dxa"/>
            <w:right w:w="108" w:type="dxa"/>
          </w:tblCellMar>
        </w:tblPrEx>
        <w:trPr>
          <w:trHeight w:val="2268" w:hRule="atLeast"/>
        </w:trPr>
        <w:tc>
          <w:tcPr>
            <w:tcW w:w="319" w:type="pct"/>
            <w:vMerge w:val="continue"/>
            <w:tcBorders>
              <w:top w:val="single" w:color="000000" w:sz="4" w:space="0"/>
              <w:left w:val="single" w:color="000000" w:sz="4" w:space="0"/>
              <w:bottom w:val="single" w:color="000000" w:sz="4" w:space="0"/>
              <w:right w:val="single" w:color="000000" w:sz="4" w:space="0"/>
              <w:tl2br w:val="nil"/>
              <w:tr2bl w:val="nil"/>
            </w:tcBorders>
            <w:noWrap/>
            <w:vAlign w:val="center"/>
          </w:tcPr>
          <w:p>
            <w:pPr>
              <w:rPr>
                <w:rFonts w:hint="eastAsia" w:ascii="仿宋_GB2312" w:hAnsi="仿宋_GB2312" w:eastAsia="仿宋_GB2312" w:cs="仿宋_GB2312"/>
                <w:color w:val="000000"/>
                <w:szCs w:val="21"/>
              </w:rPr>
            </w:pPr>
          </w:p>
        </w:tc>
        <w:tc>
          <w:tcPr>
            <w:tcW w:w="523"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p>
        </w:tc>
        <w:tc>
          <w:tcPr>
            <w:tcW w:w="1038"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p>
        </w:tc>
        <w:tc>
          <w:tcPr>
            <w:tcW w:w="587"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p>
        </w:tc>
        <w:tc>
          <w:tcPr>
            <w:tcW w:w="467"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p>
        </w:tc>
        <w:tc>
          <w:tcPr>
            <w:tcW w:w="524"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一般</w:t>
            </w:r>
          </w:p>
        </w:tc>
        <w:tc>
          <w:tcPr>
            <w:tcW w:w="645" w:type="pct"/>
            <w:tcBorders>
              <w:top w:val="single" w:color="000000" w:sz="4" w:space="0"/>
              <w:left w:val="single" w:color="000000" w:sz="4" w:space="0"/>
              <w:bottom w:val="single" w:color="000000" w:sz="4" w:space="0"/>
              <w:right w:val="single" w:color="000000" w:sz="4" w:space="0"/>
              <w:tl2br w:val="nil"/>
              <w:tr2bl w:val="nil"/>
            </w:tcBorders>
            <w:noWrap/>
            <w:vAlign w:val="center"/>
          </w:tcPr>
          <w:p>
            <w:pPr>
              <w:widowControl/>
              <w:textAlignment w:val="center"/>
              <w:rPr>
                <w:rFonts w:hint="eastAsia" w:ascii="仿宋_GB2312" w:hAnsi="仿宋_GB2312" w:eastAsia="仿宋_GB2312" w:cs="仿宋_GB2312"/>
                <w:color w:val="000000"/>
                <w:szCs w:val="21"/>
              </w:rPr>
            </w:pPr>
            <w:r>
              <w:rPr>
                <w:rFonts w:hint="eastAsia" w:ascii="仿宋_GB2312" w:hAnsi="仿宋_GB2312" w:eastAsia="仿宋_GB2312" w:cs="仿宋_GB2312"/>
                <w:spacing w:val="8"/>
                <w:kern w:val="0"/>
                <w:szCs w:val="21"/>
              </w:rPr>
              <w:t>擅自</w:t>
            </w:r>
            <w:r>
              <w:rPr>
                <w:rFonts w:hint="eastAsia" w:ascii="仿宋_GB2312" w:hAnsi="仿宋_GB2312" w:eastAsia="仿宋_GB2312" w:cs="仿宋_GB2312"/>
                <w:color w:val="000000"/>
                <w:kern w:val="0"/>
                <w:szCs w:val="21"/>
              </w:rPr>
              <w:t>销售或抵押</w:t>
            </w:r>
            <w:r>
              <w:rPr>
                <w:rFonts w:hint="eastAsia" w:ascii="仿宋_GB2312" w:hAnsi="仿宋_GB2312" w:eastAsia="仿宋_GB2312" w:cs="仿宋_GB2312"/>
                <w:spacing w:val="8"/>
                <w:kern w:val="0"/>
                <w:szCs w:val="21"/>
              </w:rPr>
              <w:t>二套的</w:t>
            </w:r>
          </w:p>
        </w:tc>
        <w:tc>
          <w:tcPr>
            <w:tcW w:w="897" w:type="pct"/>
            <w:tcBorders>
              <w:top w:val="single" w:color="000000" w:sz="4" w:space="0"/>
              <w:left w:val="single" w:color="000000" w:sz="4" w:space="0"/>
              <w:bottom w:val="single" w:color="000000" w:sz="4" w:space="0"/>
              <w:right w:val="single" w:color="000000" w:sz="4" w:space="0"/>
              <w:tl2br w:val="nil"/>
              <w:tr2bl w:val="nil"/>
            </w:tcBorders>
            <w:vAlign w:val="center"/>
          </w:tcPr>
          <w:p>
            <w:pPr>
              <w:widowControl/>
              <w:textAlignment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责令停止违法行为，没收部分或者全部保证金，没收违法所得，可以并处已销售商品房价款百分之四十的罚款</w:t>
            </w:r>
          </w:p>
        </w:tc>
      </w:tr>
      <w:tr>
        <w:tblPrEx>
          <w:tblCellMar>
            <w:top w:w="0" w:type="dxa"/>
            <w:left w:w="108" w:type="dxa"/>
            <w:bottom w:w="0" w:type="dxa"/>
            <w:right w:w="108" w:type="dxa"/>
          </w:tblCellMar>
        </w:tblPrEx>
        <w:trPr>
          <w:trHeight w:val="2268" w:hRule="atLeast"/>
        </w:trPr>
        <w:tc>
          <w:tcPr>
            <w:tcW w:w="319" w:type="pct"/>
            <w:vMerge w:val="continue"/>
            <w:tcBorders>
              <w:top w:val="single" w:color="000000" w:sz="4" w:space="0"/>
              <w:left w:val="single" w:color="000000" w:sz="4" w:space="0"/>
              <w:bottom w:val="single" w:color="000000" w:sz="4" w:space="0"/>
              <w:right w:val="single" w:color="000000" w:sz="4" w:space="0"/>
              <w:tl2br w:val="nil"/>
              <w:tr2bl w:val="nil"/>
            </w:tcBorders>
            <w:noWrap/>
            <w:vAlign w:val="center"/>
          </w:tcPr>
          <w:p>
            <w:pPr>
              <w:rPr>
                <w:rFonts w:hint="eastAsia" w:ascii="仿宋_GB2312" w:hAnsi="仿宋_GB2312" w:eastAsia="仿宋_GB2312" w:cs="仿宋_GB2312"/>
                <w:color w:val="000000"/>
                <w:szCs w:val="21"/>
              </w:rPr>
            </w:pPr>
          </w:p>
        </w:tc>
        <w:tc>
          <w:tcPr>
            <w:tcW w:w="523"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p>
        </w:tc>
        <w:tc>
          <w:tcPr>
            <w:tcW w:w="1038"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p>
        </w:tc>
        <w:tc>
          <w:tcPr>
            <w:tcW w:w="587"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p>
        </w:tc>
        <w:tc>
          <w:tcPr>
            <w:tcW w:w="467" w:type="pct"/>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rPr>
                <w:rFonts w:hint="eastAsia" w:ascii="仿宋_GB2312" w:hAnsi="仿宋_GB2312" w:eastAsia="仿宋_GB2312" w:cs="仿宋_GB2312"/>
                <w:color w:val="000000"/>
                <w:szCs w:val="21"/>
              </w:rPr>
            </w:pPr>
          </w:p>
        </w:tc>
        <w:tc>
          <w:tcPr>
            <w:tcW w:w="524" w:type="pct"/>
            <w:tcBorders>
              <w:top w:val="single" w:color="000000" w:sz="4" w:space="0"/>
              <w:left w:val="single" w:color="000000" w:sz="4" w:space="0"/>
              <w:bottom w:val="single" w:color="000000" w:sz="4" w:space="0"/>
              <w:right w:val="single" w:color="000000" w:sz="4" w:space="0"/>
              <w:tl2br w:val="nil"/>
              <w:tr2bl w:val="nil"/>
            </w:tcBorders>
            <w:noWrap/>
            <w:vAlign w:val="center"/>
          </w:tcPr>
          <w:p>
            <w:pPr>
              <w:jc w:val="center"/>
              <w:rPr>
                <w:rFonts w:hint="eastAsia" w:ascii="仿宋_GB2312" w:hAnsi="仿宋_GB2312" w:eastAsia="仿宋_GB2312" w:cs="仿宋_GB2312"/>
                <w:color w:val="000000"/>
                <w:szCs w:val="21"/>
                <w:lang w:val="en"/>
              </w:rPr>
            </w:pPr>
            <w:r>
              <w:rPr>
                <w:rFonts w:hint="eastAsia" w:ascii="仿宋_GB2312" w:hAnsi="仿宋_GB2312" w:eastAsia="仿宋_GB2312" w:cs="仿宋_GB2312"/>
                <w:color w:val="000000"/>
                <w:kern w:val="0"/>
                <w:szCs w:val="21"/>
              </w:rPr>
              <w:t>从重</w:t>
            </w:r>
          </w:p>
        </w:tc>
        <w:tc>
          <w:tcPr>
            <w:tcW w:w="645" w:type="pct"/>
            <w:tcBorders>
              <w:top w:val="single" w:color="000000" w:sz="4" w:space="0"/>
              <w:left w:val="single" w:color="000000" w:sz="4" w:space="0"/>
              <w:bottom w:val="single" w:color="000000" w:sz="4" w:space="0"/>
              <w:right w:val="single" w:color="000000" w:sz="4" w:space="0"/>
              <w:tl2br w:val="nil"/>
              <w:tr2bl w:val="nil"/>
            </w:tcBorders>
            <w:noWrap/>
            <w:vAlign w:val="center"/>
          </w:tcPr>
          <w:p>
            <w:pPr>
              <w:widowControl/>
              <w:textAlignment w:val="center"/>
              <w:rPr>
                <w:rFonts w:hint="eastAsia" w:ascii="仿宋_GB2312" w:hAnsi="仿宋_GB2312" w:eastAsia="仿宋_GB2312" w:cs="仿宋_GB2312"/>
                <w:color w:val="000000"/>
                <w:szCs w:val="21"/>
              </w:rPr>
            </w:pPr>
            <w:r>
              <w:rPr>
                <w:rFonts w:hint="eastAsia" w:ascii="仿宋_GB2312" w:hAnsi="仿宋_GB2312" w:eastAsia="仿宋_GB2312" w:cs="仿宋_GB2312"/>
                <w:spacing w:val="8"/>
                <w:kern w:val="0"/>
                <w:szCs w:val="21"/>
              </w:rPr>
              <w:t>擅自</w:t>
            </w:r>
            <w:r>
              <w:rPr>
                <w:rFonts w:hint="eastAsia" w:ascii="仿宋_GB2312" w:hAnsi="仿宋_GB2312" w:eastAsia="仿宋_GB2312" w:cs="仿宋_GB2312"/>
                <w:color w:val="000000"/>
                <w:kern w:val="0"/>
                <w:szCs w:val="21"/>
              </w:rPr>
              <w:t>销售或抵押三套以上</w:t>
            </w:r>
            <w:r>
              <w:rPr>
                <w:rFonts w:hint="eastAsia" w:ascii="仿宋_GB2312" w:hAnsi="仿宋_GB2312" w:eastAsia="仿宋_GB2312" w:cs="仿宋_GB2312"/>
                <w:spacing w:val="8"/>
                <w:kern w:val="0"/>
                <w:szCs w:val="21"/>
              </w:rPr>
              <w:t>的</w:t>
            </w:r>
          </w:p>
        </w:tc>
        <w:tc>
          <w:tcPr>
            <w:tcW w:w="897" w:type="pct"/>
            <w:tcBorders>
              <w:top w:val="single" w:color="000000" w:sz="4" w:space="0"/>
              <w:left w:val="single" w:color="000000" w:sz="4" w:space="0"/>
              <w:bottom w:val="single" w:color="000000" w:sz="4" w:space="0"/>
              <w:right w:val="single" w:color="000000" w:sz="4" w:space="0"/>
              <w:tl2br w:val="nil"/>
              <w:tr2bl w:val="nil"/>
            </w:tcBorders>
            <w:vAlign w:val="center"/>
          </w:tcPr>
          <w:p>
            <w:pPr>
              <w:widowControl/>
              <w:textAlignment w:val="center"/>
              <w:rPr>
                <w:rFonts w:hint="eastAsia" w:ascii="仿宋_GB2312" w:hAnsi="仿宋_GB2312" w:eastAsia="仿宋_GB2312" w:cs="仿宋_GB2312"/>
                <w:color w:val="000000"/>
                <w:szCs w:val="21"/>
              </w:rPr>
            </w:pPr>
            <w:r>
              <w:rPr>
                <w:rFonts w:hint="eastAsia" w:ascii="仿宋_GB2312" w:hAnsi="仿宋_GB2312" w:eastAsia="仿宋_GB2312" w:cs="仿宋_GB2312"/>
                <w:color w:val="000000"/>
                <w:kern w:val="0"/>
                <w:szCs w:val="21"/>
              </w:rPr>
              <w:t>责令停止违法行为，没收部分或者全部保证金，没收违法所得，可以并处已销售商品房价款超过百分之四十、百分之五十以下的罚款</w:t>
            </w:r>
          </w:p>
        </w:tc>
      </w:tr>
    </w:tbl>
    <w:p>
      <w:pPr>
        <w:rPr>
          <w:rFonts w:ascii="宋体"/>
          <w:b/>
          <w:sz w:val="32"/>
          <w:szCs w:val="24"/>
          <w:lang w:val="en"/>
        </w:rPr>
      </w:pPr>
      <w:r>
        <w:rPr>
          <w:rFonts w:ascii="宋体" w:eastAsia="宋体 (正文)"/>
          <w:sz w:val="32"/>
          <w:szCs w:val="24"/>
          <w:lang w:val="en"/>
        </w:rPr>
        <w:t>《深圳市房屋安全管理办法》</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2"/>
        <w:gridCol w:w="1205"/>
        <w:gridCol w:w="2500"/>
        <w:gridCol w:w="2489"/>
        <w:gridCol w:w="1655"/>
        <w:gridCol w:w="1638"/>
        <w:gridCol w:w="1806"/>
        <w:gridCol w:w="193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3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42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88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87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58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57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63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68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2"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205.1</w:t>
            </w:r>
          </w:p>
        </w:tc>
        <w:tc>
          <w:tcPr>
            <w:tcW w:w="42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房屋安全责任人没有委托原设计单位或者具有相应资质等级的设计单位提出设计方案、出具施工图，或者没有委托有相应资质等级的施工单位实施的</w:t>
            </w:r>
          </w:p>
        </w:tc>
        <w:tc>
          <w:tcPr>
            <w:tcW w:w="882"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第十四条：“实施下列行为之一的，房屋安全责任人应当委托原设计单位或者具有相应资质等级的设计单位提出设计方案，出具施工图，并委托有相应资质等级的施工单位实施：</w:t>
            </w:r>
          </w:p>
          <w:p>
            <w:pPr>
              <w:numPr>
                <w:ilvl w:val="0"/>
                <w:numId w:val="10"/>
              </w:numPr>
              <w:rPr>
                <w:rFonts w:hint="eastAsia" w:ascii="仿宋_GB2312" w:hAnsi="仿宋_GB2312" w:eastAsia="仿宋_GB2312" w:cs="仿宋_GB2312"/>
                <w:szCs w:val="21"/>
              </w:rPr>
            </w:pPr>
            <w:r>
              <w:rPr>
                <w:rFonts w:hint="eastAsia" w:ascii="仿宋_GB2312" w:hAnsi="仿宋_GB2312" w:eastAsia="仿宋_GB2312" w:cs="仿宋_GB2312"/>
                <w:szCs w:val="21"/>
              </w:rPr>
              <w:t>拆改、变动房屋结构的；</w:t>
            </w:r>
          </w:p>
          <w:p>
            <w:pPr>
              <w:numPr>
                <w:ilvl w:val="0"/>
                <w:numId w:val="10"/>
              </w:numPr>
              <w:rPr>
                <w:rFonts w:hint="eastAsia" w:ascii="仿宋_GB2312" w:hAnsi="仿宋_GB2312" w:eastAsia="仿宋_GB2312" w:cs="仿宋_GB2312"/>
                <w:szCs w:val="21"/>
              </w:rPr>
            </w:pPr>
            <w:r>
              <w:rPr>
                <w:rFonts w:hint="eastAsia" w:ascii="仿宋_GB2312" w:hAnsi="仿宋_GB2312" w:eastAsia="仿宋_GB2312" w:cs="仿宋_GB2312"/>
                <w:szCs w:val="21"/>
              </w:rPr>
              <w:t>改变房屋使用功能，影响房屋安全使用的；</w:t>
            </w:r>
          </w:p>
          <w:p>
            <w:pPr>
              <w:numPr>
                <w:ilvl w:val="0"/>
                <w:numId w:val="10"/>
              </w:numPr>
              <w:rPr>
                <w:rFonts w:hint="eastAsia" w:ascii="仿宋_GB2312" w:hAnsi="仿宋_GB2312" w:eastAsia="仿宋_GB2312" w:cs="仿宋_GB2312"/>
                <w:szCs w:val="21"/>
              </w:rPr>
            </w:pPr>
            <w:r>
              <w:rPr>
                <w:rFonts w:hint="eastAsia" w:ascii="仿宋_GB2312" w:hAnsi="仿宋_GB2312" w:eastAsia="仿宋_GB2312" w:cs="仿宋_GB2312"/>
                <w:szCs w:val="21"/>
              </w:rPr>
              <w:t>超过设计标准，增加房屋使用荷载的；</w:t>
            </w:r>
          </w:p>
          <w:p>
            <w:pPr>
              <w:rPr>
                <w:rFonts w:hint="eastAsia" w:ascii="仿宋_GB2312" w:hAnsi="仿宋_GB2312" w:eastAsia="仿宋_GB2312" w:cs="仿宋_GB2312"/>
                <w:szCs w:val="21"/>
              </w:rPr>
            </w:pPr>
            <w:r>
              <w:rPr>
                <w:rFonts w:hint="eastAsia" w:ascii="仿宋_GB2312" w:hAnsi="仿宋_GB2312" w:eastAsia="仿宋_GB2312" w:cs="仿宋_GB2312"/>
                <w:szCs w:val="21"/>
              </w:rPr>
              <w:t>（四）其他可能严重影响房屋安全的行为。”</w:t>
            </w:r>
          </w:p>
        </w:tc>
        <w:tc>
          <w:tcPr>
            <w:tcW w:w="87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四十一条：“违反本办法第十四条规定，房屋安全责任人没有委托原设计单位或者具有相应资质等级的设计单位提出设计方案、出具施工图，或者没有委托有相应资质等级的施工单位实施的，由区主管部门责令停止违法行为、限期恢复原状或者采取修缮加固等安全技术措施治理，并对个人处以一千元罚款，对单位处以五万元以上十万元以下罚款。给他人造成损失的，依法承担赔偿责任。”</w:t>
            </w:r>
          </w:p>
        </w:tc>
        <w:tc>
          <w:tcPr>
            <w:tcW w:w="584"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rPr>
              <w:t>罚款</w:t>
            </w:r>
          </w:p>
        </w:tc>
        <w:tc>
          <w:tcPr>
            <w:tcW w:w="57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63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未造成后果或造成轻微危害后果的</w:t>
            </w:r>
          </w:p>
        </w:tc>
        <w:tc>
          <w:tcPr>
            <w:tcW w:w="684"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对个人处以一千元罚款；</w:t>
            </w:r>
          </w:p>
          <w:p>
            <w:pPr>
              <w:rPr>
                <w:rFonts w:hint="eastAsia" w:ascii="仿宋_GB2312" w:hAnsi="仿宋_GB2312" w:eastAsia="仿宋_GB2312" w:cs="仿宋_GB2312"/>
                <w:szCs w:val="21"/>
              </w:rPr>
            </w:pPr>
            <w:r>
              <w:rPr>
                <w:rFonts w:hint="eastAsia" w:ascii="仿宋_GB2312" w:hAnsi="仿宋_GB2312" w:eastAsia="仿宋_GB2312" w:cs="仿宋_GB2312"/>
                <w:szCs w:val="21"/>
              </w:rPr>
              <w:t>对单位处以五万元以上、低于七万五千元罚款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2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8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7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8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p>
        </w:tc>
        <w:tc>
          <w:tcPr>
            <w:tcW w:w="57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63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w:t>
            </w:r>
          </w:p>
        </w:tc>
        <w:tc>
          <w:tcPr>
            <w:tcW w:w="684"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对个人处以一千元罚款；</w:t>
            </w:r>
          </w:p>
          <w:p>
            <w:pPr>
              <w:rPr>
                <w:rFonts w:hint="eastAsia" w:ascii="仿宋_GB2312" w:hAnsi="仿宋_GB2312" w:eastAsia="仿宋_GB2312" w:cs="仿宋_GB2312"/>
                <w:szCs w:val="21"/>
              </w:rPr>
            </w:pPr>
            <w:r>
              <w:rPr>
                <w:rFonts w:hint="eastAsia" w:ascii="仿宋_GB2312" w:hAnsi="仿宋_GB2312" w:eastAsia="仿宋_GB2312" w:cs="仿宋_GB2312"/>
                <w:szCs w:val="21"/>
              </w:rPr>
              <w:t>对单位处以七万五千元罚款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2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8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7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8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p>
        </w:tc>
        <w:tc>
          <w:tcPr>
            <w:tcW w:w="57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637" w:type="pct"/>
            <w:tcBorders>
              <w:top w:val="single" w:color="auto" w:sz="4" w:space="0"/>
              <w:left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造成严重危害后果或造成安全事故的</w:t>
            </w:r>
          </w:p>
        </w:tc>
        <w:tc>
          <w:tcPr>
            <w:tcW w:w="684"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对个人处以一千元罚款；</w:t>
            </w:r>
          </w:p>
          <w:p>
            <w:pPr>
              <w:rPr>
                <w:rFonts w:hint="eastAsia" w:ascii="仿宋_GB2312" w:hAnsi="仿宋_GB2312" w:eastAsia="仿宋_GB2312" w:cs="仿宋_GB2312"/>
                <w:szCs w:val="21"/>
              </w:rPr>
            </w:pPr>
            <w:r>
              <w:rPr>
                <w:rFonts w:hint="eastAsia" w:ascii="仿宋_GB2312" w:hAnsi="仿宋_GB2312" w:eastAsia="仿宋_GB2312" w:cs="仿宋_GB2312"/>
                <w:szCs w:val="21"/>
              </w:rPr>
              <w:t>对单位处以超过七万五千元、十万元以下罚款</w:t>
            </w:r>
          </w:p>
        </w:tc>
      </w:tr>
    </w:tbl>
    <w:p>
      <w:pPr>
        <w:rPr>
          <w:rFonts w:ascii="宋体"/>
          <w:b/>
          <w:sz w:val="32"/>
          <w:szCs w:val="24"/>
          <w:lang w:val="en"/>
        </w:rPr>
      </w:pPr>
      <w:r>
        <w:rPr>
          <w:rFonts w:ascii="宋体" w:eastAsia="宋体 (正文)"/>
          <w:sz w:val="32"/>
          <w:szCs w:val="24"/>
          <w:lang w:val="en"/>
        </w:rPr>
        <w:t>《深圳市房屋安全管理办法》</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1"/>
        <w:gridCol w:w="1315"/>
        <w:gridCol w:w="2432"/>
        <w:gridCol w:w="1769"/>
        <w:gridCol w:w="1418"/>
        <w:gridCol w:w="1418"/>
        <w:gridCol w:w="2050"/>
        <w:gridCol w:w="28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3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46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85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62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500"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500"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723"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szCs w:val="21"/>
              </w:rPr>
            </w:pPr>
            <w:r>
              <w:rPr>
                <w:rFonts w:hint="eastAsia" w:ascii="仿宋_GB2312" w:hAnsi="仿宋_GB2312" w:eastAsia="仿宋_GB2312" w:cs="仿宋_GB2312"/>
                <w:b/>
                <w:szCs w:val="21"/>
              </w:rPr>
              <w:t>适用条件</w:t>
            </w:r>
          </w:p>
        </w:tc>
        <w:tc>
          <w:tcPr>
            <w:tcW w:w="1000"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2"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205.2</w:t>
            </w:r>
          </w:p>
        </w:tc>
        <w:tc>
          <w:tcPr>
            <w:tcW w:w="464"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房屋安全责任人未申报登记的</w:t>
            </w:r>
          </w:p>
        </w:tc>
        <w:tc>
          <w:tcPr>
            <w:tcW w:w="85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十五条第二款：“房屋修缮、改造或者进行室内装饰装修等依法无需办理用地、规划、施工许可手续的，房屋安全责任人应当在工程实施前向房屋所在地街道办事处申报登记，街道办事处应当将本办法第十四条规定及其他注意事项书面告知申报人。街道办事处可以通过社区工作站，或者委托物业服务企业及其他管理单位代为受理登记。”</w:t>
            </w:r>
          </w:p>
        </w:tc>
        <w:tc>
          <w:tcPr>
            <w:tcW w:w="624"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第四十二条第二款：“违反本办法第十五条第二款规定，房屋安全责任人未申报登记的，由区主管部门责令改正，并对个人处以一千元以下罚款，对单位处以一万元以上五万元以下罚款。”</w:t>
            </w:r>
          </w:p>
        </w:tc>
        <w:tc>
          <w:tcPr>
            <w:tcW w:w="500"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szCs w:val="21"/>
              </w:rPr>
            </w:pPr>
            <w:r>
              <w:rPr>
                <w:rFonts w:hint="eastAsia" w:ascii="仿宋_GB2312" w:hAnsi="仿宋_GB2312" w:eastAsia="仿宋_GB2312" w:cs="仿宋_GB2312"/>
                <w:szCs w:val="21"/>
              </w:rPr>
              <w:t>罚款</w:t>
            </w:r>
          </w:p>
        </w:tc>
        <w:tc>
          <w:tcPr>
            <w:tcW w:w="50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723" w:type="pct"/>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szCs w:val="21"/>
              </w:rPr>
            </w:pPr>
            <w:r>
              <w:rPr>
                <w:rFonts w:hint="eastAsia" w:ascii="仿宋_GB2312" w:hAnsi="仿宋_GB2312" w:eastAsia="仿宋_GB2312" w:cs="仿宋_GB2312"/>
                <w:szCs w:val="21"/>
              </w:rPr>
              <w:t>未造成后果或造成轻微危害后果的</w:t>
            </w:r>
          </w:p>
        </w:tc>
        <w:tc>
          <w:tcPr>
            <w:tcW w:w="1000" w:type="pct"/>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szCs w:val="21"/>
              </w:rPr>
            </w:pPr>
            <w:r>
              <w:rPr>
                <w:rFonts w:hint="eastAsia" w:ascii="仿宋_GB2312" w:hAnsi="仿宋_GB2312" w:eastAsia="仿宋_GB2312" w:cs="仿宋_GB2312"/>
                <w:szCs w:val="21"/>
              </w:rPr>
              <w:t>责令改正，并对个人处以二百元罚款；</w:t>
            </w:r>
          </w:p>
          <w:p>
            <w:pPr>
              <w:widowControl/>
              <w:rPr>
                <w:rFonts w:hint="eastAsia" w:ascii="仿宋_GB2312" w:hAnsi="仿宋_GB2312" w:eastAsia="仿宋_GB2312" w:cs="仿宋_GB2312"/>
                <w:szCs w:val="21"/>
              </w:rPr>
            </w:pPr>
            <w:r>
              <w:rPr>
                <w:rFonts w:hint="eastAsia" w:ascii="仿宋_GB2312" w:hAnsi="仿宋_GB2312" w:eastAsia="仿宋_GB2312" w:cs="仿宋_GB2312"/>
                <w:szCs w:val="21"/>
              </w:rPr>
              <w:t>对单位处以一万元以上、低于三万元的罚款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6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5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2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0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szCs w:val="21"/>
              </w:rPr>
            </w:pPr>
          </w:p>
        </w:tc>
        <w:tc>
          <w:tcPr>
            <w:tcW w:w="50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723" w:type="pct"/>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造成一般危害后果的</w:t>
            </w:r>
          </w:p>
        </w:tc>
        <w:tc>
          <w:tcPr>
            <w:tcW w:w="1000" w:type="pct"/>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szCs w:val="21"/>
              </w:rPr>
            </w:pPr>
            <w:r>
              <w:rPr>
                <w:rFonts w:hint="eastAsia" w:ascii="仿宋_GB2312" w:hAnsi="仿宋_GB2312" w:eastAsia="仿宋_GB2312" w:cs="仿宋_GB2312"/>
                <w:szCs w:val="21"/>
              </w:rPr>
              <w:t>责令改正，并对个人处以五百元罚款；</w:t>
            </w:r>
          </w:p>
          <w:p>
            <w:pPr>
              <w:widowControl/>
              <w:rPr>
                <w:rFonts w:hint="eastAsia" w:ascii="仿宋_GB2312" w:hAnsi="仿宋_GB2312" w:eastAsia="仿宋_GB2312" w:cs="仿宋_GB2312"/>
                <w:szCs w:val="21"/>
              </w:rPr>
            </w:pPr>
            <w:r>
              <w:rPr>
                <w:rFonts w:hint="eastAsia" w:ascii="仿宋_GB2312" w:hAnsi="仿宋_GB2312" w:eastAsia="仿宋_GB2312" w:cs="仿宋_GB2312"/>
                <w:szCs w:val="21"/>
              </w:rPr>
              <w:t>对单位处以三万元罚款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6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5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2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0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szCs w:val="21"/>
              </w:rPr>
            </w:pPr>
          </w:p>
        </w:tc>
        <w:tc>
          <w:tcPr>
            <w:tcW w:w="50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723" w:type="pct"/>
            <w:tcBorders>
              <w:top w:val="single" w:color="auto" w:sz="4" w:space="0"/>
              <w:left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造成严重危害后果或发生安全事故的</w:t>
            </w:r>
          </w:p>
        </w:tc>
        <w:tc>
          <w:tcPr>
            <w:tcW w:w="1000" w:type="pct"/>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szCs w:val="21"/>
              </w:rPr>
            </w:pPr>
            <w:r>
              <w:rPr>
                <w:rFonts w:hint="eastAsia" w:ascii="仿宋_GB2312" w:hAnsi="仿宋_GB2312" w:eastAsia="仿宋_GB2312" w:cs="仿宋_GB2312"/>
                <w:szCs w:val="21"/>
              </w:rPr>
              <w:t>责令改正，并对个人处以超过五百元、一千元以下罚款；</w:t>
            </w:r>
          </w:p>
          <w:p>
            <w:pPr>
              <w:widowControl/>
              <w:rPr>
                <w:rFonts w:hint="eastAsia" w:ascii="仿宋_GB2312" w:hAnsi="仿宋_GB2312" w:eastAsia="仿宋_GB2312" w:cs="仿宋_GB2312"/>
                <w:szCs w:val="21"/>
              </w:rPr>
            </w:pPr>
            <w:r>
              <w:rPr>
                <w:rFonts w:hint="eastAsia" w:ascii="仿宋_GB2312" w:hAnsi="仿宋_GB2312" w:eastAsia="仿宋_GB2312" w:cs="仿宋_GB2312"/>
                <w:szCs w:val="21"/>
              </w:rPr>
              <w:t>对单位处以超过三万元、五万元以下罚款</w:t>
            </w:r>
          </w:p>
        </w:tc>
      </w:tr>
    </w:tbl>
    <w:p>
      <w:pPr>
        <w:widowControl/>
        <w:jc w:val="left"/>
        <w:rPr>
          <w:rFonts w:ascii="宋体"/>
          <w:b/>
          <w:sz w:val="32"/>
          <w:szCs w:val="24"/>
          <w:lang w:val="en"/>
        </w:rPr>
      </w:pPr>
      <w:r>
        <w:rPr>
          <w:rFonts w:ascii="宋体" w:eastAsia="宋体 (正文)"/>
          <w:sz w:val="32"/>
          <w:szCs w:val="24"/>
          <w:lang w:val="en"/>
        </w:rPr>
        <w:t>《深圳市房屋安全管理办法》</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8"/>
        <w:gridCol w:w="1596"/>
        <w:gridCol w:w="2243"/>
        <w:gridCol w:w="2427"/>
        <w:gridCol w:w="1408"/>
        <w:gridCol w:w="1408"/>
        <w:gridCol w:w="2035"/>
        <w:gridCol w:w="21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3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56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79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85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497"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497"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718"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szCs w:val="21"/>
              </w:rPr>
            </w:pPr>
            <w:r>
              <w:rPr>
                <w:rFonts w:hint="eastAsia" w:ascii="仿宋_GB2312" w:hAnsi="仿宋_GB2312" w:eastAsia="仿宋_GB2312" w:cs="仿宋_GB2312"/>
                <w:b/>
                <w:szCs w:val="21"/>
              </w:rPr>
              <w:t>适用条件</w:t>
            </w:r>
          </w:p>
        </w:tc>
        <w:tc>
          <w:tcPr>
            <w:tcW w:w="748"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205.3</w:t>
            </w:r>
          </w:p>
        </w:tc>
        <w:tc>
          <w:tcPr>
            <w:tcW w:w="563"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物业服务企业或者其他受托管理单位未制止违法行为并向房屋所在地街道办事处及时报告的，或者未采取安全防护措施，拒不改正的</w:t>
            </w:r>
          </w:p>
        </w:tc>
        <w:tc>
          <w:tcPr>
            <w:tcW w:w="79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十六条：“物业服务企业或者其他受托管理单位发现有违反本办法第十四条规定行为的，应当予以制止，并及时报告房屋所在地街道办事处；发现房屋存在结构安全隐患的，应当及时报告房屋安全责任人及房屋所在地街道办事处，并采取安全防护措施确保公共安全。”</w:t>
            </w:r>
          </w:p>
        </w:tc>
        <w:tc>
          <w:tcPr>
            <w:tcW w:w="85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四十三条：“违反本办法第十六条规定，物业服务企业或者其他受托管理单位未制止违法行为并向房屋所在地街道办事处及时报告的，或者未采取安全防护措施的，由区主管部门责令改正，拒不改正的，处三万元以上五万元以下罚款。”</w:t>
            </w:r>
          </w:p>
        </w:tc>
        <w:tc>
          <w:tcPr>
            <w:tcW w:w="497"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szCs w:val="21"/>
              </w:rPr>
            </w:pPr>
            <w:r>
              <w:rPr>
                <w:rFonts w:hint="eastAsia" w:ascii="仿宋_GB2312" w:hAnsi="仿宋_GB2312" w:eastAsia="仿宋_GB2312" w:cs="仿宋_GB2312"/>
                <w:szCs w:val="21"/>
              </w:rPr>
              <w:t>罚款</w:t>
            </w:r>
          </w:p>
        </w:tc>
        <w:tc>
          <w:tcPr>
            <w:tcW w:w="49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718" w:type="pct"/>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szCs w:val="21"/>
              </w:rPr>
            </w:pPr>
            <w:r>
              <w:rPr>
                <w:rFonts w:hint="eastAsia" w:ascii="仿宋_GB2312" w:hAnsi="仿宋_GB2312" w:eastAsia="仿宋_GB2312" w:cs="仿宋_GB2312"/>
                <w:szCs w:val="21"/>
              </w:rPr>
              <w:t>未造成后果或造成轻微危害后果的</w:t>
            </w:r>
          </w:p>
        </w:tc>
        <w:tc>
          <w:tcPr>
            <w:tcW w:w="748" w:type="pct"/>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szCs w:val="21"/>
              </w:rPr>
            </w:pPr>
            <w:r>
              <w:rPr>
                <w:rFonts w:hint="eastAsia" w:ascii="仿宋_GB2312" w:hAnsi="仿宋_GB2312" w:eastAsia="仿宋_GB2312" w:cs="仿宋_GB2312"/>
                <w:szCs w:val="21"/>
              </w:rPr>
              <w:t>责令改正，拒不改正的，处三万元以上、低于四万元罚款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6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79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5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9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szCs w:val="21"/>
              </w:rPr>
            </w:pPr>
          </w:p>
        </w:tc>
        <w:tc>
          <w:tcPr>
            <w:tcW w:w="49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718" w:type="pct"/>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造成一般危害后果的</w:t>
            </w:r>
          </w:p>
        </w:tc>
        <w:tc>
          <w:tcPr>
            <w:tcW w:w="748" w:type="pct"/>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szCs w:val="21"/>
              </w:rPr>
            </w:pPr>
            <w:r>
              <w:rPr>
                <w:rFonts w:hint="eastAsia" w:ascii="仿宋_GB2312" w:hAnsi="仿宋_GB2312" w:eastAsia="仿宋_GB2312" w:cs="仿宋_GB2312"/>
                <w:szCs w:val="21"/>
              </w:rPr>
              <w:t>责令改正，拒不改正的，处四万元罚款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6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79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5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9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szCs w:val="21"/>
              </w:rPr>
            </w:pPr>
          </w:p>
        </w:tc>
        <w:tc>
          <w:tcPr>
            <w:tcW w:w="49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718" w:type="pct"/>
            <w:tcBorders>
              <w:top w:val="single" w:color="auto" w:sz="4" w:space="0"/>
              <w:left w:val="single" w:color="auto" w:sz="4" w:space="0"/>
              <w:right w:val="single" w:color="auto" w:sz="4" w:space="0"/>
              <w:tl2br w:val="nil"/>
              <w:tr2bl w:val="nil"/>
            </w:tcBorders>
            <w:vAlign w:val="center"/>
          </w:tcPr>
          <w:p>
            <w:pPr>
              <w:widowControl/>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造成严重危害后果或造成安全事故的</w:t>
            </w:r>
          </w:p>
        </w:tc>
        <w:tc>
          <w:tcPr>
            <w:tcW w:w="748" w:type="pct"/>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szCs w:val="21"/>
              </w:rPr>
            </w:pPr>
            <w:r>
              <w:rPr>
                <w:rFonts w:hint="eastAsia" w:ascii="仿宋_GB2312" w:hAnsi="仿宋_GB2312" w:eastAsia="仿宋_GB2312" w:cs="仿宋_GB2312"/>
                <w:szCs w:val="21"/>
              </w:rPr>
              <w:t>责令改正，拒不改正的，处超过四万元、五万元以下罚款</w:t>
            </w:r>
          </w:p>
        </w:tc>
      </w:tr>
    </w:tbl>
    <w:p>
      <w:pPr>
        <w:widowControl/>
        <w:jc w:val="left"/>
        <w:rPr>
          <w:rFonts w:ascii="宋体"/>
          <w:b/>
          <w:sz w:val="32"/>
          <w:szCs w:val="24"/>
          <w:lang w:val="en"/>
        </w:rPr>
      </w:pPr>
      <w:r>
        <w:rPr>
          <w:rFonts w:ascii="宋体" w:eastAsia="宋体 (正文)"/>
          <w:sz w:val="32"/>
          <w:szCs w:val="24"/>
          <w:lang w:val="en"/>
        </w:rPr>
        <w:t>《深圳市房屋安全管理办法》</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7"/>
        <w:gridCol w:w="1409"/>
        <w:gridCol w:w="2894"/>
        <w:gridCol w:w="1644"/>
        <w:gridCol w:w="1568"/>
        <w:gridCol w:w="1253"/>
        <w:gridCol w:w="2347"/>
        <w:gridCol w:w="21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3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49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102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58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553"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442"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828"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szCs w:val="21"/>
              </w:rPr>
            </w:pPr>
            <w:r>
              <w:rPr>
                <w:rFonts w:hint="eastAsia" w:ascii="仿宋_GB2312" w:hAnsi="仿宋_GB2312" w:eastAsia="仿宋_GB2312" w:cs="仿宋_GB2312"/>
                <w:b/>
                <w:szCs w:val="21"/>
              </w:rPr>
              <w:t>适用条件</w:t>
            </w:r>
          </w:p>
        </w:tc>
        <w:tc>
          <w:tcPr>
            <w:tcW w:w="748" w:type="pc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0"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205.4</w:t>
            </w:r>
          </w:p>
        </w:tc>
        <w:tc>
          <w:tcPr>
            <w:tcW w:w="497"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建设单位未委托专业机构对工程周边房屋进行安全影响评估并采取风险防范措施的</w:t>
            </w:r>
          </w:p>
        </w:tc>
        <w:tc>
          <w:tcPr>
            <w:tcW w:w="102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第二十条：“在地下工程或者爆破工程施工前，建设单位应当按规定实地调查周边房屋的场址、地基基础、建筑上部主体结构及围护结构情况，委托专业机构进行安全影响评估，并结合实际采取风险防范措施。</w:t>
            </w:r>
          </w:p>
          <w:p>
            <w:pPr>
              <w:ind w:firstLine="420" w:firstLineChars="200"/>
              <w:rPr>
                <w:rFonts w:hint="eastAsia" w:ascii="仿宋_GB2312" w:hAnsi="仿宋_GB2312" w:eastAsia="仿宋_GB2312" w:cs="仿宋_GB2312"/>
                <w:szCs w:val="21"/>
              </w:rPr>
            </w:pPr>
            <w:r>
              <w:rPr>
                <w:rFonts w:hint="eastAsia" w:ascii="仿宋_GB2312" w:hAnsi="仿宋_GB2312" w:eastAsia="仿宋_GB2312" w:cs="仿宋_GB2312"/>
                <w:szCs w:val="21"/>
              </w:rPr>
              <w:t>工程建设管理部门应当督促建设单位按规定采取风险防范措施以保障周边区域房屋安全，并对施工过程中影响周边区域房屋安全的情形及时处置。”</w:t>
            </w:r>
          </w:p>
        </w:tc>
        <w:tc>
          <w:tcPr>
            <w:tcW w:w="580"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第四十四条：“违反本办法第二十条规定，建设单位未委托专业机构对工程周边房屋进行安全影响评估并采取风险防范措施的，由工程建设管理部门责令限期改正，处五万元以上十万元以下罚款。”</w:t>
            </w:r>
          </w:p>
        </w:tc>
        <w:tc>
          <w:tcPr>
            <w:tcW w:w="553"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szCs w:val="21"/>
              </w:rPr>
            </w:pPr>
            <w:r>
              <w:rPr>
                <w:rFonts w:hint="eastAsia" w:ascii="仿宋_GB2312" w:hAnsi="仿宋_GB2312" w:eastAsia="仿宋_GB2312" w:cs="仿宋_GB2312"/>
                <w:szCs w:val="21"/>
              </w:rPr>
              <w:t>罚款</w:t>
            </w:r>
          </w:p>
        </w:tc>
        <w:tc>
          <w:tcPr>
            <w:tcW w:w="44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828" w:type="pct"/>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szCs w:val="21"/>
              </w:rPr>
            </w:pPr>
            <w:r>
              <w:rPr>
                <w:rFonts w:hint="eastAsia" w:ascii="仿宋_GB2312" w:hAnsi="仿宋_GB2312" w:eastAsia="仿宋_GB2312" w:cs="仿宋_GB2312"/>
                <w:szCs w:val="21"/>
              </w:rPr>
              <w:t>未造成后果或造成轻微危害后果的</w:t>
            </w:r>
          </w:p>
        </w:tc>
        <w:tc>
          <w:tcPr>
            <w:tcW w:w="748" w:type="pct"/>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szCs w:val="21"/>
              </w:rPr>
            </w:pPr>
            <w:r>
              <w:rPr>
                <w:rFonts w:hint="eastAsia" w:ascii="仿宋_GB2312" w:hAnsi="仿宋_GB2312" w:eastAsia="仿宋_GB2312" w:cs="仿宋_GB2312"/>
                <w:szCs w:val="21"/>
              </w:rPr>
              <w:t>责令限期改正，处五万元以上、低于七万五千元罚款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9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102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8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5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szCs w:val="21"/>
              </w:rPr>
            </w:pPr>
          </w:p>
        </w:tc>
        <w:tc>
          <w:tcPr>
            <w:tcW w:w="44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828" w:type="pct"/>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造成一般危害后果的</w:t>
            </w:r>
          </w:p>
        </w:tc>
        <w:tc>
          <w:tcPr>
            <w:tcW w:w="748" w:type="pct"/>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szCs w:val="21"/>
              </w:rPr>
            </w:pPr>
            <w:r>
              <w:rPr>
                <w:rFonts w:hint="eastAsia" w:ascii="仿宋_GB2312" w:hAnsi="仿宋_GB2312" w:eastAsia="仿宋_GB2312" w:cs="仿宋_GB2312"/>
                <w:szCs w:val="21"/>
              </w:rPr>
              <w:t>责令限期改正，处七万五千元罚款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9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102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8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5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widowControl/>
              <w:jc w:val="center"/>
              <w:rPr>
                <w:rFonts w:hint="eastAsia" w:ascii="仿宋_GB2312" w:hAnsi="仿宋_GB2312" w:eastAsia="仿宋_GB2312" w:cs="仿宋_GB2312"/>
                <w:szCs w:val="21"/>
              </w:rPr>
            </w:pPr>
          </w:p>
        </w:tc>
        <w:tc>
          <w:tcPr>
            <w:tcW w:w="44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828" w:type="pct"/>
            <w:tcBorders>
              <w:top w:val="single" w:color="auto" w:sz="4" w:space="0"/>
              <w:left w:val="single" w:color="auto" w:sz="4" w:space="0"/>
              <w:right w:val="single" w:color="auto" w:sz="4" w:space="0"/>
              <w:tl2br w:val="nil"/>
              <w:tr2bl w:val="nil"/>
            </w:tcBorders>
            <w:vAlign w:val="center"/>
          </w:tcPr>
          <w:p>
            <w:pPr>
              <w:widowControl/>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造成严重危害后果或造成安全事故的</w:t>
            </w:r>
          </w:p>
        </w:tc>
        <w:tc>
          <w:tcPr>
            <w:tcW w:w="748" w:type="pct"/>
            <w:tcBorders>
              <w:top w:val="single" w:color="auto" w:sz="4" w:space="0"/>
              <w:left w:val="single" w:color="auto" w:sz="4" w:space="0"/>
              <w:bottom w:val="single" w:color="auto" w:sz="4" w:space="0"/>
              <w:right w:val="single" w:color="auto" w:sz="4" w:space="0"/>
              <w:tl2br w:val="nil"/>
              <w:tr2bl w:val="nil"/>
            </w:tcBorders>
            <w:vAlign w:val="center"/>
          </w:tcPr>
          <w:p>
            <w:pPr>
              <w:widowControl/>
              <w:rPr>
                <w:rFonts w:hint="eastAsia" w:ascii="仿宋_GB2312" w:hAnsi="仿宋_GB2312" w:eastAsia="仿宋_GB2312" w:cs="仿宋_GB2312"/>
                <w:szCs w:val="21"/>
              </w:rPr>
            </w:pPr>
            <w:r>
              <w:rPr>
                <w:rFonts w:hint="eastAsia" w:ascii="仿宋_GB2312" w:hAnsi="仿宋_GB2312" w:eastAsia="仿宋_GB2312" w:cs="仿宋_GB2312"/>
                <w:szCs w:val="21"/>
              </w:rPr>
              <w:t>责令限期改正，处超过七万五千元、十万元以下罚款</w:t>
            </w:r>
          </w:p>
        </w:tc>
      </w:tr>
    </w:tbl>
    <w:p>
      <w:pPr>
        <w:widowControl/>
        <w:jc w:val="left"/>
        <w:rPr>
          <w:rFonts w:ascii="宋体"/>
          <w:b/>
          <w:sz w:val="32"/>
          <w:szCs w:val="24"/>
          <w:lang w:val="en"/>
        </w:rPr>
      </w:pPr>
      <w:r>
        <w:rPr>
          <w:rFonts w:ascii="宋体" w:hAnsi="宋体"/>
          <w:szCs w:val="24"/>
        </w:rPr>
        <w:br w:type="page"/>
      </w:r>
      <w:r>
        <w:rPr>
          <w:rFonts w:ascii="宋体" w:eastAsia="宋体 (正文)"/>
          <w:sz w:val="32"/>
          <w:szCs w:val="24"/>
          <w:lang w:val="en"/>
        </w:rPr>
        <w:t>《深圳市房屋安全管理办法》</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8"/>
        <w:gridCol w:w="1299"/>
        <w:gridCol w:w="2880"/>
        <w:gridCol w:w="1961"/>
        <w:gridCol w:w="1261"/>
        <w:gridCol w:w="1202"/>
        <w:gridCol w:w="1891"/>
        <w:gridCol w:w="274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3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45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101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69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44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42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66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96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205.5</w:t>
            </w:r>
          </w:p>
        </w:tc>
        <w:tc>
          <w:tcPr>
            <w:tcW w:w="45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房屋安全责任人单独或者会同第三方责任主体未委托鉴定机构对房屋进行安全鉴定的</w:t>
            </w:r>
          </w:p>
        </w:tc>
        <w:tc>
          <w:tcPr>
            <w:tcW w:w="101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第二十五条：“有下列情形之一的，房屋安全责任人应当单独或者会同第三方责任主体委托鉴定机构进行鉴定：</w:t>
            </w:r>
          </w:p>
          <w:p>
            <w:pPr>
              <w:numPr>
                <w:ilvl w:val="0"/>
                <w:numId w:val="11"/>
              </w:numPr>
              <w:rPr>
                <w:rFonts w:hint="eastAsia" w:ascii="仿宋_GB2312" w:hAnsi="仿宋_GB2312" w:eastAsia="仿宋_GB2312" w:cs="仿宋_GB2312"/>
                <w:szCs w:val="21"/>
              </w:rPr>
            </w:pPr>
            <w:r>
              <w:rPr>
                <w:rFonts w:hint="eastAsia" w:ascii="仿宋_GB2312" w:hAnsi="仿宋_GB2312" w:eastAsia="仿宋_GB2312" w:cs="仿宋_GB2312"/>
                <w:szCs w:val="21"/>
              </w:rPr>
              <w:t>房屋改建、扩建或者增加使用荷载的；</w:t>
            </w:r>
          </w:p>
          <w:p>
            <w:pPr>
              <w:numPr>
                <w:ilvl w:val="0"/>
                <w:numId w:val="11"/>
              </w:numPr>
              <w:rPr>
                <w:rFonts w:hint="eastAsia" w:ascii="仿宋_GB2312" w:hAnsi="仿宋_GB2312" w:eastAsia="仿宋_GB2312" w:cs="仿宋_GB2312"/>
                <w:szCs w:val="21"/>
              </w:rPr>
            </w:pPr>
            <w:r>
              <w:rPr>
                <w:rFonts w:hint="eastAsia" w:ascii="仿宋_GB2312" w:hAnsi="仿宋_GB2312" w:eastAsia="仿宋_GB2312" w:cs="仿宋_GB2312"/>
                <w:szCs w:val="21"/>
              </w:rPr>
              <w:t>改变房屋使用功能，影响房屋安全使用的；</w:t>
            </w:r>
          </w:p>
          <w:p>
            <w:pPr>
              <w:numPr>
                <w:ilvl w:val="0"/>
                <w:numId w:val="11"/>
              </w:numPr>
              <w:rPr>
                <w:rFonts w:hint="eastAsia" w:ascii="仿宋_GB2312" w:hAnsi="仿宋_GB2312" w:eastAsia="仿宋_GB2312" w:cs="仿宋_GB2312"/>
                <w:szCs w:val="21"/>
              </w:rPr>
            </w:pPr>
            <w:r>
              <w:rPr>
                <w:rFonts w:hint="eastAsia" w:ascii="仿宋_GB2312" w:hAnsi="仿宋_GB2312" w:eastAsia="仿宋_GB2312" w:cs="仿宋_GB2312"/>
                <w:szCs w:val="21"/>
              </w:rPr>
              <w:t>房屋达到设计使用年限拟继续使用的；</w:t>
            </w:r>
          </w:p>
          <w:p>
            <w:pPr>
              <w:numPr>
                <w:ilvl w:val="0"/>
                <w:numId w:val="11"/>
              </w:numPr>
              <w:rPr>
                <w:rFonts w:hint="eastAsia" w:ascii="仿宋_GB2312" w:hAnsi="仿宋_GB2312" w:eastAsia="仿宋_GB2312" w:cs="仿宋_GB2312"/>
                <w:szCs w:val="21"/>
              </w:rPr>
            </w:pPr>
            <w:r>
              <w:rPr>
                <w:rFonts w:hint="eastAsia" w:ascii="仿宋_GB2312" w:hAnsi="仿宋_GB2312" w:eastAsia="仿宋_GB2312" w:cs="仿宋_GB2312"/>
                <w:szCs w:val="21"/>
              </w:rPr>
              <w:t>房屋遭受自然灾害、火灾、爆炸、碰撞等事故，或者因地下工程施工，或者存在较严重的质量缺陷导致房屋结构损伤、严重腐蚀、裂缝变形的；</w:t>
            </w:r>
          </w:p>
          <w:p>
            <w:pPr>
              <w:rPr>
                <w:rFonts w:hint="eastAsia" w:ascii="仿宋_GB2312" w:hAnsi="仿宋_GB2312" w:eastAsia="仿宋_GB2312" w:cs="仿宋_GB2312"/>
                <w:szCs w:val="21"/>
              </w:rPr>
            </w:pPr>
            <w:r>
              <w:rPr>
                <w:rFonts w:hint="eastAsia" w:ascii="仿宋_GB2312" w:hAnsi="仿宋_GB2312" w:eastAsia="仿宋_GB2312" w:cs="仿宋_GB2312"/>
                <w:szCs w:val="21"/>
              </w:rPr>
              <w:t>（五）其他依法需要进行房屋安全检测鉴定的情形。”</w:t>
            </w:r>
          </w:p>
        </w:tc>
        <w:tc>
          <w:tcPr>
            <w:tcW w:w="692"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四十五条：“违反本办法第二十五条规定，房屋安全责任人单独或者会同第三方责任主体未委托鉴定机构对房屋进行安全鉴定的，由区主管部门责令限期改正，对个人处以一千元罚款，对单位处以五万元以上十万元以下罚款。”</w:t>
            </w:r>
          </w:p>
        </w:tc>
        <w:tc>
          <w:tcPr>
            <w:tcW w:w="44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rPr>
              <w:t>罚款</w:t>
            </w:r>
          </w:p>
        </w:tc>
        <w:tc>
          <w:tcPr>
            <w:tcW w:w="42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66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未造成后果或造成轻微危害后果的</w:t>
            </w:r>
          </w:p>
        </w:tc>
        <w:tc>
          <w:tcPr>
            <w:tcW w:w="969"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责令限期改正，对个人处以一千元罚款；</w:t>
            </w:r>
          </w:p>
          <w:p>
            <w:pPr>
              <w:rPr>
                <w:rFonts w:hint="eastAsia" w:ascii="仿宋_GB2312" w:hAnsi="仿宋_GB2312" w:eastAsia="仿宋_GB2312" w:cs="仿宋_GB2312"/>
                <w:szCs w:val="21"/>
              </w:rPr>
            </w:pPr>
            <w:r>
              <w:rPr>
                <w:rFonts w:hint="eastAsia" w:ascii="仿宋_GB2312" w:hAnsi="仿宋_GB2312" w:eastAsia="仿宋_GB2312" w:cs="仿宋_GB2312"/>
                <w:szCs w:val="21"/>
              </w:rPr>
              <w:t>对单位处以五万元以上、低于七万五千元罚款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5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101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9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4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p>
        </w:tc>
        <w:tc>
          <w:tcPr>
            <w:tcW w:w="42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66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造成一般危害后果的</w:t>
            </w:r>
          </w:p>
        </w:tc>
        <w:tc>
          <w:tcPr>
            <w:tcW w:w="969"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责令限期改正，对个人处以一千元罚款；</w:t>
            </w:r>
          </w:p>
          <w:p>
            <w:pPr>
              <w:rPr>
                <w:rFonts w:hint="eastAsia" w:ascii="仿宋_GB2312" w:hAnsi="仿宋_GB2312" w:eastAsia="仿宋_GB2312" w:cs="仿宋_GB2312"/>
                <w:szCs w:val="21"/>
              </w:rPr>
            </w:pPr>
            <w:r>
              <w:rPr>
                <w:rFonts w:hint="eastAsia" w:ascii="仿宋_GB2312" w:hAnsi="仿宋_GB2312" w:eastAsia="仿宋_GB2312" w:cs="仿宋_GB2312"/>
                <w:szCs w:val="21"/>
              </w:rPr>
              <w:t>对单位处以七万五千元罚款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5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101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9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4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p>
        </w:tc>
        <w:tc>
          <w:tcPr>
            <w:tcW w:w="42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667" w:type="pct"/>
            <w:tcBorders>
              <w:top w:val="single" w:color="auto" w:sz="4" w:space="0"/>
              <w:left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造成严重危害后果或造成安全事故的</w:t>
            </w:r>
          </w:p>
        </w:tc>
        <w:tc>
          <w:tcPr>
            <w:tcW w:w="969"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责令限期改正，对个人处以一千元罚款；</w:t>
            </w:r>
          </w:p>
          <w:p>
            <w:pPr>
              <w:rPr>
                <w:rFonts w:hint="eastAsia" w:ascii="仿宋_GB2312" w:hAnsi="仿宋_GB2312" w:eastAsia="仿宋_GB2312" w:cs="仿宋_GB2312"/>
                <w:szCs w:val="21"/>
              </w:rPr>
            </w:pPr>
            <w:r>
              <w:rPr>
                <w:rFonts w:hint="eastAsia" w:ascii="仿宋_GB2312" w:hAnsi="仿宋_GB2312" w:eastAsia="仿宋_GB2312" w:cs="仿宋_GB2312"/>
                <w:szCs w:val="21"/>
              </w:rPr>
              <w:t>对单位处以超过七万五千元、十万元以下罚款</w:t>
            </w:r>
          </w:p>
        </w:tc>
      </w:tr>
    </w:tbl>
    <w:p>
      <w:pPr>
        <w:widowControl/>
        <w:jc w:val="left"/>
        <w:rPr>
          <w:rFonts w:ascii="宋体"/>
          <w:b/>
          <w:sz w:val="32"/>
          <w:szCs w:val="24"/>
          <w:lang w:val="en"/>
        </w:rPr>
      </w:pPr>
      <w:r>
        <w:rPr>
          <w:rFonts w:ascii="宋体" w:eastAsia="宋体 (正文)"/>
          <w:sz w:val="32"/>
          <w:szCs w:val="24"/>
          <w:lang w:val="en"/>
        </w:rPr>
        <w:t>《深圳市房屋安全管理办法》</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72"/>
        <w:gridCol w:w="1193"/>
        <w:gridCol w:w="1715"/>
        <w:gridCol w:w="2801"/>
        <w:gridCol w:w="1477"/>
        <w:gridCol w:w="1528"/>
        <w:gridCol w:w="1828"/>
        <w:gridCol w:w="24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1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42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60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98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52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53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64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86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3"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205.6</w:t>
            </w:r>
          </w:p>
        </w:tc>
        <w:tc>
          <w:tcPr>
            <w:tcW w:w="42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房屋存在结构安全隐患，房屋安全责任人未按照规定采取安全防护措施及时消除安全隐患的</w:t>
            </w:r>
          </w:p>
        </w:tc>
        <w:tc>
          <w:tcPr>
            <w:tcW w:w="60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第三十一条第一款：“房屋存在结构安全隐患的，房屋安全责任人应当按照规定采取安全防护措施及时消除安全隐患。”</w:t>
            </w:r>
          </w:p>
        </w:tc>
        <w:tc>
          <w:tcPr>
            <w:tcW w:w="98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四十七条：“违反本办法第三十一条第一款、第三十二条第二款、第三十三条第一款规定，房屋安全责任人未按规定或者鉴定报告意见采取措施的，由区主管部门责令限期改正，对个人处以一千元罚款，对单位处以五万元以上十万元以下罚款。”</w:t>
            </w:r>
          </w:p>
        </w:tc>
        <w:tc>
          <w:tcPr>
            <w:tcW w:w="52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rPr>
              <w:t>罚款</w:t>
            </w:r>
          </w:p>
        </w:tc>
        <w:tc>
          <w:tcPr>
            <w:tcW w:w="53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64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未造成后果或造成轻微危害后果的</w:t>
            </w:r>
          </w:p>
        </w:tc>
        <w:tc>
          <w:tcPr>
            <w:tcW w:w="86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责令限期改正，对个人处以一千元罚款；</w:t>
            </w:r>
          </w:p>
          <w:p>
            <w:pPr>
              <w:rPr>
                <w:rFonts w:hint="eastAsia" w:ascii="仿宋_GB2312" w:hAnsi="仿宋_GB2312" w:eastAsia="仿宋_GB2312" w:cs="仿宋_GB2312"/>
                <w:szCs w:val="21"/>
              </w:rPr>
            </w:pPr>
            <w:r>
              <w:rPr>
                <w:rFonts w:hint="eastAsia" w:ascii="仿宋_GB2312" w:hAnsi="仿宋_GB2312" w:eastAsia="仿宋_GB2312" w:cs="仿宋_GB2312"/>
                <w:szCs w:val="21"/>
              </w:rPr>
              <w:t>对单位处以五万元以上、低于七万五千元罚款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2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8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2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p>
        </w:tc>
        <w:tc>
          <w:tcPr>
            <w:tcW w:w="53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64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造成一般危害后果的</w:t>
            </w:r>
          </w:p>
        </w:tc>
        <w:tc>
          <w:tcPr>
            <w:tcW w:w="86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责令限期改正，对个人处以一千元罚款；</w:t>
            </w:r>
          </w:p>
          <w:p>
            <w:pPr>
              <w:rPr>
                <w:rFonts w:hint="eastAsia" w:ascii="仿宋_GB2312" w:hAnsi="仿宋_GB2312" w:eastAsia="仿宋_GB2312" w:cs="仿宋_GB2312"/>
                <w:szCs w:val="21"/>
              </w:rPr>
            </w:pPr>
            <w:r>
              <w:rPr>
                <w:rFonts w:hint="eastAsia" w:ascii="仿宋_GB2312" w:hAnsi="仿宋_GB2312" w:eastAsia="仿宋_GB2312" w:cs="仿宋_GB2312"/>
                <w:szCs w:val="21"/>
              </w:rPr>
              <w:t>对单位处以七万五千元罚款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2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0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8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2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p>
        </w:tc>
        <w:tc>
          <w:tcPr>
            <w:tcW w:w="53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645" w:type="pct"/>
            <w:tcBorders>
              <w:top w:val="single" w:color="auto" w:sz="4" w:space="0"/>
              <w:left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造成严重危害后果或造成安全事故的</w:t>
            </w:r>
          </w:p>
        </w:tc>
        <w:tc>
          <w:tcPr>
            <w:tcW w:w="86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责令限期改正，对个人处以一千元罚款；</w:t>
            </w:r>
          </w:p>
          <w:p>
            <w:pPr>
              <w:rPr>
                <w:rFonts w:hint="eastAsia" w:ascii="仿宋_GB2312" w:hAnsi="仿宋_GB2312" w:eastAsia="仿宋_GB2312" w:cs="仿宋_GB2312"/>
                <w:szCs w:val="21"/>
              </w:rPr>
            </w:pPr>
            <w:r>
              <w:rPr>
                <w:rFonts w:hint="eastAsia" w:ascii="仿宋_GB2312" w:hAnsi="仿宋_GB2312" w:eastAsia="仿宋_GB2312" w:cs="仿宋_GB2312"/>
                <w:szCs w:val="21"/>
              </w:rPr>
              <w:t>对单位处以超过七万五千元、十万元以下罚款</w:t>
            </w:r>
          </w:p>
        </w:tc>
      </w:tr>
    </w:tbl>
    <w:p>
      <w:pPr>
        <w:widowControl/>
        <w:jc w:val="left"/>
        <w:rPr>
          <w:rFonts w:ascii="宋体"/>
          <w:b/>
          <w:sz w:val="32"/>
          <w:szCs w:val="24"/>
          <w:lang w:val="en"/>
        </w:rPr>
      </w:pPr>
      <w:r>
        <w:rPr>
          <w:rFonts w:ascii="宋体" w:eastAsia="宋体 (正文)"/>
          <w:sz w:val="32"/>
          <w:szCs w:val="24"/>
          <w:lang w:val="en"/>
        </w:rPr>
        <w:t>《深圳市房屋安全管理办法》</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75"/>
        <w:gridCol w:w="1250"/>
        <w:gridCol w:w="1746"/>
        <w:gridCol w:w="2596"/>
        <w:gridCol w:w="1299"/>
        <w:gridCol w:w="1301"/>
        <w:gridCol w:w="2050"/>
        <w:gridCol w:w="27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1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44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61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91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45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45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72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97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4"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205.7</w:t>
            </w:r>
          </w:p>
        </w:tc>
        <w:tc>
          <w:tcPr>
            <w:tcW w:w="44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危险房屋治理、解危期间，房屋安全责任人未设置围栏和警示标识，未采取安全防护措施，防止他人进入或者靠近的</w:t>
            </w:r>
          </w:p>
        </w:tc>
        <w:tc>
          <w:tcPr>
            <w:tcW w:w="61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第三十二条第二款：“危险房屋治理、解危期间，房屋安全责任人应当设置围栏和警示标识，采取安全防护措施，防止他人进入或者靠近。”</w:t>
            </w:r>
          </w:p>
        </w:tc>
        <w:tc>
          <w:tcPr>
            <w:tcW w:w="91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四十七条：“违反本办法第三十一条第一款、第三十二条第二款、第三十三条第一款规定，房屋安全责任人未按规定或者鉴定报告意见采取措施的，由区主管部门责令限期改正，对个人处以一千元罚款，对单位处以五万元以上十万元以下罚款。”</w:t>
            </w:r>
          </w:p>
        </w:tc>
        <w:tc>
          <w:tcPr>
            <w:tcW w:w="45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rPr>
              <w:t>罚款</w:t>
            </w:r>
          </w:p>
        </w:tc>
        <w:tc>
          <w:tcPr>
            <w:tcW w:w="45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723"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未造成后果或造成轻微危害后果的</w:t>
            </w:r>
          </w:p>
        </w:tc>
        <w:tc>
          <w:tcPr>
            <w:tcW w:w="973"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责令限期改正，对个人处以一千元罚款；</w:t>
            </w:r>
          </w:p>
          <w:p>
            <w:pPr>
              <w:rPr>
                <w:rFonts w:hint="eastAsia" w:ascii="仿宋_GB2312" w:hAnsi="仿宋_GB2312" w:eastAsia="仿宋_GB2312" w:cs="仿宋_GB2312"/>
                <w:szCs w:val="21"/>
              </w:rPr>
            </w:pPr>
            <w:r>
              <w:rPr>
                <w:rFonts w:hint="eastAsia" w:ascii="仿宋_GB2312" w:hAnsi="仿宋_GB2312" w:eastAsia="仿宋_GB2312" w:cs="仿宋_GB2312"/>
                <w:szCs w:val="21"/>
              </w:rPr>
              <w:t>对单位处以五万元以上、低于七万五千元罚款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4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1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1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5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p>
        </w:tc>
        <w:tc>
          <w:tcPr>
            <w:tcW w:w="45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723"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造成一般危害后果的</w:t>
            </w:r>
          </w:p>
        </w:tc>
        <w:tc>
          <w:tcPr>
            <w:tcW w:w="973"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责令限期改正，对个人处以一千元罚款；</w:t>
            </w:r>
          </w:p>
          <w:p>
            <w:pPr>
              <w:rPr>
                <w:rFonts w:hint="eastAsia" w:ascii="仿宋_GB2312" w:hAnsi="仿宋_GB2312" w:eastAsia="仿宋_GB2312" w:cs="仿宋_GB2312"/>
                <w:szCs w:val="21"/>
              </w:rPr>
            </w:pPr>
            <w:r>
              <w:rPr>
                <w:rFonts w:hint="eastAsia" w:ascii="仿宋_GB2312" w:hAnsi="仿宋_GB2312" w:eastAsia="仿宋_GB2312" w:cs="仿宋_GB2312"/>
                <w:szCs w:val="21"/>
              </w:rPr>
              <w:t>对单位处以七万五千元罚款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4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61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1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5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p>
        </w:tc>
        <w:tc>
          <w:tcPr>
            <w:tcW w:w="45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723" w:type="pct"/>
            <w:tcBorders>
              <w:top w:val="single" w:color="auto" w:sz="4" w:space="0"/>
              <w:left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造成严重危害后果或造成安全事故的</w:t>
            </w:r>
          </w:p>
        </w:tc>
        <w:tc>
          <w:tcPr>
            <w:tcW w:w="973"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责令限期改正，对个人处以一千元罚款；</w:t>
            </w:r>
          </w:p>
          <w:p>
            <w:pPr>
              <w:rPr>
                <w:rFonts w:hint="eastAsia" w:ascii="仿宋_GB2312" w:hAnsi="仿宋_GB2312" w:eastAsia="仿宋_GB2312" w:cs="仿宋_GB2312"/>
                <w:szCs w:val="21"/>
              </w:rPr>
            </w:pPr>
            <w:r>
              <w:rPr>
                <w:rFonts w:hint="eastAsia" w:ascii="仿宋_GB2312" w:hAnsi="仿宋_GB2312" w:eastAsia="仿宋_GB2312" w:cs="仿宋_GB2312"/>
                <w:szCs w:val="21"/>
              </w:rPr>
              <w:t>对单位处以超过七万五千元、十万元以下罚款</w:t>
            </w:r>
          </w:p>
        </w:tc>
      </w:tr>
    </w:tbl>
    <w:p>
      <w:pPr>
        <w:widowControl/>
        <w:jc w:val="left"/>
        <w:rPr>
          <w:rFonts w:ascii="宋体"/>
          <w:b/>
          <w:sz w:val="32"/>
          <w:szCs w:val="24"/>
          <w:lang w:val="en"/>
        </w:rPr>
      </w:pPr>
      <w:r>
        <w:rPr>
          <w:rFonts w:ascii="宋体" w:eastAsia="宋体 (正文)"/>
          <w:sz w:val="32"/>
          <w:szCs w:val="24"/>
          <w:lang w:val="en"/>
        </w:rPr>
        <w:t>《深圳市房屋安全管理办法》</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74"/>
        <w:gridCol w:w="1310"/>
        <w:gridCol w:w="2441"/>
        <w:gridCol w:w="2229"/>
        <w:gridCol w:w="1264"/>
        <w:gridCol w:w="1545"/>
        <w:gridCol w:w="1630"/>
        <w:gridCol w:w="258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1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46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86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78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44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54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57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91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4"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205.8</w:t>
            </w:r>
          </w:p>
        </w:tc>
        <w:tc>
          <w:tcPr>
            <w:tcW w:w="462"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经鉴定属于危险房屋且应当“停止使用”或者“整体拆除”，房屋安全责任人未及时根据鉴定报告意见采取措施的</w:t>
            </w:r>
          </w:p>
        </w:tc>
        <w:tc>
          <w:tcPr>
            <w:tcW w:w="86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三十三条第一款：“经鉴定属于危险房屋且应当“停止使用”或者“整体拆除”的，房屋安全责任人未及时根据鉴定报告意见采取措施的，街道办事处应当向房屋安全责任人发出《危险房屋停止使用通知书》，责令其停止使用，并限期搬迁和治理、解危。房屋安全责任人逾期未搬迁或者未治理、解危的，街道办事处应当会同区主管部门及时报告区人民政府进行应急处置和抢险救援。”</w:t>
            </w:r>
          </w:p>
        </w:tc>
        <w:tc>
          <w:tcPr>
            <w:tcW w:w="78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四十七条：“违反本办法第三十一条第一款、第三十二条第二款、第三十三条第一款规定，房屋安全责任人未按规定或者鉴定报告意见采取措施的，由区主管部门责令限期改正，对个人处以一千元罚款，对单位处以五万元以上十万元以下罚款。”</w:t>
            </w:r>
          </w:p>
        </w:tc>
        <w:tc>
          <w:tcPr>
            <w:tcW w:w="44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rPr>
              <w:t>罚款</w:t>
            </w:r>
          </w:p>
        </w:tc>
        <w:tc>
          <w:tcPr>
            <w:tcW w:w="54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57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未造成后果或造成轻微危害后果的</w:t>
            </w:r>
          </w:p>
        </w:tc>
        <w:tc>
          <w:tcPr>
            <w:tcW w:w="912"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责令限期改正，对个人处以一千元罚款；</w:t>
            </w:r>
          </w:p>
          <w:p>
            <w:pPr>
              <w:rPr>
                <w:rFonts w:hint="eastAsia" w:ascii="仿宋_GB2312" w:hAnsi="仿宋_GB2312" w:eastAsia="仿宋_GB2312" w:cs="仿宋_GB2312"/>
                <w:szCs w:val="21"/>
              </w:rPr>
            </w:pPr>
            <w:r>
              <w:rPr>
                <w:rFonts w:hint="eastAsia" w:ascii="仿宋_GB2312" w:hAnsi="仿宋_GB2312" w:eastAsia="仿宋_GB2312" w:cs="仿宋_GB2312"/>
                <w:szCs w:val="21"/>
              </w:rPr>
              <w:t>对单位处以五万元以上、低于七万五千元罚款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6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6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78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4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p>
        </w:tc>
        <w:tc>
          <w:tcPr>
            <w:tcW w:w="54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57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造成一般危害后果的</w:t>
            </w:r>
          </w:p>
        </w:tc>
        <w:tc>
          <w:tcPr>
            <w:tcW w:w="912"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责令限期改正，对个人处以一千元罚款；</w:t>
            </w:r>
          </w:p>
          <w:p>
            <w:pPr>
              <w:rPr>
                <w:rFonts w:hint="eastAsia" w:ascii="仿宋_GB2312" w:hAnsi="仿宋_GB2312" w:eastAsia="仿宋_GB2312" w:cs="仿宋_GB2312"/>
                <w:szCs w:val="21"/>
              </w:rPr>
            </w:pPr>
            <w:r>
              <w:rPr>
                <w:rFonts w:hint="eastAsia" w:ascii="仿宋_GB2312" w:hAnsi="仿宋_GB2312" w:eastAsia="仿宋_GB2312" w:cs="仿宋_GB2312"/>
                <w:szCs w:val="21"/>
              </w:rPr>
              <w:t>对单位处以七万五千元罚款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6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6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78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4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p>
        </w:tc>
        <w:tc>
          <w:tcPr>
            <w:tcW w:w="54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575" w:type="pct"/>
            <w:tcBorders>
              <w:top w:val="single" w:color="auto" w:sz="4" w:space="0"/>
              <w:left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造成严重危害后果或造成安全事故的</w:t>
            </w:r>
          </w:p>
        </w:tc>
        <w:tc>
          <w:tcPr>
            <w:tcW w:w="912"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责令限期改正，对个人处以一千元罚款；</w:t>
            </w:r>
          </w:p>
          <w:p>
            <w:pPr>
              <w:rPr>
                <w:rFonts w:hint="eastAsia" w:ascii="仿宋_GB2312" w:hAnsi="仿宋_GB2312" w:eastAsia="仿宋_GB2312" w:cs="仿宋_GB2312"/>
                <w:szCs w:val="21"/>
              </w:rPr>
            </w:pPr>
            <w:r>
              <w:rPr>
                <w:rFonts w:hint="eastAsia" w:ascii="仿宋_GB2312" w:hAnsi="仿宋_GB2312" w:eastAsia="仿宋_GB2312" w:cs="仿宋_GB2312"/>
                <w:szCs w:val="21"/>
              </w:rPr>
              <w:t>对单位处以超过七万五千元、十万元以下罚款</w:t>
            </w:r>
          </w:p>
        </w:tc>
      </w:tr>
    </w:tbl>
    <w:p>
      <w:pPr>
        <w:widowControl/>
        <w:jc w:val="left"/>
        <w:rPr>
          <w:rFonts w:ascii="宋体"/>
          <w:b/>
          <w:sz w:val="32"/>
          <w:szCs w:val="24"/>
          <w:lang w:val="en"/>
        </w:rPr>
      </w:pPr>
      <w:r>
        <w:rPr>
          <w:rFonts w:ascii="宋体" w:eastAsia="宋体 (正文)"/>
          <w:sz w:val="32"/>
          <w:szCs w:val="24"/>
          <w:lang w:val="en"/>
        </w:rPr>
        <w:t>《深圳市房屋安全管理办法》</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6"/>
        <w:gridCol w:w="1509"/>
        <w:gridCol w:w="4802"/>
        <w:gridCol w:w="1552"/>
        <w:gridCol w:w="1134"/>
        <w:gridCol w:w="1149"/>
        <w:gridCol w:w="1394"/>
        <w:gridCol w:w="16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3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序号</w:t>
            </w:r>
          </w:p>
        </w:tc>
        <w:tc>
          <w:tcPr>
            <w:tcW w:w="53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违法行为</w:t>
            </w:r>
          </w:p>
        </w:tc>
        <w:tc>
          <w:tcPr>
            <w:tcW w:w="169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lang w:val="en"/>
              </w:rPr>
            </w:pPr>
            <w:r>
              <w:rPr>
                <w:rFonts w:hint="eastAsia" w:ascii="仿宋_GB2312" w:hAnsi="仿宋_GB2312" w:eastAsia="仿宋_GB2312" w:cs="仿宋_GB2312"/>
                <w:b/>
                <w:sz w:val="21"/>
                <w:szCs w:val="21"/>
                <w:lang w:val="en"/>
              </w:rPr>
              <w:t>违反条款</w:t>
            </w:r>
          </w:p>
        </w:tc>
        <w:tc>
          <w:tcPr>
            <w:tcW w:w="54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处罚依据</w:t>
            </w:r>
          </w:p>
        </w:tc>
        <w:tc>
          <w:tcPr>
            <w:tcW w:w="40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处罚种类</w:t>
            </w:r>
          </w:p>
        </w:tc>
        <w:tc>
          <w:tcPr>
            <w:tcW w:w="40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裁量阶次</w:t>
            </w:r>
          </w:p>
        </w:tc>
        <w:tc>
          <w:tcPr>
            <w:tcW w:w="49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适用条件</w:t>
            </w:r>
          </w:p>
        </w:tc>
        <w:tc>
          <w:tcPr>
            <w:tcW w:w="59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7"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 w:val="21"/>
                <w:szCs w:val="21"/>
                <w:lang w:val="en"/>
              </w:rPr>
            </w:pPr>
            <w:r>
              <w:rPr>
                <w:rFonts w:hint="eastAsia" w:ascii="仿宋_GB2312" w:hAnsi="仿宋_GB2312" w:eastAsia="仿宋_GB2312" w:cs="仿宋_GB2312"/>
                <w:sz w:val="21"/>
                <w:szCs w:val="21"/>
                <w:lang w:val="en"/>
              </w:rPr>
              <w:t>205.9</w:t>
            </w:r>
          </w:p>
        </w:tc>
        <w:tc>
          <w:tcPr>
            <w:tcW w:w="532"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房屋安全责任人、物业服务企业或者其他专门从事建筑幕墙维护和管理的专业机构未履行建筑幕墙安全检查责任的</w:t>
            </w:r>
          </w:p>
        </w:tc>
        <w:tc>
          <w:tcPr>
            <w:tcW w:w="1693"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5"/>
                <w:szCs w:val="15"/>
              </w:rPr>
            </w:pPr>
            <w:r>
              <w:rPr>
                <w:rFonts w:hint="eastAsia" w:ascii="仿宋_GB2312" w:hAnsi="仿宋_GB2312" w:eastAsia="仿宋_GB2312" w:cs="仿宋_GB2312"/>
                <w:sz w:val="15"/>
                <w:szCs w:val="15"/>
              </w:rPr>
              <w:t>第三十八条：“房屋安全责任人应当按照下列规定进行安全检查：</w:t>
            </w:r>
          </w:p>
          <w:p>
            <w:pPr>
              <w:numPr>
                <w:ilvl w:val="0"/>
                <w:numId w:val="12"/>
              </w:numPr>
              <w:rPr>
                <w:rFonts w:hint="eastAsia" w:ascii="仿宋_GB2312" w:hAnsi="仿宋_GB2312" w:eastAsia="仿宋_GB2312" w:cs="仿宋_GB2312"/>
                <w:sz w:val="15"/>
                <w:szCs w:val="15"/>
              </w:rPr>
            </w:pPr>
            <w:r>
              <w:rPr>
                <w:rFonts w:hint="eastAsia" w:ascii="仿宋_GB2312" w:hAnsi="仿宋_GB2312" w:eastAsia="仿宋_GB2312" w:cs="仿宋_GB2312"/>
                <w:sz w:val="15"/>
                <w:szCs w:val="15"/>
              </w:rPr>
              <w:t>正常使用的建筑幕墙至少每6个月进行一次例行安全检查；</w:t>
            </w:r>
          </w:p>
          <w:p>
            <w:pPr>
              <w:numPr>
                <w:ilvl w:val="0"/>
                <w:numId w:val="12"/>
              </w:numPr>
              <w:rPr>
                <w:rFonts w:hint="eastAsia" w:ascii="仿宋_GB2312" w:hAnsi="仿宋_GB2312" w:eastAsia="仿宋_GB2312" w:cs="仿宋_GB2312"/>
                <w:sz w:val="15"/>
                <w:szCs w:val="15"/>
              </w:rPr>
            </w:pPr>
            <w:r>
              <w:rPr>
                <w:rFonts w:hint="eastAsia" w:ascii="仿宋_GB2312" w:hAnsi="仿宋_GB2312" w:eastAsia="仿宋_GB2312" w:cs="仿宋_GB2312"/>
                <w:sz w:val="15"/>
                <w:szCs w:val="15"/>
              </w:rPr>
              <w:t>建筑幕墙竣工验收或者交付使用1年后，每5年进行一次定期安全检查；</w:t>
            </w:r>
          </w:p>
          <w:p>
            <w:pPr>
              <w:numPr>
                <w:ilvl w:val="0"/>
                <w:numId w:val="12"/>
              </w:numPr>
              <w:rPr>
                <w:rFonts w:hint="eastAsia" w:ascii="仿宋_GB2312" w:hAnsi="仿宋_GB2312" w:eastAsia="仿宋_GB2312" w:cs="仿宋_GB2312"/>
                <w:sz w:val="15"/>
                <w:szCs w:val="15"/>
              </w:rPr>
            </w:pPr>
            <w:r>
              <w:rPr>
                <w:rFonts w:hint="eastAsia" w:ascii="仿宋_GB2312" w:hAnsi="仿宋_GB2312" w:eastAsia="仿宋_GB2312" w:cs="仿宋_GB2312"/>
                <w:sz w:val="15"/>
                <w:szCs w:val="15"/>
              </w:rPr>
              <w:t>施加预应力的索杆张拉结构幕墙工程竣工验收或者交付使用1年后，每3年进行一次专项定期安全检查；</w:t>
            </w:r>
          </w:p>
          <w:p>
            <w:pPr>
              <w:numPr>
                <w:ilvl w:val="0"/>
                <w:numId w:val="12"/>
              </w:numPr>
              <w:rPr>
                <w:rFonts w:hint="eastAsia" w:ascii="仿宋_GB2312" w:hAnsi="仿宋_GB2312" w:eastAsia="仿宋_GB2312" w:cs="仿宋_GB2312"/>
                <w:sz w:val="15"/>
                <w:szCs w:val="15"/>
              </w:rPr>
            </w:pPr>
            <w:r>
              <w:rPr>
                <w:rFonts w:hint="eastAsia" w:ascii="仿宋_GB2312" w:hAnsi="仿宋_GB2312" w:eastAsia="仿宋_GB2312" w:cs="仿宋_GB2312"/>
                <w:sz w:val="15"/>
                <w:szCs w:val="15"/>
              </w:rPr>
              <w:t>建筑幕墙交付使用满10年的，对该工程不同部位的硅酮结构密封胶粘结性能进行专项定期安全检查，此后每3年进行一次；</w:t>
            </w:r>
          </w:p>
          <w:p>
            <w:pPr>
              <w:numPr>
                <w:ilvl w:val="0"/>
                <w:numId w:val="12"/>
              </w:numPr>
              <w:rPr>
                <w:rFonts w:hint="eastAsia" w:ascii="仿宋_GB2312" w:hAnsi="仿宋_GB2312" w:eastAsia="仿宋_GB2312" w:cs="仿宋_GB2312"/>
                <w:sz w:val="15"/>
                <w:szCs w:val="15"/>
              </w:rPr>
            </w:pPr>
            <w:r>
              <w:rPr>
                <w:rFonts w:hint="eastAsia" w:ascii="仿宋_GB2312" w:hAnsi="仿宋_GB2312" w:eastAsia="仿宋_GB2312" w:cs="仿宋_GB2312"/>
                <w:sz w:val="15"/>
                <w:szCs w:val="15"/>
              </w:rPr>
              <w:t>建筑幕墙遭遇强风袭击的，对受损部位立即采取安全防护措施，并按例行安全检查的方法对出现问题的部位进行检查；</w:t>
            </w:r>
          </w:p>
          <w:p>
            <w:pPr>
              <w:numPr>
                <w:ilvl w:val="0"/>
                <w:numId w:val="12"/>
              </w:numPr>
              <w:rPr>
                <w:rFonts w:hint="eastAsia" w:ascii="仿宋_GB2312" w:hAnsi="仿宋_GB2312" w:eastAsia="仿宋_GB2312" w:cs="仿宋_GB2312"/>
                <w:sz w:val="15"/>
                <w:szCs w:val="15"/>
              </w:rPr>
            </w:pPr>
            <w:r>
              <w:rPr>
                <w:rFonts w:hint="eastAsia" w:ascii="仿宋_GB2312" w:hAnsi="仿宋_GB2312" w:eastAsia="仿宋_GB2312" w:cs="仿宋_GB2312"/>
                <w:sz w:val="15"/>
                <w:szCs w:val="15"/>
              </w:rPr>
              <w:t>建筑幕墙遭遇抗震设防烈度及以上地震、火灾等灾害或者突发事故的，对受损部位及事发现场立即采取安全防护措施，并按定期安全检查的程序对受损部位及事发现场进行检查；</w:t>
            </w:r>
          </w:p>
          <w:p>
            <w:pPr>
              <w:rPr>
                <w:rFonts w:hint="eastAsia" w:ascii="仿宋_GB2312" w:hAnsi="仿宋_GB2312" w:eastAsia="仿宋_GB2312" w:cs="仿宋_GB2312"/>
                <w:sz w:val="15"/>
                <w:szCs w:val="15"/>
              </w:rPr>
            </w:pPr>
            <w:r>
              <w:rPr>
                <w:rFonts w:hint="eastAsia" w:ascii="仿宋_GB2312" w:hAnsi="仿宋_GB2312" w:eastAsia="仿宋_GB2312" w:cs="仿宋_GB2312"/>
                <w:sz w:val="15"/>
                <w:szCs w:val="15"/>
              </w:rPr>
              <w:t>（七）存在其他可能影响公共安全情形的，组织进行专项安全检查。</w:t>
            </w:r>
          </w:p>
          <w:p>
            <w:pPr>
              <w:ind w:firstLine="300" w:firstLineChars="200"/>
              <w:rPr>
                <w:rFonts w:hint="eastAsia" w:ascii="仿宋_GB2312" w:hAnsi="仿宋_GB2312" w:eastAsia="仿宋_GB2312" w:cs="仿宋_GB2312"/>
                <w:sz w:val="15"/>
                <w:szCs w:val="15"/>
              </w:rPr>
            </w:pPr>
            <w:r>
              <w:rPr>
                <w:rFonts w:hint="eastAsia" w:ascii="仿宋_GB2312" w:hAnsi="仿宋_GB2312" w:eastAsia="仿宋_GB2312" w:cs="仿宋_GB2312"/>
                <w:sz w:val="15"/>
                <w:szCs w:val="15"/>
              </w:rPr>
              <w:t>例行安全检查可由房屋安全责任人或者受委托的企业、机构实施，例行安全检查人员应当经过专业培训。定期安全检查和专项定期安全检查应当委托具有相应技术能力的专业机构实施。</w:t>
            </w:r>
          </w:p>
          <w:p>
            <w:pPr>
              <w:ind w:firstLine="300" w:firstLineChars="200"/>
              <w:rPr>
                <w:rFonts w:hint="eastAsia" w:ascii="仿宋_GB2312" w:hAnsi="仿宋_GB2312" w:eastAsia="仿宋_GB2312" w:cs="仿宋_GB2312"/>
                <w:sz w:val="15"/>
                <w:szCs w:val="15"/>
              </w:rPr>
            </w:pPr>
            <w:r>
              <w:rPr>
                <w:rFonts w:hint="eastAsia" w:ascii="仿宋_GB2312" w:hAnsi="仿宋_GB2312" w:eastAsia="仿宋_GB2312" w:cs="仿宋_GB2312"/>
                <w:sz w:val="15"/>
                <w:szCs w:val="15"/>
              </w:rPr>
              <w:t>受托进行安全检查的企业、机构应向委托人提交检查报告，并对检查报告结论负责。”</w:t>
            </w:r>
          </w:p>
        </w:tc>
        <w:tc>
          <w:tcPr>
            <w:tcW w:w="547"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5"/>
                <w:szCs w:val="15"/>
              </w:rPr>
            </w:pPr>
            <w:r>
              <w:rPr>
                <w:rFonts w:hint="eastAsia" w:ascii="仿宋_GB2312" w:hAnsi="仿宋_GB2312" w:eastAsia="仿宋_GB2312" w:cs="仿宋_GB2312"/>
                <w:sz w:val="15"/>
                <w:szCs w:val="15"/>
              </w:rPr>
              <w:t>第四十八条：“违反本办法第三十八条、第三十九条、第四十条规定，房屋安全责任人、物业服务企业或者其他专门从事建筑幕墙维护和管理的专业机构未履行建筑幕墙安全检查、安全性鉴定、隐患修缮等维护和管理责任的，由区主管部门责令限期改正，对个人处以一千元罚款，对单位处以五万元以上十万元以下罚款。”</w:t>
            </w:r>
          </w:p>
        </w:tc>
        <w:tc>
          <w:tcPr>
            <w:tcW w:w="400"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罚款</w:t>
            </w:r>
          </w:p>
        </w:tc>
        <w:tc>
          <w:tcPr>
            <w:tcW w:w="40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 w:val="21"/>
                <w:szCs w:val="21"/>
              </w:rPr>
            </w:pPr>
            <w:r>
              <w:rPr>
                <w:rFonts w:hint="eastAsia" w:ascii="仿宋_GB2312" w:hAnsi="仿宋_GB2312" w:eastAsia="仿宋_GB2312" w:cs="仿宋_GB2312"/>
                <w:color w:val="000000"/>
                <w:kern w:val="0"/>
                <w:sz w:val="21"/>
                <w:szCs w:val="21"/>
              </w:rPr>
              <w:t>从轻</w:t>
            </w:r>
          </w:p>
        </w:tc>
        <w:tc>
          <w:tcPr>
            <w:tcW w:w="49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未造成后果或造成轻微危害后果的</w:t>
            </w:r>
          </w:p>
        </w:tc>
        <w:tc>
          <w:tcPr>
            <w:tcW w:w="59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责令限期改正，对个人处以一千元罚款；</w:t>
            </w:r>
          </w:p>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对单位处以五万元以上、低于七万五千元罚款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5"/>
                <w:szCs w:val="15"/>
              </w:rPr>
            </w:pPr>
          </w:p>
        </w:tc>
        <w:tc>
          <w:tcPr>
            <w:tcW w:w="53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5"/>
                <w:szCs w:val="15"/>
              </w:rPr>
            </w:pPr>
          </w:p>
        </w:tc>
        <w:tc>
          <w:tcPr>
            <w:tcW w:w="169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5"/>
                <w:szCs w:val="15"/>
              </w:rPr>
            </w:pPr>
          </w:p>
        </w:tc>
        <w:tc>
          <w:tcPr>
            <w:tcW w:w="54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5"/>
                <w:szCs w:val="15"/>
              </w:rPr>
            </w:pPr>
          </w:p>
        </w:tc>
        <w:tc>
          <w:tcPr>
            <w:tcW w:w="40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 w:val="21"/>
                <w:szCs w:val="21"/>
              </w:rPr>
            </w:pPr>
          </w:p>
        </w:tc>
        <w:tc>
          <w:tcPr>
            <w:tcW w:w="40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 w:val="21"/>
                <w:szCs w:val="21"/>
              </w:rPr>
            </w:pPr>
            <w:r>
              <w:rPr>
                <w:rFonts w:hint="eastAsia" w:ascii="仿宋_GB2312" w:hAnsi="仿宋_GB2312" w:eastAsia="仿宋_GB2312" w:cs="仿宋_GB2312"/>
                <w:color w:val="000000"/>
                <w:kern w:val="0"/>
                <w:sz w:val="21"/>
                <w:szCs w:val="21"/>
              </w:rPr>
              <w:t>一般</w:t>
            </w:r>
          </w:p>
        </w:tc>
        <w:tc>
          <w:tcPr>
            <w:tcW w:w="49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造成一般危害后果的</w:t>
            </w:r>
          </w:p>
        </w:tc>
        <w:tc>
          <w:tcPr>
            <w:tcW w:w="59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责令限期改正，对个人处以一千元罚款；</w:t>
            </w:r>
          </w:p>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对单位处以七万五千元罚款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5"/>
                <w:szCs w:val="15"/>
              </w:rPr>
            </w:pPr>
          </w:p>
        </w:tc>
        <w:tc>
          <w:tcPr>
            <w:tcW w:w="53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5"/>
                <w:szCs w:val="15"/>
              </w:rPr>
            </w:pPr>
          </w:p>
        </w:tc>
        <w:tc>
          <w:tcPr>
            <w:tcW w:w="169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5"/>
                <w:szCs w:val="15"/>
              </w:rPr>
            </w:pPr>
          </w:p>
        </w:tc>
        <w:tc>
          <w:tcPr>
            <w:tcW w:w="54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5"/>
                <w:szCs w:val="15"/>
              </w:rPr>
            </w:pPr>
          </w:p>
        </w:tc>
        <w:tc>
          <w:tcPr>
            <w:tcW w:w="40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 w:val="21"/>
                <w:szCs w:val="21"/>
              </w:rPr>
            </w:pPr>
          </w:p>
        </w:tc>
        <w:tc>
          <w:tcPr>
            <w:tcW w:w="40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 w:val="21"/>
                <w:szCs w:val="21"/>
              </w:rPr>
            </w:pPr>
            <w:r>
              <w:rPr>
                <w:rFonts w:hint="eastAsia" w:ascii="仿宋_GB2312" w:hAnsi="仿宋_GB2312" w:eastAsia="仿宋_GB2312" w:cs="仿宋_GB2312"/>
                <w:color w:val="000000"/>
                <w:kern w:val="0"/>
                <w:sz w:val="21"/>
                <w:szCs w:val="21"/>
              </w:rPr>
              <w:t>从重</w:t>
            </w:r>
          </w:p>
        </w:tc>
        <w:tc>
          <w:tcPr>
            <w:tcW w:w="491" w:type="pct"/>
            <w:tcBorders>
              <w:top w:val="single" w:color="auto" w:sz="4" w:space="0"/>
              <w:left w:val="single" w:color="auto" w:sz="4" w:space="0"/>
              <w:right w:val="single" w:color="auto" w:sz="4" w:space="0"/>
              <w:tl2br w:val="nil"/>
              <w:tr2bl w:val="nil"/>
            </w:tcBorders>
            <w:vAlign w:val="center"/>
          </w:tcPr>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造成严重危害后果或造成安全事故的</w:t>
            </w:r>
          </w:p>
        </w:tc>
        <w:tc>
          <w:tcPr>
            <w:tcW w:w="59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责令限期改正，对个人处以一千元罚款；</w:t>
            </w:r>
          </w:p>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对单位处以超过七万五千元、十万元以下罚款</w:t>
            </w:r>
          </w:p>
        </w:tc>
      </w:tr>
    </w:tbl>
    <w:p>
      <w:pPr>
        <w:widowControl/>
        <w:jc w:val="left"/>
        <w:rPr>
          <w:rFonts w:ascii="宋体"/>
          <w:b/>
          <w:sz w:val="32"/>
          <w:szCs w:val="24"/>
          <w:lang w:val="en"/>
        </w:rPr>
      </w:pPr>
      <w:r>
        <w:rPr>
          <w:rFonts w:ascii="宋体" w:eastAsia="宋体 (正文)"/>
          <w:sz w:val="32"/>
          <w:szCs w:val="24"/>
          <w:lang w:val="en"/>
        </w:rPr>
        <w:t>《深圳市房屋安全管理办法》</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7"/>
        <w:gridCol w:w="1478"/>
        <w:gridCol w:w="5095"/>
        <w:gridCol w:w="1535"/>
        <w:gridCol w:w="1064"/>
        <w:gridCol w:w="1109"/>
        <w:gridCol w:w="1247"/>
        <w:gridCol w:w="178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0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序号</w:t>
            </w:r>
          </w:p>
        </w:tc>
        <w:tc>
          <w:tcPr>
            <w:tcW w:w="52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违法行为</w:t>
            </w:r>
          </w:p>
        </w:tc>
        <w:tc>
          <w:tcPr>
            <w:tcW w:w="179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lang w:val="en"/>
              </w:rPr>
            </w:pPr>
            <w:r>
              <w:rPr>
                <w:rFonts w:hint="eastAsia" w:ascii="仿宋_GB2312" w:hAnsi="仿宋_GB2312" w:eastAsia="仿宋_GB2312" w:cs="仿宋_GB2312"/>
                <w:b/>
                <w:sz w:val="21"/>
                <w:szCs w:val="21"/>
                <w:lang w:val="en"/>
              </w:rPr>
              <w:t>违反条款</w:t>
            </w:r>
          </w:p>
        </w:tc>
        <w:tc>
          <w:tcPr>
            <w:tcW w:w="54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处罚依据</w:t>
            </w:r>
          </w:p>
        </w:tc>
        <w:tc>
          <w:tcPr>
            <w:tcW w:w="37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处罚种类</w:t>
            </w:r>
          </w:p>
        </w:tc>
        <w:tc>
          <w:tcPr>
            <w:tcW w:w="39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裁量阶次</w:t>
            </w:r>
          </w:p>
        </w:tc>
        <w:tc>
          <w:tcPr>
            <w:tcW w:w="43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适用条件</w:t>
            </w:r>
          </w:p>
        </w:tc>
        <w:tc>
          <w:tcPr>
            <w:tcW w:w="63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02"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 w:val="21"/>
                <w:szCs w:val="21"/>
                <w:lang w:val="en"/>
              </w:rPr>
            </w:pPr>
            <w:r>
              <w:rPr>
                <w:rFonts w:hint="eastAsia" w:ascii="仿宋_GB2312" w:hAnsi="仿宋_GB2312" w:eastAsia="仿宋_GB2312" w:cs="仿宋_GB2312"/>
                <w:sz w:val="21"/>
                <w:szCs w:val="21"/>
                <w:lang w:val="en"/>
              </w:rPr>
              <w:t>205.10</w:t>
            </w:r>
          </w:p>
        </w:tc>
        <w:tc>
          <w:tcPr>
            <w:tcW w:w="52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房屋安全责任人、物业服务企业或者其他专门从事建筑幕墙维护和管理的专业机构未履行安全性鉴定责任的</w:t>
            </w:r>
          </w:p>
        </w:tc>
        <w:tc>
          <w:tcPr>
            <w:tcW w:w="1797"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5"/>
                <w:szCs w:val="15"/>
              </w:rPr>
            </w:pPr>
            <w:r>
              <w:rPr>
                <w:rFonts w:hint="eastAsia" w:ascii="仿宋_GB2312" w:hAnsi="仿宋_GB2312" w:eastAsia="仿宋_GB2312" w:cs="仿宋_GB2312"/>
                <w:sz w:val="15"/>
                <w:szCs w:val="15"/>
              </w:rPr>
              <w:t>第三十九条：“建筑幕墙竣工验收或者交付使用后，原则上每10年进行一次安全性鉴定。有下列情形之一的，房屋安全责任人应当委托具有相应建筑幕墙检测能力和设计能力的专业机构进行安全性鉴定：</w:t>
            </w:r>
          </w:p>
          <w:p>
            <w:pPr>
              <w:numPr>
                <w:ilvl w:val="0"/>
                <w:numId w:val="13"/>
              </w:numPr>
              <w:rPr>
                <w:rFonts w:hint="eastAsia" w:ascii="仿宋_GB2312" w:hAnsi="仿宋_GB2312" w:eastAsia="仿宋_GB2312" w:cs="仿宋_GB2312"/>
                <w:sz w:val="15"/>
                <w:szCs w:val="15"/>
              </w:rPr>
            </w:pPr>
            <w:r>
              <w:rPr>
                <w:rFonts w:hint="eastAsia" w:ascii="仿宋_GB2312" w:hAnsi="仿宋_GB2312" w:eastAsia="仿宋_GB2312" w:cs="仿宋_GB2312"/>
                <w:sz w:val="15"/>
                <w:szCs w:val="15"/>
              </w:rPr>
              <w:t>达到或者超过设计使用年限需继续使用的建筑幕墙；</w:t>
            </w:r>
          </w:p>
          <w:p>
            <w:pPr>
              <w:numPr>
                <w:ilvl w:val="0"/>
                <w:numId w:val="13"/>
              </w:numPr>
              <w:rPr>
                <w:rFonts w:hint="eastAsia" w:ascii="仿宋_GB2312" w:hAnsi="仿宋_GB2312" w:eastAsia="仿宋_GB2312" w:cs="仿宋_GB2312"/>
                <w:sz w:val="15"/>
                <w:szCs w:val="15"/>
              </w:rPr>
            </w:pPr>
            <w:r>
              <w:rPr>
                <w:rFonts w:hint="eastAsia" w:ascii="仿宋_GB2312" w:hAnsi="仿宋_GB2312" w:eastAsia="仿宋_GB2312" w:cs="仿宋_GB2312"/>
                <w:sz w:val="15"/>
                <w:szCs w:val="15"/>
              </w:rPr>
              <w:t>建筑主体结构经检测、鉴定存在安全隐患；</w:t>
            </w:r>
          </w:p>
          <w:p>
            <w:pPr>
              <w:numPr>
                <w:ilvl w:val="0"/>
                <w:numId w:val="13"/>
              </w:numPr>
              <w:rPr>
                <w:rFonts w:hint="eastAsia" w:ascii="仿宋_GB2312" w:hAnsi="仿宋_GB2312" w:eastAsia="仿宋_GB2312" w:cs="仿宋_GB2312"/>
                <w:sz w:val="15"/>
                <w:szCs w:val="15"/>
              </w:rPr>
            </w:pPr>
            <w:r>
              <w:rPr>
                <w:rFonts w:hint="eastAsia" w:ascii="仿宋_GB2312" w:hAnsi="仿宋_GB2312" w:eastAsia="仿宋_GB2312" w:cs="仿宋_GB2312"/>
                <w:sz w:val="15"/>
                <w:szCs w:val="15"/>
              </w:rPr>
              <w:t>经安全检查发现需要进一步检测、鉴定的严重安全隐患；</w:t>
            </w:r>
          </w:p>
          <w:p>
            <w:pPr>
              <w:numPr>
                <w:ilvl w:val="0"/>
                <w:numId w:val="13"/>
              </w:numPr>
              <w:rPr>
                <w:rFonts w:hint="eastAsia" w:ascii="仿宋_GB2312" w:hAnsi="仿宋_GB2312" w:eastAsia="仿宋_GB2312" w:cs="仿宋_GB2312"/>
                <w:sz w:val="15"/>
                <w:szCs w:val="15"/>
              </w:rPr>
            </w:pPr>
            <w:r>
              <w:rPr>
                <w:rFonts w:hint="eastAsia" w:ascii="仿宋_GB2312" w:hAnsi="仿宋_GB2312" w:eastAsia="仿宋_GB2312" w:cs="仿宋_GB2312"/>
                <w:sz w:val="15"/>
                <w:szCs w:val="15"/>
              </w:rPr>
              <w:t>面板、连接构件或者局部墙面等出现异常变形、脱落、爆裂现象，采用常规维护和检修未能消除安全隐患的</w:t>
            </w:r>
          </w:p>
          <w:p>
            <w:pPr>
              <w:numPr>
                <w:ilvl w:val="0"/>
                <w:numId w:val="13"/>
              </w:numPr>
              <w:rPr>
                <w:rFonts w:hint="eastAsia" w:ascii="仿宋_GB2312" w:hAnsi="仿宋_GB2312" w:eastAsia="仿宋_GB2312" w:cs="仿宋_GB2312"/>
                <w:sz w:val="15"/>
                <w:szCs w:val="15"/>
              </w:rPr>
            </w:pPr>
            <w:r>
              <w:rPr>
                <w:rFonts w:hint="eastAsia" w:ascii="仿宋_GB2312" w:hAnsi="仿宋_GB2312" w:eastAsia="仿宋_GB2312" w:cs="仿宋_GB2312"/>
                <w:sz w:val="15"/>
                <w:szCs w:val="15"/>
              </w:rPr>
              <w:t>遭受风暴、地震、雷击、火灾、爆炸等自然灾害或者突发事件造成严重损坏的；</w:t>
            </w:r>
          </w:p>
          <w:p>
            <w:pPr>
              <w:rPr>
                <w:rFonts w:hint="eastAsia" w:ascii="仿宋_GB2312" w:hAnsi="仿宋_GB2312" w:eastAsia="仿宋_GB2312" w:cs="仿宋_GB2312"/>
                <w:sz w:val="15"/>
                <w:szCs w:val="15"/>
              </w:rPr>
            </w:pPr>
            <w:r>
              <w:rPr>
                <w:rFonts w:hint="eastAsia" w:ascii="仿宋_GB2312" w:hAnsi="仿宋_GB2312" w:eastAsia="仿宋_GB2312" w:cs="仿宋_GB2312"/>
                <w:sz w:val="15"/>
                <w:szCs w:val="15"/>
              </w:rPr>
              <w:t>（六）其他可能严重影响公共安全的情形。</w:t>
            </w:r>
          </w:p>
          <w:p>
            <w:pPr>
              <w:ind w:firstLine="300" w:firstLineChars="200"/>
              <w:rPr>
                <w:rFonts w:hint="eastAsia" w:ascii="仿宋_GB2312" w:hAnsi="仿宋_GB2312" w:eastAsia="仿宋_GB2312" w:cs="仿宋_GB2312"/>
                <w:sz w:val="15"/>
                <w:szCs w:val="15"/>
              </w:rPr>
            </w:pPr>
            <w:r>
              <w:rPr>
                <w:rFonts w:hint="eastAsia" w:ascii="仿宋_GB2312" w:hAnsi="仿宋_GB2312" w:eastAsia="仿宋_GB2312" w:cs="仿宋_GB2312"/>
                <w:sz w:val="15"/>
                <w:szCs w:val="15"/>
              </w:rPr>
              <w:t>承担建筑幕墙安全性鉴定的专业机构，应当出具安全性鉴定报告，提出具体处理意见，对鉴定结论负责，不得提供虚假的安全性鉴定信息。</w:t>
            </w:r>
          </w:p>
          <w:p>
            <w:pPr>
              <w:ind w:firstLine="300" w:firstLineChars="200"/>
              <w:rPr>
                <w:rFonts w:hint="eastAsia" w:ascii="仿宋_GB2312" w:hAnsi="仿宋_GB2312" w:eastAsia="仿宋_GB2312" w:cs="仿宋_GB2312"/>
                <w:sz w:val="15"/>
                <w:szCs w:val="15"/>
              </w:rPr>
            </w:pPr>
            <w:r>
              <w:rPr>
                <w:rFonts w:hint="eastAsia" w:ascii="仿宋_GB2312" w:hAnsi="仿宋_GB2312" w:eastAsia="仿宋_GB2312" w:cs="仿宋_GB2312"/>
                <w:sz w:val="15"/>
                <w:szCs w:val="15"/>
              </w:rPr>
              <w:t>鉴定机构应当在鉴定报告出具后48小时内将鉴定报告向委托人和房屋所在地街道办事处送达，并报区主管部门备案。</w:t>
            </w:r>
          </w:p>
          <w:p>
            <w:pPr>
              <w:ind w:firstLine="300" w:firstLineChars="200"/>
              <w:rPr>
                <w:rFonts w:hint="eastAsia" w:ascii="仿宋_GB2312" w:hAnsi="仿宋_GB2312" w:eastAsia="仿宋_GB2312" w:cs="仿宋_GB2312"/>
                <w:sz w:val="15"/>
                <w:szCs w:val="15"/>
              </w:rPr>
            </w:pPr>
            <w:r>
              <w:rPr>
                <w:rFonts w:hint="eastAsia" w:ascii="仿宋_GB2312" w:hAnsi="仿宋_GB2312" w:eastAsia="仿宋_GB2312" w:cs="仿宋_GB2312"/>
                <w:sz w:val="15"/>
                <w:szCs w:val="15"/>
              </w:rPr>
              <w:t>鉴定机构在查勘、鉴定过程中，发现建筑幕墙存在重大险情可能危及公共安全的，应当立即告知委托人，并报告房屋所在地街道办事处和区主管部门。街道办事处会同区主管部门应当紧急疏散人员，封锁危险场所，划定警示区域，并报区人民政府进行应急处置和抢险救援。”</w:t>
            </w:r>
          </w:p>
        </w:tc>
        <w:tc>
          <w:tcPr>
            <w:tcW w:w="54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5"/>
                <w:szCs w:val="15"/>
              </w:rPr>
            </w:pPr>
            <w:r>
              <w:rPr>
                <w:rFonts w:hint="eastAsia" w:ascii="仿宋_GB2312" w:hAnsi="仿宋_GB2312" w:eastAsia="仿宋_GB2312" w:cs="仿宋_GB2312"/>
                <w:sz w:val="15"/>
                <w:szCs w:val="15"/>
              </w:rPr>
              <w:t>第四十八条：“违反本办法第三十八条、第三十九条、第四十条规定，房屋安全责任人、物业服务企业或者其他专门从事建筑幕墙维护和管理的专业机构未履行建筑幕墙安全检查、安全性鉴定、隐患修缮等维护和管理责任的，由区主管部门责令限期改正，对个人处以一千元罚款，对单位处以五万元以上十万元以下罚款。”</w:t>
            </w:r>
          </w:p>
        </w:tc>
        <w:tc>
          <w:tcPr>
            <w:tcW w:w="37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罚款</w:t>
            </w:r>
          </w:p>
        </w:tc>
        <w:tc>
          <w:tcPr>
            <w:tcW w:w="39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 w:val="21"/>
                <w:szCs w:val="21"/>
              </w:rPr>
            </w:pPr>
            <w:r>
              <w:rPr>
                <w:rFonts w:hint="eastAsia" w:ascii="仿宋_GB2312" w:hAnsi="仿宋_GB2312" w:eastAsia="仿宋_GB2312" w:cs="仿宋_GB2312"/>
                <w:color w:val="000000"/>
                <w:kern w:val="0"/>
                <w:sz w:val="21"/>
                <w:szCs w:val="21"/>
              </w:rPr>
              <w:t>从轻</w:t>
            </w:r>
          </w:p>
        </w:tc>
        <w:tc>
          <w:tcPr>
            <w:tcW w:w="439"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未造成后果或造成轻微危害后果的</w:t>
            </w:r>
          </w:p>
        </w:tc>
        <w:tc>
          <w:tcPr>
            <w:tcW w:w="63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责令限期改正，对个人处以一千元罚款；</w:t>
            </w:r>
          </w:p>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对单位处以五万元以上、低于七万五千元罚款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0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5"/>
                <w:szCs w:val="15"/>
              </w:rPr>
            </w:pPr>
          </w:p>
        </w:tc>
        <w:tc>
          <w:tcPr>
            <w:tcW w:w="52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5"/>
                <w:szCs w:val="15"/>
              </w:rPr>
            </w:pPr>
          </w:p>
        </w:tc>
        <w:tc>
          <w:tcPr>
            <w:tcW w:w="179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5"/>
                <w:szCs w:val="15"/>
              </w:rPr>
            </w:pPr>
          </w:p>
        </w:tc>
        <w:tc>
          <w:tcPr>
            <w:tcW w:w="54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5"/>
                <w:szCs w:val="15"/>
              </w:rPr>
            </w:pPr>
          </w:p>
        </w:tc>
        <w:tc>
          <w:tcPr>
            <w:tcW w:w="37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 w:val="21"/>
                <w:szCs w:val="21"/>
              </w:rPr>
            </w:pPr>
          </w:p>
        </w:tc>
        <w:tc>
          <w:tcPr>
            <w:tcW w:w="39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 w:val="21"/>
                <w:szCs w:val="21"/>
              </w:rPr>
            </w:pPr>
            <w:r>
              <w:rPr>
                <w:rFonts w:hint="eastAsia" w:ascii="仿宋_GB2312" w:hAnsi="仿宋_GB2312" w:eastAsia="仿宋_GB2312" w:cs="仿宋_GB2312"/>
                <w:color w:val="000000"/>
                <w:kern w:val="0"/>
                <w:sz w:val="21"/>
                <w:szCs w:val="21"/>
              </w:rPr>
              <w:t>一般</w:t>
            </w:r>
          </w:p>
        </w:tc>
        <w:tc>
          <w:tcPr>
            <w:tcW w:w="439"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造成一般危害后果的</w:t>
            </w:r>
          </w:p>
        </w:tc>
        <w:tc>
          <w:tcPr>
            <w:tcW w:w="63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责令限期改正，对个人处以一千元罚款；</w:t>
            </w:r>
          </w:p>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对单位处以七万五千元罚款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02"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5"/>
                <w:szCs w:val="15"/>
              </w:rPr>
            </w:pPr>
          </w:p>
        </w:tc>
        <w:tc>
          <w:tcPr>
            <w:tcW w:w="52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5"/>
                <w:szCs w:val="15"/>
              </w:rPr>
            </w:pPr>
          </w:p>
        </w:tc>
        <w:tc>
          <w:tcPr>
            <w:tcW w:w="179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5"/>
                <w:szCs w:val="15"/>
              </w:rPr>
            </w:pPr>
          </w:p>
        </w:tc>
        <w:tc>
          <w:tcPr>
            <w:tcW w:w="54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5"/>
                <w:szCs w:val="15"/>
              </w:rPr>
            </w:pPr>
          </w:p>
        </w:tc>
        <w:tc>
          <w:tcPr>
            <w:tcW w:w="37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 w:val="21"/>
                <w:szCs w:val="21"/>
              </w:rPr>
            </w:pPr>
          </w:p>
        </w:tc>
        <w:tc>
          <w:tcPr>
            <w:tcW w:w="39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 w:val="21"/>
                <w:szCs w:val="21"/>
              </w:rPr>
            </w:pPr>
            <w:r>
              <w:rPr>
                <w:rFonts w:hint="eastAsia" w:ascii="仿宋_GB2312" w:hAnsi="仿宋_GB2312" w:eastAsia="仿宋_GB2312" w:cs="仿宋_GB2312"/>
                <w:color w:val="000000"/>
                <w:kern w:val="0"/>
                <w:sz w:val="21"/>
                <w:szCs w:val="21"/>
              </w:rPr>
              <w:t>从重</w:t>
            </w:r>
          </w:p>
        </w:tc>
        <w:tc>
          <w:tcPr>
            <w:tcW w:w="439" w:type="pct"/>
            <w:tcBorders>
              <w:top w:val="single" w:color="auto" w:sz="4" w:space="0"/>
              <w:left w:val="single" w:color="auto" w:sz="4" w:space="0"/>
              <w:right w:val="single" w:color="auto" w:sz="4" w:space="0"/>
              <w:tl2br w:val="nil"/>
              <w:tr2bl w:val="nil"/>
            </w:tcBorders>
            <w:vAlign w:val="center"/>
          </w:tcPr>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造成严重危害后果或造成安全事故的</w:t>
            </w:r>
          </w:p>
        </w:tc>
        <w:tc>
          <w:tcPr>
            <w:tcW w:w="63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责令限期改正，对个人处以一千元罚款；</w:t>
            </w:r>
          </w:p>
          <w:p>
            <w:pP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对单位处以超过七万五千元、十万元以下罚款</w:t>
            </w:r>
          </w:p>
        </w:tc>
      </w:tr>
    </w:tbl>
    <w:p>
      <w:pPr>
        <w:widowControl/>
        <w:jc w:val="left"/>
        <w:rPr>
          <w:rFonts w:ascii="宋体"/>
          <w:b/>
          <w:sz w:val="32"/>
          <w:szCs w:val="24"/>
          <w:lang w:val="en"/>
        </w:rPr>
      </w:pPr>
      <w:r>
        <w:rPr>
          <w:rFonts w:ascii="宋体" w:hAnsi="宋体"/>
          <w:szCs w:val="24"/>
        </w:rPr>
        <w:br w:type="page"/>
      </w:r>
      <w:r>
        <w:rPr>
          <w:rFonts w:ascii="宋体" w:eastAsia="宋体 (正文)"/>
          <w:sz w:val="32"/>
          <w:szCs w:val="24"/>
          <w:lang w:val="en"/>
        </w:rPr>
        <w:t>《深圳市房屋安全管理办法》</w:t>
      </w:r>
      <w:r>
        <w:rPr>
          <w:rFonts w:ascii="宋体"/>
          <w:b/>
          <w:sz w:val="32"/>
          <w:szCs w:val="24"/>
          <w:lang w:val="en"/>
        </w:rPr>
        <w:tab/>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66"/>
        <w:gridCol w:w="1250"/>
        <w:gridCol w:w="2118"/>
        <w:gridCol w:w="2796"/>
        <w:gridCol w:w="1236"/>
        <w:gridCol w:w="1256"/>
        <w:gridCol w:w="1868"/>
        <w:gridCol w:w="24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1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44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74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98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43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44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65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87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205.11</w:t>
            </w:r>
          </w:p>
        </w:tc>
        <w:tc>
          <w:tcPr>
            <w:tcW w:w="44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房屋安全责任人、物业服务企业或者其他专门从事建筑幕墙维护和管理的专业机构未履行隐患修缮等维护和管理责任的</w:t>
            </w:r>
          </w:p>
        </w:tc>
        <w:tc>
          <w:tcPr>
            <w:tcW w:w="747"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四十条：“建筑幕墙存在安全隐患的，房屋安全责任人应当设置警示标识，采取安全防护措施，并委托具有相应建筑幕墙工程施工资质的单位进行维修。既有建筑幕墙安全维护和管理的具体办法由市主管部门另行制定。”</w:t>
            </w:r>
          </w:p>
        </w:tc>
        <w:tc>
          <w:tcPr>
            <w:tcW w:w="98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四十八条：“违反本办法第三十八条、第三十九条、第四十条规定，房屋安全责任人、物业服务企业或者其他专门从事建筑幕墙维护和管理的专业机构未履行建筑幕墙安全检查、安全性鉴定、隐患修缮等维护和管理责任的，由区主管部门责令限期改正，对个人处以一千元罚款，对单位处以五万元以上十万元以下罚款。”</w:t>
            </w:r>
          </w:p>
        </w:tc>
        <w:tc>
          <w:tcPr>
            <w:tcW w:w="43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rPr>
              <w:t>罚款</w:t>
            </w:r>
          </w:p>
        </w:tc>
        <w:tc>
          <w:tcPr>
            <w:tcW w:w="44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659"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未造成后果或造成轻微危害后果的</w:t>
            </w:r>
          </w:p>
        </w:tc>
        <w:tc>
          <w:tcPr>
            <w:tcW w:w="87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责令限期改正，对个人处以一千元罚款；</w:t>
            </w:r>
          </w:p>
          <w:p>
            <w:pPr>
              <w:rPr>
                <w:rFonts w:hint="eastAsia" w:ascii="仿宋_GB2312" w:hAnsi="仿宋_GB2312" w:eastAsia="仿宋_GB2312" w:cs="仿宋_GB2312"/>
                <w:szCs w:val="21"/>
              </w:rPr>
            </w:pPr>
            <w:r>
              <w:rPr>
                <w:rFonts w:hint="eastAsia" w:ascii="仿宋_GB2312" w:hAnsi="仿宋_GB2312" w:eastAsia="仿宋_GB2312" w:cs="仿宋_GB2312"/>
                <w:szCs w:val="21"/>
              </w:rPr>
              <w:t>对单位处以五万元以上、低于七万五千元罚款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4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74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8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3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p>
        </w:tc>
        <w:tc>
          <w:tcPr>
            <w:tcW w:w="44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659"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造成一般危害后果的</w:t>
            </w:r>
          </w:p>
        </w:tc>
        <w:tc>
          <w:tcPr>
            <w:tcW w:w="87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责令限期改正，对个人处以一千元罚款；</w:t>
            </w:r>
          </w:p>
          <w:p>
            <w:pPr>
              <w:rPr>
                <w:rFonts w:hint="eastAsia" w:ascii="仿宋_GB2312" w:hAnsi="仿宋_GB2312" w:eastAsia="仿宋_GB2312" w:cs="仿宋_GB2312"/>
                <w:szCs w:val="21"/>
              </w:rPr>
            </w:pPr>
            <w:r>
              <w:rPr>
                <w:rFonts w:hint="eastAsia" w:ascii="仿宋_GB2312" w:hAnsi="仿宋_GB2312" w:eastAsia="仿宋_GB2312" w:cs="仿宋_GB2312"/>
                <w:szCs w:val="21"/>
              </w:rPr>
              <w:t>对单位处以七万五千元罚款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1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4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74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8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3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p>
        </w:tc>
        <w:tc>
          <w:tcPr>
            <w:tcW w:w="44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659" w:type="pct"/>
            <w:tcBorders>
              <w:top w:val="single" w:color="auto" w:sz="4" w:space="0"/>
              <w:left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造成严重危害后果或造成安全事故的</w:t>
            </w:r>
          </w:p>
        </w:tc>
        <w:tc>
          <w:tcPr>
            <w:tcW w:w="87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责令限期改正，对个人处以一千元罚款；</w:t>
            </w:r>
          </w:p>
          <w:p>
            <w:pPr>
              <w:rPr>
                <w:rFonts w:hint="eastAsia" w:ascii="仿宋_GB2312" w:hAnsi="仿宋_GB2312" w:eastAsia="仿宋_GB2312" w:cs="仿宋_GB2312"/>
                <w:szCs w:val="21"/>
              </w:rPr>
            </w:pPr>
            <w:r>
              <w:rPr>
                <w:rFonts w:hint="eastAsia" w:ascii="仿宋_GB2312" w:hAnsi="仿宋_GB2312" w:eastAsia="仿宋_GB2312" w:cs="仿宋_GB2312"/>
                <w:szCs w:val="21"/>
              </w:rPr>
              <w:t>对单位处以超过七万五千元、十万元以下罚款</w:t>
            </w:r>
          </w:p>
        </w:tc>
      </w:tr>
    </w:tbl>
    <w:p>
      <w:pPr>
        <w:widowControl/>
        <w:jc w:val="left"/>
        <w:rPr>
          <w:rFonts w:ascii="宋体"/>
          <w:b/>
          <w:sz w:val="32"/>
          <w:szCs w:val="24"/>
          <w:lang w:val="en"/>
        </w:rPr>
      </w:pPr>
      <w:r>
        <w:rPr>
          <w:rFonts w:ascii="宋体" w:hAnsi="宋体"/>
          <w:szCs w:val="24"/>
        </w:rPr>
        <w:br w:type="page"/>
      </w:r>
      <w:r>
        <w:rPr>
          <w:rFonts w:ascii="宋体" w:eastAsia="宋体 (正文)"/>
          <w:sz w:val="32"/>
          <w:szCs w:val="24"/>
          <w:lang w:val="en"/>
        </w:rPr>
        <w:t>《深圳市房屋安全管理办法》</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8"/>
        <w:gridCol w:w="1101"/>
        <w:gridCol w:w="3149"/>
        <w:gridCol w:w="1854"/>
        <w:gridCol w:w="1101"/>
        <w:gridCol w:w="1129"/>
        <w:gridCol w:w="1261"/>
        <w:gridCol w:w="369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序号</w:t>
            </w:r>
          </w:p>
        </w:tc>
        <w:tc>
          <w:tcPr>
            <w:tcW w:w="38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违法行为</w:t>
            </w:r>
          </w:p>
        </w:tc>
        <w:tc>
          <w:tcPr>
            <w:tcW w:w="111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lang w:val="en"/>
              </w:rPr>
            </w:pPr>
            <w:r>
              <w:rPr>
                <w:rFonts w:hint="eastAsia" w:ascii="仿宋_GB2312" w:hAnsi="仿宋_GB2312" w:eastAsia="仿宋_GB2312" w:cs="仿宋_GB2312"/>
                <w:b/>
                <w:sz w:val="21"/>
                <w:szCs w:val="21"/>
                <w:lang w:val="en"/>
              </w:rPr>
              <w:t>违反条款</w:t>
            </w:r>
          </w:p>
        </w:tc>
        <w:tc>
          <w:tcPr>
            <w:tcW w:w="65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处罚依据</w:t>
            </w:r>
          </w:p>
        </w:tc>
        <w:tc>
          <w:tcPr>
            <w:tcW w:w="38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处罚种类</w:t>
            </w:r>
          </w:p>
        </w:tc>
        <w:tc>
          <w:tcPr>
            <w:tcW w:w="39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裁量阶次</w:t>
            </w:r>
          </w:p>
        </w:tc>
        <w:tc>
          <w:tcPr>
            <w:tcW w:w="44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适用条件</w:t>
            </w:r>
          </w:p>
        </w:tc>
        <w:tc>
          <w:tcPr>
            <w:tcW w:w="1302"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13"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 w:val="18"/>
                <w:szCs w:val="18"/>
                <w:lang w:val="en"/>
              </w:rPr>
            </w:pPr>
            <w:r>
              <w:rPr>
                <w:rFonts w:hint="eastAsia" w:ascii="仿宋_GB2312" w:hAnsi="仿宋_GB2312" w:eastAsia="仿宋_GB2312" w:cs="仿宋_GB2312"/>
                <w:sz w:val="18"/>
                <w:szCs w:val="18"/>
                <w:lang w:val="en"/>
              </w:rPr>
              <w:t>205.12</w:t>
            </w:r>
          </w:p>
        </w:tc>
        <w:tc>
          <w:tcPr>
            <w:tcW w:w="38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鉴定机构出具虚假鉴定报告的</w:t>
            </w:r>
          </w:p>
        </w:tc>
        <w:tc>
          <w:tcPr>
            <w:tcW w:w="1110"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第二十四条：“鉴定机构根据相关专业规范、标准和规程进行房屋安全检测鉴定活动，对其出具的房屋安全检测鉴定报告的真实性和准确性负责，并依法承担法律责任。房屋安全检测鉴定管理办法由市主管部门另行制定。</w:t>
            </w:r>
          </w:p>
          <w:p>
            <w:pPr>
              <w:ind w:firstLine="360" w:firstLineChars="200"/>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鉴定机构应当独立开展检测鉴定活动，有关单位或者个人应当予以协助、配合，无正当理由不得拒绝、阻挠和干涉检测鉴定人员的正常检测鉴定活动。</w:t>
            </w:r>
          </w:p>
          <w:p>
            <w:pPr>
              <w:ind w:firstLine="360" w:firstLineChars="200"/>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鉴定机构出具的房屋安全鉴定报告应当由本机构国家一级注册结构工程师签字确认，该报告是认定房屋安全状况的依据。</w:t>
            </w:r>
          </w:p>
          <w:p>
            <w:pPr>
              <w:ind w:firstLine="360" w:firstLineChars="200"/>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鉴定机构和人员应当保守在检测鉴定过程中知悉的国家秘密、商业秘密，不得泄露个人隐私，法律法规另有规定的除外。”</w:t>
            </w:r>
          </w:p>
        </w:tc>
        <w:tc>
          <w:tcPr>
            <w:tcW w:w="654"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第四十九条：“鉴定机构有下列行为之一的，由区主管部门责令改正，处三万元以上十万元以下罚款，并从鉴定机构名录中除名。对负有直接责任的房屋安全检测鉴定人员，处一千元罚款，且三年内不得在本市从事房屋安全检测鉴定工作。涉嫌犯罪的，依法移交司法机关处理。（一）出具虚假鉴定报告。”</w:t>
            </w:r>
          </w:p>
        </w:tc>
        <w:tc>
          <w:tcPr>
            <w:tcW w:w="38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罚款；限制开展生产经营活动；限制从业</w:t>
            </w:r>
          </w:p>
        </w:tc>
        <w:tc>
          <w:tcPr>
            <w:tcW w:w="39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rPr>
              <w:t>从轻</w:t>
            </w:r>
          </w:p>
        </w:tc>
        <w:tc>
          <w:tcPr>
            <w:tcW w:w="444"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未造成后果或造成轻微危害后果的</w:t>
            </w:r>
          </w:p>
        </w:tc>
        <w:tc>
          <w:tcPr>
            <w:tcW w:w="1302"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责令改正，对鉴定机构处三万元以上、低于六万五千元罚款，并从鉴定机构名录中除名；</w:t>
            </w:r>
          </w:p>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对负有直接责任的房屋安全检测鉴定人员，处一千元罚款，且三年内不得在本市从事房屋安全检测鉴定工作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1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p>
        </w:tc>
        <w:tc>
          <w:tcPr>
            <w:tcW w:w="38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p>
        </w:tc>
        <w:tc>
          <w:tcPr>
            <w:tcW w:w="111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p>
        </w:tc>
        <w:tc>
          <w:tcPr>
            <w:tcW w:w="65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p>
        </w:tc>
        <w:tc>
          <w:tcPr>
            <w:tcW w:w="38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p>
        </w:tc>
        <w:tc>
          <w:tcPr>
            <w:tcW w:w="39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rPr>
              <w:t>一般</w:t>
            </w:r>
          </w:p>
        </w:tc>
        <w:tc>
          <w:tcPr>
            <w:tcW w:w="444"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造成一般危害后果的</w:t>
            </w:r>
          </w:p>
        </w:tc>
        <w:tc>
          <w:tcPr>
            <w:tcW w:w="1302"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责令改正，对鉴定机构处六万五千元罚款，并从鉴定机构名录中除名；</w:t>
            </w:r>
          </w:p>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对负有直接责任的房屋安全检测鉴定人员，处一千元罚款，且三年内不得在本市从事房屋安全检测鉴定工作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1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p>
        </w:tc>
        <w:tc>
          <w:tcPr>
            <w:tcW w:w="38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p>
        </w:tc>
        <w:tc>
          <w:tcPr>
            <w:tcW w:w="111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p>
        </w:tc>
        <w:tc>
          <w:tcPr>
            <w:tcW w:w="65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p>
        </w:tc>
        <w:tc>
          <w:tcPr>
            <w:tcW w:w="38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p>
        </w:tc>
        <w:tc>
          <w:tcPr>
            <w:tcW w:w="39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rPr>
              <w:t>从重</w:t>
            </w:r>
          </w:p>
        </w:tc>
        <w:tc>
          <w:tcPr>
            <w:tcW w:w="444" w:type="pct"/>
            <w:tcBorders>
              <w:top w:val="single" w:color="auto" w:sz="4" w:space="0"/>
              <w:left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造成严重危害后果或发生安全事故的</w:t>
            </w:r>
          </w:p>
        </w:tc>
        <w:tc>
          <w:tcPr>
            <w:tcW w:w="1302"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责令改正，对鉴定机构处超过六万五千元、十万元以下罚款，并从鉴定机构名录中除名；</w:t>
            </w:r>
          </w:p>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对负有直接责任的房屋安全检测鉴定人员，处一千元罚款，且三年内不得在本市从事房屋安全检测鉴定工作</w:t>
            </w:r>
          </w:p>
        </w:tc>
      </w:tr>
    </w:tbl>
    <w:p>
      <w:pPr>
        <w:widowControl/>
        <w:jc w:val="left"/>
        <w:rPr>
          <w:rFonts w:ascii="宋体"/>
          <w:b/>
          <w:sz w:val="32"/>
          <w:szCs w:val="24"/>
          <w:lang w:val="en"/>
        </w:rPr>
      </w:pPr>
      <w:r>
        <w:rPr>
          <w:rFonts w:ascii="宋体" w:hAnsi="宋体"/>
          <w:szCs w:val="24"/>
        </w:rPr>
        <w:br w:type="page"/>
      </w:r>
      <w:r>
        <w:rPr>
          <w:rFonts w:ascii="宋体" w:eastAsia="宋体 (正文)"/>
          <w:sz w:val="32"/>
          <w:szCs w:val="24"/>
          <w:lang w:val="en"/>
        </w:rPr>
        <w:t>《深圳市房屋安全管理办法》</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6"/>
        <w:gridCol w:w="1120"/>
        <w:gridCol w:w="3214"/>
        <w:gridCol w:w="1882"/>
        <w:gridCol w:w="1151"/>
        <w:gridCol w:w="1135"/>
        <w:gridCol w:w="1236"/>
        <w:gridCol w:w="35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0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序号</w:t>
            </w:r>
          </w:p>
        </w:tc>
        <w:tc>
          <w:tcPr>
            <w:tcW w:w="39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违法行为</w:t>
            </w:r>
          </w:p>
        </w:tc>
        <w:tc>
          <w:tcPr>
            <w:tcW w:w="113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lang w:val="en"/>
              </w:rPr>
            </w:pPr>
            <w:r>
              <w:rPr>
                <w:rFonts w:hint="eastAsia" w:ascii="仿宋_GB2312" w:hAnsi="仿宋_GB2312" w:eastAsia="仿宋_GB2312" w:cs="仿宋_GB2312"/>
                <w:b/>
                <w:sz w:val="21"/>
                <w:szCs w:val="21"/>
                <w:lang w:val="en"/>
              </w:rPr>
              <w:t>违反条款</w:t>
            </w:r>
          </w:p>
        </w:tc>
        <w:tc>
          <w:tcPr>
            <w:tcW w:w="66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处罚依据</w:t>
            </w:r>
          </w:p>
        </w:tc>
        <w:tc>
          <w:tcPr>
            <w:tcW w:w="40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处罚种类</w:t>
            </w:r>
          </w:p>
        </w:tc>
        <w:tc>
          <w:tcPr>
            <w:tcW w:w="40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裁量阶次</w:t>
            </w:r>
          </w:p>
        </w:tc>
        <w:tc>
          <w:tcPr>
            <w:tcW w:w="43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适用条件</w:t>
            </w:r>
          </w:p>
        </w:tc>
        <w:tc>
          <w:tcPr>
            <w:tcW w:w="125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0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 w:val="18"/>
                <w:szCs w:val="18"/>
                <w:lang w:val="en"/>
              </w:rPr>
            </w:pPr>
            <w:r>
              <w:rPr>
                <w:rFonts w:hint="eastAsia" w:ascii="仿宋_GB2312" w:hAnsi="仿宋_GB2312" w:eastAsia="仿宋_GB2312" w:cs="仿宋_GB2312"/>
                <w:sz w:val="18"/>
                <w:szCs w:val="18"/>
                <w:lang w:val="en"/>
              </w:rPr>
              <w:t>205.13</w:t>
            </w:r>
          </w:p>
        </w:tc>
        <w:tc>
          <w:tcPr>
            <w:tcW w:w="39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鉴定机构未按国家相应规范、标准进行检测鉴定且对鉴定结果造成明显影响的</w:t>
            </w:r>
          </w:p>
        </w:tc>
        <w:tc>
          <w:tcPr>
            <w:tcW w:w="1133"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第二十四条：“鉴定机构根据相关专业规范、标准和规程进行房屋安全检测鉴定活动，对其出具的房屋安全检测鉴定报告的真实性和准确性负责，并依法承担法律责任。房屋安全检测鉴定管理办法由市主管部门另行制定。</w:t>
            </w:r>
          </w:p>
          <w:p>
            <w:pPr>
              <w:ind w:firstLine="360" w:firstLineChars="200"/>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鉴定机构应当独立开展检测鉴定活动，有关单位或者个人应当予以协助、配合，无正当理由不得拒绝、阻挠和干涉检测鉴定人员的正常检测鉴定活动。</w:t>
            </w:r>
          </w:p>
          <w:p>
            <w:pPr>
              <w:ind w:firstLine="360" w:firstLineChars="200"/>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鉴定机构出具的房屋安全鉴定报告应当由本机构国家一级注册结构工程师签字确认，该报告是认定房屋安全状况的依据。</w:t>
            </w:r>
          </w:p>
          <w:p>
            <w:pPr>
              <w:ind w:firstLine="360" w:firstLineChars="200"/>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鉴定机构和人员应当保守在检测鉴定过程中知悉的国家秘密、商业秘密，不得泄露个人隐私，法律法规另有规定的除外。”</w:t>
            </w:r>
          </w:p>
        </w:tc>
        <w:tc>
          <w:tcPr>
            <w:tcW w:w="663"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第四十九条：“鉴定机构有下列行为之一的，由区主管部门责令改正，处三万元以上十万元以下罚款，并从鉴定机构名录中除名。对负有直接责任的房屋安全检测鉴定人员，处一千元罚款，且三年内不得在本市从事房屋安全检测鉴定工作。涉嫌犯罪的，依法移交司法机关处理。（二）未按国家相应规范、标准进行检测鉴定且对鉴定结果造成明显影响的。”</w:t>
            </w:r>
          </w:p>
        </w:tc>
        <w:tc>
          <w:tcPr>
            <w:tcW w:w="40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left"/>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罚款；限制开展生产经营活动；限制从业</w:t>
            </w:r>
          </w:p>
        </w:tc>
        <w:tc>
          <w:tcPr>
            <w:tcW w:w="40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rPr>
              <w:t>从轻</w:t>
            </w:r>
          </w:p>
        </w:tc>
        <w:tc>
          <w:tcPr>
            <w:tcW w:w="43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未造成后果或造成轻微危害后果的</w:t>
            </w:r>
          </w:p>
        </w:tc>
        <w:tc>
          <w:tcPr>
            <w:tcW w:w="125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责令改正，对鉴定机构处三万元以上、低于六万五千元罚款，并从鉴定机构名录中除名；</w:t>
            </w:r>
          </w:p>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对负有直接责任的房屋安全检测鉴定人员，处一千元罚款，且三年内不得在本市从事房屋安全检测鉴定工作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0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p>
        </w:tc>
        <w:tc>
          <w:tcPr>
            <w:tcW w:w="39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p>
        </w:tc>
        <w:tc>
          <w:tcPr>
            <w:tcW w:w="113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p>
        </w:tc>
        <w:tc>
          <w:tcPr>
            <w:tcW w:w="66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p>
        </w:tc>
        <w:tc>
          <w:tcPr>
            <w:tcW w:w="40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 w:val="18"/>
                <w:szCs w:val="18"/>
              </w:rPr>
            </w:pPr>
          </w:p>
        </w:tc>
        <w:tc>
          <w:tcPr>
            <w:tcW w:w="40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rPr>
              <w:t>一般</w:t>
            </w:r>
          </w:p>
        </w:tc>
        <w:tc>
          <w:tcPr>
            <w:tcW w:w="43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造成一般危害后果的</w:t>
            </w:r>
          </w:p>
        </w:tc>
        <w:tc>
          <w:tcPr>
            <w:tcW w:w="125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责令改正，对鉴定机构处六万五千元罚款，并从鉴定机构名录中除名；</w:t>
            </w:r>
          </w:p>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对负有直接责任的房屋安全检测鉴定人员，处一千元罚款，且三年内不得在本市从事房屋安全检测鉴定工作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0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p>
        </w:tc>
        <w:tc>
          <w:tcPr>
            <w:tcW w:w="39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p>
        </w:tc>
        <w:tc>
          <w:tcPr>
            <w:tcW w:w="113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p>
        </w:tc>
        <w:tc>
          <w:tcPr>
            <w:tcW w:w="66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p>
        </w:tc>
        <w:tc>
          <w:tcPr>
            <w:tcW w:w="40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 w:val="18"/>
                <w:szCs w:val="18"/>
              </w:rPr>
            </w:pPr>
          </w:p>
        </w:tc>
        <w:tc>
          <w:tcPr>
            <w:tcW w:w="40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rPr>
              <w:t>从重</w:t>
            </w:r>
          </w:p>
        </w:tc>
        <w:tc>
          <w:tcPr>
            <w:tcW w:w="435" w:type="pct"/>
            <w:tcBorders>
              <w:top w:val="single" w:color="auto" w:sz="4" w:space="0"/>
              <w:left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造成严重危害后果或发生安全事故的</w:t>
            </w:r>
          </w:p>
        </w:tc>
        <w:tc>
          <w:tcPr>
            <w:tcW w:w="125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责令改正，对鉴定机构处超过六万五千元、十万元以下罚款，并从鉴定机构名录中除名；</w:t>
            </w:r>
          </w:p>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对负有直接责任的房屋安全检测鉴定人员，处一千元罚款，且三年内不得在本市从事房屋安全检测鉴定工作</w:t>
            </w:r>
          </w:p>
        </w:tc>
      </w:tr>
    </w:tbl>
    <w:p>
      <w:pPr>
        <w:widowControl/>
        <w:jc w:val="left"/>
        <w:rPr>
          <w:rFonts w:ascii="宋体"/>
          <w:b/>
          <w:sz w:val="32"/>
          <w:szCs w:val="24"/>
          <w:lang w:val="en"/>
        </w:rPr>
      </w:pPr>
      <w:r>
        <w:rPr>
          <w:rFonts w:ascii="宋体" w:eastAsia="宋体 (正文)"/>
          <w:sz w:val="32"/>
          <w:szCs w:val="24"/>
          <w:lang w:val="en"/>
        </w:rPr>
        <w:t>《深圳市房屋安全管理办法》</w:t>
      </w:r>
    </w:p>
    <w:tbl>
      <w:tblPr>
        <w:tblStyle w:val="11"/>
        <w:tblW w:w="4999"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51"/>
        <w:gridCol w:w="1343"/>
        <w:gridCol w:w="2234"/>
        <w:gridCol w:w="1684"/>
        <w:gridCol w:w="1123"/>
        <w:gridCol w:w="1295"/>
        <w:gridCol w:w="1749"/>
        <w:gridCol w:w="35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0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序号</w:t>
            </w:r>
          </w:p>
        </w:tc>
        <w:tc>
          <w:tcPr>
            <w:tcW w:w="47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违法行为</w:t>
            </w:r>
          </w:p>
        </w:tc>
        <w:tc>
          <w:tcPr>
            <w:tcW w:w="78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lang w:val="en"/>
              </w:rPr>
            </w:pPr>
            <w:r>
              <w:rPr>
                <w:rFonts w:hint="eastAsia" w:ascii="仿宋_GB2312" w:hAnsi="仿宋_GB2312" w:eastAsia="仿宋_GB2312" w:cs="仿宋_GB2312"/>
                <w:b/>
                <w:sz w:val="21"/>
                <w:szCs w:val="21"/>
                <w:lang w:val="en"/>
              </w:rPr>
              <w:t>违反条款</w:t>
            </w:r>
          </w:p>
        </w:tc>
        <w:tc>
          <w:tcPr>
            <w:tcW w:w="59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处罚依据</w:t>
            </w:r>
          </w:p>
        </w:tc>
        <w:tc>
          <w:tcPr>
            <w:tcW w:w="39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处罚种类</w:t>
            </w:r>
          </w:p>
        </w:tc>
        <w:tc>
          <w:tcPr>
            <w:tcW w:w="45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裁量阶次</w:t>
            </w:r>
          </w:p>
        </w:tc>
        <w:tc>
          <w:tcPr>
            <w:tcW w:w="61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适用条件</w:t>
            </w:r>
          </w:p>
        </w:tc>
        <w:tc>
          <w:tcPr>
            <w:tcW w:w="126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 w:val="21"/>
                <w:szCs w:val="21"/>
              </w:rPr>
            </w:pPr>
            <w:r>
              <w:rPr>
                <w:rFonts w:hint="eastAsia" w:ascii="仿宋_GB2312" w:hAnsi="仿宋_GB2312" w:eastAsia="仿宋_GB2312" w:cs="仿宋_GB2312"/>
                <w:b/>
                <w:sz w:val="21"/>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0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 w:val="18"/>
                <w:szCs w:val="18"/>
                <w:lang w:val="en"/>
              </w:rPr>
            </w:pPr>
            <w:r>
              <w:rPr>
                <w:rFonts w:hint="eastAsia" w:ascii="仿宋_GB2312" w:hAnsi="仿宋_GB2312" w:eastAsia="仿宋_GB2312" w:cs="仿宋_GB2312"/>
                <w:sz w:val="18"/>
                <w:szCs w:val="18"/>
                <w:lang w:val="en"/>
              </w:rPr>
              <w:t>205.14</w:t>
            </w:r>
          </w:p>
        </w:tc>
        <w:tc>
          <w:tcPr>
            <w:tcW w:w="473"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鉴定机构违反法律法规及本办法规定的其他情形</w:t>
            </w:r>
          </w:p>
        </w:tc>
        <w:tc>
          <w:tcPr>
            <w:tcW w:w="78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第四十九条：“鉴定机构有下列行为之一的，由区主管部门责令改正，处三万元以上十万元以下罚款，并从鉴定机构名录中除名。对负有直接责任的房屋安全检测鉴定人员，处一千元罚款，且三年内不得在本市从事房屋安全检测鉴定工作。涉嫌犯罪的，依法移交司法机关处理。</w:t>
            </w:r>
          </w:p>
          <w:p>
            <w:pPr>
              <w:numPr>
                <w:ilvl w:val="0"/>
                <w:numId w:val="14"/>
              </w:num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出具虚假鉴定报告；</w:t>
            </w:r>
          </w:p>
          <w:p>
            <w:pPr>
              <w:numPr>
                <w:ilvl w:val="0"/>
                <w:numId w:val="14"/>
              </w:num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未按国家相应规范、标准进行检测鉴定且对鉴定结果造成明显影响的；</w:t>
            </w:r>
          </w:p>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（三）违反法律法规及本办法规定的其他情形。”</w:t>
            </w:r>
          </w:p>
        </w:tc>
        <w:tc>
          <w:tcPr>
            <w:tcW w:w="594"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第四十九条：“鉴定机构有下列行为之一的，由区主管部门责令改正，处三万元以上十万元以下罚款，并从鉴定机构名录中除名。对负有直接责任的房屋安全检测鉴定人员，处一千元罚款，且三年内不得在本市从事房屋安全检测鉴定工作。涉嫌犯罪的，依法移交司法机关处理。（三）违反法律法规及本办法规定的其他情形。”</w:t>
            </w:r>
          </w:p>
        </w:tc>
        <w:tc>
          <w:tcPr>
            <w:tcW w:w="39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left"/>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罚款；限制开展生产经营活动；限制从业</w:t>
            </w:r>
          </w:p>
        </w:tc>
        <w:tc>
          <w:tcPr>
            <w:tcW w:w="45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rPr>
              <w:t>从轻</w:t>
            </w:r>
          </w:p>
        </w:tc>
        <w:tc>
          <w:tcPr>
            <w:tcW w:w="61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未造成后果或造成轻微危害后果的</w:t>
            </w:r>
          </w:p>
        </w:tc>
        <w:tc>
          <w:tcPr>
            <w:tcW w:w="126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责令改正，对鉴定机构处三万元以上、低于六万五千元罚款，并从鉴定机构名录中除名；</w:t>
            </w:r>
          </w:p>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对负有直接责任的房屋安全检测鉴定人员，处一千元罚款，且三年内不得在本市从事房屋安全检测鉴定工作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p>
        </w:tc>
        <w:tc>
          <w:tcPr>
            <w:tcW w:w="47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p>
        </w:tc>
        <w:tc>
          <w:tcPr>
            <w:tcW w:w="78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p>
        </w:tc>
        <w:tc>
          <w:tcPr>
            <w:tcW w:w="59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p>
        </w:tc>
        <w:tc>
          <w:tcPr>
            <w:tcW w:w="39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 w:val="18"/>
                <w:szCs w:val="18"/>
              </w:rPr>
            </w:pPr>
          </w:p>
        </w:tc>
        <w:tc>
          <w:tcPr>
            <w:tcW w:w="45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rPr>
              <w:t>一般</w:t>
            </w:r>
          </w:p>
        </w:tc>
        <w:tc>
          <w:tcPr>
            <w:tcW w:w="61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造成一般危害后果的</w:t>
            </w:r>
          </w:p>
        </w:tc>
        <w:tc>
          <w:tcPr>
            <w:tcW w:w="126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责令改正，对鉴定机构处六万五千元罚款，并从鉴定机构名录中除名；</w:t>
            </w:r>
          </w:p>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对负有直接责任的房屋安全检测鉴定人员，处一千元罚款，且三年内不得在本市从事房屋安全检测鉴定工作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40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p>
        </w:tc>
        <w:tc>
          <w:tcPr>
            <w:tcW w:w="47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p>
        </w:tc>
        <w:tc>
          <w:tcPr>
            <w:tcW w:w="78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p>
        </w:tc>
        <w:tc>
          <w:tcPr>
            <w:tcW w:w="59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p>
        </w:tc>
        <w:tc>
          <w:tcPr>
            <w:tcW w:w="39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 w:val="18"/>
                <w:szCs w:val="18"/>
              </w:rPr>
            </w:pPr>
          </w:p>
        </w:tc>
        <w:tc>
          <w:tcPr>
            <w:tcW w:w="45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rPr>
              <w:t>从重</w:t>
            </w:r>
          </w:p>
        </w:tc>
        <w:tc>
          <w:tcPr>
            <w:tcW w:w="617" w:type="pct"/>
            <w:tcBorders>
              <w:top w:val="single" w:color="auto" w:sz="4" w:space="0"/>
              <w:left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造成严重危害后果或造成安全事故的</w:t>
            </w:r>
          </w:p>
        </w:tc>
        <w:tc>
          <w:tcPr>
            <w:tcW w:w="1267"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责令改正，对鉴定机构处超过六万五千元、十万元以下罚款，并从鉴定机构名录中除名；</w:t>
            </w:r>
          </w:p>
          <w:p>
            <w:pPr>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对负有直接责任的房屋安全检测鉴定人员，处一千元罚款，且三年内不得在本市从事房屋安全检测鉴定工作</w:t>
            </w:r>
          </w:p>
        </w:tc>
      </w:tr>
    </w:tbl>
    <w:p>
      <w:pPr>
        <w:widowControl/>
        <w:jc w:val="left"/>
        <w:rPr>
          <w:rFonts w:ascii="宋体"/>
          <w:b/>
          <w:sz w:val="32"/>
          <w:szCs w:val="24"/>
          <w:lang w:val="en"/>
        </w:rPr>
      </w:pPr>
      <w:r>
        <w:rPr>
          <w:rFonts w:ascii="宋体" w:eastAsia="宋体 (正文)"/>
          <w:sz w:val="32"/>
          <w:szCs w:val="24"/>
          <w:lang w:val="en"/>
        </w:rPr>
        <w:t>《深圳市国家机关事业单位住房制度改革若干规定》</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0"/>
        <w:gridCol w:w="1412"/>
        <w:gridCol w:w="2772"/>
        <w:gridCol w:w="2736"/>
        <w:gridCol w:w="1483"/>
        <w:gridCol w:w="1448"/>
        <w:gridCol w:w="1644"/>
        <w:gridCol w:w="17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3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kern w:val="0"/>
                <w:szCs w:val="21"/>
              </w:rPr>
              <w:t>序号</w:t>
            </w:r>
          </w:p>
        </w:tc>
        <w:tc>
          <w:tcPr>
            <w:tcW w:w="49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kern w:val="0"/>
                <w:szCs w:val="21"/>
              </w:rPr>
              <w:t>违法行为</w:t>
            </w:r>
          </w:p>
        </w:tc>
        <w:tc>
          <w:tcPr>
            <w:tcW w:w="97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kern w:val="0"/>
                <w:szCs w:val="21"/>
                <w:lang w:val="en"/>
              </w:rPr>
              <w:t>违反条款</w:t>
            </w:r>
          </w:p>
        </w:tc>
        <w:tc>
          <w:tcPr>
            <w:tcW w:w="96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kern w:val="0"/>
                <w:szCs w:val="21"/>
              </w:rPr>
              <w:t>处罚依据</w:t>
            </w:r>
          </w:p>
        </w:tc>
        <w:tc>
          <w:tcPr>
            <w:tcW w:w="52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kern w:val="0"/>
                <w:szCs w:val="21"/>
              </w:rPr>
            </w:pPr>
            <w:r>
              <w:rPr>
                <w:rFonts w:hint="eastAsia" w:ascii="仿宋_GB2312" w:hAnsi="仿宋_GB2312" w:eastAsia="仿宋_GB2312" w:cs="仿宋_GB2312"/>
                <w:b/>
                <w:kern w:val="0"/>
                <w:szCs w:val="21"/>
              </w:rPr>
              <w:t>处罚种类</w:t>
            </w:r>
          </w:p>
        </w:tc>
        <w:tc>
          <w:tcPr>
            <w:tcW w:w="51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kern w:val="0"/>
                <w:szCs w:val="21"/>
              </w:rPr>
            </w:pPr>
            <w:r>
              <w:rPr>
                <w:rFonts w:hint="eastAsia" w:ascii="仿宋_GB2312" w:hAnsi="仿宋_GB2312" w:eastAsia="仿宋_GB2312" w:cs="仿宋_GB2312"/>
                <w:b/>
                <w:kern w:val="0"/>
                <w:szCs w:val="21"/>
              </w:rPr>
              <w:t>裁量阶次</w:t>
            </w:r>
          </w:p>
        </w:tc>
        <w:tc>
          <w:tcPr>
            <w:tcW w:w="58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kern w:val="0"/>
                <w:szCs w:val="21"/>
              </w:rPr>
              <w:t>适用条件</w:t>
            </w:r>
          </w:p>
        </w:tc>
        <w:tc>
          <w:tcPr>
            <w:tcW w:w="61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206.1</w:t>
            </w:r>
          </w:p>
        </w:tc>
        <w:tc>
          <w:tcPr>
            <w:tcW w:w="49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rPr>
              <w:t>隐瞒真实情况，提供虚假证明材料，骗购、骗租安居房的</w:t>
            </w:r>
          </w:p>
        </w:tc>
        <w:tc>
          <w:tcPr>
            <w:tcW w:w="97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rPr>
              <w:t>第七十四条：“隐瞒真实情况，提供虚假证明材料，骗购、骗租安居房的，由住宅管理部门或原产权单位收回其骗购、骗租的安居房（骗购的按原价收回），同时按市场租金计收使用期内的房租，并由住宅管理部门处以每套二万元以上五万元以下的罚款。三年内禁止其申请购、租安居房。对出具虚假证明材料的单位，除按以上规定处罚外，对其主管人员和直接责任人员可以由其上级主管部门给予行政处分。”</w:t>
            </w:r>
          </w:p>
        </w:tc>
        <w:tc>
          <w:tcPr>
            <w:tcW w:w="96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rPr>
              <w:t>第七十四条：“隐瞒真实情况，提供虚假证明材料，骗购、骗租安居房的，由住宅管理部门或原产权单位收回其骗购、骗租的安居房（骗购的按原价收回），同时按市场租金计收使用期内的房租，并由住宅管理部门处以每套二万元以上五万元以下的罚款。三年内禁止其申请购、租安居房。对出具虚假证明材料的单位，除按以上规定处罚外，对其主管人员和直接责任人员可以由其上级主管部门给予行政处分。”</w:t>
            </w:r>
          </w:p>
        </w:tc>
        <w:tc>
          <w:tcPr>
            <w:tcW w:w="523"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kern w:val="0"/>
                <w:szCs w:val="21"/>
              </w:rPr>
            </w:pPr>
            <w:r>
              <w:rPr>
                <w:rFonts w:hint="eastAsia" w:ascii="仿宋_GB2312" w:hAnsi="仿宋_GB2312" w:eastAsia="仿宋_GB2312" w:cs="仿宋_GB2312"/>
                <w:kern w:val="0"/>
                <w:szCs w:val="21"/>
              </w:rPr>
              <w:t>罚款</w:t>
            </w:r>
          </w:p>
        </w:tc>
        <w:tc>
          <w:tcPr>
            <w:tcW w:w="51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kern w:val="0"/>
                <w:szCs w:val="21"/>
              </w:rPr>
            </w:pPr>
            <w:r>
              <w:rPr>
                <w:rFonts w:hint="eastAsia" w:ascii="仿宋_GB2312" w:hAnsi="仿宋_GB2312" w:eastAsia="仿宋_GB2312" w:cs="仿宋_GB2312"/>
                <w:color w:val="000000"/>
                <w:kern w:val="0"/>
                <w:szCs w:val="21"/>
              </w:rPr>
              <w:t>从轻</w:t>
            </w:r>
          </w:p>
        </w:tc>
        <w:tc>
          <w:tcPr>
            <w:tcW w:w="580"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rPr>
              <w:t>未造成后果或造成轻微危害后果的</w:t>
            </w:r>
          </w:p>
        </w:tc>
        <w:tc>
          <w:tcPr>
            <w:tcW w:w="61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rPr>
              <w:t>处以每套二万元以上、低于三万五千元的罚款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9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7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6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2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kern w:val="0"/>
                <w:szCs w:val="21"/>
              </w:rPr>
            </w:pPr>
          </w:p>
        </w:tc>
        <w:tc>
          <w:tcPr>
            <w:tcW w:w="51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kern w:val="0"/>
                <w:szCs w:val="21"/>
              </w:rPr>
            </w:pPr>
            <w:r>
              <w:rPr>
                <w:rFonts w:hint="eastAsia" w:ascii="仿宋_GB2312" w:hAnsi="仿宋_GB2312" w:eastAsia="仿宋_GB2312" w:cs="仿宋_GB2312"/>
                <w:color w:val="000000"/>
                <w:kern w:val="0"/>
                <w:szCs w:val="21"/>
              </w:rPr>
              <w:t>一般</w:t>
            </w:r>
          </w:p>
        </w:tc>
        <w:tc>
          <w:tcPr>
            <w:tcW w:w="580"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rPr>
              <w:t>造成一般危害后果的</w:t>
            </w:r>
          </w:p>
        </w:tc>
        <w:tc>
          <w:tcPr>
            <w:tcW w:w="61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rPr>
              <w:t>处以每套三万五千元的罚款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9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7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6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23"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kern w:val="0"/>
                <w:szCs w:val="21"/>
              </w:rPr>
            </w:pPr>
          </w:p>
        </w:tc>
        <w:tc>
          <w:tcPr>
            <w:tcW w:w="51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kern w:val="0"/>
                <w:szCs w:val="21"/>
              </w:rPr>
            </w:pPr>
            <w:r>
              <w:rPr>
                <w:rFonts w:hint="eastAsia" w:ascii="仿宋_GB2312" w:hAnsi="仿宋_GB2312" w:eastAsia="仿宋_GB2312" w:cs="仿宋_GB2312"/>
                <w:color w:val="000000"/>
                <w:kern w:val="0"/>
                <w:szCs w:val="21"/>
              </w:rPr>
              <w:t>从重</w:t>
            </w:r>
          </w:p>
        </w:tc>
        <w:tc>
          <w:tcPr>
            <w:tcW w:w="580"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rPr>
              <w:t>造成严重危害后果的</w:t>
            </w:r>
          </w:p>
        </w:tc>
        <w:tc>
          <w:tcPr>
            <w:tcW w:w="61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kern w:val="0"/>
                <w:szCs w:val="21"/>
              </w:rPr>
              <w:t>处以每套超过三万五千元、五万元以下的罚款</w:t>
            </w:r>
          </w:p>
        </w:tc>
      </w:tr>
    </w:tbl>
    <w:p>
      <w:pPr>
        <w:widowControl/>
        <w:jc w:val="left"/>
        <w:rPr>
          <w:rFonts w:ascii="宋体"/>
          <w:b/>
          <w:sz w:val="32"/>
          <w:szCs w:val="24"/>
          <w:lang w:val="en"/>
        </w:rPr>
      </w:pPr>
      <w:r>
        <w:rPr>
          <w:rFonts w:ascii="宋体" w:eastAsia="宋体 (正文)"/>
          <w:sz w:val="32"/>
          <w:szCs w:val="24"/>
          <w:lang w:val="en"/>
        </w:rPr>
        <w:t>《深圳市国家机关事业单位住房制度改革若干规定》</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0"/>
        <w:gridCol w:w="1301"/>
        <w:gridCol w:w="2577"/>
        <w:gridCol w:w="2506"/>
        <w:gridCol w:w="1278"/>
        <w:gridCol w:w="1403"/>
        <w:gridCol w:w="2157"/>
        <w:gridCol w:w="20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2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45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90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88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45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49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76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714"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2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206.2</w:t>
            </w:r>
          </w:p>
        </w:tc>
        <w:tc>
          <w:tcPr>
            <w:tcW w:w="459"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安居房上市前，违反规定转卖安居房的</w:t>
            </w:r>
          </w:p>
        </w:tc>
        <w:tc>
          <w:tcPr>
            <w:tcW w:w="909"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七十五条：“安居房上市前，违反安居房管理规定，转卖安居房的，由住宅管理部门或原产权单位按原价收回其转卖的安居房，同时由市住宅管理部门处以其违法所得三倍以下的罚款，并可依法予以行政处分。”</w:t>
            </w:r>
          </w:p>
        </w:tc>
        <w:tc>
          <w:tcPr>
            <w:tcW w:w="884"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七十五条：“安居房上市前，违反安居房管理规定，转卖安居房的，由住宅管理部门或原产权单位按原价收回其转卖的安居房，同时由市住宅管理部门处以其违法所得三倍以下的罚款，并可依法予以行政处分。”</w:t>
            </w:r>
          </w:p>
        </w:tc>
        <w:tc>
          <w:tcPr>
            <w:tcW w:w="45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rPr>
              <w:t>罚款</w:t>
            </w:r>
          </w:p>
        </w:tc>
        <w:tc>
          <w:tcPr>
            <w:tcW w:w="49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7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未造成后果或造成轻微危害后果的</w:t>
            </w:r>
          </w:p>
        </w:tc>
        <w:tc>
          <w:tcPr>
            <w:tcW w:w="714"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处以其违法所得百分之六十的罚款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5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0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8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5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p>
        </w:tc>
        <w:tc>
          <w:tcPr>
            <w:tcW w:w="49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7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造成一般危害后果的</w:t>
            </w:r>
          </w:p>
        </w:tc>
        <w:tc>
          <w:tcPr>
            <w:tcW w:w="714"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处以其违法所得一点五倍的罚款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2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5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909"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84"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5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p>
        </w:tc>
        <w:tc>
          <w:tcPr>
            <w:tcW w:w="49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761"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造成严重危害后果的</w:t>
            </w:r>
          </w:p>
        </w:tc>
        <w:tc>
          <w:tcPr>
            <w:tcW w:w="714"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处以其违法所得超过一点五倍、三倍以下的罚款</w:t>
            </w:r>
          </w:p>
        </w:tc>
      </w:tr>
    </w:tbl>
    <w:p>
      <w:pPr>
        <w:widowControl/>
        <w:jc w:val="left"/>
        <w:rPr>
          <w:rFonts w:ascii="宋体"/>
          <w:b/>
          <w:sz w:val="32"/>
          <w:szCs w:val="24"/>
          <w:lang w:val="en"/>
        </w:rPr>
      </w:pPr>
      <w:r>
        <w:rPr>
          <w:b/>
          <w:sz w:val="32"/>
          <w:szCs w:val="24"/>
        </w:rPr>
        <w:br w:type="page"/>
      </w:r>
      <w:r>
        <w:rPr>
          <w:rFonts w:ascii="宋体" w:eastAsia="宋体 (正文)"/>
          <w:sz w:val="32"/>
          <w:szCs w:val="24"/>
          <w:lang w:val="en"/>
        </w:rPr>
        <w:t>《深圳市国家机关事业单位住房制度改革若干规定》</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6"/>
        <w:gridCol w:w="1307"/>
        <w:gridCol w:w="1661"/>
        <w:gridCol w:w="3336"/>
        <w:gridCol w:w="1519"/>
        <w:gridCol w:w="1361"/>
        <w:gridCol w:w="1907"/>
        <w:gridCol w:w="21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3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461"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58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117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53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48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67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75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0"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206.3</w:t>
            </w:r>
          </w:p>
        </w:tc>
        <w:tc>
          <w:tcPr>
            <w:tcW w:w="461"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个人或家庭购、租两套或两套以上安居房的</w:t>
            </w:r>
          </w:p>
        </w:tc>
        <w:tc>
          <w:tcPr>
            <w:tcW w:w="58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第十五条：“安居房购租实行自愿的原则，每户职工家庭只能购买或租用一套（间）安居房。”</w:t>
            </w:r>
          </w:p>
        </w:tc>
        <w:tc>
          <w:tcPr>
            <w:tcW w:w="1177"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七十六条：“严禁任何个人或家庭购、租两套或两套以上安居房，购、租两套或两套以上安居房的个人或家庭，只准保留第一套，其余安居房由住宅管理部门或产权单位收回（购买的按原价收回），同时由住宅管理部门处以每套二万元以上十万元以下的罚款，并可以由其所在单位给予行政处分。”</w:t>
            </w:r>
          </w:p>
        </w:tc>
        <w:tc>
          <w:tcPr>
            <w:tcW w:w="53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rPr>
              <w:t>罚款</w:t>
            </w:r>
          </w:p>
        </w:tc>
        <w:tc>
          <w:tcPr>
            <w:tcW w:w="48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673"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未造成后果或造成轻微危害后果的</w:t>
            </w:r>
          </w:p>
        </w:tc>
        <w:tc>
          <w:tcPr>
            <w:tcW w:w="75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处以每套二万元以上、低于六万元的罚款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6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8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117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3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p>
        </w:tc>
        <w:tc>
          <w:tcPr>
            <w:tcW w:w="48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673"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造成一般危害后果的</w:t>
            </w:r>
          </w:p>
        </w:tc>
        <w:tc>
          <w:tcPr>
            <w:tcW w:w="75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处以每套六万元的罚款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3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61"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8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117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3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p>
        </w:tc>
        <w:tc>
          <w:tcPr>
            <w:tcW w:w="48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673"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造成严重危害后果的</w:t>
            </w:r>
          </w:p>
        </w:tc>
        <w:tc>
          <w:tcPr>
            <w:tcW w:w="75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处以每套超过六万元、十万元以下的罚款</w:t>
            </w:r>
          </w:p>
        </w:tc>
      </w:tr>
    </w:tbl>
    <w:p>
      <w:pPr>
        <w:widowControl/>
        <w:jc w:val="left"/>
        <w:rPr>
          <w:rFonts w:ascii="宋体"/>
          <w:b/>
          <w:sz w:val="32"/>
          <w:szCs w:val="24"/>
          <w:lang w:val="en"/>
        </w:rPr>
      </w:pPr>
      <w:r>
        <w:rPr>
          <w:rFonts w:ascii="宋体" w:eastAsia="宋体 (正文)"/>
          <w:sz w:val="32"/>
          <w:szCs w:val="24"/>
          <w:lang w:val="en"/>
        </w:rPr>
        <w:t>《深圳市国家机关事业单位住房制度改革若干规定》</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4"/>
        <w:gridCol w:w="1333"/>
        <w:gridCol w:w="2396"/>
        <w:gridCol w:w="2381"/>
        <w:gridCol w:w="1432"/>
        <w:gridCol w:w="1275"/>
        <w:gridCol w:w="1914"/>
        <w:gridCol w:w="254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47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84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84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50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45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67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89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1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206.4</w:t>
            </w:r>
          </w:p>
        </w:tc>
        <w:tc>
          <w:tcPr>
            <w:tcW w:w="470"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安居房上市前，违反规定出租或转租安居房的</w:t>
            </w:r>
          </w:p>
        </w:tc>
        <w:tc>
          <w:tcPr>
            <w:tcW w:w="84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第七十七条：“安居房上市前，违反安居房管理规定，出租或转租安居房的，由住宅管理部门处以违法所得三倍以下的罚款。”</w:t>
            </w:r>
          </w:p>
        </w:tc>
        <w:tc>
          <w:tcPr>
            <w:tcW w:w="840"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第七十七条：“安居房上市前，违反安居房管理规定，出租或转租安居房的，由住宅管理部门处以违法所得三倍以下的罚款。”</w:t>
            </w:r>
          </w:p>
        </w:tc>
        <w:tc>
          <w:tcPr>
            <w:tcW w:w="50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rPr>
              <w:t>罚款</w:t>
            </w:r>
          </w:p>
        </w:tc>
        <w:tc>
          <w:tcPr>
            <w:tcW w:w="45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67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未造成后果或造成轻微危害后果的</w:t>
            </w:r>
          </w:p>
        </w:tc>
        <w:tc>
          <w:tcPr>
            <w:tcW w:w="899"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处以其违法所得百分之六十的罚款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1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7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4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4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0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p>
        </w:tc>
        <w:tc>
          <w:tcPr>
            <w:tcW w:w="45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67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造成一般危害后果的</w:t>
            </w:r>
          </w:p>
        </w:tc>
        <w:tc>
          <w:tcPr>
            <w:tcW w:w="899"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处以违法所得一点五倍的罚款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1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7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4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4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0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p>
        </w:tc>
        <w:tc>
          <w:tcPr>
            <w:tcW w:w="45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675"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造成严重危害后果的</w:t>
            </w:r>
          </w:p>
        </w:tc>
        <w:tc>
          <w:tcPr>
            <w:tcW w:w="899"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处以违法所得超过一点五倍、三倍以下的罚款</w:t>
            </w:r>
          </w:p>
        </w:tc>
      </w:tr>
    </w:tbl>
    <w:p>
      <w:pPr>
        <w:widowControl/>
        <w:jc w:val="left"/>
        <w:rPr>
          <w:rFonts w:ascii="宋体"/>
          <w:b/>
          <w:sz w:val="32"/>
          <w:szCs w:val="24"/>
          <w:lang w:val="en"/>
        </w:rPr>
      </w:pPr>
      <w:r>
        <w:rPr>
          <w:rFonts w:ascii="宋体" w:eastAsia="宋体 (正文)"/>
          <w:sz w:val="32"/>
          <w:szCs w:val="24"/>
          <w:lang w:val="en"/>
        </w:rPr>
        <w:t>《深圳市国家机关事业单位住房制度改革若干规定》</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9"/>
        <w:gridCol w:w="1661"/>
        <w:gridCol w:w="2338"/>
        <w:gridCol w:w="2370"/>
        <w:gridCol w:w="1355"/>
        <w:gridCol w:w="1491"/>
        <w:gridCol w:w="1964"/>
        <w:gridCol w:w="20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58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825"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83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47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52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693"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73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17"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206.5</w:t>
            </w:r>
          </w:p>
        </w:tc>
        <w:tc>
          <w:tcPr>
            <w:tcW w:w="58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未经政府主管部门批准，擅自扩大安居房建筑面积的</w:t>
            </w:r>
          </w:p>
        </w:tc>
        <w:tc>
          <w:tcPr>
            <w:tcW w:w="825"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第七十八条：“未经政府主管部门批准，擅自扩大安居房建筑面积的，由住宅管理部门责令其限期将住房恢复原状，并处以每套二万元以上五万元以下的罚款，并按照规定予以行政处分。”</w:t>
            </w:r>
          </w:p>
        </w:tc>
        <w:tc>
          <w:tcPr>
            <w:tcW w:w="83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第七十八条：“未经政府主管部门批准，擅自扩大安居房建筑面积的，由住宅管理部门责令其限期将住房恢复原状，并处以每套二万元以上五万元以下的罚款，并按照规定予以行政处分。”</w:t>
            </w:r>
          </w:p>
        </w:tc>
        <w:tc>
          <w:tcPr>
            <w:tcW w:w="47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rPr>
              <w:t>罚款</w:t>
            </w:r>
          </w:p>
        </w:tc>
        <w:tc>
          <w:tcPr>
            <w:tcW w:w="52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693"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未造成后果或造成轻微危害后果的</w:t>
            </w:r>
          </w:p>
        </w:tc>
        <w:tc>
          <w:tcPr>
            <w:tcW w:w="739"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责令限期将住房恢复原状，并处以每套二万元以上、低于三万五千元的罚款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1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8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2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3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7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p>
        </w:tc>
        <w:tc>
          <w:tcPr>
            <w:tcW w:w="52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693"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造成一般危害后果的</w:t>
            </w:r>
          </w:p>
        </w:tc>
        <w:tc>
          <w:tcPr>
            <w:tcW w:w="739"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责令限期将住房恢复原状，并处以每套三万五千元的罚款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1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58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25"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3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7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p>
        </w:tc>
        <w:tc>
          <w:tcPr>
            <w:tcW w:w="52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693"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造成严重危害后果的</w:t>
            </w:r>
          </w:p>
        </w:tc>
        <w:tc>
          <w:tcPr>
            <w:tcW w:w="739"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责令限期将住房恢复原状，并处以每套超过三万五千元、五万元以下的罚款</w:t>
            </w:r>
          </w:p>
        </w:tc>
      </w:tr>
    </w:tbl>
    <w:p>
      <w:pPr>
        <w:widowControl/>
        <w:jc w:val="left"/>
        <w:rPr>
          <w:rFonts w:ascii="宋体"/>
          <w:b/>
          <w:sz w:val="32"/>
          <w:szCs w:val="24"/>
          <w:lang w:val="en"/>
        </w:rPr>
      </w:pPr>
      <w:r>
        <w:rPr>
          <w:rFonts w:ascii="宋体" w:eastAsia="宋体 (正文)"/>
          <w:sz w:val="32"/>
          <w:szCs w:val="24"/>
          <w:lang w:val="en"/>
        </w:rPr>
        <w:t>《深圳市国家机关事业单位住房制度改革若干规定》</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7"/>
        <w:gridCol w:w="1267"/>
        <w:gridCol w:w="2287"/>
        <w:gridCol w:w="2460"/>
        <w:gridCol w:w="1350"/>
        <w:gridCol w:w="1468"/>
        <w:gridCol w:w="2291"/>
        <w:gridCol w:w="21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2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序号</w:t>
            </w:r>
          </w:p>
        </w:tc>
        <w:tc>
          <w:tcPr>
            <w:tcW w:w="44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违法行为</w:t>
            </w:r>
          </w:p>
        </w:tc>
        <w:tc>
          <w:tcPr>
            <w:tcW w:w="807"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lang w:val="en"/>
              </w:rPr>
            </w:pPr>
            <w:r>
              <w:rPr>
                <w:rFonts w:hint="eastAsia" w:ascii="仿宋_GB2312" w:hAnsi="仿宋_GB2312" w:eastAsia="仿宋_GB2312" w:cs="仿宋_GB2312"/>
                <w:b/>
                <w:szCs w:val="21"/>
                <w:lang w:val="en"/>
              </w:rPr>
              <w:t>违反条款</w:t>
            </w:r>
          </w:p>
        </w:tc>
        <w:tc>
          <w:tcPr>
            <w:tcW w:w="86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处罚依据</w:t>
            </w:r>
          </w:p>
        </w:tc>
        <w:tc>
          <w:tcPr>
            <w:tcW w:w="47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处罚种类</w:t>
            </w:r>
          </w:p>
        </w:tc>
        <w:tc>
          <w:tcPr>
            <w:tcW w:w="51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裁量阶次</w:t>
            </w:r>
          </w:p>
        </w:tc>
        <w:tc>
          <w:tcPr>
            <w:tcW w:w="80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适用条件</w:t>
            </w:r>
          </w:p>
        </w:tc>
        <w:tc>
          <w:tcPr>
            <w:tcW w:w="756"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b/>
                <w:szCs w:val="21"/>
              </w:rPr>
            </w:pPr>
            <w:r>
              <w:rPr>
                <w:rFonts w:hint="eastAsia" w:ascii="仿宋_GB2312" w:hAnsi="仿宋_GB2312" w:eastAsia="仿宋_GB2312" w:cs="仿宋_GB2312"/>
                <w:b/>
                <w:szCs w:val="21"/>
              </w:rPr>
              <w:t>具体标准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31" w:hRule="atLeast"/>
        </w:trPr>
        <w:tc>
          <w:tcPr>
            <w:tcW w:w="320"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lang w:val="en"/>
              </w:rPr>
            </w:pPr>
            <w:r>
              <w:rPr>
                <w:rFonts w:hint="eastAsia" w:ascii="仿宋_GB2312" w:hAnsi="仿宋_GB2312" w:eastAsia="仿宋_GB2312" w:cs="仿宋_GB2312"/>
                <w:szCs w:val="21"/>
                <w:lang w:val="en"/>
              </w:rPr>
              <w:t>206.6</w:t>
            </w:r>
          </w:p>
        </w:tc>
        <w:tc>
          <w:tcPr>
            <w:tcW w:w="447"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未经政府主管部门批准，擅自改变安居房用途的</w:t>
            </w:r>
          </w:p>
        </w:tc>
        <w:tc>
          <w:tcPr>
            <w:tcW w:w="807"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第七十九条：“未经政府主管部门批准，擅自改变安居房用途的，由住宅管理部门责令行为人限期将住房恢复原用途，并处以每套二万元以下的罚款。”</w:t>
            </w:r>
          </w:p>
        </w:tc>
        <w:tc>
          <w:tcPr>
            <w:tcW w:w="868"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第七十九条：“未经政府主管部门批准，擅自改变安居房用途的，由住宅管理部门责令行为人限期将住房恢复原用途，并处以每套二万元以下的罚款。”</w:t>
            </w:r>
          </w:p>
        </w:tc>
        <w:tc>
          <w:tcPr>
            <w:tcW w:w="476" w:type="pct"/>
            <w:vMerge w:val="restar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szCs w:val="21"/>
              </w:rPr>
              <w:t>罚款</w:t>
            </w:r>
          </w:p>
        </w:tc>
        <w:tc>
          <w:tcPr>
            <w:tcW w:w="51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从轻</w:t>
            </w:r>
          </w:p>
        </w:tc>
        <w:tc>
          <w:tcPr>
            <w:tcW w:w="80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未造成后果或造成轻微危害后果的</w:t>
            </w:r>
          </w:p>
        </w:tc>
        <w:tc>
          <w:tcPr>
            <w:tcW w:w="75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责令限期将住房恢复原用途，并处以每套四千元罚款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8" w:hRule="atLeast"/>
        </w:trPr>
        <w:tc>
          <w:tcPr>
            <w:tcW w:w="32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4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0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6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7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p>
        </w:tc>
        <w:tc>
          <w:tcPr>
            <w:tcW w:w="51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一般</w:t>
            </w:r>
          </w:p>
        </w:tc>
        <w:tc>
          <w:tcPr>
            <w:tcW w:w="80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造成一般危害后果的</w:t>
            </w:r>
          </w:p>
        </w:tc>
        <w:tc>
          <w:tcPr>
            <w:tcW w:w="75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责令限期将住房恢复原用途，并处以每套一万元罚款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320"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4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07"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868"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p>
        </w:tc>
        <w:tc>
          <w:tcPr>
            <w:tcW w:w="476" w:type="pct"/>
            <w:vMerge w:val="continue"/>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p>
        </w:tc>
        <w:tc>
          <w:tcPr>
            <w:tcW w:w="518"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hint="eastAsia" w:ascii="仿宋_GB2312" w:hAnsi="仿宋_GB2312" w:eastAsia="仿宋_GB2312" w:cs="仿宋_GB2312"/>
                <w:szCs w:val="21"/>
              </w:rPr>
            </w:pPr>
            <w:r>
              <w:rPr>
                <w:rFonts w:hint="eastAsia" w:ascii="仿宋_GB2312" w:hAnsi="仿宋_GB2312" w:eastAsia="仿宋_GB2312" w:cs="仿宋_GB2312"/>
                <w:color w:val="000000"/>
                <w:kern w:val="0"/>
                <w:szCs w:val="21"/>
              </w:rPr>
              <w:t>从重</w:t>
            </w:r>
          </w:p>
        </w:tc>
        <w:tc>
          <w:tcPr>
            <w:tcW w:w="808"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造成严重危害后果的</w:t>
            </w:r>
          </w:p>
        </w:tc>
        <w:tc>
          <w:tcPr>
            <w:tcW w:w="756" w:type="pct"/>
            <w:tcBorders>
              <w:top w:val="single" w:color="auto" w:sz="4" w:space="0"/>
              <w:left w:val="single" w:color="auto" w:sz="4" w:space="0"/>
              <w:bottom w:val="single" w:color="auto" w:sz="4" w:space="0"/>
              <w:right w:val="single" w:color="auto" w:sz="4" w:space="0"/>
              <w:tl2br w:val="nil"/>
              <w:tr2bl w:val="nil"/>
            </w:tcBorders>
            <w:vAlign w:val="center"/>
          </w:tcPr>
          <w:p>
            <w:pPr>
              <w:rPr>
                <w:rFonts w:hint="eastAsia" w:ascii="仿宋_GB2312" w:hAnsi="仿宋_GB2312" w:eastAsia="仿宋_GB2312" w:cs="仿宋_GB2312"/>
                <w:szCs w:val="21"/>
              </w:rPr>
            </w:pPr>
            <w:r>
              <w:rPr>
                <w:rFonts w:hint="eastAsia" w:ascii="仿宋_GB2312" w:hAnsi="仿宋_GB2312" w:eastAsia="仿宋_GB2312" w:cs="仿宋_GB2312"/>
                <w:szCs w:val="21"/>
              </w:rPr>
              <w:t>责令限期将住房恢复原用途，并处以每套超过一万元、二万元以下罚款</w:t>
            </w:r>
          </w:p>
        </w:tc>
      </w:tr>
    </w:tbl>
    <w:p/>
    <w:sectPr>
      <w:footerReference r:id="rId6" w:type="default"/>
      <w:pgSz w:w="16838" w:h="11906" w:orient="landscape"/>
      <w:pgMar w:top="1800" w:right="1440" w:bottom="1800" w:left="144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altName w:val="!@#$%^&amp;*()_+"/>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amp;*()_+"/>
    <w:panose1 w:val="05050102010706020507"/>
    <w:charset w:val="02"/>
    <w:family w:val="roman"/>
    <w:pitch w:val="default"/>
    <w:sig w:usb0="00000000" w:usb1="00000000" w:usb2="00000000" w:usb3="00000000" w:csb0="80000000" w:csb1="00000000"/>
  </w:font>
  <w:font w:name="DejaVu Sans">
    <w:panose1 w:val="020B0603030804020204"/>
    <w:charset w:val="00"/>
    <w:family w:val="auto"/>
    <w:pitch w:val="default"/>
    <w:sig w:usb0="E7006EFF" w:usb1="D200FDFF" w:usb2="0A246029" w:usb3="0400200C" w:csb0="600001FF" w:csb1="DFFF0000"/>
  </w:font>
  <w:font w:name="Calibri">
    <w:altName w:val="DejaVu Sans"/>
    <w:panose1 w:val="020F0502020204030204"/>
    <w:charset w:val="00"/>
    <w:family w:val="swiss"/>
    <w:pitch w:val="default"/>
    <w:sig w:usb0="00000000" w:usb1="00000000" w:usb2="00000001" w:usb3="00000000" w:csb0="0000019F" w:csb1="00000000"/>
  </w:font>
  <w:font w:name="方正书宋_GBK">
    <w:panose1 w:val="02000000000000000000"/>
    <w:charset w:val="86"/>
    <w:family w:val="auto"/>
    <w:pitch w:val="default"/>
    <w:sig w:usb0="00000001" w:usb1="0800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仿宋">
    <w:altName w:val="方正仿宋_GBK"/>
    <w:panose1 w:val="02010609060101010101"/>
    <w:charset w:val="86"/>
    <w:family w:val="modern"/>
    <w:pitch w:val="default"/>
    <w:sig w:usb0="00000000" w:usb1="00000000" w:usb2="00000016" w:usb3="00000000" w:csb0="00040001" w:csb1="00000000"/>
  </w:font>
  <w:font w:name="方正仿宋_GBK">
    <w:panose1 w:val="02000000000000000000"/>
    <w:charset w:val="86"/>
    <w:family w:val="auto"/>
    <w:pitch w:val="default"/>
    <w:sig w:usb0="00000001" w:usb1="08000000" w:usb2="00000000" w:usb3="00000000" w:csb0="00040000" w:csb1="00000000"/>
  </w:font>
  <w:font w:name="Cambria">
    <w:altName w:val="FreeSerif"/>
    <w:panose1 w:val="02040503050406030204"/>
    <w:charset w:val="00"/>
    <w:family w:val="roman"/>
    <w:pitch w:val="default"/>
    <w:sig w:usb0="00000000" w:usb1="00000000" w:usb2="02000000" w:usb3="00000000" w:csb0="0000019F" w:csb1="00000000"/>
  </w:font>
  <w:font w:name="FreeSerif">
    <w:panose1 w:val="02020603050405020304"/>
    <w:charset w:val="00"/>
    <w:family w:val="auto"/>
    <w:pitch w:val="default"/>
    <w:sig w:usb0="E59FAFFF" w:usb1="C200FDFF" w:usb2="43501B29" w:usb3="04000043" w:csb0="600101FF" w:csb1="FFFF0000"/>
  </w:font>
  <w:font w:name="方正小标宋_GBK">
    <w:panose1 w:val="02000000000000000000"/>
    <w:charset w:val="86"/>
    <w:family w:val="auto"/>
    <w:pitch w:val="default"/>
    <w:sig w:usb0="00000001" w:usb1="0800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宋体 (正文)">
    <w:altName w:val="方正书宋_GBK"/>
    <w:panose1 w:val="00000000000000000000"/>
    <w:charset w:val="00"/>
    <w:family w:val="auto"/>
    <w:pitch w:val="default"/>
    <w:sig w:usb0="00000000" w:usb1="00000000" w:usb2="00000000" w:usb3="00000000" w:csb0="00000000" w:csb1="00000000"/>
  </w:font>
  <w:font w:name="Arial">
    <w:altName w:val="DejaVu Sans"/>
    <w:panose1 w:val="00000000000000000000"/>
    <w:charset w:val="00"/>
    <w:family w:val="auto"/>
    <w:pitch w:val="default"/>
    <w:sig w:usb0="00000000" w:usb1="00000000" w:usb2="00000000" w:usb3="00000000" w:csb0="00000000" w:csb1="00000000"/>
  </w:font>
  <w:font w:name="!@#$%^&amp;*()_+">
    <w:panose1 w:val="000004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tabs>
        <w:tab w:val="left" w:pos="7618"/>
        <w:tab w:val="clear" w:pos="4153"/>
      </w:tabs>
    </w:pPr>
    <w:r>
      <w:rPr>
        <w:lang w:val="en"/>
      </w:rP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tabs>
        <w:tab w:val="left" w:pos="7618"/>
        <w:tab w:val="clear" w:pos="4153"/>
      </w:tabs>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1</w:t>
                          </w:r>
                          <w:r>
                            <w:rPr>
                              <w:rFonts w:hint="eastAsia" w:asciiTheme="majorEastAsia" w:hAnsiTheme="majorEastAsia" w:eastAsiaTheme="majorEastAsia" w:cstheme="majorEastAsia"/>
                              <w:sz w:val="28"/>
                              <w:szCs w:val="28"/>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">
              <v:fill on="f" focussize="0,0"/>
              <v:stroke on="f" weight="0.5pt"/>
              <v:imagedata o:title=""/>
              <o:lock v:ext="edit" aspectratio="f"/>
              <v:textbox inset="0mm,0mm,0mm,0mm" style="mso-fit-shape-to-text:t;">
                <w:txbxContent>
                  <w:p>
                    <w:pPr>
                      <w:pStyle w:val="7"/>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1</w:t>
                    </w:r>
                    <w:r>
                      <w:rPr>
                        <w:rFonts w:hint="eastAsia" w:asciiTheme="majorEastAsia" w:hAnsiTheme="majorEastAsia" w:eastAsiaTheme="majorEastAsia" w:cstheme="majorEastAsia"/>
                        <w:sz w:val="28"/>
                        <w:szCs w:val="28"/>
                      </w:rPr>
                      <w:fldChar w:fldCharType="end"/>
                    </w:r>
                  </w:p>
                </w:txbxContent>
              </v:textbox>
            </v:shape>
          </w:pict>
        </mc:Fallback>
      </mc:AlternateContent>
    </w:r>
    <w:r>
      <w:rPr>
        <w:lang w:val="en"/>
      </w:rPr>
      <w:tab/>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rPr>
        <w:szCs w:val="24"/>
      </w:rP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205</w:t>
                          </w:r>
                          <w:r>
                            <w:rPr>
                              <w:rFonts w:hint="eastAsia" w:asciiTheme="majorEastAsia" w:hAnsiTheme="majorEastAsia" w:eastAsiaTheme="majorEastAsia" w:cstheme="majorEastAsia"/>
                              <w:sz w:val="28"/>
                              <w:szCs w:val="28"/>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">
              <v:fill on="f" focussize="0,0"/>
              <v:stroke on="f" weight="0.5pt"/>
              <v:imagedata o:title=""/>
              <o:lock v:ext="edit" aspectratio="f"/>
              <v:textbox inset="0mm,0mm,0mm,0mm" style="mso-fit-shape-to-text:t;">
                <w:txbxContent>
                  <w:p>
                    <w:pPr>
                      <w:pStyle w:val="7"/>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205</w:t>
                    </w:r>
                    <w:r>
                      <w:rPr>
                        <w:rFonts w:hint="eastAsia" w:asciiTheme="majorEastAsia" w:hAnsiTheme="majorEastAsia" w:eastAsiaTheme="majorEastAsia" w:cstheme="majorEastAsia"/>
                        <w:sz w:val="28"/>
                        <w:szCs w:val="28"/>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jc w:val="center"/>
      <w:rPr>
        <w:szCs w:val="24"/>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266</w:t>
                          </w:r>
                          <w:r>
                            <w:rPr>
                              <w:rFonts w:hint="eastAsia" w:asciiTheme="majorEastAsia" w:hAnsiTheme="majorEastAsia" w:eastAsiaTheme="majorEastAsia" w:cstheme="majorEastAsia"/>
                              <w:sz w:val="28"/>
                              <w:szCs w:val="28"/>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">
              <v:fill on="f" focussize="0,0"/>
              <v:stroke on="f" weight="0.5pt"/>
              <v:imagedata o:title=""/>
              <o:lock v:ext="edit" aspectratio="f"/>
              <v:textbox inset="0mm,0mm,0mm,0mm" style="mso-fit-shape-to-text:t;">
                <w:txbxContent>
                  <w:p>
                    <w:pPr>
                      <w:pStyle w:val="7"/>
                    </w:pP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266</w:t>
                    </w:r>
                    <w:r>
                      <w:rPr>
                        <w:rFonts w:hint="eastAsia" w:asciiTheme="majorEastAsia" w:hAnsiTheme="majorEastAsia" w:eastAsiaTheme="majorEastAsia" w:cstheme="majorEastAsia"/>
                        <w:sz w:val="28"/>
                        <w:szCs w:val="28"/>
                      </w:rPr>
                      <w:fldChar w:fldCharType="end"/>
                    </w:r>
                  </w:p>
                </w:txbxContent>
              </v:textbox>
            </v:shape>
          </w:pict>
        </mc:Fallback>
      </mc:AlternateContent>
    </w:r>
  </w:p>
  <w:p>
    <w:pPr>
      <w:pStyle w:val="7"/>
      <w:rPr>
        <w:szCs w:val="24"/>
      </w:rPr>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3559864"/>
    <w:multiLevelType w:val="singleLevel"/>
    <w:tmpl w:val="83559864"/>
    <w:lvl w:ilvl="0" w:tentative="0">
      <w:start w:val="1"/>
      <w:numFmt w:val="chineseCounting"/>
      <w:suff w:val="nothing"/>
      <w:lvlText w:val="（%1）"/>
      <w:lvlJc w:val="left"/>
      <w:rPr>
        <w:rFonts w:hint="eastAsia"/>
      </w:rPr>
    </w:lvl>
  </w:abstractNum>
  <w:abstractNum w:abstractNumId="1">
    <w:nsid w:val="ABFE44B3"/>
    <w:multiLevelType w:val="singleLevel"/>
    <w:tmpl w:val="ABFE44B3"/>
    <w:lvl w:ilvl="0" w:tentative="0">
      <w:start w:val="1"/>
      <w:numFmt w:val="chineseCounting"/>
      <w:suff w:val="nothing"/>
      <w:lvlText w:val="（%1）"/>
      <w:lvlJc w:val="left"/>
      <w:rPr>
        <w:rFonts w:hint="eastAsia"/>
      </w:rPr>
    </w:lvl>
  </w:abstractNum>
  <w:abstractNum w:abstractNumId="2">
    <w:nsid w:val="ADF837A1"/>
    <w:multiLevelType w:val="singleLevel"/>
    <w:tmpl w:val="ADF837A1"/>
    <w:lvl w:ilvl="0" w:tentative="0">
      <w:start w:val="1"/>
      <w:numFmt w:val="chineseCounting"/>
      <w:suff w:val="nothing"/>
      <w:lvlText w:val="（%1）"/>
      <w:lvlJc w:val="left"/>
      <w:rPr>
        <w:rFonts w:hint="eastAsia"/>
      </w:rPr>
    </w:lvl>
  </w:abstractNum>
  <w:abstractNum w:abstractNumId="3">
    <w:nsid w:val="B3F326A0"/>
    <w:multiLevelType w:val="singleLevel"/>
    <w:tmpl w:val="B3F326A0"/>
    <w:lvl w:ilvl="0" w:tentative="0">
      <w:start w:val="1"/>
      <w:numFmt w:val="chineseCounting"/>
      <w:suff w:val="nothing"/>
      <w:lvlText w:val="（%1）"/>
      <w:lvlJc w:val="left"/>
      <w:rPr>
        <w:rFonts w:hint="eastAsia"/>
      </w:rPr>
    </w:lvl>
  </w:abstractNum>
  <w:abstractNum w:abstractNumId="4">
    <w:nsid w:val="C5B66D88"/>
    <w:multiLevelType w:val="singleLevel"/>
    <w:tmpl w:val="C5B66D88"/>
    <w:lvl w:ilvl="0" w:tentative="0">
      <w:start w:val="1"/>
      <w:numFmt w:val="chineseCounting"/>
      <w:suff w:val="nothing"/>
      <w:lvlText w:val="（%1）"/>
      <w:lvlJc w:val="left"/>
      <w:rPr>
        <w:rFonts w:hint="eastAsia"/>
      </w:rPr>
    </w:lvl>
  </w:abstractNum>
  <w:abstractNum w:abstractNumId="5">
    <w:nsid w:val="C75EB6D4"/>
    <w:multiLevelType w:val="singleLevel"/>
    <w:tmpl w:val="C75EB6D4"/>
    <w:lvl w:ilvl="0" w:tentative="0">
      <w:start w:val="1"/>
      <w:numFmt w:val="chineseCounting"/>
      <w:suff w:val="nothing"/>
      <w:lvlText w:val="（%1）"/>
      <w:lvlJc w:val="left"/>
      <w:rPr>
        <w:rFonts w:hint="eastAsia"/>
      </w:rPr>
    </w:lvl>
  </w:abstractNum>
  <w:abstractNum w:abstractNumId="6">
    <w:nsid w:val="D6F8C70B"/>
    <w:multiLevelType w:val="singleLevel"/>
    <w:tmpl w:val="D6F8C70B"/>
    <w:lvl w:ilvl="0" w:tentative="0">
      <w:start w:val="1"/>
      <w:numFmt w:val="chineseCounting"/>
      <w:suff w:val="nothing"/>
      <w:lvlText w:val="（%1）"/>
      <w:lvlJc w:val="left"/>
      <w:rPr>
        <w:rFonts w:hint="eastAsia"/>
      </w:rPr>
    </w:lvl>
  </w:abstractNum>
  <w:abstractNum w:abstractNumId="7">
    <w:nsid w:val="DBBF16F9"/>
    <w:multiLevelType w:val="singleLevel"/>
    <w:tmpl w:val="DBBF16F9"/>
    <w:lvl w:ilvl="0" w:tentative="0">
      <w:start w:val="1"/>
      <w:numFmt w:val="chineseCounting"/>
      <w:suff w:val="nothing"/>
      <w:lvlText w:val="（%1）"/>
      <w:lvlJc w:val="left"/>
      <w:rPr>
        <w:rFonts w:hint="eastAsia"/>
      </w:rPr>
    </w:lvl>
  </w:abstractNum>
  <w:abstractNum w:abstractNumId="8">
    <w:nsid w:val="DF7EDB8E"/>
    <w:multiLevelType w:val="singleLevel"/>
    <w:tmpl w:val="DF7EDB8E"/>
    <w:lvl w:ilvl="0" w:tentative="0">
      <w:start w:val="1"/>
      <w:numFmt w:val="chineseCounting"/>
      <w:suff w:val="nothing"/>
      <w:lvlText w:val="（%1）"/>
      <w:lvlJc w:val="left"/>
      <w:rPr>
        <w:rFonts w:hint="eastAsia"/>
      </w:rPr>
    </w:lvl>
  </w:abstractNum>
  <w:abstractNum w:abstractNumId="9">
    <w:nsid w:val="DFEE5BB7"/>
    <w:multiLevelType w:val="singleLevel"/>
    <w:tmpl w:val="DFEE5BB7"/>
    <w:lvl w:ilvl="0" w:tentative="0">
      <w:start w:val="1"/>
      <w:numFmt w:val="chineseCounting"/>
      <w:suff w:val="nothing"/>
      <w:lvlText w:val="（%1）"/>
      <w:lvlJc w:val="left"/>
      <w:rPr>
        <w:rFonts w:hint="eastAsia"/>
      </w:rPr>
    </w:lvl>
  </w:abstractNum>
  <w:abstractNum w:abstractNumId="10">
    <w:nsid w:val="E6CE5D30"/>
    <w:multiLevelType w:val="singleLevel"/>
    <w:tmpl w:val="E6CE5D30"/>
    <w:lvl w:ilvl="0" w:tentative="0">
      <w:start w:val="1"/>
      <w:numFmt w:val="chineseCounting"/>
      <w:suff w:val="nothing"/>
      <w:lvlText w:val="（%1）"/>
      <w:lvlJc w:val="left"/>
      <w:rPr>
        <w:rFonts w:hint="eastAsia"/>
      </w:rPr>
    </w:lvl>
  </w:abstractNum>
  <w:abstractNum w:abstractNumId="11">
    <w:nsid w:val="FC8E2A05"/>
    <w:multiLevelType w:val="singleLevel"/>
    <w:tmpl w:val="FC8E2A05"/>
    <w:lvl w:ilvl="0" w:tentative="0">
      <w:start w:val="1"/>
      <w:numFmt w:val="chineseCounting"/>
      <w:suff w:val="nothing"/>
      <w:lvlText w:val="（%1）"/>
      <w:lvlJc w:val="left"/>
      <w:rPr>
        <w:rFonts w:hint="eastAsia"/>
      </w:rPr>
    </w:lvl>
  </w:abstractNum>
  <w:abstractNum w:abstractNumId="12">
    <w:nsid w:val="FE7F4B67"/>
    <w:multiLevelType w:val="singleLevel"/>
    <w:tmpl w:val="FE7F4B67"/>
    <w:lvl w:ilvl="0" w:tentative="0">
      <w:start w:val="1"/>
      <w:numFmt w:val="chineseCounting"/>
      <w:suff w:val="nothing"/>
      <w:lvlText w:val="（%1）"/>
      <w:lvlJc w:val="left"/>
      <w:rPr>
        <w:rFonts w:hint="eastAsia"/>
      </w:rPr>
    </w:lvl>
  </w:abstractNum>
  <w:abstractNum w:abstractNumId="13">
    <w:nsid w:val="2B65ECD8"/>
    <w:multiLevelType w:val="singleLevel"/>
    <w:tmpl w:val="2B65ECD8"/>
    <w:lvl w:ilvl="0" w:tentative="0">
      <w:start w:val="1"/>
      <w:numFmt w:val="chineseCounting"/>
      <w:suff w:val="nothing"/>
      <w:lvlText w:val="（%1）"/>
      <w:lvlJc w:val="left"/>
      <w:rPr>
        <w:rFonts w:hint="eastAsia"/>
      </w:rPr>
    </w:lvl>
  </w:abstractNum>
  <w:num w:numId="1">
    <w:abstractNumId w:val="8"/>
  </w:num>
  <w:num w:numId="2">
    <w:abstractNumId w:val="13"/>
  </w:num>
  <w:num w:numId="3">
    <w:abstractNumId w:val="4"/>
  </w:num>
  <w:num w:numId="4">
    <w:abstractNumId w:val="0"/>
  </w:num>
  <w:num w:numId="5">
    <w:abstractNumId w:val="9"/>
  </w:num>
  <w:num w:numId="6">
    <w:abstractNumId w:val="5"/>
  </w:num>
  <w:num w:numId="7">
    <w:abstractNumId w:val="6"/>
  </w:num>
  <w:num w:numId="8">
    <w:abstractNumId w:val="7"/>
  </w:num>
  <w:num w:numId="9">
    <w:abstractNumId w:val="1"/>
  </w:num>
  <w:num w:numId="10">
    <w:abstractNumId w:val="2"/>
  </w:num>
  <w:num w:numId="11">
    <w:abstractNumId w:val="10"/>
  </w:num>
  <w:num w:numId="12">
    <w:abstractNumId w:val="12"/>
  </w:num>
  <w:num w:numId="13">
    <w:abstractNumId w:val="11"/>
  </w:num>
  <w:num w:numId="1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1"/>
  <w:bordersDoNotSurroundFooter w:val="1"/>
  <w:trackRevisions w:val="1"/>
  <w:documentProtection w:enforcement="0"/>
  <w:defaultTabStop w:val="420"/>
  <w:drawingGridHorizontalSpacing w:val="105"/>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mQzYjAyNmYyZTljMTVkYzYzOTM3NmI4YjAyZTRhODcifQ=="/>
  </w:docVars>
  <w:rsids>
    <w:rsidRoot w:val="00172A27"/>
    <w:rsid w:val="00001E23"/>
    <w:rsid w:val="00002F0A"/>
    <w:rsid w:val="00004435"/>
    <w:rsid w:val="00004553"/>
    <w:rsid w:val="00004E35"/>
    <w:rsid w:val="00005798"/>
    <w:rsid w:val="00005939"/>
    <w:rsid w:val="00006250"/>
    <w:rsid w:val="00013750"/>
    <w:rsid w:val="000158C9"/>
    <w:rsid w:val="00016F66"/>
    <w:rsid w:val="000178A9"/>
    <w:rsid w:val="00021957"/>
    <w:rsid w:val="00021FA5"/>
    <w:rsid w:val="0002249A"/>
    <w:rsid w:val="00023A8F"/>
    <w:rsid w:val="000244AB"/>
    <w:rsid w:val="00025CE0"/>
    <w:rsid w:val="000274FD"/>
    <w:rsid w:val="00027A3D"/>
    <w:rsid w:val="00027C12"/>
    <w:rsid w:val="00027FF9"/>
    <w:rsid w:val="00030D12"/>
    <w:rsid w:val="00030FE1"/>
    <w:rsid w:val="000311B3"/>
    <w:rsid w:val="0003191B"/>
    <w:rsid w:val="00034897"/>
    <w:rsid w:val="00036C48"/>
    <w:rsid w:val="00040A74"/>
    <w:rsid w:val="00040D85"/>
    <w:rsid w:val="00041229"/>
    <w:rsid w:val="0004163D"/>
    <w:rsid w:val="000421C4"/>
    <w:rsid w:val="00042985"/>
    <w:rsid w:val="00043502"/>
    <w:rsid w:val="0004359D"/>
    <w:rsid w:val="000436CD"/>
    <w:rsid w:val="00045978"/>
    <w:rsid w:val="00046EC5"/>
    <w:rsid w:val="00047A4B"/>
    <w:rsid w:val="00050353"/>
    <w:rsid w:val="000512B8"/>
    <w:rsid w:val="00051C6D"/>
    <w:rsid w:val="00053461"/>
    <w:rsid w:val="00053F55"/>
    <w:rsid w:val="00056E0C"/>
    <w:rsid w:val="00057686"/>
    <w:rsid w:val="000578DC"/>
    <w:rsid w:val="0006001B"/>
    <w:rsid w:val="000621B2"/>
    <w:rsid w:val="00062ECD"/>
    <w:rsid w:val="000635E9"/>
    <w:rsid w:val="00066CE9"/>
    <w:rsid w:val="00070285"/>
    <w:rsid w:val="00071034"/>
    <w:rsid w:val="000737F5"/>
    <w:rsid w:val="000749E3"/>
    <w:rsid w:val="000759D7"/>
    <w:rsid w:val="00077990"/>
    <w:rsid w:val="00085C82"/>
    <w:rsid w:val="000927A9"/>
    <w:rsid w:val="00093076"/>
    <w:rsid w:val="00093B80"/>
    <w:rsid w:val="00095BF5"/>
    <w:rsid w:val="000A22B1"/>
    <w:rsid w:val="000A49BA"/>
    <w:rsid w:val="000A617B"/>
    <w:rsid w:val="000B0DC7"/>
    <w:rsid w:val="000B25B8"/>
    <w:rsid w:val="000B6017"/>
    <w:rsid w:val="000B787D"/>
    <w:rsid w:val="000B7EE9"/>
    <w:rsid w:val="000C1008"/>
    <w:rsid w:val="000C524B"/>
    <w:rsid w:val="000C6B72"/>
    <w:rsid w:val="000C7E4B"/>
    <w:rsid w:val="000C7EE6"/>
    <w:rsid w:val="000D25E5"/>
    <w:rsid w:val="000D2A8B"/>
    <w:rsid w:val="000D4C5C"/>
    <w:rsid w:val="000E23F7"/>
    <w:rsid w:val="000E37FE"/>
    <w:rsid w:val="000E3B73"/>
    <w:rsid w:val="000F136A"/>
    <w:rsid w:val="000F2656"/>
    <w:rsid w:val="000F4FF1"/>
    <w:rsid w:val="000F58C1"/>
    <w:rsid w:val="000F70C6"/>
    <w:rsid w:val="00101E70"/>
    <w:rsid w:val="00102371"/>
    <w:rsid w:val="00103B69"/>
    <w:rsid w:val="00104C06"/>
    <w:rsid w:val="00111D80"/>
    <w:rsid w:val="001139E9"/>
    <w:rsid w:val="00120189"/>
    <w:rsid w:val="00120B12"/>
    <w:rsid w:val="00121746"/>
    <w:rsid w:val="001226C6"/>
    <w:rsid w:val="001236C8"/>
    <w:rsid w:val="00125BCA"/>
    <w:rsid w:val="00125E94"/>
    <w:rsid w:val="00126D45"/>
    <w:rsid w:val="00127390"/>
    <w:rsid w:val="00131873"/>
    <w:rsid w:val="001322BD"/>
    <w:rsid w:val="00134A7E"/>
    <w:rsid w:val="0013543C"/>
    <w:rsid w:val="00135859"/>
    <w:rsid w:val="00143EE2"/>
    <w:rsid w:val="0014508B"/>
    <w:rsid w:val="00146731"/>
    <w:rsid w:val="00151B31"/>
    <w:rsid w:val="00154678"/>
    <w:rsid w:val="00155795"/>
    <w:rsid w:val="00163940"/>
    <w:rsid w:val="00164A41"/>
    <w:rsid w:val="00172A27"/>
    <w:rsid w:val="00173CDA"/>
    <w:rsid w:val="00180723"/>
    <w:rsid w:val="00181785"/>
    <w:rsid w:val="00183180"/>
    <w:rsid w:val="0018364C"/>
    <w:rsid w:val="001857ED"/>
    <w:rsid w:val="0018686B"/>
    <w:rsid w:val="00187111"/>
    <w:rsid w:val="00192671"/>
    <w:rsid w:val="001928BD"/>
    <w:rsid w:val="00192ABC"/>
    <w:rsid w:val="00196D98"/>
    <w:rsid w:val="001A05CA"/>
    <w:rsid w:val="001A3F89"/>
    <w:rsid w:val="001A593E"/>
    <w:rsid w:val="001A608F"/>
    <w:rsid w:val="001A6B2A"/>
    <w:rsid w:val="001A7CB6"/>
    <w:rsid w:val="001A7FEF"/>
    <w:rsid w:val="001B0B29"/>
    <w:rsid w:val="001B46D3"/>
    <w:rsid w:val="001B57A0"/>
    <w:rsid w:val="001C0666"/>
    <w:rsid w:val="001C3F14"/>
    <w:rsid w:val="001C4601"/>
    <w:rsid w:val="001C58F9"/>
    <w:rsid w:val="001D0AEC"/>
    <w:rsid w:val="001D0CFE"/>
    <w:rsid w:val="001D1ECD"/>
    <w:rsid w:val="001D2AF5"/>
    <w:rsid w:val="001D3275"/>
    <w:rsid w:val="001D3BFE"/>
    <w:rsid w:val="001D4497"/>
    <w:rsid w:val="001D51D7"/>
    <w:rsid w:val="001D5D3C"/>
    <w:rsid w:val="001E17DE"/>
    <w:rsid w:val="001E3C30"/>
    <w:rsid w:val="001E3D72"/>
    <w:rsid w:val="001E4DA2"/>
    <w:rsid w:val="001E5244"/>
    <w:rsid w:val="001E6BF7"/>
    <w:rsid w:val="001E71D2"/>
    <w:rsid w:val="001F0714"/>
    <w:rsid w:val="001F227B"/>
    <w:rsid w:val="001F3ADD"/>
    <w:rsid w:val="001F4372"/>
    <w:rsid w:val="001F5A58"/>
    <w:rsid w:val="0021057C"/>
    <w:rsid w:val="0021100E"/>
    <w:rsid w:val="0021145F"/>
    <w:rsid w:val="00215BCE"/>
    <w:rsid w:val="0022020C"/>
    <w:rsid w:val="00220CE3"/>
    <w:rsid w:val="00221574"/>
    <w:rsid w:val="00223887"/>
    <w:rsid w:val="00223D85"/>
    <w:rsid w:val="00226424"/>
    <w:rsid w:val="00226CE9"/>
    <w:rsid w:val="00232C58"/>
    <w:rsid w:val="00236C7C"/>
    <w:rsid w:val="00241A49"/>
    <w:rsid w:val="00241EA8"/>
    <w:rsid w:val="0024270E"/>
    <w:rsid w:val="002437D7"/>
    <w:rsid w:val="00244471"/>
    <w:rsid w:val="0024502C"/>
    <w:rsid w:val="00245A87"/>
    <w:rsid w:val="002460F4"/>
    <w:rsid w:val="00253122"/>
    <w:rsid w:val="00254309"/>
    <w:rsid w:val="00262BB2"/>
    <w:rsid w:val="002636D7"/>
    <w:rsid w:val="00264022"/>
    <w:rsid w:val="002642B8"/>
    <w:rsid w:val="00266714"/>
    <w:rsid w:val="00266CC9"/>
    <w:rsid w:val="00266DC4"/>
    <w:rsid w:val="0027003F"/>
    <w:rsid w:val="002718D6"/>
    <w:rsid w:val="00274334"/>
    <w:rsid w:val="0027508D"/>
    <w:rsid w:val="002808FB"/>
    <w:rsid w:val="002827EE"/>
    <w:rsid w:val="00286DFC"/>
    <w:rsid w:val="00290486"/>
    <w:rsid w:val="002904F2"/>
    <w:rsid w:val="002907DB"/>
    <w:rsid w:val="00292382"/>
    <w:rsid w:val="00294D4E"/>
    <w:rsid w:val="0029568E"/>
    <w:rsid w:val="00297640"/>
    <w:rsid w:val="002A1DC0"/>
    <w:rsid w:val="002A3147"/>
    <w:rsid w:val="002A446B"/>
    <w:rsid w:val="002A5BA4"/>
    <w:rsid w:val="002A7B83"/>
    <w:rsid w:val="002B17C9"/>
    <w:rsid w:val="002B487A"/>
    <w:rsid w:val="002B4AD6"/>
    <w:rsid w:val="002B6423"/>
    <w:rsid w:val="002C1148"/>
    <w:rsid w:val="002C32E3"/>
    <w:rsid w:val="002C5C0A"/>
    <w:rsid w:val="002C6715"/>
    <w:rsid w:val="002C6F32"/>
    <w:rsid w:val="002D22A2"/>
    <w:rsid w:val="002D2E72"/>
    <w:rsid w:val="002D3E7C"/>
    <w:rsid w:val="002D4950"/>
    <w:rsid w:val="002D6703"/>
    <w:rsid w:val="002E24EC"/>
    <w:rsid w:val="002E3385"/>
    <w:rsid w:val="002E33CC"/>
    <w:rsid w:val="002E41F9"/>
    <w:rsid w:val="002E72BF"/>
    <w:rsid w:val="002F4930"/>
    <w:rsid w:val="002F4C2E"/>
    <w:rsid w:val="002F52C4"/>
    <w:rsid w:val="003002C2"/>
    <w:rsid w:val="00302117"/>
    <w:rsid w:val="00302685"/>
    <w:rsid w:val="00303FB8"/>
    <w:rsid w:val="00310D14"/>
    <w:rsid w:val="00310D2E"/>
    <w:rsid w:val="00311088"/>
    <w:rsid w:val="00311592"/>
    <w:rsid w:val="00311C37"/>
    <w:rsid w:val="003151F6"/>
    <w:rsid w:val="00315A17"/>
    <w:rsid w:val="003174A1"/>
    <w:rsid w:val="0032089D"/>
    <w:rsid w:val="0032140B"/>
    <w:rsid w:val="00322617"/>
    <w:rsid w:val="00325437"/>
    <w:rsid w:val="00325AE8"/>
    <w:rsid w:val="0032629E"/>
    <w:rsid w:val="00327600"/>
    <w:rsid w:val="003308BB"/>
    <w:rsid w:val="00331782"/>
    <w:rsid w:val="00332628"/>
    <w:rsid w:val="00332B1D"/>
    <w:rsid w:val="00333EBC"/>
    <w:rsid w:val="00334E9E"/>
    <w:rsid w:val="00336EF2"/>
    <w:rsid w:val="003404F0"/>
    <w:rsid w:val="003436FE"/>
    <w:rsid w:val="00347FDB"/>
    <w:rsid w:val="00351EAB"/>
    <w:rsid w:val="003543B6"/>
    <w:rsid w:val="00354B01"/>
    <w:rsid w:val="00356475"/>
    <w:rsid w:val="00356C86"/>
    <w:rsid w:val="003573A5"/>
    <w:rsid w:val="0036016A"/>
    <w:rsid w:val="00360ABF"/>
    <w:rsid w:val="00363A9A"/>
    <w:rsid w:val="00364047"/>
    <w:rsid w:val="0036513A"/>
    <w:rsid w:val="003678B8"/>
    <w:rsid w:val="0037377F"/>
    <w:rsid w:val="00382ADF"/>
    <w:rsid w:val="0038310B"/>
    <w:rsid w:val="0038505F"/>
    <w:rsid w:val="00385606"/>
    <w:rsid w:val="00395BF8"/>
    <w:rsid w:val="00396411"/>
    <w:rsid w:val="003965F4"/>
    <w:rsid w:val="0039729F"/>
    <w:rsid w:val="00397B9D"/>
    <w:rsid w:val="003A0E10"/>
    <w:rsid w:val="003A2C50"/>
    <w:rsid w:val="003A63CA"/>
    <w:rsid w:val="003B07CD"/>
    <w:rsid w:val="003B0971"/>
    <w:rsid w:val="003B3E1E"/>
    <w:rsid w:val="003B675D"/>
    <w:rsid w:val="003B7F9A"/>
    <w:rsid w:val="003C13CC"/>
    <w:rsid w:val="003C2E1A"/>
    <w:rsid w:val="003C32BB"/>
    <w:rsid w:val="003C3351"/>
    <w:rsid w:val="003C3F03"/>
    <w:rsid w:val="003C4050"/>
    <w:rsid w:val="003C4495"/>
    <w:rsid w:val="003C5933"/>
    <w:rsid w:val="003C678B"/>
    <w:rsid w:val="003D138F"/>
    <w:rsid w:val="003D2E54"/>
    <w:rsid w:val="003D4301"/>
    <w:rsid w:val="003D44F6"/>
    <w:rsid w:val="003D56AF"/>
    <w:rsid w:val="003D7425"/>
    <w:rsid w:val="003E0A9E"/>
    <w:rsid w:val="003E0DB1"/>
    <w:rsid w:val="003E3353"/>
    <w:rsid w:val="003F01F7"/>
    <w:rsid w:val="003F4E68"/>
    <w:rsid w:val="003F6668"/>
    <w:rsid w:val="003F6F42"/>
    <w:rsid w:val="003F7777"/>
    <w:rsid w:val="004013C6"/>
    <w:rsid w:val="00403934"/>
    <w:rsid w:val="00405DA9"/>
    <w:rsid w:val="0041098E"/>
    <w:rsid w:val="004110EF"/>
    <w:rsid w:val="00412404"/>
    <w:rsid w:val="00412905"/>
    <w:rsid w:val="00414807"/>
    <w:rsid w:val="00415151"/>
    <w:rsid w:val="0041520B"/>
    <w:rsid w:val="004157E2"/>
    <w:rsid w:val="00415810"/>
    <w:rsid w:val="00415EE2"/>
    <w:rsid w:val="004165E4"/>
    <w:rsid w:val="00417223"/>
    <w:rsid w:val="004217E6"/>
    <w:rsid w:val="00422313"/>
    <w:rsid w:val="00422974"/>
    <w:rsid w:val="00422DB8"/>
    <w:rsid w:val="004241D9"/>
    <w:rsid w:val="004251C9"/>
    <w:rsid w:val="004257D2"/>
    <w:rsid w:val="00426FD1"/>
    <w:rsid w:val="00427A73"/>
    <w:rsid w:val="00427BFF"/>
    <w:rsid w:val="00430D3E"/>
    <w:rsid w:val="00432164"/>
    <w:rsid w:val="00432E84"/>
    <w:rsid w:val="00436075"/>
    <w:rsid w:val="00446DB7"/>
    <w:rsid w:val="00447BB4"/>
    <w:rsid w:val="00447DD8"/>
    <w:rsid w:val="004504F3"/>
    <w:rsid w:val="004505AA"/>
    <w:rsid w:val="004518F1"/>
    <w:rsid w:val="00452B12"/>
    <w:rsid w:val="004546E4"/>
    <w:rsid w:val="00456B72"/>
    <w:rsid w:val="0045758D"/>
    <w:rsid w:val="00457F7F"/>
    <w:rsid w:val="0046443E"/>
    <w:rsid w:val="00467B82"/>
    <w:rsid w:val="004700C1"/>
    <w:rsid w:val="0047102B"/>
    <w:rsid w:val="00474150"/>
    <w:rsid w:val="004752BD"/>
    <w:rsid w:val="00476FAA"/>
    <w:rsid w:val="00485FD8"/>
    <w:rsid w:val="00487373"/>
    <w:rsid w:val="004873D1"/>
    <w:rsid w:val="004914C6"/>
    <w:rsid w:val="004942A9"/>
    <w:rsid w:val="00495FBB"/>
    <w:rsid w:val="004A1671"/>
    <w:rsid w:val="004A2083"/>
    <w:rsid w:val="004A2505"/>
    <w:rsid w:val="004A7519"/>
    <w:rsid w:val="004B19FF"/>
    <w:rsid w:val="004B1BF1"/>
    <w:rsid w:val="004B2A67"/>
    <w:rsid w:val="004B5936"/>
    <w:rsid w:val="004B5C2A"/>
    <w:rsid w:val="004B6ABC"/>
    <w:rsid w:val="004B6D25"/>
    <w:rsid w:val="004C4913"/>
    <w:rsid w:val="004C4B4E"/>
    <w:rsid w:val="004D0417"/>
    <w:rsid w:val="004D0957"/>
    <w:rsid w:val="004D41D4"/>
    <w:rsid w:val="004D4EB5"/>
    <w:rsid w:val="004E011A"/>
    <w:rsid w:val="004E21C9"/>
    <w:rsid w:val="004E28D8"/>
    <w:rsid w:val="004E3A0D"/>
    <w:rsid w:val="004E45C8"/>
    <w:rsid w:val="004E52F4"/>
    <w:rsid w:val="004E6973"/>
    <w:rsid w:val="004E767C"/>
    <w:rsid w:val="004F13A9"/>
    <w:rsid w:val="004F1DE8"/>
    <w:rsid w:val="004F43AE"/>
    <w:rsid w:val="004F78C3"/>
    <w:rsid w:val="00500E05"/>
    <w:rsid w:val="005019EF"/>
    <w:rsid w:val="005040A0"/>
    <w:rsid w:val="0050455B"/>
    <w:rsid w:val="005116A1"/>
    <w:rsid w:val="005130B6"/>
    <w:rsid w:val="005133F3"/>
    <w:rsid w:val="005135EC"/>
    <w:rsid w:val="00515BBC"/>
    <w:rsid w:val="00515F29"/>
    <w:rsid w:val="00516875"/>
    <w:rsid w:val="005208BC"/>
    <w:rsid w:val="005260C7"/>
    <w:rsid w:val="005266F9"/>
    <w:rsid w:val="005319D2"/>
    <w:rsid w:val="0053495B"/>
    <w:rsid w:val="00540D40"/>
    <w:rsid w:val="0054345B"/>
    <w:rsid w:val="00544560"/>
    <w:rsid w:val="0054490B"/>
    <w:rsid w:val="0054537C"/>
    <w:rsid w:val="00545C57"/>
    <w:rsid w:val="00545D0D"/>
    <w:rsid w:val="005478E6"/>
    <w:rsid w:val="005512BC"/>
    <w:rsid w:val="00553369"/>
    <w:rsid w:val="00553BCD"/>
    <w:rsid w:val="005561EB"/>
    <w:rsid w:val="00556EA6"/>
    <w:rsid w:val="005578DB"/>
    <w:rsid w:val="005608F5"/>
    <w:rsid w:val="00561828"/>
    <w:rsid w:val="00566CAB"/>
    <w:rsid w:val="005679A2"/>
    <w:rsid w:val="005707A1"/>
    <w:rsid w:val="00574979"/>
    <w:rsid w:val="005770E8"/>
    <w:rsid w:val="00582EB6"/>
    <w:rsid w:val="00586C3E"/>
    <w:rsid w:val="00587D2D"/>
    <w:rsid w:val="00594D15"/>
    <w:rsid w:val="00594F00"/>
    <w:rsid w:val="0059777E"/>
    <w:rsid w:val="005A029D"/>
    <w:rsid w:val="005A536C"/>
    <w:rsid w:val="005A7189"/>
    <w:rsid w:val="005B020C"/>
    <w:rsid w:val="005B6E4A"/>
    <w:rsid w:val="005C0F5B"/>
    <w:rsid w:val="005C23E4"/>
    <w:rsid w:val="005C2B24"/>
    <w:rsid w:val="005C3B45"/>
    <w:rsid w:val="005C42FE"/>
    <w:rsid w:val="005C6329"/>
    <w:rsid w:val="005C63D7"/>
    <w:rsid w:val="005C6A54"/>
    <w:rsid w:val="005D1D9B"/>
    <w:rsid w:val="005D51DE"/>
    <w:rsid w:val="005D5C07"/>
    <w:rsid w:val="005D5C1E"/>
    <w:rsid w:val="005E2F85"/>
    <w:rsid w:val="005E4490"/>
    <w:rsid w:val="005E4EB0"/>
    <w:rsid w:val="005E4F3F"/>
    <w:rsid w:val="005E50B6"/>
    <w:rsid w:val="005E50EF"/>
    <w:rsid w:val="005E557C"/>
    <w:rsid w:val="005E5E86"/>
    <w:rsid w:val="005E6905"/>
    <w:rsid w:val="005E73E8"/>
    <w:rsid w:val="005F042C"/>
    <w:rsid w:val="005F4F64"/>
    <w:rsid w:val="005F7B56"/>
    <w:rsid w:val="006002C1"/>
    <w:rsid w:val="00601148"/>
    <w:rsid w:val="0060461D"/>
    <w:rsid w:val="00606EA9"/>
    <w:rsid w:val="00611C8E"/>
    <w:rsid w:val="006121D3"/>
    <w:rsid w:val="0061328A"/>
    <w:rsid w:val="00613616"/>
    <w:rsid w:val="00622952"/>
    <w:rsid w:val="0062466B"/>
    <w:rsid w:val="0062495B"/>
    <w:rsid w:val="006250E1"/>
    <w:rsid w:val="006265E6"/>
    <w:rsid w:val="006335C0"/>
    <w:rsid w:val="00635C93"/>
    <w:rsid w:val="006371C4"/>
    <w:rsid w:val="00637454"/>
    <w:rsid w:val="0063757B"/>
    <w:rsid w:val="00637AFA"/>
    <w:rsid w:val="006416FF"/>
    <w:rsid w:val="00643F39"/>
    <w:rsid w:val="00644F34"/>
    <w:rsid w:val="00645686"/>
    <w:rsid w:val="0064650C"/>
    <w:rsid w:val="00646759"/>
    <w:rsid w:val="00647222"/>
    <w:rsid w:val="00647227"/>
    <w:rsid w:val="00650521"/>
    <w:rsid w:val="006519A8"/>
    <w:rsid w:val="006535B7"/>
    <w:rsid w:val="00653CB6"/>
    <w:rsid w:val="00655CE8"/>
    <w:rsid w:val="00655E44"/>
    <w:rsid w:val="00656471"/>
    <w:rsid w:val="00656982"/>
    <w:rsid w:val="00656FC6"/>
    <w:rsid w:val="0066048A"/>
    <w:rsid w:val="006617F7"/>
    <w:rsid w:val="006619ED"/>
    <w:rsid w:val="00661F39"/>
    <w:rsid w:val="00664004"/>
    <w:rsid w:val="0066796D"/>
    <w:rsid w:val="00670908"/>
    <w:rsid w:val="0067108A"/>
    <w:rsid w:val="0067190F"/>
    <w:rsid w:val="00671A79"/>
    <w:rsid w:val="00672FF7"/>
    <w:rsid w:val="00673F91"/>
    <w:rsid w:val="006750A9"/>
    <w:rsid w:val="00677D9E"/>
    <w:rsid w:val="00680988"/>
    <w:rsid w:val="00681C6E"/>
    <w:rsid w:val="00686733"/>
    <w:rsid w:val="00687F5B"/>
    <w:rsid w:val="006956DF"/>
    <w:rsid w:val="006972EF"/>
    <w:rsid w:val="00697369"/>
    <w:rsid w:val="006A0723"/>
    <w:rsid w:val="006A0A2B"/>
    <w:rsid w:val="006A447D"/>
    <w:rsid w:val="006A54D4"/>
    <w:rsid w:val="006B0728"/>
    <w:rsid w:val="006B1EE1"/>
    <w:rsid w:val="006B24F0"/>
    <w:rsid w:val="006B3190"/>
    <w:rsid w:val="006B3AB4"/>
    <w:rsid w:val="006C0C30"/>
    <w:rsid w:val="006C0F76"/>
    <w:rsid w:val="006C160B"/>
    <w:rsid w:val="006C2E23"/>
    <w:rsid w:val="006C3A67"/>
    <w:rsid w:val="006C3D14"/>
    <w:rsid w:val="006C4D30"/>
    <w:rsid w:val="006C654C"/>
    <w:rsid w:val="006C7D51"/>
    <w:rsid w:val="006D0EE8"/>
    <w:rsid w:val="006D29C4"/>
    <w:rsid w:val="006D50ED"/>
    <w:rsid w:val="006D5FBC"/>
    <w:rsid w:val="006D72AF"/>
    <w:rsid w:val="006E15B0"/>
    <w:rsid w:val="006E4E03"/>
    <w:rsid w:val="006E6805"/>
    <w:rsid w:val="006E726B"/>
    <w:rsid w:val="006E78DD"/>
    <w:rsid w:val="006F075C"/>
    <w:rsid w:val="006F1E3C"/>
    <w:rsid w:val="006F1F68"/>
    <w:rsid w:val="006F6610"/>
    <w:rsid w:val="006F66E7"/>
    <w:rsid w:val="007002F0"/>
    <w:rsid w:val="00703472"/>
    <w:rsid w:val="00705188"/>
    <w:rsid w:val="00705625"/>
    <w:rsid w:val="00705AC8"/>
    <w:rsid w:val="007115B3"/>
    <w:rsid w:val="00714AD6"/>
    <w:rsid w:val="00716551"/>
    <w:rsid w:val="0072041F"/>
    <w:rsid w:val="0072289A"/>
    <w:rsid w:val="00722BF5"/>
    <w:rsid w:val="0072359B"/>
    <w:rsid w:val="00724043"/>
    <w:rsid w:val="007253A1"/>
    <w:rsid w:val="00725875"/>
    <w:rsid w:val="0073224B"/>
    <w:rsid w:val="007323AF"/>
    <w:rsid w:val="00736965"/>
    <w:rsid w:val="00737A0A"/>
    <w:rsid w:val="00741DB2"/>
    <w:rsid w:val="00742982"/>
    <w:rsid w:val="00746034"/>
    <w:rsid w:val="0075217E"/>
    <w:rsid w:val="00752301"/>
    <w:rsid w:val="00752C06"/>
    <w:rsid w:val="0076095E"/>
    <w:rsid w:val="0076264B"/>
    <w:rsid w:val="00763242"/>
    <w:rsid w:val="007639F4"/>
    <w:rsid w:val="00764B83"/>
    <w:rsid w:val="00765E2B"/>
    <w:rsid w:val="0076629B"/>
    <w:rsid w:val="00766B48"/>
    <w:rsid w:val="007725FF"/>
    <w:rsid w:val="00772EA9"/>
    <w:rsid w:val="007736D4"/>
    <w:rsid w:val="00773B71"/>
    <w:rsid w:val="00774061"/>
    <w:rsid w:val="0077724B"/>
    <w:rsid w:val="00780FE9"/>
    <w:rsid w:val="00781DF4"/>
    <w:rsid w:val="00782F70"/>
    <w:rsid w:val="007859EF"/>
    <w:rsid w:val="00786FBF"/>
    <w:rsid w:val="00791204"/>
    <w:rsid w:val="00791DDD"/>
    <w:rsid w:val="00794311"/>
    <w:rsid w:val="00795E71"/>
    <w:rsid w:val="00795F8F"/>
    <w:rsid w:val="007966E3"/>
    <w:rsid w:val="007A0C8E"/>
    <w:rsid w:val="007A6502"/>
    <w:rsid w:val="007B21EB"/>
    <w:rsid w:val="007B378E"/>
    <w:rsid w:val="007B5B12"/>
    <w:rsid w:val="007B6929"/>
    <w:rsid w:val="007B70DC"/>
    <w:rsid w:val="007C0D43"/>
    <w:rsid w:val="007C1DD6"/>
    <w:rsid w:val="007C2450"/>
    <w:rsid w:val="007C6885"/>
    <w:rsid w:val="007C70CC"/>
    <w:rsid w:val="007D0523"/>
    <w:rsid w:val="007D09F0"/>
    <w:rsid w:val="007D1E8A"/>
    <w:rsid w:val="007D5D7B"/>
    <w:rsid w:val="007D68AD"/>
    <w:rsid w:val="007E1669"/>
    <w:rsid w:val="007E1B37"/>
    <w:rsid w:val="007E6555"/>
    <w:rsid w:val="007E7023"/>
    <w:rsid w:val="007F0F2D"/>
    <w:rsid w:val="007F17B8"/>
    <w:rsid w:val="007F4C70"/>
    <w:rsid w:val="007F5F4C"/>
    <w:rsid w:val="00804A8D"/>
    <w:rsid w:val="00810A82"/>
    <w:rsid w:val="00814176"/>
    <w:rsid w:val="008147F7"/>
    <w:rsid w:val="00814C91"/>
    <w:rsid w:val="008157F8"/>
    <w:rsid w:val="00816399"/>
    <w:rsid w:val="00817E80"/>
    <w:rsid w:val="00817EB5"/>
    <w:rsid w:val="00820ACB"/>
    <w:rsid w:val="00822976"/>
    <w:rsid w:val="00824F32"/>
    <w:rsid w:val="00825503"/>
    <w:rsid w:val="0082619D"/>
    <w:rsid w:val="00830AEB"/>
    <w:rsid w:val="0083123C"/>
    <w:rsid w:val="00831587"/>
    <w:rsid w:val="0083531F"/>
    <w:rsid w:val="00837200"/>
    <w:rsid w:val="008403DD"/>
    <w:rsid w:val="00845DE2"/>
    <w:rsid w:val="00846208"/>
    <w:rsid w:val="00846C1C"/>
    <w:rsid w:val="0084744E"/>
    <w:rsid w:val="00851222"/>
    <w:rsid w:val="00851ABE"/>
    <w:rsid w:val="00852E8B"/>
    <w:rsid w:val="00854E92"/>
    <w:rsid w:val="0085659C"/>
    <w:rsid w:val="008565C9"/>
    <w:rsid w:val="008566C5"/>
    <w:rsid w:val="00857319"/>
    <w:rsid w:val="0086040D"/>
    <w:rsid w:val="008605F5"/>
    <w:rsid w:val="00862EB3"/>
    <w:rsid w:val="008636F3"/>
    <w:rsid w:val="008643DB"/>
    <w:rsid w:val="00864E67"/>
    <w:rsid w:val="0086547F"/>
    <w:rsid w:val="008708B2"/>
    <w:rsid w:val="00871193"/>
    <w:rsid w:val="00872E80"/>
    <w:rsid w:val="00873B25"/>
    <w:rsid w:val="008756D6"/>
    <w:rsid w:val="0087588B"/>
    <w:rsid w:val="008803F8"/>
    <w:rsid w:val="00880B4E"/>
    <w:rsid w:val="00881119"/>
    <w:rsid w:val="00882946"/>
    <w:rsid w:val="008841E8"/>
    <w:rsid w:val="00884946"/>
    <w:rsid w:val="00890133"/>
    <w:rsid w:val="00890858"/>
    <w:rsid w:val="0089149E"/>
    <w:rsid w:val="008928FE"/>
    <w:rsid w:val="008937F4"/>
    <w:rsid w:val="00896094"/>
    <w:rsid w:val="00896D36"/>
    <w:rsid w:val="00897F95"/>
    <w:rsid w:val="008A1D0D"/>
    <w:rsid w:val="008A268F"/>
    <w:rsid w:val="008A5094"/>
    <w:rsid w:val="008A67AB"/>
    <w:rsid w:val="008B00A9"/>
    <w:rsid w:val="008B016B"/>
    <w:rsid w:val="008B0A8F"/>
    <w:rsid w:val="008B3719"/>
    <w:rsid w:val="008B3819"/>
    <w:rsid w:val="008B4713"/>
    <w:rsid w:val="008B56A4"/>
    <w:rsid w:val="008B6B3D"/>
    <w:rsid w:val="008B7098"/>
    <w:rsid w:val="008B7587"/>
    <w:rsid w:val="008B7F87"/>
    <w:rsid w:val="008C14B7"/>
    <w:rsid w:val="008C4520"/>
    <w:rsid w:val="008C5690"/>
    <w:rsid w:val="008C646F"/>
    <w:rsid w:val="008D39E8"/>
    <w:rsid w:val="008D6ECA"/>
    <w:rsid w:val="008E11F4"/>
    <w:rsid w:val="008E1446"/>
    <w:rsid w:val="008E1CD9"/>
    <w:rsid w:val="008E266A"/>
    <w:rsid w:val="008E2E3D"/>
    <w:rsid w:val="008E4234"/>
    <w:rsid w:val="008E708C"/>
    <w:rsid w:val="008E70AE"/>
    <w:rsid w:val="008F3D50"/>
    <w:rsid w:val="008F6C5A"/>
    <w:rsid w:val="008F7280"/>
    <w:rsid w:val="009060AB"/>
    <w:rsid w:val="00906AFC"/>
    <w:rsid w:val="00910620"/>
    <w:rsid w:val="009123CF"/>
    <w:rsid w:val="00913291"/>
    <w:rsid w:val="00915553"/>
    <w:rsid w:val="00920032"/>
    <w:rsid w:val="00920292"/>
    <w:rsid w:val="00921163"/>
    <w:rsid w:val="009212FF"/>
    <w:rsid w:val="0092142B"/>
    <w:rsid w:val="00922961"/>
    <w:rsid w:val="0092436A"/>
    <w:rsid w:val="009257DA"/>
    <w:rsid w:val="00933582"/>
    <w:rsid w:val="009348B3"/>
    <w:rsid w:val="00934C5C"/>
    <w:rsid w:val="00936132"/>
    <w:rsid w:val="00942499"/>
    <w:rsid w:val="00942552"/>
    <w:rsid w:val="00944086"/>
    <w:rsid w:val="0094647C"/>
    <w:rsid w:val="009465EE"/>
    <w:rsid w:val="00950CA9"/>
    <w:rsid w:val="00953DE4"/>
    <w:rsid w:val="0095566E"/>
    <w:rsid w:val="00957895"/>
    <w:rsid w:val="00960354"/>
    <w:rsid w:val="009627DF"/>
    <w:rsid w:val="00962945"/>
    <w:rsid w:val="009663E5"/>
    <w:rsid w:val="00970A5A"/>
    <w:rsid w:val="00971235"/>
    <w:rsid w:val="00971ABA"/>
    <w:rsid w:val="00973882"/>
    <w:rsid w:val="00975E0C"/>
    <w:rsid w:val="00976982"/>
    <w:rsid w:val="0098305C"/>
    <w:rsid w:val="00983D5E"/>
    <w:rsid w:val="00984A6B"/>
    <w:rsid w:val="0098548D"/>
    <w:rsid w:val="009910A0"/>
    <w:rsid w:val="00991CAD"/>
    <w:rsid w:val="00992719"/>
    <w:rsid w:val="00993B3D"/>
    <w:rsid w:val="00995722"/>
    <w:rsid w:val="009A2DD9"/>
    <w:rsid w:val="009A3300"/>
    <w:rsid w:val="009A369A"/>
    <w:rsid w:val="009A4B6E"/>
    <w:rsid w:val="009A5672"/>
    <w:rsid w:val="009A5F64"/>
    <w:rsid w:val="009A674D"/>
    <w:rsid w:val="009B0CCA"/>
    <w:rsid w:val="009B0F22"/>
    <w:rsid w:val="009B2738"/>
    <w:rsid w:val="009B36E3"/>
    <w:rsid w:val="009B4071"/>
    <w:rsid w:val="009B5611"/>
    <w:rsid w:val="009B69A7"/>
    <w:rsid w:val="009C02EF"/>
    <w:rsid w:val="009C0AC5"/>
    <w:rsid w:val="009C11B0"/>
    <w:rsid w:val="009C1A49"/>
    <w:rsid w:val="009C24ED"/>
    <w:rsid w:val="009C253C"/>
    <w:rsid w:val="009C58B1"/>
    <w:rsid w:val="009C796C"/>
    <w:rsid w:val="009D40A4"/>
    <w:rsid w:val="009D65D7"/>
    <w:rsid w:val="009E531D"/>
    <w:rsid w:val="009E6729"/>
    <w:rsid w:val="009F4819"/>
    <w:rsid w:val="009F4EF6"/>
    <w:rsid w:val="009F6CC4"/>
    <w:rsid w:val="00A005A6"/>
    <w:rsid w:val="00A01F50"/>
    <w:rsid w:val="00A02DE1"/>
    <w:rsid w:val="00A033AE"/>
    <w:rsid w:val="00A051DF"/>
    <w:rsid w:val="00A06225"/>
    <w:rsid w:val="00A064F0"/>
    <w:rsid w:val="00A07B43"/>
    <w:rsid w:val="00A07F08"/>
    <w:rsid w:val="00A07FAE"/>
    <w:rsid w:val="00A10200"/>
    <w:rsid w:val="00A11E80"/>
    <w:rsid w:val="00A125B5"/>
    <w:rsid w:val="00A1346B"/>
    <w:rsid w:val="00A16C41"/>
    <w:rsid w:val="00A171E6"/>
    <w:rsid w:val="00A21101"/>
    <w:rsid w:val="00A21971"/>
    <w:rsid w:val="00A239E2"/>
    <w:rsid w:val="00A24D17"/>
    <w:rsid w:val="00A25196"/>
    <w:rsid w:val="00A30C48"/>
    <w:rsid w:val="00A33478"/>
    <w:rsid w:val="00A352F6"/>
    <w:rsid w:val="00A36663"/>
    <w:rsid w:val="00A37A24"/>
    <w:rsid w:val="00A43FF6"/>
    <w:rsid w:val="00A440C7"/>
    <w:rsid w:val="00A46034"/>
    <w:rsid w:val="00A46D24"/>
    <w:rsid w:val="00A50CC6"/>
    <w:rsid w:val="00A5143D"/>
    <w:rsid w:val="00A52D65"/>
    <w:rsid w:val="00A57288"/>
    <w:rsid w:val="00A578DC"/>
    <w:rsid w:val="00A57CF3"/>
    <w:rsid w:val="00A63FF4"/>
    <w:rsid w:val="00A67174"/>
    <w:rsid w:val="00A70708"/>
    <w:rsid w:val="00A75D23"/>
    <w:rsid w:val="00A80268"/>
    <w:rsid w:val="00A807FF"/>
    <w:rsid w:val="00A83DC1"/>
    <w:rsid w:val="00A9000C"/>
    <w:rsid w:val="00A90834"/>
    <w:rsid w:val="00A91019"/>
    <w:rsid w:val="00A926AE"/>
    <w:rsid w:val="00A952C2"/>
    <w:rsid w:val="00A9782D"/>
    <w:rsid w:val="00AA3704"/>
    <w:rsid w:val="00AA387C"/>
    <w:rsid w:val="00AA39F5"/>
    <w:rsid w:val="00AA5A99"/>
    <w:rsid w:val="00AA6805"/>
    <w:rsid w:val="00AB1761"/>
    <w:rsid w:val="00AB499C"/>
    <w:rsid w:val="00AB4F45"/>
    <w:rsid w:val="00AB7818"/>
    <w:rsid w:val="00AC1908"/>
    <w:rsid w:val="00AC1C7C"/>
    <w:rsid w:val="00AD1144"/>
    <w:rsid w:val="00AD2547"/>
    <w:rsid w:val="00AD2A1E"/>
    <w:rsid w:val="00AD2F14"/>
    <w:rsid w:val="00AD331B"/>
    <w:rsid w:val="00AD4DD0"/>
    <w:rsid w:val="00AD5D36"/>
    <w:rsid w:val="00AE15A5"/>
    <w:rsid w:val="00AE3709"/>
    <w:rsid w:val="00AE37B9"/>
    <w:rsid w:val="00AE3C80"/>
    <w:rsid w:val="00AE6B24"/>
    <w:rsid w:val="00AE6E51"/>
    <w:rsid w:val="00B01E7D"/>
    <w:rsid w:val="00B045E0"/>
    <w:rsid w:val="00B0493C"/>
    <w:rsid w:val="00B04FF6"/>
    <w:rsid w:val="00B07706"/>
    <w:rsid w:val="00B11831"/>
    <w:rsid w:val="00B12809"/>
    <w:rsid w:val="00B12CBC"/>
    <w:rsid w:val="00B15FCD"/>
    <w:rsid w:val="00B16F9A"/>
    <w:rsid w:val="00B22836"/>
    <w:rsid w:val="00B22D51"/>
    <w:rsid w:val="00B25A5E"/>
    <w:rsid w:val="00B279C6"/>
    <w:rsid w:val="00B27F51"/>
    <w:rsid w:val="00B3020A"/>
    <w:rsid w:val="00B30BE1"/>
    <w:rsid w:val="00B326CB"/>
    <w:rsid w:val="00B337D1"/>
    <w:rsid w:val="00B34792"/>
    <w:rsid w:val="00B40122"/>
    <w:rsid w:val="00B411AA"/>
    <w:rsid w:val="00B415D4"/>
    <w:rsid w:val="00B42977"/>
    <w:rsid w:val="00B4342B"/>
    <w:rsid w:val="00B43D62"/>
    <w:rsid w:val="00B45875"/>
    <w:rsid w:val="00B470DD"/>
    <w:rsid w:val="00B51625"/>
    <w:rsid w:val="00B52AFD"/>
    <w:rsid w:val="00B53F02"/>
    <w:rsid w:val="00B5529D"/>
    <w:rsid w:val="00B55615"/>
    <w:rsid w:val="00B55AE2"/>
    <w:rsid w:val="00B56463"/>
    <w:rsid w:val="00B56C76"/>
    <w:rsid w:val="00B61EBE"/>
    <w:rsid w:val="00B62975"/>
    <w:rsid w:val="00B62EE5"/>
    <w:rsid w:val="00B705B9"/>
    <w:rsid w:val="00B72E7A"/>
    <w:rsid w:val="00B7450E"/>
    <w:rsid w:val="00B75B8B"/>
    <w:rsid w:val="00B774C9"/>
    <w:rsid w:val="00B817B7"/>
    <w:rsid w:val="00B8498F"/>
    <w:rsid w:val="00B84B5B"/>
    <w:rsid w:val="00B85C0D"/>
    <w:rsid w:val="00B86631"/>
    <w:rsid w:val="00B92EE2"/>
    <w:rsid w:val="00B93D0F"/>
    <w:rsid w:val="00B979E0"/>
    <w:rsid w:val="00BA1008"/>
    <w:rsid w:val="00BA5E98"/>
    <w:rsid w:val="00BA722B"/>
    <w:rsid w:val="00BB0EF9"/>
    <w:rsid w:val="00BB16FD"/>
    <w:rsid w:val="00BB6C71"/>
    <w:rsid w:val="00BB6E81"/>
    <w:rsid w:val="00BC189B"/>
    <w:rsid w:val="00BC325F"/>
    <w:rsid w:val="00BC49DE"/>
    <w:rsid w:val="00BC5C33"/>
    <w:rsid w:val="00BD1C31"/>
    <w:rsid w:val="00BD2AD7"/>
    <w:rsid w:val="00BD3755"/>
    <w:rsid w:val="00BD572A"/>
    <w:rsid w:val="00BD7947"/>
    <w:rsid w:val="00BE2C82"/>
    <w:rsid w:val="00BE4E90"/>
    <w:rsid w:val="00BF1301"/>
    <w:rsid w:val="00BF254A"/>
    <w:rsid w:val="00BF5561"/>
    <w:rsid w:val="00C01C1C"/>
    <w:rsid w:val="00C04BDD"/>
    <w:rsid w:val="00C06CBE"/>
    <w:rsid w:val="00C10908"/>
    <w:rsid w:val="00C11BD1"/>
    <w:rsid w:val="00C144ED"/>
    <w:rsid w:val="00C168BA"/>
    <w:rsid w:val="00C169CD"/>
    <w:rsid w:val="00C2231B"/>
    <w:rsid w:val="00C22664"/>
    <w:rsid w:val="00C23361"/>
    <w:rsid w:val="00C249FB"/>
    <w:rsid w:val="00C30881"/>
    <w:rsid w:val="00C32126"/>
    <w:rsid w:val="00C35D8D"/>
    <w:rsid w:val="00C35E0D"/>
    <w:rsid w:val="00C366FD"/>
    <w:rsid w:val="00C3758D"/>
    <w:rsid w:val="00C40E50"/>
    <w:rsid w:val="00C41E21"/>
    <w:rsid w:val="00C420F4"/>
    <w:rsid w:val="00C42749"/>
    <w:rsid w:val="00C47139"/>
    <w:rsid w:val="00C5090D"/>
    <w:rsid w:val="00C5178E"/>
    <w:rsid w:val="00C5189A"/>
    <w:rsid w:val="00C528FD"/>
    <w:rsid w:val="00C602D4"/>
    <w:rsid w:val="00C6254F"/>
    <w:rsid w:val="00C62696"/>
    <w:rsid w:val="00C6565D"/>
    <w:rsid w:val="00C65F50"/>
    <w:rsid w:val="00C66BCA"/>
    <w:rsid w:val="00C7030E"/>
    <w:rsid w:val="00C71F1D"/>
    <w:rsid w:val="00C75248"/>
    <w:rsid w:val="00C8186B"/>
    <w:rsid w:val="00C8226D"/>
    <w:rsid w:val="00C84787"/>
    <w:rsid w:val="00C86760"/>
    <w:rsid w:val="00C86E0F"/>
    <w:rsid w:val="00C91B6D"/>
    <w:rsid w:val="00C972BE"/>
    <w:rsid w:val="00C97C68"/>
    <w:rsid w:val="00CA0F9E"/>
    <w:rsid w:val="00CA6747"/>
    <w:rsid w:val="00CA7B53"/>
    <w:rsid w:val="00CB331E"/>
    <w:rsid w:val="00CB5D0B"/>
    <w:rsid w:val="00CB6036"/>
    <w:rsid w:val="00CB6BA8"/>
    <w:rsid w:val="00CC1A90"/>
    <w:rsid w:val="00CC2928"/>
    <w:rsid w:val="00CC7464"/>
    <w:rsid w:val="00CD0344"/>
    <w:rsid w:val="00CD03A4"/>
    <w:rsid w:val="00CD219F"/>
    <w:rsid w:val="00CD346C"/>
    <w:rsid w:val="00CD6B76"/>
    <w:rsid w:val="00CD73EA"/>
    <w:rsid w:val="00CE10E7"/>
    <w:rsid w:val="00CE2574"/>
    <w:rsid w:val="00CE2848"/>
    <w:rsid w:val="00CE2D4D"/>
    <w:rsid w:val="00CE3E97"/>
    <w:rsid w:val="00CE5299"/>
    <w:rsid w:val="00CE6244"/>
    <w:rsid w:val="00CF0C42"/>
    <w:rsid w:val="00CF130E"/>
    <w:rsid w:val="00CF5246"/>
    <w:rsid w:val="00CF5AA0"/>
    <w:rsid w:val="00CF660A"/>
    <w:rsid w:val="00CF708E"/>
    <w:rsid w:val="00CF71F2"/>
    <w:rsid w:val="00D005E5"/>
    <w:rsid w:val="00D04E21"/>
    <w:rsid w:val="00D0596B"/>
    <w:rsid w:val="00D10088"/>
    <w:rsid w:val="00D137EB"/>
    <w:rsid w:val="00D15221"/>
    <w:rsid w:val="00D1659D"/>
    <w:rsid w:val="00D178DE"/>
    <w:rsid w:val="00D230F4"/>
    <w:rsid w:val="00D244C3"/>
    <w:rsid w:val="00D263AF"/>
    <w:rsid w:val="00D33F19"/>
    <w:rsid w:val="00D34CDA"/>
    <w:rsid w:val="00D34E20"/>
    <w:rsid w:val="00D352C0"/>
    <w:rsid w:val="00D3713A"/>
    <w:rsid w:val="00D37638"/>
    <w:rsid w:val="00D376BB"/>
    <w:rsid w:val="00D37D43"/>
    <w:rsid w:val="00D4369E"/>
    <w:rsid w:val="00D5043B"/>
    <w:rsid w:val="00D51A01"/>
    <w:rsid w:val="00D51A12"/>
    <w:rsid w:val="00D54A82"/>
    <w:rsid w:val="00D55D2A"/>
    <w:rsid w:val="00D56666"/>
    <w:rsid w:val="00D57C22"/>
    <w:rsid w:val="00D61B8C"/>
    <w:rsid w:val="00D661A9"/>
    <w:rsid w:val="00D66E5D"/>
    <w:rsid w:val="00D67A63"/>
    <w:rsid w:val="00D705D3"/>
    <w:rsid w:val="00D73E01"/>
    <w:rsid w:val="00D74CC3"/>
    <w:rsid w:val="00D76E0E"/>
    <w:rsid w:val="00D7773D"/>
    <w:rsid w:val="00D82DB2"/>
    <w:rsid w:val="00D8362C"/>
    <w:rsid w:val="00D8457C"/>
    <w:rsid w:val="00D910B4"/>
    <w:rsid w:val="00D911C9"/>
    <w:rsid w:val="00D91245"/>
    <w:rsid w:val="00D9128A"/>
    <w:rsid w:val="00D937F6"/>
    <w:rsid w:val="00D93DD0"/>
    <w:rsid w:val="00D9764D"/>
    <w:rsid w:val="00DA0C4E"/>
    <w:rsid w:val="00DA147D"/>
    <w:rsid w:val="00DA1C0E"/>
    <w:rsid w:val="00DA4EB7"/>
    <w:rsid w:val="00DB0108"/>
    <w:rsid w:val="00DB1C66"/>
    <w:rsid w:val="00DB2D0D"/>
    <w:rsid w:val="00DB5B9F"/>
    <w:rsid w:val="00DB61E4"/>
    <w:rsid w:val="00DB684D"/>
    <w:rsid w:val="00DB74E4"/>
    <w:rsid w:val="00DC0119"/>
    <w:rsid w:val="00DC74D9"/>
    <w:rsid w:val="00DD023C"/>
    <w:rsid w:val="00DD0506"/>
    <w:rsid w:val="00DD38DF"/>
    <w:rsid w:val="00DD402C"/>
    <w:rsid w:val="00DD40E6"/>
    <w:rsid w:val="00DD52F0"/>
    <w:rsid w:val="00DD53CC"/>
    <w:rsid w:val="00DD5EDB"/>
    <w:rsid w:val="00DD6DD9"/>
    <w:rsid w:val="00DE055C"/>
    <w:rsid w:val="00DE176E"/>
    <w:rsid w:val="00DE3DBE"/>
    <w:rsid w:val="00DF23A4"/>
    <w:rsid w:val="00DF5116"/>
    <w:rsid w:val="00DF6A2F"/>
    <w:rsid w:val="00E002C3"/>
    <w:rsid w:val="00E02BE6"/>
    <w:rsid w:val="00E04023"/>
    <w:rsid w:val="00E04176"/>
    <w:rsid w:val="00E108CB"/>
    <w:rsid w:val="00E109D7"/>
    <w:rsid w:val="00E10B04"/>
    <w:rsid w:val="00E10CB3"/>
    <w:rsid w:val="00E1184B"/>
    <w:rsid w:val="00E11AC8"/>
    <w:rsid w:val="00E14D8F"/>
    <w:rsid w:val="00E1531E"/>
    <w:rsid w:val="00E178E6"/>
    <w:rsid w:val="00E20F57"/>
    <w:rsid w:val="00E216B3"/>
    <w:rsid w:val="00E24D44"/>
    <w:rsid w:val="00E25B4A"/>
    <w:rsid w:val="00E3117E"/>
    <w:rsid w:val="00E32608"/>
    <w:rsid w:val="00E3401B"/>
    <w:rsid w:val="00E3771A"/>
    <w:rsid w:val="00E37A59"/>
    <w:rsid w:val="00E40681"/>
    <w:rsid w:val="00E40EC8"/>
    <w:rsid w:val="00E41FB6"/>
    <w:rsid w:val="00E424C7"/>
    <w:rsid w:val="00E45061"/>
    <w:rsid w:val="00E46B75"/>
    <w:rsid w:val="00E52EC3"/>
    <w:rsid w:val="00E5362D"/>
    <w:rsid w:val="00E545AD"/>
    <w:rsid w:val="00E55B56"/>
    <w:rsid w:val="00E573C0"/>
    <w:rsid w:val="00E622FF"/>
    <w:rsid w:val="00E629F9"/>
    <w:rsid w:val="00E64E99"/>
    <w:rsid w:val="00E67753"/>
    <w:rsid w:val="00E67E7E"/>
    <w:rsid w:val="00E71175"/>
    <w:rsid w:val="00E7459E"/>
    <w:rsid w:val="00E74F17"/>
    <w:rsid w:val="00E77F7D"/>
    <w:rsid w:val="00E8001D"/>
    <w:rsid w:val="00E816E2"/>
    <w:rsid w:val="00E83454"/>
    <w:rsid w:val="00E85728"/>
    <w:rsid w:val="00E8619A"/>
    <w:rsid w:val="00E871ED"/>
    <w:rsid w:val="00E8747A"/>
    <w:rsid w:val="00E916E8"/>
    <w:rsid w:val="00E923D8"/>
    <w:rsid w:val="00E96128"/>
    <w:rsid w:val="00E97539"/>
    <w:rsid w:val="00EA0BA8"/>
    <w:rsid w:val="00EA4349"/>
    <w:rsid w:val="00EA5483"/>
    <w:rsid w:val="00EA683A"/>
    <w:rsid w:val="00EA7355"/>
    <w:rsid w:val="00EA7FA8"/>
    <w:rsid w:val="00EB2B07"/>
    <w:rsid w:val="00EB2E02"/>
    <w:rsid w:val="00EB34DC"/>
    <w:rsid w:val="00EB401A"/>
    <w:rsid w:val="00EB4DF4"/>
    <w:rsid w:val="00EB600C"/>
    <w:rsid w:val="00EB7533"/>
    <w:rsid w:val="00EB7846"/>
    <w:rsid w:val="00EC01B2"/>
    <w:rsid w:val="00EC174F"/>
    <w:rsid w:val="00EC1E35"/>
    <w:rsid w:val="00EC31AE"/>
    <w:rsid w:val="00EC33AF"/>
    <w:rsid w:val="00EC4231"/>
    <w:rsid w:val="00EC43E5"/>
    <w:rsid w:val="00EC4871"/>
    <w:rsid w:val="00EC55DA"/>
    <w:rsid w:val="00EC6F7F"/>
    <w:rsid w:val="00ED03A2"/>
    <w:rsid w:val="00ED04E3"/>
    <w:rsid w:val="00ED0955"/>
    <w:rsid w:val="00ED42AF"/>
    <w:rsid w:val="00ED7874"/>
    <w:rsid w:val="00EE035A"/>
    <w:rsid w:val="00EE3896"/>
    <w:rsid w:val="00EE3C52"/>
    <w:rsid w:val="00EE52B8"/>
    <w:rsid w:val="00EE5322"/>
    <w:rsid w:val="00EE5A8B"/>
    <w:rsid w:val="00EE76A0"/>
    <w:rsid w:val="00EF00FF"/>
    <w:rsid w:val="00EF0189"/>
    <w:rsid w:val="00EF0227"/>
    <w:rsid w:val="00EF03A2"/>
    <w:rsid w:val="00EF054F"/>
    <w:rsid w:val="00EF112A"/>
    <w:rsid w:val="00EF1DB4"/>
    <w:rsid w:val="00EF29C0"/>
    <w:rsid w:val="00F02B46"/>
    <w:rsid w:val="00F05B9C"/>
    <w:rsid w:val="00F0706D"/>
    <w:rsid w:val="00F07A48"/>
    <w:rsid w:val="00F07AFB"/>
    <w:rsid w:val="00F07D98"/>
    <w:rsid w:val="00F10772"/>
    <w:rsid w:val="00F130CC"/>
    <w:rsid w:val="00F161E5"/>
    <w:rsid w:val="00F16928"/>
    <w:rsid w:val="00F209C7"/>
    <w:rsid w:val="00F20AEE"/>
    <w:rsid w:val="00F2201A"/>
    <w:rsid w:val="00F22EA5"/>
    <w:rsid w:val="00F2353D"/>
    <w:rsid w:val="00F23924"/>
    <w:rsid w:val="00F24BA1"/>
    <w:rsid w:val="00F2756E"/>
    <w:rsid w:val="00F30DDC"/>
    <w:rsid w:val="00F33CE8"/>
    <w:rsid w:val="00F33D23"/>
    <w:rsid w:val="00F34FFD"/>
    <w:rsid w:val="00F350AD"/>
    <w:rsid w:val="00F36369"/>
    <w:rsid w:val="00F37CAD"/>
    <w:rsid w:val="00F427C0"/>
    <w:rsid w:val="00F44040"/>
    <w:rsid w:val="00F45388"/>
    <w:rsid w:val="00F458CC"/>
    <w:rsid w:val="00F54D66"/>
    <w:rsid w:val="00F56814"/>
    <w:rsid w:val="00F574D2"/>
    <w:rsid w:val="00F61A10"/>
    <w:rsid w:val="00F61FE8"/>
    <w:rsid w:val="00F63435"/>
    <w:rsid w:val="00F63754"/>
    <w:rsid w:val="00F63C51"/>
    <w:rsid w:val="00F666B8"/>
    <w:rsid w:val="00F66B3A"/>
    <w:rsid w:val="00F6715F"/>
    <w:rsid w:val="00F702FC"/>
    <w:rsid w:val="00F70B79"/>
    <w:rsid w:val="00F73233"/>
    <w:rsid w:val="00F735F3"/>
    <w:rsid w:val="00F73D87"/>
    <w:rsid w:val="00F73E72"/>
    <w:rsid w:val="00F73EBF"/>
    <w:rsid w:val="00F75DB2"/>
    <w:rsid w:val="00F7658C"/>
    <w:rsid w:val="00F76AAB"/>
    <w:rsid w:val="00F77103"/>
    <w:rsid w:val="00F8191A"/>
    <w:rsid w:val="00F81B89"/>
    <w:rsid w:val="00F9056F"/>
    <w:rsid w:val="00F92034"/>
    <w:rsid w:val="00F923CC"/>
    <w:rsid w:val="00F923EC"/>
    <w:rsid w:val="00F92FE7"/>
    <w:rsid w:val="00F96C28"/>
    <w:rsid w:val="00FA163E"/>
    <w:rsid w:val="00FA3391"/>
    <w:rsid w:val="00FA5531"/>
    <w:rsid w:val="00FA6421"/>
    <w:rsid w:val="00FA6A52"/>
    <w:rsid w:val="00FA705D"/>
    <w:rsid w:val="00FB0ECC"/>
    <w:rsid w:val="00FB290F"/>
    <w:rsid w:val="00FB2BDE"/>
    <w:rsid w:val="00FB3187"/>
    <w:rsid w:val="00FB43CD"/>
    <w:rsid w:val="00FB4663"/>
    <w:rsid w:val="00FB5131"/>
    <w:rsid w:val="00FB5F2F"/>
    <w:rsid w:val="00FC3018"/>
    <w:rsid w:val="00FC3418"/>
    <w:rsid w:val="00FC5982"/>
    <w:rsid w:val="00FC5EDC"/>
    <w:rsid w:val="00FC7D2A"/>
    <w:rsid w:val="00FC7E7D"/>
    <w:rsid w:val="00FD36D6"/>
    <w:rsid w:val="00FD495E"/>
    <w:rsid w:val="00FD72AE"/>
    <w:rsid w:val="00FD7ADD"/>
    <w:rsid w:val="00FE0F2B"/>
    <w:rsid w:val="00FE217F"/>
    <w:rsid w:val="00FE536B"/>
    <w:rsid w:val="00FE5DB5"/>
    <w:rsid w:val="00FE7CF6"/>
    <w:rsid w:val="00FF2201"/>
    <w:rsid w:val="00FF5336"/>
    <w:rsid w:val="00FF7155"/>
    <w:rsid w:val="03BB0F31"/>
    <w:rsid w:val="03FFC029"/>
    <w:rsid w:val="048F148B"/>
    <w:rsid w:val="050C9AED"/>
    <w:rsid w:val="05F7BA3C"/>
    <w:rsid w:val="06676875"/>
    <w:rsid w:val="06F32EBD"/>
    <w:rsid w:val="06F8238B"/>
    <w:rsid w:val="07002747"/>
    <w:rsid w:val="072B0A4F"/>
    <w:rsid w:val="074B7D09"/>
    <w:rsid w:val="07965F00"/>
    <w:rsid w:val="07E7C8B3"/>
    <w:rsid w:val="09E0003A"/>
    <w:rsid w:val="0BCF358E"/>
    <w:rsid w:val="0BD5FC24"/>
    <w:rsid w:val="0BDA7585"/>
    <w:rsid w:val="0BEB5BA8"/>
    <w:rsid w:val="0BEC84DF"/>
    <w:rsid w:val="0CCB336A"/>
    <w:rsid w:val="0CCE80E9"/>
    <w:rsid w:val="0D1F7A72"/>
    <w:rsid w:val="0D212AF1"/>
    <w:rsid w:val="0D6FDB91"/>
    <w:rsid w:val="0DE546B2"/>
    <w:rsid w:val="0E9B6188"/>
    <w:rsid w:val="0EF838AD"/>
    <w:rsid w:val="0FDF5147"/>
    <w:rsid w:val="1030025B"/>
    <w:rsid w:val="11753D76"/>
    <w:rsid w:val="1345B093"/>
    <w:rsid w:val="13B7551E"/>
    <w:rsid w:val="13DEE6AB"/>
    <w:rsid w:val="13FC562C"/>
    <w:rsid w:val="140A5D40"/>
    <w:rsid w:val="160F0334"/>
    <w:rsid w:val="16360748"/>
    <w:rsid w:val="164F6F30"/>
    <w:rsid w:val="16C16EEF"/>
    <w:rsid w:val="16E6627B"/>
    <w:rsid w:val="177F9473"/>
    <w:rsid w:val="17BDF768"/>
    <w:rsid w:val="17CDD9E0"/>
    <w:rsid w:val="17F7F2F8"/>
    <w:rsid w:val="18734B16"/>
    <w:rsid w:val="18D04156"/>
    <w:rsid w:val="190C364C"/>
    <w:rsid w:val="19A938E3"/>
    <w:rsid w:val="1A2B1368"/>
    <w:rsid w:val="1A9662FA"/>
    <w:rsid w:val="1B9F84FF"/>
    <w:rsid w:val="1BF97A03"/>
    <w:rsid w:val="1BFC119D"/>
    <w:rsid w:val="1CD6380F"/>
    <w:rsid w:val="1D6BEC80"/>
    <w:rsid w:val="1D771DA8"/>
    <w:rsid w:val="1D9F5A28"/>
    <w:rsid w:val="1DEAF6EA"/>
    <w:rsid w:val="1DFDAA57"/>
    <w:rsid w:val="1E7DEC6B"/>
    <w:rsid w:val="1EB7120F"/>
    <w:rsid w:val="1ECA6D73"/>
    <w:rsid w:val="1ED9112E"/>
    <w:rsid w:val="1F1F271B"/>
    <w:rsid w:val="1F362194"/>
    <w:rsid w:val="1F5EB12B"/>
    <w:rsid w:val="1F5FD34B"/>
    <w:rsid w:val="1F6F2490"/>
    <w:rsid w:val="1F787DAD"/>
    <w:rsid w:val="1F7FDB0B"/>
    <w:rsid w:val="1FDF3978"/>
    <w:rsid w:val="1FEEC972"/>
    <w:rsid w:val="1FF73622"/>
    <w:rsid w:val="1FF7EB15"/>
    <w:rsid w:val="1FF94D13"/>
    <w:rsid w:val="1FFC8577"/>
    <w:rsid w:val="1FFF37FF"/>
    <w:rsid w:val="1FFFD281"/>
    <w:rsid w:val="219A2C74"/>
    <w:rsid w:val="21F3E862"/>
    <w:rsid w:val="25D5B934"/>
    <w:rsid w:val="25EB0D9D"/>
    <w:rsid w:val="25FF682B"/>
    <w:rsid w:val="267F7AFF"/>
    <w:rsid w:val="26BE159B"/>
    <w:rsid w:val="26FDF37B"/>
    <w:rsid w:val="277FC764"/>
    <w:rsid w:val="27C8AA71"/>
    <w:rsid w:val="281D8CEB"/>
    <w:rsid w:val="29651490"/>
    <w:rsid w:val="29B026FD"/>
    <w:rsid w:val="2A9845F0"/>
    <w:rsid w:val="2AF7200A"/>
    <w:rsid w:val="2AFE87E1"/>
    <w:rsid w:val="2B6F0DF2"/>
    <w:rsid w:val="2B855DB9"/>
    <w:rsid w:val="2B8D7B0B"/>
    <w:rsid w:val="2BBF6E4A"/>
    <w:rsid w:val="2C7FEABE"/>
    <w:rsid w:val="2CB5467C"/>
    <w:rsid w:val="2D0F924E"/>
    <w:rsid w:val="2D7FBCBC"/>
    <w:rsid w:val="2DDA24F6"/>
    <w:rsid w:val="2DEF47CD"/>
    <w:rsid w:val="2DEFB32F"/>
    <w:rsid w:val="2DF95EFB"/>
    <w:rsid w:val="2DF9BE49"/>
    <w:rsid w:val="2DFBB9EA"/>
    <w:rsid w:val="2E6C12EA"/>
    <w:rsid w:val="2E73B4FC"/>
    <w:rsid w:val="2E925FFD"/>
    <w:rsid w:val="2EBF7AE4"/>
    <w:rsid w:val="2EE596D0"/>
    <w:rsid w:val="2EEB783E"/>
    <w:rsid w:val="2EFEFECB"/>
    <w:rsid w:val="2F3B7311"/>
    <w:rsid w:val="2F3FF721"/>
    <w:rsid w:val="2FBF3587"/>
    <w:rsid w:val="2FCB0375"/>
    <w:rsid w:val="2FEAD64B"/>
    <w:rsid w:val="2FEBB441"/>
    <w:rsid w:val="2FECA46D"/>
    <w:rsid w:val="2FED9D5B"/>
    <w:rsid w:val="2FEFE0D3"/>
    <w:rsid w:val="2FEFF171"/>
    <w:rsid w:val="2FF610F2"/>
    <w:rsid w:val="2FF6747F"/>
    <w:rsid w:val="2FF9C814"/>
    <w:rsid w:val="2FFBE9DD"/>
    <w:rsid w:val="2FFC179F"/>
    <w:rsid w:val="2FFE69CB"/>
    <w:rsid w:val="2FFE8321"/>
    <w:rsid w:val="30062758"/>
    <w:rsid w:val="315DB5E8"/>
    <w:rsid w:val="324C3EC9"/>
    <w:rsid w:val="324FF5A1"/>
    <w:rsid w:val="337B468C"/>
    <w:rsid w:val="33D7497E"/>
    <w:rsid w:val="3410320D"/>
    <w:rsid w:val="34AB1E73"/>
    <w:rsid w:val="34FB8932"/>
    <w:rsid w:val="34FFF466"/>
    <w:rsid w:val="35232E80"/>
    <w:rsid w:val="35786F4E"/>
    <w:rsid w:val="35F2E976"/>
    <w:rsid w:val="35F7B9DE"/>
    <w:rsid w:val="361ECC6A"/>
    <w:rsid w:val="36346AB6"/>
    <w:rsid w:val="36DFE578"/>
    <w:rsid w:val="36FB26C7"/>
    <w:rsid w:val="373F5F5B"/>
    <w:rsid w:val="377E7F47"/>
    <w:rsid w:val="37AFFE8B"/>
    <w:rsid w:val="37BB401D"/>
    <w:rsid w:val="37DD74AE"/>
    <w:rsid w:val="37EF93FF"/>
    <w:rsid w:val="37F975A3"/>
    <w:rsid w:val="37FB23B3"/>
    <w:rsid w:val="37FD4105"/>
    <w:rsid w:val="37FDB87E"/>
    <w:rsid w:val="37FE59BB"/>
    <w:rsid w:val="37FF16AA"/>
    <w:rsid w:val="3841333D"/>
    <w:rsid w:val="386A6F37"/>
    <w:rsid w:val="394B8A7A"/>
    <w:rsid w:val="399BAAD4"/>
    <w:rsid w:val="3A3F3D0F"/>
    <w:rsid w:val="3A7FF551"/>
    <w:rsid w:val="3AD95D1C"/>
    <w:rsid w:val="3AEDCD2A"/>
    <w:rsid w:val="3B0260FA"/>
    <w:rsid w:val="3B2A19AF"/>
    <w:rsid w:val="3B3F6DE6"/>
    <w:rsid w:val="3B7F2736"/>
    <w:rsid w:val="3BB141B8"/>
    <w:rsid w:val="3BE7DE21"/>
    <w:rsid w:val="3BEB4464"/>
    <w:rsid w:val="3BFE6C50"/>
    <w:rsid w:val="3C76F5C7"/>
    <w:rsid w:val="3CBFCFC9"/>
    <w:rsid w:val="3CDED2CA"/>
    <w:rsid w:val="3CEAE301"/>
    <w:rsid w:val="3D1EE4F6"/>
    <w:rsid w:val="3D4E7D75"/>
    <w:rsid w:val="3D694829"/>
    <w:rsid w:val="3D6DAE7F"/>
    <w:rsid w:val="3D9AA295"/>
    <w:rsid w:val="3DBB93C0"/>
    <w:rsid w:val="3DD71306"/>
    <w:rsid w:val="3DE780D4"/>
    <w:rsid w:val="3DEF8DEA"/>
    <w:rsid w:val="3DFDCFCC"/>
    <w:rsid w:val="3DFFCD58"/>
    <w:rsid w:val="3E3F0A53"/>
    <w:rsid w:val="3E6A66F5"/>
    <w:rsid w:val="3EE88FD6"/>
    <w:rsid w:val="3EFCE35E"/>
    <w:rsid w:val="3F1B0A86"/>
    <w:rsid w:val="3F3179EB"/>
    <w:rsid w:val="3F37D87B"/>
    <w:rsid w:val="3F3FF390"/>
    <w:rsid w:val="3F4B2A8E"/>
    <w:rsid w:val="3F67EF3B"/>
    <w:rsid w:val="3F6F0C4A"/>
    <w:rsid w:val="3F6FEC9A"/>
    <w:rsid w:val="3F791DD1"/>
    <w:rsid w:val="3F7DBE26"/>
    <w:rsid w:val="3F7FF8CA"/>
    <w:rsid w:val="3F837581"/>
    <w:rsid w:val="3F8FD79D"/>
    <w:rsid w:val="3F9E2C26"/>
    <w:rsid w:val="3FB703A8"/>
    <w:rsid w:val="3FB7AECE"/>
    <w:rsid w:val="3FC548CB"/>
    <w:rsid w:val="3FDB9FB6"/>
    <w:rsid w:val="3FDBC523"/>
    <w:rsid w:val="3FDD6E4C"/>
    <w:rsid w:val="3FDF042A"/>
    <w:rsid w:val="3FDF54FD"/>
    <w:rsid w:val="3FE85E45"/>
    <w:rsid w:val="3FEB7A67"/>
    <w:rsid w:val="3FEF2949"/>
    <w:rsid w:val="3FF03344"/>
    <w:rsid w:val="3FF305E3"/>
    <w:rsid w:val="3FF51FAA"/>
    <w:rsid w:val="3FF7715B"/>
    <w:rsid w:val="3FF87608"/>
    <w:rsid w:val="3FF95137"/>
    <w:rsid w:val="3FFD3E98"/>
    <w:rsid w:val="3FFDC31A"/>
    <w:rsid w:val="3FFF0F3B"/>
    <w:rsid w:val="3FFF0F7A"/>
    <w:rsid w:val="3FFF5E44"/>
    <w:rsid w:val="3FFF7790"/>
    <w:rsid w:val="3FFFE9FF"/>
    <w:rsid w:val="40885740"/>
    <w:rsid w:val="40E51096"/>
    <w:rsid w:val="412169E5"/>
    <w:rsid w:val="41A97CA0"/>
    <w:rsid w:val="4298CC29"/>
    <w:rsid w:val="440D4F60"/>
    <w:rsid w:val="44C04565"/>
    <w:rsid w:val="44E12EC8"/>
    <w:rsid w:val="44E61E4D"/>
    <w:rsid w:val="455E84BA"/>
    <w:rsid w:val="45C72335"/>
    <w:rsid w:val="45CB89A4"/>
    <w:rsid w:val="45F43EFB"/>
    <w:rsid w:val="46F7A257"/>
    <w:rsid w:val="46FD3183"/>
    <w:rsid w:val="46FFDC11"/>
    <w:rsid w:val="47187478"/>
    <w:rsid w:val="475BB82D"/>
    <w:rsid w:val="478B7996"/>
    <w:rsid w:val="479C736D"/>
    <w:rsid w:val="47FBE99F"/>
    <w:rsid w:val="47FC015C"/>
    <w:rsid w:val="49DB0209"/>
    <w:rsid w:val="49FF7433"/>
    <w:rsid w:val="4A600544"/>
    <w:rsid w:val="4A7F51C8"/>
    <w:rsid w:val="4ADB6341"/>
    <w:rsid w:val="4ADFC238"/>
    <w:rsid w:val="4AE53AAC"/>
    <w:rsid w:val="4BA72860"/>
    <w:rsid w:val="4BD06BB9"/>
    <w:rsid w:val="4BFF7F20"/>
    <w:rsid w:val="4C7FAA27"/>
    <w:rsid w:val="4CB5D4AC"/>
    <w:rsid w:val="4CEA65E5"/>
    <w:rsid w:val="4CFF0234"/>
    <w:rsid w:val="4D3ABB2A"/>
    <w:rsid w:val="4DAC129C"/>
    <w:rsid w:val="4DFAFB9B"/>
    <w:rsid w:val="4E252FDC"/>
    <w:rsid w:val="4E93F98A"/>
    <w:rsid w:val="4E97F7AB"/>
    <w:rsid w:val="4ECB258B"/>
    <w:rsid w:val="4EDF57B5"/>
    <w:rsid w:val="4EFF1E66"/>
    <w:rsid w:val="4F0FD214"/>
    <w:rsid w:val="4F2B4370"/>
    <w:rsid w:val="4F5ECE08"/>
    <w:rsid w:val="4F8F5C39"/>
    <w:rsid w:val="4F9F0023"/>
    <w:rsid w:val="4F9F40F3"/>
    <w:rsid w:val="4FCF08FC"/>
    <w:rsid w:val="4FDD0933"/>
    <w:rsid w:val="4FEB1D2A"/>
    <w:rsid w:val="4FF4AAFD"/>
    <w:rsid w:val="4FF7A06E"/>
    <w:rsid w:val="4FFC45E6"/>
    <w:rsid w:val="4FFEAC06"/>
    <w:rsid w:val="4FFECE0B"/>
    <w:rsid w:val="4FFF83C0"/>
    <w:rsid w:val="4FFFDE9E"/>
    <w:rsid w:val="504C2252"/>
    <w:rsid w:val="507BF2A7"/>
    <w:rsid w:val="50C54538"/>
    <w:rsid w:val="50FF8610"/>
    <w:rsid w:val="52EB1DA2"/>
    <w:rsid w:val="531CD340"/>
    <w:rsid w:val="53242B83"/>
    <w:rsid w:val="53E6405B"/>
    <w:rsid w:val="53FDAC47"/>
    <w:rsid w:val="559F8A32"/>
    <w:rsid w:val="55B354B7"/>
    <w:rsid w:val="55E6F9F9"/>
    <w:rsid w:val="55F057C7"/>
    <w:rsid w:val="55F5A667"/>
    <w:rsid w:val="55F70950"/>
    <w:rsid w:val="55FDC4F0"/>
    <w:rsid w:val="55FF6638"/>
    <w:rsid w:val="56753DF8"/>
    <w:rsid w:val="567F1D52"/>
    <w:rsid w:val="56B70E58"/>
    <w:rsid w:val="56CFFD0A"/>
    <w:rsid w:val="56F42C17"/>
    <w:rsid w:val="56F6D49D"/>
    <w:rsid w:val="56F7029D"/>
    <w:rsid w:val="56FBBB7E"/>
    <w:rsid w:val="56FDEBED"/>
    <w:rsid w:val="571EB2FF"/>
    <w:rsid w:val="57762686"/>
    <w:rsid w:val="577CAD58"/>
    <w:rsid w:val="57B35AB8"/>
    <w:rsid w:val="57BD957F"/>
    <w:rsid w:val="57CF90BE"/>
    <w:rsid w:val="57DF6ADB"/>
    <w:rsid w:val="57E7DE1F"/>
    <w:rsid w:val="57EF74CD"/>
    <w:rsid w:val="57F77FAD"/>
    <w:rsid w:val="57FB3E98"/>
    <w:rsid w:val="57FC13D5"/>
    <w:rsid w:val="57FEF555"/>
    <w:rsid w:val="57FFDD13"/>
    <w:rsid w:val="57FFDD8A"/>
    <w:rsid w:val="586FEAF2"/>
    <w:rsid w:val="587B59B6"/>
    <w:rsid w:val="589AC999"/>
    <w:rsid w:val="58FFAD3F"/>
    <w:rsid w:val="59174446"/>
    <w:rsid w:val="59A9FF4F"/>
    <w:rsid w:val="59CC43B7"/>
    <w:rsid w:val="59FCC080"/>
    <w:rsid w:val="59FFFF3E"/>
    <w:rsid w:val="5A856844"/>
    <w:rsid w:val="5ABEADAC"/>
    <w:rsid w:val="5ADFA039"/>
    <w:rsid w:val="5AF72CF0"/>
    <w:rsid w:val="5AFFF0E9"/>
    <w:rsid w:val="5B2FD801"/>
    <w:rsid w:val="5B7DD114"/>
    <w:rsid w:val="5B7F55FD"/>
    <w:rsid w:val="5BBF9088"/>
    <w:rsid w:val="5BCFC5C3"/>
    <w:rsid w:val="5BD75F2E"/>
    <w:rsid w:val="5BDD314B"/>
    <w:rsid w:val="5BEFB97D"/>
    <w:rsid w:val="5BF41D84"/>
    <w:rsid w:val="5BF615D8"/>
    <w:rsid w:val="5C7F6E3E"/>
    <w:rsid w:val="5CB3E44C"/>
    <w:rsid w:val="5CD77292"/>
    <w:rsid w:val="5CD843DE"/>
    <w:rsid w:val="5CEEBE91"/>
    <w:rsid w:val="5CFD08E2"/>
    <w:rsid w:val="5D4EDE7F"/>
    <w:rsid w:val="5DAF0AA5"/>
    <w:rsid w:val="5DBD5F5D"/>
    <w:rsid w:val="5DBFF83B"/>
    <w:rsid w:val="5DBFFC3F"/>
    <w:rsid w:val="5DD7ED4F"/>
    <w:rsid w:val="5DDB9276"/>
    <w:rsid w:val="5DDBAE5F"/>
    <w:rsid w:val="5DEBCC77"/>
    <w:rsid w:val="5E145C54"/>
    <w:rsid w:val="5E2D45B7"/>
    <w:rsid w:val="5E3E1825"/>
    <w:rsid w:val="5E7F0F32"/>
    <w:rsid w:val="5E7F8668"/>
    <w:rsid w:val="5EBAC6E5"/>
    <w:rsid w:val="5EEE4316"/>
    <w:rsid w:val="5EF5CF4C"/>
    <w:rsid w:val="5EFD7815"/>
    <w:rsid w:val="5EFDC2F9"/>
    <w:rsid w:val="5EFFAA7E"/>
    <w:rsid w:val="5EFFCB28"/>
    <w:rsid w:val="5F293F88"/>
    <w:rsid w:val="5F2FF25E"/>
    <w:rsid w:val="5F3FAAFB"/>
    <w:rsid w:val="5F4ABE7B"/>
    <w:rsid w:val="5F6D4297"/>
    <w:rsid w:val="5F6F0EA3"/>
    <w:rsid w:val="5F7BDCCB"/>
    <w:rsid w:val="5F7F719D"/>
    <w:rsid w:val="5F7FAFCC"/>
    <w:rsid w:val="5F8B829B"/>
    <w:rsid w:val="5F977AE2"/>
    <w:rsid w:val="5F99CD80"/>
    <w:rsid w:val="5F9B4F5F"/>
    <w:rsid w:val="5FAF0DCA"/>
    <w:rsid w:val="5FB984E0"/>
    <w:rsid w:val="5FBB4FBA"/>
    <w:rsid w:val="5FBC39F9"/>
    <w:rsid w:val="5FBDC48B"/>
    <w:rsid w:val="5FBF77A5"/>
    <w:rsid w:val="5FC11609"/>
    <w:rsid w:val="5FCCD436"/>
    <w:rsid w:val="5FCF6307"/>
    <w:rsid w:val="5FDF41FB"/>
    <w:rsid w:val="5FEF31D4"/>
    <w:rsid w:val="5FEF33A3"/>
    <w:rsid w:val="5FEF4F3C"/>
    <w:rsid w:val="5FF978DD"/>
    <w:rsid w:val="5FFB3D27"/>
    <w:rsid w:val="5FFD6ED3"/>
    <w:rsid w:val="5FFE1C6D"/>
    <w:rsid w:val="5FFE4120"/>
    <w:rsid w:val="5FFE5435"/>
    <w:rsid w:val="5FFE75EA"/>
    <w:rsid w:val="5FFF3BA8"/>
    <w:rsid w:val="5FFFBAAB"/>
    <w:rsid w:val="60506C5A"/>
    <w:rsid w:val="60AC65F4"/>
    <w:rsid w:val="62DF36DC"/>
    <w:rsid w:val="637766BA"/>
    <w:rsid w:val="637F80DF"/>
    <w:rsid w:val="63A00B19"/>
    <w:rsid w:val="63B51CD4"/>
    <w:rsid w:val="65291B6D"/>
    <w:rsid w:val="65773FB2"/>
    <w:rsid w:val="65B6AFBA"/>
    <w:rsid w:val="65E497C1"/>
    <w:rsid w:val="665FC875"/>
    <w:rsid w:val="66674709"/>
    <w:rsid w:val="666D4B96"/>
    <w:rsid w:val="6676A1C1"/>
    <w:rsid w:val="66951672"/>
    <w:rsid w:val="66BE70F1"/>
    <w:rsid w:val="66DCCB1C"/>
    <w:rsid w:val="66EDE904"/>
    <w:rsid w:val="66F9A042"/>
    <w:rsid w:val="6734FF5A"/>
    <w:rsid w:val="674FCDF2"/>
    <w:rsid w:val="67571CA7"/>
    <w:rsid w:val="675CB850"/>
    <w:rsid w:val="677E3BDB"/>
    <w:rsid w:val="677FCF9A"/>
    <w:rsid w:val="678FAC7B"/>
    <w:rsid w:val="67987228"/>
    <w:rsid w:val="679F220C"/>
    <w:rsid w:val="67BCDBEA"/>
    <w:rsid w:val="67EF7480"/>
    <w:rsid w:val="67EFC027"/>
    <w:rsid w:val="67F98AAC"/>
    <w:rsid w:val="67FFEAC9"/>
    <w:rsid w:val="69583433"/>
    <w:rsid w:val="69633136"/>
    <w:rsid w:val="697E9EC8"/>
    <w:rsid w:val="69A63677"/>
    <w:rsid w:val="69DE7353"/>
    <w:rsid w:val="69FF86FC"/>
    <w:rsid w:val="6A8FF6F1"/>
    <w:rsid w:val="6A9DA333"/>
    <w:rsid w:val="6AFD401E"/>
    <w:rsid w:val="6AFD60AF"/>
    <w:rsid w:val="6AFF0747"/>
    <w:rsid w:val="6B3836E7"/>
    <w:rsid w:val="6B7E7C83"/>
    <w:rsid w:val="6B986128"/>
    <w:rsid w:val="6BBFD9B6"/>
    <w:rsid w:val="6BEDA1FC"/>
    <w:rsid w:val="6BF31D2C"/>
    <w:rsid w:val="6BFE040A"/>
    <w:rsid w:val="6BFF91F4"/>
    <w:rsid w:val="6CAE20D2"/>
    <w:rsid w:val="6CAE92F1"/>
    <w:rsid w:val="6CAF45AE"/>
    <w:rsid w:val="6CC9092B"/>
    <w:rsid w:val="6CDB032F"/>
    <w:rsid w:val="6CF64AB5"/>
    <w:rsid w:val="6D36ADA0"/>
    <w:rsid w:val="6D4A611B"/>
    <w:rsid w:val="6D5FA359"/>
    <w:rsid w:val="6D7B0723"/>
    <w:rsid w:val="6D7DDD9E"/>
    <w:rsid w:val="6DDE1840"/>
    <w:rsid w:val="6DF75453"/>
    <w:rsid w:val="6DFA4E73"/>
    <w:rsid w:val="6DFFA582"/>
    <w:rsid w:val="6E3311EF"/>
    <w:rsid w:val="6E391343"/>
    <w:rsid w:val="6E3978A9"/>
    <w:rsid w:val="6E3F9495"/>
    <w:rsid w:val="6E5ADB31"/>
    <w:rsid w:val="6E7D6655"/>
    <w:rsid w:val="6E7E568F"/>
    <w:rsid w:val="6EBF4467"/>
    <w:rsid w:val="6EC7FB68"/>
    <w:rsid w:val="6EF72F65"/>
    <w:rsid w:val="6EFF1F18"/>
    <w:rsid w:val="6EFF46F7"/>
    <w:rsid w:val="6EFF63A3"/>
    <w:rsid w:val="6EFF8785"/>
    <w:rsid w:val="6EFFC00A"/>
    <w:rsid w:val="6F1DF198"/>
    <w:rsid w:val="6F5DA3BF"/>
    <w:rsid w:val="6F67579E"/>
    <w:rsid w:val="6F6D75A1"/>
    <w:rsid w:val="6F6F562C"/>
    <w:rsid w:val="6F77C32C"/>
    <w:rsid w:val="6F77D9A9"/>
    <w:rsid w:val="6F78BE15"/>
    <w:rsid w:val="6F7D03F2"/>
    <w:rsid w:val="6F7FB36C"/>
    <w:rsid w:val="6FA56E64"/>
    <w:rsid w:val="6FB718FB"/>
    <w:rsid w:val="6FBB83F2"/>
    <w:rsid w:val="6FBDBFB4"/>
    <w:rsid w:val="6FBDE696"/>
    <w:rsid w:val="6FBF7E4D"/>
    <w:rsid w:val="6FD56CDC"/>
    <w:rsid w:val="6FDBA2C1"/>
    <w:rsid w:val="6FDE8540"/>
    <w:rsid w:val="6FDF27F0"/>
    <w:rsid w:val="6FDF8D1C"/>
    <w:rsid w:val="6FE923BB"/>
    <w:rsid w:val="6FEEC1CE"/>
    <w:rsid w:val="6FEEED0A"/>
    <w:rsid w:val="6FF36D18"/>
    <w:rsid w:val="6FF3B428"/>
    <w:rsid w:val="6FF55064"/>
    <w:rsid w:val="6FF6E344"/>
    <w:rsid w:val="6FF7B9B3"/>
    <w:rsid w:val="6FFAFF85"/>
    <w:rsid w:val="6FFB27E9"/>
    <w:rsid w:val="6FFB69E8"/>
    <w:rsid w:val="6FFD8F75"/>
    <w:rsid w:val="6FFD99CD"/>
    <w:rsid w:val="6FFE90DE"/>
    <w:rsid w:val="6FFF41F0"/>
    <w:rsid w:val="6FFF89E9"/>
    <w:rsid w:val="70AAA6C4"/>
    <w:rsid w:val="70BF2DD9"/>
    <w:rsid w:val="71997D98"/>
    <w:rsid w:val="719C1FAD"/>
    <w:rsid w:val="725F69AD"/>
    <w:rsid w:val="727F2AA4"/>
    <w:rsid w:val="729FC94A"/>
    <w:rsid w:val="72A35647"/>
    <w:rsid w:val="72B06A37"/>
    <w:rsid w:val="72F71BC9"/>
    <w:rsid w:val="72FD1461"/>
    <w:rsid w:val="735FCF06"/>
    <w:rsid w:val="736A46D8"/>
    <w:rsid w:val="7374E036"/>
    <w:rsid w:val="737A2DC9"/>
    <w:rsid w:val="73BE408E"/>
    <w:rsid w:val="73C7A775"/>
    <w:rsid w:val="73CFB90F"/>
    <w:rsid w:val="73EE72A4"/>
    <w:rsid w:val="73EFEDB0"/>
    <w:rsid w:val="73F090FF"/>
    <w:rsid w:val="73F3F64B"/>
    <w:rsid w:val="73F930B7"/>
    <w:rsid w:val="73F9D71A"/>
    <w:rsid w:val="73FB48C4"/>
    <w:rsid w:val="73FF209D"/>
    <w:rsid w:val="743F7203"/>
    <w:rsid w:val="74D4685A"/>
    <w:rsid w:val="74ED65A8"/>
    <w:rsid w:val="7520021C"/>
    <w:rsid w:val="756DBB6D"/>
    <w:rsid w:val="757A262A"/>
    <w:rsid w:val="757A3E0D"/>
    <w:rsid w:val="757DA19C"/>
    <w:rsid w:val="75B36626"/>
    <w:rsid w:val="75BF19AE"/>
    <w:rsid w:val="75DEB655"/>
    <w:rsid w:val="75FBE175"/>
    <w:rsid w:val="75FFA578"/>
    <w:rsid w:val="75FFF13E"/>
    <w:rsid w:val="761F255C"/>
    <w:rsid w:val="765C2764"/>
    <w:rsid w:val="766210C2"/>
    <w:rsid w:val="7666AB84"/>
    <w:rsid w:val="76745347"/>
    <w:rsid w:val="767C363F"/>
    <w:rsid w:val="769E9585"/>
    <w:rsid w:val="769F1B4E"/>
    <w:rsid w:val="76BD80C5"/>
    <w:rsid w:val="76BFAAC8"/>
    <w:rsid w:val="76CAF48A"/>
    <w:rsid w:val="76DA2003"/>
    <w:rsid w:val="76E4A4E5"/>
    <w:rsid w:val="76F675D8"/>
    <w:rsid w:val="76F74ACE"/>
    <w:rsid w:val="76FA487C"/>
    <w:rsid w:val="76FEC95F"/>
    <w:rsid w:val="771B7557"/>
    <w:rsid w:val="771F3527"/>
    <w:rsid w:val="772426FD"/>
    <w:rsid w:val="772FE9CC"/>
    <w:rsid w:val="775F7BCA"/>
    <w:rsid w:val="7768300E"/>
    <w:rsid w:val="776BC136"/>
    <w:rsid w:val="777C8044"/>
    <w:rsid w:val="777D42A6"/>
    <w:rsid w:val="777E7B37"/>
    <w:rsid w:val="778154D2"/>
    <w:rsid w:val="77AD92D9"/>
    <w:rsid w:val="77B60989"/>
    <w:rsid w:val="77BE9D2E"/>
    <w:rsid w:val="77BF26A6"/>
    <w:rsid w:val="77BF5428"/>
    <w:rsid w:val="77BF548B"/>
    <w:rsid w:val="77BFA1D9"/>
    <w:rsid w:val="77DE02AF"/>
    <w:rsid w:val="77DF1913"/>
    <w:rsid w:val="77EE1E40"/>
    <w:rsid w:val="77F1D195"/>
    <w:rsid w:val="77F511D9"/>
    <w:rsid w:val="77F6C45F"/>
    <w:rsid w:val="77F784BD"/>
    <w:rsid w:val="77F7A5CC"/>
    <w:rsid w:val="77F81763"/>
    <w:rsid w:val="77FF36E8"/>
    <w:rsid w:val="77FF4126"/>
    <w:rsid w:val="77FF5116"/>
    <w:rsid w:val="77FF7299"/>
    <w:rsid w:val="77FF93EB"/>
    <w:rsid w:val="7827124B"/>
    <w:rsid w:val="784D50ED"/>
    <w:rsid w:val="78616A1B"/>
    <w:rsid w:val="787B35F7"/>
    <w:rsid w:val="78BFE514"/>
    <w:rsid w:val="797D43B7"/>
    <w:rsid w:val="799B1AD1"/>
    <w:rsid w:val="79B01B35"/>
    <w:rsid w:val="79B409F1"/>
    <w:rsid w:val="79BA8746"/>
    <w:rsid w:val="79BC3A38"/>
    <w:rsid w:val="79DD8C83"/>
    <w:rsid w:val="79DD9D00"/>
    <w:rsid w:val="79DDE7DE"/>
    <w:rsid w:val="79DF1032"/>
    <w:rsid w:val="79F284D4"/>
    <w:rsid w:val="79F7DE2C"/>
    <w:rsid w:val="79FBB91F"/>
    <w:rsid w:val="79FCEA5A"/>
    <w:rsid w:val="79FD49DA"/>
    <w:rsid w:val="79FDA267"/>
    <w:rsid w:val="7A1FB30B"/>
    <w:rsid w:val="7A3B3176"/>
    <w:rsid w:val="7A7EB63A"/>
    <w:rsid w:val="7A7F8477"/>
    <w:rsid w:val="7A7F91A0"/>
    <w:rsid w:val="7ACF7A89"/>
    <w:rsid w:val="7ACFBF59"/>
    <w:rsid w:val="7AD77BA8"/>
    <w:rsid w:val="7AFF281A"/>
    <w:rsid w:val="7AFFA978"/>
    <w:rsid w:val="7AFFF602"/>
    <w:rsid w:val="7B1F2C71"/>
    <w:rsid w:val="7B341047"/>
    <w:rsid w:val="7B35060B"/>
    <w:rsid w:val="7B4C30AB"/>
    <w:rsid w:val="7B63351E"/>
    <w:rsid w:val="7B6F0E16"/>
    <w:rsid w:val="7B722D35"/>
    <w:rsid w:val="7B778378"/>
    <w:rsid w:val="7B7E5C57"/>
    <w:rsid w:val="7B7F1810"/>
    <w:rsid w:val="7B9B45D5"/>
    <w:rsid w:val="7BAA1F58"/>
    <w:rsid w:val="7BAB2AFE"/>
    <w:rsid w:val="7BABD590"/>
    <w:rsid w:val="7BAE8BD7"/>
    <w:rsid w:val="7BB64AA2"/>
    <w:rsid w:val="7BBA0D54"/>
    <w:rsid w:val="7BBD9B39"/>
    <w:rsid w:val="7BBED84C"/>
    <w:rsid w:val="7BCF5B04"/>
    <w:rsid w:val="7BD9964A"/>
    <w:rsid w:val="7BDB1D20"/>
    <w:rsid w:val="7BDB79EA"/>
    <w:rsid w:val="7BDD5366"/>
    <w:rsid w:val="7BDE4F08"/>
    <w:rsid w:val="7BDF1F5B"/>
    <w:rsid w:val="7BDF3203"/>
    <w:rsid w:val="7BDF70ED"/>
    <w:rsid w:val="7BDFBEB8"/>
    <w:rsid w:val="7BE71D90"/>
    <w:rsid w:val="7BEB48A8"/>
    <w:rsid w:val="7BEE04E2"/>
    <w:rsid w:val="7BEF546E"/>
    <w:rsid w:val="7BF7C304"/>
    <w:rsid w:val="7BF7DBCA"/>
    <w:rsid w:val="7BFA9137"/>
    <w:rsid w:val="7BFB2D56"/>
    <w:rsid w:val="7BFB7BC8"/>
    <w:rsid w:val="7BFBF8B0"/>
    <w:rsid w:val="7BFCFD02"/>
    <w:rsid w:val="7BFD1444"/>
    <w:rsid w:val="7BFD4C18"/>
    <w:rsid w:val="7BFD5D08"/>
    <w:rsid w:val="7BFD74FA"/>
    <w:rsid w:val="7BFD9207"/>
    <w:rsid w:val="7BFEF78C"/>
    <w:rsid w:val="7BFF4B1C"/>
    <w:rsid w:val="7BFF7174"/>
    <w:rsid w:val="7BFFDC89"/>
    <w:rsid w:val="7BFFFE65"/>
    <w:rsid w:val="7C705A2D"/>
    <w:rsid w:val="7C779CA9"/>
    <w:rsid w:val="7C9D02F8"/>
    <w:rsid w:val="7CAF2768"/>
    <w:rsid w:val="7CCF8988"/>
    <w:rsid w:val="7CED5FC1"/>
    <w:rsid w:val="7CFB89C2"/>
    <w:rsid w:val="7CFD193B"/>
    <w:rsid w:val="7CFDD44D"/>
    <w:rsid w:val="7CFF8CF0"/>
    <w:rsid w:val="7D1F2ACA"/>
    <w:rsid w:val="7D39DBD7"/>
    <w:rsid w:val="7D3ECBEF"/>
    <w:rsid w:val="7D6B0DE0"/>
    <w:rsid w:val="7D79E609"/>
    <w:rsid w:val="7D7D5ADF"/>
    <w:rsid w:val="7D7ED59A"/>
    <w:rsid w:val="7D7F5A14"/>
    <w:rsid w:val="7D7F7976"/>
    <w:rsid w:val="7D9E9B28"/>
    <w:rsid w:val="7DB6051C"/>
    <w:rsid w:val="7DB72A1A"/>
    <w:rsid w:val="7DB7CACE"/>
    <w:rsid w:val="7DD5022C"/>
    <w:rsid w:val="7DD772CF"/>
    <w:rsid w:val="7DDA4D65"/>
    <w:rsid w:val="7DDC84A5"/>
    <w:rsid w:val="7DDF7573"/>
    <w:rsid w:val="7DE0E7A6"/>
    <w:rsid w:val="7DE70BDC"/>
    <w:rsid w:val="7DF47DD2"/>
    <w:rsid w:val="7DF6ECE3"/>
    <w:rsid w:val="7DF7D680"/>
    <w:rsid w:val="7DFB48CB"/>
    <w:rsid w:val="7DFBC980"/>
    <w:rsid w:val="7DFD0A54"/>
    <w:rsid w:val="7DFF285D"/>
    <w:rsid w:val="7DFF4477"/>
    <w:rsid w:val="7DFF5A7D"/>
    <w:rsid w:val="7DFFE6F2"/>
    <w:rsid w:val="7DFFF31E"/>
    <w:rsid w:val="7E13404A"/>
    <w:rsid w:val="7E3F4884"/>
    <w:rsid w:val="7E795AF6"/>
    <w:rsid w:val="7E7EAC7F"/>
    <w:rsid w:val="7E9D215E"/>
    <w:rsid w:val="7EA12852"/>
    <w:rsid w:val="7EADF99A"/>
    <w:rsid w:val="7EAF44E1"/>
    <w:rsid w:val="7EB4AF41"/>
    <w:rsid w:val="7EBEDDE7"/>
    <w:rsid w:val="7EBFA8CF"/>
    <w:rsid w:val="7EC37BD9"/>
    <w:rsid w:val="7ED7B6D4"/>
    <w:rsid w:val="7EDF67BE"/>
    <w:rsid w:val="7EDF9F1E"/>
    <w:rsid w:val="7EE7FCC5"/>
    <w:rsid w:val="7EE9D8BC"/>
    <w:rsid w:val="7EEDC783"/>
    <w:rsid w:val="7EEE578B"/>
    <w:rsid w:val="7EEF8D9B"/>
    <w:rsid w:val="7EF750FD"/>
    <w:rsid w:val="7EF7632F"/>
    <w:rsid w:val="7EFB30B0"/>
    <w:rsid w:val="7EFD1D95"/>
    <w:rsid w:val="7EFE1696"/>
    <w:rsid w:val="7EFE199A"/>
    <w:rsid w:val="7EFED8DD"/>
    <w:rsid w:val="7EFF6B75"/>
    <w:rsid w:val="7EFFB257"/>
    <w:rsid w:val="7EFFEEB8"/>
    <w:rsid w:val="7EFFFE6A"/>
    <w:rsid w:val="7EFFFF66"/>
    <w:rsid w:val="7F1746D6"/>
    <w:rsid w:val="7F1FF206"/>
    <w:rsid w:val="7F396FB2"/>
    <w:rsid w:val="7F3CC7EE"/>
    <w:rsid w:val="7F3F8567"/>
    <w:rsid w:val="7F5611C6"/>
    <w:rsid w:val="7F59707C"/>
    <w:rsid w:val="7F5DE83D"/>
    <w:rsid w:val="7F5F00C8"/>
    <w:rsid w:val="7F678460"/>
    <w:rsid w:val="7F6B00DA"/>
    <w:rsid w:val="7F6D006B"/>
    <w:rsid w:val="7F6F5250"/>
    <w:rsid w:val="7F76739C"/>
    <w:rsid w:val="7F782D81"/>
    <w:rsid w:val="7F79E152"/>
    <w:rsid w:val="7F7AFA2B"/>
    <w:rsid w:val="7F7D6665"/>
    <w:rsid w:val="7F7E492B"/>
    <w:rsid w:val="7F7F28EE"/>
    <w:rsid w:val="7F7F5C74"/>
    <w:rsid w:val="7F7F5CA6"/>
    <w:rsid w:val="7F7F838A"/>
    <w:rsid w:val="7F7FC43F"/>
    <w:rsid w:val="7F957199"/>
    <w:rsid w:val="7F97F4BC"/>
    <w:rsid w:val="7F9ABAA4"/>
    <w:rsid w:val="7F9AD0C0"/>
    <w:rsid w:val="7F9DBD85"/>
    <w:rsid w:val="7F9DFE17"/>
    <w:rsid w:val="7F9EB4AF"/>
    <w:rsid w:val="7FAF0525"/>
    <w:rsid w:val="7FAF2A25"/>
    <w:rsid w:val="7FAF559F"/>
    <w:rsid w:val="7FAF829F"/>
    <w:rsid w:val="7FB56CD6"/>
    <w:rsid w:val="7FB72EE3"/>
    <w:rsid w:val="7FB73022"/>
    <w:rsid w:val="7FB9925F"/>
    <w:rsid w:val="7FBCDD02"/>
    <w:rsid w:val="7FBDC176"/>
    <w:rsid w:val="7FBE2B29"/>
    <w:rsid w:val="7FBE5996"/>
    <w:rsid w:val="7FBFBA27"/>
    <w:rsid w:val="7FBFE8F0"/>
    <w:rsid w:val="7FC77127"/>
    <w:rsid w:val="7FC850B4"/>
    <w:rsid w:val="7FCB306D"/>
    <w:rsid w:val="7FCFACE9"/>
    <w:rsid w:val="7FCFB3E8"/>
    <w:rsid w:val="7FD456F0"/>
    <w:rsid w:val="7FD4D513"/>
    <w:rsid w:val="7FDB0CFA"/>
    <w:rsid w:val="7FDB664B"/>
    <w:rsid w:val="7FDBC939"/>
    <w:rsid w:val="7FDBF0CD"/>
    <w:rsid w:val="7FDC4587"/>
    <w:rsid w:val="7FDDE349"/>
    <w:rsid w:val="7FDE8247"/>
    <w:rsid w:val="7FDED7BC"/>
    <w:rsid w:val="7FDEDC29"/>
    <w:rsid w:val="7FDEECED"/>
    <w:rsid w:val="7FDF3774"/>
    <w:rsid w:val="7FDFE006"/>
    <w:rsid w:val="7FE7C254"/>
    <w:rsid w:val="7FECCFF9"/>
    <w:rsid w:val="7FEF3853"/>
    <w:rsid w:val="7FEF5124"/>
    <w:rsid w:val="7FEF51E6"/>
    <w:rsid w:val="7FEF9C88"/>
    <w:rsid w:val="7FEFAAD3"/>
    <w:rsid w:val="7FEFE1AD"/>
    <w:rsid w:val="7FF262E1"/>
    <w:rsid w:val="7FF3027F"/>
    <w:rsid w:val="7FF32384"/>
    <w:rsid w:val="7FF40593"/>
    <w:rsid w:val="7FF55303"/>
    <w:rsid w:val="7FF5A47B"/>
    <w:rsid w:val="7FF716DF"/>
    <w:rsid w:val="7FF7F7CA"/>
    <w:rsid w:val="7FF9D71E"/>
    <w:rsid w:val="7FFA1AB1"/>
    <w:rsid w:val="7FFAF652"/>
    <w:rsid w:val="7FFBC7F4"/>
    <w:rsid w:val="7FFC0FA6"/>
    <w:rsid w:val="7FFDA79F"/>
    <w:rsid w:val="7FFDFDBA"/>
    <w:rsid w:val="7FFE2FD0"/>
    <w:rsid w:val="7FFE3BA6"/>
    <w:rsid w:val="7FFE5C93"/>
    <w:rsid w:val="7FFE7685"/>
    <w:rsid w:val="7FFE8098"/>
    <w:rsid w:val="7FFED64E"/>
    <w:rsid w:val="7FFF0A34"/>
    <w:rsid w:val="7FFF114C"/>
    <w:rsid w:val="7FFF1C72"/>
    <w:rsid w:val="7FFF2F8F"/>
    <w:rsid w:val="7FFF4A97"/>
    <w:rsid w:val="7FFF4FD5"/>
    <w:rsid w:val="7FFF98D9"/>
    <w:rsid w:val="7FFFA279"/>
    <w:rsid w:val="7FFFAA75"/>
    <w:rsid w:val="7FFFCD0A"/>
    <w:rsid w:val="7FFFD075"/>
    <w:rsid w:val="7FFFE40A"/>
    <w:rsid w:val="7FFFE5EA"/>
    <w:rsid w:val="7FFFE66F"/>
    <w:rsid w:val="7FFFF11D"/>
    <w:rsid w:val="7FFFF81A"/>
    <w:rsid w:val="89FBD34B"/>
    <w:rsid w:val="8AD720EC"/>
    <w:rsid w:val="8CFB2016"/>
    <w:rsid w:val="8D6A450B"/>
    <w:rsid w:val="8DB794A7"/>
    <w:rsid w:val="8EFF7DDC"/>
    <w:rsid w:val="8F7D637D"/>
    <w:rsid w:val="8FAB78F7"/>
    <w:rsid w:val="8FD391F1"/>
    <w:rsid w:val="8FD7B1AB"/>
    <w:rsid w:val="8FEFE3E4"/>
    <w:rsid w:val="8FFFA90F"/>
    <w:rsid w:val="93A053AC"/>
    <w:rsid w:val="93FEE277"/>
    <w:rsid w:val="955F16E5"/>
    <w:rsid w:val="967222BB"/>
    <w:rsid w:val="969754F7"/>
    <w:rsid w:val="96FFE86F"/>
    <w:rsid w:val="971E6F76"/>
    <w:rsid w:val="97562F37"/>
    <w:rsid w:val="99B79B93"/>
    <w:rsid w:val="99FA5E9A"/>
    <w:rsid w:val="9A5A2FD6"/>
    <w:rsid w:val="9ABF80B9"/>
    <w:rsid w:val="9BC797A7"/>
    <w:rsid w:val="9D755B3C"/>
    <w:rsid w:val="9E974BB8"/>
    <w:rsid w:val="9EBF653F"/>
    <w:rsid w:val="9EDF9505"/>
    <w:rsid w:val="9F1C6A1A"/>
    <w:rsid w:val="9F2E071A"/>
    <w:rsid w:val="9F322AB8"/>
    <w:rsid w:val="9FABD99A"/>
    <w:rsid w:val="9FBFE6CD"/>
    <w:rsid w:val="9FCF2692"/>
    <w:rsid w:val="9FE700F9"/>
    <w:rsid w:val="9FF5D887"/>
    <w:rsid w:val="9FF5DB79"/>
    <w:rsid w:val="9FF62D1D"/>
    <w:rsid w:val="9FF70514"/>
    <w:rsid w:val="9FFCEDF7"/>
    <w:rsid w:val="9FFD8892"/>
    <w:rsid w:val="9FFE8298"/>
    <w:rsid w:val="A11FB69C"/>
    <w:rsid w:val="A3DFC7B1"/>
    <w:rsid w:val="A73FCEF8"/>
    <w:rsid w:val="A77E396D"/>
    <w:rsid w:val="A7816022"/>
    <w:rsid w:val="A7BFF279"/>
    <w:rsid w:val="A9F7881F"/>
    <w:rsid w:val="AB7F21FE"/>
    <w:rsid w:val="ABD5D8EC"/>
    <w:rsid w:val="ABDD9E4F"/>
    <w:rsid w:val="ACE78AB0"/>
    <w:rsid w:val="AD753CA4"/>
    <w:rsid w:val="AD7FC138"/>
    <w:rsid w:val="ADC74A3C"/>
    <w:rsid w:val="ADDFA325"/>
    <w:rsid w:val="ADDFEAB9"/>
    <w:rsid w:val="AE3A0C63"/>
    <w:rsid w:val="AE9FEF41"/>
    <w:rsid w:val="AEFFBD83"/>
    <w:rsid w:val="AF49F84B"/>
    <w:rsid w:val="AF659DF6"/>
    <w:rsid w:val="AF7B4BF4"/>
    <w:rsid w:val="AFBBFBEC"/>
    <w:rsid w:val="AFBD4E5B"/>
    <w:rsid w:val="AFBF4ED8"/>
    <w:rsid w:val="AFDFE4EF"/>
    <w:rsid w:val="AFEF9D66"/>
    <w:rsid w:val="AFFF7F06"/>
    <w:rsid w:val="B1F86278"/>
    <w:rsid w:val="B1FFF777"/>
    <w:rsid w:val="B23EB2ED"/>
    <w:rsid w:val="B2BF84B5"/>
    <w:rsid w:val="B4FED90A"/>
    <w:rsid w:val="B56FFDA6"/>
    <w:rsid w:val="B5AFDB52"/>
    <w:rsid w:val="B5FB493A"/>
    <w:rsid w:val="B6B7B786"/>
    <w:rsid w:val="B6D9AFB3"/>
    <w:rsid w:val="B6EF68E8"/>
    <w:rsid w:val="B6FB905E"/>
    <w:rsid w:val="B6FF5871"/>
    <w:rsid w:val="B73DA5A7"/>
    <w:rsid w:val="B774ED88"/>
    <w:rsid w:val="B775922B"/>
    <w:rsid w:val="B77A2AC7"/>
    <w:rsid w:val="B77FB909"/>
    <w:rsid w:val="B7CDDB55"/>
    <w:rsid w:val="B7EACC42"/>
    <w:rsid w:val="B7F3DC8F"/>
    <w:rsid w:val="B7F5F1FA"/>
    <w:rsid w:val="B7F7944E"/>
    <w:rsid w:val="B7FBED3D"/>
    <w:rsid w:val="B7FDA689"/>
    <w:rsid w:val="B8BF00A5"/>
    <w:rsid w:val="B95F2488"/>
    <w:rsid w:val="B9BEAEF1"/>
    <w:rsid w:val="B9BFC1EA"/>
    <w:rsid w:val="BA5CC8B1"/>
    <w:rsid w:val="BA9E0C64"/>
    <w:rsid w:val="BAAFBA4F"/>
    <w:rsid w:val="BABF65A4"/>
    <w:rsid w:val="BADB134A"/>
    <w:rsid w:val="BAFBE954"/>
    <w:rsid w:val="BB3D9C3F"/>
    <w:rsid w:val="BB6D88CC"/>
    <w:rsid w:val="BB78908D"/>
    <w:rsid w:val="BB79019F"/>
    <w:rsid w:val="BBB4BC23"/>
    <w:rsid w:val="BBB52F5F"/>
    <w:rsid w:val="BBB660E8"/>
    <w:rsid w:val="BBBFA3E4"/>
    <w:rsid w:val="BBC79F48"/>
    <w:rsid w:val="BBF77FC4"/>
    <w:rsid w:val="BBFDAF42"/>
    <w:rsid w:val="BBFE3E5A"/>
    <w:rsid w:val="BBFF4B3A"/>
    <w:rsid w:val="BBFF4F28"/>
    <w:rsid w:val="BC7C39E9"/>
    <w:rsid w:val="BCDCF9BB"/>
    <w:rsid w:val="BD4DD23F"/>
    <w:rsid w:val="BD677BF6"/>
    <w:rsid w:val="BD7AA673"/>
    <w:rsid w:val="BD7EB562"/>
    <w:rsid w:val="BDAB9D6B"/>
    <w:rsid w:val="BDBD893F"/>
    <w:rsid w:val="BDBF02CE"/>
    <w:rsid w:val="BDBF9C13"/>
    <w:rsid w:val="BDDD4BB9"/>
    <w:rsid w:val="BDDF91A8"/>
    <w:rsid w:val="BDE71383"/>
    <w:rsid w:val="BDF72331"/>
    <w:rsid w:val="BDFB37E1"/>
    <w:rsid w:val="BDFD079C"/>
    <w:rsid w:val="BDFD13EE"/>
    <w:rsid w:val="BDFE1652"/>
    <w:rsid w:val="BDFE2BDC"/>
    <w:rsid w:val="BDFF3E85"/>
    <w:rsid w:val="BE375F31"/>
    <w:rsid w:val="BE5F10A7"/>
    <w:rsid w:val="BE7F7F8A"/>
    <w:rsid w:val="BEBB832C"/>
    <w:rsid w:val="BEBEECBF"/>
    <w:rsid w:val="BEDF52EE"/>
    <w:rsid w:val="BEDFEB82"/>
    <w:rsid w:val="BEFD8606"/>
    <w:rsid w:val="BEFFFB33"/>
    <w:rsid w:val="BF1F50FE"/>
    <w:rsid w:val="BF4F51AE"/>
    <w:rsid w:val="BF73A880"/>
    <w:rsid w:val="BF7B0920"/>
    <w:rsid w:val="BF7D44F1"/>
    <w:rsid w:val="BF7FF080"/>
    <w:rsid w:val="BF96DB1D"/>
    <w:rsid w:val="BFAF65E9"/>
    <w:rsid w:val="BFB3E845"/>
    <w:rsid w:val="BFCE60D4"/>
    <w:rsid w:val="BFCFAE3B"/>
    <w:rsid w:val="BFDFF592"/>
    <w:rsid w:val="BFEE8775"/>
    <w:rsid w:val="BFEF3B4B"/>
    <w:rsid w:val="BFEF6750"/>
    <w:rsid w:val="BFF2891E"/>
    <w:rsid w:val="BFF5056B"/>
    <w:rsid w:val="BFF68649"/>
    <w:rsid w:val="BFF6F54E"/>
    <w:rsid w:val="BFF72D6C"/>
    <w:rsid w:val="BFF78AE1"/>
    <w:rsid w:val="BFF7C4FC"/>
    <w:rsid w:val="BFFB0B89"/>
    <w:rsid w:val="BFFBB3DB"/>
    <w:rsid w:val="BFFBEA41"/>
    <w:rsid w:val="BFFF0E9B"/>
    <w:rsid w:val="BFFFB2D9"/>
    <w:rsid w:val="C3FC5C82"/>
    <w:rsid w:val="C3FF1417"/>
    <w:rsid w:val="C5F7EAE2"/>
    <w:rsid w:val="C77E3392"/>
    <w:rsid w:val="C7E7F316"/>
    <w:rsid w:val="C9D7AEB7"/>
    <w:rsid w:val="CABD7105"/>
    <w:rsid w:val="CBBB5A6A"/>
    <w:rsid w:val="CBDB46A6"/>
    <w:rsid w:val="CBDE1AE0"/>
    <w:rsid w:val="CBDEA534"/>
    <w:rsid w:val="CBE74A45"/>
    <w:rsid w:val="CBFD039B"/>
    <w:rsid w:val="CD37D963"/>
    <w:rsid w:val="CDF6A22B"/>
    <w:rsid w:val="CE772D11"/>
    <w:rsid w:val="CE7E7218"/>
    <w:rsid w:val="CEBF51A2"/>
    <w:rsid w:val="CEDBCBF5"/>
    <w:rsid w:val="CEFF017D"/>
    <w:rsid w:val="CEFFED6A"/>
    <w:rsid w:val="CF0F4682"/>
    <w:rsid w:val="CF376E5D"/>
    <w:rsid w:val="CF5CF7B8"/>
    <w:rsid w:val="CF6F9CA0"/>
    <w:rsid w:val="CFB339D8"/>
    <w:rsid w:val="CFB39646"/>
    <w:rsid w:val="CFBF7A83"/>
    <w:rsid w:val="CFBF99ED"/>
    <w:rsid w:val="CFEFB425"/>
    <w:rsid w:val="CFF4BF10"/>
    <w:rsid w:val="CFF69442"/>
    <w:rsid w:val="CFF81B2C"/>
    <w:rsid w:val="CFF91C59"/>
    <w:rsid w:val="CFFA03CF"/>
    <w:rsid w:val="CFFFAF20"/>
    <w:rsid w:val="D09BDDCE"/>
    <w:rsid w:val="D0E5EBCA"/>
    <w:rsid w:val="D1EF2A27"/>
    <w:rsid w:val="D2FCC6D8"/>
    <w:rsid w:val="D36F181E"/>
    <w:rsid w:val="D3D9B85E"/>
    <w:rsid w:val="D46F09A1"/>
    <w:rsid w:val="D4B906B8"/>
    <w:rsid w:val="D4CF506F"/>
    <w:rsid w:val="D5B755B1"/>
    <w:rsid w:val="D5FFAC84"/>
    <w:rsid w:val="D67F5D99"/>
    <w:rsid w:val="D67F9D34"/>
    <w:rsid w:val="D6DD306B"/>
    <w:rsid w:val="D6FD3ADF"/>
    <w:rsid w:val="D74C6CEB"/>
    <w:rsid w:val="D783A4F5"/>
    <w:rsid w:val="D78D2A37"/>
    <w:rsid w:val="D7A5A54C"/>
    <w:rsid w:val="D7B95995"/>
    <w:rsid w:val="D7CFB2A9"/>
    <w:rsid w:val="D7D45090"/>
    <w:rsid w:val="D7DEB040"/>
    <w:rsid w:val="D7E20A6C"/>
    <w:rsid w:val="D7F53460"/>
    <w:rsid w:val="D7FFAB5C"/>
    <w:rsid w:val="D8FBA157"/>
    <w:rsid w:val="D9454EDB"/>
    <w:rsid w:val="D95F2679"/>
    <w:rsid w:val="DA8AA345"/>
    <w:rsid w:val="DABB7E86"/>
    <w:rsid w:val="DAEFD232"/>
    <w:rsid w:val="DAF7E4C4"/>
    <w:rsid w:val="DB710EBA"/>
    <w:rsid w:val="DB88C882"/>
    <w:rsid w:val="DB9F9EFE"/>
    <w:rsid w:val="DBB53786"/>
    <w:rsid w:val="DBB7B349"/>
    <w:rsid w:val="DBB927E5"/>
    <w:rsid w:val="DBBF06BF"/>
    <w:rsid w:val="DBE7CF88"/>
    <w:rsid w:val="DBF1D6DE"/>
    <w:rsid w:val="DBF9B78A"/>
    <w:rsid w:val="DBFAA684"/>
    <w:rsid w:val="DBFF122E"/>
    <w:rsid w:val="DCF74DCE"/>
    <w:rsid w:val="DCFFCDFA"/>
    <w:rsid w:val="DD19641F"/>
    <w:rsid w:val="DD6C524D"/>
    <w:rsid w:val="DDA747DE"/>
    <w:rsid w:val="DDAD7AFF"/>
    <w:rsid w:val="DDBF39F7"/>
    <w:rsid w:val="DDF3E507"/>
    <w:rsid w:val="DDF736F2"/>
    <w:rsid w:val="DDFDE2C3"/>
    <w:rsid w:val="DDFF5C38"/>
    <w:rsid w:val="DDFFC065"/>
    <w:rsid w:val="DDFFCE5A"/>
    <w:rsid w:val="DE7F3C07"/>
    <w:rsid w:val="DE9FBDAA"/>
    <w:rsid w:val="DECB6E64"/>
    <w:rsid w:val="DED91B0C"/>
    <w:rsid w:val="DEDBFDBC"/>
    <w:rsid w:val="DEDF9828"/>
    <w:rsid w:val="DEDFEE6F"/>
    <w:rsid w:val="DEF782CB"/>
    <w:rsid w:val="DEFF6B62"/>
    <w:rsid w:val="DEFFB057"/>
    <w:rsid w:val="DF3F2B16"/>
    <w:rsid w:val="DF3F7487"/>
    <w:rsid w:val="DF6322FC"/>
    <w:rsid w:val="DF6F8675"/>
    <w:rsid w:val="DF75CD1F"/>
    <w:rsid w:val="DF7718C9"/>
    <w:rsid w:val="DF772241"/>
    <w:rsid w:val="DF7D25B7"/>
    <w:rsid w:val="DF7DB990"/>
    <w:rsid w:val="DF7F5F8C"/>
    <w:rsid w:val="DF8FB6D2"/>
    <w:rsid w:val="DF9F6CB2"/>
    <w:rsid w:val="DFAACA69"/>
    <w:rsid w:val="DFB5104A"/>
    <w:rsid w:val="DFB7D720"/>
    <w:rsid w:val="DFB8AF48"/>
    <w:rsid w:val="DFBEEE29"/>
    <w:rsid w:val="DFBF1EF7"/>
    <w:rsid w:val="DFBF71C6"/>
    <w:rsid w:val="DFBFE7D4"/>
    <w:rsid w:val="DFDB990E"/>
    <w:rsid w:val="DFDF21B8"/>
    <w:rsid w:val="DFE7023D"/>
    <w:rsid w:val="DFE969E8"/>
    <w:rsid w:val="DFE9D5EB"/>
    <w:rsid w:val="DFEF44A4"/>
    <w:rsid w:val="DFF33B6E"/>
    <w:rsid w:val="DFF3F4B7"/>
    <w:rsid w:val="DFF600BB"/>
    <w:rsid w:val="DFF7C5BD"/>
    <w:rsid w:val="DFFAAA97"/>
    <w:rsid w:val="DFFE9D90"/>
    <w:rsid w:val="DFFEA3E4"/>
    <w:rsid w:val="E3A3BD69"/>
    <w:rsid w:val="E3FFAB50"/>
    <w:rsid w:val="E4BF0488"/>
    <w:rsid w:val="E5DB8E54"/>
    <w:rsid w:val="E5FA7079"/>
    <w:rsid w:val="E5FC7D3C"/>
    <w:rsid w:val="E63FE580"/>
    <w:rsid w:val="E67BB2A8"/>
    <w:rsid w:val="E67FD84B"/>
    <w:rsid w:val="E6DAA86F"/>
    <w:rsid w:val="E6DD41BF"/>
    <w:rsid w:val="E6FF1917"/>
    <w:rsid w:val="E73B9119"/>
    <w:rsid w:val="E7773F0A"/>
    <w:rsid w:val="E77DC6F9"/>
    <w:rsid w:val="E7E1010B"/>
    <w:rsid w:val="E7F7773A"/>
    <w:rsid w:val="E7FC4D37"/>
    <w:rsid w:val="E7FD57D1"/>
    <w:rsid w:val="E7FFCC5B"/>
    <w:rsid w:val="E8AF8207"/>
    <w:rsid w:val="E8FF5C9E"/>
    <w:rsid w:val="E8FF6EB2"/>
    <w:rsid w:val="E96828B0"/>
    <w:rsid w:val="E98FACB8"/>
    <w:rsid w:val="E9DF7F50"/>
    <w:rsid w:val="EAD3C0F4"/>
    <w:rsid w:val="EB7EC699"/>
    <w:rsid w:val="EB91B0C2"/>
    <w:rsid w:val="EBBD0F90"/>
    <w:rsid w:val="EBBF634E"/>
    <w:rsid w:val="EBCAED21"/>
    <w:rsid w:val="EBDFE13D"/>
    <w:rsid w:val="EBF841C5"/>
    <w:rsid w:val="ECAC6CE3"/>
    <w:rsid w:val="ECF58E2B"/>
    <w:rsid w:val="ED69DF79"/>
    <w:rsid w:val="ED77690C"/>
    <w:rsid w:val="EDE77BC2"/>
    <w:rsid w:val="EDF8584A"/>
    <w:rsid w:val="EE4E8645"/>
    <w:rsid w:val="EE6D7D0E"/>
    <w:rsid w:val="EE6ECC61"/>
    <w:rsid w:val="EEAB58B8"/>
    <w:rsid w:val="EEDC360A"/>
    <w:rsid w:val="EEE3E1CD"/>
    <w:rsid w:val="EEED93A7"/>
    <w:rsid w:val="EEEE684F"/>
    <w:rsid w:val="EF3F01CF"/>
    <w:rsid w:val="EF3F07CE"/>
    <w:rsid w:val="EF4BE507"/>
    <w:rsid w:val="EF6E7AB5"/>
    <w:rsid w:val="EF734BB8"/>
    <w:rsid w:val="EF76F9D1"/>
    <w:rsid w:val="EF771251"/>
    <w:rsid w:val="EF7A1C86"/>
    <w:rsid w:val="EF7E3168"/>
    <w:rsid w:val="EFBAFC36"/>
    <w:rsid w:val="EFBFEA3A"/>
    <w:rsid w:val="EFD5D7FF"/>
    <w:rsid w:val="EFD780F8"/>
    <w:rsid w:val="EFDBAF02"/>
    <w:rsid w:val="EFDF072F"/>
    <w:rsid w:val="EFDFF3F9"/>
    <w:rsid w:val="EFE5F4D8"/>
    <w:rsid w:val="EFE63C54"/>
    <w:rsid w:val="EFED2E49"/>
    <w:rsid w:val="EFED5671"/>
    <w:rsid w:val="EFEFBECF"/>
    <w:rsid w:val="EFEFFD73"/>
    <w:rsid w:val="EFF37DA9"/>
    <w:rsid w:val="EFF9C1C9"/>
    <w:rsid w:val="EFFA2DC4"/>
    <w:rsid w:val="EFFB70AF"/>
    <w:rsid w:val="EFFC63D8"/>
    <w:rsid w:val="EFFCA633"/>
    <w:rsid w:val="EFFD1921"/>
    <w:rsid w:val="EFFE41B4"/>
    <w:rsid w:val="EFFE9149"/>
    <w:rsid w:val="EFFEA346"/>
    <w:rsid w:val="EFFF098C"/>
    <w:rsid w:val="EFFF1A36"/>
    <w:rsid w:val="EFFF3A73"/>
    <w:rsid w:val="EFFF8DAF"/>
    <w:rsid w:val="EFFFD7D5"/>
    <w:rsid w:val="EFFFD9C5"/>
    <w:rsid w:val="EFFFE2A0"/>
    <w:rsid w:val="EFFFE507"/>
    <w:rsid w:val="F035E8D6"/>
    <w:rsid w:val="F0FF08C7"/>
    <w:rsid w:val="F14B4313"/>
    <w:rsid w:val="F19B03F2"/>
    <w:rsid w:val="F1FD5920"/>
    <w:rsid w:val="F20DB81D"/>
    <w:rsid w:val="F2661314"/>
    <w:rsid w:val="F3BD450A"/>
    <w:rsid w:val="F3BF2AB3"/>
    <w:rsid w:val="F3BF7372"/>
    <w:rsid w:val="F3D717E1"/>
    <w:rsid w:val="F3EB5E0E"/>
    <w:rsid w:val="F3EB7BC4"/>
    <w:rsid w:val="F3FBA523"/>
    <w:rsid w:val="F3FE58CD"/>
    <w:rsid w:val="F3FF2287"/>
    <w:rsid w:val="F3FFD046"/>
    <w:rsid w:val="F4AF27F6"/>
    <w:rsid w:val="F4DF8E75"/>
    <w:rsid w:val="F4EAED22"/>
    <w:rsid w:val="F54AC658"/>
    <w:rsid w:val="F57F4507"/>
    <w:rsid w:val="F57F70CE"/>
    <w:rsid w:val="F5BDF13D"/>
    <w:rsid w:val="F5BF4A39"/>
    <w:rsid w:val="F5BFE4B7"/>
    <w:rsid w:val="F5DEA65D"/>
    <w:rsid w:val="F5EF2DED"/>
    <w:rsid w:val="F5F60E5A"/>
    <w:rsid w:val="F5F6A353"/>
    <w:rsid w:val="F5F99397"/>
    <w:rsid w:val="F5FD7D59"/>
    <w:rsid w:val="F5FF2627"/>
    <w:rsid w:val="F5FF380D"/>
    <w:rsid w:val="F5FF8982"/>
    <w:rsid w:val="F5FFDDAB"/>
    <w:rsid w:val="F63BB723"/>
    <w:rsid w:val="F63F1BA5"/>
    <w:rsid w:val="F677FC1A"/>
    <w:rsid w:val="F67F53AD"/>
    <w:rsid w:val="F67F93C2"/>
    <w:rsid w:val="F6A3297B"/>
    <w:rsid w:val="F6B6525C"/>
    <w:rsid w:val="F6B7628B"/>
    <w:rsid w:val="F6C761E8"/>
    <w:rsid w:val="F6D71FA2"/>
    <w:rsid w:val="F6DF6350"/>
    <w:rsid w:val="F6F15A55"/>
    <w:rsid w:val="F6FB25FB"/>
    <w:rsid w:val="F6FDF0B5"/>
    <w:rsid w:val="F6FFDC10"/>
    <w:rsid w:val="F6FFE47B"/>
    <w:rsid w:val="F6FFF486"/>
    <w:rsid w:val="F70BC479"/>
    <w:rsid w:val="F73CCBD9"/>
    <w:rsid w:val="F74DE368"/>
    <w:rsid w:val="F75BCBAE"/>
    <w:rsid w:val="F76F4279"/>
    <w:rsid w:val="F777B796"/>
    <w:rsid w:val="F77E09E9"/>
    <w:rsid w:val="F77FD730"/>
    <w:rsid w:val="F78B4DD6"/>
    <w:rsid w:val="F797BA00"/>
    <w:rsid w:val="F7A75565"/>
    <w:rsid w:val="F7BD0EFC"/>
    <w:rsid w:val="F7BE88C0"/>
    <w:rsid w:val="F7D2FA43"/>
    <w:rsid w:val="F7D723BC"/>
    <w:rsid w:val="F7DA2E57"/>
    <w:rsid w:val="F7DBF801"/>
    <w:rsid w:val="F7E63A4F"/>
    <w:rsid w:val="F7F3001E"/>
    <w:rsid w:val="F7F662B6"/>
    <w:rsid w:val="F7F69148"/>
    <w:rsid w:val="F7FB1A0E"/>
    <w:rsid w:val="F7FBA852"/>
    <w:rsid w:val="F7FD15D0"/>
    <w:rsid w:val="F7FE25BB"/>
    <w:rsid w:val="F7FED9A1"/>
    <w:rsid w:val="F7FFA3E9"/>
    <w:rsid w:val="F8DFA92B"/>
    <w:rsid w:val="F8FFA40A"/>
    <w:rsid w:val="F95FEB26"/>
    <w:rsid w:val="F9778C90"/>
    <w:rsid w:val="F977A1E4"/>
    <w:rsid w:val="F97FB60F"/>
    <w:rsid w:val="F9ADF5E9"/>
    <w:rsid w:val="F9AF0DD2"/>
    <w:rsid w:val="F9BFC97D"/>
    <w:rsid w:val="F9CEDE97"/>
    <w:rsid w:val="F9CFD14C"/>
    <w:rsid w:val="F9E6DA3F"/>
    <w:rsid w:val="F9F7BCC2"/>
    <w:rsid w:val="F9FB1D5C"/>
    <w:rsid w:val="F9FDE910"/>
    <w:rsid w:val="FA30200F"/>
    <w:rsid w:val="FA3F34D7"/>
    <w:rsid w:val="FA3F6E35"/>
    <w:rsid w:val="FA534436"/>
    <w:rsid w:val="FA6753F5"/>
    <w:rsid w:val="FA715F2D"/>
    <w:rsid w:val="FA7F8CC3"/>
    <w:rsid w:val="FA95C552"/>
    <w:rsid w:val="FAAFD189"/>
    <w:rsid w:val="FADC0025"/>
    <w:rsid w:val="FAF7B52D"/>
    <w:rsid w:val="FB256C37"/>
    <w:rsid w:val="FB3E806A"/>
    <w:rsid w:val="FB5F2DC2"/>
    <w:rsid w:val="FB5FA49A"/>
    <w:rsid w:val="FB75ABF7"/>
    <w:rsid w:val="FB7A1377"/>
    <w:rsid w:val="FB7EB0C2"/>
    <w:rsid w:val="FB7F03B2"/>
    <w:rsid w:val="FB7F3E63"/>
    <w:rsid w:val="FB7F909B"/>
    <w:rsid w:val="FB7F9A8A"/>
    <w:rsid w:val="FB7FE516"/>
    <w:rsid w:val="FBA72D09"/>
    <w:rsid w:val="FBABEA4E"/>
    <w:rsid w:val="FBAD9FC2"/>
    <w:rsid w:val="FBAEA876"/>
    <w:rsid w:val="FBB951F9"/>
    <w:rsid w:val="FBBB272D"/>
    <w:rsid w:val="FBC1113A"/>
    <w:rsid w:val="FBC98C97"/>
    <w:rsid w:val="FBCC360E"/>
    <w:rsid w:val="FBCFFEAD"/>
    <w:rsid w:val="FBD641B1"/>
    <w:rsid w:val="FBDCF5D2"/>
    <w:rsid w:val="FBEBA49F"/>
    <w:rsid w:val="FBEE1DC2"/>
    <w:rsid w:val="FBEF6120"/>
    <w:rsid w:val="FBF946B3"/>
    <w:rsid w:val="FBFAE749"/>
    <w:rsid w:val="FBFD5E6A"/>
    <w:rsid w:val="FBFDBFD1"/>
    <w:rsid w:val="FBFF9169"/>
    <w:rsid w:val="FBFF9AA0"/>
    <w:rsid w:val="FBFFB3A5"/>
    <w:rsid w:val="FC2F6433"/>
    <w:rsid w:val="FC2FDD07"/>
    <w:rsid w:val="FC3F3A69"/>
    <w:rsid w:val="FC7D1F6F"/>
    <w:rsid w:val="FC7D3C87"/>
    <w:rsid w:val="FC7F7CAA"/>
    <w:rsid w:val="FCDDA2CD"/>
    <w:rsid w:val="FCDEEC8A"/>
    <w:rsid w:val="FD3718A6"/>
    <w:rsid w:val="FD5F5ADF"/>
    <w:rsid w:val="FD5FE450"/>
    <w:rsid w:val="FD7F0593"/>
    <w:rsid w:val="FD7F4BFA"/>
    <w:rsid w:val="FD7F554E"/>
    <w:rsid w:val="FD94FACC"/>
    <w:rsid w:val="FD9D9DA6"/>
    <w:rsid w:val="FD9FD593"/>
    <w:rsid w:val="FDB1C623"/>
    <w:rsid w:val="FDB78EBB"/>
    <w:rsid w:val="FDBAC216"/>
    <w:rsid w:val="FDBCF303"/>
    <w:rsid w:val="FDBEDE9C"/>
    <w:rsid w:val="FDC2C052"/>
    <w:rsid w:val="FDCB9EAB"/>
    <w:rsid w:val="FDCBC6F4"/>
    <w:rsid w:val="FDCE7FFD"/>
    <w:rsid w:val="FDDD91A0"/>
    <w:rsid w:val="FDDE36C7"/>
    <w:rsid w:val="FDDF8A31"/>
    <w:rsid w:val="FDDFB6D9"/>
    <w:rsid w:val="FDEB043A"/>
    <w:rsid w:val="FDED3F46"/>
    <w:rsid w:val="FDEF138F"/>
    <w:rsid w:val="FDF5ECDC"/>
    <w:rsid w:val="FDF79355"/>
    <w:rsid w:val="FDFB63D8"/>
    <w:rsid w:val="FDFBAA14"/>
    <w:rsid w:val="FDFBE671"/>
    <w:rsid w:val="FDFC5B94"/>
    <w:rsid w:val="FDFD12EF"/>
    <w:rsid w:val="FDFD39F7"/>
    <w:rsid w:val="FDFD9EAB"/>
    <w:rsid w:val="FDFED070"/>
    <w:rsid w:val="FDFF8247"/>
    <w:rsid w:val="FE1F0E81"/>
    <w:rsid w:val="FE57C6B9"/>
    <w:rsid w:val="FE7317CC"/>
    <w:rsid w:val="FE7B56A8"/>
    <w:rsid w:val="FE7B8FB4"/>
    <w:rsid w:val="FE7F73AD"/>
    <w:rsid w:val="FE9EAB3C"/>
    <w:rsid w:val="FEA720E9"/>
    <w:rsid w:val="FEADBFCB"/>
    <w:rsid w:val="FEAFEABC"/>
    <w:rsid w:val="FEB71961"/>
    <w:rsid w:val="FEBADCC6"/>
    <w:rsid w:val="FEBB5DD1"/>
    <w:rsid w:val="FEBF4262"/>
    <w:rsid w:val="FEBF4B24"/>
    <w:rsid w:val="FECF9EF7"/>
    <w:rsid w:val="FEDD4049"/>
    <w:rsid w:val="FEDDF992"/>
    <w:rsid w:val="FEE708C2"/>
    <w:rsid w:val="FEE71083"/>
    <w:rsid w:val="FEE74781"/>
    <w:rsid w:val="FEEFA695"/>
    <w:rsid w:val="FEFA970C"/>
    <w:rsid w:val="FEFC1C00"/>
    <w:rsid w:val="FEFD4D19"/>
    <w:rsid w:val="FEFD91CB"/>
    <w:rsid w:val="FEFDA0D5"/>
    <w:rsid w:val="FEFF3CCC"/>
    <w:rsid w:val="FEFF9832"/>
    <w:rsid w:val="FEFFC1CA"/>
    <w:rsid w:val="FF1F8BDC"/>
    <w:rsid w:val="FF2B837E"/>
    <w:rsid w:val="FF33A7CB"/>
    <w:rsid w:val="FF37901F"/>
    <w:rsid w:val="FF3D1355"/>
    <w:rsid w:val="FF3E77BF"/>
    <w:rsid w:val="FF3F7412"/>
    <w:rsid w:val="FF3FCA73"/>
    <w:rsid w:val="FF596B33"/>
    <w:rsid w:val="FF5B545B"/>
    <w:rsid w:val="FF5C02B0"/>
    <w:rsid w:val="FF5F8C51"/>
    <w:rsid w:val="FF63FAE3"/>
    <w:rsid w:val="FF6514C6"/>
    <w:rsid w:val="FF658809"/>
    <w:rsid w:val="FF6D0E98"/>
    <w:rsid w:val="FF74608E"/>
    <w:rsid w:val="FF75D1C3"/>
    <w:rsid w:val="FF77695F"/>
    <w:rsid w:val="FF77EA91"/>
    <w:rsid w:val="FF7ADC60"/>
    <w:rsid w:val="FF7B62D2"/>
    <w:rsid w:val="FF7D3023"/>
    <w:rsid w:val="FF7E3593"/>
    <w:rsid w:val="FF7E3D7B"/>
    <w:rsid w:val="FF7FDC5A"/>
    <w:rsid w:val="FF971FB1"/>
    <w:rsid w:val="FF9DC9C2"/>
    <w:rsid w:val="FFAA9EAF"/>
    <w:rsid w:val="FFACD64B"/>
    <w:rsid w:val="FFAD39C5"/>
    <w:rsid w:val="FFB71061"/>
    <w:rsid w:val="FFB7F69A"/>
    <w:rsid w:val="FFB9ECF6"/>
    <w:rsid w:val="FFBAA68F"/>
    <w:rsid w:val="FFBADB33"/>
    <w:rsid w:val="FFBB4B0A"/>
    <w:rsid w:val="FFBD0501"/>
    <w:rsid w:val="FFBD880B"/>
    <w:rsid w:val="FFBF010E"/>
    <w:rsid w:val="FFBF036C"/>
    <w:rsid w:val="FFBF5FCC"/>
    <w:rsid w:val="FFBF99BF"/>
    <w:rsid w:val="FFBFB7E8"/>
    <w:rsid w:val="FFCE512F"/>
    <w:rsid w:val="FFCF1180"/>
    <w:rsid w:val="FFCF4F53"/>
    <w:rsid w:val="FFCF5589"/>
    <w:rsid w:val="FFD6B5CB"/>
    <w:rsid w:val="FFD78B77"/>
    <w:rsid w:val="FFDAEB68"/>
    <w:rsid w:val="FFDB4045"/>
    <w:rsid w:val="FFDBD791"/>
    <w:rsid w:val="FFDDB3CE"/>
    <w:rsid w:val="FFDDF1DA"/>
    <w:rsid w:val="FFDF84AF"/>
    <w:rsid w:val="FFDFE0DE"/>
    <w:rsid w:val="FFDFE849"/>
    <w:rsid w:val="FFE5F538"/>
    <w:rsid w:val="FFE62012"/>
    <w:rsid w:val="FFE719E8"/>
    <w:rsid w:val="FFE7492F"/>
    <w:rsid w:val="FFE86C5F"/>
    <w:rsid w:val="FFEA3F3F"/>
    <w:rsid w:val="FFED445F"/>
    <w:rsid w:val="FFED78AD"/>
    <w:rsid w:val="FFEE8522"/>
    <w:rsid w:val="FFEEA15A"/>
    <w:rsid w:val="FFEF3F07"/>
    <w:rsid w:val="FFF4018F"/>
    <w:rsid w:val="FFF525E4"/>
    <w:rsid w:val="FFF5D884"/>
    <w:rsid w:val="FFF609F6"/>
    <w:rsid w:val="FFF629CD"/>
    <w:rsid w:val="FFF67ED6"/>
    <w:rsid w:val="FFF73219"/>
    <w:rsid w:val="FFF74960"/>
    <w:rsid w:val="FFF7842B"/>
    <w:rsid w:val="FFF9526E"/>
    <w:rsid w:val="FFF9EEEA"/>
    <w:rsid w:val="FFF9F750"/>
    <w:rsid w:val="FFFB0EB2"/>
    <w:rsid w:val="FFFB68FA"/>
    <w:rsid w:val="FFFB6F9C"/>
    <w:rsid w:val="FFFBD794"/>
    <w:rsid w:val="FFFCC9B4"/>
    <w:rsid w:val="FFFCF24D"/>
    <w:rsid w:val="FFFD3237"/>
    <w:rsid w:val="FFFD45D5"/>
    <w:rsid w:val="FFFD84C4"/>
    <w:rsid w:val="FFFEB62C"/>
    <w:rsid w:val="FFFEFFE1"/>
    <w:rsid w:val="FFFF126B"/>
    <w:rsid w:val="FFFF3470"/>
    <w:rsid w:val="FFFF3994"/>
    <w:rsid w:val="FFFF54D3"/>
    <w:rsid w:val="FFFF57DC"/>
    <w:rsid w:val="FFFFA186"/>
    <w:rsid w:val="FFFFE50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semiHidden="0" w:name="annotation text"/>
    <w:lsdException w:qFormat="1"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Theme="minorEastAsia" w:cstheme="minorBidi"/>
      <w:kern w:val="2"/>
      <w:sz w:val="21"/>
      <w:szCs w:val="22"/>
      <w:lang w:val="en-US" w:eastAsia="zh-CN" w:bidi="ar-SA"/>
    </w:rPr>
  </w:style>
  <w:style w:type="paragraph" w:styleId="4">
    <w:name w:val="heading 1"/>
    <w:basedOn w:val="1"/>
    <w:next w:val="1"/>
    <w:link w:val="16"/>
    <w:qFormat/>
    <w:uiPriority w:val="0"/>
    <w:pPr>
      <w:keepNext/>
      <w:keepLines/>
      <w:spacing w:before="100" w:beforeAutospacing="1" w:after="100" w:afterAutospacing="1"/>
      <w:outlineLvl w:val="0"/>
    </w:pPr>
    <w:rPr>
      <w:rFonts w:eastAsia="仿宋"/>
      <w:b/>
      <w:bCs/>
      <w:kern w:val="44"/>
      <w:sz w:val="28"/>
      <w:szCs w:val="44"/>
    </w:rPr>
  </w:style>
  <w:style w:type="character" w:default="1" w:styleId="13">
    <w:name w:val="Default Paragraph Font"/>
    <w:semiHidden/>
    <w:unhideWhenUsed/>
    <w:qFormat/>
    <w:uiPriority w:val="1"/>
  </w:style>
  <w:style w:type="table" w:default="1" w:styleId="11">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3"/>
    <w:qFormat/>
    <w:uiPriority w:val="0"/>
    <w:pPr>
      <w:jc w:val="center"/>
    </w:pPr>
    <w:rPr>
      <w:rFonts w:eastAsia="黑体" w:cs="Times New Roman"/>
      <w:sz w:val="36"/>
      <w:szCs w:val="36"/>
    </w:rPr>
  </w:style>
  <w:style w:type="paragraph" w:styleId="3">
    <w:name w:val="Title"/>
    <w:basedOn w:val="1"/>
    <w:next w:val="1"/>
    <w:qFormat/>
    <w:uiPriority w:val="0"/>
    <w:pPr>
      <w:spacing w:before="240" w:after="60"/>
      <w:jc w:val="center"/>
      <w:textAlignment w:val="baseline"/>
    </w:pPr>
    <w:rPr>
      <w:rFonts w:ascii="Cambria" w:hAnsi="Cambria"/>
      <w:b/>
      <w:bCs/>
      <w:sz w:val="32"/>
      <w:szCs w:val="32"/>
    </w:rPr>
  </w:style>
  <w:style w:type="paragraph" w:styleId="5">
    <w:name w:val="annotation text"/>
    <w:basedOn w:val="1"/>
    <w:link w:val="19"/>
    <w:unhideWhenUsed/>
    <w:qFormat/>
    <w:uiPriority w:val="99"/>
    <w:pPr>
      <w:jc w:val="left"/>
    </w:pPr>
    <w:rPr>
      <w:rFonts w:eastAsia="宋体" w:cs="Times New Roman"/>
    </w:rPr>
  </w:style>
  <w:style w:type="paragraph" w:styleId="6">
    <w:name w:val="Balloon Text"/>
    <w:basedOn w:val="1"/>
    <w:link w:val="21"/>
    <w:unhideWhenUsed/>
    <w:qFormat/>
    <w:uiPriority w:val="99"/>
    <w:rPr>
      <w:sz w:val="18"/>
      <w:szCs w:val="18"/>
    </w:rPr>
  </w:style>
  <w:style w:type="paragraph" w:styleId="7">
    <w:name w:val="footer"/>
    <w:basedOn w:val="1"/>
    <w:link w:val="18"/>
    <w:unhideWhenUsed/>
    <w:qFormat/>
    <w:uiPriority w:val="0"/>
    <w:pPr>
      <w:tabs>
        <w:tab w:val="center" w:pos="4153"/>
        <w:tab w:val="right" w:pos="8306"/>
      </w:tabs>
      <w:snapToGrid w:val="0"/>
      <w:jc w:val="left"/>
    </w:pPr>
    <w:rPr>
      <w:sz w:val="18"/>
      <w:szCs w:val="18"/>
    </w:rPr>
  </w:style>
  <w:style w:type="paragraph" w:styleId="8">
    <w:name w:val="header"/>
    <w:basedOn w:val="1"/>
    <w:link w:val="17"/>
    <w:unhideWhenUsed/>
    <w:qFormat/>
    <w:uiPriority w:val="0"/>
    <w:pPr>
      <w:pBdr>
        <w:bottom w:val="single" w:color="auto" w:sz="6" w:space="1"/>
      </w:pBdr>
      <w:tabs>
        <w:tab w:val="center" w:pos="4153"/>
        <w:tab w:val="right" w:pos="8306"/>
      </w:tabs>
      <w:snapToGrid w:val="0"/>
      <w:jc w:val="center"/>
    </w:pPr>
    <w:rPr>
      <w:sz w:val="18"/>
      <w:szCs w:val="18"/>
    </w:rPr>
  </w:style>
  <w:style w:type="paragraph" w:styleId="9">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paragraph" w:styleId="10">
    <w:name w:val="annotation subject"/>
    <w:basedOn w:val="5"/>
    <w:next w:val="5"/>
    <w:link w:val="20"/>
    <w:unhideWhenUsed/>
    <w:qFormat/>
    <w:uiPriority w:val="99"/>
    <w:rPr>
      <w:b/>
      <w:bCs/>
    </w:rPr>
  </w:style>
  <w:style w:type="table" w:styleId="12">
    <w:name w:val="Table Grid"/>
    <w:basedOn w:val="11"/>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4">
    <w:name w:val="Strong"/>
    <w:basedOn w:val="13"/>
    <w:qFormat/>
    <w:uiPriority w:val="22"/>
    <w:rPr>
      <w:b/>
    </w:rPr>
  </w:style>
  <w:style w:type="character" w:styleId="15">
    <w:name w:val="annotation reference"/>
    <w:basedOn w:val="13"/>
    <w:unhideWhenUsed/>
    <w:qFormat/>
    <w:uiPriority w:val="99"/>
    <w:rPr>
      <w:sz w:val="21"/>
      <w:szCs w:val="21"/>
    </w:rPr>
  </w:style>
  <w:style w:type="character" w:customStyle="1" w:styleId="16">
    <w:name w:val="标题 1 字符"/>
    <w:basedOn w:val="13"/>
    <w:link w:val="4"/>
    <w:qFormat/>
    <w:uiPriority w:val="0"/>
    <w:rPr>
      <w:rFonts w:eastAsia="仿宋"/>
      <w:b/>
      <w:bCs/>
      <w:kern w:val="44"/>
      <w:sz w:val="28"/>
      <w:szCs w:val="44"/>
    </w:rPr>
  </w:style>
  <w:style w:type="character" w:customStyle="1" w:styleId="17">
    <w:name w:val="页眉 字符"/>
    <w:basedOn w:val="13"/>
    <w:link w:val="8"/>
    <w:qFormat/>
    <w:uiPriority w:val="0"/>
    <w:rPr>
      <w:rFonts w:ascii="Times New Roman" w:hAnsi="Times New Roman"/>
      <w:sz w:val="18"/>
      <w:szCs w:val="18"/>
    </w:rPr>
  </w:style>
  <w:style w:type="character" w:customStyle="1" w:styleId="18">
    <w:name w:val="页脚 字符"/>
    <w:basedOn w:val="13"/>
    <w:link w:val="7"/>
    <w:qFormat/>
    <w:uiPriority w:val="0"/>
    <w:rPr>
      <w:rFonts w:ascii="Times New Roman" w:hAnsi="Times New Roman"/>
      <w:sz w:val="18"/>
      <w:szCs w:val="18"/>
    </w:rPr>
  </w:style>
  <w:style w:type="character" w:customStyle="1" w:styleId="19">
    <w:name w:val="批注文字 字符"/>
    <w:basedOn w:val="13"/>
    <w:link w:val="5"/>
    <w:qFormat/>
    <w:uiPriority w:val="99"/>
    <w:rPr>
      <w:rFonts w:ascii="Times New Roman" w:hAnsi="Times New Roman"/>
    </w:rPr>
  </w:style>
  <w:style w:type="character" w:customStyle="1" w:styleId="20">
    <w:name w:val="批注主题 字符"/>
    <w:basedOn w:val="19"/>
    <w:link w:val="10"/>
    <w:semiHidden/>
    <w:qFormat/>
    <w:uiPriority w:val="99"/>
    <w:rPr>
      <w:rFonts w:ascii="Times New Roman" w:hAnsi="Times New Roman"/>
      <w:b/>
      <w:bCs/>
    </w:rPr>
  </w:style>
  <w:style w:type="character" w:customStyle="1" w:styleId="21">
    <w:name w:val="批注框文本 字符"/>
    <w:basedOn w:val="13"/>
    <w:link w:val="6"/>
    <w:semiHidden/>
    <w:qFormat/>
    <w:uiPriority w:val="99"/>
    <w:rPr>
      <w:rFonts w:ascii="Times New Roman" w:hAnsi="Times New Roman"/>
      <w:sz w:val="18"/>
      <w:szCs w:val="18"/>
    </w:rPr>
  </w:style>
  <w:style w:type="table" w:customStyle="1" w:styleId="22">
    <w:name w:val="网格型1"/>
    <w:basedOn w:val="11"/>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23">
    <w:name w:val="sect2title"/>
    <w:basedOn w:val="13"/>
    <w:qFormat/>
    <w:uiPriority w:val="0"/>
  </w:style>
  <w:style w:type="character" w:customStyle="1" w:styleId="24">
    <w:name w:val="标题1"/>
    <w:basedOn w:val="13"/>
    <w:qFormat/>
    <w:uiPriority w:val="0"/>
  </w:style>
  <w:style w:type="paragraph" w:customStyle="1" w:styleId="25">
    <w:name w:val="title1"/>
    <w:basedOn w:val="1"/>
    <w:qFormat/>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26">
    <w:name w:val="标题（非目录用） Char Char"/>
    <w:link w:val="27"/>
    <w:qFormat/>
    <w:uiPriority w:val="0"/>
    <w:rPr>
      <w:rFonts w:eastAsia="宋体"/>
      <w:b/>
      <w:sz w:val="28"/>
    </w:rPr>
  </w:style>
  <w:style w:type="paragraph" w:customStyle="1" w:styleId="27">
    <w:name w:val="标题（非目录用）"/>
    <w:basedOn w:val="1"/>
    <w:link w:val="26"/>
    <w:qFormat/>
    <w:uiPriority w:val="0"/>
    <w:rPr>
      <w:rFonts w:eastAsia="宋体" w:asciiTheme="minorHAnsi" w:hAnsiTheme="minorHAnsi"/>
      <w:b/>
      <w:sz w:val="28"/>
    </w:rPr>
  </w:style>
  <w:style w:type="character" w:customStyle="1" w:styleId="28">
    <w:name w:val="样式 标题 1 + 宋体 三号 Char Char"/>
    <w:basedOn w:val="16"/>
    <w:link w:val="29"/>
    <w:qFormat/>
    <w:uiPriority w:val="0"/>
    <w:rPr>
      <w:rFonts w:ascii="宋体" w:hAnsi="宋体" w:eastAsia="宋体" w:cs="Times New Roman"/>
      <w:kern w:val="44"/>
      <w:sz w:val="32"/>
      <w:szCs w:val="44"/>
    </w:rPr>
  </w:style>
  <w:style w:type="paragraph" w:customStyle="1" w:styleId="29">
    <w:name w:val="样式 标题 1 + 宋体 三号"/>
    <w:basedOn w:val="4"/>
    <w:link w:val="28"/>
    <w:qFormat/>
    <w:uiPriority w:val="0"/>
    <w:pPr>
      <w:keepNext w:val="0"/>
      <w:keepLines w:val="0"/>
      <w:spacing w:before="0" w:beforeAutospacing="0" w:after="0" w:afterAutospacing="0"/>
      <w:jc w:val="left"/>
    </w:pPr>
    <w:rPr>
      <w:rFonts w:ascii="宋体" w:hAnsi="宋体" w:eastAsia="宋体" w:cs="Times New Roman"/>
      <w:sz w:val="32"/>
    </w:rPr>
  </w:style>
  <w:style w:type="paragraph" w:customStyle="1" w:styleId="30">
    <w:name w:val="列表段落1"/>
    <w:basedOn w:val="1"/>
    <w:qFormat/>
    <w:uiPriority w:val="99"/>
    <w:pPr>
      <w:ind w:firstLine="420" w:firstLineChars="200"/>
    </w:pPr>
  </w:style>
  <w:style w:type="paragraph" w:customStyle="1" w:styleId="31">
    <w:name w:val="修订1"/>
    <w:hidden/>
    <w:semiHidden/>
    <w:qFormat/>
    <w:uiPriority w:val="99"/>
    <w:rPr>
      <w:rFonts w:ascii="Times New Roman" w:hAnsi="Times New Roman" w:eastAsiaTheme="minorEastAsia" w:cstheme="minorBidi"/>
      <w:kern w:val="2"/>
      <w:sz w:val="21"/>
      <w:szCs w:val="22"/>
      <w:lang w:val="en-US" w:eastAsia="zh-CN" w:bidi="ar-SA"/>
    </w:rPr>
  </w:style>
  <w:style w:type="character" w:customStyle="1" w:styleId="32">
    <w:name w:val="条目"/>
    <w:qFormat/>
    <w:uiPriority w:val="0"/>
    <w:rPr>
      <w:rFonts w:ascii="Times New Roman" w:hAnsi="Times New Roman" w:eastAsia="宋体"/>
      <w:b/>
      <w:kern w:val="44"/>
      <w:sz w:val="32"/>
    </w:rPr>
  </w:style>
  <w:style w:type="character" w:customStyle="1" w:styleId="33">
    <w:name w:val="标题 1 Char2"/>
    <w:qFormat/>
    <w:uiPriority w:val="0"/>
    <w:rPr>
      <w:rFonts w:ascii="宋体" w:hAnsi="宋体" w:eastAsia="宋体" w:cs="宋体"/>
      <w:b/>
      <w:kern w:val="44"/>
      <w:sz w:val="32"/>
    </w:rPr>
  </w:style>
  <w:style w:type="paragraph" w:customStyle="1" w:styleId="34">
    <w:name w:val="修订2"/>
    <w:hidden/>
    <w:unhideWhenUsed/>
    <w:qFormat/>
    <w:uiPriority w:val="99"/>
    <w:rPr>
      <w:rFonts w:ascii="Times New Roman" w:hAnsi="Times New Roman" w:eastAsiaTheme="minorEastAsia" w:cstheme="minorBidi"/>
      <w:kern w:val="2"/>
      <w:sz w:val="21"/>
      <w:szCs w:val="22"/>
      <w:lang w:val="en-US" w:eastAsia="zh-CN" w:bidi="ar-SA"/>
    </w:rPr>
  </w:style>
  <w:style w:type="paragraph" w:customStyle="1" w:styleId="35">
    <w:name w:val="修订3"/>
    <w:hidden/>
    <w:unhideWhenUsed/>
    <w:qFormat/>
    <w:uiPriority w:val="99"/>
    <w:rPr>
      <w:rFonts w:ascii="Times New Roman" w:hAnsi="Times New Roman" w:eastAsiaTheme="minorEastAsia" w:cstheme="minorBidi"/>
      <w:kern w:val="2"/>
      <w:sz w:val="21"/>
      <w:szCs w:val="22"/>
      <w:lang w:val="en-US" w:eastAsia="zh-CN" w:bidi="ar-SA"/>
    </w:rPr>
  </w:style>
  <w:style w:type="paragraph" w:customStyle="1" w:styleId="36">
    <w:name w:val="修订4"/>
    <w:hidden/>
    <w:unhideWhenUsed/>
    <w:qFormat/>
    <w:uiPriority w:val="99"/>
    <w:rPr>
      <w:rFonts w:ascii="Times New Roman" w:hAnsi="Times New Roman" w:eastAsiaTheme="minorEastAsia" w:cstheme="minorBidi"/>
      <w:kern w:val="2"/>
      <w:sz w:val="21"/>
      <w:szCs w:val="22"/>
      <w:lang w:val="en-US" w:eastAsia="zh-CN" w:bidi="ar-SA"/>
    </w:rPr>
  </w:style>
  <w:style w:type="paragraph" w:customStyle="1" w:styleId="37">
    <w:name w:val="修订5"/>
    <w:hidden/>
    <w:unhideWhenUsed/>
    <w:qFormat/>
    <w:uiPriority w:val="99"/>
    <w:rPr>
      <w:rFonts w:ascii="Times New Roman" w:hAnsi="Times New Roman" w:eastAsiaTheme="minorEastAsia" w:cstheme="minorBidi"/>
      <w:kern w:val="2"/>
      <w:sz w:val="21"/>
      <w:szCs w:val="22"/>
      <w:lang w:val="en-US" w:eastAsia="zh-CN" w:bidi="ar-SA"/>
    </w:rPr>
  </w:style>
  <w:style w:type="paragraph" w:customStyle="1" w:styleId="38">
    <w:name w:val="修订6"/>
    <w:hidden/>
    <w:unhideWhenUsed/>
    <w:qFormat/>
    <w:uiPriority w:val="99"/>
    <w:rPr>
      <w:rFonts w:ascii="Times New Roman" w:hAnsi="Times New Roman" w:eastAsiaTheme="minorEastAsia" w:cstheme="minorBidi"/>
      <w:kern w:val="2"/>
      <w:sz w:val="21"/>
      <w:szCs w:val="22"/>
      <w:lang w:val="en-US" w:eastAsia="zh-CN" w:bidi="ar-SA"/>
    </w:rPr>
  </w:style>
  <w:style w:type="paragraph" w:customStyle="1" w:styleId="39">
    <w:name w:val="修订7"/>
    <w:hidden/>
    <w:unhideWhenUsed/>
    <w:qFormat/>
    <w:uiPriority w:val="99"/>
    <w:rPr>
      <w:rFonts w:ascii="Times New Roman" w:hAnsi="Times New Roman" w:eastAsiaTheme="minorEastAsia" w:cstheme="minorBidi"/>
      <w:kern w:val="2"/>
      <w:sz w:val="21"/>
      <w:szCs w:val="22"/>
      <w:lang w:val="en-US" w:eastAsia="zh-CN" w:bidi="ar-SA"/>
    </w:rPr>
  </w:style>
  <w:style w:type="paragraph" w:customStyle="1" w:styleId="40">
    <w:name w:val="Revision"/>
    <w:hidden/>
    <w:unhideWhenUsed/>
    <w:qFormat/>
    <w:uiPriority w:val="99"/>
    <w:rPr>
      <w:rFonts w:ascii="Times New Roman" w:hAnsi="Times New Roman" w:eastAsiaTheme="minorEastAsia" w:cstheme="minorBidi"/>
      <w:kern w:val="2"/>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274</Pages>
  <Words>81535</Words>
  <Characters>82352</Characters>
  <Lines>13725</Lines>
  <Paragraphs>7804</Paragraphs>
  <TotalTime>9</TotalTime>
  <ScaleCrop>false</ScaleCrop>
  <LinksUpToDate>false</LinksUpToDate>
  <CharactersWithSpaces>156083</CharactersWithSpaces>
  <Application>WPS Office_11.8.2.1131_F1E327BC-269C-435d-A152-05C5408002CA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2024-12-01T19:28:00Z</dcterms:created>
  <dc:creator>张晓静</dc:creator>
  <cp:lastModifiedBy>liu</cp:lastModifiedBy>
  <cp:lastPrinted>2024-09-15T03:18:00Z</cp:lastPrinted>
  <dcterms:modified xsi:type="dcterms:W3CDTF">2025-06-19T14:57:48Z</dcterms:modified>
  <dc:title>附件1-1</dc:title>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2052-11.8.2.1131</vt:lpwstr>
  </property>
  <property fmtid="{D5CDD505-2E9C-101B-9397-08002B2CF9AE}" pid="3" name="ICV">
    <vt:lpwstr>2F48FBC89AD698D8E3B45368C05BD422</vt:lpwstr>
  </property>
  <property fmtid="{D5CDD505-2E9C-101B-9397-08002B2CF9AE}" pid="4" name="KSOTemplateDocerSaveRecord">
    <vt:lpwstr>eyJoZGlkIjoiOGYzOTAyNTgxZGFkYjg1Y2VlYmZmODVhOWEzZmQzZjMiLCJ1c2VySWQiOiI3MjI3Mjk3OTIifQ==</vt:lpwstr>
  </property>
</Properties>
</file>