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adjustRightInd w:val="0"/>
        <w:snapToGrid w:val="0"/>
        <w:spacing w:beforeAutospacing="0" w:afterAutospacing="0"/>
        <w:jc w:val="center"/>
        <w:rPr>
          <w:b/>
          <w:bCs/>
          <w:sz w:val="44"/>
          <w:szCs w:val="44"/>
        </w:rPr>
      </w:pPr>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r>
        <w:rPr>
          <w:rFonts w:hint="eastAsia"/>
          <w:b/>
          <w:bCs/>
          <w:sz w:val="44"/>
          <w:szCs w:val="44"/>
        </w:rPr>
        <w:t>深圳市</w:t>
      </w:r>
      <w:r>
        <w:rPr>
          <w:rFonts w:hint="eastAsia"/>
          <w:b/>
          <w:bCs/>
          <w:sz w:val="44"/>
          <w:szCs w:val="44"/>
          <w:lang w:eastAsia="zh-CN"/>
        </w:rPr>
        <w:t>建设</w:t>
      </w:r>
      <w:r>
        <w:rPr>
          <w:rFonts w:hint="eastAsia"/>
          <w:b/>
          <w:bCs/>
          <w:sz w:val="44"/>
          <w:szCs w:val="44"/>
        </w:rPr>
        <w:t>工程竣工联合</w:t>
      </w:r>
      <w:r>
        <w:rPr>
          <w:b/>
          <w:bCs/>
          <w:sz w:val="44"/>
          <w:szCs w:val="44"/>
        </w:rPr>
        <w:t>验收</w:t>
      </w:r>
      <w:r>
        <w:rPr>
          <w:rFonts w:hint="eastAsia"/>
          <w:b/>
          <w:bCs/>
          <w:sz w:val="44"/>
          <w:szCs w:val="44"/>
        </w:rPr>
        <w:t>管理</w:t>
      </w:r>
      <w:r>
        <w:rPr>
          <w:b/>
          <w:bCs/>
          <w:sz w:val="44"/>
          <w:szCs w:val="44"/>
        </w:rPr>
        <w:t>办法</w:t>
      </w:r>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p>
    <w:p>
      <w:pPr>
        <w:pStyle w:val="7"/>
        <w:widowControl/>
        <w:numPr>
          <w:ilvl w:val="0"/>
          <w:numId w:val="0"/>
        </w:numPr>
        <w:adjustRightInd w:val="0"/>
        <w:snapToGrid w:val="0"/>
        <w:spacing w:beforeAutospacing="0" w:afterAutospacing="0" w:line="600" w:lineRule="exact"/>
        <w:ind w:firstLine="0" w:firstLineChars="0"/>
        <w:jc w:val="center"/>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总体要求</w:t>
      </w:r>
    </w:p>
    <w:p>
      <w:pPr>
        <w:pStyle w:val="7"/>
        <w:widowControl/>
        <w:numPr>
          <w:ilvl w:val="0"/>
          <w:numId w:val="0"/>
        </w:numPr>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第一条【目的和依据】</w:t>
      </w:r>
      <w:r>
        <w:rPr>
          <w:rFonts w:hint="eastAsia" w:ascii="仿宋_GB2312" w:hAnsi="仿宋_GB2312" w:eastAsia="仿宋_GB2312" w:cs="仿宋_GB2312"/>
          <w:sz w:val="32"/>
          <w:szCs w:val="32"/>
        </w:rPr>
        <w:t>为进一步落实企业主体责任，整合优化建设工程项目验收流程，全面提升验收工作效率，根据《国务院办公厅关于全面开展工程建设项目审批制度改革的实施意见》（国办发〔2019〕11号）和《深圳市进一步深化工程建设项目审批制度改革工作实施方案》（深府办函〔2019〕234号）等规定，结合本市实际，制定本办法。</w:t>
      </w:r>
    </w:p>
    <w:p>
      <w:pPr>
        <w:pStyle w:val="7"/>
        <w:widowControl/>
        <w:numPr>
          <w:ilvl w:val="0"/>
          <w:numId w:val="0"/>
        </w:numPr>
        <w:adjustRightInd w:val="0"/>
        <w:snapToGrid w:val="0"/>
        <w:spacing w:beforeAutospacing="0" w:afterAutospacing="0" w:line="600" w:lineRule="exact"/>
        <w:ind w:firstLine="642" w:firstLineChars="200"/>
        <w:jc w:val="both"/>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sz w:val="32"/>
          <w:szCs w:val="32"/>
        </w:rPr>
        <w:t>本办法适用于</w:t>
      </w:r>
      <w:r>
        <w:rPr>
          <w:rFonts w:hint="eastAsia" w:ascii="仿宋_GB2312" w:hAnsi="仿宋" w:eastAsia="仿宋_GB2312"/>
          <w:sz w:val="32"/>
          <w:szCs w:val="32"/>
        </w:rPr>
        <w:t>在深圳市行政区域内开展的</w:t>
      </w:r>
      <w:r>
        <w:rPr>
          <w:rFonts w:hint="eastAsia" w:ascii="仿宋_GB2312" w:hAnsi="仿宋" w:eastAsia="仿宋_GB2312"/>
          <w:sz w:val="32"/>
          <w:szCs w:val="32"/>
          <w:lang w:eastAsia="zh-CN"/>
        </w:rPr>
        <w:t>建设工程</w:t>
      </w:r>
      <w:r>
        <w:rPr>
          <w:rFonts w:hint="eastAsia" w:ascii="仿宋_GB2312" w:hAnsi="仿宋" w:eastAsia="仿宋_GB2312"/>
          <w:sz w:val="32"/>
          <w:szCs w:val="32"/>
        </w:rPr>
        <w:t>项目</w:t>
      </w:r>
      <w:r>
        <w:rPr>
          <w:rFonts w:hint="eastAsia" w:ascii="仿宋_GB2312" w:hAnsi="仿宋_GB2312" w:eastAsia="仿宋_GB2312" w:cs="仿宋_GB2312"/>
          <w:sz w:val="32"/>
          <w:szCs w:val="32"/>
        </w:rPr>
        <w:t>的竣工联合验收工作</w:t>
      </w:r>
      <w:r>
        <w:rPr>
          <w:rFonts w:hint="eastAsia" w:ascii="仿宋_GB2312" w:hAnsi="仿宋" w:eastAsia="仿宋_GB2312"/>
          <w:sz w:val="32"/>
          <w:szCs w:val="32"/>
        </w:rPr>
        <w:t>，不包括交通、水利、能源等领域的需上报省和国家审批的重大工程以及油气库、油气长输管线、民爆仓库等重大危险源项目和保密工程</w:t>
      </w:r>
      <w:r>
        <w:rPr>
          <w:rFonts w:hint="eastAsia" w:ascii="仿宋_GB2312" w:hAnsi="仿宋" w:eastAsia="仿宋_GB2312"/>
          <w:sz w:val="32"/>
          <w:szCs w:val="32"/>
          <w:lang w:eastAsia="zh-CN"/>
        </w:rPr>
        <w:t>。</w:t>
      </w:r>
    </w:p>
    <w:p>
      <w:pPr>
        <w:pStyle w:val="7"/>
        <w:widowControl/>
        <w:numPr>
          <w:ilvl w:val="0"/>
          <w:numId w:val="0"/>
        </w:numPr>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rPr>
        <w:t>【分类验收】</w:t>
      </w:r>
      <w:r>
        <w:rPr>
          <w:rFonts w:hint="eastAsia" w:ascii="仿宋_GB2312" w:hAnsi="仿宋" w:eastAsia="仿宋_GB2312" w:cs="Times New Roman"/>
          <w:b w:val="0"/>
          <w:bCs w:val="0"/>
          <w:sz w:val="32"/>
          <w:szCs w:val="32"/>
          <w:lang w:eastAsia="zh-CN"/>
        </w:rPr>
        <w:t>按工程项目不同分类，由相应</w:t>
      </w:r>
      <w:r>
        <w:rPr>
          <w:rFonts w:hint="eastAsia" w:ascii="仿宋_GB2312" w:hAnsi="仿宋_GB2312" w:eastAsia="仿宋_GB2312" w:cs="仿宋_GB2312"/>
          <w:sz w:val="32"/>
          <w:szCs w:val="32"/>
          <w:lang w:val="en-US" w:eastAsia="zh-CN"/>
        </w:rPr>
        <w:t>负责项目质量安全监督的</w:t>
      </w:r>
      <w:r>
        <w:rPr>
          <w:rFonts w:hint="eastAsia" w:ascii="仿宋_GB2312" w:hAnsi="仿宋" w:eastAsia="仿宋_GB2312" w:cs="Times New Roman"/>
          <w:b w:val="0"/>
          <w:bCs w:val="0"/>
          <w:sz w:val="32"/>
          <w:szCs w:val="32"/>
          <w:lang w:eastAsia="zh-CN"/>
        </w:rPr>
        <w:t>主管部门牵头开展竣工联合验收</w:t>
      </w:r>
      <w:r>
        <w:rPr>
          <w:rFonts w:hint="eastAsia" w:ascii="仿宋_GB2312" w:hAnsi="仿宋_GB2312" w:eastAsia="仿宋_GB2312" w:cs="仿宋_GB2312"/>
          <w:sz w:val="32"/>
          <w:szCs w:val="32"/>
          <w:lang w:val="en-US" w:eastAsia="zh-CN"/>
        </w:rPr>
        <w:t>。其中，市水务主管部门负责牵头开展市</w:t>
      </w:r>
      <w:r>
        <w:rPr>
          <w:rFonts w:hint="eastAsia" w:ascii="仿宋_GB2312" w:hAnsi="仿宋_GB2312" w:eastAsia="仿宋_GB2312" w:cs="仿宋_GB2312"/>
          <w:sz w:val="32"/>
          <w:szCs w:val="32"/>
        </w:rPr>
        <w:t>水务工程及其配套附属工程的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市交通主管部门负责</w:t>
      </w:r>
      <w:r>
        <w:rPr>
          <w:rFonts w:hint="eastAsia" w:ascii="仿宋_GB2312" w:hAnsi="仿宋_GB2312" w:eastAsia="仿宋_GB2312" w:cs="仿宋_GB2312"/>
          <w:sz w:val="32"/>
          <w:szCs w:val="32"/>
          <w:lang w:val="en-US" w:eastAsia="zh-CN"/>
        </w:rPr>
        <w:t>牵头开展</w:t>
      </w:r>
      <w:r>
        <w:rPr>
          <w:rFonts w:hint="eastAsia" w:ascii="仿宋_GB2312" w:hAnsi="仿宋" w:eastAsia="仿宋_GB2312"/>
          <w:kern w:val="0"/>
          <w:sz w:val="32"/>
          <w:szCs w:val="32"/>
        </w:rPr>
        <w:t>道路工程（除高速公路外）与城市道路及其附属工程</w:t>
      </w:r>
      <w:r>
        <w:rPr>
          <w:rFonts w:hint="eastAsia" w:ascii="仿宋_GB2312" w:hAnsi="仿宋" w:eastAsia="仿宋_GB2312"/>
          <w:kern w:val="0"/>
          <w:sz w:val="32"/>
          <w:szCs w:val="32"/>
          <w:lang w:eastAsia="zh-CN"/>
        </w:rPr>
        <w:t>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市电力企业或建设单位负责牵头开展电力工程的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 w:eastAsia="仿宋_GB2312"/>
          <w:kern w:val="0"/>
          <w:sz w:val="32"/>
          <w:szCs w:val="32"/>
          <w:lang w:eastAsia="zh-CN"/>
        </w:rPr>
        <w:t>市</w:t>
      </w:r>
      <w:r>
        <w:rPr>
          <w:rFonts w:hint="eastAsia" w:ascii="仿宋_GB2312" w:hAnsi="仿宋_GB2312" w:eastAsia="仿宋_GB2312" w:cs="仿宋_GB2312"/>
          <w:sz w:val="32"/>
          <w:szCs w:val="32"/>
          <w:lang w:val="en-US" w:eastAsia="zh-CN"/>
        </w:rPr>
        <w:t>建设主管部门负责牵头开展市社会投资项目房屋建筑和市政基础工程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对于政府投资项目，由建设单位负责各专项验收，其他行政主管部门不参与验收，建设单位对各专项验收报告负责。</w:t>
      </w:r>
    </w:p>
    <w:p>
      <w:pPr>
        <w:pStyle w:val="7"/>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第四条【牵头部门职责】</w:t>
      </w:r>
      <w:r>
        <w:rPr>
          <w:rFonts w:hint="eastAsia" w:ascii="仿宋_GB2312" w:hAnsi="仿宋_GB2312" w:eastAsia="仿宋_GB2312" w:cs="仿宋_GB2312"/>
          <w:sz w:val="32"/>
          <w:szCs w:val="32"/>
        </w:rPr>
        <w:t>建设行政主管部门负责汇总制定</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竣工联合验收办事指南。负责牵头组织协调所监管工程的竣工联合验收工作，并具体进行质量竣工验收监督工作。市（区）建设行政主管部门可将竣工联合验收的组织协调工作委托给市（区）建设工程质量监督机构具体实施。</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第五条【各验收部门</w:t>
      </w:r>
      <w:r>
        <w:rPr>
          <w:rFonts w:hint="eastAsia" w:ascii="仿宋_GB2312" w:hAnsi="仿宋_GB2312" w:eastAsia="仿宋_GB2312" w:cs="仿宋_GB2312"/>
          <w:b/>
          <w:bCs/>
          <w:sz w:val="32"/>
          <w:szCs w:val="32"/>
          <w:lang w:eastAsia="zh-CN"/>
        </w:rPr>
        <w:t>和市政公用服务企业</w:t>
      </w:r>
      <w:r>
        <w:rPr>
          <w:rFonts w:hint="eastAsia" w:ascii="仿宋_GB2312" w:hAnsi="仿宋_GB2312" w:eastAsia="仿宋_GB2312" w:cs="仿宋_GB2312"/>
          <w:b/>
          <w:bCs/>
          <w:sz w:val="32"/>
          <w:szCs w:val="32"/>
        </w:rPr>
        <w:t>职责】</w:t>
      </w:r>
      <w:r>
        <w:rPr>
          <w:rFonts w:hint="eastAsia" w:ascii="仿宋_GB2312" w:hAnsi="仿宋_GB2312" w:eastAsia="仿宋_GB2312" w:cs="仿宋_GB2312"/>
          <w:b w:val="0"/>
          <w:bCs w:val="0"/>
          <w:sz w:val="32"/>
          <w:szCs w:val="32"/>
        </w:rPr>
        <w:t>规划、土地、城市更新、水务、气象、人防、档案等主管部门（以下简称：各主管部门）</w:t>
      </w:r>
      <w:r>
        <w:rPr>
          <w:rFonts w:hint="eastAsia" w:ascii="仿宋_GB2312" w:hAnsi="仿宋_GB2312" w:eastAsia="仿宋_GB2312" w:cs="仿宋_GB2312"/>
          <w:b w:val="0"/>
          <w:bCs w:val="0"/>
          <w:sz w:val="32"/>
          <w:szCs w:val="32"/>
          <w:lang w:eastAsia="zh-CN"/>
        </w:rPr>
        <w:t>以及水、电、气等市政公用服务企业</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sz w:val="32"/>
          <w:szCs w:val="32"/>
        </w:rPr>
        <w:t>建设行政主管部门</w:t>
      </w:r>
      <w:r>
        <w:rPr>
          <w:rFonts w:hint="eastAsia" w:ascii="仿宋_GB2312" w:hAnsi="仿宋_GB2312" w:eastAsia="仿宋_GB2312" w:cs="仿宋_GB2312"/>
          <w:b w:val="0"/>
          <w:bCs w:val="0"/>
          <w:sz w:val="32"/>
          <w:szCs w:val="32"/>
        </w:rPr>
        <w:t>的组织协调下，参与联合验收工作，负责本部门验收事项的具体工作：</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cs="仿宋"/>
          <w:sz w:val="32"/>
          <w:szCs w:val="32"/>
        </w:rPr>
        <w:t>（一）</w:t>
      </w:r>
      <w:r>
        <w:rPr>
          <w:rFonts w:hint="eastAsia" w:ascii="仿宋_GB2312" w:hAnsi="仿宋_GB2312" w:eastAsia="仿宋_GB2312" w:cs="仿宋_GB2312"/>
          <w:sz w:val="32"/>
          <w:szCs w:val="32"/>
        </w:rPr>
        <w:t>制定本部门验收（备案）市区统一的受理条件、申请材料、法律法规依据等，纳入竣工联合验收事项办事指南和权责清单。办事指南和权责清单内容如需变更的，应以书面形式报送建设行政主管部门。</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（二）精简本部门验收事项的申报材料，梳理出不适合电子化的资料（</w:t>
      </w:r>
      <w:r>
        <w:rPr>
          <w:rFonts w:hint="eastAsia" w:ascii="仿宋_GB2312" w:hAnsi="仿宋" w:eastAsia="仿宋_GB2312" w:cs="仿宋"/>
          <w:sz w:val="32"/>
          <w:szCs w:val="32"/>
        </w:rPr>
        <w:t>如施工中的过程表单、记录文件、产品合格证等</w:t>
      </w:r>
      <w:r>
        <w:rPr>
          <w:rFonts w:hint="eastAsia" w:ascii="仿宋_GB2312" w:hAnsi="仿宋_GB2312" w:eastAsia="仿宋_GB2312" w:cs="仿宋_GB2312"/>
          <w:sz w:val="32"/>
          <w:szCs w:val="32"/>
        </w:rPr>
        <w:t>），此部分材料不要求在网上申报时提供，改为在现场验收时进行现场查验后收取。</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sz w:val="32"/>
          <w:szCs w:val="32"/>
        </w:rPr>
        <w:t xml:space="preserve"> 加强服务指导。结合自身行政职能和技术职责，主动做好项目建设实施过程中指导及竣工验收前技术检测，提高联合验收一次性通过率。</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（四）</w:t>
      </w:r>
      <w:r>
        <w:rPr>
          <w:rFonts w:hint="eastAsia" w:ascii="仿宋_GB2312" w:hAnsi="仿宋" w:eastAsia="仿宋_GB2312" w:cs="仿宋"/>
          <w:sz w:val="32"/>
          <w:szCs w:val="32"/>
        </w:rPr>
        <w:t>加强事中事后监管。制定本部门对建设项目违法违规建设的监管处罚措施，对复验不合格项目的各方主体，依规定纳入不诚信记录。</w:t>
      </w:r>
    </w:p>
    <w:p>
      <w:pPr>
        <w:pStyle w:val="7"/>
        <w:widowControl/>
        <w:adjustRightInd w:val="0"/>
        <w:snapToGrid w:val="0"/>
        <w:spacing w:beforeAutospacing="0" w:afterAutospacing="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（五）</w:t>
      </w:r>
      <w:r>
        <w:rPr>
          <w:rFonts w:hint="eastAsia" w:ascii="仿宋_GB2312" w:hAnsi="仿宋" w:eastAsia="仿宋_GB2312" w:cs="仿宋"/>
          <w:sz w:val="32"/>
          <w:szCs w:val="32"/>
        </w:rPr>
        <w:t>成立验收工作组。确定本部门验收工作负责人及工作人员，明确工作人员职责，保障联合验收工作顺利开展，并将工作组名单汇总给牵头部门。</w:t>
      </w:r>
      <w:r>
        <w:rPr>
          <w:rFonts w:hint="eastAsia" w:ascii="仿宋_GB2312" w:hAnsi="仿宋_GB2312" w:eastAsia="仿宋_GB2312" w:cs="仿宋_GB2312"/>
          <w:sz w:val="32"/>
          <w:szCs w:val="32"/>
        </w:rPr>
        <w:t>依时参加联合验收工作，并按规定时限出具验收（备案）意见。</w:t>
      </w:r>
    </w:p>
    <w:p>
      <w:pPr>
        <w:pStyle w:val="7"/>
        <w:widowControl/>
        <w:adjustRightInd w:val="0"/>
        <w:snapToGrid w:val="0"/>
        <w:spacing w:beforeAutospacing="0" w:afterAutospacing="0" w:line="600" w:lineRule="exact"/>
        <w:ind w:firstLine="642" w:firstLineChars="200"/>
        <w:jc w:val="both"/>
        <w:rPr>
          <w:rFonts w:hint="eastAsia" w:ascii="仿宋_GB2312" w:hAnsi="仿宋" w:eastAsia="仿宋_GB2312" w:cs="仿宋"/>
          <w:sz w:val="32"/>
          <w:szCs w:val="32"/>
        </w:rPr>
      </w:pPr>
      <w:r>
        <w:rPr>
          <w:rFonts w:hint="eastAsia" w:ascii="仿宋_GB2312" w:hAnsi="仿宋_GB2312" w:eastAsia="仿宋_GB2312" w:cs="仿宋_GB2312"/>
          <w:b/>
          <w:bCs/>
          <w:sz w:val="32"/>
          <w:szCs w:val="32"/>
        </w:rPr>
        <w:t>第六条【市政务服务数据主管部门职责】</w:t>
      </w:r>
      <w:r>
        <w:rPr>
          <w:rFonts w:hint="eastAsia" w:ascii="仿宋_GB2312" w:hAnsi="仿宋" w:eastAsia="仿宋_GB2312" w:cs="仿宋"/>
          <w:b w:val="0"/>
          <w:bCs w:val="0"/>
          <w:sz w:val="32"/>
          <w:szCs w:val="32"/>
        </w:rPr>
        <w:t>市政务服务数据主管部门</w:t>
      </w:r>
      <w:r>
        <w:rPr>
          <w:rFonts w:hint="eastAsia" w:ascii="仿宋_GB2312" w:hAnsi="仿宋" w:eastAsia="仿宋_GB2312" w:cs="仿宋"/>
          <w:sz w:val="32"/>
          <w:szCs w:val="32"/>
        </w:rPr>
        <w:t>按照集成服务要求，负责联合验收在线管理平台的建设、运营维护和数据管理，统一联合验收案件的申报入口，并公布联合验收事项办事指南，发放文书结果原件等。联合验收工作实行网上监督、实时预警、绩效考核。</w:t>
      </w:r>
    </w:p>
    <w:p>
      <w:pPr>
        <w:adjustRightInd w:val="0"/>
        <w:snapToGrid w:val="0"/>
        <w:spacing w:line="580" w:lineRule="exact"/>
        <w:ind w:firstLine="642" w:firstLineChars="200"/>
        <w:jc w:val="both"/>
        <w:rPr>
          <w:rFonts w:ascii="仿宋" w:hAnsi="仿宋" w:eastAsia="仿宋"/>
          <w:color w:val="323232"/>
          <w:sz w:val="32"/>
          <w:szCs w:val="32"/>
        </w:rPr>
      </w:pPr>
      <w:r>
        <w:rPr>
          <w:rFonts w:hint="eastAsia" w:ascii="仿宋_GB2312" w:hAnsi="仿宋_GB2312" w:eastAsia="仿宋_GB2312" w:cs="仿宋_GB2312"/>
          <w:b/>
          <w:bCs/>
          <w:sz w:val="32"/>
          <w:szCs w:val="32"/>
        </w:rPr>
        <w:t>第七条【市区分工】</w:t>
      </w:r>
      <w:r>
        <w:rPr>
          <w:rFonts w:hint="eastAsia" w:ascii="仿宋_GB2312" w:hAnsi="仿宋_GB2312" w:eastAsia="仿宋_GB2312" w:cs="仿宋_GB2312"/>
          <w:sz w:val="32"/>
          <w:szCs w:val="32"/>
        </w:rPr>
        <w:t>市、区按事权划分负责对应工作。市行政主管部门负责指导区行政主管部门做好相关工作。</w:t>
      </w:r>
    </w:p>
    <w:p>
      <w:pPr>
        <w:pStyle w:val="7"/>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条【专项验收范围】</w:t>
      </w:r>
      <w:r>
        <w:rPr>
          <w:rFonts w:hint="eastAsia" w:ascii="仿宋_GB2312" w:hAnsi="仿宋_GB2312" w:eastAsia="仿宋_GB2312" w:cs="仿宋_GB2312"/>
          <w:sz w:val="32"/>
          <w:szCs w:val="32"/>
        </w:rPr>
        <w:t>本办法所称的专项验收包括：</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（一）建设工程规划验收</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（二）建设工程消防验收或备案抽查</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（三）民用建筑节能专项验收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（四）电梯工程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特种设备验收</w:t>
      </w:r>
    </w:p>
    <w:p>
      <w:pPr>
        <w:pStyle w:val="7"/>
        <w:widowControl/>
        <w:adjustRightInd w:val="0"/>
        <w:snapToGrid w:val="0"/>
        <w:spacing w:beforeAutospacing="0" w:afterAutospacing="0"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（五）人防工程验收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（六）水土保持设施验收</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（七）防雷装置专项验收</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（八）水、电、气等市政设施接入专项验收</w:t>
      </w:r>
    </w:p>
    <w:p>
      <w:pPr>
        <w:pStyle w:val="7"/>
        <w:widowControl/>
        <w:adjustRightInd w:val="0"/>
        <w:snapToGrid w:val="0"/>
        <w:spacing w:beforeAutospacing="0" w:afterAutospacing="0" w:line="600" w:lineRule="exact"/>
        <w:ind w:firstLine="642" w:firstLineChars="200"/>
        <w:jc w:val="both"/>
        <w:rPr>
          <w:rFonts w:hint="eastAsia" w:ascii="仿宋_GB2312" w:hAnsi="仿宋" w:eastAsia="仿宋_GB2312" w:cs="仿宋"/>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条【项目验收条件】</w:t>
      </w:r>
      <w:r>
        <w:rPr>
          <w:rFonts w:hint="eastAsia" w:ascii="仿宋_GB2312" w:hAnsi="仿宋" w:eastAsia="仿宋_GB2312" w:cs="仿宋"/>
          <w:sz w:val="32"/>
          <w:szCs w:val="32"/>
        </w:rPr>
        <w:t>建设工程项目完工后，建设单位已组织勘察、设计、施工、监理等单位组成验收组，开展了自验工作。对自验工作中发现的问题，已全部整改合格。同时，具备以下条件，可申请联合验收工作。</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（一）已完成建设工程竣工测量和竣工查丈工作</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用地范围内的临时设施已拆除，规定配套公共设施应移交给政府的，已完成移交协议的签订，具备原建设工程规划验收条件</w:t>
      </w:r>
      <w:r>
        <w:rPr>
          <w:rFonts w:hint="eastAsia" w:ascii="仿宋_GB2312" w:hAnsi="仿宋" w:eastAsia="仿宋_GB2312" w:cs="仿宋"/>
          <w:sz w:val="32"/>
          <w:szCs w:val="32"/>
          <w:lang w:val="en-US" w:eastAsia="zh-CN"/>
        </w:rPr>
        <w:t>；</w:t>
      </w:r>
    </w:p>
    <w:p>
      <w:pPr>
        <w:pStyle w:val="7"/>
        <w:widowControl/>
        <w:autoSpaceDE w:val="0"/>
        <w:autoSpaceDN w:val="0"/>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（二）已按审查合格的施工图纸消防设计要求建成，具备原建设工程消防验收或备案抽查条件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（三）已完成工程设计和合同约定的各项内容，节能分部工程使用的主要建筑材料、建筑构配件和设备的进场试验报告，以及工程质量检测和功能性试验资料齐全，具备原节能专项验收条件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（四）防雷工程已按照经审核批准的施工图施工完成，防雷装置经市气象主管机构委托具有资质的防雷检测机构检测符合设计要求，具备原防雷装置竣工验收条件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（五）有完整的工程档案资料，工程档案已按规定进行了整理、组卷等，具备档案专项验收条件</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供水、供电、燃气、通信等设施已按施工图纸设计要求建设完成</w:t>
      </w:r>
      <w:r>
        <w:rPr>
          <w:rFonts w:hint="eastAsia" w:ascii="仿宋_GB2312" w:hAnsi="仿宋" w:eastAsia="仿宋_GB2312" w:cs="仿宋"/>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lang w:eastAsia="zh-CN"/>
        </w:rPr>
        <w:t>）</w:t>
      </w:r>
      <w:r>
        <w:rPr>
          <w:rFonts w:hint="eastAsia" w:ascii="仿宋_GB2312" w:hAnsi="仿宋" w:eastAsia="仿宋_GB2312" w:cs="仿宋"/>
          <w:kern w:val="0"/>
          <w:sz w:val="32"/>
          <w:szCs w:val="32"/>
        </w:rPr>
        <w:t>行政主管部门及负责监督该工程的质量监督机构责令整改的问题全部整改完毕</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且由</w:t>
      </w:r>
      <w:r>
        <w:rPr>
          <w:rFonts w:hint="eastAsia" w:ascii="仿宋_GB2312" w:hAnsi="仿宋" w:eastAsia="仿宋_GB2312" w:cs="仿宋"/>
          <w:kern w:val="0"/>
          <w:sz w:val="32"/>
          <w:szCs w:val="32"/>
        </w:rPr>
        <w:t>质量监督机构出具的工程质量监督报告</w:t>
      </w:r>
      <w:r>
        <w:rPr>
          <w:rFonts w:hint="eastAsia" w:ascii="仿宋_GB2312" w:hAnsi="仿宋" w:eastAsia="仿宋_GB2312" w:cs="仿宋"/>
          <w:kern w:val="0"/>
          <w:sz w:val="32"/>
          <w:szCs w:val="32"/>
          <w:lang w:val="en-US" w:eastAsia="zh-CN"/>
        </w:rPr>
        <w:t>；</w:t>
      </w:r>
    </w:p>
    <w:p>
      <w:pPr>
        <w:pStyle w:val="7"/>
        <w:widowControl/>
        <w:adjustRightInd w:val="0"/>
        <w:snapToGrid w:val="0"/>
        <w:spacing w:beforeAutospacing="0" w:afterAutospacing="0" w:line="600" w:lineRule="exact"/>
        <w:ind w:firstLine="640" w:firstLineChars="200"/>
        <w:jc w:val="both"/>
        <w:rPr>
          <w:rFonts w:hint="eastAsia" w:ascii="仿宋_GB2312" w:hAnsi="仿宋" w:eastAsia="仿宋_GB2312"/>
          <w:kern w:val="0"/>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）其他法律法规要求完成的事项已完成</w:t>
      </w:r>
      <w:r>
        <w:rPr>
          <w:rFonts w:hint="eastAsia" w:ascii="仿宋_GB2312" w:hAnsi="仿宋" w:eastAsia="仿宋_GB2312" w:cs="仿宋"/>
          <w:kern w:val="0"/>
          <w:sz w:val="32"/>
          <w:szCs w:val="32"/>
          <w:lang w:eastAsia="zh-CN"/>
        </w:rPr>
        <w:t>。</w:t>
      </w:r>
    </w:p>
    <w:p>
      <w:pPr>
        <w:pStyle w:val="7"/>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eastAsia="zh-CN"/>
        </w:rPr>
        <w:t>第十条</w:t>
      </w:r>
      <w:r>
        <w:rPr>
          <w:rFonts w:hint="eastAsia" w:ascii="仿宋_GB2312" w:hAnsi="仿宋_GB2312" w:eastAsia="仿宋_GB2312" w:cs="仿宋_GB2312"/>
          <w:b/>
          <w:bCs/>
          <w:sz w:val="32"/>
          <w:szCs w:val="32"/>
        </w:rPr>
        <w:t>【政府投资项目验收条件】</w:t>
      </w:r>
      <w:r>
        <w:rPr>
          <w:rFonts w:hint="eastAsia" w:ascii="仿宋_GB2312" w:hAnsi="仿宋_GB2312" w:eastAsia="仿宋_GB2312" w:cs="仿宋_GB2312"/>
          <w:sz w:val="32"/>
          <w:szCs w:val="32"/>
        </w:rPr>
        <w:t>政府投资项目完工后，建设单位应按规定组织勘察、设计、施工、监理等单位进行竣工验收，各专项验收根据国家规定、行业技术标准及各主管部门所制定验收标准对消防、节能、防雷装置、建设工程档案、水土保持设施、人防工程等专项内容进行验收。</w:t>
      </w:r>
    </w:p>
    <w:p>
      <w:pPr>
        <w:pStyle w:val="7"/>
        <w:widowControl/>
        <w:adjustRightInd w:val="0"/>
        <w:snapToGrid w:val="0"/>
        <w:spacing w:beforeAutospacing="0" w:afterAutospacing="0" w:line="60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政府投资项目工程竣工验收合格后，建设单位应当于十五日内提出工程竣工验收报告。工程竣工验收报告应包括各专项验收情况。</w:t>
      </w:r>
    </w:p>
    <w:p>
      <w:pPr>
        <w:pStyle w:val="7"/>
        <w:widowControl/>
        <w:numPr>
          <w:ilvl w:val="0"/>
          <w:numId w:val="0"/>
        </w:numPr>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eastAsia="zh-CN"/>
        </w:rPr>
      </w:pPr>
    </w:p>
    <w:p>
      <w:pPr>
        <w:pStyle w:val="7"/>
        <w:widowControl/>
        <w:adjustRightInd w:val="0"/>
        <w:snapToGrid w:val="0"/>
        <w:spacing w:beforeAutospacing="0" w:afterAutospacing="0" w:line="600" w:lineRule="exact"/>
        <w:ind w:firstLine="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第二章</w:t>
      </w:r>
      <w:r>
        <w:rPr>
          <w:rFonts w:hint="eastAsia" w:ascii="黑体" w:hAnsi="黑体" w:eastAsia="黑体" w:cs="黑体"/>
          <w:b/>
          <w:bCs/>
          <w:sz w:val="32"/>
          <w:szCs w:val="32"/>
          <w:lang w:val="en-US" w:eastAsia="zh-CN"/>
        </w:rPr>
        <w:t xml:space="preserve"> 申请程序</w:t>
      </w:r>
    </w:p>
    <w:p>
      <w:pPr>
        <w:pStyle w:val="7"/>
        <w:widowControl/>
        <w:adjustRightInd w:val="0"/>
        <w:snapToGrid w:val="0"/>
        <w:spacing w:beforeAutospacing="0" w:afterAutospacing="0" w:line="600" w:lineRule="exact"/>
        <w:ind w:firstLine="651"/>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申请平台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建设单位通过投资项目在线审批监管平台提交所需的相关资料。各部门的业务系统与在线平台双向实时连同，相关资料及工作信息实时流转至在线平台。</w:t>
      </w:r>
    </w:p>
    <w:p>
      <w:pPr>
        <w:pStyle w:val="7"/>
        <w:widowControl/>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条【网上申报】</w:t>
      </w:r>
      <w:r>
        <w:rPr>
          <w:rFonts w:hint="eastAsia" w:ascii="仿宋_GB2312" w:hAnsi="仿宋_GB2312" w:eastAsia="仿宋_GB2312" w:cs="仿宋_GB2312"/>
          <w:sz w:val="32"/>
          <w:szCs w:val="32"/>
        </w:rPr>
        <w:t>建设项目完工并具备竣工验收条件的，通过“投资项目在线审批监管平台”（以下简称在线审批平台）中“竣工联合验收事项”中上传一套</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图纸（含消防、人防等专业部分）及相应资料。</w:t>
      </w:r>
    </w:p>
    <w:p>
      <w:pPr>
        <w:pStyle w:val="7"/>
        <w:widowControl/>
        <w:adjustRightInd w:val="0"/>
        <w:snapToGrid w:val="0"/>
        <w:spacing w:beforeAutospacing="0" w:afterAutospacing="0" w:line="600" w:lineRule="exact"/>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资料审查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建设单位网上申报后，各部门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对网上申报资料进行审查,通过在线平台反馈资料审查意见。申请材料不齐全或不符合法定形式的，各行政主管部门应一次性告知。</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预验收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建设单位网上申报后，牵头单位根据实际情况组织各相关部门召开联合验收预备会，听取建设单位详细汇报，并提出改进完善的意见建议。各专项验收主管部门可开展预验收服务。</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确定验收事项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建设单位根据工程竣工后必须进行的专项验收，在“在</w:t>
      </w:r>
      <w:r>
        <w:rPr>
          <w:rFonts w:hint="eastAsia" w:ascii="仿宋_GB2312" w:hAnsi="仿宋_GB2312" w:eastAsia="仿宋_GB2312" w:cs="仿宋_GB2312"/>
          <w:sz w:val="32"/>
          <w:szCs w:val="32"/>
        </w:rPr>
        <w:t>线审批平台</w:t>
      </w:r>
      <w:r>
        <w:rPr>
          <w:rFonts w:hint="eastAsia" w:ascii="仿宋_GB2312" w:hAnsi="仿宋_GB2312" w:eastAsia="仿宋_GB2312" w:cs="仿宋_GB2312"/>
          <w:sz w:val="32"/>
          <w:szCs w:val="32"/>
          <w:lang w:val="en-US" w:eastAsia="zh-CN"/>
        </w:rPr>
        <w:t>”上设置的验收事项及主管部门进行选择。各部门对不涉及本部门验收事项的项目，应在“资料审查”环节给予“不涉及”意见。对于不明确验收部门的验收事项，由对应验收市级主管部门进行协调并确定验收部门。</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审查结果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经审核，其中一个验收部门认为“不同意受理”的项目，视为联合验收申报资料“不同意受理”。各部门都给予“同意受理”意见后，视为资料审查通过，正式受理竣工联合验收申请。</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补齐补正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经审核，其中一项专项验收申报资料经一个验收部门审核认为需“补齐补正”的项目，视为联合验收申报资料需“补齐补正”。各部门都给予“合格”意见后，系统自动保留其上传资料及审核结果。每个项目最多进行两次补齐补正，每次时间不超过5个工作日。</w:t>
      </w:r>
    </w:p>
    <w:p>
      <w:pPr>
        <w:pStyle w:val="7"/>
        <w:widowControl/>
        <w:numPr>
          <w:ilvl w:val="0"/>
          <w:numId w:val="0"/>
        </w:numPr>
        <w:adjustRightInd w:val="0"/>
        <w:snapToGrid w:val="0"/>
        <w:spacing w:beforeAutospacing="0" w:afterAutospacing="0" w:line="600" w:lineRule="exact"/>
        <w:ind w:firstLine="0"/>
        <w:jc w:val="center"/>
        <w:rPr>
          <w:rFonts w:hint="eastAsia" w:ascii="黑体" w:hAnsi="黑体" w:eastAsia="黑体" w:cs="黑体"/>
          <w:b/>
          <w:bCs/>
          <w:sz w:val="32"/>
          <w:szCs w:val="32"/>
          <w:lang w:eastAsia="zh-CN"/>
        </w:rPr>
      </w:pPr>
    </w:p>
    <w:p>
      <w:pPr>
        <w:pStyle w:val="7"/>
        <w:widowControl/>
        <w:numPr>
          <w:ilvl w:val="0"/>
          <w:numId w:val="0"/>
        </w:numPr>
        <w:adjustRightInd w:val="0"/>
        <w:snapToGrid w:val="0"/>
        <w:spacing w:beforeAutospacing="0" w:afterAutospacing="0" w:line="600" w:lineRule="exact"/>
        <w:ind w:firstLine="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第三章</w:t>
      </w:r>
      <w:r>
        <w:rPr>
          <w:rFonts w:hint="eastAsia" w:ascii="黑体" w:hAnsi="黑体" w:eastAsia="黑体" w:cs="黑体"/>
          <w:b/>
          <w:bCs/>
          <w:sz w:val="32"/>
          <w:szCs w:val="32"/>
          <w:lang w:val="en-US" w:eastAsia="zh-CN"/>
        </w:rPr>
        <w:t xml:space="preserve"> 现场验收    </w:t>
      </w:r>
    </w:p>
    <w:p>
      <w:pPr>
        <w:pStyle w:val="7"/>
        <w:widowControl/>
        <w:numPr>
          <w:ilvl w:val="0"/>
          <w:numId w:val="0"/>
        </w:numPr>
        <w:adjustRightInd w:val="0"/>
        <w:snapToGrid w:val="0"/>
        <w:spacing w:beforeAutospacing="0" w:afterAutospacing="0" w:line="600" w:lineRule="exact"/>
        <w:ind w:firstLine="0" w:firstLineChars="0"/>
        <w:jc w:val="left"/>
        <w:rPr>
          <w:rFonts w:ascii="仿宋_GB2312" w:hAnsi="仿宋_GB2312" w:eastAsia="仿宋_GB2312" w:cs="仿宋_GB2312"/>
          <w:sz w:val="32"/>
          <w:szCs w:val="32"/>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验收预约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现场验收实行预约制。建设单位通过在线审批平台预约现场验收时间，可预约的范围为资料审查通过后第3～8个工作日内的任意半天。建设行政主管部门根据建设单位的申请，结合实际，确定现场验收时间。建设单位预约成功后，在线审批平台自动推送信息给各相关行政主管部门。</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组织验收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各行政主管部门必须在现场验收时间前1个工作日前通过在线审批平台</w:t>
      </w:r>
      <w:r>
        <w:rPr>
          <w:rFonts w:hint="eastAsia" w:ascii="仿宋_GB2312" w:hAnsi="仿宋" w:eastAsia="仿宋_GB2312" w:cs="仿宋"/>
          <w:sz w:val="32"/>
          <w:szCs w:val="32"/>
        </w:rPr>
        <w:t>反馈参验人员及联系电话，牵头部门负责落实现场参验人员名单的反馈工作。在现场验收时间前的</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个工作日内，平台自动短信提醒参验人员验收时间、地点等安排信息</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对于验收涉及的测量工作，实行一次委托、统一测绘、成果共享，验收测量数据纳入在线审批平台。</w:t>
      </w:r>
    </w:p>
    <w:p>
      <w:pPr>
        <w:pStyle w:val="7"/>
        <w:widowControl/>
        <w:numPr>
          <w:ilvl w:val="0"/>
          <w:numId w:val="0"/>
        </w:numPr>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专项验收意见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各行政主管部门应在</w:t>
      </w:r>
      <w:r>
        <w:rPr>
          <w:rFonts w:hint="eastAsia" w:ascii="仿宋_GB2312" w:hAnsi="仿宋_GB2312" w:eastAsia="仿宋_GB2312" w:cs="仿宋_GB2312"/>
          <w:sz w:val="32"/>
          <w:szCs w:val="32"/>
          <w:lang w:eastAsia="zh-CN"/>
        </w:rPr>
        <w:t>现场验收后</w:t>
      </w:r>
      <w:r>
        <w:rPr>
          <w:rFonts w:hint="eastAsia" w:ascii="仿宋_GB2312" w:hAnsi="仿宋_GB2312" w:eastAsia="仿宋_GB2312" w:cs="仿宋_GB2312"/>
          <w:sz w:val="32"/>
          <w:szCs w:val="32"/>
          <w:lang w:val="en-US" w:eastAsia="zh-CN"/>
        </w:rPr>
        <w:t>2个工作日</w:t>
      </w:r>
      <w:r>
        <w:rPr>
          <w:rFonts w:hint="eastAsia" w:ascii="仿宋_GB2312" w:hAnsi="仿宋_GB2312" w:eastAsia="仿宋_GB2312" w:cs="仿宋_GB2312"/>
          <w:sz w:val="32"/>
          <w:szCs w:val="32"/>
        </w:rPr>
        <w:t>内，通过在线审批平台填写验收意见。验收意见分为：“无意见”、“合格”、“不合格”。</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不需要组织该专项验收的，验收意见为：“无意见”。</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现场验收未发现不合格的，验收意见为：“合格”。</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现场验收有发现不合格的，通过在线审批平台一次性告知建设单位。建设单位应根据整改意见和相关规定及时进行整改。</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整改完成后，建设单位应组织勘察、设计、施工、监理等单位组成验收组，进行自验工作，形成自验报告。自验合格后，应通过在线审批平台上传自验报告，提出复验申请，复验材料同步推送各行政主管部门。已在平台上确认“验收合格”的部门，如果能够确认工程整改后不影响初次验收的结论，可不参加复验；需复验的部门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个工作日内自行前往现场复验。</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经复验未发现不合格的，验收意见为：“合格”；</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复验工作仍不合格的，验收意见为：“不合格”，并详细列明不合格的具体问题。</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逾期未提交复验申请的项目，在线审批平台自动填写验收意见：“不合格”。</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逾期未填写的，在线审批平台自动填写验收意见：“合格”。</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上述整改闭合工作和复查工作不计入竣工联合验收事项办理时限内。</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联合验收意见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各行政主管部门意见齐全后，在线审批平台即时自动生成联合验收意见书</w:t>
      </w:r>
      <w:r>
        <w:rPr>
          <w:rFonts w:hint="eastAsia" w:ascii="仿宋_GB2312" w:hAnsi="仿宋_GB2312" w:eastAsia="仿宋_GB2312" w:cs="仿宋_GB2312"/>
          <w:sz w:val="32"/>
          <w:szCs w:val="32"/>
          <w:lang w:eastAsia="zh-CN"/>
        </w:rPr>
        <w:t>，加盖各部门电子印章</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1.各专项验收意见无“不合格”的，结论为“合格”。</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2.各专项验收意见有“不合格”的，结论为“不合格”，并详细列明不合格的具体问题。</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建设单位牵头整改完成后，需重新提出联合验收申请。原已审查通过的材料不再重复提交，各行政主管部门可根据项目实际，自行决定职责范围内原已验收合格的专项验收结果是否继续有效。</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bCs/>
          <w:sz w:val="32"/>
          <w:szCs w:val="32"/>
        </w:rPr>
        <w:t>【工作效力】</w:t>
      </w:r>
      <w:r>
        <w:rPr>
          <w:rFonts w:hint="eastAsia" w:ascii="仿宋_GB2312" w:hAnsi="仿宋_GB2312" w:eastAsia="仿宋_GB2312" w:cs="仿宋_GB2312"/>
          <w:sz w:val="32"/>
          <w:szCs w:val="32"/>
        </w:rPr>
        <w:t>验收结论为“合格”的联合验收意见书</w:t>
      </w:r>
      <w:r>
        <w:rPr>
          <w:rFonts w:hint="eastAsia" w:ascii="仿宋_GB2312" w:hAnsi="仿宋_GB2312" w:eastAsia="仿宋_GB2312" w:cs="仿宋_GB2312"/>
          <w:sz w:val="32"/>
          <w:szCs w:val="32"/>
          <w:lang w:eastAsia="zh-CN"/>
        </w:rPr>
        <w:t>即为联合验收合格的统一确认文件，不再办理工程竣工验收备案</w:t>
      </w:r>
      <w:r>
        <w:rPr>
          <w:rFonts w:hint="eastAsia" w:ascii="仿宋_GB2312" w:hAnsi="仿宋_GB2312" w:eastAsia="仿宋_GB2312" w:cs="仿宋_GB2312"/>
          <w:sz w:val="32"/>
          <w:szCs w:val="32"/>
        </w:rPr>
        <w:t>。</w:t>
      </w:r>
    </w:p>
    <w:p>
      <w:pPr>
        <w:pStyle w:val="7"/>
        <w:widowControl/>
        <w:numPr>
          <w:ilvl w:val="0"/>
          <w:numId w:val="0"/>
        </w:numPr>
        <w:adjustRightInd w:val="0"/>
        <w:snapToGrid w:val="0"/>
        <w:spacing w:beforeAutospacing="0" w:afterAutospacing="0" w:line="600" w:lineRule="exact"/>
        <w:ind w:firstLine="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建设单位持“联合验收意见书”办理不动产登记、房屋销售等后续手续，原则上竣工联合验收之外，各部门不再进行核验。</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条【办理时限】</w:t>
      </w:r>
      <w:r>
        <w:rPr>
          <w:rFonts w:hint="eastAsia" w:ascii="仿宋_GB2312" w:hAnsi="仿宋_GB2312" w:eastAsia="仿宋_GB2312" w:cs="仿宋_GB2312"/>
          <w:sz w:val="32"/>
          <w:szCs w:val="32"/>
        </w:rPr>
        <w:t>验收办理时限为10个工作日，自现场验收之日起计算，至在在线平台填写意见结束。</w:t>
      </w:r>
    </w:p>
    <w:p>
      <w:pPr>
        <w:pStyle w:val="7"/>
        <w:widowControl/>
        <w:adjustRightInd w:val="0"/>
        <w:snapToGrid w:val="0"/>
        <w:spacing w:beforeAutospacing="0" w:afterAutospacing="0" w:line="600" w:lineRule="exact"/>
        <w:ind w:firstLine="64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如有整改，项目责任主体整改闭合工作期限最长为15个工作日，各行政主管部门复查工作期限最长为3个工作日</w:t>
      </w:r>
      <w:r>
        <w:rPr>
          <w:rFonts w:hint="eastAsia" w:ascii="仿宋_GB2312" w:hAnsi="仿宋_GB2312" w:eastAsia="仿宋_GB2312" w:cs="仿宋_GB2312"/>
          <w:sz w:val="32"/>
          <w:szCs w:val="32"/>
          <w:lang w:eastAsia="zh-CN"/>
        </w:rPr>
        <w:t>。</w:t>
      </w:r>
    </w:p>
    <w:p>
      <w:pPr>
        <w:pStyle w:val="7"/>
        <w:widowControl/>
        <w:adjustRightInd w:val="0"/>
        <w:snapToGrid w:val="0"/>
        <w:spacing w:beforeAutospacing="0" w:afterAutospacing="0" w:line="600" w:lineRule="exact"/>
        <w:ind w:firstLine="0" w:firstLineChars="0"/>
        <w:jc w:val="both"/>
        <w:rPr>
          <w:rFonts w:hint="eastAsia" w:ascii="黑体" w:hAnsi="黑体" w:eastAsia="黑体" w:cs="黑体"/>
          <w:sz w:val="32"/>
          <w:szCs w:val="32"/>
        </w:rPr>
      </w:pP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sz w:val="32"/>
          <w:szCs w:val="32"/>
        </w:rPr>
      </w:pPr>
      <w:r>
        <w:rPr>
          <w:rFonts w:hint="eastAsia" w:ascii="黑体" w:hAnsi="黑体" w:eastAsia="黑体" w:cs="黑体"/>
          <w:b/>
          <w:bCs/>
          <w:sz w:val="32"/>
          <w:szCs w:val="32"/>
          <w:lang w:eastAsia="zh-CN"/>
        </w:rPr>
        <w:t>第四章</w:t>
      </w:r>
      <w:r>
        <w:rPr>
          <w:rFonts w:hint="eastAsia" w:ascii="黑体" w:hAnsi="黑体" w:eastAsia="黑体" w:cs="黑体"/>
          <w:b/>
          <w:bCs/>
          <w:sz w:val="32"/>
          <w:szCs w:val="32"/>
          <w:lang w:val="en-US" w:eastAsia="zh-CN"/>
        </w:rPr>
        <w:t xml:space="preserve"> 档案管理</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条【档案管理】</w:t>
      </w:r>
      <w:r>
        <w:rPr>
          <w:rFonts w:hint="eastAsia" w:ascii="仿宋_GB2312" w:hAnsi="仿宋_GB2312" w:eastAsia="仿宋_GB2312" w:cs="仿宋_GB2312"/>
          <w:sz w:val="32"/>
          <w:szCs w:val="32"/>
        </w:rPr>
        <w:t>验收合格后，在线审批平台系统自动生成竣工联合验收电子档案，推送至各行政主管部门保存和管理，实现信息共享。各行政主管部门可根据工作需要，进行纸质文件档案的收集和存档备案。</w:t>
      </w: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val="en-US" w:eastAsia="zh-CN"/>
        </w:rPr>
      </w:pPr>
    </w:p>
    <w:p>
      <w:pPr>
        <w:pStyle w:val="7"/>
        <w:widowControl/>
        <w:adjustRightInd w:val="0"/>
        <w:snapToGrid w:val="0"/>
        <w:spacing w:beforeAutospacing="0" w:afterAutospacing="0" w:line="600" w:lineRule="exact"/>
        <w:ind w:firstLine="0" w:firstLineChars="0"/>
        <w:jc w:val="center"/>
        <w:rPr>
          <w:rFonts w:hint="eastAsia" w:ascii="仿宋_GB2312" w:hAnsi="仿宋_GB2312" w:eastAsia="仿宋_GB2312" w:cs="仿宋_GB2312"/>
          <w:color w:val="040404"/>
          <w:sz w:val="32"/>
          <w:szCs w:val="32"/>
          <w:shd w:val="clear" w:color="auto" w:fill="FFFFFF"/>
        </w:rPr>
      </w:pPr>
      <w:r>
        <w:rPr>
          <w:rFonts w:hint="eastAsia" w:ascii="黑体" w:hAnsi="黑体" w:eastAsia="黑体" w:cs="黑体"/>
          <w:b/>
          <w:bCs/>
          <w:sz w:val="32"/>
          <w:szCs w:val="32"/>
          <w:lang w:val="en-US" w:eastAsia="zh-CN"/>
        </w:rPr>
        <w:t>第五章 接养移交</w:t>
      </w:r>
    </w:p>
    <w:p>
      <w:pPr>
        <w:spacing w:line="56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道路工程交工验收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对于已完工并具备使用条件的</w:t>
      </w:r>
      <w:r>
        <w:rPr>
          <w:rFonts w:hint="eastAsia" w:ascii="仿宋_GB2312" w:hAnsi="仿宋_GB2312" w:eastAsia="仿宋_GB2312" w:cs="仿宋_GB2312"/>
          <w:b w:val="0"/>
          <w:bCs w:val="0"/>
          <w:sz w:val="32"/>
          <w:szCs w:val="32"/>
          <w:lang w:val="en-US" w:eastAsia="zh-CN"/>
        </w:rPr>
        <w:t>道路</w:t>
      </w:r>
      <w:r>
        <w:rPr>
          <w:rFonts w:hint="eastAsia" w:ascii="仿宋_GB2312" w:hAnsi="仿宋_GB2312" w:eastAsia="仿宋_GB2312" w:cs="仿宋_GB2312"/>
          <w:b w:val="0"/>
          <w:bCs w:val="0"/>
          <w:sz w:val="32"/>
          <w:szCs w:val="32"/>
        </w:rPr>
        <w:t>工程，需开放交通的，建设单位可先行组织交工验收，同时应满足相关部门的要求，确保交通运营安全。待项目符合联合竣工验收条件后，应及时组织项目联合竣工验收。</w:t>
      </w:r>
    </w:p>
    <w:p>
      <w:pPr>
        <w:spacing w:line="560" w:lineRule="exact"/>
        <w:ind w:firstLine="642" w:firstLineChars="200"/>
        <w:rPr>
          <w:rFonts w:hint="eastAsia" w:ascii="仿宋_GB2312" w:hAnsi="仿宋" w:eastAsia="仿宋_GB2312"/>
          <w:bCs/>
          <w:kern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道路工程接养和移交</w:t>
      </w:r>
      <w:r>
        <w:rPr>
          <w:rFonts w:hint="eastAsia" w:ascii="仿宋_GB2312" w:hAnsi="仿宋_GB2312" w:eastAsia="仿宋_GB2312" w:cs="仿宋_GB2312"/>
          <w:b/>
          <w:bCs/>
          <w:sz w:val="32"/>
          <w:szCs w:val="32"/>
        </w:rPr>
        <w:t>】</w:t>
      </w:r>
      <w:r>
        <w:rPr>
          <w:rFonts w:hint="eastAsia" w:ascii="仿宋_GB2312" w:hAnsi="仿宋" w:eastAsia="仿宋_GB2312"/>
          <w:bCs/>
          <w:kern w:val="0"/>
          <w:sz w:val="32"/>
          <w:szCs w:val="32"/>
        </w:rPr>
        <w:t>建</w:t>
      </w:r>
      <w:r>
        <w:rPr>
          <w:rFonts w:hint="eastAsia" w:ascii="仿宋_GB2312" w:hAnsi="仿宋_GB2312" w:eastAsia="仿宋_GB2312" w:cs="仿宋_GB2312"/>
          <w:bCs w:val="0"/>
          <w:kern w:val="0"/>
          <w:sz w:val="32"/>
          <w:szCs w:val="32"/>
        </w:rPr>
        <w:t>设单位</w:t>
      </w:r>
      <w:r>
        <w:rPr>
          <w:rFonts w:hint="eastAsia" w:ascii="仿宋_GB2312" w:hAnsi="仿宋_GB2312" w:eastAsia="仿宋_GB2312" w:cs="仿宋_GB2312"/>
          <w:bCs w:val="0"/>
          <w:color w:val="auto"/>
          <w:kern w:val="0"/>
          <w:sz w:val="32"/>
          <w:szCs w:val="32"/>
        </w:rPr>
        <w:t>原则上</w:t>
      </w:r>
      <w:r>
        <w:rPr>
          <w:rFonts w:hint="eastAsia" w:ascii="仿宋_GB2312" w:hAnsi="仿宋_GB2312" w:eastAsia="仿宋_GB2312" w:cs="仿宋_GB2312"/>
          <w:bCs w:val="0"/>
          <w:kern w:val="0"/>
          <w:sz w:val="32"/>
          <w:szCs w:val="32"/>
        </w:rPr>
        <w:t>要在联合竣工验收或交工验收前3 个月向所在辖区实物接管单位书面发函通报拟移交工程概况，行政主管部门针对拟接</w:t>
      </w:r>
      <w:r>
        <w:rPr>
          <w:rFonts w:hint="eastAsia" w:ascii="仿宋_GB2312" w:hAnsi="仿宋" w:eastAsia="仿宋_GB2312"/>
          <w:bCs/>
          <w:kern w:val="0"/>
          <w:sz w:val="32"/>
          <w:szCs w:val="32"/>
        </w:rPr>
        <w:t>管道路设施情况建立台账，实现道路设施从建设移交到管理养护环节的无缝对接。</w:t>
      </w:r>
    </w:p>
    <w:p>
      <w:pPr>
        <w:spacing w:line="560" w:lineRule="exact"/>
        <w:ind w:firstLine="640" w:firstLineChars="200"/>
        <w:rPr>
          <w:rFonts w:hint="default" w:ascii="仿宋_GB2312" w:hAnsi="仿宋" w:eastAsia="仿宋_GB2312"/>
          <w:bCs/>
          <w:kern w:val="0"/>
          <w:sz w:val="32"/>
          <w:szCs w:val="32"/>
          <w:lang w:val="en-US" w:eastAsia="zh-CN"/>
        </w:rPr>
      </w:pPr>
      <w:r>
        <w:rPr>
          <w:rFonts w:hint="eastAsia" w:ascii="仿宋_GB2312" w:hAnsi="仿宋" w:eastAsia="仿宋_GB2312"/>
          <w:kern w:val="0"/>
          <w:sz w:val="32"/>
          <w:szCs w:val="32"/>
        </w:rPr>
        <w:t>建设单位要按照《道路设施移交管理办法</w:t>
      </w:r>
      <w:r>
        <w:rPr>
          <w:rFonts w:ascii="仿宋_GB2312" w:hAnsi="仿宋" w:eastAsia="仿宋_GB2312"/>
          <w:kern w:val="0"/>
          <w:sz w:val="32"/>
          <w:szCs w:val="32"/>
        </w:rPr>
        <w:t>(</w:t>
      </w:r>
      <w:r>
        <w:rPr>
          <w:rFonts w:hint="eastAsia" w:ascii="仿宋_GB2312" w:hAnsi="仿宋" w:eastAsia="仿宋_GB2312"/>
          <w:kern w:val="0"/>
          <w:sz w:val="32"/>
          <w:szCs w:val="32"/>
        </w:rPr>
        <w:t>试行</w:t>
      </w:r>
      <w:r>
        <w:rPr>
          <w:rFonts w:ascii="仿宋_GB2312" w:hAnsi="仿宋" w:eastAsia="仿宋_GB2312"/>
          <w:kern w:val="0"/>
          <w:sz w:val="32"/>
          <w:szCs w:val="32"/>
        </w:rPr>
        <w:t>)</w:t>
      </w:r>
      <w:r>
        <w:rPr>
          <w:rFonts w:hint="eastAsia" w:ascii="仿宋_GB2312" w:hAnsi="仿宋" w:eastAsia="仿宋_GB2312"/>
          <w:kern w:val="0"/>
          <w:sz w:val="32"/>
          <w:szCs w:val="32"/>
        </w:rPr>
        <w:t>》办理移交手续，联合竣工验收或交工验收前应具有工程质量保修书和接（管）养意见书。</w:t>
      </w:r>
      <w:r>
        <w:rPr>
          <w:rFonts w:hint="eastAsia" w:ascii="仿宋_GB2312" w:hAnsi="仿宋" w:eastAsia="仿宋_GB2312"/>
          <w:bCs/>
          <w:kern w:val="0"/>
          <w:sz w:val="32"/>
          <w:szCs w:val="32"/>
        </w:rPr>
        <w:t>联合竣工验收或交工验收（许先行交付使用的）</w:t>
      </w:r>
      <w:r>
        <w:rPr>
          <w:rFonts w:hint="eastAsia" w:ascii="仿宋_GB2312" w:hAnsi="仿宋" w:eastAsia="仿宋_GB2312"/>
          <w:kern w:val="0"/>
          <w:sz w:val="32"/>
          <w:szCs w:val="32"/>
        </w:rPr>
        <w:t>合格之日起，即为正式接（管）养之日，视为实物移交，项目</w:t>
      </w:r>
      <w:r>
        <w:rPr>
          <w:rFonts w:hint="eastAsia" w:ascii="仿宋_GB2312" w:hAnsi="仿宋" w:eastAsia="仿宋_GB2312"/>
          <w:bCs/>
          <w:kern w:val="0"/>
          <w:sz w:val="32"/>
          <w:szCs w:val="32"/>
          <w:shd w:val="clear" w:color="auto" w:fill="FFFFFF"/>
        </w:rPr>
        <w:t>接（管）养单位应及时完善移交手续，并</w:t>
      </w:r>
      <w:r>
        <w:rPr>
          <w:rFonts w:hint="eastAsia" w:ascii="仿宋_GB2312" w:hAnsi="仿宋" w:eastAsia="仿宋_GB2312"/>
          <w:kern w:val="0"/>
          <w:sz w:val="32"/>
          <w:szCs w:val="32"/>
        </w:rPr>
        <w:t>安排日常养护企业开展道路设施养护工作。</w:t>
      </w:r>
    </w:p>
    <w:p>
      <w:pPr>
        <w:pStyle w:val="7"/>
        <w:widowControl/>
        <w:adjustRightInd w:val="0"/>
        <w:snapToGrid w:val="0"/>
        <w:spacing w:beforeAutospacing="0" w:afterAutospacing="0" w:line="600" w:lineRule="exact"/>
        <w:ind w:firstLine="0" w:firstLineChars="0"/>
        <w:jc w:val="center"/>
        <w:rPr>
          <w:rFonts w:hint="eastAsia" w:ascii="黑体" w:hAnsi="黑体" w:eastAsia="黑体" w:cs="黑体"/>
          <w:b/>
          <w:bCs/>
          <w:sz w:val="32"/>
          <w:szCs w:val="32"/>
          <w:lang w:val="en-US" w:eastAsia="zh-CN"/>
        </w:rPr>
      </w:pPr>
    </w:p>
    <w:p>
      <w:pPr>
        <w:pStyle w:val="7"/>
        <w:widowControl/>
        <w:adjustRightInd w:val="0"/>
        <w:snapToGrid w:val="0"/>
        <w:spacing w:beforeAutospacing="0" w:afterAutospacing="0" w:line="600" w:lineRule="exact"/>
        <w:ind w:firstLine="0"/>
        <w:jc w:val="center"/>
        <w:rPr>
          <w:rFonts w:hint="eastAsia" w:ascii="仿宋_GB2312" w:hAnsi="仿宋_GB2312" w:eastAsia="仿宋_GB2312" w:cs="仿宋_GB2312"/>
          <w:b/>
          <w:bCs/>
          <w:sz w:val="32"/>
          <w:szCs w:val="32"/>
        </w:rPr>
      </w:pPr>
      <w:r>
        <w:rPr>
          <w:rFonts w:hint="eastAsia" w:ascii="黑体" w:hAnsi="黑体" w:eastAsia="黑体" w:cs="黑体"/>
          <w:b/>
          <w:bCs/>
          <w:sz w:val="32"/>
          <w:szCs w:val="32"/>
          <w:lang w:val="en-US" w:eastAsia="zh-CN"/>
        </w:rPr>
        <w:t>第六章 附则</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条【项目责任主体责任】</w:t>
      </w:r>
      <w:r>
        <w:rPr>
          <w:rFonts w:hint="eastAsia" w:ascii="仿宋_GB2312" w:hAnsi="仿宋_GB2312" w:eastAsia="仿宋_GB2312" w:cs="仿宋_GB2312"/>
          <w:sz w:val="32"/>
          <w:szCs w:val="32"/>
        </w:rPr>
        <w:t>建设单位应按照有关法律法规、技术规范和专业标准，组织自验工作，提出联合验收申请。设计单位、勘察单位、施工单位和监理单位应根据有关法律法规、技术规范和专业标准，履行施工过程质量控制职责，按规定参加验收工作。建设单位、设计单位、勘察单位、施工单位和监理单位按照现行法律法规，对联合验收工作承担法定责任。</w:t>
      </w:r>
    </w:p>
    <w:p>
      <w:pPr>
        <w:pStyle w:val="7"/>
        <w:widowControl/>
        <w:adjustRightInd w:val="0"/>
        <w:snapToGrid w:val="0"/>
        <w:spacing w:beforeAutospacing="0" w:afterAutospacing="0" w:line="60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条【项目主要负责人责任】</w:t>
      </w:r>
      <w:r>
        <w:rPr>
          <w:rFonts w:hint="eastAsia" w:ascii="仿宋_GB2312" w:hAnsi="仿宋_GB2312" w:eastAsia="仿宋_GB2312" w:cs="仿宋_GB2312"/>
          <w:sz w:val="32"/>
          <w:szCs w:val="32"/>
        </w:rPr>
        <w:t>建设单位、设计单位、勘察单位、施工单位和监理单位五方责任主体项目负责人应按规定参加验收工作，并按照《</w:t>
      </w:r>
      <w:r>
        <w:rPr>
          <w:rFonts w:ascii="仿宋_GB2312" w:hAnsi="仿宋_GB2312" w:eastAsia="仿宋_GB2312" w:cs="仿宋_GB2312"/>
          <w:sz w:val="32"/>
          <w:szCs w:val="32"/>
        </w:rPr>
        <w:t>建筑工程五方责任主体项目负责人质量终身责任追究暂行办法</w:t>
      </w:r>
      <w:r>
        <w:rPr>
          <w:rFonts w:hint="eastAsia" w:ascii="仿宋_GB2312" w:hAnsi="仿宋_GB2312" w:eastAsia="仿宋_GB2312" w:cs="仿宋_GB2312"/>
          <w:sz w:val="32"/>
          <w:szCs w:val="32"/>
        </w:rPr>
        <w:t>》（建质〔2014〕124号）等规定，承担质量终身责任。</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部门职责</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color w:val="040404"/>
          <w:sz w:val="32"/>
          <w:szCs w:val="32"/>
          <w:shd w:val="clear" w:color="auto" w:fill="FFFFFF"/>
          <w:lang w:eastAsia="zh-CN"/>
        </w:rPr>
        <w:t>竣工联合验收不改变各验收部门的管理职责。</w:t>
      </w:r>
      <w:r>
        <w:rPr>
          <w:rFonts w:hint="eastAsia" w:ascii="仿宋_GB2312" w:hAnsi="仿宋_GB2312" w:eastAsia="仿宋_GB2312" w:cs="仿宋_GB2312"/>
          <w:color w:val="040404"/>
          <w:sz w:val="32"/>
          <w:szCs w:val="32"/>
          <w:shd w:val="clear" w:color="auto" w:fill="FFFFFF"/>
        </w:rPr>
        <w:t>涉</w:t>
      </w:r>
      <w:r>
        <w:rPr>
          <w:rFonts w:hint="eastAsia" w:ascii="仿宋_GB2312" w:hAnsi="仿宋_GB2312" w:eastAsia="仿宋_GB2312" w:cs="仿宋_GB2312"/>
          <w:sz w:val="32"/>
          <w:szCs w:val="32"/>
        </w:rPr>
        <w:t>及的信访投诉、行政复议及行政诉讼等，按照部门分工由对应的行政主管部门负责跟踪处理。</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十条【信用管理】</w:t>
      </w:r>
      <w:r>
        <w:rPr>
          <w:rFonts w:hint="eastAsia" w:ascii="仿宋_GB2312" w:hAnsi="仿宋_GB2312" w:eastAsia="仿宋_GB2312" w:cs="仿宋_GB2312"/>
          <w:sz w:val="32"/>
          <w:szCs w:val="32"/>
        </w:rPr>
        <w:t>行政主管部门依托工程建设项目审批信用信息平台，结合工程建设项目责任主体和项目主要负责人的信用状况，对信用状况不佳的项目，可加大抽查的范围和频次；对信用状况良好的项目，可减少抽查的范围和频次，直至免于抽查。</w:t>
      </w:r>
    </w:p>
    <w:p>
      <w:pPr>
        <w:pStyle w:val="7"/>
        <w:widowControl/>
        <w:adjustRightInd w:val="0"/>
        <w:snapToGrid w:val="0"/>
        <w:spacing w:beforeAutospacing="0" w:afterAutospacing="0" w:line="60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经费保障</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sz w:val="32"/>
          <w:szCs w:val="32"/>
        </w:rPr>
        <w:t>行政主管部门组织</w:t>
      </w:r>
      <w:r>
        <w:rPr>
          <w:rFonts w:hint="eastAsia" w:ascii="仿宋_GB2312" w:hAnsi="仿宋_GB2312" w:eastAsia="仿宋_GB2312" w:cs="仿宋_GB2312"/>
          <w:color w:val="040404"/>
          <w:sz w:val="32"/>
          <w:szCs w:val="32"/>
          <w:shd w:val="clear" w:color="auto" w:fill="FFFFFF"/>
        </w:rPr>
        <w:t>联合验收所需经费列入部门预算，由财政予以保障；建设单位组织联合验收（含竣（完）工验收和其他专项验收）所需经费列入项目总概算，从建设管理费中列支。</w:t>
      </w:r>
    </w:p>
    <w:p>
      <w:pPr>
        <w:pStyle w:val="7"/>
        <w:widowControl/>
        <w:adjustRightInd w:val="0"/>
        <w:snapToGrid w:val="0"/>
        <w:spacing w:beforeAutospacing="0" w:afterAutospacing="0"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实施细则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、交通、水务</w:t>
      </w:r>
      <w:r>
        <w:rPr>
          <w:rFonts w:hint="eastAsia" w:ascii="仿宋_GB2312" w:hAnsi="仿宋_GB2312" w:eastAsia="仿宋_GB2312" w:cs="仿宋_GB2312"/>
          <w:sz w:val="32"/>
          <w:szCs w:val="32"/>
          <w:lang w:eastAsia="zh-CN"/>
        </w:rPr>
        <w:t>行政主管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等联合验收牵头部门</w:t>
      </w:r>
      <w:r>
        <w:rPr>
          <w:rFonts w:hint="eastAsia" w:ascii="仿宋_GB2312" w:hAnsi="仿宋_GB2312" w:eastAsia="仿宋_GB2312" w:cs="仿宋_GB2312"/>
          <w:sz w:val="32"/>
          <w:szCs w:val="32"/>
        </w:rPr>
        <w:t>可结合本行业实际情况，制定验收工作指引</w:t>
      </w:r>
      <w:r>
        <w:rPr>
          <w:rFonts w:hint="eastAsia" w:ascii="仿宋_GB2312" w:hAnsi="仿宋_GB2312" w:eastAsia="仿宋_GB2312" w:cs="仿宋_GB2312"/>
          <w:sz w:val="32"/>
          <w:szCs w:val="32"/>
          <w:lang w:eastAsia="zh-CN"/>
        </w:rPr>
        <w:t>或实施细则</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 【解释主体】</w:t>
      </w:r>
      <w:r>
        <w:rPr>
          <w:rFonts w:hint="eastAsia" w:ascii="仿宋_GB2312" w:hAnsi="仿宋_GB2312" w:eastAsia="仿宋_GB2312" w:cs="仿宋_GB2312"/>
          <w:sz w:val="32"/>
          <w:szCs w:val="32"/>
        </w:rPr>
        <w:t>本办法由市建设行政主管部门负责解释。</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 【生效时间】</w:t>
      </w:r>
      <w:r>
        <w:rPr>
          <w:rFonts w:hint="eastAsia" w:ascii="仿宋_GB2312" w:hAnsi="仿宋_GB2312" w:eastAsia="仿宋_GB2312" w:cs="仿宋_GB2312"/>
          <w:sz w:val="32"/>
          <w:szCs w:val="32"/>
        </w:rPr>
        <w:t>本办法自发布之日起施行。</w:t>
      </w:r>
    </w:p>
    <w:p>
      <w:pPr>
        <w:spacing w:line="240" w:lineRule="auto"/>
        <w:ind w:firstLine="0"/>
        <w:rPr>
          <w:rFonts w:ascii="仿宋_GB2312" w:hAnsi="仿宋" w:eastAsia="仿宋_GB2312"/>
          <w:sz w:val="32"/>
          <w:szCs w:val="32"/>
        </w:rPr>
      </w:pPr>
      <w:r>
        <w:rPr>
          <w:rFonts w:hint="eastAsia" w:ascii="仿宋_GB2312" w:hAnsi="仿宋_GB2312" w:eastAsia="仿宋_GB2312" w:cs="仿宋_GB2312"/>
          <w:b w:val="0"/>
          <w:sz w:val="32"/>
          <w:szCs w:val="32"/>
          <w:lang w:val="en-US" w:eastAsia="zh-CN"/>
        </w:rPr>
        <w:t xml:space="preserve">    附件：1.</w:t>
      </w:r>
      <w:r>
        <w:rPr>
          <w:rFonts w:hint="eastAsia" w:ascii="仿宋_GB2312" w:hAnsi="仿宋" w:eastAsia="仿宋_GB2312"/>
          <w:sz w:val="32"/>
          <w:szCs w:val="32"/>
          <w:lang w:eastAsia="zh-CN"/>
        </w:rPr>
        <w:t>深圳市</w:t>
      </w:r>
      <w:r>
        <w:rPr>
          <w:rFonts w:hint="eastAsia" w:ascii="仿宋_GB2312" w:hAnsi="仿宋" w:eastAsia="仿宋_GB2312"/>
          <w:sz w:val="32"/>
          <w:szCs w:val="32"/>
          <w:lang w:val="en-US" w:eastAsia="zh-CN"/>
        </w:rPr>
        <w:t>建设</w:t>
      </w:r>
      <w:r>
        <w:rPr>
          <w:rFonts w:hint="eastAsia" w:ascii="仿宋_GB2312" w:hAnsi="仿宋" w:eastAsia="仿宋_GB2312"/>
          <w:sz w:val="32"/>
          <w:szCs w:val="32"/>
          <w:lang w:eastAsia="zh-CN"/>
        </w:rPr>
        <w:t>工程竣工联合验收办事指南</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lang w:eastAsia="zh-CN"/>
        </w:rPr>
        <w:t>深圳市建设工程项目竣工联合验收申请表</w:t>
      </w:r>
    </w:p>
    <w:p>
      <w:pPr>
        <w:spacing w:line="560" w:lineRule="exact"/>
        <w:ind w:firstLine="57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lang w:val="en-US" w:eastAsia="zh-CN"/>
        </w:rPr>
        <w:t>深圳市社会投资房屋建筑和市政基础设施工程</w:t>
      </w:r>
    </w:p>
    <w:p>
      <w:pPr>
        <w:spacing w:line="560" w:lineRule="exact"/>
        <w:ind w:firstLine="57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竣工联合验收意见书</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深圳市</w:t>
      </w:r>
      <w:r>
        <w:rPr>
          <w:rFonts w:hint="eastAsia" w:ascii="仿宋_GB2312" w:hAnsi="仿宋" w:eastAsia="仿宋_GB2312"/>
          <w:sz w:val="32"/>
          <w:szCs w:val="32"/>
          <w:lang w:eastAsia="zh-CN"/>
        </w:rPr>
        <w:t>建设</w:t>
      </w:r>
      <w:r>
        <w:rPr>
          <w:rFonts w:hint="eastAsia" w:ascii="仿宋_GB2312" w:hAnsi="仿宋" w:eastAsia="仿宋_GB2312"/>
          <w:sz w:val="32"/>
          <w:szCs w:val="32"/>
        </w:rPr>
        <w:t>工程联合竣工验收报告</w:t>
      </w:r>
    </w:p>
    <w:p>
      <w:pPr>
        <w:spacing w:line="560" w:lineRule="exact"/>
        <w:ind w:firstLine="570"/>
        <w:rPr>
          <w:rFonts w:ascii="仿宋_GB2312" w:hAnsi="仿宋" w:eastAsia="仿宋_GB2312"/>
          <w:sz w:val="32"/>
          <w:szCs w:val="32"/>
        </w:rPr>
      </w:pP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.接（管）养意见书</w:t>
      </w: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spacing w:line="560" w:lineRule="exact"/>
        <w:ind w:firstLine="570"/>
        <w:rPr>
          <w:rFonts w:ascii="仿宋_GB2312" w:hAnsi="仿宋" w:eastAsia="仿宋_GB2312"/>
          <w:sz w:val="32"/>
          <w:szCs w:val="32"/>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rFonts w:hint="eastAsia" w:ascii="仿宋_GB2312" w:hAnsi="仿宋_GB2312" w:eastAsia="仿宋_GB2312" w:cs="仿宋_GB2312"/>
          <w:b/>
          <w:bCs/>
          <w:color w:val="000000"/>
          <w:sz w:val="40"/>
          <w:szCs w:val="40"/>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p>
    <w:p>
      <w:pPr>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1</w:t>
      </w:r>
    </w:p>
    <w:p>
      <w:pPr>
        <w:jc w:val="center"/>
        <w:rPr>
          <w:rFonts w:hint="eastAsia" w:ascii="仿宋_GB2312" w:hAnsi="仿宋_GB2312" w:eastAsia="仿宋_GB2312" w:cs="仿宋_GB2312"/>
          <w:b/>
          <w:bCs/>
          <w:color w:val="000000"/>
          <w:sz w:val="40"/>
          <w:szCs w:val="40"/>
          <w:lang w:eastAsia="zh-CN"/>
        </w:rPr>
      </w:pPr>
    </w:p>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40"/>
          <w:szCs w:val="40"/>
          <w:lang w:eastAsia="zh-CN"/>
        </w:rPr>
        <w:t>深圳市</w:t>
      </w:r>
      <w:r>
        <w:rPr>
          <w:rFonts w:hint="eastAsia" w:ascii="仿宋_GB2312" w:hAnsi="仿宋_GB2312" w:eastAsia="仿宋_GB2312" w:cs="仿宋_GB2312"/>
          <w:b/>
          <w:bCs/>
          <w:color w:val="000000"/>
          <w:sz w:val="40"/>
          <w:szCs w:val="40"/>
          <w:lang w:val="en-US" w:eastAsia="zh-CN"/>
        </w:rPr>
        <w:t>建设</w:t>
      </w:r>
      <w:r>
        <w:rPr>
          <w:rFonts w:hint="eastAsia" w:ascii="仿宋_GB2312" w:hAnsi="仿宋_GB2312" w:eastAsia="仿宋_GB2312" w:cs="仿宋_GB2312"/>
          <w:b/>
          <w:bCs/>
          <w:color w:val="000000"/>
          <w:sz w:val="40"/>
          <w:szCs w:val="40"/>
          <w:lang w:eastAsia="zh-CN"/>
        </w:rPr>
        <w:t>工程竣工联合验收办事指南</w:t>
      </w:r>
    </w:p>
    <w:p>
      <w:pPr>
        <w:widowControl w:val="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rPr>
          <w:rFonts w:hint="eastAsia" w:ascii="黑体" w:hAnsi="黑体" w:eastAsia="黑体" w:cs="黑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b/>
          <w:bCs/>
          <w:color w:val="000000"/>
          <w:sz w:val="32"/>
          <w:szCs w:val="32"/>
        </w:rPr>
        <w:t>一、</w:t>
      </w:r>
      <w:r>
        <w:rPr>
          <w:rFonts w:hint="eastAsia" w:ascii="黑体" w:hAnsi="黑体" w:eastAsia="黑体" w:cs="黑体"/>
          <w:b/>
          <w:bCs/>
          <w:color w:val="000000"/>
          <w:sz w:val="32"/>
          <w:szCs w:val="32"/>
          <w:lang w:eastAsia="zh-CN"/>
        </w:rPr>
        <w:t>事项名称</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lang w:val="en-US" w:eastAsia="zh-CN" w:bidi="ar-SA"/>
        </w:rPr>
        <w:t xml:space="preserve">  深圳市建设工程竣工联合验收</w:t>
      </w:r>
    </w:p>
    <w:p>
      <w:pPr>
        <w:numPr>
          <w:ilvl w:val="0"/>
          <w:numId w:val="1"/>
        </w:numPr>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受理范围</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本办法适用于</w:t>
      </w:r>
      <w:r>
        <w:rPr>
          <w:rFonts w:ascii="仿宋_GB2312" w:hAnsi="仿宋_GB2312" w:eastAsia="仿宋_GB2312" w:cs="仿宋_GB2312"/>
          <w:sz w:val="32"/>
          <w:szCs w:val="32"/>
        </w:rPr>
        <w:t>本市行政区域内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建设行政主管部门核发施工许可证的新建、改建、扩建房屋建筑和市政基础设施工程项目的</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不含轨道交通</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及二次装</w:t>
      </w:r>
      <w:r>
        <w:rPr>
          <w:rFonts w:hint="eastAsia" w:ascii="仿宋_GB2312" w:hAnsi="仿宋_GB2312" w:eastAsia="仿宋_GB2312" w:cs="仿宋_GB2312"/>
          <w:sz w:val="32"/>
          <w:szCs w:val="32"/>
          <w:lang w:eastAsia="zh-CN"/>
        </w:rPr>
        <w:t>修</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sz w:val="32"/>
          <w:szCs w:val="32"/>
          <w:lang w:val="en-US" w:eastAsia="zh-CN" w:bidi="ar-SA"/>
        </w:rPr>
        <w:t xml:space="preserve"> </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相关依据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《国务院办公厅关于开展工程建设项目审批制度改革试点的通知》（国办发〔2018〕33号）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深圳市政府投资建设项目施工许可管理规定》（深圳市人民政府令第310号）《深圳市社会投资建设项目报建登记实施办法》（深圳市人民政府令第311号）和《深圳市工程建设项目审批制度改革试点工作实施方案》（深府办函[2018]261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建设工程</w:t>
      </w:r>
      <w:r>
        <w:rPr>
          <w:rFonts w:hint="eastAsia" w:ascii="仿宋_GB2312" w:hAnsi="仿宋_GB2312" w:eastAsia="仿宋_GB2312" w:cs="仿宋_GB2312"/>
          <w:sz w:val="32"/>
          <w:szCs w:val="32"/>
          <w:lang w:eastAsia="zh-CN"/>
        </w:rPr>
        <w:t>竣工</w:t>
      </w:r>
      <w:r>
        <w:rPr>
          <w:rFonts w:hint="eastAsia" w:ascii="仿宋_GB2312" w:hAnsi="仿宋_GB2312" w:eastAsia="仿宋_GB2312" w:cs="仿宋_GB2312"/>
          <w:sz w:val="32"/>
          <w:szCs w:val="32"/>
        </w:rPr>
        <w:t>联合验收管理办法》</w:t>
      </w:r>
    </w:p>
    <w:p>
      <w:pPr>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四</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办理形式</w:t>
      </w:r>
    </w:p>
    <w:p>
      <w:pPr>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 xml:space="preserve">    </w:t>
      </w:r>
      <w:r>
        <w:rPr>
          <w:rFonts w:hint="eastAsia" w:ascii="仿宋_GB2312" w:hAnsi="仿宋_GB2312" w:eastAsia="仿宋_GB2312" w:cs="仿宋_GB2312"/>
          <w:sz w:val="32"/>
          <w:szCs w:val="32"/>
          <w:lang w:val="en-US" w:eastAsia="zh-CN" w:bidi="ar-SA"/>
        </w:rPr>
        <w:t xml:space="preserve">网上办理 </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网办地址</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深圳市投资项目在线审批监管平台</w:t>
      </w:r>
    </w:p>
    <w:p>
      <w:pPr>
        <w:ind w:firstLine="0" w:firstLineChars="0"/>
        <w:rPr>
          <w:rFonts w:hint="eastAsia" w:ascii="黑体" w:hAnsi="黑体" w:eastAsia="黑体" w:cs="黑体"/>
          <w:b/>
          <w:bCs/>
          <w:color w:val="000000"/>
          <w:sz w:val="32"/>
          <w:szCs w:val="32"/>
          <w:lang w:val="en-US" w:eastAsia="zh-CN" w:bidi="ar-SA"/>
        </w:rPr>
      </w:pPr>
      <w:r>
        <w:rPr>
          <w:rFonts w:hint="eastAsia" w:ascii="黑体" w:hAnsi="黑体" w:eastAsia="黑体" w:cs="黑体"/>
          <w:b/>
          <w:bCs/>
          <w:color w:val="000000"/>
          <w:sz w:val="32"/>
          <w:szCs w:val="32"/>
          <w:lang w:val="en-US" w:eastAsia="zh-CN" w:bidi="ar-SA"/>
        </w:rPr>
        <w:t xml:space="preserve">    五、网上办理流程</w:t>
      </w:r>
    </w:p>
    <w:p>
      <w:pPr>
        <w:numPr>
          <w:ilvl w:val="0"/>
          <w:numId w:val="0"/>
        </w:numPr>
        <w:ind w:firstLine="0" w:firstLineChars="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1.</w:t>
      </w:r>
      <w:r>
        <w:rPr>
          <w:rFonts w:hint="default" w:ascii="仿宋_GB2312" w:hAnsi="仿宋_GB2312" w:eastAsia="仿宋_GB2312" w:cs="仿宋_GB2312"/>
          <w:sz w:val="32"/>
          <w:szCs w:val="32"/>
          <w:lang w:val="en-US" w:eastAsia="zh-CN" w:bidi="ar-SA"/>
        </w:rPr>
        <w:t>收件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时限：0个工作日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审批人：科级受理人员</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企业登</w:t>
      </w:r>
      <w:r>
        <w:rPr>
          <w:rFonts w:hint="default" w:ascii="仿宋_GB2312" w:hAnsi="仿宋_GB2312" w:eastAsia="仿宋_GB2312" w:cs="仿宋_GB2312"/>
          <w:sz w:val="32"/>
          <w:szCs w:val="32"/>
          <w:lang w:eastAsia="zh-CN" w:bidi="ar-SA"/>
        </w:rPr>
        <w:t>录</w:t>
      </w:r>
      <w:r>
        <w:rPr>
          <w:rFonts w:hint="default" w:ascii="仿宋_GB2312" w:hAnsi="仿宋_GB2312" w:eastAsia="仿宋_GB2312" w:cs="仿宋_GB2312"/>
          <w:sz w:val="32"/>
          <w:szCs w:val="32"/>
          <w:lang w:val="en-US" w:eastAsia="zh-CN" w:bidi="ar-SA"/>
        </w:rPr>
        <w:t>广东政务服务网进行网上填报，并在网上生成申请表。同时，企业在网上按照办事指南提示将附件申请材料电子文档一并上传系统。</w:t>
      </w:r>
      <w:bookmarkStart w:id="0" w:name="_GoBack"/>
      <w:bookmarkEnd w:id="0"/>
      <w:r>
        <w:rPr>
          <w:rFonts w:hint="default" w:ascii="仿宋_GB2312" w:hAnsi="仿宋_GB2312" w:eastAsia="仿宋_GB2312" w:cs="仿宋_GB2312"/>
          <w:sz w:val="32"/>
          <w:szCs w:val="32"/>
          <w:lang w:val="en-US" w:eastAsia="zh-CN" w:bidi="ar-SA"/>
        </w:rPr>
        <w:t xml:space="preserve"> 网上递交申请。</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zh-CN" w:bidi="ar-SA"/>
        </w:rPr>
        <w:t>.资料审查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建设单位网上申报后，各部门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对网上申报资料进行审查,通过在线平台反馈资料审查意见。申请材料不齐全或不符合法定形式的，各行政主管部门应一次性告知。</w:t>
      </w:r>
    </w:p>
    <w:p>
      <w:pPr>
        <w:numPr>
          <w:ilvl w:val="0"/>
          <w:numId w:val="2"/>
        </w:num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（特殊程序）预验收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5</w:t>
      </w:r>
      <w:r>
        <w:rPr>
          <w:rFonts w:hint="default" w:ascii="仿宋_GB2312" w:hAnsi="仿宋_GB2312" w:eastAsia="仿宋_GB2312" w:cs="仿宋_GB2312"/>
          <w:sz w:val="32"/>
          <w:szCs w:val="32"/>
          <w:lang w:val="en-US" w:eastAsia="zh-CN" w:bidi="ar-SA"/>
        </w:rPr>
        <w:t>个工作日</w:t>
      </w:r>
    </w:p>
    <w:p>
      <w:pPr>
        <w:ind w:firstLine="64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pStyle w:val="7"/>
        <w:widowControl/>
        <w:adjustRightInd w:val="0"/>
        <w:snapToGrid w:val="0"/>
        <w:spacing w:beforeAutospacing="0" w:afterAutospacing="0" w:line="60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建设单位网上申报后，牵头单位根据实际情况组织各相关部门召开联合验收预备会，听取建设单位详细汇报，并提出改进完善的意见建议。各专项验收主管部门可开展预验收服务。</w:t>
      </w:r>
    </w:p>
    <w:p>
      <w:pPr>
        <w:pStyle w:val="7"/>
        <w:widowControl/>
        <w:numPr>
          <w:ilvl w:val="0"/>
          <w:numId w:val="2"/>
        </w:numPr>
        <w:adjustRightInd w:val="0"/>
        <w:snapToGrid w:val="0"/>
        <w:spacing w:beforeAutospacing="0" w:afterAutospacing="0" w:line="60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预约</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pStyle w:val="7"/>
        <w:widowControl/>
        <w:numPr>
          <w:ilvl w:val="0"/>
          <w:numId w:val="0"/>
        </w:numPr>
        <w:adjustRightInd w:val="0"/>
        <w:snapToGrid w:val="0"/>
        <w:spacing w:beforeAutospacing="0" w:afterAutospacing="0" w:line="600" w:lineRule="exact"/>
        <w:ind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bidi="ar-SA"/>
        </w:rPr>
        <w:t xml:space="preserve">    </w:t>
      </w: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各部门</w:t>
      </w:r>
      <w:r>
        <w:rPr>
          <w:rFonts w:hint="default" w:ascii="仿宋_GB2312" w:hAnsi="仿宋_GB2312" w:eastAsia="仿宋_GB2312" w:cs="仿宋_GB2312"/>
          <w:sz w:val="32"/>
          <w:szCs w:val="32"/>
          <w:lang w:val="en-US" w:eastAsia="zh-CN" w:bidi="ar-SA"/>
        </w:rPr>
        <w:t>科级</w:t>
      </w:r>
      <w:r>
        <w:rPr>
          <w:rFonts w:hint="eastAsia" w:ascii="仿宋_GB2312" w:hAnsi="仿宋_GB2312" w:eastAsia="仿宋_GB2312" w:cs="仿宋_GB2312"/>
          <w:sz w:val="32"/>
          <w:szCs w:val="32"/>
          <w:lang w:val="en-US" w:eastAsia="zh-CN" w:bidi="ar-SA"/>
        </w:rPr>
        <w:t>资料审查</w:t>
      </w:r>
      <w:r>
        <w:rPr>
          <w:rFonts w:hint="default" w:ascii="仿宋_GB2312" w:hAnsi="仿宋_GB2312" w:eastAsia="仿宋_GB2312" w:cs="仿宋_GB2312"/>
          <w:sz w:val="32"/>
          <w:szCs w:val="32"/>
          <w:lang w:val="en-US" w:eastAsia="zh-CN" w:bidi="ar-SA"/>
        </w:rPr>
        <w:t>人员</w:t>
      </w:r>
    </w:p>
    <w:p>
      <w:pPr>
        <w:pStyle w:val="7"/>
        <w:widowControl/>
        <w:numPr>
          <w:ilvl w:val="0"/>
          <w:numId w:val="0"/>
        </w:numPr>
        <w:adjustRightInd w:val="0"/>
        <w:snapToGrid w:val="0"/>
        <w:spacing w:beforeAutospacing="0" w:afterAutospacing="0" w:line="60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验收实行预约制。建设单位通过在线审批平台预约现场验收时间，可预约的范围为资料审查通过后第3～8个工作日内的任意半天。建设行政主管部门根据建设单位的申请，结合实际，确定现场验收时间。建设单位预约成功后，在线审批平台自动推送信息给各相关行政主管部门。</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5.现场验收</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时限：1个工作日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各行政主管部门必须在现场验收时间前1个工作日前通过在线审批平台</w:t>
      </w:r>
      <w:r>
        <w:rPr>
          <w:rFonts w:hint="eastAsia" w:ascii="仿宋_GB2312" w:hAnsi="仿宋" w:eastAsia="仿宋_GB2312" w:cs="仿宋"/>
          <w:sz w:val="32"/>
          <w:szCs w:val="32"/>
        </w:rPr>
        <w:t>反馈参验人员及联系电话，牵头部门负责落实现场参验人员名单的反馈工作。在现场验收时间前的</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个工作日内，平台自动短信提醒参验人员验收时间、地点等安排信息</w:t>
      </w:r>
      <w:r>
        <w:rPr>
          <w:rFonts w:hint="eastAsia" w:ascii="仿宋_GB2312" w:hAnsi="仿宋_GB2312" w:eastAsia="仿宋_GB2312" w:cs="仿宋_GB2312"/>
          <w:sz w:val="32"/>
          <w:szCs w:val="32"/>
        </w:rPr>
        <w:t>。</w:t>
      </w:r>
    </w:p>
    <w:p>
      <w:pPr>
        <w:pStyle w:val="7"/>
        <w:widowControl/>
        <w:adjustRightInd w:val="0"/>
        <w:snapToGrid w:val="0"/>
        <w:spacing w:beforeAutospacing="0" w:afterAutospacing="0"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bidi="ar-SA"/>
        </w:rPr>
        <w:t>（特殊程序）</w:t>
      </w:r>
      <w:r>
        <w:rPr>
          <w:rFonts w:hint="eastAsia" w:ascii="仿宋_GB2312" w:hAnsi="仿宋_GB2312" w:eastAsia="仿宋_GB2312" w:cs="仿宋_GB2312"/>
          <w:sz w:val="32"/>
          <w:szCs w:val="32"/>
          <w:lang w:val="en-US" w:eastAsia="zh-CN"/>
        </w:rPr>
        <w:t>复验</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5</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现场验收有发现不合格的，建设单位</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整改完成后提出复验申请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需复验的部门在</w:t>
      </w:r>
      <w:r>
        <w:rPr>
          <w:rFonts w:hint="eastAsia" w:ascii="仿宋_GB2312" w:hAnsi="仿宋_GB2312" w:eastAsia="仿宋_GB2312" w:cs="仿宋_GB2312"/>
          <w:sz w:val="32"/>
          <w:szCs w:val="32"/>
          <w:lang w:eastAsia="zh-CN"/>
        </w:rPr>
        <w:t>受理申请后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个工作日内自行前往现场复验。</w:t>
      </w:r>
    </w:p>
    <w:p>
      <w:pPr>
        <w:pStyle w:val="7"/>
        <w:widowControl/>
        <w:numPr>
          <w:ilvl w:val="0"/>
          <w:numId w:val="3"/>
        </w:numPr>
        <w:adjustRightInd w:val="0"/>
        <w:snapToGrid w:val="0"/>
        <w:spacing w:beforeAutospacing="0" w:afterAutospacing="0" w:line="600" w:lineRule="exact"/>
        <w:ind w:firstLine="64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出具</w:t>
      </w:r>
      <w:r>
        <w:rPr>
          <w:rFonts w:hint="eastAsia" w:ascii="仿宋_GB2312" w:hAnsi="仿宋_GB2312" w:eastAsia="仿宋_GB2312" w:cs="仿宋_GB2312"/>
          <w:b w:val="0"/>
          <w:bCs w:val="0"/>
          <w:sz w:val="32"/>
          <w:szCs w:val="32"/>
          <w:lang w:eastAsia="zh-CN"/>
        </w:rPr>
        <w:t>联合验收意见、制证</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时限：</w:t>
      </w:r>
      <w:r>
        <w:rPr>
          <w:rFonts w:hint="eastAsia" w:ascii="仿宋_GB2312" w:hAnsi="仿宋_GB2312" w:eastAsia="仿宋_GB2312" w:cs="仿宋_GB2312"/>
          <w:sz w:val="32"/>
          <w:szCs w:val="32"/>
          <w:lang w:val="en-US" w:eastAsia="zh-CN" w:bidi="ar-SA"/>
        </w:rPr>
        <w:t>2</w:t>
      </w:r>
      <w:r>
        <w:rPr>
          <w:rFonts w:hint="default" w:ascii="仿宋_GB2312" w:hAnsi="仿宋_GB2312" w:eastAsia="仿宋_GB2312" w:cs="仿宋_GB2312"/>
          <w:sz w:val="32"/>
          <w:szCs w:val="32"/>
          <w:lang w:val="en-US" w:eastAsia="zh-CN" w:bidi="ar-SA"/>
        </w:rPr>
        <w:t>个工作日</w:t>
      </w:r>
    </w:p>
    <w:p>
      <w:pPr>
        <w:ind w:firstLine="640" w:firstLineChars="200"/>
        <w:rPr>
          <w:rFonts w:hint="default" w:ascii="仿宋_GB2312" w:hAnsi="仿宋_GB2312" w:eastAsia="仿宋_GB2312" w:cs="仿宋_GB2312"/>
          <w:sz w:val="32"/>
          <w:szCs w:val="32"/>
          <w:lang w:val="en-US" w:eastAsia="zh-CN" w:bidi="ar-SA"/>
        </w:rPr>
      </w:pPr>
      <w:r>
        <w:rPr>
          <w:rFonts w:hint="default" w:ascii="仿宋_GB2312" w:hAnsi="仿宋_GB2312" w:eastAsia="仿宋_GB2312" w:cs="仿宋_GB2312"/>
          <w:sz w:val="32"/>
          <w:szCs w:val="32"/>
          <w:lang w:val="en-US" w:eastAsia="zh-CN" w:bidi="ar-SA"/>
        </w:rPr>
        <w:t>审批人：</w:t>
      </w:r>
      <w:r>
        <w:rPr>
          <w:rFonts w:hint="eastAsia" w:ascii="仿宋_GB2312" w:hAnsi="仿宋_GB2312" w:eastAsia="仿宋_GB2312" w:cs="仿宋_GB2312"/>
          <w:sz w:val="32"/>
          <w:szCs w:val="32"/>
          <w:lang w:val="en-US" w:eastAsia="zh-CN" w:bidi="ar-SA"/>
        </w:rPr>
        <w:t>各</w:t>
      </w:r>
      <w:r>
        <w:rPr>
          <w:rFonts w:hint="eastAsia" w:ascii="仿宋_GB2312" w:hAnsi="仿宋" w:eastAsia="仿宋_GB2312" w:cs="仿宋"/>
          <w:sz w:val="32"/>
          <w:szCs w:val="32"/>
        </w:rPr>
        <w:t>部门验收工作人员</w:t>
      </w:r>
    </w:p>
    <w:p>
      <w:pPr>
        <w:pStyle w:val="7"/>
        <w:widowControl/>
        <w:numPr>
          <w:ilvl w:val="0"/>
          <w:numId w:val="0"/>
        </w:numPr>
        <w:adjustRightInd w:val="0"/>
        <w:snapToGrid w:val="0"/>
        <w:spacing w:beforeAutospacing="0" w:afterAutospacing="0" w:line="600" w:lineRule="exact"/>
        <w:ind w:firstLine="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各行政主管部门意见齐全后，在线审批平台即时自动生成联合验收意见书</w:t>
      </w:r>
      <w:r>
        <w:rPr>
          <w:rFonts w:hint="eastAsia" w:ascii="仿宋_GB2312" w:hAnsi="仿宋_GB2312" w:eastAsia="仿宋_GB2312" w:cs="仿宋_GB2312"/>
          <w:sz w:val="32"/>
          <w:szCs w:val="32"/>
          <w:lang w:eastAsia="zh-CN"/>
        </w:rPr>
        <w:t>，加盖各部门电子印章</w:t>
      </w:r>
      <w:r>
        <w:rPr>
          <w:rFonts w:hint="eastAsia" w:ascii="仿宋_GB2312" w:hAnsi="仿宋_GB2312" w:eastAsia="仿宋_GB2312" w:cs="仿宋_GB2312"/>
          <w:sz w:val="32"/>
          <w:szCs w:val="32"/>
        </w:rPr>
        <w:t>。</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情形一</w:t>
      </w:r>
      <w:r>
        <w:rPr>
          <w:rFonts w:hint="eastAsia" w:ascii="黑体" w:hAnsi="黑体" w:eastAsia="黑体" w:cs="黑体"/>
          <w:b/>
          <w:bCs/>
          <w:color w:val="000000"/>
          <w:sz w:val="32"/>
          <w:szCs w:val="32"/>
          <w:lang w:val="en-US" w:eastAsia="zh-CN"/>
        </w:rPr>
        <w:t xml:space="preserve"> 社会投资建筑和市政基础工程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牵头部门：市、区住房和建设局</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参与部门：规划、土地、城市更新、水务、气象、人防、档案等主管部门</w:t>
      </w:r>
    </w:p>
    <w:p>
      <w:pPr>
        <w:numPr>
          <w:ilvl w:val="0"/>
          <w:numId w:val="0"/>
        </w:numPr>
        <w:tabs>
          <w:tab w:val="left" w:pos="767"/>
        </w:tabs>
        <w:ind w:firstLine="642"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建设工程项目完工后，建设单位已组织勘察、设计、施工、监理等单位组成验收组，开展了自验工作。对自验工作中发现的问题，已全部整改合格。同时，具备以下条件，可申请联合验收工作。</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（一）已完成建设工程竣工测量和竣工查丈工作，用地范围内的临时设施已拆除，规定配套公共设施应移交给政府的，已完成移交协议的签订，具备原建设工程规划验收条件；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（二）已按审查合格的施工图纸消防设计要求建成，具备原建设工程消防验收或备案抽查条件；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（三）已完成工程设计和合同约定的各项内容，节能分部工程使用的主要建筑材料、建筑构配件和设备的进场试验报告，以及工程质量检测和功能性试验资料齐全，具备原节能专项验收条件；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（四）防雷工程已按照经审核批准的施工图施工完成，防雷装置经市气象主管机构委托具有资质的防雷检测机构检测符合设计要求，具备原防雷装置竣工验收条件；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（五）有完整的工程档案资料，工程档案已按规定进行了整理、组卷等，具备档案专项验收条件；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（六）供水、供电、燃气、通信等设施已按施工图纸设计要求建设完成；</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（七）行政主管部门及负责监督该工程的质量监督机构责令整改的问题全部整改完毕，且由质量监督机构出具的工程质量监督报告；</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（八）其他法律法规要求完成的事项已完成。</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w:t>
      </w:r>
      <w:r>
        <w:rPr>
          <w:rFonts w:hint="eastAsia" w:ascii="黑体" w:hAnsi="黑体" w:eastAsia="黑体" w:cs="黑体"/>
          <w:b/>
          <w:bCs/>
          <w:color w:val="000000"/>
          <w:sz w:val="32"/>
          <w:szCs w:val="32"/>
          <w:lang w:val="en-US" w:eastAsia="zh-CN"/>
        </w:rPr>
        <w:t>二 社会投资水务工程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w:t>
      </w:r>
      <w:r>
        <w:rPr>
          <w:rFonts w:hint="eastAsia" w:ascii="仿宋_GB2312" w:hAnsi="仿宋_GB2312" w:eastAsia="仿宋_GB2312" w:cs="仿宋_GB2312"/>
          <w:color w:val="FF0000"/>
          <w:sz w:val="32"/>
          <w:szCs w:val="32"/>
          <w:lang w:val="en-US" w:eastAsia="zh-CN" w:bidi="ar-SA"/>
        </w:rPr>
        <w:t>（由水务局补充）</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w:t>
      </w:r>
      <w:r>
        <w:rPr>
          <w:rFonts w:hint="eastAsia" w:ascii="仿宋_GB2312" w:hAnsi="仿宋_GB2312" w:eastAsia="仿宋_GB2312" w:cs="仿宋_GB2312"/>
          <w:color w:val="FF0000"/>
          <w:sz w:val="32"/>
          <w:szCs w:val="32"/>
          <w:lang w:val="en-US" w:eastAsia="zh-CN" w:bidi="ar-SA"/>
        </w:rPr>
        <w:t>（由水务局补充）</w:t>
      </w:r>
    </w:p>
    <w:p>
      <w:pPr>
        <w:numPr>
          <w:ilvl w:val="0"/>
          <w:numId w:val="0"/>
        </w:numPr>
        <w:tabs>
          <w:tab w:val="left" w:pos="767"/>
        </w:tabs>
        <w:ind w:firstLine="642"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color w:val="FF0000"/>
          <w:sz w:val="32"/>
          <w:szCs w:val="32"/>
          <w:lang w:val="en-US" w:eastAsia="zh-CN" w:bidi="ar-SA"/>
        </w:rPr>
      </w:pPr>
      <w:r>
        <w:rPr>
          <w:rFonts w:hint="eastAsia" w:ascii="仿宋_GB2312" w:hAnsi="仿宋_GB2312" w:eastAsia="仿宋_GB2312" w:cs="仿宋_GB2312"/>
          <w:color w:val="FF0000"/>
          <w:sz w:val="32"/>
          <w:szCs w:val="32"/>
          <w:lang w:val="en-US" w:eastAsia="zh-CN" w:bidi="ar-SA"/>
        </w:rPr>
        <w:t>（由水务局补充）</w:t>
      </w:r>
    </w:p>
    <w:p>
      <w:pPr>
        <w:jc w:val="center"/>
        <w:rPr>
          <w:rFonts w:hint="eastAsia" w:ascii="黑体" w:hAnsi="黑体" w:eastAsia="黑体" w:cs="黑体"/>
          <w:b/>
          <w:bCs/>
          <w:color w:val="000000"/>
          <w:sz w:val="32"/>
          <w:szCs w:val="32"/>
          <w:lang w:eastAsia="zh-CN"/>
        </w:rPr>
      </w:pPr>
    </w:p>
    <w:p>
      <w:pPr>
        <w:jc w:val="cente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情形</w:t>
      </w:r>
      <w:r>
        <w:rPr>
          <w:rFonts w:hint="eastAsia" w:ascii="黑体" w:hAnsi="黑体" w:eastAsia="黑体" w:cs="黑体"/>
          <w:b/>
          <w:bCs/>
          <w:color w:val="000000"/>
          <w:sz w:val="32"/>
          <w:szCs w:val="32"/>
          <w:lang w:val="en-US" w:eastAsia="zh-CN"/>
        </w:rPr>
        <w:t>三 社会投资道路工程</w:t>
      </w:r>
    </w:p>
    <w:p>
      <w:pPr>
        <w:rPr>
          <w:rFonts w:hint="eastAsia" w:ascii="仿宋_GB2312" w:hAnsi="仿宋_GB2312" w:eastAsia="仿宋_GB2312" w:cs="仿宋_GB2312"/>
          <w:b/>
          <w:bCs/>
          <w:color w:val="000000"/>
          <w:sz w:val="32"/>
          <w:szCs w:val="32"/>
        </w:rPr>
      </w:pPr>
      <w:r>
        <w:rPr>
          <w:rFonts w:hint="eastAsia" w:ascii="黑体" w:hAnsi="黑体" w:eastAsia="黑体" w:cs="黑体"/>
          <w:b/>
          <w:bCs/>
          <w:color w:val="000000"/>
          <w:sz w:val="32"/>
          <w:szCs w:val="32"/>
          <w:lang w:val="en-US" w:eastAsia="zh-CN"/>
        </w:rPr>
        <w:t xml:space="preserve">    六</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受理机构</w:t>
      </w:r>
    </w:p>
    <w:p>
      <w:pPr>
        <w:ind w:firstLine="640" w:firstLineChars="200"/>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牵头部门：</w:t>
      </w:r>
      <w:r>
        <w:rPr>
          <w:rFonts w:hint="eastAsia" w:ascii="仿宋_GB2312" w:hAnsi="仿宋_GB2312" w:eastAsia="仿宋_GB2312" w:cs="仿宋_GB2312"/>
          <w:color w:val="FF0000"/>
          <w:sz w:val="32"/>
          <w:szCs w:val="32"/>
          <w:lang w:val="en-US" w:eastAsia="zh-CN" w:bidi="ar-SA"/>
        </w:rPr>
        <w:t>（由市交通运输局补充）</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参与部门：</w:t>
      </w:r>
      <w:r>
        <w:rPr>
          <w:rFonts w:hint="eastAsia" w:ascii="仿宋_GB2312" w:hAnsi="仿宋_GB2312" w:eastAsia="仿宋_GB2312" w:cs="仿宋_GB2312"/>
          <w:color w:val="FF0000"/>
          <w:sz w:val="32"/>
          <w:szCs w:val="32"/>
          <w:lang w:val="en-US" w:eastAsia="zh-CN" w:bidi="ar-SA"/>
        </w:rPr>
        <w:t>（由市交通运输局补充）</w:t>
      </w:r>
    </w:p>
    <w:p>
      <w:pPr>
        <w:numPr>
          <w:ilvl w:val="0"/>
          <w:numId w:val="0"/>
        </w:numPr>
        <w:tabs>
          <w:tab w:val="left" w:pos="767"/>
        </w:tabs>
        <w:ind w:firstLine="642" w:firstLineChars="200"/>
        <w:rPr>
          <w:rFonts w:hint="eastAsia" w:ascii="仿宋_GB2312" w:hAnsi="仿宋_GB2312" w:eastAsia="仿宋_GB2312" w:cs="仿宋_GB2312"/>
          <w:sz w:val="32"/>
          <w:szCs w:val="32"/>
          <w:lang w:val="en-US" w:eastAsia="zh-CN" w:bidi="ar-SA"/>
        </w:rPr>
      </w:pPr>
      <w:r>
        <w:rPr>
          <w:rFonts w:hint="eastAsia" w:ascii="黑体" w:hAnsi="黑体" w:eastAsia="黑体" w:cs="黑体"/>
          <w:b/>
          <w:bCs/>
          <w:color w:val="000000"/>
          <w:sz w:val="32"/>
          <w:szCs w:val="32"/>
          <w:lang w:val="en-US" w:eastAsia="zh-CN"/>
        </w:rPr>
        <w:t>七、受理条件</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FF0000"/>
          <w:sz w:val="32"/>
          <w:szCs w:val="32"/>
          <w:lang w:val="en-US" w:eastAsia="zh-CN" w:bidi="ar-SA"/>
        </w:rPr>
        <w:t>（由市交通运输局补充）</w:t>
      </w:r>
    </w:p>
    <w:p>
      <w:pPr>
        <w:ind w:firstLine="640" w:firstLineChars="200"/>
        <w:rPr>
          <w:rFonts w:hint="eastAsia" w:ascii="仿宋_GB2312" w:hAnsi="仿宋_GB2312" w:eastAsia="仿宋_GB2312" w:cs="仿宋_GB2312"/>
          <w:sz w:val="32"/>
          <w:szCs w:val="32"/>
        </w:rPr>
      </w:pPr>
    </w:p>
    <w:p>
      <w:pPr>
        <w:numPr>
          <w:ilvl w:val="0"/>
          <w:numId w:val="0"/>
        </w:numPr>
        <w:ind w:firstLine="642" w:firstLineChars="200"/>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八、</w:t>
      </w:r>
      <w:r>
        <w:rPr>
          <w:rFonts w:hint="eastAsia" w:ascii="黑体" w:hAnsi="黑体" w:eastAsia="黑体" w:cs="黑体"/>
          <w:b/>
          <w:bCs/>
          <w:color w:val="000000"/>
          <w:sz w:val="32"/>
          <w:szCs w:val="32"/>
          <w:lang w:eastAsia="zh-CN"/>
        </w:rPr>
        <w:t>申请材料</w:t>
      </w:r>
    </w:p>
    <w:p>
      <w:pPr>
        <w:numPr>
          <w:ilvl w:val="0"/>
          <w:numId w:val="0"/>
        </w:numPr>
        <w:tabs>
          <w:tab w:val="left" w:pos="2016"/>
        </w:tabs>
        <w:ind w:firstLine="0" w:firstLineChars="0"/>
        <w:rPr>
          <w:rFonts w:hint="eastAsia"/>
          <w:lang w:val="en-US" w:eastAsia="zh-CN"/>
        </w:rPr>
      </w:pPr>
    </w:p>
    <w:tbl>
      <w:tblPr>
        <w:tblStyle w:val="9"/>
        <w:tblpPr w:leftFromText="180" w:rightFromText="180" w:vertAnchor="text" w:horzAnchor="page" w:tblpX="1620" w:tblpY="700"/>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181"/>
        <w:gridCol w:w="132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181"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329"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深圳市建设工程项目竣工联合验收申请表工程立项文件</w:t>
            </w:r>
          </w:p>
        </w:tc>
        <w:tc>
          <w:tcPr>
            <w:tcW w:w="2181"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default"/>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2</w:t>
            </w:r>
          </w:p>
        </w:tc>
        <w:tc>
          <w:tcPr>
            <w:tcW w:w="3270" w:type="dxa"/>
            <w:vAlign w:val="center"/>
          </w:tcPr>
          <w:p>
            <w:pPr>
              <w:widowControl w:val="0"/>
              <w:jc w:val="center"/>
              <w:rPr>
                <w:rFonts w:hint="eastAsia" w:eastAsia="宋体"/>
                <w:sz w:val="24"/>
                <w:szCs w:val="24"/>
                <w:lang w:eastAsia="zh-CN"/>
              </w:rPr>
            </w:pPr>
            <w:r>
              <w:rPr>
                <w:rFonts w:hint="eastAsia"/>
                <w:sz w:val="24"/>
                <w:szCs w:val="24"/>
                <w:lang w:eastAsia="zh-CN"/>
              </w:rPr>
              <w:t>工程立项文件</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3</w:t>
            </w:r>
          </w:p>
        </w:tc>
        <w:tc>
          <w:tcPr>
            <w:tcW w:w="3270" w:type="dxa"/>
            <w:vAlign w:val="center"/>
          </w:tcPr>
          <w:p>
            <w:pPr>
              <w:widowControl w:val="0"/>
              <w:jc w:val="center"/>
              <w:rPr>
                <w:rFonts w:hint="eastAsia"/>
                <w:sz w:val="24"/>
                <w:szCs w:val="24"/>
                <w:lang w:eastAsia="zh-CN"/>
              </w:rPr>
            </w:pPr>
            <w:r>
              <w:rPr>
                <w:rFonts w:hint="eastAsia"/>
                <w:sz w:val="24"/>
                <w:szCs w:val="24"/>
                <w:lang w:eastAsia="zh-CN"/>
              </w:rPr>
              <w:t>土地使用文件</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both"/>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4</w:t>
            </w:r>
          </w:p>
        </w:tc>
        <w:tc>
          <w:tcPr>
            <w:tcW w:w="3270" w:type="dxa"/>
            <w:vAlign w:val="center"/>
          </w:tcPr>
          <w:p>
            <w:pPr>
              <w:widowControl w:val="0"/>
              <w:jc w:val="center"/>
              <w:rPr>
                <w:rFonts w:hint="eastAsia"/>
                <w:sz w:val="24"/>
                <w:szCs w:val="24"/>
                <w:lang w:eastAsia="zh-CN"/>
              </w:rPr>
            </w:pPr>
            <w:r>
              <w:rPr>
                <w:rFonts w:hint="eastAsia"/>
                <w:sz w:val="24"/>
                <w:szCs w:val="24"/>
                <w:lang w:eastAsia="zh-CN"/>
              </w:rPr>
              <w:t>建设工程规划许可证</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eastAsia="zh-CN"/>
              </w:rPr>
            </w:pPr>
            <w:r>
              <w:rPr>
                <w:rFonts w:hint="eastAsia"/>
                <w:sz w:val="24"/>
                <w:szCs w:val="24"/>
                <w:lang w:val="en-US" w:eastAsia="zh-CN"/>
              </w:rPr>
              <w:t>5</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建筑工程施工许可证</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竣工图纸</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符合规划、消防等各项验收要求的图纸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7</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建设工程竣工测量和竣工查丈报告</w:t>
            </w:r>
          </w:p>
        </w:tc>
        <w:tc>
          <w:tcPr>
            <w:tcW w:w="2181"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329"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ascii="宋体" w:hAnsi="宋体" w:eastAsia="宋体" w:cs="宋体"/>
                <w:sz w:val="24"/>
                <w:szCs w:val="24"/>
                <w:shd w:val="clear" w:color="auto" w:fill="FFFFFF"/>
              </w:rPr>
              <w:t>深圳房产测绘系统（由市规划国土委网站下载：www.szpl.gov.cn）生成的电子测绘成果。</w:t>
            </w:r>
          </w:p>
        </w:tc>
      </w:tr>
    </w:tbl>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通用材料</w:t>
      </w: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工程质量竣工验收监督</w:t>
      </w:r>
    </w:p>
    <w:tbl>
      <w:tblPr>
        <w:tblStyle w:val="9"/>
        <w:tblpPr w:leftFromText="180" w:rightFromText="180" w:vertAnchor="text" w:horzAnchor="page" w:tblpX="1352" w:tblpY="501"/>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竣工验收方案</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应包括验收范围、验收组织、验收程序、各方责任主体参加人员名单、住宅分户验收方案等。</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各方责任主体的项目负责人签字并加盖公章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各方责任主体质量报告</w:t>
            </w:r>
          </w:p>
        </w:tc>
        <w:tc>
          <w:tcPr>
            <w:tcW w:w="2055"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含勘察、设计文件</w:t>
            </w:r>
            <w:r>
              <w:rPr>
                <w:rFonts w:hint="eastAsia"/>
                <w:sz w:val="24"/>
                <w:szCs w:val="24"/>
                <w:lang w:eastAsia="zh-CN"/>
              </w:rPr>
              <w:t>质量检查报告；监理单位质量评估报告；施工单位质量自评报告</w:t>
            </w:r>
          </w:p>
        </w:tc>
        <w:tc>
          <w:tcPr>
            <w:tcW w:w="1455" w:type="dxa"/>
            <w:vAlign w:val="center"/>
          </w:tcPr>
          <w:p>
            <w:pPr>
              <w:widowControl w:val="0"/>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eastAsia"/>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val="en-US" w:eastAsia="zh-CN"/>
              </w:rPr>
            </w:pPr>
            <w:r>
              <w:rPr>
                <w:rFonts w:hint="eastAsia"/>
                <w:sz w:val="24"/>
                <w:szCs w:val="24"/>
                <w:lang w:val="en-US" w:eastAsia="zh-CN"/>
              </w:rPr>
              <w:t>各方责任主体两书</w:t>
            </w:r>
          </w:p>
        </w:tc>
        <w:tc>
          <w:tcPr>
            <w:tcW w:w="20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r>
              <w:rPr>
                <w:rFonts w:hint="eastAsia"/>
                <w:sz w:val="24"/>
                <w:szCs w:val="24"/>
                <w:lang w:val="en-US" w:eastAsia="zh-CN"/>
              </w:rPr>
              <w:t>法定代表人授权书和终身质量责任承诺书</w:t>
            </w: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6</w:t>
            </w:r>
          </w:p>
        </w:tc>
        <w:tc>
          <w:tcPr>
            <w:tcW w:w="3270" w:type="dxa"/>
            <w:vAlign w:val="center"/>
          </w:tcPr>
          <w:p>
            <w:pPr>
              <w:widowControl w:val="0"/>
              <w:jc w:val="center"/>
              <w:rPr>
                <w:rFonts w:hint="eastAsia"/>
                <w:sz w:val="24"/>
                <w:szCs w:val="24"/>
                <w:lang w:eastAsia="zh-CN"/>
              </w:rPr>
            </w:pPr>
            <w:r>
              <w:rPr>
                <w:rFonts w:hint="eastAsia"/>
                <w:sz w:val="24"/>
                <w:szCs w:val="24"/>
                <w:lang w:eastAsia="zh-CN"/>
              </w:rPr>
              <w:t>《终止施工安全监督告知书》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7</w:t>
            </w:r>
          </w:p>
        </w:tc>
        <w:tc>
          <w:tcPr>
            <w:tcW w:w="3270" w:type="dxa"/>
            <w:vAlign w:val="center"/>
          </w:tcPr>
          <w:p>
            <w:pPr>
              <w:widowControl w:val="0"/>
              <w:jc w:val="center"/>
              <w:rPr>
                <w:rFonts w:hint="eastAsia"/>
                <w:sz w:val="24"/>
                <w:szCs w:val="24"/>
                <w:lang w:eastAsia="zh-CN"/>
              </w:rPr>
            </w:pPr>
            <w:r>
              <w:rPr>
                <w:rFonts w:hint="eastAsia"/>
                <w:sz w:val="24"/>
                <w:szCs w:val="24"/>
                <w:lang w:eastAsia="zh-CN"/>
              </w:rPr>
              <w:t>《广东省建筑施工安全标准化评定系统》中已提交月评表和考评申请并通过收件的截屏</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规划验收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1</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按照约定需要移交配套公共设施的，还需提交移交协议书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both"/>
              <w:rPr>
                <w:rFonts w:hint="eastAsia"/>
                <w:sz w:val="24"/>
                <w:szCs w:val="24"/>
                <w:lang w:val="en-US" w:eastAsia="zh-CN"/>
              </w:rPr>
            </w:pPr>
          </w:p>
        </w:tc>
      </w:tr>
    </w:tbl>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消防验收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ascii="Helvetica Neue" w:hAnsi="Helvetica Neue" w:eastAsia="Helvetica Neue" w:cs="Helvetica Neue"/>
                <w:sz w:val="24"/>
                <w:szCs w:val="24"/>
              </w:rPr>
              <w:t>工程竣工验收报告（消防）及系统调试报告</w:t>
            </w:r>
          </w:p>
        </w:tc>
        <w:tc>
          <w:tcPr>
            <w:tcW w:w="2055"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具有防火性能要求的建筑保温材料、装修材料符合国家标准或者行业标准的检验合格报告、出厂合格证</w:t>
            </w:r>
            <w:r>
              <w:rPr>
                <w:rFonts w:ascii="Helvetica Neue" w:hAnsi="Helvetica Neue" w:eastAsia="Helvetica Neue" w:cs="Helvetica Neue"/>
                <w:sz w:val="24"/>
                <w:szCs w:val="24"/>
              </w:rPr>
              <w:t xml:space="preserve"> </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人防验收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人防工程质量竣工验收记录</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涉及易地建设人防工程的深圳市非税收入一般缴款书</w:t>
            </w:r>
          </w:p>
        </w:tc>
        <w:tc>
          <w:tcPr>
            <w:tcW w:w="20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民用建筑节能专项验收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eastAsia="宋体"/>
                <w:sz w:val="24"/>
                <w:szCs w:val="24"/>
                <w:lang w:eastAsia="zh-CN"/>
              </w:rPr>
            </w:pPr>
            <w:r>
              <w:rPr>
                <w:rFonts w:hint="eastAsia"/>
                <w:sz w:val="24"/>
                <w:szCs w:val="24"/>
                <w:lang w:eastAsia="zh-CN"/>
              </w:rPr>
              <w:t>设计文件（包括节能、绿色建筑设计；居住、公建建筑节能设计指标表；）</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建筑节能工程施工质量验收表</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bidi="ar-SA"/>
              </w:rPr>
            </w:pPr>
            <w:r>
              <w:rPr>
                <w:rFonts w:hint="eastAsia"/>
                <w:sz w:val="24"/>
                <w:szCs w:val="24"/>
                <w:lang w:val="en-US" w:eastAsia="zh-CN" w:bidi="ar-SA"/>
              </w:rPr>
              <w:t>3</w:t>
            </w:r>
          </w:p>
        </w:tc>
        <w:tc>
          <w:tcPr>
            <w:tcW w:w="3270" w:type="dxa"/>
            <w:vAlign w:val="center"/>
          </w:tcPr>
          <w:p>
            <w:pPr>
              <w:widowControl w:val="0"/>
              <w:jc w:val="center"/>
              <w:rPr>
                <w:rFonts w:hint="eastAsia"/>
                <w:sz w:val="24"/>
                <w:szCs w:val="24"/>
                <w:lang w:eastAsia="zh-CN"/>
              </w:rPr>
            </w:pPr>
            <w:r>
              <w:rPr>
                <w:rFonts w:hint="eastAsia"/>
                <w:sz w:val="24"/>
                <w:szCs w:val="24"/>
                <w:lang w:eastAsia="zh-CN"/>
              </w:rPr>
              <w:t>建筑节能工程进场材料和设备的复验报告、工程现场检测报告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城建档案验收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竣工档案验收自检报告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特种设备验收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136"/>
        <w:gridCol w:w="137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13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37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center"/>
              <w:rPr>
                <w:rFonts w:hint="eastAsia"/>
                <w:sz w:val="24"/>
                <w:szCs w:val="24"/>
                <w:lang w:eastAsia="zh-CN"/>
              </w:rPr>
            </w:pPr>
            <w:r>
              <w:rPr>
                <w:rFonts w:hint="eastAsia"/>
                <w:sz w:val="24"/>
                <w:szCs w:val="24"/>
                <w:lang w:eastAsia="zh-CN"/>
              </w:rPr>
              <w:t>深圳市电梯（自动扶梯）安装监督检验结果通知单</w:t>
            </w:r>
          </w:p>
        </w:tc>
        <w:tc>
          <w:tcPr>
            <w:tcW w:w="2136" w:type="dxa"/>
            <w:vAlign w:val="center"/>
          </w:tcPr>
          <w:p>
            <w:pPr>
              <w:widowControl w:val="0"/>
              <w:jc w:val="center"/>
              <w:rPr>
                <w:rFonts w:hint="default"/>
                <w:sz w:val="24"/>
                <w:szCs w:val="24"/>
                <w:lang w:val="en-US" w:eastAsia="zh-CN"/>
              </w:rPr>
            </w:pPr>
            <w:r>
              <w:rPr>
                <w:rFonts w:hint="eastAsia"/>
                <w:sz w:val="24"/>
                <w:szCs w:val="24"/>
                <w:lang w:val="en-US" w:eastAsia="zh-CN"/>
              </w:rPr>
              <w:t>电子</w:t>
            </w:r>
          </w:p>
        </w:tc>
        <w:tc>
          <w:tcPr>
            <w:tcW w:w="137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给水排水、电力、燃气验收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256"/>
        <w:gridCol w:w="125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25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25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eastAsia"/>
                <w:sz w:val="24"/>
                <w:szCs w:val="24"/>
                <w:lang w:eastAsia="zh-CN"/>
              </w:rPr>
              <w:t>给水排水、电力、燃气工程竣工图</w:t>
            </w:r>
          </w:p>
        </w:tc>
        <w:tc>
          <w:tcPr>
            <w:tcW w:w="2256" w:type="dxa"/>
            <w:vAlign w:val="center"/>
          </w:tcPr>
          <w:p>
            <w:pPr>
              <w:widowControl w:val="0"/>
              <w:jc w:val="center"/>
              <w:rPr>
                <w:rFonts w:hint="default"/>
                <w:sz w:val="24"/>
                <w:szCs w:val="24"/>
                <w:lang w:val="en-US" w:eastAsia="zh-CN"/>
              </w:rPr>
            </w:pPr>
            <w:r>
              <w:rPr>
                <w:rFonts w:hint="eastAsia"/>
                <w:sz w:val="24"/>
                <w:szCs w:val="24"/>
                <w:lang w:val="en-US" w:eastAsia="zh-CN"/>
              </w:rPr>
              <w:t>其它；电子</w:t>
            </w:r>
          </w:p>
        </w:tc>
        <w:tc>
          <w:tcPr>
            <w:tcW w:w="125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center"/>
              <w:rPr>
                <w:rFonts w:hint="eastAsia"/>
                <w:sz w:val="24"/>
                <w:szCs w:val="24"/>
                <w:lang w:eastAsia="zh-CN"/>
              </w:rPr>
            </w:pPr>
            <w:r>
              <w:rPr>
                <w:rFonts w:hint="eastAsia"/>
                <w:sz w:val="24"/>
                <w:szCs w:val="24"/>
                <w:lang w:eastAsia="zh-CN"/>
              </w:rPr>
              <w:t>给水排水、电力、燃气工程竣工报告</w:t>
            </w:r>
          </w:p>
        </w:tc>
        <w:tc>
          <w:tcPr>
            <w:tcW w:w="2256"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25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防雷装置验收</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226"/>
        <w:gridCol w:w="128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226"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284"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eastAsia"/>
                <w:sz w:val="24"/>
                <w:szCs w:val="24"/>
                <w:lang w:val="en-US" w:eastAsia="zh-CN"/>
              </w:rPr>
              <w:t>防雷装置检测报告</w:t>
            </w:r>
          </w:p>
        </w:tc>
        <w:tc>
          <w:tcPr>
            <w:tcW w:w="2226" w:type="dxa"/>
            <w:vAlign w:val="center"/>
          </w:tcPr>
          <w:p>
            <w:pPr>
              <w:widowControl w:val="0"/>
              <w:jc w:val="center"/>
              <w:rPr>
                <w:rFonts w:hint="eastAsia"/>
                <w:sz w:val="24"/>
                <w:szCs w:val="24"/>
                <w:lang w:val="en-US" w:eastAsia="zh-CN"/>
              </w:rPr>
            </w:pPr>
            <w:r>
              <w:rPr>
                <w:rFonts w:hint="eastAsia"/>
                <w:sz w:val="24"/>
                <w:szCs w:val="24"/>
                <w:lang w:val="en-US" w:eastAsia="zh-CN"/>
              </w:rPr>
              <w:t>电子</w:t>
            </w:r>
          </w:p>
        </w:tc>
        <w:tc>
          <w:tcPr>
            <w:tcW w:w="1284"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numPr>
          <w:ilvl w:val="0"/>
          <w:numId w:val="4"/>
        </w:num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水土保持设施验收报备所需材料</w:t>
      </w:r>
    </w:p>
    <w:tbl>
      <w:tblPr>
        <w:tblStyle w:val="9"/>
        <w:tblpPr w:leftFromText="180" w:rightFromText="180" w:vertAnchor="text" w:horzAnchor="page" w:tblpX="1650" w:tblpY="48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70"/>
        <w:gridCol w:w="205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序号</w:t>
            </w:r>
          </w:p>
        </w:tc>
        <w:tc>
          <w:tcPr>
            <w:tcW w:w="3270"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材料名称</w:t>
            </w:r>
          </w:p>
        </w:tc>
        <w:tc>
          <w:tcPr>
            <w:tcW w:w="20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材料形式</w:t>
            </w:r>
          </w:p>
        </w:tc>
        <w:tc>
          <w:tcPr>
            <w:tcW w:w="1455" w:type="dxa"/>
            <w:shd w:val="clear" w:color="auto" w:fill="CCCCCC"/>
            <w:vAlign w:val="center"/>
          </w:tcPr>
          <w:p>
            <w:pPr>
              <w:widowControl w:val="0"/>
              <w:jc w:val="center"/>
              <w:rPr>
                <w:rFonts w:hint="eastAsia" w:eastAsia="宋体"/>
                <w:sz w:val="24"/>
                <w:szCs w:val="24"/>
                <w:lang w:eastAsia="zh-CN"/>
              </w:rPr>
            </w:pPr>
            <w:r>
              <w:rPr>
                <w:rFonts w:hint="eastAsia"/>
                <w:sz w:val="24"/>
                <w:szCs w:val="24"/>
                <w:lang w:eastAsia="zh-CN"/>
              </w:rPr>
              <w:t>材料要求</w:t>
            </w:r>
          </w:p>
        </w:tc>
        <w:tc>
          <w:tcPr>
            <w:tcW w:w="1455" w:type="dxa"/>
            <w:shd w:val="clear" w:color="auto" w:fill="CCCCCC"/>
            <w:vAlign w:val="center"/>
          </w:tcPr>
          <w:p>
            <w:pPr>
              <w:widowControl w:val="0"/>
              <w:jc w:val="center"/>
              <w:rPr>
                <w:rFonts w:hint="eastAsia" w:eastAsia="宋体"/>
                <w:sz w:val="24"/>
                <w:szCs w:val="24"/>
                <w:lang w:eastAsia="zh-CN"/>
              </w:rPr>
            </w:pPr>
            <w:r>
              <w:rPr>
                <w:rFonts w:hint="eastAsia" w:eastAsia="宋体"/>
                <w:sz w:val="24"/>
                <w:szCs w:val="24"/>
                <w:lang w:eastAsia="zh-CN"/>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1</w:t>
            </w:r>
          </w:p>
        </w:tc>
        <w:tc>
          <w:tcPr>
            <w:tcW w:w="3270" w:type="dxa"/>
            <w:vAlign w:val="center"/>
          </w:tcPr>
          <w:p>
            <w:pPr>
              <w:widowControl w:val="0"/>
              <w:jc w:val="both"/>
              <w:rPr>
                <w:rFonts w:hint="default"/>
                <w:sz w:val="24"/>
                <w:szCs w:val="24"/>
                <w:lang w:val="en-US" w:eastAsia="zh-CN"/>
              </w:rPr>
            </w:pPr>
            <w:r>
              <w:rPr>
                <w:rFonts w:hint="default"/>
                <w:sz w:val="24"/>
                <w:szCs w:val="24"/>
                <w:lang w:val="en-US" w:eastAsia="zh-CN"/>
              </w:rPr>
              <w:t>已向社会公开的证明材料</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2</w:t>
            </w:r>
          </w:p>
        </w:tc>
        <w:tc>
          <w:tcPr>
            <w:tcW w:w="3270" w:type="dxa"/>
            <w:vAlign w:val="center"/>
          </w:tcPr>
          <w:p>
            <w:pPr>
              <w:widowControl w:val="0"/>
              <w:jc w:val="both"/>
              <w:rPr>
                <w:rFonts w:hint="eastAsia"/>
                <w:sz w:val="24"/>
                <w:szCs w:val="24"/>
                <w:lang w:eastAsia="zh-CN"/>
              </w:rPr>
            </w:pPr>
            <w:r>
              <w:rPr>
                <w:rFonts w:hint="eastAsia"/>
                <w:sz w:val="24"/>
                <w:szCs w:val="24"/>
                <w:lang w:val="en-US" w:eastAsia="zh-CN"/>
              </w:rPr>
              <w:t>水土保持设施验收鉴定书</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3</w:t>
            </w:r>
          </w:p>
        </w:tc>
        <w:tc>
          <w:tcPr>
            <w:tcW w:w="3270" w:type="dxa"/>
            <w:vAlign w:val="center"/>
          </w:tcPr>
          <w:p>
            <w:pPr>
              <w:widowControl w:val="0"/>
              <w:jc w:val="both"/>
              <w:rPr>
                <w:rFonts w:hint="eastAsia"/>
                <w:sz w:val="24"/>
                <w:szCs w:val="24"/>
                <w:lang w:val="en-US" w:eastAsia="zh-CN"/>
              </w:rPr>
            </w:pPr>
            <w:r>
              <w:rPr>
                <w:rFonts w:hint="eastAsia"/>
                <w:sz w:val="24"/>
                <w:szCs w:val="24"/>
                <w:lang w:val="en-US" w:eastAsia="zh-CN"/>
              </w:rPr>
              <w:t>水土保持设施验收报告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5" w:type="dxa"/>
            <w:vAlign w:val="center"/>
          </w:tcPr>
          <w:p>
            <w:pPr>
              <w:widowControl w:val="0"/>
              <w:jc w:val="center"/>
              <w:rPr>
                <w:rFonts w:hint="default"/>
                <w:sz w:val="24"/>
                <w:szCs w:val="24"/>
                <w:lang w:val="en-US" w:eastAsia="zh-CN"/>
              </w:rPr>
            </w:pPr>
            <w:r>
              <w:rPr>
                <w:rFonts w:hint="eastAsia"/>
                <w:sz w:val="24"/>
                <w:szCs w:val="24"/>
                <w:lang w:val="en-US" w:eastAsia="zh-CN"/>
              </w:rPr>
              <w:t>4</w:t>
            </w:r>
          </w:p>
        </w:tc>
        <w:tc>
          <w:tcPr>
            <w:tcW w:w="3270" w:type="dxa"/>
            <w:vAlign w:val="center"/>
          </w:tcPr>
          <w:p>
            <w:pPr>
              <w:widowControl w:val="0"/>
              <w:jc w:val="both"/>
              <w:rPr>
                <w:rFonts w:hint="eastAsia"/>
                <w:sz w:val="24"/>
                <w:szCs w:val="24"/>
                <w:lang w:val="en-US" w:eastAsia="zh-CN"/>
              </w:rPr>
            </w:pPr>
            <w:r>
              <w:rPr>
                <w:rFonts w:hint="eastAsia"/>
                <w:sz w:val="24"/>
                <w:szCs w:val="24"/>
                <w:lang w:val="en-US" w:eastAsia="zh-CN"/>
              </w:rPr>
              <w:t>依法应开展水土保持监测项目的监测总结报告</w:t>
            </w:r>
          </w:p>
        </w:tc>
        <w:tc>
          <w:tcPr>
            <w:tcW w:w="2055" w:type="dxa"/>
            <w:vAlign w:val="center"/>
          </w:tcPr>
          <w:p>
            <w:pPr>
              <w:widowControl w:val="0"/>
              <w:jc w:val="center"/>
              <w:rPr>
                <w:rFonts w:hint="eastAsia"/>
                <w:sz w:val="24"/>
                <w:szCs w:val="24"/>
                <w:lang w:val="en-US" w:eastAsia="zh-CN"/>
              </w:rPr>
            </w:pPr>
            <w:r>
              <w:rPr>
                <w:rFonts w:hint="eastAsia"/>
                <w:sz w:val="24"/>
                <w:szCs w:val="24"/>
                <w:lang w:val="en-US" w:eastAsia="zh-CN"/>
              </w:rPr>
              <w:t>其它；电子</w:t>
            </w:r>
          </w:p>
        </w:tc>
        <w:tc>
          <w:tcPr>
            <w:tcW w:w="1455" w:type="dxa"/>
            <w:vAlign w:val="center"/>
          </w:tcPr>
          <w:p>
            <w:pPr>
              <w:widowControl w:val="0"/>
              <w:jc w:val="center"/>
              <w:rPr>
                <w:rFonts w:hint="eastAsia"/>
                <w:sz w:val="24"/>
                <w:szCs w:val="24"/>
                <w:lang w:val="en-US" w:eastAsia="zh-CN"/>
              </w:rPr>
            </w:pPr>
          </w:p>
        </w:tc>
        <w:tc>
          <w:tcPr>
            <w:tcW w:w="1455" w:type="dxa"/>
            <w:vAlign w:val="center"/>
          </w:tcPr>
          <w:p>
            <w:pPr>
              <w:widowControl w:val="0"/>
              <w:jc w:val="center"/>
              <w:rPr>
                <w:rFonts w:hint="eastAsia"/>
                <w:sz w:val="24"/>
                <w:szCs w:val="24"/>
                <w:lang w:val="en-US" w:eastAsia="zh-CN"/>
              </w:rPr>
            </w:pPr>
          </w:p>
        </w:tc>
      </w:tr>
    </w:tbl>
    <w:p>
      <w:pPr>
        <w:numPr>
          <w:ilvl w:val="0"/>
          <w:numId w:val="0"/>
        </w:numPr>
        <w:rPr>
          <w:rFonts w:hint="eastAsia" w:ascii="黑体" w:hAnsi="黑体" w:eastAsia="黑体" w:cs="黑体"/>
          <w:b w:val="0"/>
          <w:bCs w:val="0"/>
          <w:color w:val="000000"/>
          <w:sz w:val="32"/>
          <w:szCs w:val="32"/>
          <w:lang w:eastAsia="zh-CN"/>
        </w:rPr>
      </w:pPr>
    </w:p>
    <w:p>
      <w:pPr>
        <w:rPr>
          <w:rFonts w:hint="eastAsia" w:ascii="黑体" w:hAnsi="黑体" w:eastAsia="黑体" w:cs="黑体"/>
          <w:b/>
          <w:bCs/>
          <w:color w:val="000000"/>
          <w:sz w:val="32"/>
          <w:szCs w:val="32"/>
          <w:lang w:eastAsia="zh-CN"/>
        </w:rPr>
      </w:pPr>
    </w:p>
    <w:p>
      <w:pPr>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val="en-US" w:eastAsia="zh-CN"/>
        </w:rPr>
        <w:t xml:space="preserve"> 九</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eastAsia="zh-CN"/>
        </w:rPr>
        <w:t>承诺时间</w:t>
      </w:r>
    </w:p>
    <w:p>
      <w:pPr>
        <w:pStyle w:val="7"/>
        <w:widowControl/>
        <w:adjustRightInd w:val="0"/>
        <w:snapToGrid w:val="0"/>
        <w:spacing w:beforeAutospacing="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验收办理时限为10个工作日，自现场验收之日起计算，至在在线平台填写意见结束。</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如有整改，项目责任主体整改闭合工作期限最长为15个工作日，各行政主管部门复查工作期限最长为3个工作日。</w:t>
      </w:r>
    </w:p>
    <w:p>
      <w:pPr>
        <w:pStyle w:val="7"/>
        <w:widowControl/>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上述整改闭合工作和复查工作不计入</w:t>
      </w:r>
      <w:r>
        <w:rPr>
          <w:rFonts w:hint="eastAsia" w:ascii="仿宋_GB2312" w:hAnsi="仿宋_GB2312" w:eastAsia="仿宋_GB2312" w:cs="仿宋_GB2312"/>
          <w:sz w:val="32"/>
          <w:szCs w:val="32"/>
          <w:lang w:eastAsia="zh-CN"/>
        </w:rPr>
        <w:t>竣工联合</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办理时限内。</w:t>
      </w: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pStyle w:val="7"/>
        <w:widowControl/>
        <w:adjustRightInd w:val="0"/>
        <w:snapToGrid w:val="0"/>
        <w:spacing w:beforeAutospacing="0" w:afterAutospacing="0" w:line="600" w:lineRule="exact"/>
        <w:jc w:val="both"/>
        <w:rPr>
          <w:rFonts w:hint="eastAsia" w:ascii="仿宋_GB2312" w:hAnsi="仿宋_GB2312" w:eastAsia="仿宋_GB2312" w:cs="仿宋_GB2312"/>
          <w:sz w:val="32"/>
          <w:szCs w:val="32"/>
        </w:rPr>
      </w:pPr>
    </w:p>
    <w:p>
      <w:pP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十、办理流程</w:t>
      </w:r>
    </w:p>
    <w:p>
      <w:pPr>
        <w:rPr>
          <w:sz w:val="21"/>
        </w:rPr>
      </w:pPr>
      <w:r>
        <w:rPr>
          <w:rFonts w:hint="eastAsia" w:ascii="仿宋_GB2312" w:hAnsi="仿宋_GB2312" w:eastAsia="仿宋_GB2312" w:cs="仿宋_GB2312"/>
          <w:color w:val="000000"/>
          <w:sz w:val="32"/>
          <w:szCs w:val="32"/>
        </w:rPr>
        <w:t xml:space="preserve">   </w:t>
      </w:r>
    </w:p>
    <w:p>
      <w:r>
        <w:rPr>
          <w:rFonts w:ascii="Times New Roman" w:hAnsi="Times New Roman" w:eastAsia="宋体" w:cs="Times New Roman"/>
          <w:sz w:val="21"/>
          <w:szCs w:val="24"/>
          <w:lang w:val="en-US" w:eastAsia="zh-CN" w:bidi="ar-SA"/>
        </w:rPr>
        <w:pict>
          <v:shape id="_x0000_i1025" o:spt="75" alt="Visio-办理流程_00" type="#_x0000_t75" style="height:615.1pt;width:434.75pt;" filled="f" o:preferrelative="t" stroked="f" coordsize="21600,21600">
            <v:path/>
            <v:fill on="f" focussize="0,0"/>
            <v:stroke on="f"/>
            <v:imagedata r:id="rId4" o:title="Visio-办理流程_00"/>
            <o:lock v:ext="edit" aspectratio="t"/>
            <w10:wrap type="none"/>
            <w10:anchorlock/>
          </v:shape>
        </w:pict>
      </w:r>
    </w:p>
    <w:p/>
    <w:p>
      <w:pP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十一、收费及标准</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不收费</w:t>
      </w:r>
    </w:p>
    <w:p>
      <w:pPr>
        <w:rPr>
          <w:rFonts w:hint="eastAsia" w:ascii="黑体" w:hAnsi="黑体" w:eastAsia="黑体" w:cs="黑体"/>
          <w:b/>
          <w:bCs/>
          <w:color w:val="000000"/>
          <w:sz w:val="32"/>
          <w:szCs w:val="32"/>
          <w:lang w:val="en-US" w:eastAsia="zh-CN"/>
        </w:rPr>
      </w:pPr>
      <w:r>
        <w:rPr>
          <w:rFonts w:hint="eastAsia" w:ascii="仿宋_GB2312" w:hAnsi="仿宋_GB2312" w:eastAsia="仿宋_GB2312" w:cs="仿宋_GB2312"/>
          <w:sz w:val="32"/>
          <w:szCs w:val="32"/>
          <w:lang w:val="en-US" w:eastAsia="zh-CN" w:bidi="ar-SA"/>
        </w:rPr>
        <w:t xml:space="preserve"> </w:t>
      </w:r>
      <w:r>
        <w:rPr>
          <w:rFonts w:hint="eastAsia" w:ascii="黑体" w:hAnsi="黑体" w:eastAsia="黑体" w:cs="黑体"/>
          <w:b/>
          <w:bCs/>
          <w:color w:val="000000"/>
          <w:sz w:val="32"/>
          <w:szCs w:val="32"/>
          <w:lang w:val="en-US" w:eastAsia="zh-CN"/>
        </w:rPr>
        <w:t xml:space="preserve"> 十二、中介服务</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无</w:t>
      </w:r>
    </w:p>
    <w:p>
      <w:pPr>
        <w:rPr>
          <w:rFonts w:hint="eastAsia" w:ascii="仿宋_GB2312" w:hAnsi="仿宋_GB2312" w:eastAsia="仿宋_GB2312" w:cs="仿宋_GB2312"/>
          <w:b/>
          <w:bCs/>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附件2</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eastAsia="仿宋_GB2312"/>
          <w:b/>
          <w:sz w:val="36"/>
          <w:szCs w:val="36"/>
          <w:lang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b/>
          <w:sz w:val="36"/>
          <w:szCs w:val="36"/>
          <w:lang w:eastAsia="zh-CN"/>
        </w:rPr>
        <w:t>深圳市建设工程项目竣工联合验收申请表</w:t>
      </w:r>
    </w:p>
    <w:p>
      <w:pPr>
        <w:spacing w:line="460" w:lineRule="exact"/>
        <w:jc w:val="left"/>
        <w:rPr>
          <w:rFonts w:hint="eastAsia" w:ascii="仿宋_GB2312" w:hAnsi="仿宋_GB2312" w:eastAsia="仿宋_GB2312" w:cs="仿宋_GB2312"/>
          <w:sz w:val="24"/>
          <w:szCs w:val="24"/>
          <w:lang w:val="en-US" w:eastAsia="zh-CN"/>
        </w:rPr>
      </w:pPr>
      <w:r>
        <w:rPr>
          <w:rFonts w:hint="eastAsia" w:ascii="宋体" w:hAnsi="宋体"/>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联系人及电话：</w:t>
      </w:r>
      <w:r>
        <w:rPr>
          <w:rFonts w:hint="eastAsia" w:ascii="仿宋_GB2312" w:hAnsi="仿宋_GB2312" w:eastAsia="仿宋_GB2312" w:cs="仿宋_GB2312"/>
          <w:sz w:val="24"/>
          <w:szCs w:val="24"/>
          <w:lang w:val="en-US" w:eastAsia="zh-CN"/>
        </w:rPr>
        <w:t xml:space="preserve">                                      </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72"/>
        <w:gridCol w:w="991"/>
        <w:gridCol w:w="992"/>
        <w:gridCol w:w="991"/>
        <w:gridCol w:w="716"/>
        <w:gridCol w:w="276"/>
        <w:gridCol w:w="851"/>
        <w:gridCol w:w="7"/>
        <w:gridCol w:w="984"/>
        <w:gridCol w:w="575"/>
        <w:gridCol w:w="275"/>
        <w:gridCol w:w="575"/>
        <w:gridCol w:w="41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top w:val="single" w:color="auto" w:sz="12" w:space="0"/>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工程名称</w:t>
            </w:r>
          </w:p>
        </w:tc>
        <w:tc>
          <w:tcPr>
            <w:tcW w:w="3690" w:type="dxa"/>
            <w:gridSpan w:val="4"/>
            <w:tcBorders>
              <w:top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tcBorders>
              <w:top w:val="single" w:color="auto" w:sz="12" w:space="0"/>
              <w:bottom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建筑面积</w:t>
            </w:r>
          </w:p>
        </w:tc>
        <w:tc>
          <w:tcPr>
            <w:tcW w:w="1559" w:type="dxa"/>
            <w:gridSpan w:val="2"/>
            <w:tcBorders>
              <w:top w:val="single" w:color="auto" w:sz="12"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p>
        </w:tc>
        <w:tc>
          <w:tcPr>
            <w:tcW w:w="850"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层/栋</w:t>
            </w:r>
          </w:p>
        </w:tc>
        <w:tc>
          <w:tcPr>
            <w:tcW w:w="1232" w:type="dxa"/>
            <w:gridSpan w:val="2"/>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top w:val="single" w:color="auto" w:sz="4" w:space="0"/>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建设单位</w:t>
            </w:r>
          </w:p>
        </w:tc>
        <w:tc>
          <w:tcPr>
            <w:tcW w:w="3690" w:type="dxa"/>
            <w:gridSpan w:val="4"/>
            <w:tcBorders>
              <w:top w:val="single" w:color="auto" w:sz="4" w:space="0"/>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tcBorders>
              <w:top w:val="single" w:color="auto" w:sz="4" w:space="0"/>
              <w:bottom w:val="single" w:color="auto" w:sz="4" w:space="0"/>
            </w:tcBorders>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住宅</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总套数</w:t>
            </w:r>
          </w:p>
        </w:tc>
        <w:tc>
          <w:tcPr>
            <w:tcW w:w="1559" w:type="dxa"/>
            <w:gridSpan w:val="2"/>
            <w:tcBorders>
              <w:top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210" w:hanging="240" w:hangingChars="100"/>
              <w:jc w:val="center"/>
              <w:rPr>
                <w:rFonts w:hint="eastAsia" w:ascii="仿宋_GB2312" w:hAnsi="仿宋_GB2312" w:eastAsia="仿宋_GB2312" w:cs="仿宋_GB2312"/>
              </w:rPr>
            </w:pPr>
            <w:r>
              <w:rPr>
                <w:rFonts w:hint="eastAsia" w:ascii="仿宋_GB2312" w:hAnsi="仿宋_GB2312" w:eastAsia="仿宋_GB2312" w:cs="仿宋_GB2312"/>
              </w:rPr>
              <w:t>保障房</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总套数</w:t>
            </w:r>
          </w:p>
        </w:tc>
        <w:tc>
          <w:tcPr>
            <w:tcW w:w="1232" w:type="dxa"/>
            <w:gridSpan w:val="2"/>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设计单位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Align w:val="center"/>
          </w:tcPr>
          <w:p>
            <w:pPr>
              <w:spacing w:line="300" w:lineRule="exact"/>
              <w:ind w:left="210" w:hanging="240" w:hangingChars="100"/>
              <w:jc w:val="center"/>
              <w:rPr>
                <w:rFonts w:hint="eastAsia" w:ascii="仿宋_GB2312" w:hAnsi="仿宋_GB2312" w:eastAsia="仿宋_GB2312" w:cs="仿宋_GB2312"/>
              </w:rPr>
            </w:pPr>
            <w:r>
              <w:rPr>
                <w:rFonts w:hint="eastAsia" w:ascii="仿宋_GB2312" w:hAnsi="仿宋_GB2312" w:eastAsia="仿宋_GB2312" w:cs="仿宋_GB2312"/>
              </w:rPr>
              <w:t>施工许可证号：</w:t>
            </w:r>
          </w:p>
        </w:tc>
        <w:tc>
          <w:tcPr>
            <w:tcW w:w="3641" w:type="dxa"/>
            <w:gridSpan w:val="6"/>
            <w:tcBorders>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监理单位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Merge w:val="restart"/>
            <w:vAlign w:val="center"/>
          </w:tcPr>
          <w:p>
            <w:pPr>
              <w:spacing w:line="300" w:lineRule="exact"/>
              <w:ind w:left="210" w:hanging="240" w:hangingChars="100"/>
              <w:jc w:val="left"/>
              <w:rPr>
                <w:rFonts w:hint="eastAsia" w:ascii="仿宋_GB2312" w:hAnsi="仿宋_GB2312" w:eastAsia="仿宋_GB2312" w:cs="仿宋_GB2312"/>
              </w:rPr>
            </w:pPr>
            <w:r>
              <w:rPr>
                <w:rFonts w:hint="eastAsia" w:ascii="仿宋_GB2312" w:hAnsi="仿宋_GB2312" w:eastAsia="仿宋_GB2312" w:cs="仿宋_GB2312"/>
              </w:rPr>
              <w:t>施工许可范围</w:t>
            </w:r>
          </w:p>
        </w:tc>
        <w:tc>
          <w:tcPr>
            <w:tcW w:w="3641" w:type="dxa"/>
            <w:gridSpan w:val="6"/>
            <w:vMerge w:val="restart"/>
            <w:tcBorders>
              <w:right w:val="single" w:color="auto" w:sz="12" w:space="0"/>
            </w:tcBorders>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70" w:type="dxa"/>
            <w:gridSpan w:val="2"/>
            <w:tcBorders>
              <w:left w:val="single" w:color="auto" w:sz="12" w:space="0"/>
              <w:bottom w:val="single" w:color="auto" w:sz="4"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施工单位</w:t>
            </w:r>
          </w:p>
        </w:tc>
        <w:tc>
          <w:tcPr>
            <w:tcW w:w="3690" w:type="dxa"/>
            <w:gridSpan w:val="4"/>
            <w:tcBorders>
              <w:bottom w:val="single" w:color="auto" w:sz="4" w:space="0"/>
            </w:tcBorders>
            <w:vAlign w:val="center"/>
          </w:tcPr>
          <w:p>
            <w:pPr>
              <w:spacing w:line="300" w:lineRule="exact"/>
              <w:jc w:val="distribute"/>
              <w:rPr>
                <w:rFonts w:hint="eastAsia" w:ascii="仿宋_GB2312" w:hAnsi="仿宋_GB2312" w:eastAsia="仿宋_GB2312" w:cs="仿宋_GB2312"/>
              </w:rPr>
            </w:pPr>
          </w:p>
        </w:tc>
        <w:tc>
          <w:tcPr>
            <w:tcW w:w="1134" w:type="dxa"/>
            <w:gridSpan w:val="3"/>
            <w:vMerge w:val="continue"/>
            <w:tcBorders>
              <w:bottom w:val="nil"/>
            </w:tcBorders>
            <w:vAlign w:val="center"/>
          </w:tcPr>
          <w:p>
            <w:pPr>
              <w:spacing w:line="300" w:lineRule="exact"/>
              <w:ind w:left="210" w:hanging="240" w:hangingChars="100"/>
              <w:rPr>
                <w:rFonts w:hint="eastAsia" w:ascii="仿宋_GB2312" w:hAnsi="仿宋_GB2312" w:eastAsia="仿宋_GB2312" w:cs="仿宋_GB2312"/>
              </w:rPr>
            </w:pPr>
          </w:p>
        </w:tc>
        <w:tc>
          <w:tcPr>
            <w:tcW w:w="3641" w:type="dxa"/>
            <w:gridSpan w:val="6"/>
            <w:vMerge w:val="continue"/>
            <w:tcBorders>
              <w:bottom w:val="nil"/>
              <w:right w:val="single" w:color="auto" w:sz="12" w:space="0"/>
            </w:tcBorders>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570" w:type="dxa"/>
            <w:gridSpan w:val="2"/>
            <w:tcBorders>
              <w:left w:val="single" w:color="auto" w:sz="12" w:space="0"/>
              <w:bottom w:val="single" w:color="auto" w:sz="12" w:space="0"/>
            </w:tcBorders>
            <w:vAlign w:val="center"/>
          </w:tcPr>
          <w:p>
            <w:pPr>
              <w:spacing w:line="300" w:lineRule="exact"/>
              <w:jc w:val="distribute"/>
              <w:rPr>
                <w:rFonts w:hint="eastAsia" w:ascii="仿宋_GB2312" w:hAnsi="仿宋_GB2312" w:eastAsia="仿宋_GB2312" w:cs="仿宋_GB2312"/>
              </w:rPr>
            </w:pPr>
            <w:r>
              <w:rPr>
                <w:rFonts w:hint="eastAsia" w:ascii="仿宋_GB2312" w:hAnsi="仿宋_GB2312" w:eastAsia="仿宋_GB2312" w:cs="仿宋_GB2312"/>
              </w:rPr>
              <w:t>本次验收范围</w:t>
            </w:r>
          </w:p>
        </w:tc>
        <w:tc>
          <w:tcPr>
            <w:tcW w:w="3690" w:type="dxa"/>
            <w:gridSpan w:val="4"/>
            <w:tcBorders>
              <w:bottom w:val="single" w:color="auto" w:sz="12" w:space="0"/>
              <w:right w:val="single" w:color="auto" w:sz="4"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134" w:type="dxa"/>
            <w:gridSpan w:val="3"/>
            <w:tcBorders>
              <w:left w:val="single" w:color="auto" w:sz="4" w:space="0"/>
              <w:bottom w:val="single" w:color="auto" w:sz="12" w:space="0"/>
              <w:right w:val="single" w:color="auto" w:sz="4"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电梯数量</w:t>
            </w:r>
          </w:p>
          <w:p>
            <w:pPr>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充电桩数</w:t>
            </w:r>
          </w:p>
        </w:tc>
        <w:tc>
          <w:tcPr>
            <w:tcW w:w="3641" w:type="dxa"/>
            <w:gridSpan w:val="6"/>
            <w:tcBorders>
              <w:left w:val="single" w:color="auto" w:sz="4" w:space="0"/>
              <w:bottom w:val="single" w:color="auto" w:sz="12" w:space="0"/>
              <w:right w:val="single" w:color="auto" w:sz="12" w:space="0"/>
            </w:tcBorders>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厢式：    台 ， 扶梯：    台</w:t>
            </w:r>
          </w:p>
          <w:p>
            <w:pPr>
              <w:spacing w:line="30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充电桩：</w:t>
            </w:r>
            <w:r>
              <w:rPr>
                <w:rFonts w:hint="eastAsia" w:ascii="仿宋_GB2312" w:hAnsi="仿宋_GB2312" w:eastAsia="仿宋_GB2312" w:cs="仿宋_GB2312"/>
                <w:lang w:val="en-US" w:eastAsia="zh-CN"/>
              </w:rPr>
              <w:t xml:space="preserve">     个， 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598" w:type="dxa"/>
            <w:tcBorders>
              <w:top w:val="single" w:color="auto" w:sz="12" w:space="0"/>
              <w:left w:val="single" w:color="auto" w:sz="12"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分部工程</w:t>
            </w:r>
          </w:p>
        </w:tc>
        <w:tc>
          <w:tcPr>
            <w:tcW w:w="972"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地基基础</w:t>
            </w:r>
          </w:p>
        </w:tc>
        <w:tc>
          <w:tcPr>
            <w:tcW w:w="991"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主体结构</w:t>
            </w:r>
          </w:p>
        </w:tc>
        <w:tc>
          <w:tcPr>
            <w:tcW w:w="992" w:type="dxa"/>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建筑装饰装修</w:t>
            </w:r>
          </w:p>
        </w:tc>
        <w:tc>
          <w:tcPr>
            <w:tcW w:w="991" w:type="dxa"/>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屋面工程</w:t>
            </w:r>
          </w:p>
        </w:tc>
        <w:tc>
          <w:tcPr>
            <w:tcW w:w="992" w:type="dxa"/>
            <w:gridSpan w:val="2"/>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建筑给排水及供暖</w:t>
            </w:r>
          </w:p>
        </w:tc>
        <w:tc>
          <w:tcPr>
            <w:tcW w:w="851" w:type="dxa"/>
            <w:tcBorders>
              <w:top w:val="single" w:color="auto" w:sz="12" w:space="0"/>
              <w:left w:val="single" w:color="auto" w:sz="4" w:space="0"/>
              <w:right w:val="single" w:color="auto" w:sz="4" w:space="0"/>
            </w:tcBorders>
            <w:vAlign w:val="center"/>
          </w:tcPr>
          <w:p>
            <w:pPr>
              <w:ind w:left="-36" w:leftChars="-15" w:right="-34" w:rightChars="-14"/>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建筑电气</w:t>
            </w:r>
          </w:p>
        </w:tc>
        <w:tc>
          <w:tcPr>
            <w:tcW w:w="991" w:type="dxa"/>
            <w:gridSpan w:val="2"/>
            <w:tcBorders>
              <w:top w:val="single" w:color="auto" w:sz="12" w:space="0"/>
              <w:left w:val="single" w:color="auto" w:sz="4" w:space="0"/>
              <w:right w:val="single" w:color="auto" w:sz="4" w:space="0"/>
            </w:tcBorders>
            <w:vAlign w:val="center"/>
          </w:tcPr>
          <w:p>
            <w:pPr>
              <w:ind w:left="-36" w:leftChars="-15" w:right="-34" w:rightChars="-14"/>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智能建筑</w:t>
            </w:r>
          </w:p>
        </w:tc>
        <w:tc>
          <w:tcPr>
            <w:tcW w:w="850" w:type="dxa"/>
            <w:gridSpan w:val="2"/>
            <w:tcBorders>
              <w:top w:val="single" w:color="auto" w:sz="12" w:space="0"/>
              <w:left w:val="single" w:color="auto" w:sz="4" w:space="0"/>
              <w:right w:val="single" w:color="auto" w:sz="4" w:space="0"/>
            </w:tcBorders>
            <w:vAlign w:val="center"/>
          </w:tcPr>
          <w:p>
            <w:pP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通风与空调</w:t>
            </w:r>
          </w:p>
        </w:tc>
        <w:tc>
          <w:tcPr>
            <w:tcW w:w="993" w:type="dxa"/>
            <w:gridSpan w:val="2"/>
            <w:tcBorders>
              <w:top w:val="single" w:color="auto" w:sz="12" w:space="0"/>
              <w:left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建筑节能</w:t>
            </w:r>
          </w:p>
        </w:tc>
        <w:tc>
          <w:tcPr>
            <w:tcW w:w="814" w:type="dxa"/>
            <w:tcBorders>
              <w:top w:val="single" w:color="auto" w:sz="12" w:space="0"/>
              <w:left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自查结果</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分部工程</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燃气工程</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9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自查结果</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1"/>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sz w:val="21"/>
                <w:szCs w:val="21"/>
              </w:rPr>
            </w:pPr>
          </w:p>
        </w:tc>
        <w:tc>
          <w:tcPr>
            <w:tcW w:w="814"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_GB2312" w:hAnsi="仿宋_GB2312" w:eastAsia="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rPr>
                <w:rFonts w:hint="eastAsia" w:ascii="仿宋_GB2312" w:hAnsi="宋体" w:eastAsia="仿宋_GB2312"/>
                <w:kern w:val="0"/>
                <w:szCs w:val="21"/>
                <w:lang w:eastAsia="zh-CN"/>
              </w:rPr>
            </w:pPr>
          </w:p>
          <w:p>
            <w:pPr>
              <w:rPr>
                <w:rFonts w:hint="eastAsia" w:ascii="仿宋_GB2312" w:hAnsi="宋体" w:eastAsia="仿宋_GB2312"/>
                <w:kern w:val="0"/>
                <w:szCs w:val="21"/>
              </w:rPr>
            </w:pPr>
            <w:r>
              <w:rPr>
                <w:rFonts w:hint="eastAsia" w:ascii="仿宋_GB2312" w:hAnsi="宋体" w:eastAsia="仿宋_GB2312"/>
                <w:kern w:val="0"/>
                <w:szCs w:val="21"/>
              </w:rPr>
              <w:t>设计单位确认：</w:t>
            </w:r>
          </w:p>
          <w:p>
            <w:pPr>
              <w:widowControl/>
              <w:jc w:val="left"/>
              <w:rPr>
                <w:rFonts w:ascii="仿宋_GB2312" w:hAnsi="宋体" w:eastAsia="仿宋_GB2312"/>
                <w:kern w:val="0"/>
                <w:szCs w:val="21"/>
              </w:rPr>
            </w:pPr>
          </w:p>
          <w:p>
            <w:pPr>
              <w:ind w:left="662"/>
              <w:rPr>
                <w:rFonts w:hint="eastAsia" w:ascii="仿宋_GB2312" w:hAnsi="宋体" w:eastAsia="仿宋_GB2312"/>
                <w:kern w:val="0"/>
                <w:szCs w:val="21"/>
              </w:rPr>
            </w:pPr>
            <w:r>
              <w:rPr>
                <w:rFonts w:hint="eastAsia" w:ascii="仿宋_GB2312" w:hAnsi="宋体" w:eastAsia="仿宋_GB2312"/>
                <w:kern w:val="0"/>
                <w:szCs w:val="21"/>
              </w:rPr>
              <w:t xml:space="preserve">                  （设计单位印章）</w:t>
            </w:r>
          </w:p>
          <w:p>
            <w:pPr>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施工单位确认：</w:t>
            </w:r>
          </w:p>
          <w:p>
            <w:pPr>
              <w:widowControl/>
              <w:jc w:val="left"/>
              <w:rPr>
                <w:rFonts w:ascii="仿宋_GB2312" w:hAnsi="宋体" w:eastAsia="仿宋_GB2312"/>
                <w:kern w:val="0"/>
                <w:szCs w:val="21"/>
              </w:rPr>
            </w:pPr>
          </w:p>
          <w:p>
            <w:pPr>
              <w:ind w:left="670"/>
              <w:rPr>
                <w:rFonts w:hint="eastAsia" w:ascii="仿宋_GB2312" w:hAnsi="华文中宋" w:eastAsia="仿宋_GB2312"/>
                <w:kern w:val="0"/>
                <w:szCs w:val="21"/>
              </w:rPr>
            </w:pPr>
            <w:r>
              <w:rPr>
                <w:rFonts w:hint="eastAsia" w:ascii="仿宋_GB2312" w:hAnsi="宋体" w:eastAsia="仿宋_GB2312"/>
                <w:kern w:val="0"/>
                <w:szCs w:val="21"/>
              </w:rPr>
              <w:t xml:space="preserve">                 （施工单位印章）</w:t>
            </w:r>
          </w:p>
          <w:p>
            <w:pPr>
              <w:ind w:left="1390" w:leftChars="0"/>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监理单位确认：</w:t>
            </w:r>
          </w:p>
          <w:p>
            <w:pPr>
              <w:rPr>
                <w:rFonts w:hint="eastAsia" w:ascii="仿宋_GB2312" w:hAnsi="宋体" w:eastAsia="仿宋_GB2312"/>
                <w:kern w:val="0"/>
                <w:szCs w:val="21"/>
              </w:rPr>
            </w:pPr>
          </w:p>
          <w:p>
            <w:pPr>
              <w:ind w:left="670"/>
              <w:rPr>
                <w:rFonts w:hint="eastAsia" w:ascii="仿宋_GB2312" w:hAnsi="华文中宋" w:eastAsia="仿宋_GB2312"/>
                <w:kern w:val="0"/>
                <w:szCs w:val="21"/>
              </w:rPr>
            </w:pPr>
            <w:r>
              <w:rPr>
                <w:rFonts w:hint="eastAsia" w:ascii="仿宋_GB2312" w:hAnsi="宋体" w:eastAsia="仿宋_GB2312"/>
                <w:kern w:val="0"/>
                <w:szCs w:val="21"/>
              </w:rPr>
              <w:t xml:space="preserve">                  （监理单位印章）</w:t>
            </w:r>
          </w:p>
          <w:p>
            <w:pPr>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rPr>
                <w:rFonts w:hint="eastAsia" w:ascii="仿宋_GB2312" w:hAnsi="宋体" w:eastAsia="仿宋_GB2312"/>
                <w:kern w:val="0"/>
                <w:szCs w:val="21"/>
              </w:rPr>
            </w:pPr>
          </w:p>
          <w:p>
            <w:pPr>
              <w:rPr>
                <w:rFonts w:hint="eastAsia" w:ascii="仿宋_GB2312" w:hAnsi="宋体" w:eastAsia="仿宋_GB2312"/>
                <w:kern w:val="0"/>
                <w:szCs w:val="21"/>
              </w:rPr>
            </w:pPr>
            <w:r>
              <w:rPr>
                <w:rFonts w:hint="eastAsia" w:ascii="仿宋_GB2312" w:hAnsi="宋体" w:eastAsia="仿宋_GB2312"/>
                <w:kern w:val="0"/>
                <w:szCs w:val="21"/>
              </w:rPr>
              <w:t>建设单位确认：</w:t>
            </w:r>
          </w:p>
          <w:p>
            <w:pPr>
              <w:widowControl/>
              <w:jc w:val="left"/>
              <w:rPr>
                <w:rFonts w:ascii="仿宋_GB2312" w:hAnsi="宋体" w:eastAsia="仿宋_GB2312"/>
                <w:kern w:val="0"/>
                <w:szCs w:val="21"/>
              </w:rPr>
            </w:pPr>
          </w:p>
          <w:p>
            <w:pPr>
              <w:widowControl/>
              <w:jc w:val="left"/>
              <w:rPr>
                <w:rFonts w:ascii="仿宋_GB2312" w:hAnsi="宋体" w:eastAsia="仿宋_GB2312"/>
                <w:kern w:val="0"/>
                <w:szCs w:val="21"/>
              </w:rPr>
            </w:pPr>
            <w:r>
              <w:rPr>
                <w:rFonts w:hint="eastAsia" w:ascii="仿宋_GB2312" w:hAnsi="宋体" w:eastAsia="仿宋_GB2312"/>
                <w:kern w:val="0"/>
                <w:szCs w:val="21"/>
              </w:rPr>
              <w:t xml:space="preserve">                       （建设单位印章）</w:t>
            </w:r>
          </w:p>
          <w:p>
            <w:pPr>
              <w:ind w:left="1390" w:leftChars="0"/>
              <w:jc w:val="right"/>
              <w:rPr>
                <w:rFonts w:hint="eastAsia" w:ascii="仿宋_GB2312" w:hAnsi="宋体" w:eastAsia="仿宋_GB2312"/>
                <w:kern w:val="0"/>
                <w:szCs w:val="21"/>
                <w:lang w:val="en-US" w:eastAsia="zh-CN" w:bidi="ar-SA"/>
              </w:rPr>
            </w:pPr>
            <w:r>
              <w:rPr>
                <w:rFonts w:hint="eastAsia" w:ascii="仿宋_GB2312" w:hAnsi="宋体" w:eastAsia="仿宋_GB2312"/>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536" w:type="dxa"/>
            <w:gridSpan w:val="7"/>
            <w:tcBorders>
              <w:top w:val="single" w:color="auto" w:sz="4" w:space="0"/>
              <w:left w:val="single" w:color="auto" w:sz="12" w:space="0"/>
              <w:bottom w:val="single" w:color="auto" w:sz="4" w:space="0"/>
              <w:right w:val="single" w:color="auto" w:sz="4" w:space="0"/>
            </w:tcBorders>
            <w:vAlign w:val="top"/>
          </w:tcPr>
          <w:p>
            <w:pPr>
              <w:jc w:val="both"/>
              <w:rPr>
                <w:rFonts w:hint="eastAsia" w:ascii="仿宋_GB2312" w:hAnsi="宋体" w:eastAsia="仿宋_GB2312"/>
                <w:kern w:val="0"/>
                <w:szCs w:val="21"/>
                <w:lang w:eastAsia="zh-CN"/>
              </w:rPr>
            </w:pPr>
            <w:r>
              <w:rPr>
                <w:rFonts w:hint="eastAsia" w:ascii="仿宋_GB2312" w:hAnsi="宋体" w:eastAsia="仿宋_GB2312"/>
                <w:kern w:val="0"/>
                <w:szCs w:val="21"/>
                <w:lang w:eastAsia="zh-CN"/>
              </w:rPr>
              <w:t>勘察单位确认：</w:t>
            </w:r>
          </w:p>
          <w:p>
            <w:pPr>
              <w:jc w:val="both"/>
              <w:rPr>
                <w:rFonts w:hint="eastAsia" w:ascii="仿宋_GB2312" w:hAnsi="宋体" w:eastAsia="仿宋_GB2312"/>
                <w:kern w:val="0"/>
                <w:szCs w:val="21"/>
                <w:lang w:eastAsia="zh-CN"/>
              </w:rPr>
            </w:pPr>
          </w:p>
          <w:p>
            <w:pPr>
              <w:jc w:val="both"/>
              <w:rPr>
                <w:rFonts w:hint="eastAsia" w:ascii="仿宋_GB2312" w:hAnsi="宋体" w:eastAsia="仿宋_GB2312"/>
                <w:kern w:val="0"/>
                <w:szCs w:val="21"/>
                <w:lang w:eastAsia="zh-CN"/>
              </w:rPr>
            </w:pPr>
          </w:p>
          <w:p>
            <w:pPr>
              <w:ind w:left="670"/>
              <w:rPr>
                <w:rFonts w:hint="eastAsia" w:ascii="仿宋_GB2312" w:hAnsi="华文中宋" w:eastAsia="仿宋_GB2312"/>
                <w:kern w:val="0"/>
                <w:szCs w:val="21"/>
              </w:rPr>
            </w:pP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w:t>
            </w:r>
            <w:r>
              <w:rPr>
                <w:rFonts w:hint="eastAsia" w:ascii="仿宋_GB2312" w:hAnsi="宋体" w:eastAsia="仿宋_GB2312"/>
                <w:kern w:val="0"/>
                <w:szCs w:val="21"/>
                <w:lang w:eastAsia="zh-CN"/>
              </w:rPr>
              <w:t>勘察</w:t>
            </w:r>
            <w:r>
              <w:rPr>
                <w:rFonts w:hint="eastAsia" w:ascii="仿宋_GB2312" w:hAnsi="宋体" w:eastAsia="仿宋_GB2312"/>
                <w:kern w:val="0"/>
                <w:szCs w:val="21"/>
              </w:rPr>
              <w:t>单位印章）</w:t>
            </w:r>
          </w:p>
          <w:p>
            <w:pPr>
              <w:jc w:val="both"/>
              <w:rPr>
                <w:rFonts w:hint="eastAsia" w:ascii="仿宋_GB2312" w:hAnsi="宋体" w:eastAsia="仿宋_GB2312"/>
                <w:kern w:val="0"/>
                <w:szCs w:val="21"/>
                <w:lang w:val="en-US" w:eastAsia="zh-CN" w:bidi="ar-SA"/>
              </w:rPr>
            </w:pP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年   月   日</w:t>
            </w:r>
          </w:p>
        </w:tc>
        <w:tc>
          <w:tcPr>
            <w:tcW w:w="4499" w:type="dxa"/>
            <w:gridSpan w:val="8"/>
            <w:tcBorders>
              <w:top w:val="single" w:color="auto" w:sz="4" w:space="0"/>
              <w:left w:val="single" w:color="auto" w:sz="4" w:space="0"/>
              <w:bottom w:val="single" w:color="auto" w:sz="4" w:space="0"/>
              <w:right w:val="single" w:color="auto" w:sz="12" w:space="0"/>
            </w:tcBorders>
            <w:vAlign w:val="top"/>
          </w:tcPr>
          <w:p>
            <w:pPr>
              <w:ind w:left="1390" w:leftChars="0"/>
              <w:jc w:val="right"/>
              <w:rPr>
                <w:rFonts w:hint="eastAsia" w:ascii="仿宋_GB2312" w:hAnsi="宋体" w:eastAsia="仿宋_GB2312"/>
                <w:kern w:val="0"/>
                <w:szCs w:val="21"/>
                <w:lang w:val="en-US" w:eastAsia="zh-CN" w:bidi="ar-SA"/>
              </w:rPr>
            </w:pPr>
          </w:p>
        </w:tc>
      </w:tr>
    </w:tbl>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ascii="仿宋_GB2312" w:eastAsia="仿宋_GB2312"/>
          <w:b/>
          <w:sz w:val="36"/>
          <w:szCs w:val="36"/>
          <w:lang w:val="en-US" w:eastAsia="zh-CN"/>
        </w:rPr>
      </w:pPr>
    </w:p>
    <w:p>
      <w:pPr>
        <w:wordWrap w:val="0"/>
        <w:jc w:val="center"/>
        <w:rPr>
          <w:rFonts w:hint="eastAsia"/>
          <w:b/>
          <w:bCs/>
          <w:sz w:val="30"/>
          <w:szCs w:val="30"/>
          <w:lang w:val="en-US" w:eastAsia="zh-CN"/>
        </w:rPr>
      </w:pPr>
      <w:r>
        <w:rPr>
          <w:rFonts w:hint="eastAsia" w:ascii="仿宋_GB2312" w:eastAsia="仿宋_GB2312"/>
          <w:b/>
          <w:sz w:val="36"/>
          <w:szCs w:val="36"/>
          <w:lang w:val="en-US" w:eastAsia="zh-CN"/>
        </w:rPr>
        <w:t>专项验收事项登记表</w:t>
      </w:r>
    </w:p>
    <w:p>
      <w:pPr>
        <w:wordWrap w:val="0"/>
        <w:jc w:val="both"/>
        <w:rPr>
          <w:rFonts w:hint="eastAsia"/>
          <w:b/>
          <w:bCs/>
          <w:sz w:val="30"/>
          <w:szCs w:val="30"/>
          <w:lang w:val="en-US" w:eastAsia="zh-CN"/>
        </w:rPr>
      </w:pPr>
    </w:p>
    <w:p>
      <w:pPr>
        <w:wordWrap w:val="0"/>
        <w:jc w:val="both"/>
        <w:rPr>
          <w:rFonts w:hint="eastAsia"/>
          <w:b/>
          <w:bCs/>
          <w:sz w:val="30"/>
          <w:szCs w:val="30"/>
          <w:lang w:val="en-US" w:eastAsia="zh-CN"/>
        </w:rPr>
      </w:pPr>
    </w:p>
    <w:tbl>
      <w:tblPr>
        <w:tblStyle w:val="8"/>
        <w:tblpPr w:leftFromText="180" w:rightFromText="180" w:vertAnchor="text" w:horzAnchor="page" w:tblpX="1370" w:tblpY="-6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210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restart"/>
            <w:tcBorders>
              <w:top w:val="single" w:color="auto" w:sz="8" w:space="0"/>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工程项目分类</w:t>
            </w:r>
          </w:p>
        </w:tc>
        <w:tc>
          <w:tcPr>
            <w:tcW w:w="6030" w:type="dxa"/>
            <w:gridSpan w:val="2"/>
            <w:tcBorders>
              <w:top w:val="single" w:color="auto" w:sz="8" w:space="0"/>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房屋建筑和市政基础工程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continue"/>
            <w:tcBorders>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p>
        </w:tc>
        <w:tc>
          <w:tcPr>
            <w:tcW w:w="6030" w:type="dxa"/>
            <w:gridSpan w:val="2"/>
            <w:tcBorders>
              <w:top w:val="single" w:color="auto" w:sz="8" w:space="0"/>
              <w:left w:val="single" w:color="auto" w:sz="8" w:space="0"/>
              <w:right w:val="single" w:color="auto" w:sz="8" w:space="0"/>
            </w:tcBorders>
            <w:vAlign w:val="center"/>
          </w:tcPr>
          <w:p>
            <w:pPr>
              <w:ind w:firstLine="1400" w:firstLineChars="500"/>
              <w:jc w:val="both"/>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0" w:type="dxa"/>
            <w:vMerge w:val="continue"/>
            <w:tcBorders>
              <w:left w:val="single" w:color="auto" w:sz="8" w:space="0"/>
              <w:right w:val="single" w:color="auto" w:sz="8" w:space="0"/>
            </w:tcBorders>
            <w:vAlign w:val="center"/>
          </w:tcPr>
          <w:p>
            <w:pPr>
              <w:jc w:val="center"/>
              <w:rPr>
                <w:rFonts w:hint="eastAsia" w:ascii="仿宋_GB2312" w:hAnsi="宋体" w:eastAsia="仿宋_GB2312"/>
                <w:kern w:val="0"/>
                <w:sz w:val="28"/>
                <w:szCs w:val="28"/>
                <w:lang w:eastAsia="zh-CN"/>
              </w:rPr>
            </w:pPr>
          </w:p>
        </w:tc>
        <w:tc>
          <w:tcPr>
            <w:tcW w:w="6030" w:type="dxa"/>
            <w:gridSpan w:val="2"/>
            <w:tcBorders>
              <w:top w:val="single" w:color="auto" w:sz="8" w:space="0"/>
              <w:left w:val="single" w:color="auto" w:sz="8" w:space="0"/>
              <w:right w:val="single" w:color="auto" w:sz="8" w:space="0"/>
            </w:tcBorders>
            <w:vAlign w:val="center"/>
          </w:tcPr>
          <w:p>
            <w:pPr>
              <w:ind w:firstLine="1400" w:firstLineChars="500"/>
              <w:jc w:val="both"/>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eastAsia="zh-CN"/>
              </w:rPr>
              <w:sym w:font="Wingdings 2" w:char="00A3"/>
            </w:r>
            <w:r>
              <w:rPr>
                <w:rFonts w:hint="eastAsia" w:ascii="仿宋_GB2312" w:hAnsi="宋体" w:eastAsia="仿宋_GB2312"/>
                <w:kern w:val="0"/>
                <w:sz w:val="28"/>
                <w:szCs w:val="28"/>
                <w:lang w:eastAsia="zh-CN"/>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p>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专项</w:t>
            </w:r>
            <w:r>
              <w:rPr>
                <w:rFonts w:hint="eastAsia" w:ascii="仿宋_GB2312" w:hAnsi="宋体" w:eastAsia="仿宋_GB2312"/>
                <w:position w:val="-26"/>
                <w:sz w:val="28"/>
                <w:szCs w:val="28"/>
              </w:rPr>
              <w:t>验收</w:t>
            </w:r>
            <w:r>
              <w:rPr>
                <w:rFonts w:hint="eastAsia" w:ascii="仿宋_GB2312" w:hAnsi="宋体" w:eastAsia="仿宋_GB2312"/>
                <w:position w:val="-26"/>
                <w:sz w:val="28"/>
                <w:szCs w:val="28"/>
                <w:lang w:eastAsia="zh-CN"/>
              </w:rPr>
              <w:t>内容</w:t>
            </w:r>
          </w:p>
          <w:p>
            <w:pPr>
              <w:snapToGrid w:val="0"/>
              <w:jc w:val="center"/>
              <w:rPr>
                <w:rFonts w:hint="eastAsia" w:ascii="仿宋_GB2312" w:hAnsi="宋体" w:eastAsia="仿宋_GB2312"/>
                <w:position w:val="-26"/>
                <w:sz w:val="28"/>
                <w:szCs w:val="28"/>
              </w:rPr>
            </w:pP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是否涉及</w:t>
            </w:r>
          </w:p>
        </w:tc>
        <w:tc>
          <w:tcPr>
            <w:tcW w:w="392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建设工程消防验收审批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规划验收审批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val="en-US"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rPr>
              <w:t>深圳市规划和自然资源局</w:t>
            </w:r>
            <w:r>
              <w:rPr>
                <w:rFonts w:hint="eastAsia" w:ascii="仿宋_GB2312" w:hAnsi="宋体" w:eastAsia="仿宋_GB2312"/>
                <w:position w:val="-26"/>
                <w:sz w:val="28"/>
                <w:szCs w:val="28"/>
                <w:lang w:val="en-US" w:eastAsia="zh-CN"/>
              </w:rPr>
              <w:t>管理局</w:t>
            </w:r>
          </w:p>
          <w:p>
            <w:pPr>
              <w:snapToGrid w:val="0"/>
              <w:jc w:val="left"/>
              <w:rPr>
                <w:rFonts w:hint="default" w:ascii="仿宋_GB2312" w:hAnsi="宋体" w:eastAsia="仿宋_GB2312"/>
                <w:position w:val="-26"/>
                <w:sz w:val="28"/>
                <w:szCs w:val="28"/>
                <w:lang w:val="en-US"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市</w:t>
            </w:r>
            <w:r>
              <w:rPr>
                <w:rFonts w:hint="eastAsia" w:ascii="仿宋_GB2312" w:hAnsi="宋体" w:eastAsia="仿宋_GB2312"/>
                <w:position w:val="-26"/>
                <w:sz w:val="28"/>
                <w:szCs w:val="28"/>
              </w:rPr>
              <w:t>规划和自然资源局</w:t>
            </w:r>
            <w:r>
              <w:rPr>
                <w:rFonts w:hint="eastAsia" w:ascii="仿宋_GB2312" w:hAnsi="宋体" w:eastAsia="仿宋_GB2312"/>
                <w:position w:val="-26"/>
                <w:sz w:val="28"/>
                <w:szCs w:val="28"/>
                <w:lang w:eastAsia="zh-CN"/>
              </w:rPr>
              <w:t>（）区</w:t>
            </w:r>
            <w:r>
              <w:rPr>
                <w:rFonts w:hint="eastAsia" w:ascii="仿宋_GB2312" w:hAnsi="宋体" w:eastAsia="仿宋_GB2312"/>
                <w:position w:val="-26"/>
                <w:sz w:val="28"/>
                <w:szCs w:val="28"/>
                <w:lang w:val="en-US" w:eastAsia="zh-CN"/>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lang w:eastAsia="zh-CN"/>
              </w:rPr>
              <w:t>民用节能专项验收审批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lang w:val="en-US" w:eastAsia="zh-CN" w:bidi="ar-SA"/>
              </w:rPr>
            </w:pPr>
            <w:r>
              <w:rPr>
                <w:rFonts w:hint="eastAsia" w:ascii="仿宋_GB2312" w:hAnsi="宋体" w:eastAsia="仿宋_GB2312"/>
                <w:position w:val="-26"/>
                <w:sz w:val="28"/>
                <w:szCs w:val="28"/>
                <w:lang w:eastAsia="zh-CN"/>
              </w:rPr>
              <w:t>人防工程验收审批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是</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否</w:t>
            </w:r>
            <w:r>
              <w:rPr>
                <w:rFonts w:hint="eastAsia" w:ascii="仿宋_GB2312" w:hAnsi="宋体" w:eastAsia="仿宋_GB2312"/>
                <w:position w:val="-26"/>
                <w:sz w:val="28"/>
                <w:szCs w:val="28"/>
                <w:lang w:val="en-US" w:eastAsia="zh-CN"/>
              </w:rPr>
              <w:t xml:space="preserve">   </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深圳市住房和建设局</w:t>
            </w:r>
          </w:p>
          <w:p>
            <w:pPr>
              <w:snapToGrid w:val="0"/>
              <w:jc w:val="left"/>
              <w:rPr>
                <w:rFonts w:hint="eastAsia" w:ascii="仿宋_GB2312" w:hAnsi="宋体" w:eastAsia="仿宋_GB2312"/>
                <w:position w:val="-26"/>
                <w:sz w:val="28"/>
                <w:szCs w:val="28"/>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（）区住房和建设局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150" w:type="dxa"/>
            <w:tcBorders>
              <w:top w:val="single" w:color="auto" w:sz="4" w:space="0"/>
              <w:left w:val="single" w:color="auto" w:sz="8" w:space="0"/>
              <w:right w:val="single" w:color="auto" w:sz="4" w:space="0"/>
            </w:tcBorders>
            <w:vAlign w:val="center"/>
          </w:tcPr>
          <w:p>
            <w:pPr>
              <w:snapToGrid w:val="0"/>
              <w:jc w:val="center"/>
              <w:rPr>
                <w:rFonts w:hint="eastAsia" w:ascii="仿宋_GB2312" w:hAnsi="宋体" w:eastAsia="仿宋_GB2312"/>
                <w:position w:val="-26"/>
                <w:sz w:val="28"/>
                <w:szCs w:val="28"/>
              </w:rPr>
            </w:pPr>
            <w:r>
              <w:rPr>
                <w:rFonts w:hint="eastAsia" w:ascii="仿宋_GB2312" w:hAnsi="宋体" w:eastAsia="仿宋_GB2312"/>
                <w:position w:val="-26"/>
                <w:sz w:val="28"/>
                <w:szCs w:val="28"/>
                <w:lang w:eastAsia="zh-CN"/>
              </w:rPr>
              <w:t>供水、供电、燃气、通信设施验收审批</w:t>
            </w:r>
          </w:p>
        </w:tc>
        <w:tc>
          <w:tcPr>
            <w:tcW w:w="2105" w:type="dxa"/>
            <w:tcBorders>
              <w:top w:val="single" w:color="auto" w:sz="4" w:space="0"/>
              <w:left w:val="single" w:color="auto" w:sz="4" w:space="0"/>
              <w:right w:val="single" w:color="auto" w:sz="4" w:space="0"/>
            </w:tcBorders>
            <w:vAlign w:val="center"/>
          </w:tcPr>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供水</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供电</w:t>
            </w:r>
          </w:p>
          <w:p>
            <w:pPr>
              <w:snapToGrid w:val="0"/>
              <w:jc w:val="center"/>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燃气</w:t>
            </w:r>
            <w:r>
              <w:rPr>
                <w:rFonts w:hint="eastAsia" w:ascii="仿宋_GB2312" w:hAnsi="宋体" w:eastAsia="仿宋_GB2312"/>
                <w:position w:val="-26"/>
                <w:sz w:val="28"/>
                <w:szCs w:val="28"/>
                <w:lang w:val="en-US" w:eastAsia="zh-CN"/>
              </w:rPr>
              <w:t xml:space="preserve"> </w:t>
            </w: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通信</w:t>
            </w:r>
          </w:p>
        </w:tc>
        <w:tc>
          <w:tcPr>
            <w:tcW w:w="3925" w:type="dxa"/>
            <w:tcBorders>
              <w:top w:val="single" w:color="auto" w:sz="4" w:space="0"/>
              <w:left w:val="single" w:color="auto" w:sz="4" w:space="0"/>
              <w:right w:val="single" w:color="auto" w:sz="4" w:space="0"/>
            </w:tcBorders>
            <w:vAlign w:val="center"/>
          </w:tcPr>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深圳市水务集团</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深圳市供电局</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t>深圳市燃气集团</w:t>
            </w:r>
          </w:p>
          <w:p>
            <w:pPr>
              <w:snapToGrid w:val="0"/>
              <w:jc w:val="left"/>
              <w:rPr>
                <w:rFonts w:hint="eastAsia" w:ascii="仿宋_GB2312" w:hAnsi="宋体" w:eastAsia="仿宋_GB2312"/>
                <w:position w:val="-26"/>
                <w:sz w:val="28"/>
                <w:szCs w:val="28"/>
                <w:lang w:eastAsia="zh-CN"/>
              </w:rPr>
            </w:pPr>
            <w:r>
              <w:rPr>
                <w:rFonts w:hint="eastAsia" w:ascii="仿宋_GB2312" w:hAnsi="宋体" w:eastAsia="仿宋_GB2312"/>
                <w:position w:val="-26"/>
                <w:sz w:val="28"/>
                <w:szCs w:val="28"/>
              </w:rPr>
              <w:sym w:font="Wingdings 2" w:char="00A3"/>
            </w:r>
            <w:r>
              <w:rPr>
                <w:rFonts w:hint="eastAsia" w:ascii="仿宋_GB2312" w:hAnsi="宋体" w:eastAsia="仿宋_GB2312"/>
                <w:position w:val="-26"/>
                <w:sz w:val="28"/>
                <w:szCs w:val="28"/>
                <w:lang w:eastAsia="zh-CN"/>
              </w:rPr>
              <w:fldChar w:fldCharType="begin"/>
            </w:r>
            <w:r>
              <w:rPr>
                <w:rFonts w:hint="eastAsia" w:ascii="仿宋_GB2312" w:hAnsi="宋体" w:eastAsia="仿宋_GB2312"/>
                <w:position w:val="-26"/>
                <w:sz w:val="28"/>
                <w:szCs w:val="28"/>
                <w:lang w:eastAsia="zh-CN"/>
              </w:rPr>
              <w:instrText xml:space="preserve"> HYPERLINK "http://www.gdzwfw.gov.cn/portal/branch-hall?orgCode=007545214" \t "http://www.gdzwfw.gov.cn/portal/guide/_blank" </w:instrText>
            </w:r>
            <w:r>
              <w:rPr>
                <w:rFonts w:hint="eastAsia" w:ascii="仿宋_GB2312" w:hAnsi="宋体" w:eastAsia="仿宋_GB2312"/>
                <w:position w:val="-26"/>
                <w:sz w:val="28"/>
                <w:szCs w:val="28"/>
                <w:lang w:eastAsia="zh-CN"/>
              </w:rPr>
              <w:fldChar w:fldCharType="separate"/>
            </w:r>
            <w:r>
              <w:rPr>
                <w:rFonts w:hint="eastAsia" w:ascii="仿宋_GB2312" w:hAnsi="宋体" w:eastAsia="仿宋_GB2312"/>
                <w:position w:val="-26"/>
                <w:sz w:val="28"/>
                <w:szCs w:val="28"/>
                <w:lang w:eastAsia="zh-CN"/>
              </w:rPr>
              <w:t>广东省通信管理局深圳市通信建设管理办公室</w:t>
            </w:r>
            <w:r>
              <w:rPr>
                <w:rFonts w:hint="eastAsia" w:ascii="仿宋_GB2312" w:hAnsi="宋体" w:eastAsia="仿宋_GB2312"/>
                <w:position w:val="-26"/>
                <w:sz w:val="28"/>
                <w:szCs w:val="28"/>
                <w:lang w:eastAsia="zh-CN"/>
              </w:rPr>
              <w:fldChar w:fldCharType="end"/>
            </w:r>
          </w:p>
        </w:tc>
      </w:tr>
    </w:tbl>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附件3</w:t>
      </w:r>
    </w:p>
    <w:p>
      <w:pPr>
        <w:numPr>
          <w:ilvl w:val="0"/>
          <w:numId w:val="0"/>
        </w:numPr>
        <w:jc w:val="center"/>
        <w:rPr>
          <w:rFonts w:hint="eastAsia" w:ascii="仿宋_GB2312" w:hAnsi="仿宋_GB2312" w:eastAsia="仿宋_GB2312" w:cs="仿宋_GB2312"/>
          <w:b/>
          <w:bCs/>
          <w:color w:val="000000"/>
          <w:kern w:val="2"/>
          <w:sz w:val="36"/>
          <w:szCs w:val="36"/>
          <w:lang w:val="en-US" w:eastAsia="zh-CN" w:bidi="ar-SA"/>
        </w:rPr>
      </w:pPr>
    </w:p>
    <w:p>
      <w:pPr>
        <w:numPr>
          <w:ilvl w:val="0"/>
          <w:numId w:val="0"/>
        </w:numPr>
        <w:jc w:val="center"/>
        <w:rPr>
          <w:rFonts w:hint="default" w:ascii="仿宋_GB2312" w:hAnsi="仿宋_GB2312" w:eastAsia="仿宋_GB2312" w:cs="仿宋_GB2312"/>
          <w:b/>
          <w:bCs/>
          <w:color w:val="000000"/>
          <w:kern w:val="2"/>
          <w:sz w:val="36"/>
          <w:szCs w:val="36"/>
          <w:lang w:val="en-US" w:eastAsia="zh-CN" w:bidi="ar-SA"/>
        </w:rPr>
      </w:pPr>
      <w:r>
        <w:rPr>
          <w:rFonts w:hint="eastAsia" w:ascii="仿宋_GB2312" w:hAnsi="仿宋_GB2312" w:eastAsia="仿宋_GB2312" w:cs="仿宋_GB2312"/>
          <w:b/>
          <w:bCs/>
          <w:color w:val="000000"/>
          <w:kern w:val="2"/>
          <w:sz w:val="36"/>
          <w:szCs w:val="36"/>
          <w:lang w:val="en-US" w:eastAsia="zh-CN" w:bidi="ar-SA"/>
        </w:rPr>
        <w:t>深圳市社会投资房屋建筑和市政基础设施工程竣工联合验收意见书</w:t>
      </w:r>
    </w:p>
    <w:p>
      <w:pPr>
        <w:numPr>
          <w:ilvl w:val="0"/>
          <w:numId w:val="0"/>
        </w:numPr>
        <w:jc w:val="both"/>
        <w:rPr>
          <w:rFonts w:hint="eastAsia" w:ascii="仿宋_GB2312" w:hAnsi="仿宋_GB2312" w:eastAsia="仿宋_GB2312" w:cs="仿宋_GB2312"/>
          <w:b/>
          <w:bCs/>
          <w:color w:val="000000"/>
          <w:kern w:val="2"/>
          <w:sz w:val="36"/>
          <w:szCs w:val="36"/>
          <w:lang w:val="en-US" w:eastAsia="zh-CN" w:bidi="ar-SA"/>
        </w:rPr>
      </w:pPr>
    </w:p>
    <w:p>
      <w:pPr>
        <w:numPr>
          <w:ilvl w:val="0"/>
          <w:numId w:val="0"/>
        </w:num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深联验（X）〔2020〕00X号 </w:t>
      </w:r>
    </w:p>
    <w:p>
      <w:pPr>
        <w:numPr>
          <w:ilvl w:val="0"/>
          <w:numId w:val="0"/>
        </w:numPr>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深圳市XXXX有限公司： </w:t>
      </w:r>
    </w:p>
    <w:p>
      <w:pPr>
        <w:widowControl/>
        <w:numPr>
          <w:ilvl w:val="0"/>
          <w:numId w:val="0"/>
        </w:numPr>
        <w:wordWrap/>
        <w:adjustRightInd/>
        <w:snapToGrid/>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XXXXXXX工程项目（施工许可证编号：XXXX）经你单位组织了竣工验收，并于202X年XX月XX日经过了XX区住房和建设局的质量竣工验收监督、XX区国土资源和规划局的规划条件核实、深圳市公安消防局的建设工程消防验收及备案、深圳市民防办公室的人防工程验收备案、 XXXXXX的联合验收。 </w:t>
      </w:r>
    </w:p>
    <w:p>
      <w:pPr>
        <w:numPr>
          <w:ilvl w:val="0"/>
          <w:numId w:val="0"/>
        </w:numPr>
        <w:ind w:firstLine="960" w:firstLineChars="300"/>
        <w:jc w:val="both"/>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both"/>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深圳市住房和建设局（盖章）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深圳市规划和自然资源局管理局（盖章）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深圳市水务局（盖章）</w:t>
      </w:r>
    </w:p>
    <w:p>
      <w:pPr>
        <w:numPr>
          <w:ilvl w:val="0"/>
          <w:numId w:val="0"/>
        </w:numPr>
        <w:ind w:firstLine="960" w:firstLineChars="300"/>
        <w:jc w:val="center"/>
        <w:rPr>
          <w:rFonts w:hint="eastAsia" w:ascii="仿宋_GB2312" w:hAnsi="仿宋_GB2312" w:eastAsia="仿宋_GB2312" w:cs="仿宋_GB2312"/>
          <w:color w:val="000000"/>
          <w:kern w:val="2"/>
          <w:sz w:val="32"/>
          <w:szCs w:val="32"/>
          <w:lang w:val="en-US" w:eastAsia="zh-CN" w:bidi="ar-SA"/>
        </w:rPr>
      </w:pPr>
    </w:p>
    <w:p>
      <w:pPr>
        <w:numPr>
          <w:ilvl w:val="0"/>
          <w:numId w:val="0"/>
        </w:numPr>
        <w:ind w:firstLine="960" w:firstLineChars="300"/>
        <w:jc w:val="right"/>
        <w:rPr>
          <w:rFonts w:hint="eastAsia" w:ascii="仿宋_GB2312" w:hAnsi="仿宋_GB2312" w:eastAsia="仿宋_GB2312" w:cs="仿宋_GB2312"/>
          <w:color w:val="000000"/>
          <w:kern w:val="2"/>
          <w:sz w:val="21"/>
          <w:szCs w:val="20"/>
          <w:lang w:val="en-US" w:eastAsia="zh-CN" w:bidi="ar-SA"/>
        </w:rPr>
      </w:pPr>
      <w:r>
        <w:rPr>
          <w:rFonts w:hint="eastAsia" w:ascii="仿宋_GB2312" w:hAnsi="仿宋_GB2312" w:eastAsia="仿宋_GB2312" w:cs="仿宋_GB2312"/>
          <w:color w:val="000000"/>
          <w:kern w:val="2"/>
          <w:sz w:val="32"/>
          <w:szCs w:val="32"/>
          <w:lang w:val="en-US" w:eastAsia="zh-CN" w:bidi="ar-SA"/>
        </w:rPr>
        <w:t>202X年XX月XX日</w:t>
      </w:r>
    </w:p>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4</w:t>
      </w:r>
    </w:p>
    <w:p>
      <w:pPr>
        <w:jc w:val="center"/>
        <w:rPr>
          <w:rFonts w:hint="eastAsia"/>
          <w:b/>
          <w:sz w:val="72"/>
          <w:szCs w:val="72"/>
        </w:rPr>
      </w:pPr>
    </w:p>
    <w:p>
      <w:pPr>
        <w:jc w:val="center"/>
        <w:rPr>
          <w:b/>
          <w:sz w:val="72"/>
          <w:szCs w:val="72"/>
        </w:rPr>
      </w:pPr>
      <w:r>
        <w:rPr>
          <w:rFonts w:hint="eastAsia"/>
          <w:b/>
          <w:sz w:val="72"/>
          <w:szCs w:val="72"/>
        </w:rPr>
        <w:t>深圳市</w:t>
      </w:r>
      <w:r>
        <w:rPr>
          <w:rFonts w:hint="eastAsia"/>
          <w:b/>
          <w:sz w:val="72"/>
          <w:szCs w:val="72"/>
          <w:lang w:eastAsia="zh-CN"/>
        </w:rPr>
        <w:t>建设</w:t>
      </w:r>
      <w:r>
        <w:rPr>
          <w:rFonts w:hint="eastAsia"/>
          <w:b/>
          <w:sz w:val="72"/>
          <w:szCs w:val="72"/>
        </w:rPr>
        <w:t>工程</w:t>
      </w:r>
    </w:p>
    <w:p>
      <w:pPr>
        <w:jc w:val="center"/>
        <w:rPr>
          <w:rFonts w:hint="eastAsia"/>
          <w:b/>
          <w:sz w:val="72"/>
          <w:szCs w:val="72"/>
        </w:rPr>
      </w:pPr>
      <w:r>
        <w:rPr>
          <w:rFonts w:hint="eastAsia"/>
          <w:b/>
          <w:sz w:val="72"/>
          <w:szCs w:val="72"/>
        </w:rPr>
        <w:t>联合竣工验收报告</w:t>
      </w:r>
    </w:p>
    <w:p>
      <w:pPr>
        <w:jc w:val="center"/>
        <w:rPr>
          <w:rFonts w:hint="eastAsia" w:eastAsia="宋体"/>
          <w:b/>
          <w:sz w:val="72"/>
          <w:szCs w:val="72"/>
          <w:lang w:eastAsia="zh-CN"/>
        </w:rPr>
      </w:pPr>
      <w:r>
        <w:rPr>
          <w:rFonts w:hint="eastAsia"/>
          <w:b/>
          <w:sz w:val="32"/>
          <w:szCs w:val="32"/>
          <w:lang w:eastAsia="zh-CN"/>
        </w:rPr>
        <w:t>（政府投资项目）</w:t>
      </w:r>
    </w:p>
    <w:p>
      <w:r>
        <w:t> </w:t>
      </w:r>
    </w:p>
    <w:p>
      <w:r>
        <w:t> </w:t>
      </w:r>
    </w:p>
    <w:p>
      <w:r>
        <w:t> </w:t>
      </w:r>
    </w:p>
    <w:p>
      <w:pPr>
        <w:ind w:firstLine="480" w:firstLineChars="150"/>
        <w:rPr>
          <w:sz w:val="32"/>
          <w:szCs w:val="32"/>
        </w:rPr>
      </w:pPr>
    </w:p>
    <w:p>
      <w:pPr>
        <w:ind w:firstLine="480" w:firstLineChars="150"/>
        <w:rPr>
          <w:sz w:val="32"/>
          <w:szCs w:val="32"/>
        </w:rPr>
      </w:pPr>
    </w:p>
    <w:p>
      <w:pPr>
        <w:ind w:firstLine="480" w:firstLineChars="150"/>
        <w:rPr>
          <w:sz w:val="32"/>
          <w:szCs w:val="32"/>
        </w:rPr>
      </w:pPr>
      <w:r>
        <w:rPr>
          <w:rFonts w:hint="eastAsia"/>
          <w:sz w:val="32"/>
          <w:szCs w:val="32"/>
        </w:rPr>
        <w:t>工程名称：</w:t>
      </w:r>
      <w:r>
        <w:rPr>
          <w:rFonts w:hint="eastAsia"/>
          <w:sz w:val="32"/>
          <w:szCs w:val="32"/>
          <w:u w:val="single"/>
        </w:rPr>
        <w:t xml:space="preserve">                               </w:t>
      </w:r>
      <w:r>
        <w:rPr>
          <w:rFonts w:hint="eastAsia"/>
          <w:sz w:val="32"/>
          <w:szCs w:val="32"/>
        </w:rPr>
        <w:t xml:space="preserve">                            </w:t>
      </w:r>
      <w:r>
        <w:rPr>
          <w:sz w:val="32"/>
          <w:szCs w:val="32"/>
        </w:rPr>
        <w:t xml:space="preserve"> </w:t>
      </w:r>
    </w:p>
    <w:p>
      <w:pPr>
        <w:rPr>
          <w:sz w:val="32"/>
          <w:szCs w:val="32"/>
        </w:rPr>
      </w:pPr>
    </w:p>
    <w:p>
      <w:pPr>
        <w:ind w:firstLine="480" w:firstLineChars="150"/>
        <w:rPr>
          <w:sz w:val="32"/>
          <w:szCs w:val="32"/>
        </w:rPr>
      </w:pPr>
      <w:r>
        <w:rPr>
          <w:rFonts w:hint="eastAsia"/>
          <w:sz w:val="32"/>
          <w:szCs w:val="32"/>
        </w:rPr>
        <w:t>建设单位：</w:t>
      </w:r>
      <w:r>
        <w:rPr>
          <w:rFonts w:hint="eastAsia"/>
          <w:sz w:val="32"/>
          <w:szCs w:val="32"/>
          <w:u w:val="single"/>
        </w:rPr>
        <w:t xml:space="preserve">                               </w:t>
      </w:r>
      <w:r>
        <w:rPr>
          <w:rFonts w:hint="eastAsia"/>
          <w:sz w:val="32"/>
          <w:szCs w:val="32"/>
        </w:rPr>
        <w:t xml:space="preserve">                          </w:t>
      </w:r>
      <w:r>
        <w:rPr>
          <w:sz w:val="32"/>
          <w:szCs w:val="32"/>
        </w:rPr>
        <w:t xml:space="preserve"> </w:t>
      </w:r>
    </w:p>
    <w:p>
      <w:pPr>
        <w:rPr>
          <w:sz w:val="32"/>
          <w:szCs w:val="32"/>
        </w:rPr>
      </w:pPr>
    </w:p>
    <w:p>
      <w:pPr>
        <w:ind w:firstLine="480" w:firstLineChars="150"/>
      </w:pPr>
      <w:r>
        <w:rPr>
          <w:rFonts w:hint="eastAsia"/>
          <w:sz w:val="32"/>
          <w:szCs w:val="32"/>
        </w:rPr>
        <w:t>验收日期：</w:t>
      </w:r>
      <w:r>
        <w:rPr>
          <w:rFonts w:hint="eastAsia"/>
          <w:sz w:val="32"/>
          <w:szCs w:val="32"/>
          <w:u w:val="single"/>
        </w:rPr>
        <w:t xml:space="preserve">                               </w:t>
      </w:r>
      <w:r>
        <w:rPr>
          <w:rFonts w:hint="eastAsia"/>
          <w:sz w:val="32"/>
          <w:szCs w:val="32"/>
        </w:rPr>
        <w:t xml:space="preserve"> </w:t>
      </w:r>
      <w:r>
        <w:rPr>
          <w:sz w:val="32"/>
          <w:szCs w:val="32"/>
        </w:rPr>
        <w:t xml:space="preserve"> </w:t>
      </w:r>
      <w:r>
        <w:t xml:space="preserve">  </w:t>
      </w:r>
      <w:r>
        <w:rPr>
          <w:rFonts w:hint="eastAsia"/>
        </w:rPr>
        <w:t xml:space="preserve">                  </w:t>
      </w:r>
      <w:r>
        <w:t xml:space="preserve">  </w:t>
      </w:r>
      <w:r>
        <w:rPr>
          <w:rFonts w:hint="eastAsia"/>
        </w:rPr>
        <w:t xml:space="preserve"> </w:t>
      </w:r>
      <w:r>
        <w:t xml:space="preserve">  </w:t>
      </w:r>
    </w:p>
    <w:p>
      <w:r>
        <w:t> </w:t>
      </w:r>
    </w:p>
    <w:p/>
    <w:p>
      <w:r>
        <w:rPr>
          <w:rFonts w:hint="eastAsia"/>
        </w:rPr>
        <w:t xml:space="preserve">          </w:t>
      </w:r>
      <w:r>
        <w:br w:type="page"/>
      </w:r>
      <w:r>
        <w:t> </w:t>
      </w:r>
    </w:p>
    <w:p>
      <w:r>
        <w:t> </w:t>
      </w:r>
    </w:p>
    <w:p>
      <w:r>
        <w:t> </w:t>
      </w:r>
    </w:p>
    <w:p>
      <w:pPr>
        <w:jc w:val="center"/>
        <w:rPr>
          <w:sz w:val="44"/>
          <w:szCs w:val="44"/>
        </w:rPr>
      </w:pPr>
      <w:r>
        <w:rPr>
          <w:rFonts w:hint="eastAsia"/>
          <w:sz w:val="44"/>
          <w:szCs w:val="44"/>
        </w:rPr>
        <w:t>填写说明</w:t>
      </w:r>
    </w:p>
    <w:p>
      <w:r>
        <w:t> </w:t>
      </w:r>
    </w:p>
    <w:p>
      <w:pPr>
        <w:rPr>
          <w:rFonts w:ascii="宋体" w:hAnsi="宋体"/>
          <w:sz w:val="32"/>
          <w:szCs w:val="32"/>
        </w:rPr>
      </w:pPr>
    </w:p>
    <w:p>
      <w:pPr>
        <w:rPr>
          <w:rFonts w:ascii="宋体" w:hAnsi="宋体"/>
          <w:sz w:val="32"/>
          <w:szCs w:val="32"/>
        </w:rPr>
      </w:pPr>
      <w:r>
        <w:rPr>
          <w:rFonts w:ascii="宋体" w:hAnsi="宋体"/>
          <w:sz w:val="32"/>
          <w:szCs w:val="32"/>
        </w:rPr>
        <w:t>1</w:t>
      </w:r>
      <w:r>
        <w:rPr>
          <w:rFonts w:hint="eastAsia" w:ascii="宋体" w:hAnsi="宋体"/>
          <w:sz w:val="32"/>
          <w:szCs w:val="32"/>
        </w:rPr>
        <w:t>、本报告由建设单位负责填写。</w:t>
      </w:r>
    </w:p>
    <w:p>
      <w:pPr>
        <w:rPr>
          <w:rFonts w:ascii="宋体" w:hAnsi="宋体"/>
          <w:sz w:val="32"/>
          <w:szCs w:val="32"/>
        </w:rPr>
      </w:pPr>
      <w:r>
        <w:rPr>
          <w:rFonts w:ascii="宋体" w:hAnsi="宋体"/>
          <w:sz w:val="32"/>
          <w:szCs w:val="32"/>
        </w:rPr>
        <w:t>2</w:t>
      </w:r>
      <w:r>
        <w:rPr>
          <w:rFonts w:hint="eastAsia" w:ascii="宋体" w:hAnsi="宋体"/>
          <w:sz w:val="32"/>
          <w:szCs w:val="32"/>
        </w:rPr>
        <w:t>、填写内容要求真实，语言简练，字迹清楚。</w:t>
      </w:r>
    </w:p>
    <w:p>
      <w:pPr>
        <w:rPr>
          <w:rFonts w:ascii="宋体" w:hAnsi="宋体"/>
          <w:sz w:val="32"/>
          <w:szCs w:val="32"/>
        </w:rPr>
      </w:pPr>
      <w:r>
        <w:rPr>
          <w:rFonts w:ascii="宋体" w:hAnsi="宋体"/>
          <w:sz w:val="32"/>
          <w:szCs w:val="32"/>
        </w:rPr>
        <w:t>3</w:t>
      </w:r>
      <w:r>
        <w:rPr>
          <w:rFonts w:hint="eastAsia" w:ascii="宋体" w:hAnsi="宋体"/>
          <w:sz w:val="32"/>
          <w:szCs w:val="32"/>
        </w:rPr>
        <w:t>、参建单位名称需填写法定名称（全称）。</w:t>
      </w:r>
    </w:p>
    <w:p>
      <w:pPr>
        <w:rPr>
          <w:rFonts w:ascii="宋体" w:hAnsi="宋体"/>
          <w:sz w:val="32"/>
          <w:szCs w:val="32"/>
        </w:rPr>
      </w:pPr>
      <w:r>
        <w:rPr>
          <w:rFonts w:ascii="宋体" w:hAnsi="宋体"/>
          <w:sz w:val="32"/>
          <w:szCs w:val="32"/>
        </w:rPr>
        <w:t>4</w:t>
      </w:r>
      <w:r>
        <w:rPr>
          <w:rFonts w:hint="eastAsia" w:ascii="宋体" w:hAnsi="宋体"/>
          <w:sz w:val="32"/>
          <w:szCs w:val="32"/>
        </w:rPr>
        <w:t>、本报告原件一式五份，建设单位、施工单位、联合竣工验收机关、质量监督站、城建档案部门各持一份，相关接管单位如需要由建设单位提供复印件。</w:t>
      </w:r>
    </w:p>
    <w:p>
      <w:pPr>
        <w:rPr>
          <w:rFonts w:ascii="黑体" w:eastAsia="黑体"/>
          <w:sz w:val="32"/>
          <w:szCs w:val="32"/>
        </w:rPr>
      </w:pPr>
      <w:r>
        <w:br w:type="page"/>
      </w:r>
      <w:r>
        <w:rPr>
          <w:rFonts w:hint="eastAsia" w:ascii="黑体" w:eastAsia="黑体"/>
          <w:sz w:val="32"/>
          <w:szCs w:val="32"/>
        </w:rPr>
        <w:t>一、工程概况、执行基本建设情况</w:t>
      </w:r>
    </w:p>
    <w:tbl>
      <w:tblPr>
        <w:tblStyle w:val="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195"/>
        <w:gridCol w:w="623"/>
        <w:gridCol w:w="1266"/>
        <w:gridCol w:w="1539"/>
        <w:gridCol w:w="871"/>
        <w:gridCol w:w="1276"/>
        <w:gridCol w:w="1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21" w:type="dxa"/>
            <w:gridSpan w:val="2"/>
            <w:tcBorders>
              <w:top w:val="single" w:color="auto" w:sz="4"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工程名称</w:t>
            </w:r>
          </w:p>
        </w:tc>
        <w:tc>
          <w:tcPr>
            <w:tcW w:w="6901" w:type="dxa"/>
            <w:gridSpan w:val="6"/>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pPr>
            <w:r>
              <w:t> </w:t>
            </w:r>
          </w:p>
          <w:p>
            <w:pPr>
              <w:widowControl/>
              <w:spacing w:line="440" w:lineRule="exact"/>
              <w:jc w:val="left"/>
            </w:pPr>
          </w:p>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621" w:type="dxa"/>
            <w:gridSpan w:val="2"/>
            <w:tcBorders>
              <w:top w:val="single" w:color="auto" w:sz="4" w:space="0"/>
              <w:left w:val="single" w:color="auto" w:sz="4" w:space="0"/>
              <w:bottom w:val="single" w:color="auto" w:sz="6" w:space="0"/>
              <w:right w:val="single" w:color="auto" w:sz="6" w:space="0"/>
            </w:tcBorders>
            <w:vAlign w:val="center"/>
          </w:tcPr>
          <w:p>
            <w:pPr>
              <w:widowControl/>
              <w:spacing w:line="440" w:lineRule="exact"/>
              <w:jc w:val="left"/>
              <w:rPr>
                <w:rFonts w:hint="eastAsia" w:hAnsi="宋体" w:eastAsia="宋体"/>
                <w:lang w:eastAsia="zh-CN"/>
              </w:rPr>
            </w:pPr>
            <w:r>
              <w:rPr>
                <w:rFonts w:hint="eastAsia" w:hAnsi="宋体"/>
                <w:lang w:eastAsia="zh-CN"/>
              </w:rPr>
              <w:t>工程分类</w:t>
            </w:r>
          </w:p>
        </w:tc>
        <w:tc>
          <w:tcPr>
            <w:tcW w:w="6901" w:type="dxa"/>
            <w:gridSpan w:val="6"/>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default" w:hAnsi="宋体"/>
                <w:sz w:val="21"/>
                <w:szCs w:val="22"/>
                <w:lang w:val="en-US" w:eastAsia="zh-CN"/>
              </w:rPr>
            </w:pPr>
            <w:r>
              <w:rPr>
                <w:rFonts w:hint="eastAsia" w:hAnsi="宋体"/>
                <w:sz w:val="20"/>
                <w:szCs w:val="20"/>
                <w:lang w:eastAsia="zh-CN"/>
              </w:rPr>
              <w:sym w:font="Wingdings 2" w:char="00A3"/>
            </w:r>
            <w:r>
              <w:rPr>
                <w:rFonts w:hint="eastAsia" w:hAnsi="宋体"/>
                <w:sz w:val="20"/>
                <w:szCs w:val="20"/>
                <w:lang w:eastAsia="zh-CN"/>
              </w:rPr>
              <w:t>房屋建筑和市政基础工程</w:t>
            </w:r>
            <w:r>
              <w:rPr>
                <w:rFonts w:hint="eastAsia" w:hAnsi="宋体"/>
                <w:sz w:val="20"/>
                <w:szCs w:val="20"/>
                <w:lang w:val="en-US" w:eastAsia="zh-CN"/>
              </w:rPr>
              <w:t xml:space="preserve">      </w:t>
            </w:r>
            <w:r>
              <w:rPr>
                <w:rFonts w:hint="eastAsia" w:hAnsi="宋体"/>
                <w:sz w:val="20"/>
                <w:szCs w:val="20"/>
                <w:lang w:eastAsia="zh-CN"/>
              </w:rPr>
              <w:sym w:font="Wingdings 2" w:char="00A3"/>
            </w:r>
            <w:r>
              <w:rPr>
                <w:rFonts w:hint="eastAsia" w:hAnsi="宋体"/>
                <w:sz w:val="20"/>
                <w:szCs w:val="20"/>
                <w:lang w:val="en-US" w:eastAsia="zh-CN"/>
              </w:rPr>
              <w:t xml:space="preserve">水务工程          </w:t>
            </w:r>
            <w:r>
              <w:rPr>
                <w:rFonts w:hint="eastAsia" w:hAnsi="宋体"/>
                <w:sz w:val="20"/>
                <w:szCs w:val="20"/>
                <w:lang w:eastAsia="zh-CN"/>
              </w:rPr>
              <w:sym w:font="Wingdings 2" w:char="00A3"/>
            </w:r>
            <w:r>
              <w:rPr>
                <w:rFonts w:hint="eastAsia" w:hAnsi="宋体"/>
                <w:sz w:val="20"/>
                <w:szCs w:val="20"/>
                <w:lang w:val="en-US" w:eastAsia="zh-CN"/>
              </w:rPr>
              <w:t>道路工程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建设单位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开工许可证号</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勘察单位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工程地点</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设计单位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合同造价</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80"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hAnsi="宋体"/>
              </w:rPr>
              <w:t>监理单位</w:t>
            </w:r>
          </w:p>
        </w:tc>
        <w:tc>
          <w:tcPr>
            <w:tcW w:w="1889" w:type="dxa"/>
            <w:gridSpan w:val="2"/>
            <w:tcBorders>
              <w:top w:val="single" w:color="auto" w:sz="6" w:space="0"/>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项目总监</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开工日期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vMerge w:val="restart"/>
            <w:tcBorders>
              <w:top w:val="single" w:color="auto" w:sz="6" w:space="0"/>
              <w:left w:val="single" w:color="auto" w:sz="4" w:space="0"/>
              <w:right w:val="single" w:color="auto" w:sz="6" w:space="0"/>
            </w:tcBorders>
            <w:vAlign w:val="center"/>
          </w:tcPr>
          <w:p>
            <w:pPr>
              <w:widowControl/>
              <w:spacing w:line="440" w:lineRule="exact"/>
              <w:jc w:val="left"/>
            </w:pPr>
            <w:r>
              <w:rPr>
                <w:rFonts w:hint="eastAsia" w:hAnsi="宋体"/>
              </w:rPr>
              <w:t>施工单位</w:t>
            </w:r>
          </w:p>
        </w:tc>
        <w:tc>
          <w:tcPr>
            <w:tcW w:w="1889" w:type="dxa"/>
            <w:gridSpan w:val="2"/>
            <w:vMerge w:val="restart"/>
            <w:tcBorders>
              <w:top w:val="single" w:color="auto" w:sz="6" w:space="0"/>
              <w:left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项目经理</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t> </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hAnsi="宋体"/>
              </w:rPr>
              <w:t>完工日期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vMerge w:val="continue"/>
            <w:tcBorders>
              <w:left w:val="single" w:color="auto" w:sz="4" w:space="0"/>
              <w:bottom w:val="single" w:color="auto" w:sz="6" w:space="0"/>
              <w:right w:val="single" w:color="auto" w:sz="6" w:space="0"/>
            </w:tcBorders>
            <w:vAlign w:val="center"/>
          </w:tcPr>
          <w:p>
            <w:pPr>
              <w:widowControl/>
              <w:spacing w:line="440" w:lineRule="exact"/>
              <w:jc w:val="left"/>
              <w:rPr>
                <w:rFonts w:hAnsi="宋体"/>
              </w:rPr>
            </w:pPr>
          </w:p>
        </w:tc>
        <w:tc>
          <w:tcPr>
            <w:tcW w:w="1889" w:type="dxa"/>
            <w:gridSpan w:val="2"/>
            <w:vMerge w:val="continue"/>
            <w:tcBorders>
              <w:left w:val="single" w:color="auto" w:sz="6" w:space="0"/>
              <w:bottom w:val="single" w:color="auto" w:sz="6" w:space="0"/>
              <w:right w:val="single" w:color="auto" w:sz="6" w:space="0"/>
            </w:tcBorders>
            <w:vAlign w:val="bottom"/>
          </w:tcPr>
          <w:p>
            <w:pPr>
              <w:widowControl/>
              <w:spacing w:line="240" w:lineRule="exact"/>
              <w:rPr>
                <w:rFonts w:hAnsi="宋体"/>
              </w:rPr>
            </w:pPr>
          </w:p>
        </w:tc>
        <w:tc>
          <w:tcPr>
            <w:tcW w:w="1539"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r>
              <w:rPr>
                <w:rFonts w:hint="eastAsia"/>
              </w:rPr>
              <w:t>技术负责人</w:t>
            </w:r>
          </w:p>
        </w:tc>
        <w:tc>
          <w:tcPr>
            <w:tcW w:w="871"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440" w:lineRule="exact"/>
              <w:jc w:val="left"/>
              <w:rPr>
                <w:rFonts w:hAnsi="宋体"/>
              </w:rPr>
            </w:pPr>
            <w:r>
              <w:rPr>
                <w:rFonts w:hint="eastAsia" w:hAnsi="宋体"/>
              </w:rPr>
              <w:t>验收日期</w:t>
            </w:r>
          </w:p>
        </w:tc>
        <w:tc>
          <w:tcPr>
            <w:tcW w:w="1326"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widowControl/>
              <w:spacing w:line="440" w:lineRule="exact"/>
              <w:jc w:val="left"/>
            </w:pPr>
            <w:r>
              <w:rPr>
                <w:rFonts w:hint="eastAsia"/>
              </w:rPr>
              <w:t>图纸审查机构</w:t>
            </w:r>
          </w:p>
        </w:tc>
        <w:tc>
          <w:tcPr>
            <w:tcW w:w="1889" w:type="dxa"/>
            <w:gridSpan w:val="2"/>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pPr>
          </w:p>
        </w:tc>
        <w:tc>
          <w:tcPr>
            <w:tcW w:w="1539"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pPr>
            <w:r>
              <w:rPr>
                <w:rFonts w:hint="eastAsia" w:hAnsi="宋体"/>
              </w:rPr>
              <w:t>质量监督机构</w:t>
            </w:r>
          </w:p>
        </w:tc>
        <w:tc>
          <w:tcPr>
            <w:tcW w:w="3473" w:type="dxa"/>
            <w:gridSpan w:val="3"/>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522" w:type="dxa"/>
            <w:gridSpan w:val="8"/>
            <w:tcBorders>
              <w:top w:val="single" w:color="auto" w:sz="6" w:space="0"/>
              <w:left w:val="single" w:color="auto" w:sz="4" w:space="0"/>
              <w:bottom w:val="single" w:color="auto" w:sz="6" w:space="0"/>
              <w:right w:val="single" w:color="auto" w:sz="4" w:space="0"/>
            </w:tcBorders>
            <w:vAlign w:val="center"/>
          </w:tcPr>
          <w:p>
            <w:pPr>
              <w:widowControl/>
              <w:spacing w:line="440" w:lineRule="exact"/>
            </w:pPr>
            <w:r>
              <w:rPr>
                <w:rFonts w:hint="eastAsia"/>
              </w:rPr>
              <w:t>工程概况：</w:t>
            </w:r>
          </w:p>
          <w:p>
            <w:pPr>
              <w:widowControl/>
              <w:spacing w:line="440" w:lineRule="exact"/>
            </w:pPr>
          </w:p>
          <w:p>
            <w:pPr>
              <w:widowControl/>
              <w:spacing w:line="440" w:lineRule="exact"/>
            </w:pPr>
          </w:p>
          <w:p>
            <w:pPr>
              <w:widowControl/>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restart"/>
            <w:tcBorders>
              <w:top w:val="single" w:color="auto" w:sz="6" w:space="0"/>
              <w:left w:val="single" w:color="auto" w:sz="4" w:space="0"/>
              <w:bottom w:val="single" w:color="auto" w:sz="4" w:space="0"/>
              <w:right w:val="single" w:color="auto" w:sz="6" w:space="0"/>
            </w:tcBorders>
            <w:vAlign w:val="top"/>
          </w:tcPr>
          <w:p>
            <w:pPr>
              <w:widowControl/>
              <w:spacing w:line="480" w:lineRule="auto"/>
              <w:jc w:val="left"/>
              <w:rPr>
                <w:rFonts w:hAnsi="宋体"/>
              </w:rPr>
            </w:pPr>
          </w:p>
          <w:p>
            <w:pPr>
              <w:widowControl/>
              <w:spacing w:line="480" w:lineRule="auto"/>
              <w:jc w:val="left"/>
              <w:rPr>
                <w:rFonts w:hAnsi="宋体"/>
              </w:rPr>
            </w:pPr>
          </w:p>
          <w:p>
            <w:pPr>
              <w:widowControl/>
              <w:spacing w:line="480" w:lineRule="auto"/>
              <w:jc w:val="left"/>
              <w:rPr>
                <w:rFonts w:hAnsi="宋体"/>
              </w:rPr>
            </w:pPr>
          </w:p>
          <w:p>
            <w:pPr>
              <w:widowControl/>
              <w:spacing w:line="480" w:lineRule="auto"/>
              <w:jc w:val="left"/>
            </w:pPr>
            <w:r>
              <w:rPr>
                <w:rFonts w:hint="eastAsia" w:hAnsi="宋体"/>
              </w:rPr>
              <w:t>工程建设内容</w:t>
            </w: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rFonts w:hint="eastAsia" w:eastAsia="宋体"/>
                <w:szCs w:val="21"/>
                <w:lang w:eastAsia="zh-CN"/>
              </w:rPr>
            </w:pPr>
            <w:r>
              <w:rPr>
                <w:rFonts w:hint="eastAsia"/>
                <w:szCs w:val="21"/>
                <w:lang w:eastAsia="zh-CN"/>
              </w:rPr>
              <w:t>根据工程分类填写</w:t>
            </w: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rFonts w:hint="default" w:eastAsia="宋体"/>
                <w:szCs w:val="21"/>
                <w:lang w:val="en-US" w:eastAsia="zh-CN"/>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40" w:lineRule="exact"/>
              <w:jc w:val="left"/>
              <w:rPr>
                <w:szCs w:val="21"/>
              </w:rPr>
            </w:pPr>
          </w:p>
        </w:tc>
        <w:tc>
          <w:tcPr>
            <w:tcW w:w="6278" w:type="dxa"/>
            <w:gridSpan w:val="5"/>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pPr>
          </w:p>
        </w:tc>
        <w:tc>
          <w:tcPr>
            <w:tcW w:w="1818" w:type="dxa"/>
            <w:gridSpan w:val="2"/>
            <w:tcBorders>
              <w:top w:val="single" w:color="auto" w:sz="6" w:space="0"/>
              <w:left w:val="single" w:color="auto" w:sz="6" w:space="0"/>
              <w:bottom w:val="single" w:color="auto" w:sz="6" w:space="0"/>
              <w:right w:val="single" w:color="auto" w:sz="6" w:space="0"/>
            </w:tcBorders>
            <w:vAlign w:val="top"/>
          </w:tcPr>
          <w:p>
            <w:pPr>
              <w:widowControl/>
              <w:spacing w:line="480" w:lineRule="auto"/>
              <w:jc w:val="center"/>
            </w:pPr>
            <w:r>
              <w:t> </w:t>
            </w:r>
          </w:p>
        </w:tc>
        <w:tc>
          <w:tcPr>
            <w:tcW w:w="6278" w:type="dxa"/>
            <w:gridSpan w:val="5"/>
            <w:tcBorders>
              <w:top w:val="single" w:color="auto" w:sz="6" w:space="0"/>
              <w:left w:val="single" w:color="auto" w:sz="6" w:space="0"/>
              <w:bottom w:val="single" w:color="auto" w:sz="6" w:space="0"/>
              <w:right w:val="single" w:color="auto" w:sz="4" w:space="0"/>
            </w:tcBorders>
            <w:vAlign w:val="top"/>
          </w:tcPr>
          <w:p>
            <w:pPr>
              <w:widowControl/>
              <w:spacing w:line="480" w:lineRule="auto"/>
              <w:jc w:val="center"/>
            </w:pPr>
            <w:r>
              <w:t> </w:t>
            </w:r>
          </w:p>
        </w:tc>
      </w:tr>
    </w:tbl>
    <w:p>
      <w:pPr>
        <w:rPr>
          <w:rFonts w:ascii="黑体" w:eastAsia="黑体"/>
          <w:sz w:val="32"/>
          <w:szCs w:val="32"/>
        </w:rPr>
      </w:pPr>
      <w:r>
        <w:rPr>
          <w:rFonts w:hint="eastAsia" w:ascii="黑体" w:eastAsia="黑体"/>
          <w:sz w:val="32"/>
          <w:szCs w:val="32"/>
        </w:rPr>
        <w:t>二、工程联合竣工验收结论</w:t>
      </w:r>
    </w:p>
    <w:p>
      <w:r>
        <w:t> </w:t>
      </w:r>
    </w:p>
    <w:tbl>
      <w:tblPr>
        <w:tblStyle w:val="8"/>
        <w:tblW w:w="8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1" w:hRule="atLeast"/>
          <w:jc w:val="center"/>
        </w:trPr>
        <w:tc>
          <w:tcPr>
            <w:tcW w:w="8490" w:type="dxa"/>
            <w:tcBorders>
              <w:top w:val="single" w:color="auto" w:sz="4" w:space="0"/>
              <w:left w:val="single" w:color="auto" w:sz="4" w:space="0"/>
              <w:right w:val="single" w:color="auto" w:sz="4" w:space="0"/>
            </w:tcBorders>
            <w:vAlign w:val="top"/>
          </w:tcPr>
          <w:p>
            <w:pPr>
              <w:jc w:val="left"/>
            </w:pPr>
          </w:p>
          <w:p>
            <w:pPr>
              <w:jc w:val="left"/>
              <w:rPr>
                <w:rFonts w:hint="eastAsia"/>
                <w:lang w:val="en-US" w:eastAsia="zh-CN"/>
              </w:rPr>
            </w:pPr>
            <w:r>
              <w:rPr>
                <w:rFonts w:hint="eastAsia"/>
                <w:lang w:val="en-US" w:eastAsia="zh-CN"/>
              </w:rPr>
              <w:t>1、工程质量竣工验收：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2、规划验收：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3、消防验收：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4、民用建筑节能验收：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5、特种设备验收：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6、人防工程验收：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7、水土保持设备验收：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8、防雷装置验收：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numPr>
                <w:ilvl w:val="0"/>
                <w:numId w:val="5"/>
              </w:numPr>
              <w:jc w:val="left"/>
              <w:rPr>
                <w:rFonts w:hint="eastAsia"/>
                <w:lang w:val="en-US" w:eastAsia="zh-CN"/>
              </w:rPr>
            </w:pPr>
            <w:r>
              <w:rPr>
                <w:rFonts w:hint="eastAsia"/>
                <w:lang w:val="en-US" w:eastAsia="zh-CN"/>
              </w:rPr>
              <w:t>环保工程专项验收：</w:t>
            </w: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p>
            <w:pPr>
              <w:numPr>
                <w:ilvl w:val="0"/>
                <w:numId w:val="0"/>
              </w:numPr>
              <w:jc w:val="left"/>
              <w:rPr>
                <w:rFonts w:hint="eastAsia"/>
                <w:lang w:val="en-US" w:eastAsia="zh-CN"/>
              </w:rPr>
            </w:pPr>
          </w:p>
        </w:tc>
      </w:tr>
    </w:tbl>
    <w:p>
      <w:pPr>
        <w:rPr>
          <w:b/>
          <w:sz w:val="44"/>
          <w:szCs w:val="44"/>
        </w:rPr>
      </w:pPr>
      <w:r>
        <w:rPr>
          <w:sz w:val="44"/>
          <w:szCs w:val="44"/>
        </w:rPr>
        <w:t> </w:t>
      </w:r>
    </w:p>
    <w:p>
      <w:pPr>
        <w:rPr>
          <w:rFonts w:ascii="黑体" w:eastAsia="黑体"/>
          <w:sz w:val="32"/>
          <w:szCs w:val="32"/>
        </w:rPr>
      </w:pPr>
      <w:r>
        <w:rPr>
          <w:rFonts w:hint="eastAsia" w:ascii="黑体" w:eastAsia="黑体"/>
          <w:sz w:val="32"/>
          <w:szCs w:val="32"/>
        </w:rPr>
        <w:t>三、联合竣工验收小组成员签名</w:t>
      </w:r>
    </w:p>
    <w:tbl>
      <w:tblPr>
        <w:tblStyle w:val="8"/>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4"/>
        <w:gridCol w:w="3369"/>
        <w:gridCol w:w="1134"/>
        <w:gridCol w:w="1418"/>
        <w:gridCol w:w="1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12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b/>
              </w:rPr>
            </w:pPr>
            <w:r>
              <w:rPr>
                <w:rFonts w:hint="eastAsia" w:hAnsi="宋体"/>
                <w:b/>
              </w:rPr>
              <w:t>工程名称</w:t>
            </w: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b/>
              </w:rPr>
            </w:pPr>
            <w:r>
              <w:rPr>
                <w:b/>
              </w:rPr>
              <w:t> </w:t>
            </w:r>
          </w:p>
          <w:p>
            <w:pPr>
              <w:widowControl/>
              <w:spacing w:line="440" w:lineRule="exact"/>
              <w:jc w:val="left"/>
              <w:rPr>
                <w:b/>
              </w:rPr>
            </w:pPr>
          </w:p>
          <w:p>
            <w:pPr>
              <w:widowControl/>
              <w:spacing w:line="480" w:lineRule="auto"/>
              <w:jc w:val="left"/>
              <w:rPr>
                <w:b/>
              </w:rPr>
            </w:pPr>
            <w:r>
              <w:rPr>
                <w:b/>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b/>
              </w:rPr>
            </w:pPr>
            <w:r>
              <w:rPr>
                <w:rFonts w:hint="eastAsia" w:hAnsi="宋体"/>
                <w:b/>
              </w:rPr>
              <w:t>联合竣工验收会议日期</w:t>
            </w:r>
          </w:p>
        </w:tc>
        <w:tc>
          <w:tcPr>
            <w:tcW w:w="27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exact"/>
          <w:jc w:val="center"/>
        </w:trPr>
        <w:tc>
          <w:tcPr>
            <w:tcW w:w="1234" w:type="dxa"/>
            <w:vMerge w:val="restart"/>
            <w:tcBorders>
              <w:top w:val="single" w:color="auto" w:sz="4" w:space="0"/>
              <w:left w:val="single" w:color="auto" w:sz="4" w:space="0"/>
              <w:right w:val="single" w:color="auto" w:sz="4" w:space="0"/>
            </w:tcBorders>
            <w:vAlign w:val="center"/>
          </w:tcPr>
          <w:p>
            <w:pPr>
              <w:widowControl/>
              <w:spacing w:line="400" w:lineRule="exact"/>
              <w:jc w:val="center"/>
              <w:rPr>
                <w:b/>
              </w:rPr>
            </w:pPr>
            <w:r>
              <w:rPr>
                <w:rFonts w:hint="eastAsia"/>
                <w:b/>
              </w:rPr>
              <w:t>联合竣工验收组成员</w:t>
            </w: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职务或职称</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rPr>
            </w:pPr>
            <w:r>
              <w:rPr>
                <w:rFonts w:hint="eastAsia" w:hAnsi="宋体"/>
                <w:b/>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right w:val="single" w:color="auto" w:sz="4" w:space="0"/>
            </w:tcBorders>
            <w:vAlign w:val="center"/>
          </w:tcPr>
          <w:p>
            <w:pPr>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234" w:type="dxa"/>
            <w:vMerge w:val="continue"/>
            <w:tcBorders>
              <w:left w:val="single" w:color="auto" w:sz="4" w:space="0"/>
              <w:bottom w:val="single" w:color="auto" w:sz="4" w:space="0"/>
              <w:right w:val="single" w:color="auto" w:sz="4" w:space="0"/>
            </w:tcBorders>
            <w:vAlign w:val="center"/>
          </w:tcPr>
          <w:p>
            <w:pPr>
              <w:widowControl/>
              <w:spacing w:line="480" w:lineRule="auto"/>
              <w:jc w:val="center"/>
            </w:pPr>
          </w:p>
        </w:tc>
        <w:tc>
          <w:tcPr>
            <w:tcW w:w="336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pPr>
          </w:p>
        </w:tc>
        <w:tc>
          <w:tcPr>
            <w:tcW w:w="1350" w:type="dxa"/>
            <w:tcBorders>
              <w:top w:val="single" w:color="auto" w:sz="4" w:space="0"/>
              <w:left w:val="single" w:color="auto" w:sz="4" w:space="0"/>
              <w:bottom w:val="single" w:color="auto" w:sz="4" w:space="0"/>
              <w:right w:val="single" w:color="auto" w:sz="4" w:space="0"/>
            </w:tcBorders>
            <w:vAlign w:val="top"/>
          </w:tcPr>
          <w:p>
            <w:pPr>
              <w:widowControl/>
              <w:spacing w:line="480" w:lineRule="auto"/>
              <w:jc w:val="left"/>
            </w:pPr>
            <w:r>
              <w:t> </w:t>
            </w:r>
          </w:p>
        </w:tc>
      </w:tr>
    </w:tbl>
    <w:p>
      <w:r>
        <w:rPr>
          <w:rFonts w:hint="eastAsia"/>
          <w:szCs w:val="21"/>
        </w:rPr>
        <w:t>注：对于重大工程和技术复杂工程，根据需要可邀请有关专家参加验收组。</w:t>
      </w:r>
    </w:p>
    <w:p>
      <w:pPr>
        <w:rPr>
          <w:rFonts w:ascii="宋体" w:hAnsi="宋体"/>
          <w:sz w:val="32"/>
          <w:szCs w:val="32"/>
        </w:rPr>
        <w:sectPr>
          <w:pgSz w:w="11906" w:h="16838"/>
          <w:pgMar w:top="1440" w:right="1800" w:bottom="1440" w:left="1800" w:header="851" w:footer="992" w:gutter="0"/>
          <w:cols w:space="720" w:num="1"/>
          <w:docGrid w:type="lines" w:linePitch="312" w:charSpace="0"/>
        </w:sectPr>
      </w:pPr>
    </w:p>
    <w:tbl>
      <w:tblPr>
        <w:tblStyle w:val="8"/>
        <w:tblW w:w="9308" w:type="dxa"/>
        <w:tblInd w:w="-362" w:type="dxa"/>
        <w:tblLayout w:type="fixed"/>
        <w:tblCellMar>
          <w:top w:w="15" w:type="dxa"/>
          <w:left w:w="15" w:type="dxa"/>
          <w:bottom w:w="15" w:type="dxa"/>
          <w:right w:w="15" w:type="dxa"/>
        </w:tblCellMar>
      </w:tblPr>
      <w:tblGrid>
        <w:gridCol w:w="2355"/>
        <w:gridCol w:w="3646"/>
        <w:gridCol w:w="1800"/>
        <w:gridCol w:w="1507"/>
      </w:tblGrid>
      <w:tr>
        <w:tblPrEx>
          <w:tblCellMar>
            <w:top w:w="15" w:type="dxa"/>
            <w:left w:w="15" w:type="dxa"/>
            <w:bottom w:w="15" w:type="dxa"/>
            <w:right w:w="15" w:type="dxa"/>
          </w:tblCellMar>
        </w:tblPrEx>
        <w:trPr>
          <w:trHeight w:val="624" w:hRule="atLeast"/>
        </w:trPr>
        <w:tc>
          <w:tcPr>
            <w:tcW w:w="9308" w:type="dxa"/>
            <w:gridSpan w:val="4"/>
            <w:vMerge w:val="restart"/>
            <w:noWrap w:val="0"/>
            <w:vAlign w:val="center"/>
          </w:tcPr>
          <w:p>
            <w:pPr>
              <w:widowControl/>
              <w:textAlignment w:val="center"/>
              <w:rPr>
                <w:rFonts w:hint="eastAsia" w:ascii="宋体" w:hAnsi="宋体" w:cs="宋体"/>
                <w:kern w:val="0"/>
                <w:sz w:val="32"/>
                <w:szCs w:val="32"/>
                <w:lang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5</w:t>
            </w:r>
            <w:r>
              <w:rPr>
                <w:rFonts w:hint="eastAsia" w:ascii="宋体" w:hAnsi="宋体" w:cs="宋体"/>
                <w:kern w:val="0"/>
                <w:sz w:val="32"/>
                <w:szCs w:val="32"/>
                <w:lang w:bidi="ar"/>
              </w:rPr>
              <w:t xml:space="preserve">    </w:t>
            </w:r>
          </w:p>
          <w:p>
            <w:pPr>
              <w:widowControl/>
              <w:textAlignment w:val="center"/>
              <w:rPr>
                <w:rFonts w:hint="eastAsia" w:ascii="宋体" w:hAnsi="宋体" w:cs="宋体"/>
                <w:kern w:val="0"/>
                <w:sz w:val="32"/>
                <w:szCs w:val="32"/>
                <w:lang w:bidi="ar"/>
              </w:rPr>
            </w:pPr>
          </w:p>
          <w:p>
            <w:pPr>
              <w:widowControl/>
              <w:ind w:firstLine="1927" w:firstLineChars="600"/>
              <w:textAlignment w:val="center"/>
              <w:rPr>
                <w:rFonts w:hint="eastAsia" w:ascii="宋体" w:hAnsi="宋体" w:cs="宋体"/>
                <w:b/>
                <w:sz w:val="32"/>
                <w:szCs w:val="32"/>
              </w:rPr>
            </w:pPr>
            <w:r>
              <w:rPr>
                <w:rFonts w:hint="eastAsia" w:ascii="宋体" w:hAnsi="宋体" w:cs="宋体"/>
                <w:b/>
                <w:kern w:val="0"/>
                <w:sz w:val="32"/>
                <w:szCs w:val="32"/>
                <w:lang w:bidi="ar"/>
              </w:rPr>
              <w:t xml:space="preserve">   </w:t>
            </w:r>
            <w:r>
              <w:rPr>
                <w:rFonts w:hint="eastAsia"/>
                <w:b/>
                <w:sz w:val="52"/>
                <w:szCs w:val="52"/>
                <w:lang w:bidi="ar"/>
              </w:rPr>
              <w:t>道路接（管）养意见书</w:t>
            </w:r>
          </w:p>
        </w:tc>
      </w:tr>
      <w:tr>
        <w:tblPrEx>
          <w:tblCellMar>
            <w:top w:w="15" w:type="dxa"/>
            <w:left w:w="15" w:type="dxa"/>
            <w:bottom w:w="15" w:type="dxa"/>
            <w:right w:w="15" w:type="dxa"/>
          </w:tblCellMar>
        </w:tblPrEx>
        <w:trPr>
          <w:trHeight w:val="624" w:hRule="atLeast"/>
        </w:trPr>
        <w:tc>
          <w:tcPr>
            <w:tcW w:w="9308" w:type="dxa"/>
            <w:gridSpan w:val="4"/>
            <w:vMerge w:val="continue"/>
            <w:noWrap w:val="0"/>
            <w:vAlign w:val="center"/>
          </w:tcPr>
          <w:p>
            <w:pPr>
              <w:jc w:val="center"/>
              <w:rPr>
                <w:rFonts w:hint="eastAsia" w:ascii="宋体" w:hAnsi="宋体" w:cs="宋体"/>
                <w:b/>
                <w:sz w:val="32"/>
                <w:szCs w:val="32"/>
              </w:rPr>
            </w:pPr>
          </w:p>
        </w:tc>
      </w:tr>
      <w:tr>
        <w:tblPrEx>
          <w:tblCellMar>
            <w:top w:w="15" w:type="dxa"/>
            <w:left w:w="15" w:type="dxa"/>
            <w:bottom w:w="15" w:type="dxa"/>
            <w:right w:w="15" w:type="dxa"/>
          </w:tblCellMar>
        </w:tblPrEx>
        <w:trPr>
          <w:trHeight w:val="900" w:hRule="atLeast"/>
        </w:trPr>
        <w:tc>
          <w:tcPr>
            <w:tcW w:w="2355"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工程名称</w:t>
            </w:r>
          </w:p>
        </w:tc>
        <w:tc>
          <w:tcPr>
            <w:tcW w:w="6953" w:type="dxa"/>
            <w:gridSpan w:val="3"/>
            <w:tcBorders>
              <w:top w:val="single" w:color="000000" w:sz="12"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90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起止地点</w:t>
            </w:r>
          </w:p>
        </w:tc>
        <w:tc>
          <w:tcPr>
            <w:tcW w:w="6953"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90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路线长度</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桩号</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工程立项文号</w:t>
            </w:r>
          </w:p>
        </w:tc>
        <w:tc>
          <w:tcPr>
            <w:tcW w:w="6953" w:type="dxa"/>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工程规模</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 xml:space="preserve">              ㎡/万元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道路等级</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9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规划许可证号</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开工日期</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开工许可证号</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完工日期</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48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参建单位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单位名称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负责人</w:t>
            </w: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联系电话</w:t>
            </w: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建设单位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监督单位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勘察单位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9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设计单位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510"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监理单位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75" w:hRule="atLeast"/>
        </w:trPr>
        <w:tc>
          <w:tcPr>
            <w:tcW w:w="235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施工单位</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szCs w:val="24"/>
              </w:rPr>
            </w:pPr>
          </w:p>
        </w:tc>
        <w:tc>
          <w:tcPr>
            <w:tcW w:w="1507"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2791"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工程概况（包括道路桥梁的位置、等级、数量、长度、面积、结构等）：</w:t>
            </w:r>
          </w:p>
        </w:tc>
      </w:tr>
      <w:tr>
        <w:tblPrEx>
          <w:tblCellMar>
            <w:top w:w="15" w:type="dxa"/>
            <w:left w:w="15" w:type="dxa"/>
            <w:bottom w:w="15" w:type="dxa"/>
            <w:right w:w="15" w:type="dxa"/>
          </w:tblCellMar>
        </w:tblPrEx>
        <w:trPr>
          <w:trHeight w:val="1771" w:hRule="atLeast"/>
        </w:trPr>
        <w:tc>
          <w:tcPr>
            <w:tcW w:w="9308" w:type="dxa"/>
            <w:gridSpan w:val="4"/>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b/>
                <w:bCs/>
                <w:kern w:val="0"/>
                <w:sz w:val="24"/>
                <w:szCs w:val="24"/>
                <w:lang w:bidi="ar"/>
              </w:rPr>
              <w:t>接（管）养前检查存在问题</w:t>
            </w:r>
          </w:p>
        </w:tc>
      </w:tr>
      <w:tr>
        <w:tblPrEx>
          <w:tblCellMar>
            <w:top w:w="15" w:type="dxa"/>
            <w:left w:w="15" w:type="dxa"/>
            <w:bottom w:w="15" w:type="dxa"/>
            <w:right w:w="15" w:type="dxa"/>
          </w:tblCellMar>
        </w:tblPrEx>
        <w:trPr>
          <w:trHeight w:val="171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一、使用安全方面:</w:t>
            </w:r>
          </w:p>
        </w:tc>
      </w:tr>
      <w:tr>
        <w:tblPrEx>
          <w:tblCellMar>
            <w:top w:w="15" w:type="dxa"/>
            <w:left w:w="15" w:type="dxa"/>
            <w:bottom w:w="15" w:type="dxa"/>
            <w:right w:w="15" w:type="dxa"/>
          </w:tblCellMar>
        </w:tblPrEx>
        <w:trPr>
          <w:trHeight w:val="1761"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三、按设计施工到位情况:</w:t>
            </w:r>
          </w:p>
        </w:tc>
      </w:tr>
      <w:tr>
        <w:tblPrEx>
          <w:tblCellMar>
            <w:top w:w="15" w:type="dxa"/>
            <w:left w:w="15" w:type="dxa"/>
            <w:bottom w:w="15" w:type="dxa"/>
            <w:right w:w="15" w:type="dxa"/>
          </w:tblCellMar>
        </w:tblPrEx>
        <w:trPr>
          <w:trHeight w:val="186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四、资料移交方面:</w:t>
            </w:r>
          </w:p>
        </w:tc>
      </w:tr>
      <w:tr>
        <w:tblPrEx>
          <w:tblCellMar>
            <w:top w:w="15" w:type="dxa"/>
            <w:left w:w="15" w:type="dxa"/>
            <w:bottom w:w="15" w:type="dxa"/>
            <w:right w:w="15" w:type="dxa"/>
          </w:tblCellMar>
        </w:tblPrEx>
        <w:trPr>
          <w:trHeight w:val="1636" w:hRule="atLeast"/>
        </w:trPr>
        <w:tc>
          <w:tcPr>
            <w:tcW w:w="9308" w:type="dxa"/>
            <w:gridSpan w:val="4"/>
            <w:tcBorders>
              <w:top w:val="single" w:color="000000" w:sz="4" w:space="0"/>
              <w:left w:val="single" w:color="000000" w:sz="12" w:space="0"/>
              <w:bottom w:val="single" w:color="000000" w:sz="4" w:space="0"/>
              <w:right w:val="single" w:color="000000" w:sz="12" w:space="0"/>
            </w:tcBorders>
            <w:noWrap w:val="0"/>
            <w:vAlign w:val="top"/>
          </w:tcPr>
          <w:p>
            <w:pPr>
              <w:widowControl/>
              <w:jc w:val="left"/>
              <w:textAlignment w:val="top"/>
              <w:rPr>
                <w:rFonts w:hint="eastAsia" w:ascii="宋体" w:hAnsi="宋体" w:cs="宋体"/>
                <w:sz w:val="24"/>
                <w:szCs w:val="24"/>
              </w:rPr>
            </w:pPr>
            <w:r>
              <w:rPr>
                <w:rFonts w:hint="eastAsia" w:ascii="宋体" w:hAnsi="宋体" w:cs="宋体"/>
                <w:kern w:val="0"/>
                <w:sz w:val="24"/>
                <w:szCs w:val="24"/>
                <w:lang w:bidi="ar"/>
              </w:rPr>
              <w:t>五、其它方面:</w:t>
            </w:r>
          </w:p>
        </w:tc>
      </w:tr>
      <w:tr>
        <w:tblPrEx>
          <w:tblCellMar>
            <w:top w:w="15" w:type="dxa"/>
            <w:left w:w="15" w:type="dxa"/>
            <w:bottom w:w="15" w:type="dxa"/>
            <w:right w:w="15" w:type="dxa"/>
          </w:tblCellMar>
        </w:tblPrEx>
        <w:trPr>
          <w:trHeight w:val="3957" w:hRule="atLeast"/>
        </w:trPr>
        <w:tc>
          <w:tcPr>
            <w:tcW w:w="9308" w:type="dxa"/>
            <w:gridSpan w:val="4"/>
            <w:tcBorders>
              <w:top w:val="single" w:color="000000" w:sz="4" w:space="0"/>
              <w:left w:val="single" w:color="000000" w:sz="12" w:space="0"/>
              <w:bottom w:val="single" w:color="000000" w:sz="12" w:space="0"/>
              <w:right w:val="single" w:color="000000" w:sz="12" w:space="0"/>
            </w:tcBorders>
            <w:noWrap w:val="0"/>
            <w:vAlign w:val="top"/>
          </w:tcPr>
          <w:p>
            <w:pPr>
              <w:widowControl/>
              <w:jc w:val="left"/>
              <w:textAlignment w:val="top"/>
              <w:rPr>
                <w:rFonts w:hint="eastAsia" w:ascii="宋体" w:hAnsi="宋体" w:cs="宋体"/>
                <w:color w:val="FF0000"/>
                <w:kern w:val="0"/>
                <w:sz w:val="24"/>
                <w:szCs w:val="24"/>
                <w:lang w:bidi="ar"/>
              </w:rPr>
            </w:pPr>
            <w:r>
              <w:rPr>
                <w:rFonts w:hint="eastAsia" w:ascii="宋体" w:hAnsi="宋体" w:cs="宋体"/>
                <w:kern w:val="0"/>
                <w:sz w:val="24"/>
                <w:szCs w:val="24"/>
                <w:lang w:bidi="ar"/>
              </w:rPr>
              <w:t>工程接（管）养意见:</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□同意在联合竣工验收（交工验收）合格之日起开始接（管）养。 </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w:t>
            </w:r>
            <w:r>
              <w:rPr>
                <w:rFonts w:hint="eastAsia" w:ascii="宋体" w:hAnsi="宋体" w:cs="宋体"/>
                <w:color w:val="FF0000"/>
                <w:kern w:val="0"/>
                <w:sz w:val="24"/>
                <w:szCs w:val="24"/>
                <w:lang w:bidi="ar"/>
              </w:rPr>
              <w:t>原则同意在联合竣工验收（交工验收）合格之日起开始接（管）养。</w:t>
            </w:r>
          </w:p>
          <w:p>
            <w:pPr>
              <w:widowControl/>
              <w:ind w:firstLine="720" w:firstLineChars="300"/>
              <w:jc w:val="left"/>
              <w:textAlignment w:val="top"/>
              <w:rPr>
                <w:rFonts w:hint="eastAsia" w:ascii="宋体" w:hAnsi="宋体" w:cs="宋体"/>
                <w:kern w:val="0"/>
                <w:sz w:val="24"/>
                <w:szCs w:val="24"/>
                <w:lang w:bidi="ar"/>
              </w:rPr>
            </w:pPr>
            <w:r>
              <w:rPr>
                <w:rFonts w:hint="eastAsia" w:ascii="宋体" w:hAnsi="宋体" w:cs="宋体"/>
                <w:color w:val="FF0000"/>
                <w:kern w:val="0"/>
                <w:sz w:val="24"/>
                <w:szCs w:val="24"/>
                <w:lang w:bidi="ar"/>
              </w:rPr>
              <w:t>需整改事项如下：</w:t>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w:t>
            </w:r>
          </w:p>
          <w:p>
            <w:pPr>
              <w:widowControl/>
              <w:jc w:val="left"/>
              <w:textAlignment w:val="top"/>
              <w:rPr>
                <w:rFonts w:hint="eastAsia" w:ascii="宋体" w:hAnsi="宋体" w:cs="宋体"/>
                <w:kern w:val="0"/>
                <w:sz w:val="24"/>
                <w:szCs w:val="24"/>
                <w:lang w:bidi="ar"/>
              </w:rPr>
            </w:pPr>
          </w:p>
          <w:p>
            <w:pPr>
              <w:widowControl/>
              <w:jc w:val="left"/>
              <w:textAlignment w:val="top"/>
              <w:rPr>
                <w:rFonts w:hint="eastAsia" w:ascii="宋体" w:hAnsi="宋体" w:cs="宋体"/>
                <w:kern w:val="0"/>
                <w:sz w:val="24"/>
                <w:szCs w:val="24"/>
                <w:lang w:bidi="ar"/>
              </w:rPr>
            </w:pPr>
          </w:p>
          <w:p>
            <w:pPr>
              <w:widowControl/>
              <w:ind w:firstLine="720" w:firstLineChars="300"/>
              <w:jc w:val="left"/>
              <w:textAlignment w:val="top"/>
              <w:rPr>
                <w:rFonts w:hint="eastAsia" w:ascii="宋体" w:hAnsi="宋体" w:cs="宋体"/>
                <w:sz w:val="24"/>
                <w:szCs w:val="24"/>
              </w:rPr>
            </w:pPr>
            <w:r>
              <w:rPr>
                <w:rFonts w:hint="eastAsia" w:ascii="宋体" w:hAnsi="宋体" w:cs="宋体"/>
                <w:kern w:val="0"/>
                <w:sz w:val="24"/>
                <w:szCs w:val="24"/>
                <w:lang w:bidi="ar"/>
              </w:rPr>
              <w:t>接（管）养单位负责人（签字）：</w:t>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接（管）养单位（盖章）：</w:t>
            </w:r>
            <w:r>
              <w:rPr>
                <w:rFonts w:hint="eastAsia" w:ascii="宋体" w:hAnsi="宋体" w:cs="宋体"/>
                <w:kern w:val="0"/>
                <w:sz w:val="24"/>
                <w:szCs w:val="24"/>
                <w:lang w:bidi="ar"/>
              </w:rPr>
              <w:br w:type="textWrapping"/>
            </w:r>
            <w:r>
              <w:rPr>
                <w:rFonts w:hint="eastAsia" w:ascii="宋体" w:hAnsi="宋体" w:cs="宋体"/>
                <w:kern w:val="0"/>
                <w:sz w:val="24"/>
                <w:szCs w:val="24"/>
                <w:lang w:bidi="ar"/>
              </w:rPr>
              <w:br w:type="textWrapping"/>
            </w:r>
            <w:r>
              <w:rPr>
                <w:rFonts w:hint="eastAsia" w:ascii="宋体" w:hAnsi="宋体" w:cs="宋体"/>
                <w:kern w:val="0"/>
                <w:sz w:val="24"/>
                <w:szCs w:val="24"/>
                <w:lang w:bidi="ar"/>
              </w:rPr>
              <w:t xml:space="preserve">           年     月    日</w:t>
            </w:r>
          </w:p>
        </w:tc>
      </w:tr>
    </w:tbl>
    <w:p>
      <w:pPr>
        <w:widowControl/>
        <w:adjustRightInd w:val="0"/>
        <w:snapToGrid w:val="0"/>
        <w:spacing w:beforeAutospacing="0" w:afterAutospacing="0" w:line="560" w:lineRule="exact"/>
        <w:ind w:firstLine="640"/>
        <w:jc w:val="both"/>
        <w:rPr>
          <w:rFonts w:ascii="仿宋_GB2312" w:hAnsi="仿宋_GB2312" w:eastAsia="仿宋_GB2312" w:cs="仿宋_GB2312"/>
          <w:sz w:val="32"/>
          <w:szCs w:val="32"/>
        </w:rPr>
      </w:pPr>
      <w:r>
        <w:rPr>
          <w:rFonts w:hint="eastAsia" w:ascii="宋体" w:hAnsi="宋体" w:cs="宋体"/>
          <w:sz w:val="24"/>
          <w:szCs w:val="24"/>
        </w:rPr>
        <w:t>注：本表一式四份，接管单位、建设单位各两份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Neue">
    <w:altName w:val="华文仿宋"/>
    <w:panose1 w:val="00000000000000000000"/>
    <w:charset w:val="00"/>
    <w:family w:val="auto"/>
    <w:pitch w:val="default"/>
    <w:sig w:usb0="00000000" w:usb1="00000000" w:usb2="00000000"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iconfont ! important">
    <w:altName w:val="华文仿宋"/>
    <w:panose1 w:val="00000000000000000000"/>
    <w:charset w:val="00"/>
    <w:family w:val="auto"/>
    <w:pitch w:val="default"/>
    <w:sig w:usb0="00000000" w:usb1="00000000" w:usb2="00000000" w:usb3="00000000" w:csb0="00040001" w:csb1="00000000"/>
  </w:font>
  <w:font w:name="iconfon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Wingdings 2">
    <w:altName w:val="方正宋体S-超大字符集(SIP)"/>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37465"/>
    <w:multiLevelType w:val="singleLevel"/>
    <w:tmpl w:val="0A737465"/>
    <w:lvl w:ilvl="0" w:tentative="0">
      <w:start w:val="9"/>
      <w:numFmt w:val="decimal"/>
      <w:suff w:val="nothing"/>
      <w:lvlText w:val="%1、"/>
      <w:lvlJc w:val="left"/>
    </w:lvl>
  </w:abstractNum>
  <w:abstractNum w:abstractNumId="1">
    <w:nsid w:val="30337AA4"/>
    <w:multiLevelType w:val="singleLevel"/>
    <w:tmpl w:val="30337AA4"/>
    <w:lvl w:ilvl="0" w:tentative="0">
      <w:start w:val="1"/>
      <w:numFmt w:val="chineseCounting"/>
      <w:suff w:val="nothing"/>
      <w:lvlText w:val="（%1）"/>
      <w:lvlJc w:val="left"/>
      <w:rPr>
        <w:rFonts w:hint="eastAsia"/>
      </w:rPr>
    </w:lvl>
  </w:abstractNum>
  <w:abstractNum w:abstractNumId="2">
    <w:nsid w:val="5BE0256B"/>
    <w:multiLevelType w:val="singleLevel"/>
    <w:tmpl w:val="5BE0256B"/>
    <w:lvl w:ilvl="0" w:tentative="0">
      <w:start w:val="2"/>
      <w:numFmt w:val="chineseCounting"/>
      <w:suff w:val="nothing"/>
      <w:lvlText w:val="%1、"/>
      <w:lvlJc w:val="left"/>
    </w:lvl>
  </w:abstractNum>
  <w:abstractNum w:abstractNumId="3">
    <w:nsid w:val="5E007516"/>
    <w:multiLevelType w:val="singleLevel"/>
    <w:tmpl w:val="5E007516"/>
    <w:lvl w:ilvl="0" w:tentative="0">
      <w:start w:val="3"/>
      <w:numFmt w:val="decimal"/>
      <w:suff w:val="nothing"/>
      <w:lvlText w:val="%1."/>
      <w:lvlJc w:val="left"/>
    </w:lvl>
  </w:abstractNum>
  <w:abstractNum w:abstractNumId="4">
    <w:nsid w:val="5E00799A"/>
    <w:multiLevelType w:val="singleLevel"/>
    <w:tmpl w:val="5E00799A"/>
    <w:lvl w:ilvl="0" w:tentative="0">
      <w:start w:val="7"/>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AAD7670"/>
    <w:rsid w:val="0001449B"/>
    <w:rsid w:val="0003308D"/>
    <w:rsid w:val="00033B8E"/>
    <w:rsid w:val="00044BD0"/>
    <w:rsid w:val="00054560"/>
    <w:rsid w:val="000830D3"/>
    <w:rsid w:val="000C138D"/>
    <w:rsid w:val="000E1B3D"/>
    <w:rsid w:val="00130EE4"/>
    <w:rsid w:val="00144AAA"/>
    <w:rsid w:val="0015003E"/>
    <w:rsid w:val="0018554B"/>
    <w:rsid w:val="0019794E"/>
    <w:rsid w:val="002051DD"/>
    <w:rsid w:val="00206483"/>
    <w:rsid w:val="00216EAF"/>
    <w:rsid w:val="00256637"/>
    <w:rsid w:val="0027449B"/>
    <w:rsid w:val="0029033E"/>
    <w:rsid w:val="002B7B68"/>
    <w:rsid w:val="003253D6"/>
    <w:rsid w:val="00353B48"/>
    <w:rsid w:val="00375576"/>
    <w:rsid w:val="003879DA"/>
    <w:rsid w:val="003B2D25"/>
    <w:rsid w:val="003D5B9E"/>
    <w:rsid w:val="003E4A9D"/>
    <w:rsid w:val="003F0A70"/>
    <w:rsid w:val="00424ECD"/>
    <w:rsid w:val="004678A7"/>
    <w:rsid w:val="004C50C9"/>
    <w:rsid w:val="004D5E7B"/>
    <w:rsid w:val="004F3F83"/>
    <w:rsid w:val="00501CC3"/>
    <w:rsid w:val="005443F5"/>
    <w:rsid w:val="00587572"/>
    <w:rsid w:val="00590FCC"/>
    <w:rsid w:val="005D70F6"/>
    <w:rsid w:val="006126DD"/>
    <w:rsid w:val="00622AA5"/>
    <w:rsid w:val="00692D53"/>
    <w:rsid w:val="006B5E0E"/>
    <w:rsid w:val="006F2DD7"/>
    <w:rsid w:val="007206E0"/>
    <w:rsid w:val="007656C2"/>
    <w:rsid w:val="007D4DF0"/>
    <w:rsid w:val="007E0CF2"/>
    <w:rsid w:val="007F46B3"/>
    <w:rsid w:val="00813185"/>
    <w:rsid w:val="00816305"/>
    <w:rsid w:val="00861BB9"/>
    <w:rsid w:val="008653E5"/>
    <w:rsid w:val="008D2A08"/>
    <w:rsid w:val="008F3DFB"/>
    <w:rsid w:val="00932FC8"/>
    <w:rsid w:val="00963A0F"/>
    <w:rsid w:val="009853E4"/>
    <w:rsid w:val="009973D7"/>
    <w:rsid w:val="009C1CD7"/>
    <w:rsid w:val="00A025CD"/>
    <w:rsid w:val="00A1243E"/>
    <w:rsid w:val="00A47377"/>
    <w:rsid w:val="00AC2A51"/>
    <w:rsid w:val="00AD0F4B"/>
    <w:rsid w:val="00B069D1"/>
    <w:rsid w:val="00B62F1D"/>
    <w:rsid w:val="00B801A8"/>
    <w:rsid w:val="00B85098"/>
    <w:rsid w:val="00BC2D05"/>
    <w:rsid w:val="00BF2C88"/>
    <w:rsid w:val="00C35B93"/>
    <w:rsid w:val="00C42A0E"/>
    <w:rsid w:val="00C60F1A"/>
    <w:rsid w:val="00C968CB"/>
    <w:rsid w:val="00CC0EFF"/>
    <w:rsid w:val="00CF272B"/>
    <w:rsid w:val="00CF37C3"/>
    <w:rsid w:val="00D21855"/>
    <w:rsid w:val="00D26536"/>
    <w:rsid w:val="00D80369"/>
    <w:rsid w:val="00D81FDF"/>
    <w:rsid w:val="00D936D6"/>
    <w:rsid w:val="00D93B2D"/>
    <w:rsid w:val="00D9648C"/>
    <w:rsid w:val="00DC462C"/>
    <w:rsid w:val="00E0666C"/>
    <w:rsid w:val="00E16018"/>
    <w:rsid w:val="00E32B79"/>
    <w:rsid w:val="00E42AFF"/>
    <w:rsid w:val="00E61D08"/>
    <w:rsid w:val="00EC1FC2"/>
    <w:rsid w:val="00EC2DD6"/>
    <w:rsid w:val="00EF792A"/>
    <w:rsid w:val="00F07E18"/>
    <w:rsid w:val="00F1074D"/>
    <w:rsid w:val="00FB3146"/>
    <w:rsid w:val="00FB7DE9"/>
    <w:rsid w:val="00FC410F"/>
    <w:rsid w:val="019B7EDB"/>
    <w:rsid w:val="02107968"/>
    <w:rsid w:val="025745C5"/>
    <w:rsid w:val="032F2856"/>
    <w:rsid w:val="037175F7"/>
    <w:rsid w:val="03F44F14"/>
    <w:rsid w:val="04582725"/>
    <w:rsid w:val="065D5E2E"/>
    <w:rsid w:val="06AB1CF3"/>
    <w:rsid w:val="070759BC"/>
    <w:rsid w:val="08F305E9"/>
    <w:rsid w:val="095E54EB"/>
    <w:rsid w:val="0B425AF4"/>
    <w:rsid w:val="0BC52C36"/>
    <w:rsid w:val="0FC65D20"/>
    <w:rsid w:val="1038789C"/>
    <w:rsid w:val="112A3A39"/>
    <w:rsid w:val="1524753B"/>
    <w:rsid w:val="16385C86"/>
    <w:rsid w:val="166F6B51"/>
    <w:rsid w:val="18B918BA"/>
    <w:rsid w:val="1BAF6368"/>
    <w:rsid w:val="1DBE21A1"/>
    <w:rsid w:val="1DD80D03"/>
    <w:rsid w:val="1E3B631E"/>
    <w:rsid w:val="1EE25548"/>
    <w:rsid w:val="1F026D47"/>
    <w:rsid w:val="22E808AB"/>
    <w:rsid w:val="25DE79B1"/>
    <w:rsid w:val="25F02BEF"/>
    <w:rsid w:val="27156F2D"/>
    <w:rsid w:val="275C38D2"/>
    <w:rsid w:val="27F92DD6"/>
    <w:rsid w:val="28896A35"/>
    <w:rsid w:val="2C543327"/>
    <w:rsid w:val="2DC3527C"/>
    <w:rsid w:val="2E0F201D"/>
    <w:rsid w:val="2EB44664"/>
    <w:rsid w:val="2F611FCA"/>
    <w:rsid w:val="2FA02F21"/>
    <w:rsid w:val="2FDB6051"/>
    <w:rsid w:val="2FF00908"/>
    <w:rsid w:val="303B07E7"/>
    <w:rsid w:val="31DF59D9"/>
    <w:rsid w:val="341B2307"/>
    <w:rsid w:val="36C15957"/>
    <w:rsid w:val="39EB66EA"/>
    <w:rsid w:val="3A414CEA"/>
    <w:rsid w:val="3A4B33B2"/>
    <w:rsid w:val="3BD96BBC"/>
    <w:rsid w:val="3E3C3051"/>
    <w:rsid w:val="40207174"/>
    <w:rsid w:val="43044FD9"/>
    <w:rsid w:val="448B6B58"/>
    <w:rsid w:val="4573479E"/>
    <w:rsid w:val="469C13CE"/>
    <w:rsid w:val="47257135"/>
    <w:rsid w:val="47D51D0C"/>
    <w:rsid w:val="47F8547F"/>
    <w:rsid w:val="49F30938"/>
    <w:rsid w:val="4AD533E4"/>
    <w:rsid w:val="4AE01502"/>
    <w:rsid w:val="4BF31D93"/>
    <w:rsid w:val="4C091876"/>
    <w:rsid w:val="4C460E56"/>
    <w:rsid w:val="4EED4B05"/>
    <w:rsid w:val="4F314B2D"/>
    <w:rsid w:val="4FB44561"/>
    <w:rsid w:val="50134483"/>
    <w:rsid w:val="50290300"/>
    <w:rsid w:val="50816C20"/>
    <w:rsid w:val="51E738CC"/>
    <w:rsid w:val="52A720A8"/>
    <w:rsid w:val="52F37D01"/>
    <w:rsid w:val="531979CE"/>
    <w:rsid w:val="53387F51"/>
    <w:rsid w:val="535C3CDB"/>
    <w:rsid w:val="53B32F8A"/>
    <w:rsid w:val="54B65379"/>
    <w:rsid w:val="54B91A4D"/>
    <w:rsid w:val="558316C9"/>
    <w:rsid w:val="5632022F"/>
    <w:rsid w:val="58BD1107"/>
    <w:rsid w:val="5BA105CD"/>
    <w:rsid w:val="5BA1333C"/>
    <w:rsid w:val="5BB93532"/>
    <w:rsid w:val="5CF3429F"/>
    <w:rsid w:val="5EF430B1"/>
    <w:rsid w:val="5FCF3987"/>
    <w:rsid w:val="5FD94D92"/>
    <w:rsid w:val="60DA3748"/>
    <w:rsid w:val="61850EFA"/>
    <w:rsid w:val="627F6727"/>
    <w:rsid w:val="629E1B78"/>
    <w:rsid w:val="652A2A61"/>
    <w:rsid w:val="677D4EEB"/>
    <w:rsid w:val="67A9489F"/>
    <w:rsid w:val="6854659F"/>
    <w:rsid w:val="68D236D3"/>
    <w:rsid w:val="69C50146"/>
    <w:rsid w:val="6C1D60CD"/>
    <w:rsid w:val="6D70082B"/>
    <w:rsid w:val="6DFD125B"/>
    <w:rsid w:val="6F103637"/>
    <w:rsid w:val="74284563"/>
    <w:rsid w:val="74546D92"/>
    <w:rsid w:val="754424AF"/>
    <w:rsid w:val="761524BF"/>
    <w:rsid w:val="76212010"/>
    <w:rsid w:val="76D05CF6"/>
    <w:rsid w:val="76FF489B"/>
    <w:rsid w:val="77D75529"/>
    <w:rsid w:val="7A5B09B9"/>
    <w:rsid w:val="7A846A4F"/>
    <w:rsid w:val="7AAD7670"/>
    <w:rsid w:val="7B2C4150"/>
    <w:rsid w:val="7C4A19AE"/>
    <w:rsid w:val="7E6B0D3F"/>
    <w:rsid w:val="7EED19A4"/>
    <w:rsid w:val="7EFB52E1"/>
    <w:rsid w:val="7F2F4F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rFonts w:ascii="Helvetica Neue" w:hAnsi="Helvetica Neue" w:eastAsia="Helvetica Neue" w:cs="Helvetica Neue"/>
      <w:b/>
      <w:color w:val="0D1C28"/>
      <w:kern w:val="44"/>
      <w:sz w:val="48"/>
      <w:szCs w:val="4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sz w:val="20"/>
      <w:szCs w:val="21"/>
    </w:rPr>
  </w:style>
  <w:style w:type="paragraph" w:styleId="4">
    <w:name w:val="Balloon Text"/>
    <w:basedOn w:val="1"/>
    <w:link w:val="72"/>
    <w:qFormat/>
    <w:uiPriority w:val="0"/>
    <w:rPr>
      <w:sz w:val="18"/>
      <w:szCs w:val="18"/>
    </w:rPr>
  </w:style>
  <w:style w:type="paragraph" w:styleId="5">
    <w:name w:val="footer"/>
    <w:basedOn w:val="1"/>
    <w:link w:val="71"/>
    <w:qFormat/>
    <w:uiPriority w:val="0"/>
    <w:pPr>
      <w:tabs>
        <w:tab w:val="center" w:pos="4153"/>
        <w:tab w:val="right" w:pos="8306"/>
      </w:tabs>
      <w:snapToGrid w:val="0"/>
    </w:pPr>
    <w:rPr>
      <w:sz w:val="18"/>
      <w:szCs w:val="18"/>
    </w:rPr>
  </w:style>
  <w:style w:type="paragraph" w:styleId="6">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val="0"/>
      <w:spacing w:beforeAutospacing="1" w:afterAutospacing="1"/>
    </w:pPr>
    <w:rPr>
      <w:rFonts w:ascii="Calibri" w:hAnsi="Calibr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unhideWhenUsed/>
    <w:qFormat/>
    <w:uiPriority w:val="99"/>
  </w:style>
  <w:style w:type="character" w:styleId="13">
    <w:name w:val="FollowedHyperlink"/>
    <w:basedOn w:val="10"/>
    <w:qFormat/>
    <w:uiPriority w:val="0"/>
    <w:rPr>
      <w:color w:val="333333"/>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hint="default" w:ascii="monospace" w:hAnsi="monospace" w:eastAsia="monospace" w:cs="monospace"/>
      <w:sz w:val="21"/>
      <w:szCs w:val="21"/>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1"/>
      <w:szCs w:val="21"/>
    </w:rPr>
  </w:style>
  <w:style w:type="character" w:styleId="21">
    <w:name w:val="HTML Sample"/>
    <w:basedOn w:val="10"/>
    <w:qFormat/>
    <w:uiPriority w:val="0"/>
    <w:rPr>
      <w:rFonts w:ascii="monospace" w:hAnsi="monospace" w:eastAsia="monospace" w:cs="monospace"/>
      <w:sz w:val="21"/>
      <w:szCs w:val="21"/>
    </w:rPr>
  </w:style>
  <w:style w:type="paragraph" w:customStyle="1" w:styleId="22">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23">
    <w:name w:val="bg2"/>
    <w:basedOn w:val="10"/>
    <w:qFormat/>
    <w:uiPriority w:val="0"/>
    <w:rPr>
      <w:shd w:val="clear" w:color="auto" w:fill="1B94D3"/>
    </w:rPr>
  </w:style>
  <w:style w:type="character" w:customStyle="1" w:styleId="24">
    <w:name w:val="bg9"/>
    <w:basedOn w:val="10"/>
    <w:qFormat/>
    <w:uiPriority w:val="0"/>
    <w:rPr>
      <w:shd w:val="clear" w:color="auto" w:fill="BBD31B"/>
    </w:rPr>
  </w:style>
  <w:style w:type="character" w:customStyle="1" w:styleId="25">
    <w:name w:val="m4"/>
    <w:basedOn w:val="10"/>
    <w:qFormat/>
    <w:uiPriority w:val="0"/>
  </w:style>
  <w:style w:type="character" w:customStyle="1" w:styleId="26">
    <w:name w:val="m2"/>
    <w:basedOn w:val="10"/>
    <w:qFormat/>
    <w:uiPriority w:val="0"/>
  </w:style>
  <w:style w:type="character" w:customStyle="1" w:styleId="27">
    <w:name w:val="jiab"/>
    <w:basedOn w:val="10"/>
    <w:qFormat/>
    <w:uiPriority w:val="0"/>
  </w:style>
  <w:style w:type="character" w:customStyle="1" w:styleId="28">
    <w:name w:val="jiab1"/>
    <w:basedOn w:val="10"/>
    <w:qFormat/>
    <w:uiPriority w:val="0"/>
  </w:style>
  <w:style w:type="character" w:customStyle="1" w:styleId="29">
    <w:name w:val="bg5"/>
    <w:basedOn w:val="10"/>
    <w:qFormat/>
    <w:uiPriority w:val="0"/>
    <w:rPr>
      <w:shd w:val="clear" w:color="auto" w:fill="D31B8C"/>
    </w:rPr>
  </w:style>
  <w:style w:type="character" w:customStyle="1" w:styleId="30">
    <w:name w:val="m3"/>
    <w:basedOn w:val="10"/>
    <w:qFormat/>
    <w:uiPriority w:val="0"/>
  </w:style>
  <w:style w:type="character" w:customStyle="1" w:styleId="31">
    <w:name w:val="bg6"/>
    <w:basedOn w:val="10"/>
    <w:qFormat/>
    <w:uiPriority w:val="0"/>
    <w:rPr>
      <w:shd w:val="clear" w:color="auto" w:fill="D3721B"/>
    </w:rPr>
  </w:style>
  <w:style w:type="character" w:customStyle="1" w:styleId="32">
    <w:name w:val="bg"/>
    <w:basedOn w:val="10"/>
    <w:qFormat/>
    <w:uiPriority w:val="0"/>
    <w:rPr>
      <w:color w:val="FFFFFF"/>
      <w:shd w:val="clear" w:color="auto" w:fill="1BD1D3"/>
    </w:rPr>
  </w:style>
  <w:style w:type="character" w:customStyle="1" w:styleId="33">
    <w:name w:val="bg3"/>
    <w:basedOn w:val="10"/>
    <w:qFormat/>
    <w:uiPriority w:val="0"/>
    <w:rPr>
      <w:shd w:val="clear" w:color="auto" w:fill="E12929"/>
    </w:rPr>
  </w:style>
  <w:style w:type="character" w:customStyle="1" w:styleId="34">
    <w:name w:val="bg4"/>
    <w:basedOn w:val="10"/>
    <w:qFormat/>
    <w:uiPriority w:val="0"/>
    <w:rPr>
      <w:shd w:val="clear" w:color="auto" w:fill="1BD33A"/>
    </w:rPr>
  </w:style>
  <w:style w:type="character" w:customStyle="1" w:styleId="35">
    <w:name w:val="bg7"/>
    <w:basedOn w:val="10"/>
    <w:qFormat/>
    <w:uiPriority w:val="0"/>
    <w:rPr>
      <w:shd w:val="clear" w:color="auto" w:fill="D31B72"/>
    </w:rPr>
  </w:style>
  <w:style w:type="character" w:customStyle="1" w:styleId="36">
    <w:name w:val="bg8"/>
    <w:basedOn w:val="10"/>
    <w:qFormat/>
    <w:uiPriority w:val="0"/>
    <w:rPr>
      <w:shd w:val="clear" w:color="auto" w:fill="1B4FD3"/>
    </w:rPr>
  </w:style>
  <w:style w:type="character" w:customStyle="1" w:styleId="37">
    <w:name w:val="m1"/>
    <w:basedOn w:val="10"/>
    <w:qFormat/>
    <w:uiPriority w:val="0"/>
  </w:style>
  <w:style w:type="character" w:customStyle="1" w:styleId="38">
    <w:name w:val="m5"/>
    <w:basedOn w:val="10"/>
    <w:qFormat/>
    <w:uiPriority w:val="0"/>
  </w:style>
  <w:style w:type="character" w:customStyle="1" w:styleId="39">
    <w:name w:val="tit8"/>
    <w:basedOn w:val="10"/>
    <w:qFormat/>
    <w:uiPriority w:val="0"/>
  </w:style>
  <w:style w:type="character" w:customStyle="1" w:styleId="40">
    <w:name w:val="android"/>
    <w:basedOn w:val="10"/>
    <w:qFormat/>
    <w:uiPriority w:val="0"/>
    <w:rPr>
      <w:color w:val="52B529"/>
    </w:rPr>
  </w:style>
  <w:style w:type="character" w:customStyle="1" w:styleId="41">
    <w:name w:val="number"/>
    <w:basedOn w:val="10"/>
    <w:qFormat/>
    <w:uiPriority w:val="0"/>
  </w:style>
  <w:style w:type="character" w:customStyle="1" w:styleId="42">
    <w:name w:val="number1"/>
    <w:basedOn w:val="10"/>
    <w:qFormat/>
    <w:uiPriority w:val="0"/>
  </w:style>
  <w:style w:type="character" w:customStyle="1" w:styleId="43">
    <w:name w:val="name"/>
    <w:basedOn w:val="10"/>
    <w:qFormat/>
    <w:uiPriority w:val="0"/>
  </w:style>
  <w:style w:type="character" w:customStyle="1" w:styleId="44">
    <w:name w:val="t_tit"/>
    <w:basedOn w:val="10"/>
    <w:qFormat/>
    <w:uiPriority w:val="0"/>
  </w:style>
  <w:style w:type="character" w:customStyle="1" w:styleId="45">
    <w:name w:val="hover32"/>
    <w:basedOn w:val="10"/>
    <w:qFormat/>
    <w:uiPriority w:val="0"/>
    <w:rPr>
      <w:color w:val="FFFFFF"/>
      <w:shd w:val="clear" w:color="auto" w:fill="80B6EB"/>
    </w:rPr>
  </w:style>
  <w:style w:type="character" w:customStyle="1" w:styleId="46">
    <w:name w:val="hover33"/>
    <w:basedOn w:val="10"/>
    <w:qFormat/>
    <w:uiPriority w:val="0"/>
    <w:rPr>
      <w:color w:val="FFFFFF"/>
      <w:shd w:val="clear" w:color="auto" w:fill="508ECA"/>
    </w:rPr>
  </w:style>
  <w:style w:type="character" w:customStyle="1" w:styleId="47">
    <w:name w:val="bsharetext"/>
    <w:basedOn w:val="10"/>
    <w:qFormat/>
    <w:uiPriority w:val="0"/>
  </w:style>
  <w:style w:type="character" w:customStyle="1" w:styleId="48">
    <w:name w:val="hover31"/>
    <w:basedOn w:val="10"/>
    <w:qFormat/>
    <w:uiPriority w:val="0"/>
    <w:rPr>
      <w:color w:val="FFFFFF"/>
      <w:shd w:val="clear" w:color="auto" w:fill="80B6EB"/>
    </w:rPr>
  </w:style>
  <w:style w:type="character" w:customStyle="1" w:styleId="49">
    <w:name w:val="navadr"/>
    <w:basedOn w:val="10"/>
    <w:qFormat/>
    <w:uiPriority w:val="0"/>
  </w:style>
  <w:style w:type="character" w:customStyle="1" w:styleId="50">
    <w:name w:val="red"/>
    <w:basedOn w:val="10"/>
    <w:qFormat/>
    <w:uiPriority w:val="0"/>
    <w:rPr>
      <w:b/>
      <w:color w:val="DA2F27"/>
      <w:sz w:val="21"/>
      <w:szCs w:val="21"/>
    </w:rPr>
  </w:style>
  <w:style w:type="character" w:customStyle="1" w:styleId="51">
    <w:name w:val="no_mr"/>
    <w:basedOn w:val="10"/>
    <w:qFormat/>
    <w:uiPriority w:val="0"/>
  </w:style>
  <w:style w:type="character" w:customStyle="1" w:styleId="52">
    <w:name w:val="current"/>
    <w:basedOn w:val="10"/>
    <w:qFormat/>
    <w:uiPriority w:val="0"/>
    <w:rPr>
      <w:color w:val="FFFFFF"/>
      <w:sz w:val="21"/>
      <w:szCs w:val="21"/>
      <w:bdr w:val="single" w:color="0077C3" w:sz="6" w:space="0"/>
      <w:shd w:val="clear" w:color="040000" w:fill="0077C3"/>
    </w:rPr>
  </w:style>
  <w:style w:type="character" w:customStyle="1" w:styleId="53">
    <w:name w:val="current1"/>
    <w:basedOn w:val="10"/>
    <w:qFormat/>
    <w:uiPriority w:val="0"/>
    <w:rPr>
      <w:color w:val="FFFFFF"/>
      <w:bdr w:val="single" w:color="F53F00" w:sz="6" w:space="0"/>
      <w:shd w:val="clear" w:color="020000" w:fill="F53F00"/>
    </w:rPr>
  </w:style>
  <w:style w:type="character" w:customStyle="1" w:styleId="54">
    <w:name w:val="zhou"/>
    <w:basedOn w:val="10"/>
    <w:qFormat/>
    <w:uiPriority w:val="0"/>
    <w:rPr>
      <w:bdr w:val="single" w:color="666666" w:sz="6" w:space="0"/>
    </w:rPr>
  </w:style>
  <w:style w:type="character" w:customStyle="1" w:styleId="55">
    <w:name w:val="yue"/>
    <w:basedOn w:val="10"/>
    <w:qFormat/>
    <w:uiPriority w:val="0"/>
  </w:style>
  <w:style w:type="character" w:customStyle="1" w:styleId="56">
    <w:name w:val="zpimg"/>
    <w:basedOn w:val="10"/>
    <w:qFormat/>
    <w:uiPriority w:val="0"/>
  </w:style>
  <w:style w:type="character" w:customStyle="1" w:styleId="57">
    <w:name w:val="firstspanwx"/>
    <w:basedOn w:val="10"/>
    <w:qFormat/>
    <w:uiPriority w:val="0"/>
  </w:style>
  <w:style w:type="character" w:customStyle="1" w:styleId="58">
    <w:name w:val="prev_page"/>
    <w:basedOn w:val="10"/>
    <w:qFormat/>
    <w:uiPriority w:val="0"/>
    <w:rPr>
      <w:color w:val="C0C0C0"/>
    </w:rPr>
  </w:style>
  <w:style w:type="character" w:customStyle="1" w:styleId="59">
    <w:name w:val="hs_prev_page"/>
    <w:basedOn w:val="10"/>
    <w:qFormat/>
    <w:uiPriority w:val="0"/>
    <w:rPr>
      <w:color w:val="C0C0C0"/>
    </w:rPr>
  </w:style>
  <w:style w:type="character" w:customStyle="1" w:styleId="60">
    <w:name w:val="wdlg"/>
    <w:basedOn w:val="10"/>
    <w:qFormat/>
    <w:uiPriority w:val="0"/>
    <w:rPr>
      <w:rFonts w:ascii="宋体" w:hAnsi="宋体" w:eastAsia="宋体" w:cs="宋体"/>
      <w:b/>
      <w:color w:val="000000"/>
      <w:sz w:val="21"/>
      <w:szCs w:val="21"/>
      <w:u w:val="none"/>
    </w:rPr>
  </w:style>
  <w:style w:type="character" w:customStyle="1" w:styleId="61">
    <w:name w:val="red2"/>
    <w:basedOn w:val="10"/>
    <w:qFormat/>
    <w:uiPriority w:val="0"/>
    <w:rPr>
      <w:b/>
      <w:color w:val="DA2F27"/>
      <w:sz w:val="21"/>
      <w:szCs w:val="21"/>
    </w:rPr>
  </w:style>
  <w:style w:type="character" w:customStyle="1" w:styleId="62">
    <w:name w:val="current2"/>
    <w:basedOn w:val="10"/>
    <w:qFormat/>
    <w:uiPriority w:val="0"/>
    <w:rPr>
      <w:color w:val="FFFFFF"/>
      <w:sz w:val="21"/>
      <w:szCs w:val="21"/>
      <w:bdr w:val="single" w:color="0077C3" w:sz="6" w:space="0"/>
      <w:shd w:val="clear" w:color="040000" w:fill="0077C3"/>
    </w:rPr>
  </w:style>
  <w:style w:type="character" w:customStyle="1" w:styleId="63">
    <w:name w:val="before22"/>
    <w:basedOn w:val="10"/>
    <w:qFormat/>
    <w:uiPriority w:val="0"/>
    <w:rPr>
      <w:rFonts w:ascii="iconfont ! important" w:hAnsi="iconfont ! important" w:eastAsia="iconfont ! important" w:cs="iconfont ! important"/>
    </w:rPr>
  </w:style>
  <w:style w:type="character" w:customStyle="1" w:styleId="64">
    <w:name w:val="bg1"/>
    <w:basedOn w:val="10"/>
    <w:qFormat/>
    <w:uiPriority w:val="0"/>
    <w:rPr>
      <w:color w:val="FFFFFF"/>
      <w:shd w:val="clear" w:color="010000" w:fill="1BD1D3"/>
    </w:rPr>
  </w:style>
  <w:style w:type="character" w:customStyle="1" w:styleId="65">
    <w:name w:val="bg31"/>
    <w:basedOn w:val="10"/>
    <w:qFormat/>
    <w:uiPriority w:val="0"/>
    <w:rPr>
      <w:shd w:val="clear" w:color="000000" w:fill="E12929"/>
    </w:rPr>
  </w:style>
  <w:style w:type="character" w:customStyle="1" w:styleId="66">
    <w:name w:val="before24"/>
    <w:basedOn w:val="10"/>
    <w:qFormat/>
    <w:uiPriority w:val="0"/>
    <w:rPr>
      <w:rFonts w:ascii="iconfont ! important" w:hAnsi="iconfont ! important" w:eastAsia="iconfont ! important" w:cs="iconfont ! important"/>
    </w:rPr>
  </w:style>
  <w:style w:type="character" w:customStyle="1" w:styleId="67">
    <w:name w:val="fontstrikethrough"/>
    <w:basedOn w:val="10"/>
    <w:qFormat/>
    <w:uiPriority w:val="0"/>
    <w:rPr>
      <w:strike/>
    </w:rPr>
  </w:style>
  <w:style w:type="character" w:customStyle="1" w:styleId="68">
    <w:name w:val="fontborder"/>
    <w:basedOn w:val="10"/>
    <w:qFormat/>
    <w:uiPriority w:val="0"/>
    <w:rPr>
      <w:bdr w:val="single" w:color="000000" w:sz="6" w:space="0"/>
    </w:rPr>
  </w:style>
  <w:style w:type="character" w:customStyle="1" w:styleId="69">
    <w:name w:val="before"/>
    <w:basedOn w:val="10"/>
    <w:qFormat/>
    <w:uiPriority w:val="0"/>
    <w:rPr>
      <w:rFonts w:ascii="iconfont ! important" w:hAnsi="iconfont ! important" w:eastAsia="iconfont ! important" w:cs="iconfont ! important"/>
    </w:rPr>
  </w:style>
  <w:style w:type="character" w:customStyle="1" w:styleId="70">
    <w:name w:val="页眉 Char"/>
    <w:basedOn w:val="10"/>
    <w:link w:val="6"/>
    <w:qFormat/>
    <w:uiPriority w:val="0"/>
    <w:rPr>
      <w:sz w:val="18"/>
      <w:szCs w:val="18"/>
    </w:rPr>
  </w:style>
  <w:style w:type="character" w:customStyle="1" w:styleId="71">
    <w:name w:val="页脚 Char"/>
    <w:basedOn w:val="10"/>
    <w:link w:val="5"/>
    <w:qFormat/>
    <w:uiPriority w:val="0"/>
    <w:rPr>
      <w:sz w:val="18"/>
      <w:szCs w:val="18"/>
    </w:rPr>
  </w:style>
  <w:style w:type="character" w:customStyle="1" w:styleId="72">
    <w:name w:val="批注框文本 Char"/>
    <w:basedOn w:val="10"/>
    <w:link w:val="4"/>
    <w:qFormat/>
    <w:uiPriority w:val="0"/>
    <w:rPr>
      <w:sz w:val="18"/>
      <w:szCs w:val="18"/>
    </w:rPr>
  </w:style>
  <w:style w:type="character" w:customStyle="1" w:styleId="73">
    <w:name w:val="doc-header-title"/>
    <w:basedOn w:val="10"/>
    <w:qFormat/>
    <w:uiPriority w:val="0"/>
  </w:style>
  <w:style w:type="paragraph" w:customStyle="1" w:styleId="74">
    <w:name w:val="matters-process-item-text"/>
    <w:basedOn w:val="1"/>
    <w:qFormat/>
    <w:uiPriority w:val="0"/>
    <w:pPr>
      <w:jc w:val="left"/>
    </w:pPr>
    <w:rPr>
      <w:color w:val="0D1C28"/>
      <w:kern w:val="0"/>
      <w:lang w:val="en-US" w:eastAsia="zh-CN" w:bidi="ar-SA"/>
    </w:rPr>
  </w:style>
  <w:style w:type="character" w:customStyle="1" w:styleId="75">
    <w:name w:val="before8"/>
    <w:basedOn w:val="10"/>
    <w:qFormat/>
    <w:uiPriority w:val="0"/>
    <w:rPr>
      <w:rFonts w:hint="default" w:ascii="iconfont" w:hAnsi="iconfont" w:eastAsia="iconfont" w:cs="iconfon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4115</Words>
  <Characters>23457</Characters>
  <Lines>195</Lines>
  <Paragraphs>55</Paragraphs>
  <TotalTime>6</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2019-12-03T17:46:00Z</dcterms:created>
  <dc:creator>李波</dc:creator>
  <cp:lastModifiedBy>zhangl</cp:lastModifiedBy>
  <cp:lastPrinted>2019-12-04T18:11:00Z</cp:lastPrinted>
  <dcterms:modified xsi:type="dcterms:W3CDTF">2025-07-02T11:51:03Z</dcterms:modified>
  <dc:title>深圳市建设工程项目联合验收管理办法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