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9"/>
        <w:spacing w:line="360" w:lineRule="auto"/>
        <w:rPr>
          <w:rFonts w:ascii="Times New Roman" w:hAnsi="Times New Roman"/>
        </w:rPr>
      </w:pPr>
      <w:r>
        <w:rPr>
          <w:rFonts w:ascii="Times New Roman" w:hAnsi="Times New Roman"/>
        </w:rPr>
        <w:t>深圳</w:t>
      </w:r>
      <w:r>
        <w:rPr>
          <w:rFonts w:hint="eastAsia" w:ascii="Times New Roman" w:hAnsi="Times New Roman"/>
        </w:rPr>
        <w:t>市工程建设标准</w:t>
      </w:r>
    </w:p>
    <w:p>
      <w:pPr>
        <w:pStyle w:val="121"/>
        <w:spacing w:after="240" w:line="360" w:lineRule="auto"/>
        <w:jc w:val="right"/>
        <w:rPr>
          <w:rFonts w:eastAsia="黑体e眠副浡渀."/>
          <w:color w:val="auto"/>
          <w:sz w:val="28"/>
          <w:szCs w:val="28"/>
        </w:rPr>
      </w:pPr>
      <w:r>
        <w:rPr>
          <w:rFonts w:eastAsia="黑体e眠副浡渀."/>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502285</wp:posOffset>
                </wp:positionV>
                <wp:extent cx="5351145" cy="635"/>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5351145" cy="63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15pt;margin-top:39.55pt;height:0.05pt;width:421.35pt;z-index:251659264;mso-width-relative:page;mso-height-relative:page;" filled="f" stroked="t" coordsize="21600,21600" o:gfxdata="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OC3ZInWAAAABgEAAA8AAAAAAAAAAQAgAAAAOAAAAGRycy9kb3ducmV2&#10;LnhtbFBLAQIUABQAAAAIAIdO4kB6Zvf76AEAAK4DAAAOAAAAAAAAAAEAIAAAADsBAABkcnMvZTJv&#10;RG9jLnhtbFBLBQYAAAAABgAGAFkBAACVBQAAAAA=&#10;">
                <v:fill on="f" focussize="0,0"/>
                <v:stroke color="#000000" joinstyle="round"/>
                <v:imagedata o:title=""/>
                <o:lock v:ext="edit" aspectratio="f"/>
              </v:shape>
            </w:pict>
          </mc:Fallback>
        </mc:AlternateContent>
      </w:r>
      <w:r>
        <w:rPr>
          <w:rFonts w:eastAsia="黑体e眠副浡渀."/>
          <w:color w:val="auto"/>
          <w:sz w:val="28"/>
          <w:szCs w:val="28"/>
        </w:rPr>
        <w:t xml:space="preserve">SJG </w:t>
      </w:r>
      <w:r>
        <w:rPr>
          <w:rFonts w:hint="eastAsia" w:eastAsia="黑体e眠副浡渀."/>
          <w:color w:val="auto"/>
          <w:sz w:val="28"/>
          <w:szCs w:val="28"/>
        </w:rPr>
        <w:t>xx</w:t>
      </w:r>
      <w:r>
        <w:rPr>
          <w:rFonts w:eastAsia="黑体e眠副浡渀."/>
          <w:color w:val="auto"/>
          <w:sz w:val="28"/>
          <w:szCs w:val="28"/>
        </w:rPr>
        <w:t>—</w:t>
      </w:r>
      <w:r>
        <w:rPr>
          <w:rFonts w:hint="eastAsia" w:eastAsia="黑体e眠副浡渀."/>
          <w:color w:val="auto"/>
          <w:sz w:val="28"/>
          <w:szCs w:val="28"/>
        </w:rPr>
        <w:t>2019</w:t>
      </w:r>
    </w:p>
    <w:p>
      <w:pPr>
        <w:pStyle w:val="121"/>
        <w:spacing w:before="240" w:after="240" w:line="360" w:lineRule="auto"/>
        <w:jc w:val="right"/>
        <w:rPr>
          <w:rFonts w:eastAsia="黑体e眠副浡渀."/>
          <w:color w:val="auto"/>
          <w:sz w:val="28"/>
          <w:szCs w:val="28"/>
        </w:rPr>
      </w:pPr>
    </w:p>
    <w:p>
      <w:pPr>
        <w:pStyle w:val="140"/>
        <w:spacing w:line="360" w:lineRule="auto"/>
        <w:jc w:val="right"/>
        <w:rPr>
          <w:rFonts w:eastAsia="黑体e眠副浡渀."/>
          <w:sz w:val="96"/>
          <w:szCs w:val="96"/>
        </w:rPr>
      </w:pPr>
    </w:p>
    <w:p>
      <w:pPr>
        <w:pStyle w:val="121"/>
        <w:rPr>
          <w:color w:val="auto"/>
        </w:rPr>
      </w:pPr>
    </w:p>
    <w:p>
      <w:pPr>
        <w:pStyle w:val="121"/>
        <w:rPr>
          <w:color w:val="auto"/>
        </w:rPr>
      </w:pPr>
    </w:p>
    <w:p>
      <w:pPr>
        <w:pStyle w:val="121"/>
        <w:rPr>
          <w:color w:val="auto"/>
        </w:rPr>
      </w:pPr>
    </w:p>
    <w:p>
      <w:pPr>
        <w:spacing w:line="240" w:lineRule="auto"/>
        <w:ind w:left="0"/>
        <w:jc w:val="center"/>
        <w:rPr>
          <w:rFonts w:asciiTheme="minorEastAsia" w:hAnsiTheme="minorEastAsia" w:eastAsiaTheme="minorEastAsia"/>
          <w:b/>
          <w:color w:val="000000" w:themeColor="text1"/>
          <w:sz w:val="44"/>
          <w:szCs w:val="44"/>
          <w14:textFill>
            <w14:solidFill>
              <w14:schemeClr w14:val="tx1"/>
            </w14:solidFill>
          </w14:textFill>
        </w:rPr>
      </w:pPr>
      <w:r>
        <w:rPr>
          <w:rFonts w:hint="eastAsia" w:eastAsia="黑体"/>
          <w:sz w:val="44"/>
          <w:szCs w:val="52"/>
        </w:rPr>
        <w:t>深圳市</w:t>
      </w:r>
      <w:r>
        <w:rPr>
          <w:rFonts w:hint="eastAsia" w:asciiTheme="minorEastAsia" w:hAnsiTheme="minorEastAsia" w:eastAsiaTheme="minorEastAsia"/>
          <w:b/>
          <w:color w:val="000000" w:themeColor="text1"/>
          <w:sz w:val="44"/>
          <w:szCs w:val="44"/>
          <w14:textFill>
            <w14:solidFill>
              <w14:schemeClr w14:val="tx1"/>
            </w14:solidFill>
          </w14:textFill>
        </w:rPr>
        <w:t>高层建筑混凝土结构技术规程</w:t>
      </w:r>
    </w:p>
    <w:p>
      <w:pPr>
        <w:spacing w:line="240" w:lineRule="auto"/>
        <w:ind w:left="0"/>
        <w:jc w:val="center"/>
        <w:rPr>
          <w:rFonts w:ascii="华文楷体" w:hAnsi="华文楷体" w:eastAsia="华文楷体"/>
          <w:b/>
          <w:color w:val="000000" w:themeColor="text1"/>
          <w:sz w:val="36"/>
          <w:szCs w:val="36"/>
          <w14:textFill>
            <w14:solidFill>
              <w14:schemeClr w14:val="tx1"/>
            </w14:solidFill>
          </w14:textFill>
        </w:rPr>
      </w:pPr>
      <w:r>
        <w:rPr>
          <w:rFonts w:hint="eastAsia" w:eastAsia="黑体"/>
          <w:sz w:val="40"/>
          <w:szCs w:val="52"/>
        </w:rPr>
        <w:t>（</w:t>
      </w:r>
      <w:r>
        <w:rPr>
          <w:rFonts w:ascii="Times New Roman" w:hAnsi="Times New Roman" w:eastAsiaTheme="minorEastAsia"/>
          <w:b/>
          <w:color w:val="000000" w:themeColor="text1"/>
          <w:sz w:val="28"/>
          <w:szCs w:val="28"/>
          <w14:textFill>
            <w14:solidFill>
              <w14:schemeClr w14:val="tx1"/>
            </w14:solidFill>
          </w14:textFill>
        </w:rPr>
        <w:t>Technical specification for concrete structures of tall building</w:t>
      </w:r>
      <w:r>
        <w:rPr>
          <w:rFonts w:hint="eastAsia" w:eastAsia="黑体"/>
          <w:sz w:val="40"/>
          <w:szCs w:val="52"/>
        </w:rPr>
        <w:t>）</w:t>
      </w:r>
      <w:r>
        <w:rPr>
          <w:rFonts w:hint="eastAsia" w:ascii="华文楷体" w:hAnsi="华文楷体" w:eastAsia="华文楷体"/>
          <w:b/>
          <w:color w:val="000000" w:themeColor="text1"/>
          <w:sz w:val="36"/>
          <w:szCs w:val="36"/>
          <w14:textFill>
            <w14:solidFill>
              <w14:schemeClr w14:val="tx1"/>
            </w14:solidFill>
          </w14:textFill>
        </w:rPr>
        <w:t>（征求意见稿）</w:t>
      </w:r>
    </w:p>
    <w:p>
      <w:pPr>
        <w:pStyle w:val="121"/>
        <w:spacing w:line="360" w:lineRule="auto"/>
        <w:rPr>
          <w:color w:val="auto"/>
        </w:rPr>
      </w:pPr>
    </w:p>
    <w:p>
      <w:pPr>
        <w:pStyle w:val="121"/>
        <w:spacing w:line="360" w:lineRule="auto"/>
        <w:rPr>
          <w:color w:val="auto"/>
        </w:rPr>
      </w:pPr>
    </w:p>
    <w:p>
      <w:pPr>
        <w:pStyle w:val="121"/>
        <w:spacing w:line="360" w:lineRule="auto"/>
        <w:rPr>
          <w:color w:val="auto"/>
        </w:rPr>
      </w:pPr>
    </w:p>
    <w:p>
      <w:pPr>
        <w:pStyle w:val="121"/>
        <w:spacing w:line="360" w:lineRule="auto"/>
        <w:rPr>
          <w:color w:val="auto"/>
        </w:rPr>
      </w:pPr>
    </w:p>
    <w:p>
      <w:pPr>
        <w:pStyle w:val="121"/>
        <w:spacing w:line="360" w:lineRule="auto"/>
        <w:rPr>
          <w:rFonts w:eastAsia="黑体e眠副浡渀."/>
          <w:color w:val="auto"/>
          <w:sz w:val="28"/>
          <w:szCs w:val="28"/>
        </w:rPr>
      </w:pPr>
    </w:p>
    <w:p>
      <w:pPr>
        <w:pStyle w:val="141"/>
        <w:spacing w:line="360" w:lineRule="auto"/>
        <w:rPr>
          <w:rFonts w:eastAsia="黑体e眠副浡渀."/>
          <w:sz w:val="28"/>
          <w:szCs w:val="28"/>
        </w:rPr>
      </w:pPr>
    </w:p>
    <w:p>
      <w:pPr>
        <w:pStyle w:val="141"/>
        <w:spacing w:line="360" w:lineRule="auto"/>
        <w:rPr>
          <w:rFonts w:eastAsia="黑体"/>
          <w:sz w:val="28"/>
          <w:szCs w:val="28"/>
        </w:rPr>
      </w:pPr>
    </w:p>
    <w:p>
      <w:pPr>
        <w:pStyle w:val="121"/>
        <w:spacing w:line="360" w:lineRule="auto"/>
        <w:rPr>
          <w:color w:val="auto"/>
        </w:rPr>
      </w:pPr>
    </w:p>
    <w:p>
      <w:pPr>
        <w:pStyle w:val="121"/>
        <w:spacing w:line="360" w:lineRule="auto"/>
        <w:rPr>
          <w:color w:val="auto"/>
        </w:rPr>
      </w:pPr>
    </w:p>
    <w:p>
      <w:pPr>
        <w:pStyle w:val="121"/>
        <w:spacing w:line="360" w:lineRule="auto"/>
        <w:rPr>
          <w:color w:val="auto"/>
        </w:rPr>
      </w:pPr>
      <w:r>
        <w:rPr>
          <w:rFonts w:eastAsia="黑体e眠副浡渀."/>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328930</wp:posOffset>
                </wp:positionV>
                <wp:extent cx="5351145" cy="635"/>
                <wp:effectExtent l="0" t="0" r="0" b="0"/>
                <wp:wrapNone/>
                <wp:docPr id="8" name="直接箭头连接符 8"/>
                <wp:cNvGraphicFramePr/>
                <a:graphic xmlns:a="http://schemas.openxmlformats.org/drawingml/2006/main">
                  <a:graphicData uri="http://schemas.microsoft.com/office/word/2010/wordprocessingShape">
                    <wps:wsp>
                      <wps:cNvCnPr/>
                      <wps:spPr>
                        <a:xfrm>
                          <a:off x="0" y="0"/>
                          <a:ext cx="5351145" cy="63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15pt;margin-top:25.9pt;height:0.05pt;width:421.35pt;z-index:251660288;mso-width-relative:page;mso-height-relative:page;" filled="f" stroked="t" coordsize="21600,21600" o:gfxdata="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Q86ao9UAAAAGAQAADwAAAAAAAAABACAAAAA4AAAAZHJzL2Rvd25yZXYu&#10;eG1sUEsBAhQAFAAAAAgAh07iQFs4zzToAQAArgMAAA4AAAAAAAAAAQAgAAAAOgEAAGRycy9lMm9E&#10;b2MueG1sUEsFBgAAAAAGAAYAWQEAAJQFAAAAAA==&#10;">
                <v:fill on="f" focussize="0,0"/>
                <v:stroke color="#000000" joinstyle="round"/>
                <v:imagedata o:title=""/>
                <o:lock v:ext="edit" aspectratio="f"/>
              </v:shape>
            </w:pict>
          </mc:Fallback>
        </mc:AlternateContent>
      </w:r>
      <w:r>
        <w:rPr>
          <w:rFonts w:hint="eastAsia" w:eastAsia="黑体e眠副浡渀."/>
          <w:color w:val="auto"/>
          <w:sz w:val="28"/>
          <w:szCs w:val="28"/>
        </w:rPr>
        <w:t>2019</w:t>
      </w:r>
      <w:r>
        <w:rPr>
          <w:color w:val="auto"/>
          <w:sz w:val="28"/>
          <w:szCs w:val="28"/>
        </w:rPr>
        <w:t>-</w:t>
      </w:r>
      <w:r>
        <w:rPr>
          <w:rFonts w:hint="eastAsia"/>
          <w:color w:val="auto"/>
          <w:sz w:val="28"/>
          <w:szCs w:val="28"/>
        </w:rPr>
        <w:t>xx</w:t>
      </w:r>
      <w:r>
        <w:rPr>
          <w:color w:val="auto"/>
          <w:sz w:val="28"/>
          <w:szCs w:val="28"/>
        </w:rPr>
        <w:t>-</w:t>
      </w:r>
      <w:r>
        <w:rPr>
          <w:rFonts w:hint="eastAsia"/>
          <w:color w:val="auto"/>
          <w:sz w:val="28"/>
          <w:szCs w:val="28"/>
        </w:rPr>
        <w:t>xx</w:t>
      </w:r>
      <w:r>
        <w:rPr>
          <w:color w:val="auto"/>
          <w:sz w:val="28"/>
          <w:szCs w:val="28"/>
        </w:rPr>
        <w:t xml:space="preserve">发布                              </w:t>
      </w:r>
      <w:r>
        <w:rPr>
          <w:rFonts w:hint="eastAsia"/>
          <w:color w:val="auto"/>
          <w:sz w:val="28"/>
          <w:szCs w:val="28"/>
        </w:rPr>
        <w:t>2019</w:t>
      </w:r>
      <w:r>
        <w:rPr>
          <w:color w:val="auto"/>
          <w:sz w:val="28"/>
          <w:szCs w:val="28"/>
        </w:rPr>
        <w:t>-</w:t>
      </w:r>
      <w:r>
        <w:rPr>
          <w:rFonts w:hint="eastAsia"/>
          <w:color w:val="auto"/>
          <w:sz w:val="28"/>
          <w:szCs w:val="28"/>
        </w:rPr>
        <w:t xml:space="preserve"> xx</w:t>
      </w:r>
      <w:r>
        <w:rPr>
          <w:color w:val="auto"/>
          <w:sz w:val="28"/>
          <w:szCs w:val="28"/>
        </w:rPr>
        <w:t>-</w:t>
      </w:r>
      <w:r>
        <w:rPr>
          <w:rFonts w:hint="eastAsia"/>
          <w:color w:val="auto"/>
          <w:sz w:val="28"/>
          <w:szCs w:val="28"/>
        </w:rPr>
        <w:t>xx</w:t>
      </w:r>
      <w:r>
        <w:rPr>
          <w:color w:val="auto"/>
          <w:sz w:val="28"/>
          <w:szCs w:val="28"/>
        </w:rPr>
        <w:t>实施</w:t>
      </w:r>
    </w:p>
    <w:p>
      <w:pPr>
        <w:spacing w:line="240" w:lineRule="auto"/>
        <w:ind w:left="0"/>
        <w:jc w:val="center"/>
        <w:rPr>
          <w:rFonts w:eastAsia="黑体"/>
          <w:sz w:val="36"/>
          <w:szCs w:val="36"/>
        </w:rPr>
      </w:pPr>
      <w:r>
        <w:rPr>
          <w:rFonts w:hint="eastAsia" w:eastAsia="黑体"/>
          <w:sz w:val="36"/>
          <w:szCs w:val="36"/>
        </w:rPr>
        <w:t>深圳市住房和建设局发布</w:t>
      </w:r>
      <w:r>
        <w:rPr>
          <w:rFonts w:eastAsia="黑体"/>
          <w:sz w:val="36"/>
          <w:szCs w:val="36"/>
        </w:rPr>
        <w:br w:type="page"/>
      </w:r>
    </w:p>
    <w:p>
      <w:pPr>
        <w:spacing w:line="240" w:lineRule="auto"/>
        <w:ind w:left="0"/>
        <w:jc w:val="center"/>
        <w:rPr>
          <w:color w:val="000000" w:themeColor="text1"/>
          <w14:textFill>
            <w14:solidFill>
              <w14:schemeClr w14:val="tx1"/>
            </w14:solidFill>
          </w14:textFill>
        </w:rPr>
        <w:sectPr>
          <w:footerReference r:id="rId5" w:type="default"/>
          <w:footerReference r:id="rId6" w:type="even"/>
          <w:pgSz w:w="11906" w:h="16838"/>
          <w:pgMar w:top="1440" w:right="1797" w:bottom="1440" w:left="1797" w:header="851" w:footer="992" w:gutter="0"/>
          <w:pgNumType w:start="1"/>
          <w:cols w:space="425" w:num="1"/>
          <w:titlePg/>
          <w:docGrid w:type="linesAndChars" w:linePitch="312" w:charSpace="0"/>
        </w:sectPr>
      </w:pPr>
    </w:p>
    <w:p>
      <w:pPr>
        <w:jc w:val="center"/>
        <w:rPr>
          <w:rFonts w:ascii="黑体" w:hAnsi="黑体" w:eastAsia="黑体"/>
          <w:b/>
          <w:sz w:val="32"/>
        </w:rPr>
      </w:pPr>
    </w:p>
    <w:p>
      <w:pPr>
        <w:jc w:val="center"/>
        <w:rPr>
          <w:rFonts w:ascii="黑体" w:hAnsi="黑体" w:eastAsia="黑体"/>
          <w:b/>
          <w:sz w:val="32"/>
        </w:rPr>
      </w:pPr>
    </w:p>
    <w:p>
      <w:pPr>
        <w:jc w:val="center"/>
        <w:rPr>
          <w:rFonts w:ascii="黑体" w:hAnsi="黑体" w:eastAsia="黑体"/>
          <w:b/>
          <w:sz w:val="32"/>
        </w:rPr>
      </w:pPr>
      <w:r>
        <w:rPr>
          <w:rFonts w:hint="eastAsia" w:ascii="黑体" w:hAnsi="黑体" w:eastAsia="黑体"/>
          <w:b/>
          <w:sz w:val="32"/>
        </w:rPr>
        <w:t>深圳市工程建设标准</w:t>
      </w:r>
    </w:p>
    <w:p>
      <w:pPr>
        <w:jc w:val="center"/>
        <w:rPr>
          <w:sz w:val="30"/>
        </w:rPr>
      </w:pPr>
    </w:p>
    <w:p>
      <w:pPr>
        <w:spacing w:line="480" w:lineRule="auto"/>
        <w:jc w:val="center"/>
        <w:rPr>
          <w:rFonts w:hAnsi="宋体"/>
          <w:b/>
          <w:bCs/>
          <w:sz w:val="48"/>
          <w:szCs w:val="48"/>
        </w:rPr>
      </w:pPr>
      <w:r>
        <w:rPr>
          <w:rFonts w:hint="eastAsia" w:hAnsi="宋体"/>
          <w:b/>
          <w:bCs/>
          <w:sz w:val="48"/>
          <w:szCs w:val="48"/>
        </w:rPr>
        <w:t>深圳市</w:t>
      </w:r>
      <w:r>
        <w:rPr>
          <w:rFonts w:hint="eastAsia" w:asciiTheme="minorEastAsia" w:hAnsiTheme="minorEastAsia" w:eastAsiaTheme="minorEastAsia"/>
          <w:b/>
          <w:color w:val="000000" w:themeColor="text1"/>
          <w:sz w:val="44"/>
          <w:szCs w:val="44"/>
          <w14:textFill>
            <w14:solidFill>
              <w14:schemeClr w14:val="tx1"/>
            </w14:solidFill>
          </w14:textFill>
        </w:rPr>
        <w:t>高层建筑混凝土结构技术规程</w:t>
      </w:r>
    </w:p>
    <w:p>
      <w:pPr>
        <w:spacing w:line="480" w:lineRule="auto"/>
        <w:jc w:val="center"/>
        <w:rPr>
          <w:b/>
          <w:spacing w:val="-20"/>
          <w:sz w:val="28"/>
          <w:szCs w:val="28"/>
        </w:rPr>
      </w:pPr>
      <w:r>
        <w:rPr>
          <w:rFonts w:hint="eastAsia" w:eastAsia="黑体"/>
          <w:sz w:val="28"/>
          <w:szCs w:val="28"/>
        </w:rPr>
        <w:t>（</w:t>
      </w:r>
      <w:r>
        <w:rPr>
          <w:rFonts w:ascii="Times New Roman" w:hAnsi="Times New Roman" w:eastAsiaTheme="minorEastAsia"/>
          <w:b/>
          <w:color w:val="000000" w:themeColor="text1"/>
          <w:sz w:val="28"/>
          <w:szCs w:val="28"/>
          <w14:textFill>
            <w14:solidFill>
              <w14:schemeClr w14:val="tx1"/>
            </w14:solidFill>
          </w14:textFill>
        </w:rPr>
        <w:t>Technical specification for concrete structures of tall building</w:t>
      </w:r>
      <w:r>
        <w:rPr>
          <w:rFonts w:hint="eastAsia" w:eastAsia="黑体"/>
          <w:sz w:val="28"/>
          <w:szCs w:val="28"/>
        </w:rPr>
        <w:t>）</w:t>
      </w:r>
    </w:p>
    <w:p>
      <w:pPr>
        <w:jc w:val="center"/>
        <w:rPr>
          <w:sz w:val="30"/>
        </w:rPr>
      </w:pPr>
    </w:p>
    <w:p>
      <w:pPr>
        <w:jc w:val="center"/>
        <w:rPr>
          <w:b/>
          <w:sz w:val="30"/>
        </w:rPr>
      </w:pPr>
      <w:r>
        <w:rPr>
          <w:b/>
          <w:sz w:val="30"/>
        </w:rPr>
        <w:t xml:space="preserve">SJG </w:t>
      </w:r>
      <w:r>
        <w:rPr>
          <w:rFonts w:hint="eastAsia" w:eastAsia="黑体"/>
          <w:sz w:val="28"/>
          <w:szCs w:val="28"/>
        </w:rPr>
        <w:t>xx</w:t>
      </w:r>
      <w:r>
        <w:rPr>
          <w:b/>
          <w:sz w:val="30"/>
        </w:rPr>
        <w:t>—</w:t>
      </w:r>
      <w:r>
        <w:rPr>
          <w:rFonts w:hint="eastAsia"/>
          <w:b/>
          <w:sz w:val="30"/>
        </w:rPr>
        <w:t>2019</w:t>
      </w:r>
    </w:p>
    <w:p>
      <w:pPr>
        <w:jc w:val="center"/>
        <w:rPr>
          <w:sz w:val="30"/>
        </w:rPr>
      </w:pPr>
    </w:p>
    <w:p>
      <w:pPr>
        <w:ind w:firstLine="1486" w:firstLineChars="708"/>
        <w:rPr>
          <w:rFonts w:ascii="宋体" w:hAnsi="宋体"/>
          <w:szCs w:val="28"/>
        </w:rPr>
      </w:pPr>
    </w:p>
    <w:p>
      <w:pPr>
        <w:ind w:firstLine="1486" w:firstLineChars="708"/>
        <w:rPr>
          <w:rFonts w:ascii="宋体" w:hAnsi="宋体"/>
          <w:szCs w:val="28"/>
        </w:rPr>
      </w:pPr>
    </w:p>
    <w:p>
      <w:pPr>
        <w:ind w:firstLine="1486" w:firstLineChars="708"/>
        <w:rPr>
          <w:rFonts w:ascii="宋体" w:hAnsi="宋体"/>
          <w:szCs w:val="28"/>
        </w:rPr>
      </w:pPr>
    </w:p>
    <w:p>
      <w:pPr>
        <w:ind w:firstLine="1486" w:firstLineChars="708"/>
        <w:rPr>
          <w:rFonts w:ascii="宋体" w:hAnsi="宋体"/>
          <w:szCs w:val="28"/>
        </w:rPr>
      </w:pPr>
    </w:p>
    <w:p>
      <w:pPr>
        <w:ind w:firstLine="1486" w:firstLineChars="708"/>
        <w:rPr>
          <w:rFonts w:ascii="宋体" w:hAnsi="宋体"/>
          <w:szCs w:val="28"/>
        </w:rPr>
      </w:pPr>
    </w:p>
    <w:p>
      <w:pPr>
        <w:ind w:firstLine="1486" w:firstLineChars="708"/>
        <w:rPr>
          <w:rFonts w:ascii="宋体" w:hAnsi="宋体"/>
          <w:szCs w:val="28"/>
        </w:rPr>
      </w:pPr>
    </w:p>
    <w:p>
      <w:pPr>
        <w:jc w:val="center"/>
        <w:rPr>
          <w:sz w:val="30"/>
        </w:rPr>
      </w:pPr>
    </w:p>
    <w:p>
      <w:pPr>
        <w:jc w:val="center"/>
        <w:rPr>
          <w:sz w:val="30"/>
        </w:rPr>
      </w:pPr>
    </w:p>
    <w:p>
      <w:pPr>
        <w:pStyle w:val="18"/>
        <w:rPr>
          <w:sz w:val="30"/>
        </w:rPr>
      </w:pPr>
    </w:p>
    <w:p>
      <w:pPr>
        <w:rPr>
          <w:sz w:val="24"/>
        </w:rPr>
      </w:pPr>
    </w:p>
    <w:p/>
    <w:p/>
    <w:p/>
    <w:p>
      <w:pPr>
        <w:jc w:val="center"/>
        <w:rPr>
          <w:rFonts w:hAnsi="宋体"/>
          <w:sz w:val="28"/>
          <w:szCs w:val="28"/>
        </w:rPr>
      </w:pPr>
    </w:p>
    <w:p>
      <w:pPr>
        <w:ind w:left="0"/>
        <w:rPr>
          <w:sz w:val="28"/>
          <w:szCs w:val="28"/>
        </w:rPr>
      </w:pPr>
    </w:p>
    <w:p>
      <w:pPr>
        <w:jc w:val="center"/>
        <w:rPr>
          <w:rFonts w:hAnsi="宋体"/>
          <w:b/>
          <w:sz w:val="24"/>
          <w:szCs w:val="28"/>
        </w:rPr>
      </w:pPr>
      <w:r>
        <w:rPr>
          <w:b/>
          <w:szCs w:val="28"/>
        </w:rPr>
        <w:t>20</w:t>
      </w:r>
      <w:r>
        <w:rPr>
          <w:rFonts w:hint="eastAsia"/>
          <w:b/>
          <w:szCs w:val="28"/>
        </w:rPr>
        <w:t>19</w:t>
      </w:r>
      <w:r>
        <w:rPr>
          <w:rFonts w:hint="eastAsia" w:hAnsi="宋体"/>
          <w:b/>
          <w:szCs w:val="28"/>
        </w:rPr>
        <w:t>深圳</w:t>
      </w:r>
    </w:p>
    <w:p>
      <w:pPr>
        <w:spacing w:line="240" w:lineRule="auto"/>
        <w:ind w:left="0"/>
        <w:jc w:val="center"/>
        <w:rPr>
          <w:color w:val="000000" w:themeColor="text1"/>
          <w14:textFill>
            <w14:solidFill>
              <w14:schemeClr w14:val="tx1"/>
            </w14:solidFill>
          </w14:textFill>
        </w:rPr>
      </w:pPr>
    </w:p>
    <w:p>
      <w:pPr>
        <w:spacing w:line="240" w:lineRule="auto"/>
        <w:ind w:left="0"/>
        <w:jc w:val="center"/>
        <w:rPr>
          <w:color w:val="000000" w:themeColor="text1"/>
          <w14:textFill>
            <w14:solidFill>
              <w14:schemeClr w14:val="tx1"/>
            </w14:solidFill>
          </w14:textFill>
        </w:rPr>
      </w:pPr>
    </w:p>
    <w:p>
      <w:pPr>
        <w:spacing w:line="240" w:lineRule="auto"/>
        <w:ind w:left="0"/>
        <w:jc w:val="center"/>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前    言</w:t>
      </w:r>
    </w:p>
    <w:p>
      <w:pPr>
        <w:adjustRightInd w:val="0"/>
        <w:snapToGrid w:val="0"/>
        <w:spacing w:line="480" w:lineRule="atLeast"/>
        <w:ind w:left="0" w:firstLine="480" w:firstLineChars="200"/>
        <w:jc w:val="left"/>
        <w:rPr>
          <w:rFonts w:ascii="Cambria" w:hAnsi="Cambria"/>
          <w:bCs/>
          <w:color w:val="000000" w:themeColor="text1"/>
          <w:kern w:val="0"/>
          <w:sz w:val="24"/>
          <w:szCs w:val="24"/>
          <w:lang w:val="zh-CN"/>
          <w14:textFill>
            <w14:solidFill>
              <w14:schemeClr w14:val="tx1"/>
            </w14:solidFill>
          </w14:textFill>
        </w:rPr>
      </w:pPr>
      <w:r>
        <w:rPr>
          <w:rFonts w:hint="eastAsia" w:asciiTheme="minorEastAsia" w:hAnsiTheme="minorEastAsia" w:eastAsiaTheme="minorEastAsia"/>
          <w:bCs/>
          <w:color w:val="000000" w:themeColor="text1"/>
          <w:kern w:val="0"/>
          <w:sz w:val="24"/>
          <w:szCs w:val="24"/>
          <w:lang w:val="zh-CN"/>
          <w14:textFill>
            <w14:solidFill>
              <w14:schemeClr w14:val="tx1"/>
            </w14:solidFill>
          </w14:textFill>
        </w:rPr>
        <w:t>根据深圳市住房和建设局《关于发布2019年深圳市工程建设标准制订修订计划项目的通知》（深建设〔2019〕40号</w:t>
      </w:r>
      <w:r>
        <w:rPr>
          <w:rFonts w:hint="eastAsia" w:asciiTheme="minorEastAsia" w:hAnsiTheme="minorEastAsia" w:eastAsiaTheme="minorEastAsia"/>
          <w:b/>
          <w:bCs/>
          <w:color w:val="000000" w:themeColor="text1"/>
          <w:kern w:val="0"/>
          <w:szCs w:val="24"/>
          <w:lang w:val="zh-CN"/>
          <w14:textFill>
            <w14:solidFill>
              <w14:schemeClr w14:val="tx1"/>
            </w14:solidFill>
          </w14:textFill>
        </w:rPr>
        <w:t>），</w:t>
      </w:r>
      <w:r>
        <w:rPr>
          <w:rFonts w:hint="eastAsia" w:asciiTheme="minorEastAsia" w:hAnsiTheme="minorEastAsia" w:eastAsiaTheme="minorEastAsia"/>
          <w:bCs/>
          <w:color w:val="000000" w:themeColor="text1"/>
          <w:kern w:val="0"/>
          <w:sz w:val="24"/>
          <w:szCs w:val="24"/>
          <w:lang w:val="zh-CN"/>
          <w14:textFill>
            <w14:solidFill>
              <w14:schemeClr w14:val="tx1"/>
            </w14:solidFill>
          </w14:textFill>
        </w:rPr>
        <w:t>规程编制组在国家行业标准《高层建筑混凝土结构技术规程》JGJ3-2010、广东省标准《高层建筑混凝土结构技术规程》（BDJ15-92-2013）的基础上，总结了近年来深圳地区高层建筑混凝土结构的工程设计与实践经验，经过认真分析</w:t>
      </w:r>
      <w:r>
        <w:rPr>
          <w:rFonts w:hint="eastAsia" w:ascii="Cambria" w:hAnsi="Cambria"/>
          <w:bCs/>
          <w:color w:val="000000" w:themeColor="text1"/>
          <w:kern w:val="0"/>
          <w:sz w:val="24"/>
          <w:szCs w:val="24"/>
          <w:lang w:val="zh-CN"/>
          <w14:textFill>
            <w14:solidFill>
              <w14:schemeClr w14:val="tx1"/>
            </w14:solidFill>
          </w14:textFill>
        </w:rPr>
        <w:t>研究，补充和修订了一些内容。主要是：</w:t>
      </w:r>
    </w:p>
    <w:p>
      <w:pPr>
        <w:adjustRightInd w:val="0"/>
        <w:snapToGrid w:val="0"/>
        <w:spacing w:line="480" w:lineRule="atLeast"/>
        <w:ind w:left="0" w:firstLine="480" w:firstLineChars="200"/>
        <w:jc w:val="left"/>
        <w:rPr>
          <w:rFonts w:ascii="Cambria" w:hAnsi="Cambria"/>
          <w:bCs/>
          <w:color w:val="000000" w:themeColor="text1"/>
          <w:kern w:val="0"/>
          <w:sz w:val="24"/>
          <w:szCs w:val="24"/>
          <w:lang w:val="zh-CN"/>
          <w14:textFill>
            <w14:solidFill>
              <w14:schemeClr w14:val="tx1"/>
            </w14:solidFill>
          </w14:textFill>
        </w:rPr>
      </w:pPr>
      <w:r>
        <w:rPr>
          <w:rFonts w:hint="eastAsia" w:ascii="Cambria" w:hAnsi="Cambria"/>
          <w:bCs/>
          <w:color w:val="000000" w:themeColor="text1"/>
          <w:kern w:val="0"/>
          <w:sz w:val="24"/>
          <w:szCs w:val="24"/>
          <w:lang w:val="zh-CN"/>
          <w14:textFill>
            <w14:solidFill>
              <w14:schemeClr w14:val="tx1"/>
            </w14:solidFill>
          </w14:textFill>
        </w:rPr>
        <w:t>1.补充了一些新的结构类型，如一向少墙剪力墙结构、平面凹凸不规则剪力墙结构、单外筒结构、框架-边筒结构、斜撑框架-核心筒结构、斜交网格-核心筒结构等，并给出相应的设计规定。</w:t>
      </w:r>
    </w:p>
    <w:p>
      <w:pPr>
        <w:adjustRightInd w:val="0"/>
        <w:snapToGrid w:val="0"/>
        <w:spacing w:line="480" w:lineRule="atLeast"/>
        <w:ind w:left="0" w:firstLine="480" w:firstLineChars="200"/>
        <w:jc w:val="left"/>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2.补充细化了带转换层高层建筑结构、大底盘多塔楼结构、连体高层建筑结构、带加强层高层建筑、</w:t>
      </w:r>
      <w:r>
        <w:rPr>
          <w:rFonts w:hint="eastAsia" w:ascii="Cambria" w:hAnsi="Cambria"/>
          <w:bCs/>
          <w:color w:val="000000" w:themeColor="text1"/>
          <w:kern w:val="0"/>
          <w:sz w:val="24"/>
          <w:szCs w:val="24"/>
          <w:lang w:val="zh-CN"/>
          <w14:textFill>
            <w14:solidFill>
              <w14:schemeClr w14:val="tx1"/>
            </w14:solidFill>
          </w14:textFill>
        </w:rPr>
        <w:t>巨型结构和悬挑结构</w:t>
      </w:r>
      <w:r>
        <w:rPr>
          <w:rFonts w:hint="eastAsia"/>
          <w:color w:val="000000" w:themeColor="text1"/>
          <w:sz w:val="24"/>
          <w:szCs w:val="24"/>
          <w:lang w:val="zh-CN"/>
          <w14:textFill>
            <w14:solidFill>
              <w14:schemeClr w14:val="tx1"/>
            </w14:solidFill>
          </w14:textFill>
        </w:rPr>
        <w:t>等复杂高层建筑的设计规定。</w:t>
      </w:r>
    </w:p>
    <w:p>
      <w:pPr>
        <w:adjustRightInd w:val="0"/>
        <w:snapToGrid w:val="0"/>
        <w:spacing w:line="480" w:lineRule="atLeast"/>
        <w:ind w:left="0" w:firstLine="480" w:firstLineChars="200"/>
        <w:jc w:val="left"/>
        <w:rPr>
          <w:color w:val="000000" w:themeColor="text1"/>
          <w:sz w:val="24"/>
          <w:szCs w:val="24"/>
          <w:lang w:val="zh-CN"/>
          <w14:textFill>
            <w14:solidFill>
              <w14:schemeClr w14:val="tx1"/>
            </w14:solidFill>
          </w14:textFill>
        </w:rPr>
      </w:pPr>
      <w:r>
        <w:rPr>
          <w:rFonts w:hint="eastAsia" w:ascii="Cambria" w:hAnsi="Cambria"/>
          <w:color w:val="000000" w:themeColor="text1"/>
          <w:kern w:val="0"/>
          <w:sz w:val="24"/>
          <w:szCs w:val="24"/>
          <w:lang w:val="zh-CN"/>
          <w14:textFill>
            <w14:solidFill>
              <w14:schemeClr w14:val="tx1"/>
            </w14:solidFill>
          </w14:textFill>
        </w:rPr>
        <w:t>3.补充了细化结构抗震性能设计方法。增加了结构抗震性能目标D</w:t>
      </w:r>
      <w:r>
        <w:rPr>
          <w:rFonts w:hint="eastAsia" w:ascii="Cambria" w:hAnsi="Cambria"/>
          <w:color w:val="000000" w:themeColor="text1"/>
          <w:kern w:val="0"/>
          <w:sz w:val="24"/>
          <w:szCs w:val="24"/>
          <w:vertAlign w:val="superscript"/>
          <w:lang w:val="zh-CN"/>
          <w14:textFill>
            <w14:solidFill>
              <w14:schemeClr w14:val="tx1"/>
            </w14:solidFill>
          </w14:textFill>
        </w:rPr>
        <w:t>*</w:t>
      </w:r>
      <w:r>
        <w:rPr>
          <w:rFonts w:hint="eastAsia" w:ascii="Cambria" w:hAnsi="Cambria"/>
          <w:color w:val="000000" w:themeColor="text1"/>
          <w:kern w:val="0"/>
          <w:sz w:val="24"/>
          <w:szCs w:val="24"/>
          <w:lang w:val="zh-CN"/>
          <w14:textFill>
            <w14:solidFill>
              <w14:schemeClr w14:val="tx1"/>
            </w14:solidFill>
          </w14:textFill>
        </w:rPr>
        <w:t>及相应的目标水准，增加了不同结构类型的构件抗震性能目标</w:t>
      </w:r>
      <w:r>
        <w:rPr>
          <w:rFonts w:hint="eastAsia"/>
          <w:color w:val="000000" w:themeColor="text1"/>
          <w:sz w:val="24"/>
          <w:szCs w:val="24"/>
          <w:lang w:val="zh-CN"/>
          <w14:textFill>
            <w14:solidFill>
              <w14:schemeClr w14:val="tx1"/>
            </w14:solidFill>
          </w14:textFill>
        </w:rPr>
        <w:t>。</w:t>
      </w:r>
    </w:p>
    <w:p>
      <w:pPr>
        <w:adjustRightInd w:val="0"/>
        <w:snapToGrid w:val="0"/>
        <w:spacing w:line="480" w:lineRule="atLeast"/>
        <w:ind w:left="0" w:firstLine="480" w:firstLineChars="200"/>
        <w:jc w:val="left"/>
        <w:rPr>
          <w:color w:val="000000" w:themeColor="text1"/>
          <w:sz w:val="24"/>
          <w:szCs w:val="24"/>
          <w:lang w:val="zh-CN"/>
          <w14:textFill>
            <w14:solidFill>
              <w14:schemeClr w14:val="tx1"/>
            </w14:solidFill>
          </w14:textFill>
        </w:rPr>
      </w:pPr>
      <w:r>
        <w:rPr>
          <w:rFonts w:hint="eastAsia" w:ascii="Cambria" w:hAnsi="Cambria"/>
          <w:color w:val="000000" w:themeColor="text1"/>
          <w:kern w:val="0"/>
          <w:sz w:val="24"/>
          <w:szCs w:val="24"/>
          <w:lang w:val="zh-CN"/>
          <w14:textFill>
            <w14:solidFill>
              <w14:schemeClr w14:val="tx1"/>
            </w14:solidFill>
          </w14:textFill>
        </w:rPr>
        <w:t>4.补充完善了罕遇地震作用下静力推覆法</w:t>
      </w:r>
      <w:r>
        <w:rPr>
          <w:rFonts w:hint="eastAsia"/>
          <w:color w:val="000000" w:themeColor="text1"/>
          <w:sz w:val="24"/>
          <w:szCs w:val="24"/>
          <w:lang w:val="zh-CN"/>
          <w14:textFill>
            <w14:solidFill>
              <w14:schemeClr w14:val="tx1"/>
            </w14:solidFill>
          </w14:textFill>
        </w:rPr>
        <w:t>、</w:t>
      </w:r>
      <w:r>
        <w:rPr>
          <w:rFonts w:hint="eastAsia" w:ascii="Cambria" w:hAnsi="Cambria"/>
          <w:color w:val="000000" w:themeColor="text1"/>
          <w:kern w:val="0"/>
          <w:sz w:val="24"/>
          <w:szCs w:val="24"/>
          <w:lang w:val="zh-CN"/>
          <w14:textFill>
            <w14:solidFill>
              <w14:schemeClr w14:val="tx1"/>
            </w14:solidFill>
          </w14:textFill>
        </w:rPr>
        <w:t>动力时程法</w:t>
      </w:r>
      <w:r>
        <w:rPr>
          <w:rFonts w:hint="eastAsia"/>
          <w:color w:val="000000" w:themeColor="text1"/>
          <w:sz w:val="24"/>
          <w:szCs w:val="24"/>
          <w:lang w:val="zh-CN"/>
          <w14:textFill>
            <w14:solidFill>
              <w14:schemeClr w14:val="tx1"/>
            </w14:solidFill>
          </w14:textFill>
        </w:rPr>
        <w:t>和等效弹性法</w:t>
      </w:r>
      <w:r>
        <w:rPr>
          <w:rFonts w:hint="eastAsia" w:ascii="Cambria" w:hAnsi="Cambria"/>
          <w:color w:val="000000" w:themeColor="text1"/>
          <w:kern w:val="0"/>
          <w:sz w:val="24"/>
          <w:szCs w:val="24"/>
          <w:lang w:val="zh-CN"/>
          <w14:textFill>
            <w14:solidFill>
              <w14:schemeClr w14:val="tx1"/>
            </w14:solidFill>
          </w14:textFill>
        </w:rPr>
        <w:t>的有关</w:t>
      </w:r>
      <w:r>
        <w:rPr>
          <w:rFonts w:hint="eastAsia"/>
          <w:color w:val="000000" w:themeColor="text1"/>
          <w:sz w:val="24"/>
          <w:szCs w:val="24"/>
          <w:lang w:val="zh-CN"/>
          <w14:textFill>
            <w14:solidFill>
              <w14:schemeClr w14:val="tx1"/>
            </w14:solidFill>
          </w14:textFill>
        </w:rPr>
        <w:t>规定。提出了根据构件性能目标要求分别设置承载力控制项和塑性变形控制项，并给出相应控制原则和验算方法。</w:t>
      </w:r>
    </w:p>
    <w:p>
      <w:pPr>
        <w:adjustRightInd w:val="0"/>
        <w:snapToGrid w:val="0"/>
        <w:spacing w:line="480" w:lineRule="atLeast"/>
        <w:ind w:left="0" w:firstLine="480" w:firstLineChars="200"/>
        <w:jc w:val="left"/>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5.对下列问题进行了补充：</w:t>
      </w:r>
    </w:p>
    <w:p>
      <w:pPr>
        <w:adjustRightInd w:val="0"/>
        <w:snapToGrid w:val="0"/>
        <w:spacing w:line="480" w:lineRule="atLeast"/>
        <w:ind w:left="0" w:firstLine="480" w:firstLineChars="200"/>
        <w:jc w:val="left"/>
        <w:rPr>
          <w:rFonts w:ascii="Cambria" w:hAnsi="Cambria"/>
          <w:color w:val="000000" w:themeColor="text1"/>
          <w:kern w:val="0"/>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（1）</w:t>
      </w:r>
      <w:r>
        <w:rPr>
          <w:rFonts w:hint="eastAsia" w:ascii="Cambria" w:hAnsi="Cambria"/>
          <w:color w:val="000000" w:themeColor="text1"/>
          <w:kern w:val="0"/>
          <w:sz w:val="24"/>
          <w:szCs w:val="24"/>
          <w:lang w:val="zh-CN"/>
          <w14:textFill>
            <w14:solidFill>
              <w14:schemeClr w14:val="tx1"/>
            </w14:solidFill>
          </w14:textFill>
        </w:rPr>
        <w:t>补充了楼盖结构关于平面不规则中角部重叠、细腰部分的有关规定</w:t>
      </w:r>
      <w:r>
        <w:rPr>
          <w:rFonts w:hint="eastAsia"/>
          <w:color w:val="000000" w:themeColor="text1"/>
          <w:sz w:val="24"/>
          <w:szCs w:val="24"/>
          <w:lang w:val="zh-CN"/>
          <w14:textFill>
            <w14:solidFill>
              <w14:schemeClr w14:val="tx1"/>
            </w14:solidFill>
          </w14:textFill>
        </w:rPr>
        <w:t>。</w:t>
      </w:r>
      <w:r>
        <w:rPr>
          <w:rFonts w:hint="eastAsia" w:ascii="Cambria" w:hAnsi="Cambria"/>
          <w:color w:val="000000" w:themeColor="text1"/>
          <w:kern w:val="0"/>
          <w:sz w:val="24"/>
          <w:szCs w:val="24"/>
          <w:lang w:val="zh-CN"/>
          <w14:textFill>
            <w14:solidFill>
              <w14:schemeClr w14:val="tx1"/>
            </w14:solidFill>
          </w14:textFill>
        </w:rPr>
        <w:t>提出了楼盖面内应力的计算方法和楼盖结构的抗震性能化设计方法；</w:t>
      </w:r>
    </w:p>
    <w:p>
      <w:pPr>
        <w:adjustRightInd w:val="0"/>
        <w:snapToGrid w:val="0"/>
        <w:spacing w:line="480" w:lineRule="atLeast"/>
        <w:ind w:left="0" w:firstLine="480" w:firstLineChars="200"/>
        <w:jc w:val="left"/>
        <w:rPr>
          <w:rFonts w:ascii="Cambria" w:hAnsi="Cambria"/>
          <w:color w:val="000000" w:themeColor="text1"/>
          <w:kern w:val="0"/>
          <w:sz w:val="24"/>
          <w:szCs w:val="24"/>
          <w:lang w:val="zh-CN"/>
          <w14:textFill>
            <w14:solidFill>
              <w14:schemeClr w14:val="tx1"/>
            </w14:solidFill>
          </w14:textFill>
        </w:rPr>
      </w:pPr>
      <w:r>
        <w:rPr>
          <w:rFonts w:hint="eastAsia" w:ascii="Cambria" w:hAnsi="Cambria"/>
          <w:color w:val="000000" w:themeColor="text1"/>
          <w:kern w:val="0"/>
          <w:sz w:val="24"/>
          <w:szCs w:val="24"/>
          <w:lang w:val="zh-CN"/>
          <w14:textFill>
            <w14:solidFill>
              <w14:schemeClr w14:val="tx1"/>
            </w14:solidFill>
          </w14:textFill>
        </w:rPr>
        <w:t>（2）附录A提出了结构层抗侧刚度新计算方法；</w:t>
      </w:r>
    </w:p>
    <w:p>
      <w:pPr>
        <w:adjustRightInd w:val="0"/>
        <w:snapToGrid w:val="0"/>
        <w:spacing w:line="480" w:lineRule="atLeast"/>
        <w:ind w:left="0" w:firstLine="480" w:firstLineChars="200"/>
        <w:jc w:val="left"/>
        <w:rPr>
          <w:rFonts w:ascii="Cambria" w:hAnsi="Cambria"/>
          <w:color w:val="000000" w:themeColor="text1"/>
          <w:kern w:val="0"/>
          <w:sz w:val="24"/>
          <w:szCs w:val="24"/>
          <w:lang w:val="zh-CN"/>
          <w14:textFill>
            <w14:solidFill>
              <w14:schemeClr w14:val="tx1"/>
            </w14:solidFill>
          </w14:textFill>
        </w:rPr>
      </w:pPr>
      <w:r>
        <w:rPr>
          <w:rFonts w:hint="eastAsia" w:ascii="Cambria" w:hAnsi="Cambria"/>
          <w:color w:val="000000" w:themeColor="text1"/>
          <w:kern w:val="0"/>
          <w:sz w:val="24"/>
          <w:szCs w:val="24"/>
          <w:lang w:val="zh-CN"/>
          <w14:textFill>
            <w14:solidFill>
              <w14:schemeClr w14:val="tx1"/>
            </w14:solidFill>
          </w14:textFill>
        </w:rPr>
        <w:t>（3）补充带斜撑构件时楼层抗剪承载力的验算方法；</w:t>
      </w:r>
    </w:p>
    <w:p>
      <w:pPr>
        <w:adjustRightInd w:val="0"/>
        <w:snapToGrid w:val="0"/>
        <w:spacing w:line="480" w:lineRule="atLeast"/>
        <w:ind w:left="0" w:firstLine="480" w:firstLineChars="200"/>
        <w:jc w:val="left"/>
        <w:rPr>
          <w:rFonts w:ascii="Cambria" w:hAnsi="Cambria"/>
          <w:color w:val="000000" w:themeColor="text1"/>
          <w:kern w:val="0"/>
          <w:sz w:val="24"/>
          <w:szCs w:val="24"/>
          <w:lang w:val="zh-CN"/>
          <w14:textFill>
            <w14:solidFill>
              <w14:schemeClr w14:val="tx1"/>
            </w14:solidFill>
          </w14:textFill>
        </w:rPr>
      </w:pPr>
      <w:r>
        <w:rPr>
          <w:rFonts w:hint="eastAsia" w:ascii="Cambria" w:hAnsi="Cambria"/>
          <w:color w:val="000000" w:themeColor="text1"/>
          <w:kern w:val="0"/>
          <w:sz w:val="24"/>
          <w:szCs w:val="24"/>
          <w:lang w:val="zh-CN"/>
          <w14:textFill>
            <w14:solidFill>
              <w14:schemeClr w14:val="tx1"/>
            </w14:solidFill>
          </w14:textFill>
        </w:rPr>
        <w:t>（4）建议了非超限高层建筑选用一组人工地震波的选取方法；</w:t>
      </w:r>
    </w:p>
    <w:p>
      <w:pPr>
        <w:adjustRightInd w:val="0"/>
        <w:snapToGrid w:val="0"/>
        <w:spacing w:line="480" w:lineRule="atLeast"/>
        <w:ind w:left="0" w:firstLine="480" w:firstLineChars="200"/>
        <w:jc w:val="left"/>
        <w:rPr>
          <w:rFonts w:ascii="Cambria" w:hAnsi="Cambria"/>
          <w:color w:val="000000" w:themeColor="text1"/>
          <w:kern w:val="0"/>
          <w:sz w:val="24"/>
          <w:szCs w:val="24"/>
          <w:lang w:val="zh-CN"/>
          <w14:textFill>
            <w14:solidFill>
              <w14:schemeClr w14:val="tx1"/>
            </w14:solidFill>
          </w14:textFill>
        </w:rPr>
      </w:pPr>
      <w:r>
        <w:rPr>
          <w:rFonts w:hint="eastAsia" w:ascii="Cambria" w:hAnsi="Cambria"/>
          <w:color w:val="000000" w:themeColor="text1"/>
          <w:kern w:val="0"/>
          <w:sz w:val="24"/>
          <w:szCs w:val="24"/>
          <w:lang w:val="zh-CN"/>
          <w14:textFill>
            <w14:solidFill>
              <w14:schemeClr w14:val="tx1"/>
            </w14:solidFill>
          </w14:textFill>
        </w:rPr>
        <w:t>（5）补充了设防烈度地震作用下的屈服判别验算方法；</w:t>
      </w:r>
    </w:p>
    <w:p>
      <w:pPr>
        <w:adjustRightInd w:val="0"/>
        <w:snapToGrid w:val="0"/>
        <w:spacing w:line="480" w:lineRule="atLeast"/>
        <w:ind w:left="0" w:firstLine="480" w:firstLineChars="200"/>
        <w:jc w:val="left"/>
        <w:rPr>
          <w:rFonts w:ascii="Cambria" w:hAnsi="Cambria"/>
          <w:color w:val="000000" w:themeColor="text1"/>
          <w:kern w:val="0"/>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（6）</w:t>
      </w:r>
      <w:r>
        <w:rPr>
          <w:rFonts w:hint="eastAsia" w:ascii="Cambria" w:hAnsi="Cambria"/>
          <w:color w:val="000000" w:themeColor="text1"/>
          <w:kern w:val="0"/>
          <w:sz w:val="24"/>
          <w:szCs w:val="24"/>
          <w:lang w:val="zh-CN"/>
          <w14:textFill>
            <w14:solidFill>
              <w14:schemeClr w14:val="tx1"/>
            </w14:solidFill>
          </w14:textFill>
        </w:rPr>
        <w:t>补充了加腋大板和型钢混凝土梁、柱及节点等的有关计算构造要求；</w:t>
      </w:r>
    </w:p>
    <w:p>
      <w:pPr>
        <w:adjustRightInd w:val="0"/>
        <w:snapToGrid w:val="0"/>
        <w:spacing w:line="480" w:lineRule="atLeast"/>
        <w:ind w:left="0" w:firstLine="480" w:firstLineChars="200"/>
        <w:jc w:val="left"/>
        <w:rPr>
          <w:rFonts w:ascii="Cambria" w:hAnsi="Cambria"/>
          <w:color w:val="000000" w:themeColor="text1"/>
          <w:kern w:val="0"/>
          <w:sz w:val="24"/>
          <w:szCs w:val="24"/>
          <w:lang w:val="zh-CN"/>
          <w14:textFill>
            <w14:solidFill>
              <w14:schemeClr w14:val="tx1"/>
            </w14:solidFill>
          </w14:textFill>
        </w:rPr>
      </w:pPr>
      <w:r>
        <w:rPr>
          <w:rFonts w:hint="eastAsia" w:ascii="Cambria" w:hAnsi="Cambria"/>
          <w:color w:val="000000" w:themeColor="text1"/>
          <w:kern w:val="0"/>
          <w:sz w:val="24"/>
          <w:szCs w:val="24"/>
          <w:lang w:val="zh-CN"/>
          <w14:textFill>
            <w14:solidFill>
              <w14:schemeClr w14:val="tx1"/>
            </w14:solidFill>
          </w14:textFill>
        </w:rPr>
        <w:t>（7）补充了型钢混凝土剪力墙和钢管柱的有关计算构造规定；</w:t>
      </w:r>
    </w:p>
    <w:p>
      <w:pPr>
        <w:adjustRightInd w:val="0"/>
        <w:snapToGrid w:val="0"/>
        <w:spacing w:line="480" w:lineRule="atLeast"/>
        <w:ind w:left="0" w:firstLine="480" w:firstLineChars="200"/>
        <w:jc w:val="left"/>
        <w:rPr>
          <w:rFonts w:ascii="Cambria" w:hAnsi="Cambria"/>
          <w:color w:val="000000" w:themeColor="text1"/>
          <w:sz w:val="24"/>
          <w:szCs w:val="24"/>
          <w:lang w:val="zh-CN"/>
          <w14:textFill>
            <w14:solidFill>
              <w14:schemeClr w14:val="tx1"/>
            </w14:solidFill>
          </w14:textFill>
        </w:rPr>
      </w:pPr>
      <w:r>
        <w:rPr>
          <w:rFonts w:hint="eastAsia" w:ascii="Cambria" w:hAnsi="Cambria"/>
          <w:color w:val="000000" w:themeColor="text1"/>
          <w:kern w:val="0"/>
          <w:sz w:val="24"/>
          <w:szCs w:val="24"/>
          <w:lang w:val="zh-CN"/>
          <w14:textFill>
            <w14:solidFill>
              <w14:schemeClr w14:val="tx1"/>
            </w14:solidFill>
          </w14:textFill>
        </w:rPr>
        <w:t>（8）补充了抗拔桩计算参数及底板位于岩层时的基础设计方法和龙岗岩溶发育地区的基础设计原则</w:t>
      </w:r>
      <w:r>
        <w:rPr>
          <w:rFonts w:hint="eastAsia" w:ascii="Cambria" w:hAnsi="Cambria"/>
          <w:color w:val="000000" w:themeColor="text1"/>
          <w:sz w:val="24"/>
          <w:szCs w:val="24"/>
          <w:lang w:val="zh-CN"/>
          <w14:textFill>
            <w14:solidFill>
              <w14:schemeClr w14:val="tx1"/>
            </w14:solidFill>
          </w14:textFill>
        </w:rPr>
        <w:t>。</w:t>
      </w:r>
    </w:p>
    <w:p>
      <w:pPr>
        <w:adjustRightInd w:val="0"/>
        <w:snapToGrid w:val="0"/>
        <w:spacing w:line="480" w:lineRule="atLeast"/>
        <w:ind w:left="0" w:firstLine="480" w:firstLineChars="200"/>
        <w:jc w:val="left"/>
        <w:rPr>
          <w:rFonts w:ascii="Cambria" w:hAnsi="Cambria"/>
          <w:color w:val="000000" w:themeColor="text1"/>
          <w:kern w:val="0"/>
          <w:sz w:val="24"/>
          <w:szCs w:val="24"/>
          <w:lang w:val="zh-CN"/>
          <w14:textFill>
            <w14:solidFill>
              <w14:schemeClr w14:val="tx1"/>
            </w14:solidFill>
          </w14:textFill>
        </w:rPr>
      </w:pPr>
      <w:r>
        <w:rPr>
          <w:rFonts w:hint="eastAsia" w:ascii="Cambria" w:hAnsi="Cambria"/>
          <w:color w:val="000000" w:themeColor="text1"/>
          <w:kern w:val="0"/>
          <w:sz w:val="24"/>
          <w:szCs w:val="24"/>
          <w:lang w:val="zh-CN"/>
          <w14:textFill>
            <w14:solidFill>
              <w14:schemeClr w14:val="tx1"/>
            </w14:solidFill>
          </w14:textFill>
        </w:rPr>
        <w:t>5.对下列问题进行了改进和调整：</w:t>
      </w:r>
    </w:p>
    <w:p>
      <w:pPr>
        <w:adjustRightInd w:val="0"/>
        <w:snapToGrid w:val="0"/>
        <w:spacing w:line="480" w:lineRule="atLeast"/>
        <w:ind w:left="0" w:firstLine="480" w:firstLineChars="200"/>
        <w:jc w:val="left"/>
        <w:rPr>
          <w:rFonts w:ascii="Cambria" w:hAnsi="Cambria"/>
          <w:color w:val="000000" w:themeColor="text1"/>
          <w:kern w:val="0"/>
          <w:sz w:val="24"/>
          <w:szCs w:val="24"/>
          <w:lang w:val="zh-CN"/>
          <w14:textFill>
            <w14:solidFill>
              <w14:schemeClr w14:val="tx1"/>
            </w14:solidFill>
          </w14:textFill>
        </w:rPr>
      </w:pPr>
      <w:r>
        <w:rPr>
          <w:rFonts w:hint="eastAsia" w:ascii="Cambria" w:hAnsi="Cambria"/>
          <w:color w:val="000000" w:themeColor="text1"/>
          <w:kern w:val="0"/>
          <w:sz w:val="24"/>
          <w:szCs w:val="24"/>
          <w:lang w:val="zh-CN"/>
          <w14:textFill>
            <w14:solidFill>
              <w14:schemeClr w14:val="tx1"/>
            </w14:solidFill>
          </w14:textFill>
        </w:rPr>
        <w:t>（1）取消结构扭转周期比的规定，提出结构以扭转为第一自振周期时的设计规定；</w:t>
      </w:r>
    </w:p>
    <w:p>
      <w:pPr>
        <w:adjustRightInd w:val="0"/>
        <w:snapToGrid w:val="0"/>
        <w:spacing w:line="480" w:lineRule="atLeast"/>
        <w:ind w:left="0" w:firstLine="480" w:firstLineChars="200"/>
        <w:jc w:val="left"/>
        <w:rPr>
          <w:rFonts w:ascii="Cambria" w:hAnsi="Cambria"/>
          <w:color w:val="000000" w:themeColor="text1"/>
          <w:kern w:val="0"/>
          <w:sz w:val="24"/>
          <w:szCs w:val="24"/>
          <w:lang w:val="zh-CN"/>
          <w14:textFill>
            <w14:solidFill>
              <w14:schemeClr w14:val="tx1"/>
            </w14:solidFill>
          </w14:textFill>
        </w:rPr>
      </w:pPr>
      <w:r>
        <w:rPr>
          <w:rFonts w:hint="eastAsia" w:ascii="Cambria" w:hAnsi="Cambria"/>
          <w:color w:val="000000" w:themeColor="text1"/>
          <w:kern w:val="0"/>
          <w:sz w:val="24"/>
          <w:szCs w:val="24"/>
          <w:lang w:val="zh-CN"/>
          <w14:textFill>
            <w14:solidFill>
              <w14:schemeClr w14:val="tx1"/>
            </w14:solidFill>
          </w14:textFill>
        </w:rPr>
        <w:t>（2）细化了结构扭转位移比的有关规定；</w:t>
      </w:r>
    </w:p>
    <w:p>
      <w:pPr>
        <w:adjustRightInd w:val="0"/>
        <w:snapToGrid w:val="0"/>
        <w:spacing w:line="480" w:lineRule="atLeast"/>
        <w:ind w:left="0" w:firstLine="480" w:firstLineChars="200"/>
        <w:jc w:val="left"/>
        <w:rPr>
          <w:rFonts w:ascii="Cambria" w:hAnsi="Cambria"/>
          <w:color w:val="000000" w:themeColor="text1"/>
          <w:kern w:val="0"/>
          <w:sz w:val="24"/>
          <w:szCs w:val="24"/>
          <w:lang w:val="zh-CN"/>
          <w14:textFill>
            <w14:solidFill>
              <w14:schemeClr w14:val="tx1"/>
            </w14:solidFill>
          </w14:textFill>
        </w:rPr>
      </w:pPr>
      <w:r>
        <w:rPr>
          <w:rFonts w:hint="eastAsia" w:ascii="Cambria" w:hAnsi="Cambria"/>
          <w:color w:val="000000" w:themeColor="text1"/>
          <w:kern w:val="0"/>
          <w:sz w:val="24"/>
          <w:szCs w:val="24"/>
          <w:lang w:val="zh-CN"/>
          <w14:textFill>
            <w14:solidFill>
              <w14:schemeClr w14:val="tx1"/>
            </w14:solidFill>
          </w14:textFill>
        </w:rPr>
        <w:t>（3）修改了结构风荷载作用下的水平位移限值；</w:t>
      </w:r>
    </w:p>
    <w:p>
      <w:pPr>
        <w:adjustRightInd w:val="0"/>
        <w:snapToGrid w:val="0"/>
        <w:spacing w:line="480" w:lineRule="atLeast"/>
        <w:ind w:left="0" w:firstLine="480" w:firstLineChars="200"/>
        <w:jc w:val="left"/>
        <w:rPr>
          <w:color w:val="000000" w:themeColor="text1"/>
          <w:sz w:val="24"/>
          <w:szCs w:val="24"/>
          <w:lang w:val="zh-CN"/>
          <w14:textFill>
            <w14:solidFill>
              <w14:schemeClr w14:val="tx1"/>
            </w14:solidFill>
          </w14:textFill>
        </w:rPr>
      </w:pPr>
      <w:r>
        <w:rPr>
          <w:rFonts w:hint="eastAsia" w:ascii="Cambria" w:hAnsi="Cambria"/>
          <w:color w:val="000000" w:themeColor="text1"/>
          <w:kern w:val="0"/>
          <w:sz w:val="24"/>
          <w:szCs w:val="24"/>
          <w:lang w:val="zh-CN"/>
          <w14:textFill>
            <w14:solidFill>
              <w14:schemeClr w14:val="tx1"/>
            </w14:solidFill>
          </w14:textFill>
        </w:rPr>
        <w:t>（4）</w:t>
      </w:r>
      <w:r>
        <w:rPr>
          <w:rFonts w:hint="eastAsia"/>
          <w:color w:val="000000" w:themeColor="text1"/>
          <w:sz w:val="24"/>
          <w:szCs w:val="24"/>
          <w:lang w:val="zh-CN"/>
          <w14:textFill>
            <w14:solidFill>
              <w14:schemeClr w14:val="tx1"/>
            </w14:solidFill>
          </w14:textFill>
        </w:rPr>
        <w:t>调整了剪力墙轴压比限值，</w:t>
      </w:r>
      <w:r>
        <w:rPr>
          <w:rFonts w:hint="eastAsia" w:ascii="Cambria" w:hAnsi="Cambria"/>
          <w:color w:val="000000" w:themeColor="text1"/>
          <w:kern w:val="0"/>
          <w:sz w:val="24"/>
          <w:szCs w:val="24"/>
          <w:lang w:val="zh-CN"/>
          <w14:textFill>
            <w14:solidFill>
              <w14:schemeClr w14:val="tx1"/>
            </w14:solidFill>
          </w14:textFill>
        </w:rPr>
        <w:t>补充了长肢剪力墙轴压比验算的有关规定。</w:t>
      </w:r>
    </w:p>
    <w:p>
      <w:pPr>
        <w:spacing w:line="360" w:lineRule="auto"/>
        <w:ind w:left="0" w:firstLine="480" w:firstLineChars="200"/>
        <w:rPr>
          <w:sz w:val="24"/>
          <w:highlight w:val="yellow"/>
        </w:rPr>
      </w:pPr>
      <w:r>
        <w:rPr>
          <w:rFonts w:hint="eastAsia"/>
          <w:sz w:val="24"/>
        </w:rPr>
        <w:t>本标准由深圳市XXXXXX局提出并业务归口，深圳市住房和建设局批准发布。</w:t>
      </w:r>
      <w:r>
        <w:rPr>
          <w:rFonts w:hint="eastAsia" w:ascii="Cambria" w:hAnsi="Cambria"/>
          <w:bCs/>
          <w:color w:val="000000" w:themeColor="text1"/>
          <w:kern w:val="0"/>
          <w:sz w:val="24"/>
          <w:szCs w:val="24"/>
          <w:lang w:val="zh-CN"/>
          <w14:textFill>
            <w14:solidFill>
              <w14:schemeClr w14:val="tx1"/>
            </w14:solidFill>
          </w14:textFill>
        </w:rPr>
        <w:t>深圳市力鹏工程结构技术有限公司</w:t>
      </w:r>
      <w:r>
        <w:rPr>
          <w:rFonts w:hint="eastAsia"/>
          <w:sz w:val="24"/>
        </w:rPr>
        <w:t>负责具体技术内容的解释。</w:t>
      </w:r>
      <w:r>
        <w:rPr>
          <w:sz w:val="24"/>
        </w:rPr>
        <w:t>本</w:t>
      </w:r>
      <w:r>
        <w:rPr>
          <w:rFonts w:hint="eastAsia"/>
          <w:sz w:val="24"/>
        </w:rPr>
        <w:t>标准</w:t>
      </w:r>
      <w:r>
        <w:rPr>
          <w:sz w:val="24"/>
        </w:rPr>
        <w:t>在执行过程中如发现需要修改和补充之处，请将意见和有关资料寄送</w:t>
      </w:r>
      <w:r>
        <w:rPr>
          <w:rFonts w:hint="eastAsia" w:ascii="Cambria" w:hAnsi="Cambria"/>
          <w:bCs/>
          <w:color w:val="000000" w:themeColor="text1"/>
          <w:kern w:val="0"/>
          <w:sz w:val="24"/>
          <w:szCs w:val="24"/>
          <w:lang w:val="zh-CN"/>
          <w14:textFill>
            <w14:solidFill>
              <w14:schemeClr w14:val="tx1"/>
            </w14:solidFill>
          </w14:textFill>
        </w:rPr>
        <w:t>深圳市力鹏工程结构技术有限公司</w:t>
      </w:r>
      <w:r>
        <w:rPr>
          <w:sz w:val="24"/>
        </w:rPr>
        <w:t>（</w:t>
      </w:r>
      <w:r>
        <w:rPr>
          <w:rFonts w:hint="eastAsia"/>
          <w:sz w:val="24"/>
        </w:rPr>
        <w:t>地址：</w:t>
      </w:r>
      <w:r>
        <w:rPr>
          <w:rFonts w:hint="eastAsia" w:ascii="Cambria" w:hAnsi="Cambria"/>
          <w:bCs/>
          <w:color w:val="000000" w:themeColor="text1"/>
          <w:kern w:val="0"/>
          <w:sz w:val="24"/>
          <w:szCs w:val="24"/>
          <w:lang w:val="zh-CN"/>
          <w14:textFill>
            <w14:solidFill>
              <w14:schemeClr w14:val="tx1"/>
            </w14:solidFill>
          </w14:textFill>
        </w:rPr>
        <w:t>深圳市福田区明华大厦3楼</w:t>
      </w:r>
      <w:r>
        <w:rPr>
          <w:rFonts w:hint="eastAsia"/>
          <w:sz w:val="24"/>
        </w:rPr>
        <w:t>，邮编：</w:t>
      </w:r>
      <w:r>
        <w:rPr>
          <w:rFonts w:hint="eastAsia" w:ascii="Cambria" w:hAnsi="Cambria"/>
          <w:bCs/>
          <w:color w:val="000000" w:themeColor="text1"/>
          <w:kern w:val="0"/>
          <w:sz w:val="24"/>
          <w:szCs w:val="24"/>
          <w:lang w:val="zh-CN"/>
          <w14:textFill>
            <w14:solidFill>
              <w14:schemeClr w14:val="tx1"/>
            </w14:solidFill>
          </w14:textFill>
        </w:rPr>
        <w:t>518034</w:t>
      </w:r>
      <w:r>
        <w:rPr>
          <w:rFonts w:hint="eastAsia"/>
          <w:sz w:val="24"/>
        </w:rPr>
        <w:t>，联系方式：</w:t>
      </w:r>
      <w:r>
        <w:rPr>
          <w:rFonts w:hint="eastAsia" w:ascii="Cambria" w:hAnsi="Cambria"/>
          <w:bCs/>
          <w:color w:val="000000" w:themeColor="text1"/>
          <w:kern w:val="0"/>
          <w:sz w:val="24"/>
          <w:szCs w:val="24"/>
          <w:lang w:val="zh-CN"/>
          <w14:textFill>
            <w14:solidFill>
              <w14:schemeClr w14:val="tx1"/>
            </w14:solidFill>
          </w14:textFill>
        </w:rPr>
        <w:t>许璇、武晶晶，E-mail:szkzzn@126.com</w:t>
      </w:r>
      <w:r>
        <w:rPr>
          <w:sz w:val="24"/>
        </w:rPr>
        <w:t>），以供今后修订时参考。</w:t>
      </w:r>
    </w:p>
    <w:p>
      <w:pPr>
        <w:spacing w:line="480" w:lineRule="atLeast"/>
        <w:ind w:left="0" w:firstLine="480" w:firstLineChars="200"/>
        <w:rPr>
          <w:rFonts w:ascii="Cambria" w:hAnsi="Cambria"/>
          <w:bCs/>
          <w:color w:val="000000" w:themeColor="text1"/>
          <w:kern w:val="0"/>
          <w:sz w:val="24"/>
          <w:szCs w:val="24"/>
          <w:lang w:val="zh-CN"/>
          <w14:textFill>
            <w14:solidFill>
              <w14:schemeClr w14:val="tx1"/>
            </w14:solidFill>
          </w14:textFill>
        </w:rPr>
      </w:pPr>
      <w:r>
        <w:rPr>
          <w:rFonts w:hint="eastAsia" w:ascii="Cambria" w:hAnsi="Cambria"/>
          <w:bCs/>
          <w:color w:val="000000" w:themeColor="text1"/>
          <w:kern w:val="0"/>
          <w:sz w:val="24"/>
          <w:szCs w:val="24"/>
          <w:lang w:val="zh-CN"/>
          <w14:textFill>
            <w14:solidFill>
              <w14:schemeClr w14:val="tx1"/>
            </w14:solidFill>
          </w14:textFill>
        </w:rPr>
        <w:t>本标准主编单位：深圳市力鹏工程结构技术有限公司</w:t>
      </w:r>
    </w:p>
    <w:p>
      <w:pPr>
        <w:spacing w:line="480" w:lineRule="atLeast"/>
        <w:ind w:left="0" w:firstLine="480" w:firstLineChars="200"/>
        <w:rPr>
          <w:rFonts w:ascii="Cambria" w:hAnsi="Cambria"/>
          <w:bCs/>
          <w:color w:val="000000" w:themeColor="text1"/>
          <w:kern w:val="0"/>
          <w:sz w:val="24"/>
          <w:szCs w:val="24"/>
          <w:lang w:val="zh-CN"/>
          <w14:textFill>
            <w14:solidFill>
              <w14:schemeClr w14:val="tx1"/>
            </w14:solidFill>
          </w14:textFill>
        </w:rPr>
      </w:pPr>
      <w:r>
        <w:rPr>
          <w:rFonts w:hint="eastAsia" w:ascii="Cambria" w:hAnsi="Cambria"/>
          <w:bCs/>
          <w:color w:val="000000" w:themeColor="text1"/>
          <w:kern w:val="0"/>
          <w:sz w:val="24"/>
          <w:szCs w:val="24"/>
          <w:lang w:val="zh-CN"/>
          <w14:textFill>
            <w14:solidFill>
              <w14:schemeClr w14:val="tx1"/>
            </w14:solidFill>
          </w14:textFill>
        </w:rPr>
        <w:t xml:space="preserve">          </w:t>
      </w:r>
      <w:r>
        <w:rPr>
          <w:rFonts w:ascii="Cambria" w:hAnsi="Cambria"/>
          <w:bCs/>
          <w:color w:val="000000" w:themeColor="text1"/>
          <w:kern w:val="0"/>
          <w:sz w:val="24"/>
          <w:szCs w:val="24"/>
          <w:lang w:val="zh-CN"/>
          <w14:textFill>
            <w14:solidFill>
              <w14:schemeClr w14:val="tx1"/>
            </w14:solidFill>
          </w14:textFill>
        </w:rPr>
        <w:t xml:space="preserve">      </w:t>
      </w:r>
      <w:r>
        <w:rPr>
          <w:rFonts w:hint="eastAsia" w:ascii="Cambria" w:hAnsi="Cambria"/>
          <w:bCs/>
          <w:color w:val="000000" w:themeColor="text1"/>
          <w:kern w:val="0"/>
          <w:sz w:val="24"/>
          <w:szCs w:val="24"/>
          <w:lang w:val="zh-CN"/>
          <w14:textFill>
            <w14:solidFill>
              <w14:schemeClr w14:val="tx1"/>
            </w14:solidFill>
          </w14:textFill>
        </w:rPr>
        <w:t>深圳市建筑设计研究总院有限公司</w:t>
      </w:r>
    </w:p>
    <w:p>
      <w:pPr>
        <w:spacing w:line="480" w:lineRule="atLeast"/>
        <w:ind w:left="0" w:firstLine="480" w:firstLineChars="200"/>
        <w:rPr>
          <w:rFonts w:ascii="Cambria" w:hAnsi="Cambria"/>
          <w:bCs/>
          <w:color w:val="000000" w:themeColor="text1"/>
          <w:kern w:val="0"/>
          <w:sz w:val="24"/>
          <w:szCs w:val="24"/>
          <w:lang w:val="zh-CN"/>
          <w14:textFill>
            <w14:solidFill>
              <w14:schemeClr w14:val="tx1"/>
            </w14:solidFill>
          </w14:textFill>
        </w:rPr>
      </w:pPr>
      <w:r>
        <w:rPr>
          <w:rFonts w:hint="eastAsia" w:ascii="Cambria" w:hAnsi="Cambria"/>
          <w:bCs/>
          <w:color w:val="000000" w:themeColor="text1"/>
          <w:kern w:val="0"/>
          <w:sz w:val="24"/>
          <w:szCs w:val="24"/>
          <w:lang w:val="zh-CN"/>
          <w14:textFill>
            <w14:solidFill>
              <w14:schemeClr w14:val="tx1"/>
            </w14:solidFill>
          </w14:textFill>
        </w:rPr>
        <w:t xml:space="preserve">          </w:t>
      </w:r>
      <w:r>
        <w:rPr>
          <w:rFonts w:ascii="Cambria" w:hAnsi="Cambria"/>
          <w:bCs/>
          <w:color w:val="000000" w:themeColor="text1"/>
          <w:kern w:val="0"/>
          <w:sz w:val="24"/>
          <w:szCs w:val="24"/>
          <w:lang w:val="zh-CN"/>
          <w14:textFill>
            <w14:solidFill>
              <w14:schemeClr w14:val="tx1"/>
            </w14:solidFill>
          </w14:textFill>
        </w:rPr>
        <w:t xml:space="preserve">      </w:t>
      </w:r>
      <w:r>
        <w:rPr>
          <w:rFonts w:hint="eastAsia" w:ascii="Cambria" w:hAnsi="Cambria"/>
          <w:bCs/>
          <w:color w:val="000000" w:themeColor="text1"/>
          <w:kern w:val="0"/>
          <w:sz w:val="24"/>
          <w:szCs w:val="24"/>
          <w:lang w:val="zh-CN"/>
          <w14:textFill>
            <w14:solidFill>
              <w14:schemeClr w14:val="tx1"/>
            </w14:solidFill>
          </w14:textFill>
        </w:rPr>
        <w:t>奥意建筑工程设计有限公司</w:t>
      </w:r>
    </w:p>
    <w:p>
      <w:pPr>
        <w:spacing w:line="480" w:lineRule="atLeast"/>
        <w:ind w:left="0" w:firstLine="480" w:firstLineChars="200"/>
        <w:rPr>
          <w:rFonts w:ascii="宋体" w:hAnsi="宋体" w:eastAsiaTheme="minorEastAsia" w:cstheme="minorBidi"/>
          <w:color w:val="000000" w:themeColor="text1"/>
          <w:sz w:val="24"/>
          <w:szCs w:val="24"/>
          <w14:textFill>
            <w14:solidFill>
              <w14:schemeClr w14:val="tx1"/>
            </w14:solidFill>
          </w14:textFill>
        </w:rPr>
      </w:pPr>
      <w:r>
        <w:rPr>
          <w:rFonts w:hint="eastAsia" w:ascii="Cambria" w:hAnsi="Cambria"/>
          <w:bCs/>
          <w:color w:val="000000" w:themeColor="text1"/>
          <w:kern w:val="0"/>
          <w:sz w:val="24"/>
          <w:szCs w:val="24"/>
          <w:lang w:val="zh-CN"/>
          <w14:textFill>
            <w14:solidFill>
              <w14:schemeClr w14:val="tx1"/>
            </w14:solidFill>
          </w14:textFill>
        </w:rPr>
        <w:t xml:space="preserve">          </w:t>
      </w:r>
      <w:r>
        <w:rPr>
          <w:rFonts w:ascii="Cambria" w:hAnsi="Cambria"/>
          <w:bCs/>
          <w:color w:val="000000" w:themeColor="text1"/>
          <w:kern w:val="0"/>
          <w:sz w:val="24"/>
          <w:szCs w:val="24"/>
          <w:lang w:val="zh-CN"/>
          <w14:textFill>
            <w14:solidFill>
              <w14:schemeClr w14:val="tx1"/>
            </w14:solidFill>
          </w14:textFill>
        </w:rPr>
        <w:t xml:space="preserve">      </w:t>
      </w:r>
      <w:r>
        <w:rPr>
          <w:rFonts w:hint="eastAsia" w:ascii="Cambria" w:hAnsi="Cambria"/>
          <w:bCs/>
          <w:color w:val="000000" w:themeColor="text1"/>
          <w:kern w:val="0"/>
          <w:sz w:val="24"/>
          <w:szCs w:val="24"/>
          <w:lang w:val="zh-CN"/>
          <w14:textFill>
            <w14:solidFill>
              <w14:schemeClr w14:val="tx1"/>
            </w14:solidFill>
          </w14:textFill>
        </w:rPr>
        <w:t>深圳华森建筑与工程设计顾问</w:t>
      </w:r>
      <w:r>
        <w:rPr>
          <w:rFonts w:hint="eastAsia" w:ascii="宋体" w:hAnsi="宋体" w:eastAsiaTheme="minorEastAsia" w:cstheme="minorBidi"/>
          <w:color w:val="000000" w:themeColor="text1"/>
          <w:sz w:val="24"/>
          <w:szCs w:val="24"/>
          <w14:textFill>
            <w14:solidFill>
              <w14:schemeClr w14:val="tx1"/>
            </w14:solidFill>
          </w14:textFill>
        </w:rPr>
        <w:t>有限公司</w:t>
      </w:r>
    </w:p>
    <w:p>
      <w:pPr>
        <w:adjustRightInd w:val="0"/>
        <w:snapToGrid w:val="0"/>
        <w:spacing w:line="480" w:lineRule="atLeast"/>
        <w:ind w:left="0" w:firstLine="480" w:firstLineChars="200"/>
        <w:jc w:val="left"/>
        <w:rPr>
          <w:rFonts w:asciiTheme="minorEastAsia" w:hAnsiTheme="minorEastAsia" w:eastAsiaTheme="minorEastAsia"/>
          <w:bCs/>
          <w:color w:val="000000" w:themeColor="text1"/>
          <w:kern w:val="0"/>
          <w:sz w:val="24"/>
          <w:szCs w:val="24"/>
          <w:lang w:val="zh-CN"/>
          <w14:textFill>
            <w14:solidFill>
              <w14:schemeClr w14:val="tx1"/>
            </w14:solidFill>
          </w14:textFill>
        </w:rPr>
      </w:pPr>
      <w:r>
        <w:rPr>
          <w:rFonts w:hint="eastAsia" w:asciiTheme="minorEastAsia" w:hAnsiTheme="minorEastAsia" w:eastAsiaTheme="minorEastAsia"/>
          <w:bCs/>
          <w:color w:val="000000" w:themeColor="text1"/>
          <w:kern w:val="0"/>
          <w:sz w:val="24"/>
          <w:szCs w:val="24"/>
          <w:lang w:val="zh-CN"/>
          <w14:textFill>
            <w14:solidFill>
              <w14:schemeClr w14:val="tx1"/>
            </w14:solidFill>
          </w14:textFill>
        </w:rPr>
        <w:t>本标准参编单位：</w:t>
      </w:r>
      <w:r>
        <w:rPr>
          <w:rFonts w:hint="eastAsia" w:asciiTheme="minorHAnsi" w:hAnsiTheme="minorHAnsi" w:eastAsiaTheme="minorEastAsia" w:cstheme="minorBidi"/>
          <w:color w:val="000000" w:themeColor="text1"/>
          <w:sz w:val="24"/>
          <w:szCs w:val="24"/>
          <w14:textFill>
            <w14:solidFill>
              <w14:schemeClr w14:val="tx1"/>
            </w14:solidFill>
          </w14:textFill>
        </w:rPr>
        <w:t>悉地国际设计顾问（深圳）有限公司</w:t>
      </w:r>
    </w:p>
    <w:p>
      <w:pPr>
        <w:spacing w:line="480" w:lineRule="atLeast"/>
        <w:ind w:left="0" w:firstLine="480" w:firstLineChars="200"/>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Theme="minorHAnsi" w:hAnsiTheme="minorHAnsi" w:eastAsiaTheme="minorEastAsia" w:cstheme="minorBidi"/>
          <w:color w:val="000000" w:themeColor="text1"/>
          <w:sz w:val="24"/>
          <w:szCs w:val="24"/>
          <w14:textFill>
            <w14:solidFill>
              <w14:schemeClr w14:val="tx1"/>
            </w14:solidFill>
          </w14:textFill>
        </w:rPr>
        <w:t xml:space="preserve">          </w:t>
      </w:r>
      <w:r>
        <w:rPr>
          <w:rFonts w:asciiTheme="minorHAnsi" w:hAnsiTheme="minorHAnsi" w:eastAsiaTheme="minorEastAsia" w:cstheme="minorBidi"/>
          <w:color w:val="000000" w:themeColor="text1"/>
          <w:sz w:val="24"/>
          <w:szCs w:val="24"/>
          <w14:textFill>
            <w14:solidFill>
              <w14:schemeClr w14:val="tx1"/>
            </w14:solidFill>
          </w14:textFill>
        </w:rPr>
        <w:t xml:space="preserve">      </w:t>
      </w:r>
      <w:r>
        <w:rPr>
          <w:rFonts w:hint="eastAsia" w:asciiTheme="minorHAnsi" w:hAnsiTheme="minorHAnsi" w:eastAsiaTheme="minorEastAsia" w:cstheme="minorBidi"/>
          <w:color w:val="000000" w:themeColor="text1"/>
          <w:sz w:val="24"/>
          <w:szCs w:val="24"/>
          <w14:textFill>
            <w14:solidFill>
              <w14:schemeClr w14:val="tx1"/>
            </w14:solidFill>
          </w14:textFill>
        </w:rPr>
        <w:t>深圳大学建筑设计研究院有限公司</w:t>
      </w:r>
    </w:p>
    <w:p>
      <w:pPr>
        <w:spacing w:line="480" w:lineRule="atLeast"/>
        <w:ind w:left="0" w:firstLine="480" w:firstLineChars="200"/>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Theme="minorHAnsi" w:hAnsiTheme="minorHAnsi" w:eastAsiaTheme="minorEastAsia" w:cstheme="minorBidi"/>
          <w:color w:val="000000" w:themeColor="text1"/>
          <w:sz w:val="24"/>
          <w:szCs w:val="24"/>
          <w14:textFill>
            <w14:solidFill>
              <w14:schemeClr w14:val="tx1"/>
            </w14:solidFill>
          </w14:textFill>
        </w:rPr>
        <w:t xml:space="preserve">          </w:t>
      </w:r>
      <w:r>
        <w:rPr>
          <w:rFonts w:asciiTheme="minorHAnsi" w:hAnsiTheme="minorHAnsi" w:eastAsiaTheme="minorEastAsia" w:cstheme="minorBidi"/>
          <w:color w:val="000000" w:themeColor="text1"/>
          <w:sz w:val="24"/>
          <w:szCs w:val="24"/>
          <w14:textFill>
            <w14:solidFill>
              <w14:schemeClr w14:val="tx1"/>
            </w14:solidFill>
          </w14:textFill>
        </w:rPr>
        <w:t xml:space="preserve">      </w:t>
      </w:r>
      <w:r>
        <w:rPr>
          <w:rFonts w:hint="eastAsia" w:asciiTheme="minorHAnsi" w:hAnsiTheme="minorHAnsi" w:eastAsiaTheme="minorEastAsia" w:cstheme="minorBidi"/>
          <w:color w:val="000000" w:themeColor="text1"/>
          <w:sz w:val="24"/>
          <w:szCs w:val="24"/>
          <w14:textFill>
            <w14:solidFill>
              <w14:schemeClr w14:val="tx1"/>
            </w14:solidFill>
          </w14:textFill>
        </w:rPr>
        <w:t>深圳机械院建筑设计有限公司</w:t>
      </w:r>
    </w:p>
    <w:p>
      <w:pPr>
        <w:spacing w:line="480" w:lineRule="atLeast"/>
        <w:ind w:left="0" w:firstLine="480" w:firstLineChars="200"/>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Theme="minorHAnsi" w:hAnsiTheme="minorHAnsi" w:eastAsiaTheme="minorEastAsia" w:cstheme="minorBidi"/>
          <w:color w:val="000000" w:themeColor="text1"/>
          <w:sz w:val="24"/>
          <w:szCs w:val="24"/>
          <w14:textFill>
            <w14:solidFill>
              <w14:schemeClr w14:val="tx1"/>
            </w14:solidFill>
          </w14:textFill>
        </w:rPr>
        <w:t xml:space="preserve">          </w:t>
      </w:r>
      <w:r>
        <w:rPr>
          <w:rFonts w:asciiTheme="minorHAnsi" w:hAnsiTheme="minorHAnsi" w:eastAsiaTheme="minorEastAsia" w:cstheme="minorBidi"/>
          <w:color w:val="000000" w:themeColor="text1"/>
          <w:sz w:val="24"/>
          <w:szCs w:val="24"/>
          <w14:textFill>
            <w14:solidFill>
              <w14:schemeClr w14:val="tx1"/>
            </w14:solidFill>
          </w14:textFill>
        </w:rPr>
        <w:t xml:space="preserve">      </w:t>
      </w:r>
      <w:r>
        <w:rPr>
          <w:rFonts w:hint="eastAsia" w:asciiTheme="minorHAnsi" w:hAnsiTheme="minorHAnsi" w:eastAsiaTheme="minorEastAsia" w:cstheme="minorBidi"/>
          <w:color w:val="000000" w:themeColor="text1"/>
          <w:sz w:val="24"/>
          <w:szCs w:val="24"/>
          <w14:textFill>
            <w14:solidFill>
              <w14:schemeClr w14:val="tx1"/>
            </w14:solidFill>
          </w14:textFill>
        </w:rPr>
        <w:t>深圳市华阳国际工程设计股份有限公司</w:t>
      </w:r>
    </w:p>
    <w:p>
      <w:pPr>
        <w:spacing w:line="480" w:lineRule="atLeast"/>
        <w:ind w:left="0" w:firstLine="480" w:firstLineChars="200"/>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Theme="minorHAnsi" w:hAnsiTheme="minorHAnsi" w:eastAsiaTheme="minorEastAsia" w:cstheme="minorBidi"/>
          <w:color w:val="000000" w:themeColor="text1"/>
          <w:sz w:val="24"/>
          <w:szCs w:val="24"/>
          <w14:textFill>
            <w14:solidFill>
              <w14:schemeClr w14:val="tx1"/>
            </w14:solidFill>
          </w14:textFill>
        </w:rPr>
        <w:t xml:space="preserve">          </w:t>
      </w:r>
      <w:r>
        <w:rPr>
          <w:rFonts w:asciiTheme="minorHAnsi" w:hAnsiTheme="minorHAnsi" w:eastAsiaTheme="minorEastAsia" w:cstheme="minorBidi"/>
          <w:color w:val="000000" w:themeColor="text1"/>
          <w:sz w:val="24"/>
          <w:szCs w:val="24"/>
          <w14:textFill>
            <w14:solidFill>
              <w14:schemeClr w14:val="tx1"/>
            </w14:solidFill>
          </w14:textFill>
        </w:rPr>
        <w:t xml:space="preserve">      </w:t>
      </w:r>
      <w:r>
        <w:rPr>
          <w:rFonts w:hint="eastAsia" w:asciiTheme="minorHAnsi" w:hAnsiTheme="minorHAnsi" w:eastAsiaTheme="minorEastAsia" w:cstheme="minorBidi"/>
          <w:color w:val="000000" w:themeColor="text1"/>
          <w:sz w:val="24"/>
          <w:szCs w:val="24"/>
          <w14:textFill>
            <w14:solidFill>
              <w14:schemeClr w14:val="tx1"/>
            </w14:solidFill>
          </w14:textFill>
        </w:rPr>
        <w:t>深圳华侨房地产有限公司</w:t>
      </w:r>
    </w:p>
    <w:p>
      <w:pPr>
        <w:spacing w:line="480" w:lineRule="atLeast"/>
        <w:ind w:left="0" w:firstLine="480" w:firstLineChars="200"/>
        <w:rPr>
          <w:rFonts w:ascii="宋体" w:hAnsi="宋体" w:eastAsiaTheme="minorEastAsia" w:cstheme="minorBidi"/>
          <w:color w:val="000000" w:themeColor="text1"/>
          <w:sz w:val="24"/>
          <w:szCs w:val="24"/>
          <w14:textFill>
            <w14:solidFill>
              <w14:schemeClr w14:val="tx1"/>
            </w14:solidFill>
          </w14:textFill>
        </w:rPr>
      </w:pPr>
      <w:r>
        <w:rPr>
          <w:rFonts w:hint="eastAsia" w:asciiTheme="minorHAnsi" w:hAnsiTheme="minorHAnsi" w:eastAsiaTheme="minorEastAsia" w:cstheme="minorBidi"/>
          <w:color w:val="000000" w:themeColor="text1"/>
          <w:sz w:val="24"/>
          <w:szCs w:val="24"/>
          <w14:textFill>
            <w14:solidFill>
              <w14:schemeClr w14:val="tx1"/>
            </w14:solidFill>
          </w14:textFill>
        </w:rPr>
        <w:t xml:space="preserve">          </w:t>
      </w:r>
      <w:r>
        <w:rPr>
          <w:rFonts w:asciiTheme="minorHAnsi" w:hAnsiTheme="minorHAnsi" w:eastAsiaTheme="minorEastAsia" w:cstheme="minorBidi"/>
          <w:color w:val="000000" w:themeColor="text1"/>
          <w:sz w:val="24"/>
          <w:szCs w:val="24"/>
          <w14:textFill>
            <w14:solidFill>
              <w14:schemeClr w14:val="tx1"/>
            </w14:solidFill>
          </w14:textFill>
        </w:rPr>
        <w:t xml:space="preserve">      </w:t>
      </w:r>
      <w:r>
        <w:rPr>
          <w:rFonts w:hint="eastAsia" w:asciiTheme="minorHAnsi" w:hAnsiTheme="minorHAnsi" w:eastAsiaTheme="minorEastAsia" w:cstheme="minorBidi"/>
          <w:color w:val="000000" w:themeColor="text1"/>
          <w:sz w:val="24"/>
          <w:szCs w:val="24"/>
          <w14:textFill>
            <w14:solidFill>
              <w14:schemeClr w14:val="tx1"/>
            </w14:solidFill>
          </w14:textFill>
        </w:rPr>
        <w:t>深</w:t>
      </w:r>
      <w:r>
        <w:rPr>
          <w:rFonts w:hint="eastAsia" w:ascii="宋体" w:hAnsi="宋体" w:eastAsiaTheme="minorEastAsia" w:cstheme="minorBidi"/>
          <w:color w:val="000000" w:themeColor="text1"/>
          <w:sz w:val="24"/>
          <w:szCs w:val="24"/>
          <w14:textFill>
            <w14:solidFill>
              <w14:schemeClr w14:val="tx1"/>
            </w14:solidFill>
          </w14:textFill>
        </w:rPr>
        <w:t>圳市勘察研究院有限公司</w:t>
      </w:r>
    </w:p>
    <w:p>
      <w:pPr>
        <w:spacing w:line="480" w:lineRule="atLeast"/>
        <w:ind w:left="0" w:firstLine="480" w:firstLineChars="200"/>
        <w:rPr>
          <w:rFonts w:ascii="宋体" w:hAnsi="宋体" w:cs="宋体" w:eastAsiaTheme="minorEastAsia"/>
          <w:color w:val="000000" w:themeColor="text1"/>
          <w:kern w:val="0"/>
          <w:sz w:val="24"/>
          <w:szCs w:val="24"/>
          <w14:textFill>
            <w14:solidFill>
              <w14:schemeClr w14:val="tx1"/>
            </w14:solidFill>
          </w14:textFill>
        </w:rPr>
      </w:pPr>
      <w:r>
        <w:rPr>
          <w:rFonts w:hint="eastAsia" w:ascii="宋体" w:hAnsi="宋体" w:cs="宋体" w:eastAsiaTheme="minorEastAsia"/>
          <w:color w:val="000000" w:themeColor="text1"/>
          <w:kern w:val="0"/>
          <w:sz w:val="24"/>
          <w:szCs w:val="24"/>
          <w14:textFill>
            <w14:solidFill>
              <w14:schemeClr w14:val="tx1"/>
            </w14:solidFill>
          </w14:textFill>
        </w:rPr>
        <w:t xml:space="preserve">          </w:t>
      </w:r>
      <w:r>
        <w:rPr>
          <w:rFonts w:ascii="宋体" w:hAnsi="宋体" w:cs="宋体" w:eastAsiaTheme="minorEastAsia"/>
          <w:color w:val="000000" w:themeColor="text1"/>
          <w:kern w:val="0"/>
          <w:sz w:val="24"/>
          <w:szCs w:val="24"/>
          <w14:textFill>
            <w14:solidFill>
              <w14:schemeClr w14:val="tx1"/>
            </w14:solidFill>
          </w14:textFill>
        </w:rPr>
        <w:t xml:space="preserve">      </w:t>
      </w:r>
      <w:r>
        <w:rPr>
          <w:rFonts w:hint="eastAsia" w:ascii="宋体" w:hAnsi="宋体" w:cs="宋体" w:eastAsiaTheme="minorEastAsia"/>
          <w:color w:val="000000" w:themeColor="text1"/>
          <w:kern w:val="0"/>
          <w:sz w:val="24"/>
          <w:szCs w:val="24"/>
          <w14:textFill>
            <w14:solidFill>
              <w14:schemeClr w14:val="tx1"/>
            </w14:solidFill>
          </w14:textFill>
        </w:rPr>
        <w:t>香港华艺设计顾问（深圳）有限公司</w:t>
      </w:r>
    </w:p>
    <w:p>
      <w:pPr>
        <w:spacing w:line="360" w:lineRule="auto"/>
        <w:ind w:left="0" w:firstLine="480" w:firstLineChars="200"/>
        <w:rPr>
          <w:sz w:val="24"/>
        </w:rPr>
      </w:pPr>
      <w:r>
        <w:rPr>
          <w:rFonts w:hint="eastAsia" w:ascii="宋体" w:hAnsi="宋体" w:cs="宋体" w:eastAsiaTheme="minorEastAsia"/>
          <w:color w:val="000000" w:themeColor="text1"/>
          <w:kern w:val="0"/>
          <w:sz w:val="24"/>
          <w:szCs w:val="24"/>
          <w14:textFill>
            <w14:solidFill>
              <w14:schemeClr w14:val="tx1"/>
            </w14:solidFill>
          </w14:textFill>
        </w:rPr>
        <w:t>主要起草人员：</w:t>
      </w:r>
      <w:r>
        <w:rPr>
          <w:rFonts w:hint="eastAsia"/>
          <w:sz w:val="24"/>
        </w:rPr>
        <w:t>本标准主要审查人员：</w:t>
      </w:r>
    </w:p>
    <w:p>
      <w:pPr>
        <w:spacing w:line="360" w:lineRule="auto"/>
        <w:ind w:left="0" w:firstLine="480" w:firstLineChars="200"/>
        <w:rPr>
          <w:sz w:val="24"/>
        </w:rPr>
      </w:pPr>
      <w:r>
        <w:rPr>
          <w:rFonts w:hint="eastAsia"/>
          <w:sz w:val="24"/>
        </w:rPr>
        <w:t>本标准业务归口单位主要指导人员：</w:t>
      </w:r>
    </w:p>
    <w:p>
      <w:pPr>
        <w:spacing w:line="480" w:lineRule="atLeast"/>
        <w:ind w:left="0" w:firstLine="480" w:firstLineChars="200"/>
        <w:rPr>
          <w:rFonts w:ascii="宋体" w:hAnsi="宋体" w:cs="宋体" w:eastAsiaTheme="minorEastAsia"/>
          <w:color w:val="000000" w:themeColor="text1"/>
          <w:kern w:val="0"/>
          <w:sz w:val="24"/>
          <w:szCs w:val="24"/>
          <w14:textFill>
            <w14:solidFill>
              <w14:schemeClr w14:val="tx1"/>
            </w14:solidFill>
          </w14:textFill>
        </w:rPr>
      </w:pPr>
      <w:r>
        <w:rPr>
          <w:rFonts w:hint="eastAsia" w:ascii="宋体" w:hAnsi="宋体" w:cs="宋体" w:eastAsiaTheme="minorEastAsia"/>
          <w:color w:val="000000" w:themeColor="text1"/>
          <w:kern w:val="0"/>
          <w:sz w:val="24"/>
          <w:szCs w:val="24"/>
          <w14:textFill>
            <w14:solidFill>
              <w14:schemeClr w14:val="tx1"/>
            </w14:solidFill>
          </w14:textFill>
        </w:rPr>
        <w:t xml:space="preserve">  </w:t>
      </w:r>
    </w:p>
    <w:p>
      <w:pPr>
        <w:spacing w:line="480" w:lineRule="atLeast"/>
        <w:ind w:left="0" w:firstLine="480" w:firstLineChars="200"/>
        <w:rPr>
          <w:rFonts w:ascii="宋体" w:hAnsi="宋体" w:cs="宋体" w:eastAsiaTheme="minorEastAsia"/>
          <w:color w:val="000000" w:themeColor="text1"/>
          <w:kern w:val="0"/>
          <w:sz w:val="24"/>
          <w:szCs w:val="24"/>
          <w14:textFill>
            <w14:solidFill>
              <w14:schemeClr w14:val="tx1"/>
            </w14:solidFill>
          </w14:textFill>
        </w:rPr>
        <w:sectPr>
          <w:pgSz w:w="11906" w:h="16838"/>
          <w:pgMar w:top="1440" w:right="1797" w:bottom="1440" w:left="1797" w:header="851" w:footer="992" w:gutter="0"/>
          <w:pgNumType w:start="1"/>
          <w:cols w:space="425" w:num="1"/>
          <w:docGrid w:type="linesAndChars" w:linePitch="312" w:charSpace="0"/>
        </w:sectPr>
      </w:pPr>
    </w:p>
    <w:p>
      <w:pPr>
        <w:spacing w:line="480" w:lineRule="atLeast"/>
        <w:ind w:left="0" w:firstLine="480" w:firstLineChars="200"/>
        <w:rPr>
          <w:rFonts w:ascii="宋体" w:hAnsi="宋体" w:cs="宋体" w:eastAsiaTheme="minorEastAsia"/>
          <w:color w:val="000000" w:themeColor="text1"/>
          <w:kern w:val="0"/>
          <w:sz w:val="24"/>
          <w:szCs w:val="24"/>
          <w14:textFill>
            <w14:solidFill>
              <w14:schemeClr w14:val="tx1"/>
            </w14:solidFill>
          </w14:textFill>
        </w:rPr>
      </w:pPr>
    </w:p>
    <w:p>
      <w:pPr>
        <w:pStyle w:val="57"/>
        <w:spacing w:before="0" w:line="240" w:lineRule="auto"/>
        <w:jc w:val="center"/>
        <w:rPr>
          <w:color w:val="000000" w:themeColor="text1"/>
          <w14:textFill>
            <w14:solidFill>
              <w14:schemeClr w14:val="tx1"/>
            </w14:solidFill>
          </w14:textFill>
        </w:rPr>
      </w:pPr>
      <w:r>
        <w:rPr>
          <w:color w:val="000000" w:themeColor="text1"/>
          <w:lang w:val="zh-CN"/>
          <w14:textFill>
            <w14:solidFill>
              <w14:schemeClr w14:val="tx1"/>
            </w14:solidFill>
          </w14:textFill>
        </w:rPr>
        <w:t>目</w:t>
      </w:r>
      <w:r>
        <w:rPr>
          <w:rFonts w:hint="eastAsia"/>
          <w:color w:val="000000" w:themeColor="text1"/>
          <w:lang w:val="zh-CN"/>
          <w14:textFill>
            <w14:solidFill>
              <w14:schemeClr w14:val="tx1"/>
            </w14:solidFill>
          </w14:textFill>
        </w:rPr>
        <w:t xml:space="preserve">          </w:t>
      </w:r>
      <w:r>
        <w:rPr>
          <w:color w:val="000000" w:themeColor="text1"/>
          <w:lang w:val="zh-CN"/>
          <w14:textFill>
            <w14:solidFill>
              <w14:schemeClr w14:val="tx1"/>
            </w14:solidFill>
          </w14:textFill>
        </w:rPr>
        <w:t>录</w:t>
      </w:r>
    </w:p>
    <w:p>
      <w:pPr>
        <w:pStyle w:val="18"/>
        <w:tabs>
          <w:tab w:val="left" w:pos="1260"/>
          <w:tab w:val="right" w:leader="dot" w:pos="8302"/>
        </w:tabs>
        <w:spacing w:before="0" w:after="0"/>
        <w:rPr>
          <w:b w:val="0"/>
          <w:bCs w:val="0"/>
          <w:caps w:val="0"/>
          <w:color w:val="000000" w:themeColor="text1"/>
          <w14:textFill>
            <w14:solidFill>
              <w14:schemeClr w14:val="tx1"/>
            </w14:solidFill>
          </w14:textFill>
        </w:rPr>
      </w:pPr>
    </w:p>
    <w:p>
      <w:pPr>
        <w:pStyle w:val="18"/>
        <w:tabs>
          <w:tab w:val="left" w:pos="1260"/>
          <w:tab w:val="right" w:leader="dot" w:pos="8302"/>
        </w:tabs>
        <w:rPr>
          <w:rFonts w:asciiTheme="minorHAnsi" w:hAnsiTheme="minorHAnsi" w:eastAsiaTheme="minorEastAsia" w:cstheme="minorBidi"/>
          <w:b w:val="0"/>
          <w:bCs w:val="0"/>
          <w:caps w:val="0"/>
          <w:color w:val="000000" w:themeColor="text1"/>
          <w:sz w:val="21"/>
          <w14:textFill>
            <w14:solidFill>
              <w14:schemeClr w14:val="tx1"/>
            </w14:solidFill>
          </w14:textFill>
        </w:rPr>
      </w:pPr>
      <w:r>
        <w:rPr>
          <w:b w:val="0"/>
          <w:bCs w:val="0"/>
          <w:caps w:val="0"/>
          <w:color w:val="000000" w:themeColor="text1"/>
          <w14:textFill>
            <w14:solidFill>
              <w14:schemeClr w14:val="tx1"/>
            </w14:solidFill>
          </w14:textFill>
        </w:rPr>
        <w:fldChar w:fldCharType="begin"/>
      </w:r>
      <w:r>
        <w:rPr>
          <w:b w:val="0"/>
          <w:bCs w:val="0"/>
          <w:caps w:val="0"/>
          <w:color w:val="000000" w:themeColor="text1"/>
          <w14:textFill>
            <w14:solidFill>
              <w14:schemeClr w14:val="tx1"/>
            </w14:solidFill>
          </w14:textFill>
        </w:rPr>
        <w:instrText xml:space="preserve"> TOC \o "1-2" \h \z \u </w:instrText>
      </w:r>
      <w:r>
        <w:rPr>
          <w:b w:val="0"/>
          <w:bCs w:val="0"/>
          <w:caps w:val="0"/>
          <w:color w:val="000000" w:themeColor="text1"/>
          <w14:textFill>
            <w14:solidFill>
              <w14:schemeClr w14:val="tx1"/>
            </w14:solidFill>
          </w14:textFill>
        </w:rPr>
        <w:fldChar w:fldCharType="separate"/>
      </w:r>
      <w:r>
        <w:fldChar w:fldCharType="begin"/>
      </w:r>
      <w:r>
        <w:instrText xml:space="preserve"> HYPERLINK \l "_Toc24714181" </w:instrText>
      </w:r>
      <w:r>
        <w:fldChar w:fldCharType="separate"/>
      </w:r>
      <w:r>
        <w:rPr>
          <w:rStyle w:val="37"/>
          <w:rFonts w:ascii="Times New Roman" w:hAnsi="Times New Roman"/>
          <w:color w:val="000000" w:themeColor="text1"/>
          <w14:textFill>
            <w14:solidFill>
              <w14:schemeClr w14:val="tx1"/>
            </w14:solidFill>
          </w14:textFill>
        </w:rPr>
        <w:t>1</w:t>
      </w:r>
      <w:r>
        <w:rPr>
          <w:rFonts w:asciiTheme="minorHAnsi" w:hAnsiTheme="minorHAnsi" w:eastAsiaTheme="minorEastAsia" w:cstheme="minorBidi"/>
          <w:b w:val="0"/>
          <w:bCs w:val="0"/>
          <w: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总</w:t>
      </w:r>
      <w:r>
        <w:rPr>
          <w:rStyle w:val="37"/>
          <w:color w:val="000000" w:themeColor="text1"/>
          <w14:textFill>
            <w14:solidFill>
              <w14:schemeClr w14:val="tx1"/>
            </w14:solidFill>
          </w14:textFill>
        </w:rPr>
        <w:t xml:space="preserve">    </w:t>
      </w:r>
      <w:r>
        <w:rPr>
          <w:rStyle w:val="37"/>
          <w:rFonts w:hint="eastAsia"/>
          <w:color w:val="000000" w:themeColor="text1"/>
          <w14:textFill>
            <w14:solidFill>
              <w14:schemeClr w14:val="tx1"/>
            </w14:solidFill>
          </w14:textFill>
        </w:rPr>
        <w:t>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8"/>
        <w:tabs>
          <w:tab w:val="left" w:pos="1260"/>
          <w:tab w:val="right" w:leader="dot" w:pos="8302"/>
        </w:tabs>
        <w:rPr>
          <w:rFonts w:asciiTheme="minorHAnsi" w:hAnsiTheme="minorHAnsi" w:eastAsiaTheme="minorEastAsia" w:cstheme="minorBidi"/>
          <w:b w:val="0"/>
          <w:bCs w:val="0"/>
          <w:caps w:val="0"/>
          <w:color w:val="000000" w:themeColor="text1"/>
          <w:sz w:val="21"/>
          <w14:textFill>
            <w14:solidFill>
              <w14:schemeClr w14:val="tx1"/>
            </w14:solidFill>
          </w14:textFill>
        </w:rPr>
      </w:pPr>
      <w:r>
        <w:fldChar w:fldCharType="begin"/>
      </w:r>
      <w:r>
        <w:instrText xml:space="preserve"> HYPERLINK \l "_Toc24714182" </w:instrText>
      </w:r>
      <w:r>
        <w:fldChar w:fldCharType="separate"/>
      </w:r>
      <w:r>
        <w:rPr>
          <w:rStyle w:val="37"/>
          <w:rFonts w:ascii="Times New Roman" w:hAnsi="Times New Roman"/>
          <w:color w:val="000000" w:themeColor="text1"/>
          <w14:textFill>
            <w14:solidFill>
              <w14:schemeClr w14:val="tx1"/>
            </w14:solidFill>
          </w14:textFill>
        </w:rPr>
        <w:t>2</w:t>
      </w:r>
      <w:r>
        <w:rPr>
          <w:rFonts w:asciiTheme="minorHAnsi" w:hAnsiTheme="minorHAnsi" w:eastAsiaTheme="minorEastAsia" w:cstheme="minorBidi"/>
          <w:b w:val="0"/>
          <w:bCs w:val="0"/>
          <w: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术语和符号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"_Toc24714183" </w:instrText>
      </w:r>
      <w:r>
        <w:fldChar w:fldCharType="separate"/>
      </w:r>
      <w:r>
        <w:rPr>
          <w:rStyle w:val="37"/>
          <w:rFonts w:ascii="Times New Roman" w:hAnsi="Times New Roman"/>
          <w:color w:val="000000" w:themeColor="text1"/>
          <w14:textFill>
            <w14:solidFill>
              <w14:schemeClr w14:val="tx1"/>
            </w14:solidFill>
          </w14:textFill>
        </w:rPr>
        <w:t>2.1</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术语</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"_Toc24714184" </w:instrText>
      </w:r>
      <w:r>
        <w:fldChar w:fldCharType="separate"/>
      </w:r>
      <w:r>
        <w:rPr>
          <w:rStyle w:val="37"/>
          <w:rFonts w:ascii="Times New Roman" w:hAnsi="Times New Roman"/>
          <w:color w:val="000000" w:themeColor="text1"/>
          <w14:textFill>
            <w14:solidFill>
              <w14:schemeClr w14:val="tx1"/>
            </w14:solidFill>
          </w14:textFill>
        </w:rPr>
        <w:t>2.2</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符号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8"/>
        <w:tabs>
          <w:tab w:val="left" w:pos="1260"/>
          <w:tab w:val="right" w:leader="dot" w:pos="8302"/>
        </w:tabs>
        <w:rPr>
          <w:rFonts w:asciiTheme="minorHAnsi" w:hAnsiTheme="minorHAnsi" w:eastAsiaTheme="minorEastAsia" w:cstheme="minorBidi"/>
          <w:b w:val="0"/>
          <w:bCs w:val="0"/>
          <w:caps w:val="0"/>
          <w:color w:val="000000" w:themeColor="text1"/>
          <w:sz w:val="21"/>
          <w14:textFill>
            <w14:solidFill>
              <w14:schemeClr w14:val="tx1"/>
            </w14:solidFill>
          </w14:textFill>
        </w:rPr>
      </w:pPr>
      <w:r>
        <w:fldChar w:fldCharType="begin"/>
      </w:r>
      <w:r>
        <w:instrText xml:space="preserve"> HYPERLINK \l "_Toc24714185" </w:instrText>
      </w:r>
      <w:r>
        <w:fldChar w:fldCharType="separate"/>
      </w:r>
      <w:r>
        <w:rPr>
          <w:rStyle w:val="37"/>
          <w:rFonts w:ascii="Times New Roman" w:hAnsi="Times New Roman"/>
          <w:color w:val="000000" w:themeColor="text1"/>
          <w14:textFill>
            <w14:solidFill>
              <w14:schemeClr w14:val="tx1"/>
            </w14:solidFill>
          </w14:textFill>
        </w:rPr>
        <w:t>3</w:t>
      </w:r>
      <w:r>
        <w:rPr>
          <w:rFonts w:asciiTheme="minorHAnsi" w:hAnsiTheme="minorHAnsi" w:eastAsiaTheme="minorEastAsia" w:cstheme="minorBidi"/>
          <w:b w:val="0"/>
          <w:bCs w:val="0"/>
          <w: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结构设计基本规定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"_Toc24714186" </w:instrText>
      </w:r>
      <w:r>
        <w:fldChar w:fldCharType="separate"/>
      </w:r>
      <w:r>
        <w:rPr>
          <w:rStyle w:val="37"/>
          <w:rFonts w:ascii="Times New Roman" w:hAnsi="Times New Roman"/>
          <w:color w:val="000000" w:themeColor="text1"/>
          <w14:textFill>
            <w14:solidFill>
              <w14:schemeClr w14:val="tx1"/>
            </w14:solidFill>
          </w14:textFill>
        </w:rPr>
        <w:t>3.1</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结构体系的一般规定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"_Toc24714187" </w:instrText>
      </w:r>
      <w:r>
        <w:fldChar w:fldCharType="separate"/>
      </w:r>
      <w:r>
        <w:rPr>
          <w:rStyle w:val="37"/>
          <w:rFonts w:ascii="Times New Roman" w:hAnsi="Times New Roman"/>
          <w:color w:val="000000" w:themeColor="text1"/>
          <w14:textFill>
            <w14:solidFill>
              <w14:schemeClr w14:val="tx1"/>
            </w14:solidFill>
          </w14:textFill>
        </w:rPr>
        <w:t>3.2</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结构布置及构件设计的一般原则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_Toc24714187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"_Toc24714188" </w:instrText>
      </w:r>
      <w:r>
        <w:fldChar w:fldCharType="separate"/>
      </w:r>
      <w:r>
        <w:rPr>
          <w:rStyle w:val="37"/>
          <w:rFonts w:ascii="Times New Roman" w:hAnsi="Times New Roman"/>
          <w:color w:val="000000" w:themeColor="text1"/>
          <w14:textFill>
            <w14:solidFill>
              <w14:schemeClr w14:val="tx1"/>
            </w14:solidFill>
          </w14:textFill>
        </w:rPr>
        <w:t>3.3</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房屋适用高度和高宽比</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"_Toc24714189" </w:instrText>
      </w:r>
      <w:r>
        <w:fldChar w:fldCharType="separate"/>
      </w:r>
      <w:r>
        <w:rPr>
          <w:rStyle w:val="37"/>
          <w:rFonts w:ascii="Times New Roman" w:hAnsi="Times New Roman"/>
          <w:color w:val="000000" w:themeColor="text1"/>
          <w14:textFill>
            <w14:solidFill>
              <w14:schemeClr w14:val="tx1"/>
            </w14:solidFill>
          </w14:textFill>
        </w:rPr>
        <w:t>3.4</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结构平面布置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"_Toc24714190" </w:instrText>
      </w:r>
      <w:r>
        <w:fldChar w:fldCharType="separate"/>
      </w:r>
      <w:r>
        <w:rPr>
          <w:rStyle w:val="37"/>
          <w:rFonts w:ascii="Times New Roman" w:hAnsi="Times New Roman"/>
          <w:color w:val="000000" w:themeColor="text1"/>
          <w14:textFill>
            <w14:solidFill>
              <w14:schemeClr w14:val="tx1"/>
            </w14:solidFill>
          </w14:textFill>
        </w:rPr>
        <w:t>3.5</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结构竖向布置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"_Toc24714191" </w:instrText>
      </w:r>
      <w:r>
        <w:fldChar w:fldCharType="separate"/>
      </w:r>
      <w:r>
        <w:rPr>
          <w:rStyle w:val="37"/>
          <w:rFonts w:ascii="Times New Roman" w:hAnsi="Times New Roman"/>
          <w:color w:val="000000" w:themeColor="text1"/>
          <w14:textFill>
            <w14:solidFill>
              <w14:schemeClr w14:val="tx1"/>
            </w14:solidFill>
          </w14:textFill>
        </w:rPr>
        <w:t>3.6</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楼盖结构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"_Toc24714192" </w:instrText>
      </w:r>
      <w:r>
        <w:fldChar w:fldCharType="separate"/>
      </w:r>
      <w:r>
        <w:rPr>
          <w:rStyle w:val="37"/>
          <w:rFonts w:ascii="Times New Roman" w:hAnsi="Times New Roman"/>
          <w:color w:val="000000" w:themeColor="text1"/>
          <w14:textFill>
            <w14:solidFill>
              <w14:schemeClr w14:val="tx1"/>
            </w14:solidFill>
          </w14:textFill>
        </w:rPr>
        <w:t>3.7</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水平位移限值和舒适度要求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_Toc24714192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"_Toc24714193" </w:instrText>
      </w:r>
      <w:r>
        <w:fldChar w:fldCharType="separate"/>
      </w:r>
      <w:r>
        <w:rPr>
          <w:rStyle w:val="37"/>
          <w:rFonts w:ascii="Times New Roman" w:hAnsi="Times New Roman"/>
          <w:color w:val="000000" w:themeColor="text1"/>
          <w14:textFill>
            <w14:solidFill>
              <w14:schemeClr w14:val="tx1"/>
            </w14:solidFill>
          </w14:textFill>
        </w:rPr>
        <w:t>3.8</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抗震等级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"_Toc24714194" </w:instrText>
      </w:r>
      <w:r>
        <w:fldChar w:fldCharType="separate"/>
      </w:r>
      <w:r>
        <w:rPr>
          <w:rStyle w:val="37"/>
          <w:rFonts w:ascii="Times New Roman" w:hAnsi="Times New Roman"/>
          <w:color w:val="000000" w:themeColor="text1"/>
          <w14:textFill>
            <w14:solidFill>
              <w14:schemeClr w14:val="tx1"/>
            </w14:solidFill>
          </w14:textFill>
        </w:rPr>
        <w:t>3.9</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墙柱轴压比</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8"/>
        <w:tabs>
          <w:tab w:val="left" w:pos="1260"/>
          <w:tab w:val="right" w:leader="dot" w:pos="8302"/>
        </w:tabs>
        <w:rPr>
          <w:rFonts w:asciiTheme="minorHAnsi" w:hAnsiTheme="minorHAnsi" w:eastAsiaTheme="minorEastAsia" w:cstheme="minorBidi"/>
          <w:b w:val="0"/>
          <w:bCs w:val="0"/>
          <w:caps w:val="0"/>
          <w:color w:val="000000" w:themeColor="text1"/>
          <w:sz w:val="21"/>
          <w14:textFill>
            <w14:solidFill>
              <w14:schemeClr w14:val="tx1"/>
            </w14:solidFill>
          </w14:textFill>
        </w:rPr>
      </w:pPr>
      <w:r>
        <w:fldChar w:fldCharType="begin"/>
      </w:r>
      <w:r>
        <w:instrText xml:space="preserve"> HYPERLINK \l "_Toc24714195" </w:instrText>
      </w:r>
      <w:r>
        <w:fldChar w:fldCharType="separate"/>
      </w:r>
      <w:r>
        <w:rPr>
          <w:rStyle w:val="37"/>
          <w:rFonts w:ascii="Times New Roman" w:hAnsi="Times New Roman"/>
          <w:color w:val="000000" w:themeColor="text1"/>
          <w14:textFill>
            <w14:solidFill>
              <w14:schemeClr w14:val="tx1"/>
            </w14:solidFill>
          </w14:textFill>
        </w:rPr>
        <w:t>4</w:t>
      </w:r>
      <w:r>
        <w:rPr>
          <w:rFonts w:asciiTheme="minorHAnsi" w:hAnsiTheme="minorHAnsi" w:eastAsiaTheme="minorEastAsia" w:cstheme="minorBidi"/>
          <w:b w:val="0"/>
          <w:bCs w:val="0"/>
          <w: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地震作用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8"/>
        <w:tabs>
          <w:tab w:val="left" w:pos="1260"/>
          <w:tab w:val="right" w:leader="dot" w:pos="8302"/>
        </w:tabs>
        <w:rPr>
          <w:rFonts w:asciiTheme="minorHAnsi" w:hAnsiTheme="minorHAnsi" w:eastAsiaTheme="minorEastAsia" w:cstheme="minorBidi"/>
          <w:b w:val="0"/>
          <w:bCs w:val="0"/>
          <w:caps w:val="0"/>
          <w:color w:val="000000" w:themeColor="text1"/>
          <w:sz w:val="21"/>
          <w14:textFill>
            <w14:solidFill>
              <w14:schemeClr w14:val="tx1"/>
            </w14:solidFill>
          </w14:textFill>
        </w:rPr>
      </w:pPr>
      <w:r>
        <w:fldChar w:fldCharType="begin"/>
      </w:r>
      <w:r>
        <w:instrText xml:space="preserve"> HYPERLINK \l "_Toc24714196" </w:instrText>
      </w:r>
      <w:r>
        <w:fldChar w:fldCharType="separate"/>
      </w:r>
      <w:r>
        <w:rPr>
          <w:rStyle w:val="37"/>
          <w:rFonts w:ascii="Times New Roman" w:hAnsi="Times New Roman"/>
          <w:color w:val="000000" w:themeColor="text1"/>
          <w14:textFill>
            <w14:solidFill>
              <w14:schemeClr w14:val="tx1"/>
            </w14:solidFill>
          </w14:textFill>
        </w:rPr>
        <w:t>5</w:t>
      </w:r>
      <w:r>
        <w:rPr>
          <w:rFonts w:asciiTheme="minorHAnsi" w:hAnsiTheme="minorHAnsi" w:eastAsiaTheme="minorEastAsia" w:cstheme="minorBidi"/>
          <w:b w:val="0"/>
          <w:bCs w:val="0"/>
          <w: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结构抗震性能设计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"_Toc24714197" </w:instrText>
      </w:r>
      <w:r>
        <w:fldChar w:fldCharType="separate"/>
      </w:r>
      <w:r>
        <w:rPr>
          <w:rStyle w:val="37"/>
          <w:rFonts w:ascii="Times New Roman" w:hAnsi="Times New Roman"/>
          <w:color w:val="000000" w:themeColor="text1"/>
          <w14:textFill>
            <w14:solidFill>
              <w14:schemeClr w14:val="tx1"/>
            </w14:solidFill>
          </w14:textFill>
        </w:rPr>
        <w:t>5.1</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一般规定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"_Toc24714198" </w:instrText>
      </w:r>
      <w:r>
        <w:fldChar w:fldCharType="separate"/>
      </w:r>
      <w:r>
        <w:rPr>
          <w:rStyle w:val="37"/>
          <w:rFonts w:ascii="Times New Roman" w:hAnsi="Times New Roman"/>
          <w:color w:val="000000" w:themeColor="text1"/>
          <w14:textFill>
            <w14:solidFill>
              <w14:schemeClr w14:val="tx1"/>
            </w14:solidFill>
          </w14:textFill>
        </w:rPr>
        <w:t>5.2</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结构抗震性能目标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8"/>
        <w:tabs>
          <w:tab w:val="left" w:pos="1260"/>
          <w:tab w:val="right" w:leader="dot" w:pos="8302"/>
        </w:tabs>
        <w:rPr>
          <w:rFonts w:asciiTheme="minorHAnsi" w:hAnsiTheme="minorHAnsi" w:eastAsiaTheme="minorEastAsia" w:cstheme="minorBidi"/>
          <w:b w:val="0"/>
          <w:bCs w:val="0"/>
          <w:caps w:val="0"/>
          <w:color w:val="000000" w:themeColor="text1"/>
          <w:sz w:val="21"/>
          <w14:textFill>
            <w14:solidFill>
              <w14:schemeClr w14:val="tx1"/>
            </w14:solidFill>
          </w14:textFill>
        </w:rPr>
      </w:pPr>
      <w:r>
        <w:fldChar w:fldCharType="begin"/>
      </w:r>
      <w:r>
        <w:instrText xml:space="preserve"> HYPERLINK \l "_Toc24714199" </w:instrText>
      </w:r>
      <w:r>
        <w:fldChar w:fldCharType="separate"/>
      </w:r>
      <w:r>
        <w:rPr>
          <w:rStyle w:val="37"/>
          <w:rFonts w:ascii="Times New Roman" w:hAnsi="Times New Roman"/>
          <w:color w:val="000000" w:themeColor="text1"/>
          <w14:textFill>
            <w14:solidFill>
              <w14:schemeClr w14:val="tx1"/>
            </w14:solidFill>
          </w14:textFill>
        </w:rPr>
        <w:t>6</w:t>
      </w:r>
      <w:r>
        <w:rPr>
          <w:rFonts w:asciiTheme="minorHAnsi" w:hAnsiTheme="minorHAnsi" w:eastAsiaTheme="minorEastAsia" w:cstheme="minorBidi"/>
          <w:b w:val="0"/>
          <w:bCs w:val="0"/>
          <w: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结构计算分析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_Toc24714199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"_Toc24714200" </w:instrText>
      </w:r>
      <w:r>
        <w:fldChar w:fldCharType="separate"/>
      </w:r>
      <w:r>
        <w:rPr>
          <w:rStyle w:val="37"/>
          <w:rFonts w:ascii="Times New Roman" w:hAnsi="Times New Roman"/>
          <w:color w:val="000000" w:themeColor="text1"/>
          <w14:textFill>
            <w14:solidFill>
              <w14:schemeClr w14:val="tx1"/>
            </w14:solidFill>
          </w14:textFill>
        </w:rPr>
        <w:t>6.1</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一般规定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"_Toc24714201" </w:instrText>
      </w:r>
      <w:r>
        <w:fldChar w:fldCharType="separate"/>
      </w:r>
      <w:r>
        <w:rPr>
          <w:rStyle w:val="37"/>
          <w:rFonts w:ascii="Times New Roman" w:hAnsi="Times New Roman"/>
          <w:color w:val="000000" w:themeColor="text1"/>
          <w14:textFill>
            <w14:solidFill>
              <w14:schemeClr w14:val="tx1"/>
            </w14:solidFill>
          </w14:textFill>
        </w:rPr>
        <w:t>6.2</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计算参数与计算模型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"_Toc24714202" </w:instrText>
      </w:r>
      <w:r>
        <w:fldChar w:fldCharType="separate"/>
      </w:r>
      <w:r>
        <w:rPr>
          <w:rStyle w:val="37"/>
          <w:rFonts w:ascii="Times New Roman" w:hAnsi="Times New Roman"/>
          <w:color w:val="000000" w:themeColor="text1"/>
          <w14:textFill>
            <w14:solidFill>
              <w14:schemeClr w14:val="tx1"/>
            </w14:solidFill>
          </w14:textFill>
        </w:rPr>
        <w:t>6.3</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剪力墙全截面受拉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"_Toc24714203" </w:instrText>
      </w:r>
      <w:r>
        <w:fldChar w:fldCharType="separate"/>
      </w:r>
      <w:r>
        <w:rPr>
          <w:rStyle w:val="37"/>
          <w:rFonts w:ascii="Times New Roman" w:hAnsi="Times New Roman"/>
          <w:color w:val="000000" w:themeColor="text1"/>
          <w14:textFill>
            <w14:solidFill>
              <w14:schemeClr w14:val="tx1"/>
            </w14:solidFill>
          </w14:textFill>
        </w:rPr>
        <w:t>6.4</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重力二阶效应及结构稳定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"_Toc24714204" </w:instrText>
      </w:r>
      <w:r>
        <w:fldChar w:fldCharType="separate"/>
      </w:r>
      <w:r>
        <w:rPr>
          <w:rStyle w:val="37"/>
          <w:rFonts w:ascii="Times New Roman" w:hAnsi="Times New Roman"/>
          <w:color w:val="000000" w:themeColor="text1"/>
          <w14:textFill>
            <w14:solidFill>
              <w14:schemeClr w14:val="tx1"/>
            </w14:solidFill>
          </w14:textFill>
        </w:rPr>
        <w:t>6.5</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弹性时程分析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"_Toc24714205" </w:instrText>
      </w:r>
      <w:r>
        <w:fldChar w:fldCharType="separate"/>
      </w:r>
      <w:r>
        <w:rPr>
          <w:rStyle w:val="37"/>
          <w:rFonts w:ascii="Times New Roman" w:hAnsi="Times New Roman"/>
          <w:color w:val="000000" w:themeColor="text1"/>
          <w14:textFill>
            <w14:solidFill>
              <w14:schemeClr w14:val="tx1"/>
            </w14:solidFill>
          </w14:textFill>
        </w:rPr>
        <w:t>6.6</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设防烈度地震作用下屈服判别</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"_Toc24714206" </w:instrText>
      </w:r>
      <w:r>
        <w:fldChar w:fldCharType="separate"/>
      </w:r>
      <w:r>
        <w:rPr>
          <w:rStyle w:val="37"/>
          <w:rFonts w:ascii="Times New Roman" w:hAnsi="Times New Roman"/>
          <w:color w:val="000000" w:themeColor="text1"/>
          <w14:textFill>
            <w14:solidFill>
              <w14:schemeClr w14:val="tx1"/>
            </w14:solidFill>
          </w14:textFill>
        </w:rPr>
        <w:t>6.7</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罕遇地震作用下静力推覆分析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"_Toc24714207" </w:instrText>
      </w:r>
      <w:r>
        <w:fldChar w:fldCharType="separate"/>
      </w:r>
      <w:r>
        <w:rPr>
          <w:rStyle w:val="37"/>
          <w:rFonts w:ascii="Times New Roman" w:hAnsi="Times New Roman"/>
          <w:color w:val="000000" w:themeColor="text1"/>
          <w14:textFill>
            <w14:solidFill>
              <w14:schemeClr w14:val="tx1"/>
            </w14:solidFill>
          </w14:textFill>
        </w:rPr>
        <w:t>6.8</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罕遇地震作用下动力弹塑性时程分析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"_Toc24714208" </w:instrText>
      </w:r>
      <w:r>
        <w:fldChar w:fldCharType="separate"/>
      </w:r>
      <w:r>
        <w:rPr>
          <w:rStyle w:val="37"/>
          <w:rFonts w:ascii="Times New Roman" w:hAnsi="Times New Roman"/>
          <w:color w:val="000000" w:themeColor="text1"/>
          <w14:textFill>
            <w14:solidFill>
              <w14:schemeClr w14:val="tx1"/>
            </w14:solidFill>
          </w14:textFill>
        </w:rPr>
        <w:t>6.9</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罕遇地震作用下等效弹性分析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8"/>
        <w:tabs>
          <w:tab w:val="left" w:pos="1260"/>
          <w:tab w:val="right" w:leader="dot" w:pos="8302"/>
        </w:tabs>
        <w:rPr>
          <w:rFonts w:asciiTheme="minorHAnsi" w:hAnsiTheme="minorHAnsi" w:eastAsiaTheme="minorEastAsia" w:cstheme="minorBidi"/>
          <w:b w:val="0"/>
          <w:bCs w:val="0"/>
          <w:caps w:val="0"/>
          <w:color w:val="000000" w:themeColor="text1"/>
          <w:sz w:val="21"/>
          <w14:textFill>
            <w14:solidFill>
              <w14:schemeClr w14:val="tx1"/>
            </w14:solidFill>
          </w14:textFill>
        </w:rPr>
      </w:pPr>
      <w:r>
        <w:fldChar w:fldCharType="begin"/>
      </w:r>
      <w:r>
        <w:instrText xml:space="preserve"> HYPERLINK \l "_Toc24714209" </w:instrText>
      </w:r>
      <w:r>
        <w:fldChar w:fldCharType="separate"/>
      </w:r>
      <w:r>
        <w:rPr>
          <w:rStyle w:val="37"/>
          <w:rFonts w:ascii="Times New Roman" w:hAnsi="Times New Roman"/>
          <w:color w:val="000000" w:themeColor="text1"/>
          <w14:textFill>
            <w14:solidFill>
              <w14:schemeClr w14:val="tx1"/>
            </w14:solidFill>
          </w14:textFill>
        </w:rPr>
        <w:t>7</w:t>
      </w:r>
      <w:r>
        <w:rPr>
          <w:rFonts w:asciiTheme="minorHAnsi" w:hAnsiTheme="minorHAnsi" w:eastAsiaTheme="minorEastAsia" w:cstheme="minorBidi"/>
          <w:b w:val="0"/>
          <w:bCs w:val="0"/>
          <w: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复杂高层建筑结构设计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"_Toc24714210" </w:instrText>
      </w:r>
      <w:r>
        <w:fldChar w:fldCharType="separate"/>
      </w:r>
      <w:r>
        <w:rPr>
          <w:rStyle w:val="37"/>
          <w:rFonts w:ascii="Times New Roman" w:hAnsi="Times New Roman"/>
          <w:color w:val="000000" w:themeColor="text1"/>
          <w14:textFill>
            <w14:solidFill>
              <w14:schemeClr w14:val="tx1"/>
            </w14:solidFill>
          </w14:textFill>
        </w:rPr>
        <w:t>7.1</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带转换层高层建筑结构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"_Toc24714211" </w:instrText>
      </w:r>
      <w:r>
        <w:fldChar w:fldCharType="separate"/>
      </w:r>
      <w:r>
        <w:rPr>
          <w:rStyle w:val="37"/>
          <w:rFonts w:ascii="Times New Roman" w:hAnsi="Times New Roman"/>
          <w:color w:val="000000" w:themeColor="text1"/>
          <w14:textFill>
            <w14:solidFill>
              <w14:schemeClr w14:val="tx1"/>
            </w14:solidFill>
          </w14:textFill>
        </w:rPr>
        <w:t>7.2</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大底盘多塔楼结构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"_Toc24714212" </w:instrText>
      </w:r>
      <w:r>
        <w:fldChar w:fldCharType="separate"/>
      </w:r>
      <w:r>
        <w:rPr>
          <w:rStyle w:val="37"/>
          <w:rFonts w:ascii="Times New Roman" w:hAnsi="Times New Roman"/>
          <w:color w:val="000000" w:themeColor="text1"/>
          <w14:textFill>
            <w14:solidFill>
              <w14:schemeClr w14:val="tx1"/>
            </w14:solidFill>
          </w14:textFill>
        </w:rPr>
        <w:t>7.3</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连体高层建筑结构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_Toc24714212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"_Toc24714213" </w:instrText>
      </w:r>
      <w:r>
        <w:fldChar w:fldCharType="separate"/>
      </w:r>
      <w:r>
        <w:rPr>
          <w:rStyle w:val="37"/>
          <w:rFonts w:ascii="Times New Roman" w:hAnsi="Times New Roman"/>
          <w:color w:val="000000" w:themeColor="text1"/>
          <w14:textFill>
            <w14:solidFill>
              <w14:schemeClr w14:val="tx1"/>
            </w14:solidFill>
          </w14:textFill>
        </w:rPr>
        <w:t>7.4</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hAnsi="Times New Roman"/>
          <w:color w:val="000000" w:themeColor="text1"/>
          <w14:textFill>
            <w14:solidFill>
              <w14:schemeClr w14:val="tx1"/>
            </w14:solidFill>
          </w14:textFill>
        </w:rPr>
        <w:t>带</w:t>
      </w:r>
      <w:r>
        <w:rPr>
          <w:rStyle w:val="37"/>
          <w:rFonts w:hint="eastAsia"/>
          <w:color w:val="000000" w:themeColor="text1"/>
          <w14:textFill>
            <w14:solidFill>
              <w14:schemeClr w14:val="tx1"/>
            </w14:solidFill>
          </w14:textFill>
        </w:rPr>
        <w:t>加强层高层建筑结构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_Toc24714213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"_Toc24714214" </w:instrText>
      </w:r>
      <w:r>
        <w:fldChar w:fldCharType="separate"/>
      </w:r>
      <w:r>
        <w:rPr>
          <w:rStyle w:val="37"/>
          <w:rFonts w:ascii="Times New Roman" w:hAnsi="Times New Roman"/>
          <w:color w:val="000000" w:themeColor="text1"/>
          <w14:textFill>
            <w14:solidFill>
              <w14:schemeClr w14:val="tx1"/>
            </w14:solidFill>
          </w14:textFill>
        </w:rPr>
        <w:t>7.5</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一向少墙剪力墙结构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"_Toc24714215" </w:instrText>
      </w:r>
      <w:r>
        <w:fldChar w:fldCharType="separate"/>
      </w:r>
      <w:r>
        <w:rPr>
          <w:rStyle w:val="37"/>
          <w:rFonts w:ascii="Times New Roman" w:hAnsi="Times New Roman"/>
          <w:color w:val="000000" w:themeColor="text1"/>
          <w14:textFill>
            <w14:solidFill>
              <w14:schemeClr w14:val="tx1"/>
            </w14:solidFill>
          </w14:textFill>
        </w:rPr>
        <w:t>7.6</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平面凹凸不规则剪力墙结构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"_Toc24714216" </w:instrText>
      </w:r>
      <w:r>
        <w:fldChar w:fldCharType="separate"/>
      </w:r>
      <w:r>
        <w:rPr>
          <w:rStyle w:val="37"/>
          <w:rFonts w:ascii="Times New Roman" w:hAnsi="Times New Roman"/>
          <w:color w:val="000000" w:themeColor="text1"/>
          <w14:textFill>
            <w14:solidFill>
              <w14:schemeClr w14:val="tx1"/>
            </w14:solidFill>
          </w14:textFill>
        </w:rPr>
        <w:t>7.7</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框架</w:t>
      </w:r>
      <w:r>
        <w:rPr>
          <w:rStyle w:val="37"/>
          <w:color w:val="000000" w:themeColor="text1"/>
          <w14:textFill>
            <w14:solidFill>
              <w14:schemeClr w14:val="tx1"/>
            </w14:solidFill>
          </w14:textFill>
        </w:rPr>
        <w:t>-</w:t>
      </w:r>
      <w:r>
        <w:rPr>
          <w:rStyle w:val="37"/>
          <w:rFonts w:hint="eastAsia"/>
          <w:color w:val="000000" w:themeColor="text1"/>
          <w14:textFill>
            <w14:solidFill>
              <w14:schemeClr w14:val="tx1"/>
            </w14:solidFill>
          </w14:textFill>
        </w:rPr>
        <w:t>核心筒结构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"_Toc24714217" </w:instrText>
      </w:r>
      <w:r>
        <w:fldChar w:fldCharType="separate"/>
      </w:r>
      <w:r>
        <w:rPr>
          <w:rStyle w:val="37"/>
          <w:rFonts w:ascii="Times New Roman" w:hAnsi="Times New Roman"/>
          <w:color w:val="000000" w:themeColor="text1"/>
          <w14:textFill>
            <w14:solidFill>
              <w14:schemeClr w14:val="tx1"/>
            </w14:solidFill>
          </w14:textFill>
        </w:rPr>
        <w:t>7.8</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框架</w:t>
      </w:r>
      <w:r>
        <w:rPr>
          <w:rStyle w:val="37"/>
          <w:color w:val="000000" w:themeColor="text1"/>
          <w14:textFill>
            <w14:solidFill>
              <w14:schemeClr w14:val="tx1"/>
            </w14:solidFill>
          </w14:textFill>
        </w:rPr>
        <w:t>-</w:t>
      </w:r>
      <w:r>
        <w:rPr>
          <w:rStyle w:val="37"/>
          <w:rFonts w:hint="eastAsia"/>
          <w:color w:val="000000" w:themeColor="text1"/>
          <w14:textFill>
            <w14:solidFill>
              <w14:schemeClr w14:val="tx1"/>
            </w14:solidFill>
          </w14:textFill>
        </w:rPr>
        <w:t>边筒结构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"_Toc24714218" </w:instrText>
      </w:r>
      <w:r>
        <w:fldChar w:fldCharType="separate"/>
      </w:r>
      <w:r>
        <w:rPr>
          <w:rStyle w:val="37"/>
          <w:rFonts w:ascii="Times New Roman" w:hAnsi="Times New Roman"/>
          <w:color w:val="000000" w:themeColor="text1"/>
          <w14:textFill>
            <w14:solidFill>
              <w14:schemeClr w14:val="tx1"/>
            </w14:solidFill>
          </w14:textFill>
        </w:rPr>
        <w:t>7.9</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斜撑框架</w:t>
      </w:r>
      <w:r>
        <w:rPr>
          <w:rStyle w:val="37"/>
          <w:color w:val="000000" w:themeColor="text1"/>
          <w14:textFill>
            <w14:solidFill>
              <w14:schemeClr w14:val="tx1"/>
            </w14:solidFill>
          </w14:textFill>
        </w:rPr>
        <w:t>-</w:t>
      </w:r>
      <w:r>
        <w:rPr>
          <w:rStyle w:val="37"/>
          <w:rFonts w:hint="eastAsia"/>
          <w:color w:val="000000" w:themeColor="text1"/>
          <w14:textFill>
            <w14:solidFill>
              <w14:schemeClr w14:val="tx1"/>
            </w14:solidFill>
          </w14:textFill>
        </w:rPr>
        <w:t>核心筒结构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"_Toc24714219" </w:instrText>
      </w:r>
      <w:r>
        <w:fldChar w:fldCharType="separate"/>
      </w:r>
      <w:r>
        <w:rPr>
          <w:rStyle w:val="37"/>
          <w:rFonts w:ascii="Times New Roman" w:hAnsi="Times New Roman"/>
          <w:color w:val="000000" w:themeColor="text1"/>
          <w14:textFill>
            <w14:solidFill>
              <w14:schemeClr w14:val="tx1"/>
            </w14:solidFill>
          </w14:textFill>
        </w:rPr>
        <w:t>7.10</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斜交网格</w:t>
      </w:r>
      <w:r>
        <w:rPr>
          <w:rStyle w:val="37"/>
          <w:color w:val="000000" w:themeColor="text1"/>
          <w14:textFill>
            <w14:solidFill>
              <w14:schemeClr w14:val="tx1"/>
            </w14:solidFill>
          </w14:textFill>
        </w:rPr>
        <w:t>-</w:t>
      </w:r>
      <w:r>
        <w:rPr>
          <w:rStyle w:val="37"/>
          <w:rFonts w:hint="eastAsia"/>
          <w:color w:val="000000" w:themeColor="text1"/>
          <w14:textFill>
            <w14:solidFill>
              <w14:schemeClr w14:val="tx1"/>
            </w14:solidFill>
          </w14:textFill>
        </w:rPr>
        <w:t>核心筒结构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_Toc24714219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"_Toc24714220" </w:instrText>
      </w:r>
      <w:r>
        <w:fldChar w:fldCharType="separate"/>
      </w:r>
      <w:r>
        <w:rPr>
          <w:rStyle w:val="37"/>
          <w:rFonts w:ascii="Times New Roman" w:hAnsi="Times New Roman"/>
          <w:color w:val="000000" w:themeColor="text1"/>
          <w14:textFill>
            <w14:solidFill>
              <w14:schemeClr w14:val="tx1"/>
            </w14:solidFill>
          </w14:textFill>
        </w:rPr>
        <w:t>7.11</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单外筒结构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"_Toc24714221" </w:instrText>
      </w:r>
      <w:r>
        <w:fldChar w:fldCharType="separate"/>
      </w:r>
      <w:r>
        <w:rPr>
          <w:rStyle w:val="37"/>
          <w:rFonts w:ascii="Times New Roman" w:hAnsi="Times New Roman"/>
          <w:color w:val="000000" w:themeColor="text1"/>
          <w14:textFill>
            <w14:solidFill>
              <w14:schemeClr w14:val="tx1"/>
            </w14:solidFill>
          </w14:textFill>
        </w:rPr>
        <w:t>7.12</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巨型结构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"_Toc24714222" </w:instrText>
      </w:r>
      <w:r>
        <w:fldChar w:fldCharType="separate"/>
      </w:r>
      <w:r>
        <w:rPr>
          <w:rStyle w:val="37"/>
          <w:rFonts w:ascii="Times New Roman" w:hAnsi="Times New Roman"/>
          <w:color w:val="000000" w:themeColor="text1"/>
          <w14:textFill>
            <w14:solidFill>
              <w14:schemeClr w14:val="tx1"/>
            </w14:solidFill>
          </w14:textFill>
        </w:rPr>
        <w:t>7.13</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悬挑结构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8"/>
        <w:tabs>
          <w:tab w:val="left" w:pos="1260"/>
          <w:tab w:val="right" w:leader="dot" w:pos="8302"/>
        </w:tabs>
        <w:rPr>
          <w:rFonts w:asciiTheme="minorHAnsi" w:hAnsiTheme="minorHAnsi" w:eastAsiaTheme="minorEastAsia" w:cstheme="minorBidi"/>
          <w:b w:val="0"/>
          <w:bCs w:val="0"/>
          <w:caps w:val="0"/>
          <w:color w:val="000000" w:themeColor="text1"/>
          <w:sz w:val="21"/>
          <w14:textFill>
            <w14:solidFill>
              <w14:schemeClr w14:val="tx1"/>
            </w14:solidFill>
          </w14:textFill>
        </w:rPr>
      </w:pPr>
      <w:r>
        <w:fldChar w:fldCharType="begin"/>
      </w:r>
      <w:r>
        <w:instrText xml:space="preserve"> HYPERLINK \l "_Toc24714223" </w:instrText>
      </w:r>
      <w:r>
        <w:fldChar w:fldCharType="separate"/>
      </w:r>
      <w:r>
        <w:rPr>
          <w:rStyle w:val="37"/>
          <w:rFonts w:ascii="Times New Roman" w:hAnsi="Times New Roman"/>
          <w:color w:val="000000" w:themeColor="text1"/>
          <w14:textFill>
            <w14:solidFill>
              <w14:schemeClr w14:val="tx1"/>
            </w14:solidFill>
          </w14:textFill>
        </w:rPr>
        <w:t>8</w:t>
      </w:r>
      <w:r>
        <w:rPr>
          <w:rFonts w:asciiTheme="minorHAnsi" w:hAnsiTheme="minorHAnsi" w:eastAsiaTheme="minorEastAsia" w:cstheme="minorBidi"/>
          <w:b w:val="0"/>
          <w:bCs w:val="0"/>
          <w: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混合结构设计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_Toc24714223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"_Toc24714224" </w:instrText>
      </w:r>
      <w:r>
        <w:fldChar w:fldCharType="separate"/>
      </w:r>
      <w:r>
        <w:rPr>
          <w:rStyle w:val="37"/>
          <w:rFonts w:ascii="Times New Roman" w:hAnsi="Times New Roman"/>
          <w:color w:val="000000" w:themeColor="text1"/>
          <w14:textFill>
            <w14:solidFill>
              <w14:schemeClr w14:val="tx1"/>
            </w14:solidFill>
          </w14:textFill>
        </w:rPr>
        <w:t>8.1</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一般规定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"_Toc24714225" </w:instrText>
      </w:r>
      <w:r>
        <w:fldChar w:fldCharType="separate"/>
      </w:r>
      <w:r>
        <w:rPr>
          <w:rStyle w:val="37"/>
          <w:rFonts w:ascii="Times New Roman" w:hAnsi="Times New Roman"/>
          <w:color w:val="000000" w:themeColor="text1"/>
          <w14:textFill>
            <w14:solidFill>
              <w14:schemeClr w14:val="tx1"/>
            </w14:solidFill>
          </w14:textFill>
        </w:rPr>
        <w:t>8.2</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结构布置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_Toc24714225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"_Toc24714226" </w:instrText>
      </w:r>
      <w:r>
        <w:fldChar w:fldCharType="separate"/>
      </w:r>
      <w:r>
        <w:rPr>
          <w:rStyle w:val="37"/>
          <w:rFonts w:ascii="Times New Roman" w:hAnsi="Times New Roman"/>
          <w:color w:val="000000" w:themeColor="text1"/>
          <w14:textFill>
            <w14:solidFill>
              <w14:schemeClr w14:val="tx1"/>
            </w14:solidFill>
          </w14:textFill>
        </w:rPr>
        <w:t>8.3</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结构计算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8"/>
        <w:tabs>
          <w:tab w:val="left" w:pos="1260"/>
          <w:tab w:val="right" w:leader="dot" w:pos="8302"/>
        </w:tabs>
        <w:rPr>
          <w:rFonts w:asciiTheme="minorHAnsi" w:hAnsiTheme="minorHAnsi" w:eastAsiaTheme="minorEastAsia" w:cstheme="minorBidi"/>
          <w:b w:val="0"/>
          <w:bCs w:val="0"/>
          <w:caps w:val="0"/>
          <w:color w:val="000000" w:themeColor="text1"/>
          <w:sz w:val="21"/>
          <w14:textFill>
            <w14:solidFill>
              <w14:schemeClr w14:val="tx1"/>
            </w14:solidFill>
          </w14:textFill>
        </w:rPr>
      </w:pPr>
      <w:r>
        <w:fldChar w:fldCharType="begin"/>
      </w:r>
      <w:r>
        <w:instrText xml:space="preserve"> HYPERLINK \l "_Toc24714227" </w:instrText>
      </w:r>
      <w:r>
        <w:fldChar w:fldCharType="separate"/>
      </w:r>
      <w:r>
        <w:rPr>
          <w:rStyle w:val="37"/>
          <w:rFonts w:ascii="Times New Roman" w:hAnsi="Times New Roman"/>
          <w:color w:val="000000" w:themeColor="text1"/>
          <w14:textFill>
            <w14:solidFill>
              <w14:schemeClr w14:val="tx1"/>
            </w14:solidFill>
          </w14:textFill>
        </w:rPr>
        <w:t>9</w:t>
      </w:r>
      <w:r>
        <w:rPr>
          <w:rFonts w:asciiTheme="minorHAnsi" w:hAnsiTheme="minorHAnsi" w:eastAsiaTheme="minorEastAsia" w:cstheme="minorBidi"/>
          <w:b w:val="0"/>
          <w:bCs w:val="0"/>
          <w: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构件设计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"_Toc24714228" </w:instrText>
      </w:r>
      <w:r>
        <w:fldChar w:fldCharType="separate"/>
      </w:r>
      <w:r>
        <w:rPr>
          <w:rStyle w:val="37"/>
          <w:rFonts w:ascii="Times New Roman" w:hAnsi="Times New Roman"/>
          <w:color w:val="000000" w:themeColor="text1"/>
          <w14:textFill>
            <w14:solidFill>
              <w14:schemeClr w14:val="tx1"/>
            </w14:solidFill>
          </w14:textFill>
        </w:rPr>
        <w:t>9.1</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楼盖（含梁）</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"_Toc24714229" </w:instrText>
      </w:r>
      <w:r>
        <w:fldChar w:fldCharType="separate"/>
      </w:r>
      <w:r>
        <w:rPr>
          <w:rStyle w:val="37"/>
          <w:rFonts w:ascii="Times New Roman" w:hAnsi="Times New Roman"/>
          <w:color w:val="000000" w:themeColor="text1"/>
          <w14:textFill>
            <w14:solidFill>
              <w14:schemeClr w14:val="tx1"/>
            </w14:solidFill>
          </w14:textFill>
        </w:rPr>
        <w:t>9.2</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钢筋混凝土柱及梁柱（墙）节点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_Toc24714229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"_Toc24714230" </w:instrText>
      </w:r>
      <w:r>
        <w:fldChar w:fldCharType="separate"/>
      </w:r>
      <w:r>
        <w:rPr>
          <w:rStyle w:val="37"/>
          <w:rFonts w:ascii="Times New Roman" w:hAnsi="Times New Roman"/>
          <w:color w:val="000000" w:themeColor="text1"/>
          <w14:textFill>
            <w14:solidFill>
              <w14:schemeClr w14:val="tx1"/>
            </w14:solidFill>
          </w14:textFill>
        </w:rPr>
        <w:t>9.3</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型钢混凝土梁、柱</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"_Toc24714231" </w:instrText>
      </w:r>
      <w:r>
        <w:fldChar w:fldCharType="separate"/>
      </w:r>
      <w:r>
        <w:rPr>
          <w:rStyle w:val="37"/>
          <w:rFonts w:ascii="Times New Roman" w:hAnsi="Times New Roman"/>
          <w:color w:val="000000" w:themeColor="text1"/>
          <w14:textFill>
            <w14:solidFill>
              <w14:schemeClr w14:val="tx1"/>
            </w14:solidFill>
          </w14:textFill>
        </w:rPr>
        <w:t>9.4</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型钢混凝土剪力墙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_Toc24714231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"_Toc24714232" </w:instrText>
      </w:r>
      <w:r>
        <w:fldChar w:fldCharType="separate"/>
      </w:r>
      <w:r>
        <w:rPr>
          <w:rStyle w:val="37"/>
          <w:rFonts w:ascii="Times New Roman" w:hAnsi="Times New Roman"/>
          <w:color w:val="000000" w:themeColor="text1"/>
          <w14:textFill>
            <w14:solidFill>
              <w14:schemeClr w14:val="tx1"/>
            </w14:solidFill>
          </w14:textFill>
        </w:rPr>
        <w:t>9.5</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钢管混凝土柱</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8"/>
        <w:tabs>
          <w:tab w:val="left" w:pos="1260"/>
          <w:tab w:val="right" w:leader="dot" w:pos="8302"/>
        </w:tabs>
        <w:rPr>
          <w:rFonts w:asciiTheme="minorHAnsi" w:hAnsiTheme="minorHAnsi" w:eastAsiaTheme="minorEastAsia" w:cstheme="minorBidi"/>
          <w:b w:val="0"/>
          <w:bCs w:val="0"/>
          <w:caps w:val="0"/>
          <w:color w:val="000000" w:themeColor="text1"/>
          <w:sz w:val="21"/>
          <w14:textFill>
            <w14:solidFill>
              <w14:schemeClr w14:val="tx1"/>
            </w14:solidFill>
          </w14:textFill>
        </w:rPr>
      </w:pPr>
      <w:r>
        <w:fldChar w:fldCharType="begin"/>
      </w:r>
      <w:r>
        <w:instrText xml:space="preserve"> HYPERLINK \l "_Toc24714233" </w:instrText>
      </w:r>
      <w:r>
        <w:fldChar w:fldCharType="separate"/>
      </w:r>
      <w:r>
        <w:rPr>
          <w:rStyle w:val="37"/>
          <w:rFonts w:ascii="Times New Roman" w:hAnsi="Times New Roman"/>
          <w:color w:val="000000" w:themeColor="text1"/>
          <w14:textFill>
            <w14:solidFill>
              <w14:schemeClr w14:val="tx1"/>
            </w14:solidFill>
          </w14:textFill>
        </w:rPr>
        <w:t>10</w:t>
      </w:r>
      <w:r>
        <w:rPr>
          <w:rFonts w:asciiTheme="minorHAnsi" w:hAnsiTheme="minorHAnsi" w:eastAsiaTheme="minorEastAsia" w:cstheme="minorBidi"/>
          <w:b w:val="0"/>
          <w:bCs w:val="0"/>
          <w: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基础设计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_Toc24714233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"_Toc24714234" </w:instrText>
      </w:r>
      <w:r>
        <w:fldChar w:fldCharType="separate"/>
      </w:r>
      <w:r>
        <w:rPr>
          <w:rStyle w:val="37"/>
          <w:rFonts w:ascii="Times New Roman" w:hAnsi="Times New Roman"/>
          <w:color w:val="000000" w:themeColor="text1"/>
          <w14:textFill>
            <w14:solidFill>
              <w14:schemeClr w14:val="tx1"/>
            </w14:solidFill>
          </w14:textFill>
        </w:rPr>
        <w:t>10.1</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一般规定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"_Toc24714235" </w:instrText>
      </w:r>
      <w:r>
        <w:fldChar w:fldCharType="separate"/>
      </w:r>
      <w:r>
        <w:rPr>
          <w:rStyle w:val="37"/>
          <w:rFonts w:ascii="Times New Roman" w:hAnsi="Times New Roman"/>
          <w:color w:val="000000" w:themeColor="text1"/>
          <w14:textFill>
            <w14:solidFill>
              <w14:schemeClr w14:val="tx1"/>
            </w14:solidFill>
          </w14:textFill>
        </w:rPr>
        <w:t>10.2</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桩基础</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1260"/>
          <w:tab w:val="right" w:leader="dot" w:pos="8302"/>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"_Toc24714236" </w:instrText>
      </w:r>
      <w:r>
        <w:fldChar w:fldCharType="separate"/>
      </w:r>
      <w:r>
        <w:rPr>
          <w:rStyle w:val="37"/>
          <w:rFonts w:ascii="Times New Roman" w:hAnsi="Times New Roman"/>
          <w:color w:val="000000" w:themeColor="text1"/>
          <w14:textFill>
            <w14:solidFill>
              <w14:schemeClr w14:val="tx1"/>
            </w14:solidFill>
          </w14:textFill>
        </w:rPr>
        <w:t>10.3</w:t>
      </w:r>
      <w:r>
        <w:rPr>
          <w:rFonts w:asciiTheme="minorHAnsi" w:hAnsiTheme="minorHAnsi" w:eastAsiaTheme="minorEastAsia" w:cstheme="minorBidi"/>
          <w:smallCaps w:val="0"/>
          <w:color w:val="000000" w:themeColor="text1"/>
          <w:sz w:val="21"/>
          <w14:textFill>
            <w14:solidFill>
              <w14:schemeClr w14:val="tx1"/>
            </w14:solidFill>
          </w14:textFill>
        </w:rPr>
        <w:tab/>
      </w:r>
      <w:r>
        <w:rPr>
          <w:rStyle w:val="37"/>
          <w:rFonts w:hint="eastAsia"/>
          <w:color w:val="000000" w:themeColor="text1"/>
          <w14:textFill>
            <w14:solidFill>
              <w14:schemeClr w14:val="tx1"/>
            </w14:solidFill>
          </w14:textFill>
        </w:rPr>
        <w:t>天然地基基础和复合地基基础</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_Toc24714236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840"/>
          <w:tab w:val="right" w:leader="dot" w:pos="8302"/>
        </w:tabs>
        <w:spacing w:line="240" w:lineRule="auto"/>
        <w:rPr>
          <w:rFonts w:ascii="Times New Roman" w:hAnsi="Times New Roman"/>
          <w:b/>
          <w:color w:val="000000" w:themeColor="text1"/>
          <w:sz w:val="24"/>
          <w:szCs w:val="24"/>
          <w14:textFill>
            <w14:solidFill>
              <w14:schemeClr w14:val="tx1"/>
            </w14:solidFill>
          </w14:textFill>
        </w:rPr>
      </w:pPr>
      <w:r>
        <w:rPr>
          <w:b/>
          <w:bCs/>
          <w:caps/>
          <w:color w:val="000000" w:themeColor="text1"/>
          <w14:textFill>
            <w14:solidFill>
              <w14:schemeClr w14:val="tx1"/>
            </w14:solidFill>
          </w14:textFill>
        </w:rPr>
        <w:fldChar w:fldCharType="end"/>
      </w:r>
    </w:p>
    <w:p>
      <w:pPr>
        <w:spacing w:line="240" w:lineRule="auto"/>
        <w:ind w:left="0"/>
        <w:jc w:val="center"/>
        <w:rPr>
          <w:rFonts w:ascii="宋体" w:hAnsi="宋体"/>
          <w:b/>
          <w:color w:val="000000" w:themeColor="text1"/>
          <w:sz w:val="24"/>
          <w:szCs w:val="24"/>
          <w14:textFill>
            <w14:solidFill>
              <w14:schemeClr w14:val="tx1"/>
            </w14:solidFill>
          </w14:textFill>
        </w:rPr>
      </w:pPr>
    </w:p>
    <w:p>
      <w:pPr>
        <w:spacing w:line="240" w:lineRule="auto"/>
        <w:ind w:left="0"/>
        <w:jc w:val="center"/>
        <w:rPr>
          <w:rFonts w:ascii="宋体" w:hAnsi="宋体"/>
          <w:b/>
          <w:color w:val="000000" w:themeColor="text1"/>
          <w:sz w:val="24"/>
          <w:szCs w:val="24"/>
          <w14:textFill>
            <w14:solidFill>
              <w14:schemeClr w14:val="tx1"/>
            </w14:solidFill>
          </w14:textFill>
        </w:rPr>
      </w:pPr>
    </w:p>
    <w:p>
      <w:pPr>
        <w:spacing w:line="240" w:lineRule="auto"/>
        <w:ind w:left="0"/>
        <w:jc w:val="center"/>
        <w:rPr>
          <w:rFonts w:ascii="宋体" w:hAnsi="宋体"/>
          <w:b/>
          <w:color w:val="000000" w:themeColor="text1"/>
          <w:sz w:val="24"/>
          <w:szCs w:val="24"/>
          <w14:textFill>
            <w14:solidFill>
              <w14:schemeClr w14:val="tx1"/>
            </w14:solidFill>
          </w14:textFill>
        </w:rPr>
        <w:sectPr>
          <w:pgSz w:w="11906" w:h="16838"/>
          <w:pgMar w:top="1440" w:right="1797" w:bottom="1440" w:left="1797" w:header="851" w:footer="992" w:gutter="0"/>
          <w:pgNumType w:start="1"/>
          <w:cols w:space="425" w:num="1"/>
          <w:docGrid w:type="linesAndChars" w:linePitch="312" w:charSpace="0"/>
        </w:sectPr>
      </w:pPr>
    </w:p>
    <w:p>
      <w:pPr>
        <w:pStyle w:val="60"/>
        <w:spacing w:beforeLines="0" w:afterLines="0" w:line="240" w:lineRule="auto"/>
        <w:rPr>
          <w:color w:val="000000" w:themeColor="text1"/>
          <w14:textFill>
            <w14:solidFill>
              <w14:schemeClr w14:val="tx1"/>
            </w14:solidFill>
          </w14:textFill>
        </w:rPr>
      </w:pPr>
      <w:bookmarkStart w:id="0" w:name="_Toc379895627"/>
      <w:bookmarkStart w:id="1" w:name="_Toc24714181"/>
      <w:r>
        <w:rPr>
          <w:color w:val="000000" w:themeColor="text1"/>
          <w14:textFill>
            <w14:solidFill>
              <w14:schemeClr w14:val="tx1"/>
            </w14:solidFill>
          </w14:textFill>
        </w:rPr>
        <w:t>总    则</w:t>
      </w:r>
      <w:bookmarkEnd w:id="0"/>
      <w:bookmarkEnd w:id="1"/>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为使深圳市高层建筑钢筋混凝土结构做到安全适用、技术先进、经济合理、方便施工，制定本</w:t>
      </w:r>
      <w:r>
        <w:rPr>
          <w:rFonts w:hint="eastAsia"/>
          <w:color w:val="000000" w:themeColor="text1"/>
          <w:lang w:eastAsia="zh-CN"/>
          <w14:textFill>
            <w14:solidFill>
              <w14:schemeClr w14:val="tx1"/>
            </w14:solidFill>
          </w14:textFill>
        </w:rPr>
        <w:t>规程</w:t>
      </w:r>
      <w:r>
        <w:rPr>
          <w:color w:val="000000" w:themeColor="text1"/>
          <w:lang w:eastAsia="zh-CN"/>
          <w14:textFill>
            <w14:solidFill>
              <w14:schemeClr w14:val="tx1"/>
            </w14:solidFill>
          </w14:textFill>
        </w:rPr>
        <w:t>。</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本规程适用于10层及10层以上的住宅建筑结构</w:t>
      </w:r>
      <w:r>
        <w:rPr>
          <w:rFonts w:hint="eastAsia"/>
          <w:color w:val="000000" w:themeColor="text1"/>
          <w:lang w:eastAsia="zh-CN"/>
          <w14:textFill>
            <w14:solidFill>
              <w14:schemeClr w14:val="tx1"/>
            </w14:solidFill>
          </w14:textFill>
        </w:rPr>
        <w:t>和</w:t>
      </w:r>
      <w:r>
        <w:rPr>
          <w:color w:val="000000" w:themeColor="text1"/>
          <w:lang w:eastAsia="zh-CN"/>
          <w14:textFill>
            <w14:solidFill>
              <w14:schemeClr w14:val="tx1"/>
            </w14:solidFill>
          </w14:textFill>
        </w:rPr>
        <w:t>房屋高度大于24m的其他</w:t>
      </w:r>
      <w:r>
        <w:rPr>
          <w:rFonts w:hint="eastAsia"/>
          <w:color w:val="000000" w:themeColor="text1"/>
          <w:lang w:eastAsia="zh-CN"/>
          <w14:textFill>
            <w14:solidFill>
              <w14:schemeClr w14:val="tx1"/>
            </w14:solidFill>
          </w14:textFill>
        </w:rPr>
        <w:t>民用</w:t>
      </w:r>
      <w:r>
        <w:rPr>
          <w:color w:val="000000" w:themeColor="text1"/>
          <w:lang w:eastAsia="zh-CN"/>
          <w14:textFill>
            <w14:solidFill>
              <w14:schemeClr w14:val="tx1"/>
            </w14:solidFill>
          </w14:textFill>
        </w:rPr>
        <w:t>高层建筑结构。其适用的房屋最大高度和结构类型应符合</w:t>
      </w:r>
      <w:r>
        <w:rPr>
          <w:rFonts w:hint="eastAsia"/>
          <w:color w:val="000000" w:themeColor="text1"/>
          <w:lang w:eastAsia="zh-CN"/>
          <w14:textFill>
            <w14:solidFill>
              <w14:schemeClr w14:val="tx1"/>
            </w14:solidFill>
          </w14:textFill>
        </w:rPr>
        <w:t>国家有关规范和</w:t>
      </w:r>
      <w:r>
        <w:rPr>
          <w:color w:val="000000" w:themeColor="text1"/>
          <w:lang w:eastAsia="zh-CN"/>
          <w14:textFill>
            <w14:solidFill>
              <w14:schemeClr w14:val="tx1"/>
            </w14:solidFill>
          </w14:textFill>
        </w:rPr>
        <w:t>本规程的有关规定。</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按本规程进行抗震设计的建筑，其抗震设防目标应符合现行国家标准《建筑抗震设计规范》GB50011的要求。使用功能或其他方面有专门要求的高层建筑，宜采用抗震性能设计</w:t>
      </w:r>
      <w:r>
        <w:rPr>
          <w:rFonts w:hint="eastAsia"/>
          <w:color w:val="000000" w:themeColor="text1"/>
          <w:lang w:eastAsia="zh-CN"/>
          <w14:textFill>
            <w14:solidFill>
              <w14:schemeClr w14:val="tx1"/>
            </w14:solidFill>
          </w14:textFill>
        </w:rPr>
        <w:t>方法进行设计</w:t>
      </w:r>
      <w:r>
        <w:rPr>
          <w:color w:val="000000" w:themeColor="text1"/>
          <w:lang w:eastAsia="zh-CN"/>
          <w14:textFill>
            <w14:solidFill>
              <w14:schemeClr w14:val="tx1"/>
            </w14:solidFill>
          </w14:textFill>
        </w:rPr>
        <w:t>。</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本规程对结构在多遇地震作用时，采用弹性分析方法进行强度</w:t>
      </w:r>
      <w:r>
        <w:rPr>
          <w:rFonts w:hint="eastAsia"/>
          <w:color w:val="000000" w:themeColor="text1"/>
          <w:lang w:eastAsia="zh-CN"/>
          <w14:textFill>
            <w14:solidFill>
              <w14:schemeClr w14:val="tx1"/>
            </w14:solidFill>
          </w14:textFill>
        </w:rPr>
        <w:t>、变形</w:t>
      </w:r>
      <w:r>
        <w:rPr>
          <w:color w:val="000000" w:themeColor="text1"/>
          <w:lang w:eastAsia="zh-CN"/>
          <w14:textFill>
            <w14:solidFill>
              <w14:schemeClr w14:val="tx1"/>
            </w14:solidFill>
          </w14:textFill>
        </w:rPr>
        <w:t>验算和截面设计；</w:t>
      </w:r>
      <w:r>
        <w:rPr>
          <w:rFonts w:hint="eastAsia"/>
          <w:color w:val="000000" w:themeColor="text1"/>
          <w:lang w:eastAsia="zh-CN"/>
          <w14:textFill>
            <w14:solidFill>
              <w14:schemeClr w14:val="tx1"/>
            </w14:solidFill>
          </w14:textFill>
        </w:rPr>
        <w:t>设防</w:t>
      </w:r>
      <w:r>
        <w:rPr>
          <w:color w:val="000000" w:themeColor="text1"/>
          <w:lang w:eastAsia="zh-CN"/>
          <w14:textFill>
            <w14:solidFill>
              <w14:schemeClr w14:val="tx1"/>
            </w14:solidFill>
          </w14:textFill>
        </w:rPr>
        <w:t>烈度地震作用时，近似采用弹性分析方法</w:t>
      </w:r>
      <w:r>
        <w:rPr>
          <w:rFonts w:hint="eastAsia"/>
          <w:color w:val="000000" w:themeColor="text1"/>
          <w:lang w:eastAsia="zh-CN"/>
          <w14:textFill>
            <w14:solidFill>
              <w14:schemeClr w14:val="tx1"/>
            </w14:solidFill>
          </w14:textFill>
        </w:rPr>
        <w:t>进行构件承载力验算和结构屈服判别计算</w:t>
      </w:r>
      <w:r>
        <w:rPr>
          <w:color w:val="000000" w:themeColor="text1"/>
          <w:lang w:eastAsia="zh-CN"/>
          <w14:textFill>
            <w14:solidFill>
              <w14:schemeClr w14:val="tx1"/>
            </w14:solidFill>
          </w14:textFill>
        </w:rPr>
        <w:t>；罕遇地震作用时，采用</w:t>
      </w:r>
      <w:r>
        <w:rPr>
          <w:rFonts w:hint="eastAsia"/>
          <w:color w:val="000000" w:themeColor="text1"/>
          <w:lang w:eastAsia="zh-CN"/>
          <w14:textFill>
            <w14:solidFill>
              <w14:schemeClr w14:val="tx1"/>
            </w14:solidFill>
          </w14:textFill>
        </w:rPr>
        <w:t>动、静力</w:t>
      </w:r>
      <w:r>
        <w:rPr>
          <w:color w:val="000000" w:themeColor="text1"/>
          <w:lang w:eastAsia="zh-CN"/>
          <w14:textFill>
            <w14:solidFill>
              <w14:schemeClr w14:val="tx1"/>
            </w14:solidFill>
          </w14:textFill>
        </w:rPr>
        <w:t>弹塑性方法分析结构</w:t>
      </w:r>
      <w:r>
        <w:rPr>
          <w:rFonts w:hint="eastAsia"/>
          <w:color w:val="000000" w:themeColor="text1"/>
          <w:lang w:eastAsia="zh-CN"/>
          <w14:textFill>
            <w14:solidFill>
              <w14:schemeClr w14:val="tx1"/>
            </w14:solidFill>
          </w14:textFill>
        </w:rPr>
        <w:t>构件进入塑性及相应的</w:t>
      </w:r>
      <w:r>
        <w:rPr>
          <w:color w:val="000000" w:themeColor="text1"/>
          <w:lang w:eastAsia="zh-CN"/>
          <w14:textFill>
            <w14:solidFill>
              <w14:schemeClr w14:val="tx1"/>
            </w14:solidFill>
          </w14:textFill>
        </w:rPr>
        <w:t>破坏程度</w:t>
      </w:r>
      <w:r>
        <w:rPr>
          <w:rFonts w:hint="eastAsia"/>
          <w:color w:val="000000" w:themeColor="text1"/>
          <w:lang w:eastAsia="zh-CN"/>
          <w14:textFill>
            <w14:solidFill>
              <w14:schemeClr w14:val="tx1"/>
            </w14:solidFill>
          </w14:textFill>
        </w:rPr>
        <w:t>。根据计算结果</w:t>
      </w:r>
      <w:r>
        <w:rPr>
          <w:color w:val="000000" w:themeColor="text1"/>
          <w:lang w:eastAsia="zh-CN"/>
          <w14:textFill>
            <w14:solidFill>
              <w14:schemeClr w14:val="tx1"/>
            </w14:solidFill>
          </w14:textFill>
        </w:rPr>
        <w:t>判断是否</w:t>
      </w:r>
      <w:r>
        <w:rPr>
          <w:rFonts w:hint="eastAsia"/>
          <w:color w:val="000000" w:themeColor="text1"/>
          <w:lang w:eastAsia="zh-CN"/>
          <w14:textFill>
            <w14:solidFill>
              <w14:schemeClr w14:val="tx1"/>
            </w14:solidFill>
          </w14:textFill>
        </w:rPr>
        <w:t>满足性能目标要求</w:t>
      </w:r>
      <w:r>
        <w:rPr>
          <w:color w:val="000000" w:themeColor="text1"/>
          <w:lang w:eastAsia="zh-CN"/>
          <w14:textFill>
            <w14:solidFill>
              <w14:schemeClr w14:val="tx1"/>
            </w14:solidFill>
          </w14:textFill>
        </w:rPr>
        <w:t>。</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高层建筑混凝土结构除应符合本规程的规定外，尚应符合国家现行有关标准的规定。</w:t>
      </w:r>
    </w:p>
    <w:p>
      <w:pPr>
        <w:spacing w:line="240" w:lineRule="auto"/>
        <w:jc w:val="center"/>
        <w:rPr>
          <w:b/>
          <w:color w:val="000000" w:themeColor="text1"/>
          <w:sz w:val="24"/>
          <w14:textFill>
            <w14:solidFill>
              <w14:schemeClr w14:val="tx1"/>
            </w14:solidFill>
          </w14:textFill>
        </w:rPr>
      </w:pPr>
    </w:p>
    <w:p>
      <w:pPr>
        <w:pStyle w:val="60"/>
        <w:spacing w:beforeLines="0" w:afterLines="0" w:line="240" w:lineRule="auto"/>
        <w:rPr>
          <w:color w:val="000000" w:themeColor="text1"/>
          <w14:textFill>
            <w14:solidFill>
              <w14:schemeClr w14:val="tx1"/>
            </w14:solidFill>
          </w14:textFill>
        </w:rPr>
      </w:pPr>
      <w:bookmarkStart w:id="2" w:name="_Toc24714182"/>
      <w:r>
        <w:rPr>
          <w:rFonts w:hint="eastAsia"/>
          <w:color w:val="000000" w:themeColor="text1"/>
          <w:lang w:eastAsia="zh-CN"/>
          <w14:textFill>
            <w14:solidFill>
              <w14:schemeClr w14:val="tx1"/>
            </w14:solidFill>
          </w14:textFill>
        </w:rPr>
        <w:t>术语和符号</w:t>
      </w:r>
      <w:bookmarkEnd w:id="2"/>
    </w:p>
    <w:p>
      <w:pPr>
        <w:pStyle w:val="61"/>
        <w:rPr>
          <w:color w:val="000000" w:themeColor="text1"/>
          <w14:textFill>
            <w14:solidFill>
              <w14:schemeClr w14:val="tx1"/>
            </w14:solidFill>
          </w14:textFill>
        </w:rPr>
      </w:pPr>
      <w:bookmarkStart w:id="3" w:name="_Toc24714183"/>
      <w:r>
        <w:rPr>
          <w:rFonts w:hint="eastAsia"/>
          <w:color w:val="000000" w:themeColor="text1"/>
          <w14:textFill>
            <w14:solidFill>
              <w14:schemeClr w14:val="tx1"/>
            </w14:solidFill>
          </w14:textFill>
        </w:rPr>
        <w:t>术语</w:t>
      </w:r>
      <w:bookmarkEnd w:id="3"/>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高层建筑</w:t>
      </w:r>
      <w:r>
        <w:rPr>
          <w:rFonts w:hint="eastAsia"/>
          <w:color w:val="000000" w:themeColor="text1"/>
          <w:lang w:eastAsia="zh-CN"/>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tall b</w:t>
      </w:r>
      <w:r>
        <w:rPr>
          <w:rFonts w:ascii="Times New Roman" w:hAnsi="Times New Roman"/>
          <w:color w:val="000000" w:themeColor="text1"/>
          <w:lang w:eastAsia="zh-CN"/>
          <w14:textFill>
            <w14:solidFill>
              <w14:schemeClr w14:val="tx1"/>
            </w14:solidFill>
          </w14:textFill>
        </w:rPr>
        <w:t>u</w:t>
      </w:r>
      <w:r>
        <w:rPr>
          <w:rFonts w:ascii="Times New Roman" w:hAnsi="Times New Roman"/>
          <w:color w:val="000000" w:themeColor="text1"/>
          <w14:textFill>
            <w14:solidFill>
              <w14:schemeClr w14:val="tx1"/>
            </w14:solidFill>
          </w14:textFill>
        </w:rPr>
        <w:t>il</w:t>
      </w:r>
      <w:r>
        <w:rPr>
          <w:rFonts w:ascii="Times New Roman" w:hAnsi="Times New Roman"/>
          <w:color w:val="000000" w:themeColor="text1"/>
          <w:lang w:eastAsia="zh-CN"/>
          <w14:textFill>
            <w14:solidFill>
              <w14:schemeClr w14:val="tx1"/>
            </w14:solidFill>
          </w14:textFill>
        </w:rPr>
        <w:t>d</w:t>
      </w:r>
      <w:r>
        <w:rPr>
          <w:rFonts w:ascii="Times New Roman" w:hAnsi="Times New Roman"/>
          <w:color w:val="000000" w:themeColor="text1"/>
          <w14:textFill>
            <w14:solidFill>
              <w14:schemeClr w14:val="tx1"/>
            </w14:solidFill>
          </w14:textFill>
        </w:rPr>
        <w:t>in</w:t>
      </w:r>
      <w:r>
        <w:rPr>
          <w:rFonts w:ascii="Times New Roman" w:hAnsi="Times New Roman"/>
          <w:color w:val="000000" w:themeColor="text1"/>
          <w:lang w:eastAsia="zh-CN"/>
          <w14:textFill>
            <w14:solidFill>
              <w14:schemeClr w14:val="tx1"/>
            </w14:solidFill>
          </w14:textFill>
        </w:rPr>
        <w:t>g,</w:t>
      </w:r>
      <w:r>
        <w:rPr>
          <w:rFonts w:ascii="Times New Roman" w:hAnsi="Times New Roman"/>
          <w:color w:val="000000" w:themeColor="text1"/>
          <w14:textFill>
            <w14:solidFill>
              <w14:schemeClr w14:val="tx1"/>
            </w14:solidFill>
          </w14:textFill>
        </w:rPr>
        <w:t>high</w:t>
      </w:r>
      <w:r>
        <w:rPr>
          <w:rFonts w:ascii="Times New Roman" w:hAnsi="Times New Roman"/>
          <w:color w:val="000000" w:themeColor="text1"/>
          <w:lang w:eastAsia="zh-CN"/>
          <w14:textFill>
            <w14:solidFill>
              <w14:schemeClr w14:val="tx1"/>
            </w14:solidFill>
          </w14:textFill>
        </w:rPr>
        <w:t>-r</w:t>
      </w:r>
      <w:r>
        <w:rPr>
          <w:rFonts w:ascii="Times New Roman" w:hAnsi="Times New Roman"/>
          <w:color w:val="000000" w:themeColor="text1"/>
          <w14:textFill>
            <w14:solidFill>
              <w14:schemeClr w14:val="tx1"/>
            </w14:solidFill>
          </w14:textFill>
        </w:rPr>
        <w:t>ise b</w:t>
      </w:r>
      <w:r>
        <w:rPr>
          <w:rFonts w:ascii="Times New Roman" w:hAnsi="Times New Roman"/>
          <w:color w:val="000000" w:themeColor="text1"/>
          <w:lang w:eastAsia="zh-CN"/>
          <w14:textFill>
            <w14:solidFill>
              <w14:schemeClr w14:val="tx1"/>
            </w14:solidFill>
          </w14:textFill>
        </w:rPr>
        <w:t>uil</w:t>
      </w:r>
      <w:r>
        <w:rPr>
          <w:rFonts w:ascii="Times New Roman" w:hAnsi="Times New Roman"/>
          <w:color w:val="000000" w:themeColor="text1"/>
          <w14:textFill>
            <w14:solidFill>
              <w14:schemeClr w14:val="tx1"/>
            </w14:solidFill>
          </w14:textFill>
        </w:rPr>
        <w:t>ding</w:t>
      </w:r>
    </w:p>
    <w:p>
      <w:pPr>
        <w:adjustRightIn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10层及10层以上或房屋高度大于28m的住宅建筑和房屋高度大于24m的其他高层民用建筑。</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房屋高度</w:t>
      </w:r>
      <w:r>
        <w:rPr>
          <w:rFonts w:hint="eastAsia"/>
          <w:color w:val="000000" w:themeColor="text1"/>
          <w:lang w:eastAsia="zh-CN"/>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building height</w:t>
      </w:r>
    </w:p>
    <w:p>
      <w:pPr>
        <w:adjustRightIn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自室外地面至房屋主要屋面的高度，不包括突出屋面的电梯机房、水箱、构架等高度。</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框架结构</w:t>
      </w:r>
      <w:r>
        <w:rPr>
          <w:rFonts w:hint="eastAsia"/>
          <w:color w:val="000000" w:themeColor="text1"/>
          <w:lang w:eastAsia="zh-CN"/>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frame structure</w:t>
      </w:r>
    </w:p>
    <w:p>
      <w:pPr>
        <w:adjustRightIn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由梁和柱为主要构件组成的承受竖向和水平作用的结构。</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剪力墙结构</w:t>
      </w:r>
      <w:r>
        <w:rPr>
          <w:rFonts w:hint="eastAsia"/>
          <w:color w:val="000000" w:themeColor="text1"/>
          <w:lang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shearwall structure</w:t>
      </w:r>
    </w:p>
    <w:p>
      <w:pPr>
        <w:adjustRightIn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由剪力墙组成的承受竖向和水平作用的结构。</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框架-剪力墙结构</w:t>
      </w:r>
      <w:r>
        <w:rPr>
          <w:rFonts w:hint="eastAsia" w:ascii="Times New Roman" w:hAnsi="Times New Roman"/>
          <w:color w:val="000000" w:themeColor="text1"/>
          <w14:textFill>
            <w14:solidFill>
              <w14:schemeClr w14:val="tx1"/>
            </w14:solidFill>
          </w14:textFill>
        </w:rPr>
        <w:t>frame shearwall structure</w:t>
      </w:r>
    </w:p>
    <w:p>
      <w:pPr>
        <w:adjustRightIn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由框架和剪力墙共同承受竖向和水平作用的结构。</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板柱</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剪力墙结构</w:t>
      </w:r>
      <w:r>
        <w:rPr>
          <w:rFonts w:ascii="Times New Roman" w:hAnsi="Times New Roman"/>
          <w:color w:val="000000" w:themeColor="text1"/>
          <w14:textFill>
            <w14:solidFill>
              <w14:schemeClr w14:val="tx1"/>
            </w14:solidFill>
          </w14:textFill>
        </w:rPr>
        <w:t>s</w:t>
      </w:r>
      <w:r>
        <w:rPr>
          <w:rFonts w:hint="eastAsia" w:ascii="Times New Roman" w:hAnsi="Times New Roman"/>
          <w:color w:val="000000" w:themeColor="text1"/>
          <w:lang w:eastAsia="zh-CN"/>
          <w14:textFill>
            <w14:solidFill>
              <w14:schemeClr w14:val="tx1"/>
            </w14:solidFill>
          </w14:textFill>
        </w:rPr>
        <w:t>l</w:t>
      </w:r>
      <w:r>
        <w:rPr>
          <w:rFonts w:ascii="Times New Roman" w:hAnsi="Times New Roman"/>
          <w:color w:val="000000" w:themeColor="text1"/>
          <w14:textFill>
            <w14:solidFill>
              <w14:schemeClr w14:val="tx1"/>
            </w14:solidFill>
          </w14:textFill>
        </w:rPr>
        <w:t>ab-column shearwall structure</w:t>
      </w:r>
    </w:p>
    <w:p>
      <w:pPr>
        <w:adjustRightIn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由无梁楼板和柱组成的板柱框架与剪力墙共同承受竖向和水平作用的结构。</w:t>
      </w:r>
    </w:p>
    <w:p>
      <w:pPr>
        <w:pStyle w:val="119"/>
        <w:snapToGrid/>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筒体</w:t>
      </w:r>
      <w:r>
        <w:rPr>
          <w:rFonts w:hint="eastAsia"/>
          <w:color w:val="000000" w:themeColor="text1"/>
          <w14:textFill>
            <w14:solidFill>
              <w14:schemeClr w14:val="tx1"/>
            </w14:solidFill>
          </w14:textFill>
        </w:rPr>
        <w:t>结构</w:t>
      </w:r>
      <w:r>
        <w:rPr>
          <w:rFonts w:ascii="Times New Roman" w:hAnsi="Times New Roman"/>
          <w:color w:val="000000" w:themeColor="text1"/>
          <w14:textFill>
            <w14:solidFill>
              <w14:schemeClr w14:val="tx1"/>
            </w14:solidFill>
          </w14:textFill>
        </w:rPr>
        <w:t>tube struc</w:t>
      </w:r>
      <w:r>
        <w:rPr>
          <w:rFonts w:hint="eastAsia" w:ascii="Times New Roman" w:hAnsi="Times New Roman"/>
          <w:color w:val="000000" w:themeColor="text1"/>
          <w:lang w:eastAsia="zh-CN"/>
          <w14:textFill>
            <w14:solidFill>
              <w14:schemeClr w14:val="tx1"/>
            </w14:solidFill>
          </w14:textFill>
        </w:rPr>
        <w:t>t</w:t>
      </w:r>
      <w:r>
        <w:rPr>
          <w:rFonts w:ascii="Times New Roman" w:hAnsi="Times New Roman"/>
          <w:color w:val="000000" w:themeColor="text1"/>
          <w14:textFill>
            <w14:solidFill>
              <w14:schemeClr w14:val="tx1"/>
            </w14:solidFill>
          </w14:textFill>
        </w:rPr>
        <w:t>ure</w:t>
      </w:r>
    </w:p>
    <w:p>
      <w:pPr>
        <w:adjustRightIn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由竖向筒体为主组成的承受坚向和水平作用的建筑结构。筒体结构的筒体分剪力墙围成的薄壁筒和由密柱框架或壁式框架围成的框筒等。</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框架</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核心筒结构</w:t>
      </w:r>
      <w:r>
        <w:rPr>
          <w:rFonts w:ascii="Times New Roman" w:hAnsi="Times New Roman"/>
          <w:color w:val="000000" w:themeColor="text1"/>
          <w:lang w:eastAsia="zh-CN"/>
          <w14:textFill>
            <w14:solidFill>
              <w14:schemeClr w14:val="tx1"/>
            </w14:solidFill>
          </w14:textFill>
        </w:rPr>
        <w:t>frame-c</w:t>
      </w:r>
      <w:r>
        <w:rPr>
          <w:rFonts w:ascii="Times New Roman" w:hAnsi="Times New Roman"/>
          <w:color w:val="000000" w:themeColor="text1"/>
          <w14:textFill>
            <w14:solidFill>
              <w14:schemeClr w14:val="tx1"/>
            </w14:solidFill>
          </w14:textFill>
        </w:rPr>
        <w:t>orewall s</w:t>
      </w:r>
      <w:r>
        <w:rPr>
          <w:rFonts w:hint="eastAsia" w:ascii="Times New Roman" w:hAnsi="Times New Roman"/>
          <w:color w:val="000000" w:themeColor="text1"/>
          <w:lang w:eastAsia="zh-CN"/>
          <w14:textFill>
            <w14:solidFill>
              <w14:schemeClr w14:val="tx1"/>
            </w14:solidFill>
          </w14:textFill>
        </w:rPr>
        <w:t>t</w:t>
      </w:r>
      <w:r>
        <w:rPr>
          <w:rFonts w:ascii="Times New Roman" w:hAnsi="Times New Roman"/>
          <w:color w:val="000000" w:themeColor="text1"/>
          <w14:textFill>
            <w14:solidFill>
              <w14:schemeClr w14:val="tx1"/>
            </w14:solidFill>
          </w14:textFill>
        </w:rPr>
        <w:t>ru</w:t>
      </w:r>
      <w:r>
        <w:rPr>
          <w:rFonts w:hint="eastAsia" w:ascii="Times New Roman" w:hAnsi="Times New Roman"/>
          <w:color w:val="000000" w:themeColor="text1"/>
          <w:lang w:eastAsia="zh-CN"/>
          <w14:textFill>
            <w14:solidFill>
              <w14:schemeClr w14:val="tx1"/>
            </w14:solidFill>
          </w14:textFill>
        </w:rPr>
        <w:t>c</w:t>
      </w:r>
      <w:r>
        <w:rPr>
          <w:rFonts w:ascii="Times New Roman" w:hAnsi="Times New Roman"/>
          <w:color w:val="000000" w:themeColor="text1"/>
          <w14:textFill>
            <w14:solidFill>
              <w14:schemeClr w14:val="tx1"/>
            </w14:solidFill>
          </w14:textFill>
        </w:rPr>
        <w:t>ture</w:t>
      </w:r>
    </w:p>
    <w:p>
      <w:pPr>
        <w:adjustRightIn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由核心筒与外围的稀柱框架组成的筒体结构。</w:t>
      </w:r>
    </w:p>
    <w:p>
      <w:pPr>
        <w:pStyle w:val="119"/>
        <w:snapToGrid/>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筒</w:t>
      </w:r>
      <w:r>
        <w:rPr>
          <w:rFonts w:hint="eastAsia"/>
          <w:color w:val="000000" w:themeColor="text1"/>
          <w14:textFill>
            <w14:solidFill>
              <w14:schemeClr w14:val="tx1"/>
            </w14:solidFill>
          </w14:textFill>
        </w:rPr>
        <w:t>中</w:t>
      </w:r>
      <w:r>
        <w:rPr>
          <w:rFonts w:hint="eastAsia"/>
          <w:color w:val="000000" w:themeColor="text1"/>
          <w:lang w:eastAsia="zh-CN"/>
          <w14:textFill>
            <w14:solidFill>
              <w14:schemeClr w14:val="tx1"/>
            </w14:solidFill>
          </w14:textFill>
        </w:rPr>
        <w:t>筒</w:t>
      </w:r>
      <w:r>
        <w:rPr>
          <w:rFonts w:hint="eastAsia"/>
          <w:color w:val="000000" w:themeColor="text1"/>
          <w14:textFill>
            <w14:solidFill>
              <w14:schemeClr w14:val="tx1"/>
            </w14:solidFill>
          </w14:textFill>
        </w:rPr>
        <w:t>结构</w:t>
      </w:r>
      <w:r>
        <w:rPr>
          <w:rFonts w:ascii="Times New Roman" w:hAnsi="Times New Roman"/>
          <w:color w:val="000000" w:themeColor="text1"/>
          <w14:textFill>
            <w14:solidFill>
              <w14:schemeClr w14:val="tx1"/>
            </w14:solidFill>
          </w14:textFill>
        </w:rPr>
        <w:t>tube in tube structure</w:t>
      </w:r>
    </w:p>
    <w:p>
      <w:pPr>
        <w:adjustRightIn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由核心筒与外围框筒组成的筒体结构。</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混合结构</w:t>
      </w:r>
      <w:r>
        <w:rPr>
          <w:rFonts w:hint="eastAsia"/>
          <w:color w:val="000000" w:themeColor="text1"/>
          <w:lang w:eastAsia="zh-CN"/>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mi</w:t>
      </w:r>
      <w:r>
        <w:rPr>
          <w:rFonts w:ascii="Times New Roman" w:hAnsi="Times New Roman"/>
          <w:color w:val="000000" w:themeColor="text1"/>
          <w:lang w:eastAsia="zh-CN"/>
          <w14:textFill>
            <w14:solidFill>
              <w14:schemeClr w14:val="tx1"/>
            </w14:solidFill>
          </w14:textFill>
        </w:rPr>
        <w:t>x</w:t>
      </w:r>
      <w:r>
        <w:rPr>
          <w:rFonts w:ascii="Times New Roman" w:hAnsi="Times New Roman"/>
          <w:color w:val="000000" w:themeColor="text1"/>
          <w14:textFill>
            <w14:solidFill>
              <w14:schemeClr w14:val="tx1"/>
            </w14:solidFill>
          </w14:textFill>
        </w:rPr>
        <w:t>ed s</w:t>
      </w:r>
      <w:r>
        <w:rPr>
          <w:rFonts w:ascii="Times New Roman" w:hAnsi="Times New Roman"/>
          <w:color w:val="000000" w:themeColor="text1"/>
          <w:lang w:eastAsia="zh-CN"/>
          <w14:textFill>
            <w14:solidFill>
              <w14:schemeClr w14:val="tx1"/>
            </w14:solidFill>
          </w14:textFill>
        </w:rPr>
        <w:t>tr</w:t>
      </w:r>
      <w:r>
        <w:rPr>
          <w:rFonts w:ascii="Times New Roman" w:hAnsi="Times New Roman"/>
          <w:color w:val="000000" w:themeColor="text1"/>
          <w14:textFill>
            <w14:solidFill>
              <w14:schemeClr w14:val="tx1"/>
            </w14:solidFill>
          </w14:textFill>
        </w:rPr>
        <w:t>u</w:t>
      </w:r>
      <w:r>
        <w:rPr>
          <w:rFonts w:ascii="Times New Roman" w:hAnsi="Times New Roman"/>
          <w:color w:val="000000" w:themeColor="text1"/>
          <w:lang w:eastAsia="zh-CN"/>
          <w14:textFill>
            <w14:solidFill>
              <w14:schemeClr w14:val="tx1"/>
            </w14:solidFill>
          </w14:textFill>
        </w:rPr>
        <w:t>c</w:t>
      </w:r>
      <w:r>
        <w:rPr>
          <w:rFonts w:ascii="Times New Roman" w:hAnsi="Times New Roman"/>
          <w:color w:val="000000" w:themeColor="text1"/>
          <w14:textFill>
            <w14:solidFill>
              <w14:schemeClr w14:val="tx1"/>
            </w14:solidFill>
          </w14:textFill>
        </w:rPr>
        <w:t>ture</w:t>
      </w:r>
      <w:r>
        <w:rPr>
          <w:rFonts w:ascii="Times New Roman" w:hAnsi="Times New Roman"/>
          <w:color w:val="000000" w:themeColor="text1"/>
          <w:lang w:eastAsia="zh-CN"/>
          <w14:textFill>
            <w14:solidFill>
              <w14:schemeClr w14:val="tx1"/>
            </w14:solidFill>
          </w14:textFill>
        </w:rPr>
        <w:t>,</w:t>
      </w:r>
      <w:r>
        <w:rPr>
          <w:rFonts w:ascii="Times New Roman" w:hAnsi="Times New Roman"/>
          <w:color w:val="000000" w:themeColor="text1"/>
          <w14:textFill>
            <w14:solidFill>
              <w14:schemeClr w14:val="tx1"/>
            </w14:solidFill>
          </w14:textFill>
        </w:rPr>
        <w:t xml:space="preserve"> hybrid st</w:t>
      </w:r>
      <w:r>
        <w:rPr>
          <w:rFonts w:ascii="Times New Roman" w:hAnsi="Times New Roman"/>
          <w:color w:val="000000" w:themeColor="text1"/>
          <w:lang w:eastAsia="zh-CN"/>
          <w14:textFill>
            <w14:solidFill>
              <w14:schemeClr w14:val="tx1"/>
            </w14:solidFill>
          </w14:textFill>
        </w:rPr>
        <w:t>ruc</w:t>
      </w:r>
      <w:r>
        <w:rPr>
          <w:rFonts w:ascii="Times New Roman" w:hAnsi="Times New Roman"/>
          <w:color w:val="000000" w:themeColor="text1"/>
          <w14:textFill>
            <w14:solidFill>
              <w14:schemeClr w14:val="tx1"/>
            </w14:solidFill>
          </w14:textFill>
        </w:rPr>
        <w:t>ture</w:t>
      </w:r>
    </w:p>
    <w:p>
      <w:pPr>
        <w:adjustRightIn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由钢框架(框筒)、型钢混凝上框架（框筒）、钢管混凝土框架（框筒）与钢筋混凝土核心筒体所组成的共同承受水平和竖向作用的建筑结构。</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转换结构构件 </w:t>
      </w:r>
      <w:r>
        <w:rPr>
          <w:rFonts w:ascii="Times New Roman" w:hAnsi="Times New Roman"/>
          <w:color w:val="000000" w:themeColor="text1"/>
          <w14:textFill>
            <w14:solidFill>
              <w14:schemeClr w14:val="tx1"/>
            </w14:solidFill>
          </w14:textFill>
        </w:rPr>
        <w:t>structural</w:t>
      </w:r>
      <w:r>
        <w:rPr>
          <w:rFonts w:hint="eastAsia" w:ascii="Times New Roman" w:hAnsi="Times New Roman"/>
          <w:color w:val="000000" w:themeColor="text1"/>
          <w:lang w:eastAsia="zh-CN"/>
          <w14:textFill>
            <w14:solidFill>
              <w14:schemeClr w14:val="tx1"/>
            </w14:solidFill>
          </w14:textFill>
        </w:rPr>
        <w:t xml:space="preserve"> t</w:t>
      </w:r>
      <w:r>
        <w:rPr>
          <w:rFonts w:ascii="Times New Roman" w:hAnsi="Times New Roman"/>
          <w:color w:val="000000" w:themeColor="text1"/>
          <w14:textFill>
            <w14:solidFill>
              <w14:schemeClr w14:val="tx1"/>
            </w14:solidFill>
          </w14:textFill>
        </w:rPr>
        <w:t>ransfer</w:t>
      </w:r>
      <w:r>
        <w:rPr>
          <w:rFonts w:hint="eastAsia" w:ascii="Times New Roman" w:hAnsi="Times New Roman"/>
          <w:color w:val="000000" w:themeColor="text1"/>
          <w:lang w:eastAsia="zh-CN"/>
          <w14:textFill>
            <w14:solidFill>
              <w14:schemeClr w14:val="tx1"/>
            </w14:solidFill>
          </w14:textFill>
        </w:rPr>
        <w:t xml:space="preserve"> member</w:t>
      </w:r>
    </w:p>
    <w:p>
      <w:pPr>
        <w:adjustRightIn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完成上部楼层到下部楼层的结构形式转变或上部楼层到下部楼层结构布置改变而设置的结构构件，包括转换梁、转换桁架、转换板等。部分框支剪力墙结构的转换梁亦称为框支梁。</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转换层</w:t>
      </w:r>
      <w:r>
        <w:rPr>
          <w:rFonts w:ascii="Times New Roman" w:hAnsi="Times New Roman"/>
          <w:color w:val="000000" w:themeColor="text1"/>
          <w14:textFill>
            <w14:solidFill>
              <w14:schemeClr w14:val="tx1"/>
            </w14:solidFill>
          </w14:textFill>
        </w:rPr>
        <w:t>transfer story</w:t>
      </w:r>
    </w:p>
    <w:p>
      <w:p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设置转换结构构件的楼层，包括水平结构构件及其以下的竖向结构构件。</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加强层</w:t>
      </w:r>
      <w:r>
        <w:rPr>
          <w:rFonts w:ascii="Times New Roman" w:hAnsi="Times New Roman"/>
          <w:color w:val="000000" w:themeColor="text1"/>
          <w14:textFill>
            <w14:solidFill>
              <w14:schemeClr w14:val="tx1"/>
            </w14:solidFill>
          </w14:textFill>
        </w:rPr>
        <w:t xml:space="preserve">story with </w:t>
      </w:r>
      <w:r>
        <w:rPr>
          <w:rFonts w:hint="eastAsia" w:ascii="Times New Roman" w:hAnsi="Times New Roman"/>
          <w:color w:val="000000" w:themeColor="text1"/>
          <w:lang w:eastAsia="zh-CN"/>
          <w14:textFill>
            <w14:solidFill>
              <w14:schemeClr w14:val="tx1"/>
            </w14:solidFill>
          </w14:textFill>
        </w:rPr>
        <w:t>outrig</w:t>
      </w:r>
      <w:r>
        <w:rPr>
          <w:rFonts w:ascii="Times New Roman" w:hAnsi="Times New Roman"/>
          <w:color w:val="000000" w:themeColor="text1"/>
          <w14:textFill>
            <w14:solidFill>
              <w14:schemeClr w14:val="tx1"/>
            </w14:solidFill>
          </w14:textFill>
        </w:rPr>
        <w:t>gers and/or belt members</w:t>
      </w:r>
    </w:p>
    <w:p>
      <w:pPr>
        <w:adjustRightInd w:val="0"/>
        <w:snapToGrid w:val="0"/>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设置连接内筒与外围结构的水平伸臂结构（梁或桁架)的楼层，必要时还可沿该楼层外围结构设置带状水平桁架或梁。</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连体结构</w:t>
      </w:r>
      <w:r>
        <w:rPr>
          <w:rFonts w:hint="eastAsia"/>
          <w:color w:val="000000" w:themeColor="text1"/>
          <w:lang w:eastAsia="zh-CN"/>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towers linked with connective</w:t>
      </w:r>
      <w:r>
        <w:rPr>
          <w:rFonts w:hint="eastAsia" w:ascii="Times New Roman" w:hAnsi="Times New Roman"/>
          <w:color w:val="000000" w:themeColor="text1"/>
          <w:lang w:eastAsia="zh-CN"/>
          <w14:textFill>
            <w14:solidFill>
              <w14:schemeClr w14:val="tx1"/>
            </w14:solidFill>
          </w14:textFill>
        </w:rPr>
        <w:t>/connection structure(s)</w:t>
      </w:r>
    </w:p>
    <w:p>
      <w:pPr>
        <w:adjustRightInd w:val="0"/>
        <w:snapToGrid w:val="0"/>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除裙楼以外，两个或两个以上塔楼之间带有连接体的结构。</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多</w:t>
      </w:r>
      <w:r>
        <w:rPr>
          <w:rFonts w:hint="eastAsia"/>
          <w:color w:val="000000" w:themeColor="text1"/>
          <w:lang w:eastAsia="zh-CN"/>
          <w14:textFill>
            <w14:solidFill>
              <w14:schemeClr w14:val="tx1"/>
            </w14:solidFill>
          </w14:textFill>
        </w:rPr>
        <w:t>塔</w:t>
      </w:r>
      <w:r>
        <w:rPr>
          <w:rFonts w:hint="eastAsia"/>
          <w:color w:val="000000" w:themeColor="text1"/>
          <w14:textFill>
            <w14:solidFill>
              <w14:schemeClr w14:val="tx1"/>
            </w14:solidFill>
          </w14:textFill>
        </w:rPr>
        <w:t>楼结构</w:t>
      </w:r>
      <w:r>
        <w:rPr>
          <w:rFonts w:ascii="Times New Roman" w:hAnsi="Times New Roman"/>
          <w:color w:val="000000" w:themeColor="text1"/>
          <w14:textFill>
            <w14:solidFill>
              <w14:schemeClr w14:val="tx1"/>
            </w14:solidFill>
          </w14:textFill>
        </w:rPr>
        <w:t>m</w:t>
      </w:r>
      <w:r>
        <w:rPr>
          <w:rFonts w:ascii="Times New Roman" w:hAnsi="Times New Roman"/>
          <w:color w:val="000000" w:themeColor="text1"/>
          <w:lang w:eastAsia="zh-CN"/>
          <w14:textFill>
            <w14:solidFill>
              <w14:schemeClr w14:val="tx1"/>
            </w14:solidFill>
          </w14:textFill>
        </w:rPr>
        <w:t>ultu-tower structure with a comm</w:t>
      </w:r>
      <w:r>
        <w:rPr>
          <w:rFonts w:hint="eastAsia" w:ascii="Times New Roman" w:hAnsi="Times New Roman"/>
          <w:color w:val="000000" w:themeColor="text1"/>
          <w:lang w:eastAsia="zh-CN"/>
          <w14:textFill>
            <w14:solidFill>
              <w14:schemeClr w14:val="tx1"/>
            </w14:solidFill>
          </w14:textFill>
        </w:rPr>
        <w:t>o</w:t>
      </w:r>
      <w:r>
        <w:rPr>
          <w:rFonts w:ascii="Times New Roman" w:hAnsi="Times New Roman"/>
          <w:color w:val="000000" w:themeColor="text1"/>
          <w:lang w:eastAsia="zh-CN"/>
          <w14:textFill>
            <w14:solidFill>
              <w14:schemeClr w14:val="tx1"/>
            </w14:solidFill>
          </w14:textFill>
        </w:rPr>
        <w:t>n pod</w:t>
      </w:r>
      <w:r>
        <w:rPr>
          <w:rFonts w:ascii="Times New Roman" w:hAnsi="Times New Roman"/>
          <w:color w:val="000000" w:themeColor="text1"/>
          <w14:textFill>
            <w14:solidFill>
              <w14:schemeClr w14:val="tx1"/>
            </w14:solidFill>
          </w14:textFill>
        </w:rPr>
        <w:t>i</w:t>
      </w:r>
      <w:r>
        <w:rPr>
          <w:rFonts w:ascii="Times New Roman" w:hAnsi="Times New Roman"/>
          <w:color w:val="000000" w:themeColor="text1"/>
          <w:lang w:eastAsia="zh-CN"/>
          <w14:textFill>
            <w14:solidFill>
              <w14:schemeClr w14:val="tx1"/>
            </w14:solidFill>
          </w14:textFill>
        </w:rPr>
        <w:t>u</w:t>
      </w:r>
      <w:r>
        <w:rPr>
          <w:rFonts w:ascii="Times New Roman" w:hAnsi="Times New Roman"/>
          <w:color w:val="000000" w:themeColor="text1"/>
          <w14:textFill>
            <w14:solidFill>
              <w14:schemeClr w14:val="tx1"/>
            </w14:solidFill>
          </w14:textFill>
        </w:rPr>
        <w:t xml:space="preserve">m </w:t>
      </w:r>
    </w:p>
    <w:p>
      <w:pPr>
        <w:adjustRightInd w:val="0"/>
        <w:snapToGrid w:val="0"/>
        <w:spacing w:line="240" w:lineRule="auto"/>
        <w:ind w:left="0" w:firstLine="480" w:firstLineChars="200"/>
        <w:rPr>
          <w:color w:val="000000" w:themeColor="text1"/>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未通过结构缝分开的裙楼上部具有两个或两个以上塔楼的结构。</w:t>
      </w:r>
    </w:p>
    <w:p>
      <w:pPr>
        <w:pStyle w:val="119"/>
        <w:snapToGrid/>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一向少墙剪力墙</w:t>
      </w:r>
      <w:r>
        <w:rPr>
          <w:rFonts w:hint="eastAsia"/>
          <w:color w:val="000000" w:themeColor="text1"/>
          <w14:textFill>
            <w14:solidFill>
              <w14:schemeClr w14:val="tx1"/>
            </w14:solidFill>
          </w14:textFill>
        </w:rPr>
        <w:t>结构</w:t>
      </w:r>
      <w:r>
        <w:rPr>
          <w:rFonts w:hint="eastAsia" w:ascii="Times New Roman" w:hAnsi="Times New Roman"/>
          <w:color w:val="000000" w:themeColor="text1"/>
          <w:lang w:eastAsia="zh-CN"/>
          <w14:textFill>
            <w14:solidFill>
              <w14:schemeClr w14:val="tx1"/>
            </w14:solidFill>
          </w14:textFill>
        </w:rPr>
        <w:t>less</w:t>
      </w:r>
      <w:r>
        <w:rPr>
          <w:rFonts w:ascii="Times New Roman" w:hAnsi="Times New Roman"/>
          <w:color w:val="000000" w:themeColor="text1"/>
          <w:lang w:eastAsia="zh-CN"/>
          <w14:textFill>
            <w14:solidFill>
              <w14:schemeClr w14:val="tx1"/>
            </w14:solidFill>
          </w14:textFill>
        </w:rPr>
        <w:t xml:space="preserve"> </w:t>
      </w:r>
      <w:r>
        <w:rPr>
          <w:rFonts w:hint="eastAsia" w:ascii="Times New Roman" w:hAnsi="Times New Roman"/>
          <w:color w:val="000000" w:themeColor="text1"/>
          <w:lang w:eastAsia="zh-CN"/>
          <w14:textFill>
            <w14:solidFill>
              <w14:schemeClr w14:val="tx1"/>
            </w14:solidFill>
          </w14:textFill>
        </w:rPr>
        <w:t xml:space="preserve">shear </w:t>
      </w:r>
      <w:r>
        <w:rPr>
          <w:rFonts w:ascii="Times New Roman" w:hAnsi="Times New Roman"/>
          <w:color w:val="000000" w:themeColor="text1"/>
          <w:lang w:eastAsia="zh-CN"/>
          <w14:textFill>
            <w14:solidFill>
              <w14:schemeClr w14:val="tx1"/>
            </w14:solidFill>
          </w14:textFill>
        </w:rPr>
        <w:t>walls in one diection</w:t>
      </w:r>
      <w:r>
        <w:rPr>
          <w:rFonts w:hint="eastAsia" w:ascii="Times New Roman" w:hAnsi="Times New Roman"/>
          <w:color w:val="000000" w:themeColor="text1"/>
          <w:lang w:eastAsia="zh-CN"/>
          <w14:textFill>
            <w14:solidFill>
              <w14:schemeClr w14:val="tx1"/>
            </w14:solidFill>
          </w14:textFill>
        </w:rPr>
        <w:t xml:space="preserve"> structure</w:t>
      </w:r>
      <w:r>
        <w:rPr>
          <w:rFonts w:ascii="Times New Roman" w:hAnsi="Times New Roman"/>
          <w:color w:val="000000" w:themeColor="text1"/>
          <w14:textFill>
            <w14:solidFill>
              <w14:schemeClr w14:val="tx1"/>
            </w14:solidFill>
          </w14:textFill>
        </w:rPr>
        <w:t xml:space="preserve"> </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由梁柱框架、扁柱楼板框架、剪力墙共同承受竖向和水平作用的结构,为“复合框架-剪力墙结构”，当规定水平力作用下该方向</w:t>
      </w:r>
      <w:r>
        <w:rPr>
          <w:rFonts w:ascii="宋体" w:hAnsi="宋体"/>
          <w:color w:val="000000" w:themeColor="text1"/>
          <w:sz w:val="24"/>
          <w:szCs w:val="24"/>
          <w14:textFill>
            <w14:solidFill>
              <w14:schemeClr w14:val="tx1"/>
            </w14:solidFill>
          </w14:textFill>
        </w:rPr>
        <w:t>底层扁柱楼板框架</w:t>
      </w:r>
      <w:r>
        <w:rPr>
          <w:rFonts w:hint="eastAsia" w:ascii="宋体" w:hAnsi="宋体"/>
          <w:color w:val="000000" w:themeColor="text1"/>
          <w:sz w:val="24"/>
          <w:szCs w:val="24"/>
          <w14:textFill>
            <w14:solidFill>
              <w14:schemeClr w14:val="tx1"/>
            </w14:solidFill>
          </w14:textFill>
        </w:rPr>
        <w:t>分配</w:t>
      </w:r>
      <w:r>
        <w:rPr>
          <w:rFonts w:ascii="宋体" w:hAnsi="宋体"/>
          <w:color w:val="000000" w:themeColor="text1"/>
          <w:sz w:val="24"/>
          <w:szCs w:val="24"/>
          <w14:textFill>
            <w14:solidFill>
              <w14:schemeClr w14:val="tx1"/>
            </w14:solidFill>
          </w14:textFill>
        </w:rPr>
        <w:t>的剪力大于</w:t>
      </w:r>
      <w:r>
        <w:rPr>
          <w:rFonts w:hint="eastAsia" w:ascii="宋体" w:hAnsi="宋体"/>
          <w:color w:val="000000" w:themeColor="text1"/>
          <w:sz w:val="24"/>
          <w:szCs w:val="24"/>
          <w14:textFill>
            <w14:solidFill>
              <w14:schemeClr w14:val="tx1"/>
            </w14:solidFill>
          </w14:textFill>
        </w:rPr>
        <w:t>10%层剪力时，为一向少墙结构。</w:t>
      </w:r>
    </w:p>
    <w:p>
      <w:pPr>
        <w:pStyle w:val="119"/>
        <w:snapToGrid/>
        <w:rPr>
          <w:rFonts w:ascii="Times New Roman" w:hAnsi="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平面凹凸不规则剪力墙</w:t>
      </w:r>
      <w:r>
        <w:rPr>
          <w:rFonts w:hint="eastAsia"/>
          <w:color w:val="000000" w:themeColor="text1"/>
          <w14:textFill>
            <w14:solidFill>
              <w14:schemeClr w14:val="tx1"/>
            </w14:solidFill>
          </w14:textFill>
        </w:rPr>
        <w:t>结构</w:t>
      </w:r>
      <w:r>
        <w:rPr>
          <w:rFonts w:hint="eastAsia"/>
          <w:color w:val="000000" w:themeColor="text1"/>
          <w:lang w:eastAsia="zh-CN"/>
          <w14:textFill>
            <w14:solidFill>
              <w14:schemeClr w14:val="tx1"/>
            </w14:solidFill>
          </w14:textFill>
        </w:rPr>
        <w:t xml:space="preserve"> </w:t>
      </w:r>
      <w:r>
        <w:rPr>
          <w:rFonts w:ascii="Times New Roman" w:hAnsi="Times New Roman"/>
          <w:color w:val="000000" w:themeColor="text1"/>
          <w:lang w:eastAsia="zh-CN"/>
          <w14:textFill>
            <w14:solidFill>
              <w14:schemeClr w14:val="tx1"/>
            </w14:solidFill>
          </w14:textFill>
        </w:rPr>
        <w:t xml:space="preserve">shear wall structure with irregular plane </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楼层结构平面单肢长宽比大于1.5的超B级高度剪力墙结构。</w:t>
      </w:r>
    </w:p>
    <w:p>
      <w:pPr>
        <w:pStyle w:val="119"/>
        <w:snapToGrid/>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框架-边筒</w:t>
      </w:r>
      <w:r>
        <w:rPr>
          <w:rFonts w:hint="eastAsia"/>
          <w:color w:val="000000" w:themeColor="text1"/>
          <w14:textFill>
            <w14:solidFill>
              <w14:schemeClr w14:val="tx1"/>
            </w14:solidFill>
          </w14:textFill>
        </w:rPr>
        <w:t>结构</w:t>
      </w:r>
      <w:r>
        <w:rPr>
          <w:rFonts w:ascii="Times New Roman" w:hAnsi="Times New Roman"/>
          <w:color w:val="000000" w:themeColor="text1"/>
          <w:lang w:eastAsia="zh-CN"/>
          <w14:textFill>
            <w14:solidFill>
              <w14:schemeClr w14:val="tx1"/>
            </w14:solidFill>
          </w14:textFill>
        </w:rPr>
        <w:t>frame-</w:t>
      </w:r>
      <w:r>
        <w:rPr>
          <w:rFonts w:hint="eastAsia" w:ascii="Times New Roman" w:hAnsi="Times New Roman"/>
          <w:color w:val="000000" w:themeColor="text1"/>
          <w:lang w:eastAsia="zh-CN"/>
          <w14:textFill>
            <w14:solidFill>
              <w14:schemeClr w14:val="tx1"/>
            </w14:solidFill>
          </w14:textFill>
        </w:rPr>
        <w:t>sided tube</w:t>
      </w:r>
      <w:r>
        <w:rPr>
          <w:rFonts w:ascii="Times New Roman" w:hAnsi="Times New Roman"/>
          <w:color w:val="000000" w:themeColor="text1"/>
          <w14:textFill>
            <w14:solidFill>
              <w14:schemeClr w14:val="tx1"/>
            </w14:solidFill>
          </w14:textFill>
        </w:rPr>
        <w:t xml:space="preserve"> s</w:t>
      </w:r>
      <w:r>
        <w:rPr>
          <w:rFonts w:hint="eastAsia" w:ascii="Times New Roman" w:hAnsi="Times New Roman"/>
          <w:color w:val="000000" w:themeColor="text1"/>
          <w:lang w:eastAsia="zh-CN"/>
          <w14:textFill>
            <w14:solidFill>
              <w14:schemeClr w14:val="tx1"/>
            </w14:solidFill>
          </w14:textFill>
        </w:rPr>
        <w:t>t</w:t>
      </w:r>
      <w:r>
        <w:rPr>
          <w:rFonts w:ascii="Times New Roman" w:hAnsi="Times New Roman"/>
          <w:color w:val="000000" w:themeColor="text1"/>
          <w14:textFill>
            <w14:solidFill>
              <w14:schemeClr w14:val="tx1"/>
            </w14:solidFill>
          </w14:textFill>
        </w:rPr>
        <w:t>ru</w:t>
      </w:r>
      <w:r>
        <w:rPr>
          <w:rFonts w:hint="eastAsia" w:ascii="Times New Roman" w:hAnsi="Times New Roman"/>
          <w:color w:val="000000" w:themeColor="text1"/>
          <w:lang w:eastAsia="zh-CN"/>
          <w14:textFill>
            <w14:solidFill>
              <w14:schemeClr w14:val="tx1"/>
            </w14:solidFill>
          </w14:textFill>
        </w:rPr>
        <w:t>c</w:t>
      </w:r>
      <w:r>
        <w:rPr>
          <w:rFonts w:ascii="Times New Roman" w:hAnsi="Times New Roman"/>
          <w:color w:val="000000" w:themeColor="text1"/>
          <w14:textFill>
            <w14:solidFill>
              <w14:schemeClr w14:val="tx1"/>
            </w14:solidFill>
          </w14:textFill>
        </w:rPr>
        <w:t xml:space="preserve">ture </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剪力墙筒体偏置于结构平面一侧的框架筒体结构。</w:t>
      </w:r>
    </w:p>
    <w:p>
      <w:pPr>
        <w:pStyle w:val="119"/>
        <w:snapToGrid/>
        <w:rPr>
          <w:rFonts w:ascii="Times New Roman" w:hAnsi="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斜撑框架-核心筒</w:t>
      </w:r>
      <w:r>
        <w:rPr>
          <w:rFonts w:hint="eastAsia"/>
          <w:color w:val="000000" w:themeColor="text1"/>
          <w14:textFill>
            <w14:solidFill>
              <w14:schemeClr w14:val="tx1"/>
            </w14:solidFill>
          </w14:textFill>
        </w:rPr>
        <w:t>结构</w:t>
      </w:r>
      <w:r>
        <w:rPr>
          <w:rFonts w:ascii="Times New Roman" w:hAnsi="Times New Roman"/>
          <w:color w:val="000000" w:themeColor="text1"/>
          <w14:textFill>
            <w14:solidFill>
              <w14:schemeClr w14:val="tx1"/>
            </w14:solidFill>
          </w14:textFill>
        </w:rPr>
        <w:t>frame</w:t>
      </w:r>
      <w:r>
        <w:rPr>
          <w:rFonts w:hint="eastAsia" w:ascii="Times New Roman" w:hAnsi="Times New Roman"/>
          <w:color w:val="000000" w:themeColor="text1"/>
          <w14:textFill>
            <w14:solidFill>
              <w14:schemeClr w14:val="tx1"/>
            </w14:solidFill>
          </w14:textFill>
        </w:rPr>
        <w:t xml:space="preserve"> with </w:t>
      </w:r>
      <w:r>
        <w:rPr>
          <w:rFonts w:hint="eastAsia" w:ascii="Times New Roman" w:hAnsi="Times New Roman"/>
          <w:color w:val="000000" w:themeColor="text1"/>
          <w:lang w:eastAsia="zh-CN"/>
          <w14:textFill>
            <w14:solidFill>
              <w14:schemeClr w14:val="tx1"/>
            </w14:solidFill>
          </w14:textFill>
        </w:rPr>
        <w:t xml:space="preserve">huge </w:t>
      </w:r>
      <w:r>
        <w:rPr>
          <w:rFonts w:hint="eastAsia" w:ascii="Times New Roman" w:hAnsi="Times New Roman"/>
          <w:color w:val="000000" w:themeColor="text1"/>
          <w14:textFill>
            <w14:solidFill>
              <w14:schemeClr w14:val="tx1"/>
            </w14:solidFill>
          </w14:textFill>
        </w:rPr>
        <w:t>diagonal brace</w:t>
      </w:r>
      <w:r>
        <w:rPr>
          <w:rFonts w:hint="eastAsia" w:ascii="Times New Roman" w:hAnsi="Times New Roman"/>
          <w:color w:val="000000" w:themeColor="text1"/>
          <w:lang w:eastAsia="zh-CN"/>
          <w14:textFill>
            <w14:solidFill>
              <w14:schemeClr w14:val="tx1"/>
            </w14:solidFill>
          </w14:textFill>
        </w:rPr>
        <w:t>-</w:t>
      </w:r>
      <w:r>
        <w:rPr>
          <w:rFonts w:ascii="Times New Roman" w:hAnsi="Times New Roman"/>
          <w:color w:val="000000" w:themeColor="text1"/>
          <w14:textFill>
            <w14:solidFill>
              <w14:schemeClr w14:val="tx1"/>
            </w14:solidFill>
          </w14:textFill>
        </w:rPr>
        <w:t>corewall s</w:t>
      </w:r>
      <w:r>
        <w:rPr>
          <w:rFonts w:hint="eastAsia" w:ascii="Times New Roman" w:hAnsi="Times New Roman"/>
          <w:color w:val="000000" w:themeColor="text1"/>
          <w14:textFill>
            <w14:solidFill>
              <w14:schemeClr w14:val="tx1"/>
            </w14:solidFill>
          </w14:textFill>
        </w:rPr>
        <w:t>t</w:t>
      </w:r>
      <w:r>
        <w:rPr>
          <w:rFonts w:ascii="Times New Roman" w:hAnsi="Times New Roman"/>
          <w:color w:val="000000" w:themeColor="text1"/>
          <w14:textFill>
            <w14:solidFill>
              <w14:schemeClr w14:val="tx1"/>
            </w14:solidFill>
          </w14:textFill>
        </w:rPr>
        <w:t>ru</w:t>
      </w:r>
      <w:r>
        <w:rPr>
          <w:rFonts w:hint="eastAsia" w:ascii="Times New Roman" w:hAnsi="Times New Roman"/>
          <w:color w:val="000000" w:themeColor="text1"/>
          <w14:textFill>
            <w14:solidFill>
              <w14:schemeClr w14:val="tx1"/>
            </w14:solidFill>
          </w14:textFill>
        </w:rPr>
        <w:t>c</w:t>
      </w:r>
      <w:r>
        <w:rPr>
          <w:rFonts w:ascii="Times New Roman" w:hAnsi="Times New Roman"/>
          <w:color w:val="000000" w:themeColor="text1"/>
          <w14:textFill>
            <w14:solidFill>
              <w14:schemeClr w14:val="tx1"/>
            </w14:solidFill>
          </w14:textFill>
        </w:rPr>
        <w:t xml:space="preserve">ture </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带有大斜撑的框架与核心筒组成的承受坚向和水平作用的建筑结构。</w:t>
      </w:r>
    </w:p>
    <w:p>
      <w:pPr>
        <w:pStyle w:val="119"/>
        <w:snapToGrid/>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斜交网格-核心筒</w:t>
      </w:r>
      <w:r>
        <w:rPr>
          <w:rFonts w:hint="eastAsia"/>
          <w:color w:val="000000" w:themeColor="text1"/>
          <w14:textFill>
            <w14:solidFill>
              <w14:schemeClr w14:val="tx1"/>
            </w14:solidFill>
          </w14:textFill>
        </w:rPr>
        <w:t>结构</w:t>
      </w:r>
      <w:r>
        <w:rPr>
          <w:rFonts w:hint="eastAsia" w:ascii="Times New Roman" w:hAnsi="Times New Roman"/>
          <w:color w:val="000000" w:themeColor="text1"/>
          <w14:textFill>
            <w14:solidFill>
              <w14:schemeClr w14:val="tx1"/>
            </w14:solidFill>
          </w14:textFill>
        </w:rPr>
        <w:t>diagonal</w:t>
      </w:r>
      <w:r>
        <w:rPr>
          <w:rFonts w:ascii="Times New Roman" w:hAnsi="Times New Roman"/>
          <w:color w:val="000000" w:themeColor="text1"/>
          <w14:textFill>
            <w14:solidFill>
              <w14:schemeClr w14:val="tx1"/>
            </w14:solidFill>
          </w14:textFill>
        </w:rPr>
        <w:t xml:space="preserve"> lattice</w:t>
      </w:r>
      <w:r>
        <w:rPr>
          <w:rFonts w:hint="eastAsia" w:ascii="Times New Roman" w:hAnsi="Times New Roman"/>
          <w:color w:val="000000" w:themeColor="text1"/>
          <w:lang w:eastAsia="zh-CN"/>
          <w14:textFill>
            <w14:solidFill>
              <w14:schemeClr w14:val="tx1"/>
            </w14:solidFill>
          </w14:textFill>
        </w:rPr>
        <w:t>-</w:t>
      </w:r>
      <w:r>
        <w:rPr>
          <w:rFonts w:ascii="Times New Roman" w:hAnsi="Times New Roman"/>
          <w:color w:val="000000" w:themeColor="text1"/>
          <w14:textFill>
            <w14:solidFill>
              <w14:schemeClr w14:val="tx1"/>
            </w14:solidFill>
          </w14:textFill>
        </w:rPr>
        <w:t xml:space="preserve"> corewall structure </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由平面周边设置的斜交网格与核心筒共同组成的承受坚向和水平作用的建筑结构。</w:t>
      </w:r>
    </w:p>
    <w:p>
      <w:pPr>
        <w:pStyle w:val="119"/>
        <w:snapToGrid/>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单外筒</w:t>
      </w:r>
      <w:r>
        <w:rPr>
          <w:rFonts w:hint="eastAsia"/>
          <w:color w:val="000000" w:themeColor="text1"/>
          <w14:textFill>
            <w14:solidFill>
              <w14:schemeClr w14:val="tx1"/>
            </w14:solidFill>
          </w14:textFill>
        </w:rPr>
        <w:t>结构</w:t>
      </w:r>
      <w:r>
        <w:rPr>
          <w:rFonts w:hint="eastAsia" w:ascii="Times New Roman" w:hAnsi="Times New Roman"/>
          <w:color w:val="000000" w:themeColor="text1"/>
          <w:lang w:eastAsia="zh-CN"/>
          <w14:textFill>
            <w14:solidFill>
              <w14:schemeClr w14:val="tx1"/>
            </w14:solidFill>
          </w14:textFill>
        </w:rPr>
        <w:t>single perimetrical tube structure</w:t>
      </w:r>
      <w:r>
        <w:rPr>
          <w:rFonts w:ascii="Times New Roman" w:hAnsi="Times New Roman"/>
          <w:color w:val="000000" w:themeColor="text1"/>
          <w14:textFill>
            <w14:solidFill>
              <w14:schemeClr w14:val="tx1"/>
            </w14:solidFill>
          </w14:textFill>
        </w:rPr>
        <w:t xml:space="preserve"> </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主要由平面外围筒体抵抗水平作用的建筑结构。</w:t>
      </w:r>
    </w:p>
    <w:p>
      <w:pPr>
        <w:pStyle w:val="119"/>
        <w:snapToGrid/>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巨型</w:t>
      </w:r>
      <w:r>
        <w:rPr>
          <w:rFonts w:hint="eastAsia"/>
          <w:color w:val="000000" w:themeColor="text1"/>
          <w14:textFill>
            <w14:solidFill>
              <w14:schemeClr w14:val="tx1"/>
            </w14:solidFill>
          </w14:textFill>
        </w:rPr>
        <w:t>结构</w:t>
      </w:r>
      <w:r>
        <w:rPr>
          <w:rFonts w:hint="eastAsia" w:ascii="Times New Roman" w:hAnsi="Times New Roman"/>
          <w:color w:val="000000" w:themeColor="text1"/>
          <w:lang w:eastAsia="zh-CN"/>
          <w14:textFill>
            <w14:solidFill>
              <w14:schemeClr w14:val="tx1"/>
            </w14:solidFill>
          </w14:textFill>
        </w:rPr>
        <w:t>mega structure</w:t>
      </w:r>
      <w:r>
        <w:rPr>
          <w:rFonts w:ascii="Times New Roman" w:hAnsi="Times New Roman"/>
          <w:color w:val="000000" w:themeColor="text1"/>
          <w14:textFill>
            <w14:solidFill>
              <w14:schemeClr w14:val="tx1"/>
            </w14:solidFill>
          </w14:textFill>
        </w:rPr>
        <w:t xml:space="preserve"> </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由</w:t>
      </w:r>
      <w:r>
        <w:rPr>
          <w:rFonts w:ascii="宋体" w:hAnsi="宋体"/>
          <w:color w:val="000000" w:themeColor="text1"/>
          <w:sz w:val="24"/>
          <w:szCs w:val="24"/>
          <w14:textFill>
            <w14:solidFill>
              <w14:schemeClr w14:val="tx1"/>
            </w14:solidFill>
          </w14:textFill>
        </w:rPr>
        <w:t>巨柱、巨梁和巨型支撑等巨型杆件组成空间桁架</w:t>
      </w:r>
      <w:r>
        <w:rPr>
          <w:rFonts w:hint="eastAsia" w:ascii="宋体" w:hAnsi="宋体"/>
          <w:color w:val="000000" w:themeColor="text1"/>
          <w:sz w:val="24"/>
          <w:szCs w:val="24"/>
          <w14:textFill>
            <w14:solidFill>
              <w14:schemeClr w14:val="tx1"/>
            </w14:solidFill>
          </w14:textFill>
        </w:rPr>
        <w:t>结构。</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结构抗震性能设计</w:t>
      </w:r>
      <w:r>
        <w:rPr>
          <w:rFonts w:ascii="Times New Roman" w:hAnsi="Times New Roman"/>
          <w:color w:val="000000" w:themeColor="text1"/>
          <w14:textFill>
            <w14:solidFill>
              <w14:schemeClr w14:val="tx1"/>
            </w14:solidFill>
          </w14:textFill>
        </w:rPr>
        <w:t>pefo</w:t>
      </w:r>
      <w:r>
        <w:rPr>
          <w:rFonts w:hint="eastAsia" w:ascii="Times New Roman" w:hAnsi="Times New Roman"/>
          <w:color w:val="000000" w:themeColor="text1"/>
          <w:lang w:eastAsia="zh-CN"/>
          <w14:textFill>
            <w14:solidFill>
              <w14:schemeClr w14:val="tx1"/>
            </w14:solidFill>
          </w14:textFill>
        </w:rPr>
        <w:t>r</w:t>
      </w:r>
      <w:r>
        <w:rPr>
          <w:rFonts w:ascii="Times New Roman" w:hAnsi="Times New Roman"/>
          <w:color w:val="000000" w:themeColor="text1"/>
          <w14:textFill>
            <w14:solidFill>
              <w14:schemeClr w14:val="tx1"/>
            </w14:solidFill>
          </w14:textFill>
        </w:rPr>
        <w:t>man</w:t>
      </w:r>
      <w:r>
        <w:rPr>
          <w:rFonts w:hint="eastAsia" w:ascii="Times New Roman" w:hAnsi="Times New Roman"/>
          <w:color w:val="000000" w:themeColor="text1"/>
          <w:lang w:eastAsia="zh-CN"/>
          <w14:textFill>
            <w14:solidFill>
              <w14:schemeClr w14:val="tx1"/>
            </w14:solidFill>
          </w14:textFill>
        </w:rPr>
        <w:t>c</w:t>
      </w:r>
      <w:r>
        <w:rPr>
          <w:rFonts w:ascii="Times New Roman" w:hAnsi="Times New Roman"/>
          <w:color w:val="000000" w:themeColor="text1"/>
          <w14:textFill>
            <w14:solidFill>
              <w14:schemeClr w14:val="tx1"/>
            </w14:solidFill>
          </w14:textFill>
        </w:rPr>
        <w:t>e</w:t>
      </w:r>
      <w:r>
        <w:rPr>
          <w:rFonts w:hint="eastAsia" w:ascii="Times New Roman" w:hAnsi="Times New Roman"/>
          <w:color w:val="000000" w:themeColor="text1"/>
          <w:lang w:eastAsia="zh-CN"/>
          <w14:textFill>
            <w14:solidFill>
              <w14:schemeClr w14:val="tx1"/>
            </w14:solidFill>
          </w14:textFill>
        </w:rPr>
        <w:t>-b</w:t>
      </w:r>
      <w:r>
        <w:rPr>
          <w:rFonts w:ascii="Times New Roman" w:hAnsi="Times New Roman"/>
          <w:color w:val="000000" w:themeColor="text1"/>
          <w14:textFill>
            <w14:solidFill>
              <w14:schemeClr w14:val="tx1"/>
            </w14:solidFill>
          </w14:textFill>
        </w:rPr>
        <w:t>ased s</w:t>
      </w:r>
      <w:r>
        <w:rPr>
          <w:rFonts w:hint="eastAsia" w:ascii="Times New Roman" w:hAnsi="Times New Roman"/>
          <w:color w:val="000000" w:themeColor="text1"/>
          <w:lang w:eastAsia="zh-CN"/>
          <w14:textFill>
            <w14:solidFill>
              <w14:schemeClr w14:val="tx1"/>
            </w14:solidFill>
          </w14:textFill>
        </w:rPr>
        <w:t>e</w:t>
      </w:r>
      <w:r>
        <w:rPr>
          <w:rFonts w:ascii="Times New Roman" w:hAnsi="Times New Roman"/>
          <w:color w:val="000000" w:themeColor="text1"/>
          <w14:textFill>
            <w14:solidFill>
              <w14:schemeClr w14:val="tx1"/>
            </w14:solidFill>
          </w14:textFill>
        </w:rPr>
        <w:t>ismi</w:t>
      </w:r>
      <w:r>
        <w:rPr>
          <w:rFonts w:hint="eastAsia" w:ascii="Times New Roman" w:hAnsi="Times New Roman"/>
          <w:color w:val="000000" w:themeColor="text1"/>
          <w:lang w:eastAsia="zh-CN"/>
          <w14:textFill>
            <w14:solidFill>
              <w14:schemeClr w14:val="tx1"/>
            </w14:solidFill>
          </w14:textFill>
        </w:rPr>
        <w:t>c</w:t>
      </w:r>
      <w:r>
        <w:rPr>
          <w:rFonts w:ascii="Times New Roman" w:hAnsi="Times New Roman"/>
          <w:color w:val="000000" w:themeColor="text1"/>
          <w14:textFill>
            <w14:solidFill>
              <w14:schemeClr w14:val="tx1"/>
            </w14:solidFill>
          </w14:textFill>
        </w:rPr>
        <w:t xml:space="preserve"> design</w:t>
      </w:r>
      <w:r>
        <w:rPr>
          <w:rFonts w:ascii="Times New Roman" w:hAnsi="Times New Roman"/>
          <w:color w:val="000000" w:themeColor="text1"/>
          <w:lang w:eastAsia="zh-CN"/>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of structure</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以结构抗震性能目标为基准的结构抗震设计。</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结构抗震性能目标 </w:t>
      </w:r>
      <w:r>
        <w:rPr>
          <w:rFonts w:ascii="Times New Roman" w:hAnsi="Times New Roman"/>
          <w:color w:val="000000" w:themeColor="text1"/>
          <w14:textFill>
            <w14:solidFill>
              <w14:schemeClr w14:val="tx1"/>
            </w14:solidFill>
          </w14:textFill>
        </w:rPr>
        <w:t>s</w:t>
      </w:r>
      <w:r>
        <w:rPr>
          <w:rFonts w:hint="eastAsia" w:ascii="Times New Roman" w:hAnsi="Times New Roman"/>
          <w:color w:val="000000" w:themeColor="text1"/>
          <w:lang w:eastAsia="zh-CN"/>
          <w14:textFill>
            <w14:solidFill>
              <w14:schemeClr w14:val="tx1"/>
            </w14:solidFill>
          </w14:textFill>
        </w:rPr>
        <w:t>e</w:t>
      </w:r>
      <w:r>
        <w:rPr>
          <w:rFonts w:ascii="Times New Roman" w:hAnsi="Times New Roman"/>
          <w:color w:val="000000" w:themeColor="text1"/>
          <w14:textFill>
            <w14:solidFill>
              <w14:schemeClr w14:val="tx1"/>
            </w14:solidFill>
          </w14:textFill>
        </w:rPr>
        <w:t>ismi</w:t>
      </w:r>
      <w:r>
        <w:rPr>
          <w:rFonts w:hint="eastAsia" w:ascii="Times New Roman" w:hAnsi="Times New Roman"/>
          <w:color w:val="000000" w:themeColor="text1"/>
          <w:lang w:eastAsia="zh-CN"/>
          <w14:textFill>
            <w14:solidFill>
              <w14:schemeClr w14:val="tx1"/>
            </w14:solidFill>
          </w14:textFill>
        </w:rPr>
        <w:t>c</w:t>
      </w:r>
      <w:r>
        <w:rPr>
          <w:rFonts w:ascii="Times New Roman" w:hAnsi="Times New Roman"/>
          <w:color w:val="000000" w:themeColor="text1"/>
          <w14:textFill>
            <w14:solidFill>
              <w14:schemeClr w14:val="tx1"/>
            </w14:solidFill>
          </w14:textFill>
        </w:rPr>
        <w:t xml:space="preserve"> performance o</w:t>
      </w:r>
      <w:r>
        <w:rPr>
          <w:rFonts w:hint="eastAsia" w:ascii="Times New Roman" w:hAnsi="Times New Roman"/>
          <w:color w:val="000000" w:themeColor="text1"/>
          <w:lang w:eastAsia="zh-CN"/>
          <w14:textFill>
            <w14:solidFill>
              <w14:schemeClr w14:val="tx1"/>
            </w14:solidFill>
          </w14:textFill>
        </w:rPr>
        <w:t>bje</w:t>
      </w:r>
      <w:r>
        <w:rPr>
          <w:rFonts w:ascii="Times New Roman" w:hAnsi="Times New Roman"/>
          <w:color w:val="000000" w:themeColor="text1"/>
          <w14:textFill>
            <w14:solidFill>
              <w14:schemeClr w14:val="tx1"/>
            </w14:solidFill>
          </w14:textFill>
        </w:rPr>
        <w:t>ctive</w:t>
      </w:r>
      <w:r>
        <w:rPr>
          <w:rFonts w:hint="eastAsia" w:ascii="Times New Roman" w:hAnsi="Times New Roman"/>
          <w:color w:val="000000" w:themeColor="text1"/>
          <w:lang w:eastAsia="zh-CN"/>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of structure</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针对不同的地震地面运动水准设定的结构抗震性能水准。</w:t>
      </w:r>
    </w:p>
    <w:p>
      <w:pPr>
        <w:pStyle w:val="119"/>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结构抗震性能水准  </w:t>
      </w:r>
      <w:r>
        <w:rPr>
          <w:rFonts w:ascii="Times New Roman" w:hAnsi="Times New Roman"/>
          <w:color w:val="000000" w:themeColor="text1"/>
          <w14:textFill>
            <w14:solidFill>
              <w14:schemeClr w14:val="tx1"/>
            </w14:solidFill>
          </w14:textFill>
        </w:rPr>
        <w:t>seismic performance level</w:t>
      </w:r>
      <w:r>
        <w:rPr>
          <w:rFonts w:hint="eastAsia" w:ascii="Times New Roman" w:hAnsi="Times New Roman"/>
          <w:color w:val="000000" w:themeColor="text1"/>
          <w:lang w:eastAsia="zh-CN"/>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of structure</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对结构震后损坏状况及继续使用可能性等抗震性能的界定。</w:t>
      </w:r>
    </w:p>
    <w:p>
      <w:pPr>
        <w:spacing w:line="240" w:lineRule="auto"/>
        <w:rPr>
          <w:color w:val="000000" w:themeColor="text1"/>
          <w14:textFill>
            <w14:solidFill>
              <w14:schemeClr w14:val="tx1"/>
            </w14:solidFill>
          </w14:textFill>
        </w:rPr>
      </w:pPr>
    </w:p>
    <w:p>
      <w:pPr>
        <w:pStyle w:val="61"/>
        <w:rPr>
          <w:color w:val="000000" w:themeColor="text1"/>
          <w14:textFill>
            <w14:solidFill>
              <w14:schemeClr w14:val="tx1"/>
            </w14:solidFill>
          </w14:textFill>
        </w:rPr>
      </w:pPr>
      <w:bookmarkStart w:id="4" w:name="_Toc24714184"/>
      <w:r>
        <w:rPr>
          <w:rFonts w:hint="eastAsia"/>
          <w:color w:val="000000" w:themeColor="text1"/>
          <w14:textFill>
            <w14:solidFill>
              <w14:schemeClr w14:val="tx1"/>
            </w14:solidFill>
          </w14:textFill>
        </w:rPr>
        <w:t>符号</w:t>
      </w:r>
      <w:bookmarkEnd w:id="4"/>
    </w:p>
    <w:p>
      <w:pPr>
        <w:pStyle w:val="119"/>
        <w:snapToGrid/>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材料力学性能</w:t>
      </w:r>
    </w:p>
    <w:p>
      <w:pP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C20——材料力学性能表示立方体强度标准值为20N/mm2的混凝土等级；</w:t>
      </w:r>
    </w:p>
    <w:p>
      <w:pP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vertAlign w:val="subscript"/>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——混凝土弹性模量；</w:t>
      </w:r>
    </w:p>
    <w:p>
      <w:pP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vertAlign w:val="subscript"/>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——钢筋弹性模量；</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f</w:t>
      </w:r>
      <w:r>
        <w:rPr>
          <w:rFonts w:ascii="Times New Roman" w:hAnsi="Times New Roman"/>
          <w:color w:val="000000" w:themeColor="text1"/>
          <w:vertAlign w:val="subscript"/>
          <w14:textFill>
            <w14:solidFill>
              <w14:schemeClr w14:val="tx1"/>
            </w14:solidFill>
          </w14:textFill>
        </w:rPr>
        <w:t>ck</w:t>
      </w:r>
      <w:r>
        <w:rPr>
          <w:rFonts w:ascii="Times New Roman" w:hAnsi="Times New Roman"/>
          <w:color w:val="000000" w:themeColor="text1"/>
          <w14:textFill>
            <w14:solidFill>
              <w14:schemeClr w14:val="tx1"/>
            </w14:solidFill>
          </w14:textFill>
        </w:rPr>
        <w:t>、f</w:t>
      </w:r>
      <w:r>
        <w:rPr>
          <w:rFonts w:ascii="Times New Roman" w:hAnsi="Times New Roman"/>
          <w:color w:val="000000" w:themeColor="text1"/>
          <w:vertAlign w:val="subscript"/>
          <w14:textFill>
            <w14:solidFill>
              <w14:schemeClr w14:val="tx1"/>
            </w14:solidFill>
          </w14:textFill>
        </w:rPr>
        <w:t>c</w:t>
      </w:r>
      <w:r>
        <w:rPr>
          <w:rFonts w:ascii="Times New Roman" w:hAnsi="Times New Roman"/>
          <w:color w:val="000000" w:themeColor="text1"/>
          <w14:textFill>
            <w14:solidFill>
              <w14:schemeClr w14:val="tx1"/>
            </w14:solidFill>
          </w14:textFill>
        </w:rPr>
        <w:t>——分别为混</w:t>
      </w:r>
      <w:r>
        <w:rPr>
          <w:rFonts w:ascii="Times New Roman"/>
          <w:color w:val="000000" w:themeColor="text1"/>
          <w14:textFill>
            <w14:solidFill>
              <w14:schemeClr w14:val="tx1"/>
            </w14:solidFill>
          </w14:textFill>
        </w:rPr>
        <w:t>凝土轴心抗压强度标准值、设计值；</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f</w:t>
      </w:r>
      <w:r>
        <w:rPr>
          <w:rFonts w:ascii="Times New Roman" w:hAnsi="Times New Roman"/>
          <w:color w:val="000000" w:themeColor="text1"/>
          <w:vertAlign w:val="subscript"/>
          <w14:textFill>
            <w14:solidFill>
              <w14:schemeClr w14:val="tx1"/>
            </w14:solidFill>
          </w14:textFill>
        </w:rPr>
        <w:t>tk</w:t>
      </w:r>
      <w:r>
        <w:rPr>
          <w:rFonts w:ascii="Times New Roman" w:hAnsi="Times New Roman"/>
          <w:color w:val="000000" w:themeColor="text1"/>
          <w14:textFill>
            <w14:solidFill>
              <w14:schemeClr w14:val="tx1"/>
            </w14:solidFill>
          </w14:textFill>
        </w:rPr>
        <w:t>、f</w:t>
      </w:r>
      <w:r>
        <w:rPr>
          <w:rFonts w:ascii="Times New Roman" w:hAnsi="Times New Roman"/>
          <w:color w:val="000000" w:themeColor="text1"/>
          <w:vertAlign w:val="subscript"/>
          <w14:textFill>
            <w14:solidFill>
              <w14:schemeClr w14:val="tx1"/>
            </w14:solidFill>
          </w14:textFill>
        </w:rPr>
        <w:t>t</w:t>
      </w:r>
      <w:r>
        <w:rPr>
          <w:rFonts w:ascii="Times New Roman" w:hAns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分别为混凝土轴心抗拉强度标准值、设计值；</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f</w:t>
      </w:r>
      <w:r>
        <w:rPr>
          <w:rFonts w:ascii="Times New Roman" w:hAnsi="Times New Roman"/>
          <w:color w:val="000000" w:themeColor="text1"/>
          <w:vertAlign w:val="subscript"/>
          <w14:textFill>
            <w14:solidFill>
              <w14:schemeClr w14:val="tx1"/>
            </w14:solidFill>
          </w14:textFill>
        </w:rPr>
        <w:t>yk</w:t>
      </w:r>
      <w:r>
        <w:rPr>
          <w:rFonts w:ascii="Times New Roman" w:hAns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普通钢筋强度标准值；</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f</w:t>
      </w:r>
      <w:r>
        <w:rPr>
          <w:rFonts w:ascii="Times New Roman" w:hAnsi="Times New Roman"/>
          <w:color w:val="000000" w:themeColor="text1"/>
          <w:vertAlign w:val="subscript"/>
          <w14:textFill>
            <w14:solidFill>
              <w14:schemeClr w14:val="tx1"/>
            </w14:solidFill>
          </w14:textFill>
        </w:rPr>
        <w:t>y</w:t>
      </w:r>
      <w:r>
        <w:rPr>
          <w:rFonts w:ascii="Times New Roman" w:hAnsi="Times New Roman"/>
          <w:color w:val="000000" w:themeColor="text1"/>
          <w14:textFill>
            <w14:solidFill>
              <w14:schemeClr w14:val="tx1"/>
            </w14:solidFill>
          </w14:textFill>
        </w:rPr>
        <w:t>、f</w:t>
      </w:r>
      <w:r>
        <w:rPr>
          <w:rFonts w:ascii="Times New Roman" w:hAnsi="Times New Roman"/>
          <w:color w:val="000000" w:themeColor="text1"/>
          <w:vertAlign w:val="subscript"/>
          <w14:textFill>
            <w14:solidFill>
              <w14:schemeClr w14:val="tx1"/>
            </w14:solidFill>
          </w14:textFill>
        </w:rPr>
        <w:t>y</w:t>
      </w:r>
      <w:r>
        <w:rPr>
          <w:rFonts w:ascii="Times New Roman" w:hAnsi="Times New Roman"/>
          <w:color w:val="000000" w:themeColor="text1"/>
          <w:vertAlign w:val="superscript"/>
          <w14:textFill>
            <w14:solidFill>
              <w14:schemeClr w14:val="tx1"/>
            </w14:solidFill>
          </w14:textFill>
        </w:rPr>
        <w:t>'</w:t>
      </w:r>
      <w:r>
        <w:rPr>
          <w:rFonts w:ascii="Times New Roman" w:hAns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分别为普通钢筋的抗拉、抗压强度设计值；</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f</w:t>
      </w:r>
      <w:r>
        <w:rPr>
          <w:rFonts w:ascii="Times New Roman" w:hAnsi="Times New Roman"/>
          <w:color w:val="000000" w:themeColor="text1"/>
          <w:vertAlign w:val="subscript"/>
          <w14:textFill>
            <w14:solidFill>
              <w14:schemeClr w14:val="tx1"/>
            </w14:solidFill>
          </w14:textFill>
        </w:rPr>
        <w:t>yv</w:t>
      </w:r>
      <w:r>
        <w:rPr>
          <w:rFonts w:ascii="Times New Roman" w:hAns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横向钢筋的抗拉强度设计值；</w:t>
      </w:r>
    </w:p>
    <w:p>
      <w:pPr>
        <w:rPr>
          <w:rFonts w:asci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f</w:t>
      </w:r>
      <w:r>
        <w:rPr>
          <w:rFonts w:ascii="Times New Roman" w:hAnsi="Times New Roman"/>
          <w:color w:val="000000" w:themeColor="text1"/>
          <w:vertAlign w:val="subscript"/>
          <w14:textFill>
            <w14:solidFill>
              <w14:schemeClr w14:val="tx1"/>
            </w14:solidFill>
          </w14:textFill>
        </w:rPr>
        <w:t>yh</w:t>
      </w:r>
      <w:r>
        <w:rPr>
          <w:rFonts w:ascii="Times New Roman" w:hAnsi="Times New Roman"/>
          <w:color w:val="000000" w:themeColor="text1"/>
          <w14:textFill>
            <w14:solidFill>
              <w14:schemeClr w14:val="tx1"/>
            </w14:solidFill>
          </w14:textFill>
        </w:rPr>
        <w:t>、f</w:t>
      </w:r>
      <w:r>
        <w:rPr>
          <w:rFonts w:ascii="Times New Roman" w:hAnsi="Times New Roman"/>
          <w:color w:val="000000" w:themeColor="text1"/>
          <w:vertAlign w:val="subscript"/>
          <w14:textFill>
            <w14:solidFill>
              <w14:schemeClr w14:val="tx1"/>
            </w14:solidFill>
          </w14:textFill>
        </w:rPr>
        <w:t>yw</w:t>
      </w:r>
      <w:r>
        <w:rPr>
          <w:rFonts w:ascii="Times New Roman" w:hAns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分别为剪力墙水平、竖向分布钢筋的抗拉强度设计值。</w:t>
      </w:r>
    </w:p>
    <w:p>
      <w:pPr>
        <w:pStyle w:val="119"/>
        <w:snapToGrid/>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作用和作用效应</w:t>
      </w:r>
    </w:p>
    <w:p>
      <w:pPr>
        <w:rPr>
          <w:color w:val="000000" w:themeColor="text1"/>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F</w:t>
      </w:r>
      <w:r>
        <w:rPr>
          <w:rFonts w:hint="eastAsia" w:ascii="Times New Roman" w:hAnsi="Times New Roman"/>
          <w:color w:val="000000" w:themeColor="text1"/>
          <w:sz w:val="24"/>
          <w:szCs w:val="24"/>
          <w:vertAlign w:val="subscript"/>
          <w14:textFill>
            <w14:solidFill>
              <w14:schemeClr w14:val="tx1"/>
            </w14:solidFill>
          </w14:textFill>
        </w:rPr>
        <w:t>Ek</w:t>
      </w:r>
      <w:r>
        <w:rPr>
          <w:rFonts w:ascii="Times New Roman" w:hAnsi="Times New Roman"/>
          <w:color w:val="000000" w:themeColor="text1"/>
          <w:sz w:val="24"/>
          <w:szCs w:val="24"/>
          <w14:textFill>
            <w14:solidFill>
              <w14:schemeClr w14:val="tx1"/>
            </w14:solidFill>
          </w14:textFill>
        </w:rPr>
        <w:t>——</w:t>
      </w:r>
      <w:r>
        <w:rPr>
          <w:rFonts w:hint="eastAsia"/>
          <w:color w:val="000000" w:themeColor="text1"/>
          <w14:textFill>
            <w14:solidFill>
              <w14:schemeClr w14:val="tx1"/>
            </w14:solidFill>
          </w14:textFill>
        </w:rPr>
        <w:t>结构总水平地震作用标准值；</w:t>
      </w:r>
    </w:p>
    <w:p>
      <w:pPr>
        <w:rPr>
          <w:color w:val="000000" w:themeColor="text1"/>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F</w:t>
      </w:r>
      <w:r>
        <w:rPr>
          <w:rFonts w:hint="eastAsia" w:ascii="Times New Roman" w:hAnsi="Times New Roman"/>
          <w:color w:val="000000" w:themeColor="text1"/>
          <w:sz w:val="24"/>
          <w:szCs w:val="24"/>
          <w:vertAlign w:val="subscript"/>
          <w14:textFill>
            <w14:solidFill>
              <w14:schemeClr w14:val="tx1"/>
            </w14:solidFill>
          </w14:textFill>
        </w:rPr>
        <w:t>Evk</w:t>
      </w:r>
      <w:r>
        <w:rPr>
          <w:rFonts w:ascii="Times New Roman" w:hAnsi="Times New Roman"/>
          <w:color w:val="000000" w:themeColor="text1"/>
          <w:sz w:val="24"/>
          <w:szCs w:val="24"/>
          <w14:textFill>
            <w14:solidFill>
              <w14:schemeClr w14:val="tx1"/>
            </w14:solidFill>
          </w14:textFill>
        </w:rPr>
        <w:t>——</w:t>
      </w:r>
      <w:r>
        <w:rPr>
          <w:rFonts w:hint="eastAsia"/>
          <w:color w:val="000000" w:themeColor="text1"/>
          <w14:textFill>
            <w14:solidFill>
              <w14:schemeClr w14:val="tx1"/>
            </w14:solidFill>
          </w14:textFill>
        </w:rPr>
        <w:t>结构总竖向地震作用标准值；</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rFonts w:hint="eastAsia"/>
          <w:color w:val="000000" w:themeColor="text1"/>
          <w:vertAlign w:val="subscript"/>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w:t>
      </w:r>
      <w:r>
        <w:rPr>
          <w:rFonts w:hint="eastAsia"/>
          <w:color w:val="000000" w:themeColor="text1"/>
          <w14:textFill>
            <w14:solidFill>
              <w14:schemeClr w14:val="tx1"/>
            </w14:solidFill>
          </w14:textFill>
        </w:rPr>
        <w:t>计算地震作用时，结构总重力荷载代表值；</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rFonts w:hint="eastAsia"/>
          <w:color w:val="000000" w:themeColor="text1"/>
          <w:vertAlign w:val="subscript"/>
          <w14:textFill>
            <w14:solidFill>
              <w14:schemeClr w14:val="tx1"/>
            </w14:solidFill>
          </w14:textFill>
        </w:rPr>
        <w:t>eq</w:t>
      </w:r>
      <w:r>
        <w:rPr>
          <w:rFonts w:ascii="Times New Roman" w:hAnsi="Times New Roman"/>
          <w:color w:val="000000" w:themeColor="text1"/>
          <w:sz w:val="24"/>
          <w:szCs w:val="24"/>
          <w14:textFill>
            <w14:solidFill>
              <w14:schemeClr w14:val="tx1"/>
            </w14:solidFill>
          </w14:textFill>
        </w:rPr>
        <w:t>——</w:t>
      </w:r>
      <w:r>
        <w:rPr>
          <w:rFonts w:hint="eastAsia"/>
          <w:color w:val="000000" w:themeColor="text1"/>
          <w14:textFill>
            <w14:solidFill>
              <w14:schemeClr w14:val="tx1"/>
            </w14:solidFill>
          </w14:textFill>
        </w:rPr>
        <w:t>结构等效总重力荷载代表值；</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M</w:t>
      </w:r>
      <w:r>
        <w:rPr>
          <w:rFonts w:ascii="Times New Roman" w:hAnsi="Times New Roman"/>
          <w:color w:val="000000" w:themeColor="text1"/>
          <w:sz w:val="24"/>
          <w:szCs w:val="24"/>
          <w14:textFill>
            <w14:solidFill>
              <w14:schemeClr w14:val="tx1"/>
            </w14:solidFill>
          </w14:textFill>
        </w:rPr>
        <w:t>——</w:t>
      </w:r>
      <w:r>
        <w:rPr>
          <w:rFonts w:hint="eastAsia"/>
          <w:color w:val="000000" w:themeColor="text1"/>
          <w14:textFill>
            <w14:solidFill>
              <w14:schemeClr w14:val="tx1"/>
            </w14:solidFill>
          </w14:textFill>
        </w:rPr>
        <w:t>弯矩设计值；</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N</w:t>
      </w:r>
      <w:r>
        <w:rPr>
          <w:rFonts w:ascii="Times New Roman" w:hAnsi="Times New Roman"/>
          <w:color w:val="000000" w:themeColor="text1"/>
          <w:sz w:val="24"/>
          <w:szCs w:val="24"/>
          <w14:textFill>
            <w14:solidFill>
              <w14:schemeClr w14:val="tx1"/>
            </w14:solidFill>
          </w14:textFill>
        </w:rPr>
        <w:t>——</w:t>
      </w:r>
      <w:r>
        <w:rPr>
          <w:rFonts w:hint="eastAsia"/>
          <w:color w:val="000000" w:themeColor="text1"/>
          <w14:textFill>
            <w14:solidFill>
              <w14:schemeClr w14:val="tx1"/>
            </w14:solidFill>
          </w14:textFill>
        </w:rPr>
        <w:t>轴向力设计值；</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rFonts w:hint="eastAsia"/>
          <w:color w:val="000000" w:themeColor="text1"/>
          <w:vertAlign w:val="subscript"/>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w:t>
      </w:r>
      <w:r>
        <w:rPr>
          <w:rFonts w:hint="eastAsia"/>
          <w:color w:val="000000" w:themeColor="text1"/>
          <w14:textFill>
            <w14:solidFill>
              <w14:schemeClr w14:val="tx1"/>
            </w14:solidFill>
          </w14:textFill>
        </w:rPr>
        <w:t>荷载效应或荷载效应 与地震作用效应组合的设计值；</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V</w:t>
      </w:r>
      <w:r>
        <w:rPr>
          <w:rFonts w:ascii="Times New Roman" w:hAnsi="Times New Roman"/>
          <w:color w:val="000000" w:themeColor="text1"/>
          <w:sz w:val="24"/>
          <w:szCs w:val="24"/>
          <w14:textFill>
            <w14:solidFill>
              <w14:schemeClr w14:val="tx1"/>
            </w14:solidFill>
          </w14:textFill>
        </w:rPr>
        <w:t>——</w:t>
      </w:r>
      <w:r>
        <w:rPr>
          <w:rFonts w:hint="eastAsia"/>
          <w:color w:val="000000" w:themeColor="text1"/>
          <w14:textFill>
            <w14:solidFill>
              <w14:schemeClr w14:val="tx1"/>
            </w14:solidFill>
          </w14:textFill>
        </w:rPr>
        <w:t>剪力设计值。</w:t>
      </w:r>
    </w:p>
    <w:p>
      <w:pPr>
        <w:pStyle w:val="60"/>
        <w:spacing w:beforeLines="0" w:afterLines="0" w:line="240" w:lineRule="auto"/>
        <w:rPr>
          <w:color w:val="000000" w:themeColor="text1"/>
          <w14:textFill>
            <w14:solidFill>
              <w14:schemeClr w14:val="tx1"/>
            </w14:solidFill>
          </w14:textFill>
        </w:rPr>
      </w:pPr>
      <w:bookmarkStart w:id="5" w:name="_Toc24714185"/>
      <w:r>
        <w:rPr>
          <w:rFonts w:hint="eastAsia"/>
          <w:color w:val="000000" w:themeColor="text1"/>
          <w14:textFill>
            <w14:solidFill>
              <w14:schemeClr w14:val="tx1"/>
            </w14:solidFill>
          </w14:textFill>
        </w:rPr>
        <w:t>结构设计基本规定</w:t>
      </w:r>
      <w:bookmarkEnd w:id="5"/>
    </w:p>
    <w:p>
      <w:pPr>
        <w:pStyle w:val="61"/>
        <w:rPr>
          <w:color w:val="000000" w:themeColor="text1"/>
          <w14:textFill>
            <w14:solidFill>
              <w14:schemeClr w14:val="tx1"/>
            </w14:solidFill>
          </w14:textFill>
        </w:rPr>
      </w:pPr>
      <w:bookmarkStart w:id="6" w:name="_Toc24714186"/>
      <w:r>
        <w:rPr>
          <w:rFonts w:hint="eastAsia"/>
          <w:color w:val="000000" w:themeColor="text1"/>
          <w14:textFill>
            <w14:solidFill>
              <w14:schemeClr w14:val="tx1"/>
            </w14:solidFill>
          </w14:textFill>
        </w:rPr>
        <w:t>结构体系的一般规定</w:t>
      </w:r>
      <w:bookmarkEnd w:id="6"/>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高层建筑结构可采用框架</w:t>
      </w:r>
      <w:r>
        <w:rPr>
          <w:rFonts w:hint="eastAsia"/>
          <w:color w:val="000000" w:themeColor="text1"/>
          <w:lang w:eastAsia="zh-CN"/>
          <w14:textFill>
            <w14:solidFill>
              <w14:schemeClr w14:val="tx1"/>
            </w14:solidFill>
          </w14:textFill>
        </w:rPr>
        <w:t>结构</w:t>
      </w:r>
      <w:r>
        <w:rPr>
          <w:color w:val="000000" w:themeColor="text1"/>
          <w:lang w:eastAsia="zh-CN"/>
          <w14:textFill>
            <w14:solidFill>
              <w14:schemeClr w14:val="tx1"/>
            </w14:solidFill>
          </w14:textFill>
        </w:rPr>
        <w:t>、</w:t>
      </w:r>
      <w:r>
        <w:rPr>
          <w:rFonts w:hint="eastAsia"/>
          <w:color w:val="000000" w:themeColor="text1"/>
          <w:lang w:eastAsia="zh-CN"/>
          <w14:textFill>
            <w14:solidFill>
              <w14:schemeClr w14:val="tx1"/>
            </w14:solidFill>
          </w14:textFill>
        </w:rPr>
        <w:t>板柱-剪力墙结构、</w:t>
      </w:r>
      <w:r>
        <w:rPr>
          <w:color w:val="000000" w:themeColor="text1"/>
          <w:lang w:eastAsia="zh-CN"/>
          <w14:textFill>
            <w14:solidFill>
              <w14:schemeClr w14:val="tx1"/>
            </w14:solidFill>
          </w14:textFill>
        </w:rPr>
        <w:t>框架-剪力墙</w:t>
      </w:r>
      <w:r>
        <w:rPr>
          <w:rFonts w:hint="eastAsia"/>
          <w:color w:val="000000" w:themeColor="text1"/>
          <w:lang w:eastAsia="zh-CN"/>
          <w14:textFill>
            <w14:solidFill>
              <w14:schemeClr w14:val="tx1"/>
            </w14:solidFill>
          </w14:textFill>
        </w:rPr>
        <w:t>结构、剪力墙结构（含平面凹凸不规则</w:t>
      </w:r>
      <w:r>
        <w:rPr>
          <w:color w:val="000000" w:themeColor="text1"/>
          <w:lang w:eastAsia="zh-CN"/>
          <w14:textFill>
            <w14:solidFill>
              <w14:schemeClr w14:val="tx1"/>
            </w14:solidFill>
          </w14:textFill>
        </w:rPr>
        <w:t>剪力墙</w:t>
      </w:r>
      <w:r>
        <w:rPr>
          <w:rFonts w:hint="eastAsia"/>
          <w:color w:val="000000" w:themeColor="text1"/>
          <w:lang w:eastAsia="zh-CN"/>
          <w14:textFill>
            <w14:solidFill>
              <w14:schemeClr w14:val="tx1"/>
            </w14:solidFill>
          </w14:textFill>
        </w:rPr>
        <w:t>结构</w:t>
      </w:r>
      <w:r>
        <w:rPr>
          <w:color w:val="000000" w:themeColor="text1"/>
          <w:lang w:eastAsia="zh-CN"/>
          <w14:textFill>
            <w14:solidFill>
              <w14:schemeClr w14:val="tx1"/>
            </w14:solidFill>
          </w14:textFill>
        </w:rPr>
        <w:t>、</w:t>
      </w:r>
      <w:r>
        <w:rPr>
          <w:rFonts w:hint="eastAsia"/>
          <w:color w:val="000000" w:themeColor="text1"/>
          <w:lang w:eastAsia="zh-CN"/>
          <w14:textFill>
            <w14:solidFill>
              <w14:schemeClr w14:val="tx1"/>
            </w14:solidFill>
          </w14:textFill>
        </w:rPr>
        <w:t>一向少墙剪力墙结构、全落地剪力墙结构</w:t>
      </w:r>
      <w:r>
        <w:rPr>
          <w:color w:val="000000" w:themeColor="text1"/>
          <w:lang w:eastAsia="zh-CN"/>
          <w14:textFill>
            <w14:solidFill>
              <w14:schemeClr w14:val="tx1"/>
            </w14:solidFill>
          </w14:textFill>
        </w:rPr>
        <w:t>、</w:t>
      </w:r>
      <w:r>
        <w:rPr>
          <w:rFonts w:hint="eastAsia"/>
          <w:color w:val="000000" w:themeColor="text1"/>
          <w:lang w:eastAsia="zh-CN"/>
          <w14:textFill>
            <w14:solidFill>
              <w14:schemeClr w14:val="tx1"/>
            </w14:solidFill>
          </w14:textFill>
        </w:rPr>
        <w:t>部分框支剪力墙结构）、斜交网格-核心筒结构、单外筒结构、</w:t>
      </w:r>
      <w:r>
        <w:rPr>
          <w:color w:val="000000" w:themeColor="text1"/>
          <w:lang w:eastAsia="zh-CN"/>
          <w14:textFill>
            <w14:solidFill>
              <w14:schemeClr w14:val="tx1"/>
            </w14:solidFill>
          </w14:textFill>
        </w:rPr>
        <w:t>筒体</w:t>
      </w:r>
      <w:r>
        <w:rPr>
          <w:rFonts w:hint="eastAsia"/>
          <w:color w:val="000000" w:themeColor="text1"/>
          <w:lang w:eastAsia="zh-CN"/>
          <w14:textFill>
            <w14:solidFill>
              <w14:schemeClr w14:val="tx1"/>
            </w14:solidFill>
          </w14:textFill>
        </w:rPr>
        <w:t>结构（含框架-核心筒结构、框架-边筒结构、斜撑框架-核心筒结构、筒中筒结构）、巨型结构等结构体系</w:t>
      </w:r>
      <w:r>
        <w:rPr>
          <w:color w:val="000000" w:themeColor="text1"/>
          <w:lang w:eastAsia="zh-CN"/>
          <w14:textFill>
            <w14:solidFill>
              <w14:schemeClr w14:val="tx1"/>
            </w14:solidFill>
          </w14:textFill>
        </w:rPr>
        <w:t>。</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结构体系应符合下列要求：</w:t>
      </w:r>
    </w:p>
    <w:p>
      <w:pPr>
        <w:pStyle w:val="19"/>
        <w:ind w:firstLine="602" w:firstLineChars="250"/>
        <w:rPr>
          <w:rFonts w:ascii="Times New Roman" w:hAnsi="Times New Roman"/>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 xml:space="preserve"> </w:t>
      </w:r>
      <w:r>
        <w:rPr>
          <w:rFonts w:ascii="Times New Roman" w:hAnsi="宋体"/>
          <w:color w:val="000000" w:themeColor="text1"/>
          <w:sz w:val="24"/>
          <w:szCs w:val="24"/>
          <w14:textFill>
            <w14:solidFill>
              <w14:schemeClr w14:val="tx1"/>
            </w14:solidFill>
          </w14:textFill>
        </w:rPr>
        <w:t>应具有明确的计算简图和合理的风荷载和地震作用传</w:t>
      </w:r>
      <w:r>
        <w:rPr>
          <w:rFonts w:hint="eastAsia" w:ascii="Times New Roman" w:hAnsi="宋体"/>
          <w:color w:val="000000" w:themeColor="text1"/>
          <w:sz w:val="24"/>
          <w:szCs w:val="24"/>
          <w14:textFill>
            <w14:solidFill>
              <w14:schemeClr w14:val="tx1"/>
            </w14:solidFill>
          </w14:textFill>
        </w:rPr>
        <w:t>力</w:t>
      </w:r>
      <w:r>
        <w:rPr>
          <w:rFonts w:ascii="Times New Roman" w:hAnsi="宋体"/>
          <w:color w:val="000000" w:themeColor="text1"/>
          <w:sz w:val="24"/>
          <w:szCs w:val="24"/>
          <w14:textFill>
            <w14:solidFill>
              <w14:schemeClr w14:val="tx1"/>
            </w14:solidFill>
          </w14:textFill>
        </w:rPr>
        <w:t>途径。</w:t>
      </w:r>
    </w:p>
    <w:p>
      <w:pPr>
        <w:pStyle w:val="19"/>
        <w:ind w:firstLine="602" w:firstLineChars="250"/>
        <w:rPr>
          <w:rFonts w:ascii="Times New Roman" w:hAnsi="Times New Roman"/>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 xml:space="preserve"> </w:t>
      </w:r>
      <w:r>
        <w:rPr>
          <w:rFonts w:ascii="Times New Roman" w:hAnsi="宋体"/>
          <w:color w:val="000000" w:themeColor="text1"/>
          <w:sz w:val="24"/>
          <w:szCs w:val="24"/>
          <w14:textFill>
            <w14:solidFill>
              <w14:schemeClr w14:val="tx1"/>
            </w14:solidFill>
          </w14:textFill>
        </w:rPr>
        <w:t>应具有必要的承载力、刚度、稳定性、良好的变形和耗能能力</w:t>
      </w:r>
      <w:r>
        <w:rPr>
          <w:rFonts w:hint="eastAsia" w:ascii="Times New Roman" w:hAnsi="宋体"/>
          <w:color w:val="000000" w:themeColor="text1"/>
          <w:sz w:val="24"/>
          <w:szCs w:val="24"/>
          <w14:textFill>
            <w14:solidFill>
              <w14:schemeClr w14:val="tx1"/>
            </w14:solidFill>
          </w14:textFill>
        </w:rPr>
        <w:t>以及合理</w:t>
      </w:r>
      <w:r>
        <w:rPr>
          <w:rFonts w:ascii="Times New Roman" w:hAnsi="宋体"/>
          <w:color w:val="000000" w:themeColor="text1"/>
          <w:sz w:val="24"/>
          <w:szCs w:val="24"/>
          <w14:textFill>
            <w14:solidFill>
              <w14:schemeClr w14:val="tx1"/>
            </w14:solidFill>
          </w14:textFill>
        </w:rPr>
        <w:t>的屈服机制。</w:t>
      </w:r>
    </w:p>
    <w:p>
      <w:pPr>
        <w:pStyle w:val="19"/>
        <w:ind w:firstLine="602" w:firstLineChars="250"/>
        <w:rPr>
          <w:rFonts w:ascii="Times New Roman" w:hAnsi="Times New Roman"/>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 xml:space="preserve">3 </w:t>
      </w:r>
      <w:r>
        <w:rPr>
          <w:rFonts w:ascii="Times New Roman" w:hAnsi="宋体"/>
          <w:color w:val="000000" w:themeColor="text1"/>
          <w:sz w:val="24"/>
          <w:szCs w:val="24"/>
          <w14:textFill>
            <w14:solidFill>
              <w14:schemeClr w14:val="tx1"/>
            </w14:solidFill>
          </w14:textFill>
        </w:rPr>
        <w:t>应避免因部分结构或构件的破坏而导致整个结构体系丧失承受重力荷载</w:t>
      </w:r>
      <w:r>
        <w:rPr>
          <w:rFonts w:hint="eastAsia" w:ascii="Times New Roman" w:hAnsi="宋体"/>
          <w:color w:val="000000" w:themeColor="text1"/>
          <w:sz w:val="24"/>
          <w:szCs w:val="24"/>
          <w14:textFill>
            <w14:solidFill>
              <w14:schemeClr w14:val="tx1"/>
            </w14:solidFill>
          </w14:textFill>
        </w:rPr>
        <w:t>、</w:t>
      </w:r>
      <w:r>
        <w:rPr>
          <w:rFonts w:ascii="Times New Roman" w:hAnsi="宋体"/>
          <w:color w:val="000000" w:themeColor="text1"/>
          <w:sz w:val="24"/>
          <w:szCs w:val="24"/>
          <w14:textFill>
            <w14:solidFill>
              <w14:schemeClr w14:val="tx1"/>
            </w14:solidFill>
          </w14:textFill>
        </w:rPr>
        <w:t>风荷载</w:t>
      </w:r>
      <w:r>
        <w:rPr>
          <w:rFonts w:hint="eastAsia" w:ascii="Times New Roman" w:hAnsi="宋体"/>
          <w:color w:val="000000" w:themeColor="text1"/>
          <w:sz w:val="24"/>
          <w:szCs w:val="24"/>
          <w14:textFill>
            <w14:solidFill>
              <w14:schemeClr w14:val="tx1"/>
            </w14:solidFill>
          </w14:textFill>
        </w:rPr>
        <w:t>或</w:t>
      </w:r>
      <w:r>
        <w:rPr>
          <w:rFonts w:ascii="Times New Roman" w:hAnsi="宋体"/>
          <w:color w:val="000000" w:themeColor="text1"/>
          <w:sz w:val="24"/>
          <w:szCs w:val="24"/>
          <w14:textFill>
            <w14:solidFill>
              <w14:schemeClr w14:val="tx1"/>
            </w14:solidFill>
          </w14:textFill>
        </w:rPr>
        <w:t>地震作用的能力。</w:t>
      </w:r>
    </w:p>
    <w:p>
      <w:pPr>
        <w:pStyle w:val="19"/>
        <w:ind w:firstLine="481" w:firstLineChars="200"/>
        <w:rPr>
          <w:rFonts w:ascii="Times New Roman" w:hAnsi="宋体"/>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4</w:t>
      </w:r>
      <w:r>
        <w:rPr>
          <w:rFonts w:ascii="Times New Roman" w:hAnsi="Times New Roman"/>
          <w:color w:val="000000" w:themeColor="text1"/>
          <w:sz w:val="24"/>
          <w:szCs w:val="24"/>
          <w14:textFill>
            <w14:solidFill>
              <w14:schemeClr w14:val="tx1"/>
            </w14:solidFill>
          </w14:textFill>
        </w:rPr>
        <w:t xml:space="preserve"> </w:t>
      </w:r>
      <w:r>
        <w:rPr>
          <w:rFonts w:ascii="Times New Roman" w:hAnsi="宋体"/>
          <w:color w:val="000000" w:themeColor="text1"/>
          <w:sz w:val="24"/>
          <w:szCs w:val="24"/>
          <w14:textFill>
            <w14:solidFill>
              <w14:schemeClr w14:val="tx1"/>
            </w14:solidFill>
          </w14:textFill>
        </w:rPr>
        <w:t>对可能出现的薄弱部位，应采取有效措施予以加强。</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结构的竖向和水平布置宜具有合理的刚度和承载力分布，</w:t>
      </w:r>
      <w:r>
        <w:rPr>
          <w:rFonts w:hint="eastAsia"/>
          <w:color w:val="000000" w:themeColor="text1"/>
          <w:lang w:eastAsia="zh-CN"/>
          <w14:textFill>
            <w14:solidFill>
              <w14:schemeClr w14:val="tx1"/>
            </w14:solidFill>
          </w14:textFill>
        </w:rPr>
        <w:t>宜</w:t>
      </w:r>
      <w:r>
        <w:rPr>
          <w:color w:val="000000" w:themeColor="text1"/>
          <w:lang w:eastAsia="zh-CN"/>
          <w14:textFill>
            <w14:solidFill>
              <w14:schemeClr w14:val="tx1"/>
            </w14:solidFill>
          </w14:textFill>
        </w:rPr>
        <w:t>避免因局部突变</w:t>
      </w:r>
      <w:r>
        <w:rPr>
          <w:rFonts w:hint="eastAsia"/>
          <w:color w:val="000000" w:themeColor="text1"/>
          <w:lang w:eastAsia="zh-CN"/>
          <w14:textFill>
            <w14:solidFill>
              <w14:schemeClr w14:val="tx1"/>
            </w14:solidFill>
          </w14:textFill>
        </w:rPr>
        <w:t>带来的不利影响。</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剪力墙结构应具有适宜的侧向刚度，其平面布置宜简单规则，宜沿两个主轴方向或其它方向双向布置，两个方向的侧向刚度不宜相差过大。抗震设计时不应采用仅单向有墙的结构布置。</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布置有剪力墙的结构体系划分应根据剪力墙承担的层倾覆力矩比和层剪力比进行，区分为剪力墙结构、框架-剪力墙结构或其它结构。</w:t>
      </w:r>
    </w:p>
    <w:p>
      <w:pPr>
        <w:spacing w:line="240" w:lineRule="auto"/>
        <w:jc w:val="center"/>
        <w:rPr>
          <w:b/>
          <w:color w:val="000000" w:themeColor="text1"/>
          <w:sz w:val="24"/>
          <w14:textFill>
            <w14:solidFill>
              <w14:schemeClr w14:val="tx1"/>
            </w14:solidFill>
          </w14:textFill>
        </w:rPr>
      </w:pPr>
    </w:p>
    <w:p>
      <w:pPr>
        <w:pStyle w:val="61"/>
        <w:rPr>
          <w:color w:val="000000" w:themeColor="text1"/>
          <w:lang w:eastAsia="zh-CN"/>
          <w14:textFill>
            <w14:solidFill>
              <w14:schemeClr w14:val="tx1"/>
            </w14:solidFill>
          </w14:textFill>
        </w:rPr>
      </w:pPr>
      <w:bookmarkStart w:id="7" w:name="_Toc24714187"/>
      <w:r>
        <w:rPr>
          <w:rFonts w:hint="eastAsia"/>
          <w:color w:val="000000" w:themeColor="text1"/>
          <w:lang w:eastAsia="zh-CN"/>
          <w14:textFill>
            <w14:solidFill>
              <w14:schemeClr w14:val="tx1"/>
            </w14:solidFill>
          </w14:textFill>
        </w:rPr>
        <w:t>结构布置及构件设计的一般原则</w:t>
      </w:r>
      <w:bookmarkEnd w:id="7"/>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在高层建筑的一个独立结构单元内，宜使结构平面</w:t>
      </w:r>
      <w:r>
        <w:rPr>
          <w:rFonts w:hint="eastAsia"/>
          <w:color w:val="000000" w:themeColor="text1"/>
          <w:lang w:eastAsia="zh-CN"/>
          <w14:textFill>
            <w14:solidFill>
              <w14:schemeClr w14:val="tx1"/>
            </w14:solidFill>
          </w14:textFill>
        </w:rPr>
        <w:t>形状</w:t>
      </w:r>
      <w:r>
        <w:rPr>
          <w:color w:val="000000" w:themeColor="text1"/>
          <w:lang w:eastAsia="zh-CN"/>
          <w14:textFill>
            <w14:solidFill>
              <w14:schemeClr w14:val="tx1"/>
            </w14:solidFill>
          </w14:textFill>
        </w:rPr>
        <w:t>简单、规则，刚度和承载力分布均匀。不应采用严重不规则的平面布置。当建筑物平面形状复杂而又无法调整其平面形状和结构布置</w:t>
      </w:r>
      <w:r>
        <w:rPr>
          <w:rFonts w:hint="eastAsia"/>
          <w:color w:val="000000" w:themeColor="text1"/>
          <w:lang w:eastAsia="zh-CN"/>
          <w14:textFill>
            <w14:solidFill>
              <w14:schemeClr w14:val="tx1"/>
            </w14:solidFill>
          </w14:textFill>
        </w:rPr>
        <w:t>使之成为较规则的结构时</w:t>
      </w:r>
      <w:r>
        <w:rPr>
          <w:color w:val="000000" w:themeColor="text1"/>
          <w:lang w:eastAsia="zh-CN"/>
          <w14:textFill>
            <w14:solidFill>
              <w14:schemeClr w14:val="tx1"/>
            </w14:solidFill>
          </w14:textFill>
        </w:rPr>
        <w:t>，宜设置防震缝将其划分为较简单的几个结构单元。</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防震缝宜沿房屋全高设置；地下室、基础可不设防震缝，</w:t>
      </w:r>
      <w:r>
        <w:rPr>
          <w:rFonts w:hint="eastAsia"/>
          <w:color w:val="000000" w:themeColor="text1"/>
          <w:lang w:eastAsia="zh-CN"/>
          <w14:textFill>
            <w14:solidFill>
              <w14:schemeClr w14:val="tx1"/>
            </w14:solidFill>
          </w14:textFill>
        </w:rPr>
        <w:t>防震缝的宽度应满足设防烈度地震作用下结构变形的要求。</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高层建筑的竖向体型宜规则、均匀，避免有过大的外挑和</w:t>
      </w:r>
      <w:r>
        <w:rPr>
          <w:rFonts w:hint="eastAsia"/>
          <w:color w:val="000000" w:themeColor="text1"/>
          <w:lang w:eastAsia="zh-CN"/>
          <w14:textFill>
            <w14:solidFill>
              <w14:schemeClr w14:val="tx1"/>
            </w14:solidFill>
          </w14:textFill>
        </w:rPr>
        <w:t>收进</w:t>
      </w:r>
      <w:r>
        <w:rPr>
          <w:color w:val="000000" w:themeColor="text1"/>
          <w:lang w:eastAsia="zh-CN"/>
          <w14:textFill>
            <w14:solidFill>
              <w14:schemeClr w14:val="tx1"/>
            </w14:solidFill>
          </w14:textFill>
        </w:rPr>
        <w:t>。结构的侧向刚度宜下大上小，逐渐均匀变化，不应采用竖向布置严重不规则的结构。</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当维护结构采用预制混凝土外墙板时，应考虑预制混凝土外墙板对结构的影响。</w:t>
      </w:r>
    </w:p>
    <w:p>
      <w:pPr>
        <w:pStyle w:val="119"/>
        <w:rPr>
          <w:b/>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结构竖向抗侧力构件宜上下连续贯通。结构顶层取消部分墙、柱形成</w:t>
      </w:r>
      <w:r>
        <w:rPr>
          <w:rFonts w:hint="eastAsia"/>
          <w:color w:val="000000" w:themeColor="text1"/>
          <w:lang w:eastAsia="zh-CN"/>
          <w14:textFill>
            <w14:solidFill>
              <w14:schemeClr w14:val="tx1"/>
            </w14:solidFill>
          </w14:textFill>
        </w:rPr>
        <w:t>刚度突变降低时</w:t>
      </w:r>
      <w:r>
        <w:rPr>
          <w:color w:val="000000" w:themeColor="text1"/>
          <w:lang w:eastAsia="zh-CN"/>
          <w14:textFill>
            <w14:solidFill>
              <w14:schemeClr w14:val="tx1"/>
            </w14:solidFill>
          </w14:textFill>
        </w:rPr>
        <w:t>，</w:t>
      </w:r>
      <w:r>
        <w:rPr>
          <w:rFonts w:hint="eastAsia"/>
          <w:color w:val="000000" w:themeColor="text1"/>
          <w:lang w:eastAsia="zh-CN"/>
          <w14:textFill>
            <w14:solidFill>
              <w14:schemeClr w14:val="tx1"/>
            </w14:solidFill>
          </w14:textFill>
        </w:rPr>
        <w:t>宜补充</w:t>
      </w:r>
      <w:r>
        <w:rPr>
          <w:color w:val="000000" w:themeColor="text1"/>
          <w:lang w:eastAsia="zh-CN"/>
          <w14:textFill>
            <w14:solidFill>
              <w14:schemeClr w14:val="tx1"/>
            </w14:solidFill>
          </w14:textFill>
        </w:rPr>
        <w:t>分析计算</w:t>
      </w:r>
      <w:r>
        <w:rPr>
          <w:rFonts w:hint="eastAsia"/>
          <w:color w:val="000000" w:themeColor="text1"/>
          <w:lang w:eastAsia="zh-CN"/>
          <w14:textFill>
            <w14:solidFill>
              <w14:schemeClr w14:val="tx1"/>
            </w14:solidFill>
          </w14:textFill>
        </w:rPr>
        <w:t>，对刚度突变楼层及相邻楼层构件应</w:t>
      </w:r>
      <w:r>
        <w:rPr>
          <w:color w:val="000000" w:themeColor="text1"/>
          <w:lang w:eastAsia="zh-CN"/>
          <w14:textFill>
            <w14:solidFill>
              <w14:schemeClr w14:val="tx1"/>
            </w14:solidFill>
          </w14:textFill>
        </w:rPr>
        <w:t>采取有效</w:t>
      </w:r>
      <w:r>
        <w:rPr>
          <w:rFonts w:hint="eastAsia"/>
          <w:color w:val="000000" w:themeColor="text1"/>
          <w:lang w:eastAsia="zh-CN"/>
          <w14:textFill>
            <w14:solidFill>
              <w14:schemeClr w14:val="tx1"/>
            </w14:solidFill>
          </w14:textFill>
        </w:rPr>
        <w:t>加强</w:t>
      </w:r>
      <w:r>
        <w:rPr>
          <w:color w:val="000000" w:themeColor="text1"/>
          <w:lang w:eastAsia="zh-CN"/>
          <w14:textFill>
            <w14:solidFill>
              <w14:schemeClr w14:val="tx1"/>
            </w14:solidFill>
          </w14:textFill>
        </w:rPr>
        <w:t>措施</w:t>
      </w:r>
      <w:r>
        <w:rPr>
          <w:rFonts w:hint="eastAsia"/>
          <w:color w:val="000000" w:themeColor="text1"/>
          <w:lang w:eastAsia="zh-CN"/>
          <w14:textFill>
            <w14:solidFill>
              <w14:schemeClr w14:val="tx1"/>
            </w14:solidFill>
          </w14:textFill>
        </w:rPr>
        <w:t>。</w:t>
      </w:r>
    </w:p>
    <w:p>
      <w:pPr>
        <w:spacing w:line="240" w:lineRule="auto"/>
        <w:jc w:val="center"/>
        <w:rPr>
          <w:b/>
          <w:color w:val="000000" w:themeColor="text1"/>
          <w:sz w:val="24"/>
          <w14:textFill>
            <w14:solidFill>
              <w14:schemeClr w14:val="tx1"/>
            </w14:solidFill>
          </w14:textFill>
        </w:rPr>
      </w:pPr>
    </w:p>
    <w:p>
      <w:pPr>
        <w:pStyle w:val="61"/>
        <w:rPr>
          <w:color w:val="000000" w:themeColor="text1"/>
          <w14:textFill>
            <w14:solidFill>
              <w14:schemeClr w14:val="tx1"/>
            </w14:solidFill>
          </w14:textFill>
        </w:rPr>
      </w:pPr>
      <w:bookmarkStart w:id="8" w:name="_Toc24714188"/>
      <w:r>
        <w:rPr>
          <w:rFonts w:hint="eastAsia"/>
          <w:color w:val="000000" w:themeColor="text1"/>
          <w14:textFill>
            <w14:solidFill>
              <w14:schemeClr w14:val="tx1"/>
            </w14:solidFill>
          </w14:textFill>
        </w:rPr>
        <w:t>房屋适用高度和高宽比</w:t>
      </w:r>
      <w:bookmarkEnd w:id="8"/>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钢筋混凝土高层建筑结构的最大适用高度应区分为A级和B级。A级高度钢筋混凝土乙类和丙类高层建筑的最大适用高度应符合表3.3.1-1的规定，B级高度钢筋混凝土乙类和丙类高层建筑的最大适用高度应符合表3.3.1-2的规定。平面和竖向均不规则的高层建筑结构，其最大适用高度宜适当降低。</w:t>
      </w:r>
    </w:p>
    <w:p>
      <w:pPr>
        <w:spacing w:line="240" w:lineRule="auto"/>
        <w:jc w:val="center"/>
        <w:rPr>
          <w:rFonts w:ascii="宋体" w:hAnsi="宋体"/>
          <w:b/>
          <w:color w:val="000000" w:themeColor="text1"/>
          <w:szCs w:val="21"/>
          <w14:textFill>
            <w14:solidFill>
              <w14:schemeClr w14:val="tx1"/>
            </w14:solidFill>
          </w14:textFill>
        </w:rPr>
      </w:pPr>
    </w:p>
    <w:p>
      <w:pPr>
        <w:spacing w:line="240" w:lineRule="auto"/>
        <w:jc w:val="center"/>
        <w:rPr>
          <w:rFonts w:ascii="宋体" w:hAnsi="宋体"/>
          <w:b/>
          <w:color w:val="000000" w:themeColor="text1"/>
          <w:szCs w:val="21"/>
          <w14:textFill>
            <w14:solidFill>
              <w14:schemeClr w14:val="tx1"/>
            </w14:solidFill>
          </w14:textFill>
        </w:rPr>
      </w:pPr>
    </w:p>
    <w:p>
      <w:pPr>
        <w:spacing w:line="24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表3.3.1-1  A级高度钢筋混凝土高层建筑的最大适用高度(m)</w:t>
      </w:r>
    </w:p>
    <w:tbl>
      <w:tblPr>
        <w:tblStyle w:val="31"/>
        <w:tblW w:w="8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3119"/>
        <w:gridCol w:w="1702"/>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2" w:type="dxa"/>
            <w:gridSpan w:val="2"/>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结构类型</w:t>
            </w:r>
          </w:p>
        </w:tc>
        <w:tc>
          <w:tcPr>
            <w:tcW w:w="3348"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962" w:type="dxa"/>
            <w:gridSpan w:val="2"/>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6度</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板柱-剪力墙</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框架-剪力墙</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3" w:type="dxa"/>
            <w:vMerge w:val="restart"/>
            <w:vAlign w:val="center"/>
          </w:tcPr>
          <w:p>
            <w:pPr>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剪力墙</w:t>
            </w:r>
          </w:p>
        </w:tc>
        <w:tc>
          <w:tcPr>
            <w:tcW w:w="3119"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平面凹凸不规则剪力墙</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3" w:type="dxa"/>
            <w:vMerge w:val="continue"/>
            <w:vAlign w:val="center"/>
          </w:tcPr>
          <w:p>
            <w:pPr>
              <w:ind w:left="0"/>
              <w:jc w:val="center"/>
              <w:rPr>
                <w:rFonts w:ascii="宋体" w:hAnsi="宋体"/>
                <w:color w:val="000000" w:themeColor="text1"/>
                <w:szCs w:val="21"/>
                <w14:textFill>
                  <w14:solidFill>
                    <w14:schemeClr w14:val="tx1"/>
                  </w14:solidFill>
                </w14:textFill>
              </w:rPr>
            </w:pPr>
          </w:p>
        </w:tc>
        <w:tc>
          <w:tcPr>
            <w:tcW w:w="3119"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一向少墙剪力墙</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843"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3119"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全部落地剪力墙</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843"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3119"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部分框支剪力墙</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96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斜交网格-核心筒</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96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单外筒</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170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43"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筒体</w:t>
            </w:r>
          </w:p>
        </w:tc>
        <w:tc>
          <w:tcPr>
            <w:tcW w:w="3119"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框架-边筒</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43"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3119"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斜撑框架-核心筒</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43"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3119"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框架—核心筒</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43"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3119"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筒中筒</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96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巨型结构</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180</w:t>
            </w:r>
          </w:p>
        </w:tc>
      </w:tr>
    </w:tbl>
    <w:p>
      <w:pPr>
        <w:spacing w:line="24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表3.3.1-2  B级高度钢筋混凝土高层建筑的最大适用高度(m)</w:t>
      </w:r>
    </w:p>
    <w:tbl>
      <w:tblPr>
        <w:tblStyle w:val="31"/>
        <w:tblW w:w="8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3118"/>
        <w:gridCol w:w="1702"/>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2" w:type="dxa"/>
            <w:gridSpan w:val="2"/>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结构类型</w:t>
            </w:r>
          </w:p>
        </w:tc>
        <w:tc>
          <w:tcPr>
            <w:tcW w:w="3348"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962" w:type="dxa"/>
            <w:gridSpan w:val="2"/>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6度</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框架-剪力墙</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844"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剪力墙</w:t>
            </w:r>
          </w:p>
        </w:tc>
        <w:tc>
          <w:tcPr>
            <w:tcW w:w="3118"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平面凹凸不规则剪力墙</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844"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3118"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一向少墙剪力墙</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844"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3118"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全部落地剪力墙</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170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844"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3118"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部分框支剪力墙</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96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斜交网格-核心筒</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280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96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单外筒</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44"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筒体</w:t>
            </w:r>
          </w:p>
        </w:tc>
        <w:tc>
          <w:tcPr>
            <w:tcW w:w="3118"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框架-边筒</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44"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3118"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斜撑-框架核心筒</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44"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3118"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框架—核心筒</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210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44"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3118"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筒中筒</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280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96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巨型结构</w:t>
            </w:r>
          </w:p>
        </w:tc>
        <w:tc>
          <w:tcPr>
            <w:tcW w:w="170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300</w:t>
            </w:r>
          </w:p>
        </w:tc>
        <w:tc>
          <w:tcPr>
            <w:tcW w:w="164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280</w:t>
            </w:r>
          </w:p>
        </w:tc>
      </w:tr>
    </w:tbl>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钢筋混凝土高层建筑结构的高宽比不宜超过表3.3.2的规定。</w:t>
      </w:r>
    </w:p>
    <w:p>
      <w:pPr>
        <w:spacing w:line="240" w:lineRule="auto"/>
        <w:ind w:firstLine="420"/>
        <w:jc w:val="center"/>
        <w:rPr>
          <w:rFonts w:ascii="宋体" w:hAnsi="宋体"/>
          <w:b/>
          <w:color w:val="000000" w:themeColor="text1"/>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表3.3.2  钢筋混凝土高层建筑结构适用的最大高宽比</w:t>
      </w:r>
    </w:p>
    <w:tbl>
      <w:tblPr>
        <w:tblStyle w:val="31"/>
        <w:tblW w:w="8234"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9"/>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39" w:type="dxa"/>
            <w:shd w:val="clear" w:color="auto" w:fill="auto"/>
            <w:noWrap/>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结构体系</w:t>
            </w:r>
          </w:p>
        </w:tc>
        <w:tc>
          <w:tcPr>
            <w:tcW w:w="3295" w:type="dxa"/>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6度、7度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39" w:type="dxa"/>
            <w:shd w:val="clear" w:color="auto" w:fill="auto"/>
            <w:noWrap/>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框架</w:t>
            </w:r>
          </w:p>
        </w:tc>
        <w:tc>
          <w:tcPr>
            <w:tcW w:w="3295" w:type="dxa"/>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39" w:type="dxa"/>
            <w:shd w:val="clear" w:color="auto" w:fill="auto"/>
            <w:noWrap/>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板柱-剪力墙</w:t>
            </w:r>
          </w:p>
        </w:tc>
        <w:tc>
          <w:tcPr>
            <w:tcW w:w="3295" w:type="dxa"/>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39" w:type="dxa"/>
            <w:shd w:val="clear" w:color="auto" w:fill="auto"/>
            <w:noWrap/>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框架剪力墙、剪力墙、</w:t>
            </w:r>
            <w:r>
              <w:rPr>
                <w:rFonts w:hint="eastAsia" w:ascii="宋体" w:hAnsi="宋体"/>
                <w:color w:val="000000" w:themeColor="text1"/>
                <w:szCs w:val="21"/>
                <w14:textFill>
                  <w14:solidFill>
                    <w14:schemeClr w14:val="tx1"/>
                  </w14:solidFill>
                </w14:textFill>
              </w:rPr>
              <w:t>一向少墙剪力墙、平面凹凸不规则剪力墙</w:t>
            </w:r>
          </w:p>
        </w:tc>
        <w:tc>
          <w:tcPr>
            <w:tcW w:w="3295" w:type="dxa"/>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39" w:type="dxa"/>
            <w:shd w:val="clear" w:color="auto" w:fill="auto"/>
            <w:noWrap/>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斜交网格-核心筒、单外筒</w:t>
            </w:r>
          </w:p>
        </w:tc>
        <w:tc>
          <w:tcPr>
            <w:tcW w:w="3295" w:type="dxa"/>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39" w:type="dxa"/>
            <w:shd w:val="clear" w:color="auto" w:fill="auto"/>
            <w:noWrap/>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框架-核心筒、</w:t>
            </w:r>
            <w:r>
              <w:rPr>
                <w:rFonts w:hint="eastAsia" w:ascii="宋体" w:hAnsi="宋体"/>
                <w:color w:val="000000" w:themeColor="text1"/>
                <w:szCs w:val="21"/>
                <w14:textFill>
                  <w14:solidFill>
                    <w14:schemeClr w14:val="tx1"/>
                  </w14:solidFill>
                </w14:textFill>
              </w:rPr>
              <w:t>框架-边筒、斜撑框架-筒体</w:t>
            </w:r>
          </w:p>
        </w:tc>
        <w:tc>
          <w:tcPr>
            <w:tcW w:w="3295" w:type="dxa"/>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4939" w:type="dxa"/>
            <w:shd w:val="clear" w:color="auto" w:fill="auto"/>
            <w:noWrap/>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筒中筒</w:t>
            </w:r>
          </w:p>
        </w:tc>
        <w:tc>
          <w:tcPr>
            <w:tcW w:w="3295" w:type="dxa"/>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39" w:type="dxa"/>
            <w:shd w:val="clear" w:color="auto" w:fill="auto"/>
            <w:noWrap/>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巨型结构</w:t>
            </w:r>
          </w:p>
        </w:tc>
        <w:tc>
          <w:tcPr>
            <w:tcW w:w="3295" w:type="dxa"/>
            <w:vAlign w:val="center"/>
          </w:tcPr>
          <w:p>
            <w:pPr>
              <w:widowControl/>
              <w:spacing w:line="240" w:lineRule="auto"/>
              <w:ind w:left="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r>
    </w:tbl>
    <w:p>
      <w:pPr>
        <w:pStyle w:val="61"/>
        <w:rPr>
          <w:color w:val="000000" w:themeColor="text1"/>
          <w14:textFill>
            <w14:solidFill>
              <w14:schemeClr w14:val="tx1"/>
            </w14:solidFill>
          </w14:textFill>
        </w:rPr>
      </w:pPr>
      <w:bookmarkStart w:id="9" w:name="_Toc24714189"/>
      <w:r>
        <w:rPr>
          <w:rFonts w:hint="eastAsia"/>
          <w:color w:val="000000" w:themeColor="text1"/>
          <w14:textFill>
            <w14:solidFill>
              <w14:schemeClr w14:val="tx1"/>
            </w14:solidFill>
          </w14:textFill>
        </w:rPr>
        <w:t>结构平面布置</w:t>
      </w:r>
      <w:bookmarkEnd w:id="9"/>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在高层建筑的一个独立结构单元内，结构平面形状宜简单、规则，质量、刚度和承载力分布宜均匀。不应采用严重不规则的平面布置。</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高层建筑宜选用风作用效应较小的平面和立面形状。</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抗震设计的混凝土高层建筑，其平面布置宜符合下列规定：</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平面宜简单、规则、对称，减少偏心；</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2 </w:t>
      </w:r>
      <w:r>
        <w:rPr>
          <w:rFonts w:hint="eastAsia" w:ascii="宋体" w:hAnsi="宋体"/>
          <w:color w:val="000000" w:themeColor="text1"/>
          <w:sz w:val="24"/>
          <w:szCs w:val="24"/>
          <w14:textFill>
            <w14:solidFill>
              <w14:schemeClr w14:val="tx1"/>
            </w14:solidFill>
          </w14:textFill>
        </w:rPr>
        <w:t>平面长度不宜过长（图3</w:t>
      </w:r>
      <w:r>
        <w:rPr>
          <w:rFonts w:ascii="宋体" w:hAnsi="宋体"/>
          <w:color w:val="000000" w:themeColor="text1"/>
          <w:sz w:val="24"/>
          <w:szCs w:val="24"/>
          <w14:textFill>
            <w14:solidFill>
              <w14:schemeClr w14:val="tx1"/>
            </w14:solidFill>
          </w14:textFill>
        </w:rPr>
        <w:t>.4.3</w:t>
      </w: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L/B</w:t>
      </w:r>
      <w:r>
        <w:rPr>
          <w:rFonts w:hint="eastAsia" w:ascii="宋体" w:hAnsi="宋体"/>
          <w:color w:val="000000" w:themeColor="text1"/>
          <w:sz w:val="24"/>
          <w:szCs w:val="24"/>
          <w14:textFill>
            <w14:solidFill>
              <w14:schemeClr w14:val="tx1"/>
            </w14:solidFill>
          </w14:textFill>
        </w:rPr>
        <w:t>宜符合表3</w:t>
      </w:r>
      <w:r>
        <w:rPr>
          <w:rFonts w:ascii="宋体" w:hAnsi="宋体"/>
          <w:color w:val="000000" w:themeColor="text1"/>
          <w:sz w:val="24"/>
          <w:szCs w:val="24"/>
          <w14:textFill>
            <w14:solidFill>
              <w14:schemeClr w14:val="tx1"/>
            </w14:solidFill>
          </w14:textFill>
        </w:rPr>
        <w:t>.4.3</w:t>
      </w:r>
      <w:r>
        <w:rPr>
          <w:rFonts w:hint="eastAsia" w:ascii="宋体" w:hAnsi="宋体"/>
          <w:color w:val="000000" w:themeColor="text1"/>
          <w:sz w:val="24"/>
          <w:szCs w:val="24"/>
          <w14:textFill>
            <w14:solidFill>
              <w14:schemeClr w14:val="tx1"/>
            </w14:solidFill>
          </w14:textFill>
        </w:rPr>
        <w:t>的要求；</w:t>
      </w:r>
    </w:p>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表3</w:t>
      </w:r>
      <w:r>
        <w:rPr>
          <w:b/>
          <w:color w:val="000000" w:themeColor="text1"/>
          <w14:textFill>
            <w14:solidFill>
              <w14:schemeClr w14:val="tx1"/>
            </w14:solidFill>
          </w14:textFill>
        </w:rPr>
        <w:t>.4.3</w:t>
      </w:r>
      <w:r>
        <w:rPr>
          <w:rFonts w:hint="eastAsia"/>
          <w:b/>
          <w:color w:val="000000" w:themeColor="text1"/>
          <w14:textFill>
            <w14:solidFill>
              <w14:schemeClr w14:val="tx1"/>
            </w14:solidFill>
          </w14:textFill>
        </w:rPr>
        <w:t>平面尺寸及突出部位尺寸的比值限值</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color w:val="000000" w:themeColor="text1"/>
                <w14:textFill>
                  <w14:solidFill>
                    <w14:schemeClr w14:val="tx1"/>
                  </w14:solidFill>
                </w14:textFill>
              </w:rPr>
            </w:pPr>
            <w:r>
              <w:rPr>
                <w:rFonts w:ascii="Times New Roman" w:hAnsi="宋体"/>
                <w:color w:val="000000" w:themeColor="text1"/>
                <w14:textFill>
                  <w14:solidFill>
                    <w14:schemeClr w14:val="tx1"/>
                  </w14:solidFill>
                </w14:textFill>
              </w:rPr>
              <w:t>设防烈度</w:t>
            </w:r>
          </w:p>
        </w:tc>
        <w:tc>
          <w:tcPr>
            <w:tcW w:w="213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L/B</w:t>
            </w:r>
          </w:p>
        </w:tc>
        <w:tc>
          <w:tcPr>
            <w:tcW w:w="2131"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l/</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B</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max</m:t>
                  </m:r>
                  <m:ctrlPr>
                    <w:rPr>
                      <w:rFonts w:ascii="Cambria Math" w:hAnsi="Cambria Math"/>
                      <w:color w:val="000000" w:themeColor="text1"/>
                      <w14:textFill>
                        <w14:solidFill>
                          <w14:schemeClr w14:val="tx1"/>
                        </w14:solidFill>
                      </w14:textFill>
                    </w:rPr>
                  </m:ctrlPr>
                </m:sub>
              </m:sSub>
            </m:oMath>
          </w:p>
        </w:tc>
        <w:tc>
          <w:tcPr>
            <w:tcW w:w="2131"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l/b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w:t>
            </w:r>
            <w:r>
              <w:rPr>
                <w:rFonts w:ascii="Times New Roman" w:hAnsi="宋体"/>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7</w:t>
            </w:r>
            <w:r>
              <w:rPr>
                <w:rFonts w:ascii="Times New Roman" w:hAnsi="宋体"/>
                <w:color w:val="000000" w:themeColor="text1"/>
                <w14:textFill>
                  <w14:solidFill>
                    <w14:schemeClr w14:val="tx1"/>
                  </w14:solidFill>
                </w14:textFill>
              </w:rPr>
              <w:t>度</w:t>
            </w:r>
          </w:p>
        </w:tc>
        <w:tc>
          <w:tcPr>
            <w:tcW w:w="213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2131"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≤0.35</w:t>
            </w:r>
          </w:p>
        </w:tc>
        <w:tc>
          <w:tcPr>
            <w:tcW w:w="2131"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w:t>
            </w:r>
          </w:p>
        </w:tc>
      </w:tr>
    </w:tbl>
    <w:p>
      <w:pPr>
        <w:adjustRightInd w:val="0"/>
        <w:snapToGrid w:val="0"/>
        <w:spacing w:line="240" w:lineRule="auto"/>
        <w:ind w:left="0" w:firstLine="480" w:firstLineChars="200"/>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3平面突出部分的长度l不宜过大、宽度b不宜过小（图</w:t>
      </w:r>
      <w:r>
        <w:rPr>
          <w:rFonts w:hint="eastAsia" w:ascii="宋体" w:hAnsi="宋体"/>
          <w:color w:val="000000" w:themeColor="text1"/>
          <w:sz w:val="24"/>
          <w:szCs w:val="24"/>
          <w14:textFill>
            <w14:solidFill>
              <w14:schemeClr w14:val="tx1"/>
            </w14:solidFill>
          </w14:textFill>
        </w:rPr>
        <w:t>3</w:t>
      </w:r>
      <w:r>
        <w:rPr>
          <w:rFonts w:ascii="宋体" w:hAnsi="宋体"/>
          <w:color w:val="000000" w:themeColor="text1"/>
          <w:sz w:val="24"/>
          <w:szCs w:val="24"/>
          <w14:textFill>
            <w14:solidFill>
              <w14:schemeClr w14:val="tx1"/>
            </w14:solidFill>
          </w14:textFill>
        </w:rPr>
        <w:t>.4.3</w:t>
      </w: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），l/</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B</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max</m:t>
            </m:r>
            <m:ctrlPr>
              <w:rPr>
                <w:rFonts w:ascii="Cambria Math" w:hAnsi="Cambria Math"/>
                <w:color w:val="000000" w:themeColor="text1"/>
                <w14:textFill>
                  <w14:solidFill>
                    <w14:schemeClr w14:val="tx1"/>
                  </w14:solidFill>
                </w14:textFill>
              </w:rPr>
            </m:ctrlPr>
          </m:sub>
        </m:sSub>
      </m:oMath>
      <w:r>
        <w:rPr>
          <w:rFonts w:ascii="宋体" w:hAnsi="宋体"/>
          <w:color w:val="000000" w:themeColor="text1"/>
          <w:sz w:val="24"/>
          <w:szCs w:val="24"/>
          <w14:textFill>
            <w14:solidFill>
              <w14:schemeClr w14:val="tx1"/>
            </w14:solidFill>
          </w14:textFill>
        </w:rPr>
        <w:t xml:space="preserve"> 、l/b宜符合表</w:t>
      </w:r>
      <w:r>
        <w:rPr>
          <w:rFonts w:hint="eastAsia" w:ascii="宋体" w:hAnsi="宋体"/>
          <w:color w:val="000000" w:themeColor="text1"/>
          <w:sz w:val="24"/>
          <w:szCs w:val="24"/>
          <w14:textFill>
            <w14:solidFill>
              <w14:schemeClr w14:val="tx1"/>
            </w14:solidFill>
          </w14:textFill>
        </w:rPr>
        <w:t>3</w:t>
      </w:r>
      <w:r>
        <w:rPr>
          <w:rFonts w:ascii="宋体" w:hAnsi="宋体"/>
          <w:color w:val="000000" w:themeColor="text1"/>
          <w:sz w:val="24"/>
          <w:szCs w:val="24"/>
          <w14:textFill>
            <w14:solidFill>
              <w14:schemeClr w14:val="tx1"/>
            </w14:solidFill>
          </w14:textFill>
        </w:rPr>
        <w:t>.4.3的要求；</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138930" cy="4138930"/>
            <wp:effectExtent l="19050" t="0" r="0" b="0"/>
            <wp:docPr id="5" name="图片 2" descr="20140327_10322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descr="20140327_103221.jpg"/>
                    <pic:cNvPicPr>
                      <a:picLocks noChangeAspect="true" noChangeArrowheads="true"/>
                    </pic:cNvPicPr>
                  </pic:nvPicPr>
                  <pic:blipFill>
                    <a:blip r:embed="rId8" cstate="print"/>
                    <a:srcRect l="21872" r="21883"/>
                    <a:stretch>
                      <a:fillRect/>
                    </a:stretch>
                  </pic:blipFill>
                  <pic:spPr>
                    <a:xfrm rot="5400000">
                      <a:off x="0" y="0"/>
                      <a:ext cx="4138930" cy="4138930"/>
                    </a:xfrm>
                    <a:prstGeom prst="rect">
                      <a:avLst/>
                    </a:prstGeom>
                    <a:noFill/>
                    <a:ln w="9525">
                      <a:noFill/>
                      <a:miter lim="800000"/>
                      <a:headEnd/>
                      <a:tailEnd/>
                    </a:ln>
                  </pic:spPr>
                </pic:pic>
              </a:graphicData>
            </a:graphic>
          </wp:inline>
        </w:drawing>
      </w:r>
    </w:p>
    <w:p>
      <w:pPr>
        <w:adjustRightInd w:val="0"/>
        <w:snapToGrid w:val="0"/>
        <w:spacing w:line="240" w:lineRule="auto"/>
        <w:ind w:left="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图3</w:t>
      </w:r>
      <w:r>
        <w:rPr>
          <w:rFonts w:ascii="宋体" w:hAnsi="宋体"/>
          <w:color w:val="000000" w:themeColor="text1"/>
          <w:sz w:val="24"/>
          <w:szCs w:val="24"/>
          <w14:textFill>
            <w14:solidFill>
              <w14:schemeClr w14:val="tx1"/>
            </w14:solidFill>
          </w14:textFill>
        </w:rPr>
        <w:t>.4.3</w:t>
      </w: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建筑平面示意</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4建筑平面角部重叠</w:t>
      </w:r>
      <w:r>
        <w:rPr>
          <w:rFonts w:hint="eastAsia" w:ascii="宋体" w:hAnsi="宋体"/>
          <w:color w:val="000000" w:themeColor="text1"/>
          <w:sz w:val="24"/>
          <w:szCs w:val="24"/>
          <w14:textFill>
            <w14:solidFill>
              <w14:schemeClr w14:val="tx1"/>
            </w14:solidFill>
          </w14:textFill>
        </w:rPr>
        <w:t>部分、</w:t>
      </w:r>
      <w:r>
        <w:rPr>
          <w:rFonts w:ascii="宋体" w:hAnsi="宋体"/>
          <w:color w:val="000000" w:themeColor="text1"/>
          <w:sz w:val="24"/>
          <w:szCs w:val="24"/>
          <w14:textFill>
            <w14:solidFill>
              <w14:schemeClr w14:val="tx1"/>
            </w14:solidFill>
          </w14:textFill>
        </w:rPr>
        <w:t>细腰</w:t>
      </w:r>
      <w:r>
        <w:rPr>
          <w:rFonts w:hint="eastAsia" w:ascii="宋体" w:hAnsi="宋体"/>
          <w:color w:val="000000" w:themeColor="text1"/>
          <w:sz w:val="24"/>
          <w:szCs w:val="24"/>
          <w14:textFill>
            <w14:solidFill>
              <w14:schemeClr w14:val="tx1"/>
            </w14:solidFill>
          </w14:textFill>
        </w:rPr>
        <w:t>部分的宽度不宜过小，图3.4.3-2中</w:t>
      </w:r>
      <w:r>
        <w:rPr>
          <w:rFonts w:ascii="宋体" w:hAnsi="宋体"/>
          <w:color w:val="000000" w:themeColor="text1"/>
          <w:sz w:val="24"/>
          <w:szCs w:val="24"/>
          <w14:textFill>
            <w14:solidFill>
              <w14:schemeClr w14:val="tx1"/>
            </w14:solidFill>
          </w14:textFill>
        </w:rPr>
        <w:t>平面布置</w:t>
      </w:r>
      <w:r>
        <w:rPr>
          <w:rFonts w:hint="eastAsia" w:ascii="宋体" w:hAnsi="宋体"/>
          <w:color w:val="000000" w:themeColor="text1"/>
          <w:sz w:val="24"/>
          <w:szCs w:val="24"/>
          <w14:textFill>
            <w14:solidFill>
              <w14:schemeClr w14:val="tx1"/>
            </w14:solidFill>
          </w14:textFill>
        </w:rPr>
        <w:t>图中的尺寸宜满足</w:t>
      </w:r>
      <w:r>
        <w:rPr>
          <w:rFonts w:ascii="宋体" w:hAnsi="宋体"/>
          <w:color w:val="000000" w:themeColor="text1"/>
          <w:sz w:val="24"/>
          <w:szCs w:val="24"/>
          <w14:textFill>
            <w14:solidFill>
              <w14:schemeClr w14:val="tx1"/>
            </w14:solidFill>
          </w14:textFill>
        </w:rPr>
        <w:t>b/Bmin</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1/3</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b/B</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0.4</w:t>
      </w:r>
      <w:r>
        <w:rPr>
          <w:rFonts w:hint="eastAsia" w:ascii="宋体" w:hAnsi="宋体"/>
          <w:color w:val="000000" w:themeColor="text1"/>
          <w:sz w:val="24"/>
          <w:szCs w:val="24"/>
          <w14:textFill>
            <w14:solidFill>
              <w14:schemeClr w14:val="tx1"/>
            </w14:solidFill>
          </w14:textFill>
        </w:rPr>
        <w:t>，b≥5米。</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842770" cy="1235710"/>
            <wp:effectExtent l="19050" t="0" r="5080" b="0"/>
            <wp:docPr id="6" name="图片 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74"/>
                    <pic:cNvPicPr>
                      <a:picLocks noChangeAspect="true" noChangeArrowheads="true"/>
                    </pic:cNvPicPr>
                  </pic:nvPicPr>
                  <pic:blipFill>
                    <a:blip r:embed="rId9"/>
                    <a:srcRect/>
                    <a:stretch>
                      <a:fillRect/>
                    </a:stretch>
                  </pic:blipFill>
                  <pic:spPr>
                    <a:xfrm>
                      <a:off x="0" y="0"/>
                      <a:ext cx="1842770" cy="1235710"/>
                    </a:xfrm>
                    <a:prstGeom prst="rect">
                      <a:avLst/>
                    </a:prstGeom>
                    <a:noFill/>
                    <a:ln w="9525">
                      <a:noFill/>
                      <a:miter lim="800000"/>
                      <a:headEnd/>
                      <a:tailEnd/>
                    </a:ln>
                  </pic:spPr>
                </pic:pic>
              </a:graphicData>
            </a:graphic>
          </wp:inline>
        </w:drawing>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1996440" cy="942340"/>
            <wp:effectExtent l="19050" t="0" r="3810" b="0"/>
            <wp:docPr id="7" name="图片 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5"/>
                    <pic:cNvPicPr>
                      <a:picLocks noChangeAspect="true" noChangeArrowheads="true"/>
                    </pic:cNvPicPr>
                  </pic:nvPicPr>
                  <pic:blipFill>
                    <a:blip r:embed="rId10"/>
                    <a:srcRect/>
                    <a:stretch>
                      <a:fillRect/>
                    </a:stretch>
                  </pic:blipFill>
                  <pic:spPr>
                    <a:xfrm>
                      <a:off x="0" y="0"/>
                      <a:ext cx="1996440" cy="942340"/>
                    </a:xfrm>
                    <a:prstGeom prst="rect">
                      <a:avLst/>
                    </a:prstGeom>
                    <a:noFill/>
                    <a:ln w="9525">
                      <a:noFill/>
                      <a:miter lim="800000"/>
                      <a:headEnd/>
                      <a:tailEnd/>
                    </a:ln>
                  </pic:spPr>
                </pic:pic>
              </a:graphicData>
            </a:graphic>
          </wp:inline>
        </w:drawing>
      </w:r>
    </w:p>
    <w:p>
      <w:pPr>
        <w:adjustRightInd w:val="0"/>
        <w:snapToGrid w:val="0"/>
        <w:spacing w:line="240" w:lineRule="auto"/>
        <w:ind w:left="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图3</w:t>
      </w:r>
      <w:r>
        <w:rPr>
          <w:rFonts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3-2</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细腰平面及重叠平面示意</w:t>
      </w:r>
    </w:p>
    <w:p>
      <w:pPr>
        <w:adjustRightInd w:val="0"/>
        <w:snapToGrid w:val="0"/>
        <w:spacing w:line="240" w:lineRule="auto"/>
        <w:ind w:left="0" w:firstLine="480" w:firstLineChars="200"/>
        <w:jc w:val="center"/>
        <w:rPr>
          <w:rFonts w:ascii="宋体" w:hAnsi="宋体"/>
          <w:color w:val="000000" w:themeColor="text1"/>
          <w:sz w:val="24"/>
          <w:szCs w:val="24"/>
          <w14:textFill>
            <w14:solidFill>
              <w14:schemeClr w14:val="tx1"/>
            </w14:solidFill>
          </w14:textFill>
        </w:rPr>
      </w:pP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抗震设计时，B级高度钢筋混凝土高层建筑、混合结构高层建筑，其平面布置应简单、规则，减少偏心。</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结构平面布置应尽量减少扭转影响。当结构第一自振周期以扭转为主时，应复核楼层扭转位移比及竖向构件截面抗剪抗扭承载力满足规范要求。</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在考虑偶然偏心影响的多遇地震作用下，</w:t>
      </w:r>
      <w:r>
        <w:rPr>
          <w:rFonts w:hint="eastAsia"/>
          <w:color w:val="000000" w:themeColor="text1"/>
          <w:lang w:eastAsia="zh-CN"/>
          <w14:textFill>
            <w14:solidFill>
              <w14:schemeClr w14:val="tx1"/>
            </w14:solidFill>
          </w14:textFill>
        </w:rPr>
        <w:t>楼层竖向构件的最大扭转位移比</w:t>
      </w:r>
      <w:r>
        <w:rPr>
          <w:color w:val="000000" w:themeColor="text1"/>
          <w:lang w:eastAsia="zh-CN"/>
          <w14:textFill>
            <w14:solidFill>
              <w14:schemeClr w14:val="tx1"/>
            </w14:solidFill>
          </w14:textFill>
        </w:rPr>
        <w:t>宜满足国家现行《</w:t>
      </w:r>
      <w:r>
        <w:rPr>
          <w:bCs/>
          <w:color w:val="000000" w:themeColor="text1"/>
          <w:lang w:eastAsia="zh-CN"/>
          <w14:textFill>
            <w14:solidFill>
              <w14:schemeClr w14:val="tx1"/>
            </w14:solidFill>
          </w14:textFill>
        </w:rPr>
        <w:t>高层建筑混凝土结构技术规程</w:t>
      </w:r>
      <w:r>
        <w:rPr>
          <w:color w:val="000000" w:themeColor="text1"/>
          <w:lang w:eastAsia="zh-CN"/>
          <w14:textFill>
            <w14:solidFill>
              <w14:schemeClr w14:val="tx1"/>
            </w14:solidFill>
          </w14:textFill>
        </w:rPr>
        <w:t>》（</w:t>
      </w:r>
      <w:r>
        <w:rPr>
          <w:bCs/>
          <w:color w:val="000000" w:themeColor="text1"/>
          <w:lang w:eastAsia="zh-CN"/>
          <w14:textFill>
            <w14:solidFill>
              <w14:schemeClr w14:val="tx1"/>
            </w14:solidFill>
          </w14:textFill>
        </w:rPr>
        <w:t>JGJ3</w:t>
      </w:r>
      <w:r>
        <w:rPr>
          <w:color w:val="000000" w:themeColor="text1"/>
          <w:lang w:eastAsia="zh-CN"/>
          <w14:textFill>
            <w14:solidFill>
              <w14:schemeClr w14:val="tx1"/>
            </w14:solidFill>
          </w14:textFill>
        </w:rPr>
        <w:t>）规定的限值要求。当</w:t>
      </w:r>
      <w:r>
        <w:rPr>
          <w:rFonts w:hint="eastAsia"/>
          <w:color w:val="000000" w:themeColor="text1"/>
          <w:szCs w:val="21"/>
          <w:lang w:eastAsia="zh-CN"/>
          <w14:textFill>
            <w14:solidFill>
              <w14:schemeClr w14:val="tx1"/>
            </w14:solidFill>
          </w14:textFill>
        </w:rPr>
        <w:t>楼层竖向构件的计算平均</w:t>
      </w:r>
      <w:r>
        <w:rPr>
          <w:color w:val="000000" w:themeColor="text1"/>
          <w:szCs w:val="21"/>
          <w:lang w:eastAsia="zh-CN"/>
          <w14:textFill>
            <w14:solidFill>
              <w14:schemeClr w14:val="tx1"/>
            </w14:solidFill>
          </w14:textFill>
        </w:rPr>
        <w:t>层间位移角</w:t>
      </w:r>
      <w:r>
        <w:rPr>
          <w:color w:val="000000" w:themeColor="text1"/>
          <w:lang w:eastAsia="zh-CN"/>
          <w14:textFill>
            <w14:solidFill>
              <w14:schemeClr w14:val="tx1"/>
            </w14:solidFill>
          </w14:textFill>
        </w:rPr>
        <w:t>很小时，</w:t>
      </w:r>
      <w:r>
        <w:rPr>
          <w:rFonts w:hint="eastAsia"/>
          <w:color w:val="000000" w:themeColor="text1"/>
          <w:lang w:eastAsia="zh-CN"/>
          <w14:textFill>
            <w14:solidFill>
              <w14:schemeClr w14:val="tx1"/>
            </w14:solidFill>
          </w14:textFill>
        </w:rPr>
        <w:t>扭转位移比的限值</w:t>
      </w:r>
      <w:r>
        <w:rPr>
          <w:color w:val="000000" w:themeColor="text1"/>
          <w:lang w:eastAsia="zh-CN"/>
          <w14:textFill>
            <w14:solidFill>
              <w14:schemeClr w14:val="tx1"/>
            </w14:solidFill>
          </w14:textFill>
        </w:rPr>
        <w:t>可按表</w:t>
      </w:r>
      <w:r>
        <w:rPr>
          <w:rFonts w:hint="eastAsia"/>
          <w:color w:val="000000" w:themeColor="text1"/>
          <w:lang w:eastAsia="zh-CN"/>
          <w14:textFill>
            <w14:solidFill>
              <w14:schemeClr w14:val="tx1"/>
            </w14:solidFill>
          </w14:textFill>
        </w:rPr>
        <w:t>3.4.6</w:t>
      </w:r>
      <w:r>
        <w:rPr>
          <w:color w:val="000000" w:themeColor="text1"/>
          <w:lang w:eastAsia="zh-CN"/>
          <w14:textFill>
            <w14:solidFill>
              <w14:schemeClr w14:val="tx1"/>
            </w14:solidFill>
          </w14:textFill>
        </w:rPr>
        <w:t>取值。</w:t>
      </w:r>
    </w:p>
    <w:p>
      <w:pPr>
        <w:spacing w:line="240" w:lineRule="auto"/>
        <w:ind w:left="0" w:firstLine="413" w:firstLineChars="196"/>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表</w:t>
      </w:r>
      <w:r>
        <w:rPr>
          <w:rFonts w:hint="eastAsia" w:ascii="宋体" w:hAnsi="宋体"/>
          <w:b/>
          <w:color w:val="000000" w:themeColor="text1"/>
          <w:szCs w:val="21"/>
          <w14:textFill>
            <w14:solidFill>
              <w14:schemeClr w14:val="tx1"/>
            </w14:solidFill>
          </w14:textFill>
        </w:rPr>
        <w:t>3.4</w:t>
      </w:r>
      <w:r>
        <w:rPr>
          <w:rFonts w:ascii="宋体" w:hAnsi="宋体"/>
          <w:b/>
          <w:color w:val="000000" w:themeColor="text1"/>
          <w:szCs w:val="21"/>
          <w14:textFill>
            <w14:solidFill>
              <w14:schemeClr w14:val="tx1"/>
            </w14:solidFill>
          </w14:textFill>
        </w:rPr>
        <w:t>.</w:t>
      </w:r>
      <w:r>
        <w:rPr>
          <w:rFonts w:hint="eastAsia" w:ascii="宋体" w:hAnsi="宋体"/>
          <w:b/>
          <w:color w:val="000000" w:themeColor="text1"/>
          <w:szCs w:val="21"/>
          <w14:textFill>
            <w14:solidFill>
              <w14:schemeClr w14:val="tx1"/>
            </w14:solidFill>
          </w14:textFill>
        </w:rPr>
        <w:t>6</w:t>
      </w:r>
      <w:r>
        <w:rPr>
          <w:rFonts w:ascii="宋体" w:hAnsi="宋体"/>
          <w:b/>
          <w:color w:val="000000" w:themeColor="text1"/>
          <w:szCs w:val="21"/>
          <w14:textFill>
            <w14:solidFill>
              <w14:schemeClr w14:val="tx1"/>
            </w14:solidFill>
          </w14:textFill>
        </w:rPr>
        <w:t xml:space="preserve">  扭转位移比限值</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8"/>
        <w:gridCol w:w="932"/>
        <w:gridCol w:w="933"/>
        <w:gridCol w:w="932"/>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208" w:type="dxa"/>
          </w:tcPr>
          <w:p>
            <w:pPr>
              <w:adjustRightInd w:val="0"/>
              <w:snapToGrid w:val="0"/>
              <w:spacing w:line="240" w:lineRule="exact"/>
              <w:ind w:left="1680" w:leftChars="350" w:hanging="945" w:hangingChars="45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mc:AlternateContent>
                <mc:Choice Requires="wps">
                  <w:drawing>
                    <wp:anchor distT="0" distB="0" distL="114300" distR="114300" simplePos="0" relativeHeight="251658240" behindDoc="0" locked="0" layoutInCell="1" allowOverlap="1">
                      <wp:simplePos x="0" y="0"/>
                      <wp:positionH relativeFrom="column">
                        <wp:posOffset>-54610</wp:posOffset>
                      </wp:positionH>
                      <wp:positionV relativeFrom="paragraph">
                        <wp:posOffset>-4445</wp:posOffset>
                      </wp:positionV>
                      <wp:extent cx="2653030" cy="640715"/>
                      <wp:effectExtent l="6985" t="13335" r="6985" b="12700"/>
                      <wp:wrapNone/>
                      <wp:docPr id="1" name="AutoShape 6"/>
                      <wp:cNvGraphicFramePr/>
                      <a:graphic xmlns:a="http://schemas.openxmlformats.org/drawingml/2006/main">
                        <a:graphicData uri="http://schemas.microsoft.com/office/word/2010/wordprocessingShape">
                          <wps:wsp>
                            <wps:cNvCnPr>
                              <a:cxnSpLocks noChangeShapeType="true"/>
                            </wps:cNvCnPr>
                            <wps:spPr bwMode="auto">
                              <a:xfrm>
                                <a:off x="0" y="0"/>
                                <a:ext cx="2653030" cy="640715"/>
                              </a:xfrm>
                              <a:prstGeom prst="straightConnector1">
                                <a:avLst/>
                              </a:prstGeom>
                              <a:noFill/>
                              <a:ln w="9525">
                                <a:solidFill>
                                  <a:srgbClr val="000000"/>
                                </a:solidFill>
                                <a:round/>
                              </a:ln>
                            </wps:spPr>
                            <wps:bodyPr/>
                          </wps:wsp>
                        </a:graphicData>
                      </a:graphic>
                    </wp:anchor>
                  </w:drawing>
                </mc:Choice>
                <mc:Fallback>
                  <w:pict>
                    <v:shape id="AutoShape 6" o:spid="_x0000_s1026" o:spt="32" type="#_x0000_t32" style="position:absolute;left:0pt;margin-left:-4.3pt;margin-top:-0.35pt;height:50.45pt;width:208.9pt;z-index:251658240;mso-width-relative:page;mso-height-relative:page;" filled="f" stroked="t" coordsize="21600,21600" o:gfxdata="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C+4TYD1wAAAAgBAAAPAAAAAAAAAAEA&#10;IAAAADgAAABkcnMvZG93bnJldi54bWxQSwECFAAUAAAACACHTuJAPVCy0cEBAABsAwAADgAAAAAA&#10;AAABACAAAAA8AQAAZHJzL2Uyb0RvYy54bWxQSwUGAAAAAAYABgBZAQAAbwUAAAAA&#10;">
                      <v:fill on="f" focussize="0,0"/>
                      <v:stroke color="#000000" joinstyle="round"/>
                      <v:imagedata o:title=""/>
                      <o:lock v:ext="edit" aspectratio="f"/>
                    </v:shape>
                  </w:pict>
                </mc:Fallback>
              </mc:AlternateContent>
            </w:r>
            <w:r>
              <w:rPr>
                <w:rFonts w:hint="eastAsia" w:ascii="宋体" w:hAnsi="宋体"/>
                <w:color w:val="000000" w:themeColor="text1"/>
                <w:szCs w:val="21"/>
                <w14:textFill>
                  <w14:solidFill>
                    <w14:schemeClr w14:val="tx1"/>
                  </w14:solidFill>
                </w14:textFill>
              </w:rPr>
              <w:t>楼层竖向构件的计算平均</w:t>
            </w:r>
            <w:r>
              <w:rPr>
                <w:rFonts w:ascii="宋体" w:hAnsi="宋体"/>
                <w:color w:val="000000" w:themeColor="text1"/>
                <w:szCs w:val="21"/>
                <w14:textFill>
                  <w14:solidFill>
                    <w14:schemeClr w14:val="tx1"/>
                  </w14:solidFill>
                </w14:textFill>
              </w:rPr>
              <w:t>层间位移角/层间位移角限值</w:t>
            </w:r>
          </w:p>
          <w:p>
            <w:pPr>
              <w:snapToGrid w:val="0"/>
              <w:spacing w:line="240" w:lineRule="auto"/>
              <w:ind w:left="0"/>
              <w:jc w:val="center"/>
              <w:rPr>
                <w:rFonts w:ascii="宋体" w:hAnsi="宋体"/>
                <w:color w:val="000000" w:themeColor="text1"/>
                <w:szCs w:val="21"/>
                <w14:textFill>
                  <w14:solidFill>
                    <w14:schemeClr w14:val="tx1"/>
                  </w14:solidFill>
                </w14:textFill>
              </w:rPr>
            </w:pPr>
          </w:p>
          <w:p>
            <w:pPr>
              <w:snapToGrid w:val="0"/>
              <w:spacing w:line="240" w:lineRule="auto"/>
              <w:ind w:left="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类别</w:t>
            </w:r>
          </w:p>
        </w:tc>
        <w:tc>
          <w:tcPr>
            <w:tcW w:w="932" w:type="dxa"/>
            <w:vAlign w:val="center"/>
          </w:tcPr>
          <w:p>
            <w:pPr>
              <w:snapToGrid w:val="0"/>
              <w:spacing w:line="240" w:lineRule="auto"/>
              <w:ind w:left="0"/>
              <w:jc w:val="center"/>
              <w:rPr>
                <w:rFonts w:ascii="宋体" w:hAnsi="宋体"/>
                <w:color w:val="000000" w:themeColor="text1"/>
                <w:szCs w:val="21"/>
                <w14:textFill>
                  <w14:solidFill>
                    <w14:schemeClr w14:val="tx1"/>
                  </w14:solidFill>
                </w14:textFill>
              </w:rPr>
            </w:pPr>
            <w:r>
              <w:rPr>
                <w:rFonts w:ascii="宋体" w:hAnsi="宋体"/>
                <w:color w:val="000000" w:themeColor="text1"/>
                <w:position w:val="-6"/>
                <w:szCs w:val="21"/>
                <w14:textFill>
                  <w14:solidFill>
                    <w14:schemeClr w14:val="tx1"/>
                  </w14:solidFill>
                </w14:textFill>
              </w:rPr>
              <w:object>
                <v:shape id="_x0000_i1025" o:spt="75" type="#_x0000_t75" style="height:12pt;width:24pt;" o:ole="t" filled="f" coordsize="21600,21600">
                  <v:path/>
                  <v:fill on="f" focussize="0,0"/>
                  <v:stroke/>
                  <v:imagedata r:id="rId12" o:title=""/>
                  <o:lock v:ext="edit" aspectratio="t"/>
                  <w10:wrap type="none"/>
                  <w10:anchorlock/>
                </v:shape>
                <o:OLEObject Type="Embed" ProgID="Equation.3" ShapeID="_x0000_i1025" DrawAspect="Content" ObjectID="_1468075725" r:id="rId11">
                  <o:LockedField>false</o:LockedField>
                </o:OLEObject>
              </w:object>
            </w:r>
          </w:p>
        </w:tc>
        <w:tc>
          <w:tcPr>
            <w:tcW w:w="933" w:type="dxa"/>
            <w:vAlign w:val="center"/>
          </w:tcPr>
          <w:p>
            <w:pPr>
              <w:snapToGrid w:val="0"/>
              <w:spacing w:line="240" w:lineRule="auto"/>
              <w:ind w:left="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0.5</w:t>
            </w:r>
          </w:p>
        </w:tc>
        <w:tc>
          <w:tcPr>
            <w:tcW w:w="932" w:type="dxa"/>
            <w:vAlign w:val="center"/>
          </w:tcPr>
          <w:p>
            <w:pPr>
              <w:snapToGrid w:val="0"/>
              <w:spacing w:line="240" w:lineRule="auto"/>
              <w:ind w:left="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0.6</w:t>
            </w:r>
          </w:p>
        </w:tc>
        <w:tc>
          <w:tcPr>
            <w:tcW w:w="933" w:type="dxa"/>
            <w:vAlign w:val="center"/>
          </w:tcPr>
          <w:p>
            <w:pPr>
              <w:snapToGrid w:val="0"/>
              <w:spacing w:line="240" w:lineRule="auto"/>
              <w:ind w:left="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208" w:type="dxa"/>
          </w:tcPr>
          <w:p>
            <w:pPr>
              <w:adjustRightInd w:val="0"/>
              <w:snapToGrid w:val="0"/>
              <w:spacing w:line="240" w:lineRule="auto"/>
              <w:ind w:left="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1、B级及超B级高度的高层建筑、混合结构高层建筑及高规所指的复杂高层建筑</w:t>
            </w:r>
          </w:p>
        </w:tc>
        <w:tc>
          <w:tcPr>
            <w:tcW w:w="932" w:type="dxa"/>
            <w:vAlign w:val="center"/>
          </w:tcPr>
          <w:p>
            <w:pPr>
              <w:widowControl/>
              <w:spacing w:line="240" w:lineRule="auto"/>
              <w:ind w:left="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65</w:t>
            </w:r>
          </w:p>
        </w:tc>
        <w:tc>
          <w:tcPr>
            <w:tcW w:w="933" w:type="dxa"/>
            <w:vAlign w:val="center"/>
          </w:tcPr>
          <w:p>
            <w:pPr>
              <w:widowControl/>
              <w:spacing w:line="240" w:lineRule="auto"/>
              <w:ind w:left="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1.55</w:t>
            </w:r>
          </w:p>
        </w:tc>
        <w:tc>
          <w:tcPr>
            <w:tcW w:w="932" w:type="dxa"/>
            <w:vAlign w:val="center"/>
          </w:tcPr>
          <w:p>
            <w:pPr>
              <w:widowControl/>
              <w:spacing w:line="240" w:lineRule="auto"/>
              <w:ind w:left="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1.45</w:t>
            </w:r>
          </w:p>
        </w:tc>
        <w:tc>
          <w:tcPr>
            <w:tcW w:w="933" w:type="dxa"/>
            <w:vAlign w:val="center"/>
          </w:tcPr>
          <w:p>
            <w:pPr>
              <w:widowControl/>
              <w:spacing w:line="240" w:lineRule="auto"/>
              <w:ind w:left="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08" w:type="dxa"/>
          </w:tcPr>
          <w:p>
            <w:pPr>
              <w:adjustRightInd w:val="0"/>
              <w:snapToGrid w:val="0"/>
              <w:spacing w:line="240" w:lineRule="auto"/>
              <w:ind w:left="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hint="eastAsia" w:ascii="宋体" w:hAnsi="宋体"/>
                <w:b/>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级高度高层建筑</w:t>
            </w:r>
          </w:p>
        </w:tc>
        <w:tc>
          <w:tcPr>
            <w:tcW w:w="932" w:type="dxa"/>
            <w:vAlign w:val="center"/>
          </w:tcPr>
          <w:p>
            <w:pPr>
              <w:widowControl/>
              <w:spacing w:line="240" w:lineRule="auto"/>
              <w:ind w:left="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7</w:t>
            </w:r>
            <w:r>
              <w:rPr>
                <w:rFonts w:ascii="宋体" w:hAnsi="宋体"/>
                <w:color w:val="000000" w:themeColor="text1"/>
                <w:szCs w:val="21"/>
                <w14:textFill>
                  <w14:solidFill>
                    <w14:schemeClr w14:val="tx1"/>
                  </w14:solidFill>
                </w14:textFill>
              </w:rPr>
              <w:t>0</w:t>
            </w:r>
          </w:p>
        </w:tc>
        <w:tc>
          <w:tcPr>
            <w:tcW w:w="933" w:type="dxa"/>
            <w:vAlign w:val="center"/>
          </w:tcPr>
          <w:p>
            <w:pPr>
              <w:widowControl/>
              <w:spacing w:line="240" w:lineRule="auto"/>
              <w:ind w:left="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1.60</w:t>
            </w:r>
          </w:p>
        </w:tc>
        <w:tc>
          <w:tcPr>
            <w:tcW w:w="932" w:type="dxa"/>
            <w:vAlign w:val="center"/>
          </w:tcPr>
          <w:p>
            <w:pPr>
              <w:widowControl/>
              <w:spacing w:line="240" w:lineRule="auto"/>
              <w:ind w:left="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1.50</w:t>
            </w:r>
          </w:p>
        </w:tc>
        <w:tc>
          <w:tcPr>
            <w:tcW w:w="933" w:type="dxa"/>
            <w:vAlign w:val="center"/>
          </w:tcPr>
          <w:p>
            <w:pPr>
              <w:widowControl/>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1.50</w:t>
            </w:r>
          </w:p>
        </w:tc>
      </w:tr>
    </w:tbl>
    <w:p>
      <w:pPr>
        <w:adjustRightInd w:val="0"/>
        <w:snapToGrid w:val="0"/>
        <w:spacing w:line="240" w:lineRule="auto"/>
        <w:ind w:left="420" w:hanging="420" w:hanging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注：1 楼层竖向构件的扭转位移比指该构件的</w:t>
      </w:r>
      <w:r>
        <w:rPr>
          <w:rFonts w:ascii="宋体" w:hAnsi="宋体"/>
          <w:color w:val="000000" w:themeColor="text1"/>
          <w:szCs w:val="21"/>
          <w14:textFill>
            <w14:solidFill>
              <w14:schemeClr w14:val="tx1"/>
            </w14:solidFill>
          </w14:textFill>
        </w:rPr>
        <w:t>水平位移和层间位移与该楼层</w:t>
      </w:r>
      <w:r>
        <w:rPr>
          <w:rFonts w:hint="eastAsia" w:ascii="宋体" w:hAnsi="宋体"/>
          <w:color w:val="000000" w:themeColor="text1"/>
          <w:szCs w:val="21"/>
          <w14:textFill>
            <w14:solidFill>
              <w14:schemeClr w14:val="tx1"/>
            </w14:solidFill>
          </w14:textFill>
        </w:rPr>
        <w:t>竖向构件</w:t>
      </w:r>
      <w:r>
        <w:rPr>
          <w:rFonts w:ascii="宋体" w:hAnsi="宋体"/>
          <w:color w:val="000000" w:themeColor="text1"/>
          <w:szCs w:val="21"/>
          <w14:textFill>
            <w14:solidFill>
              <w14:schemeClr w14:val="tx1"/>
            </w14:solidFill>
          </w14:textFill>
        </w:rPr>
        <w:t>相应平均值之比</w:t>
      </w:r>
      <w:r>
        <w:rPr>
          <w:rFonts w:hint="eastAsia" w:ascii="宋体" w:hAnsi="宋体"/>
          <w:color w:val="000000" w:themeColor="text1"/>
          <w:szCs w:val="21"/>
          <w14:textFill>
            <w14:solidFill>
              <w14:schemeClr w14:val="tx1"/>
            </w14:solidFill>
          </w14:textFill>
        </w:rPr>
        <w:t>；</w:t>
      </w:r>
    </w:p>
    <w:p>
      <w:pPr>
        <w:adjustRightInd w:val="0"/>
        <w:snapToGrid w:val="0"/>
        <w:spacing w:line="240" w:lineRule="auto"/>
        <w:ind w:left="420" w:left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扭转位移比较大的楼层，应复核楼层竖向构件的抗扭转承载力，并分析楼板在地震作用下的应力状况，采取相应的加强措施</w:t>
      </w:r>
      <w:r>
        <w:rPr>
          <w:rFonts w:hint="eastAsia" w:ascii="宋体" w:hAnsi="宋体"/>
          <w:color w:val="000000" w:themeColor="text1"/>
          <w:szCs w:val="21"/>
          <w14:textFill>
            <w14:solidFill>
              <w14:schemeClr w14:val="tx1"/>
            </w14:solidFill>
          </w14:textFill>
        </w:rPr>
        <w:t>；</w:t>
      </w:r>
    </w:p>
    <w:p>
      <w:pPr>
        <w:adjustRightInd w:val="0"/>
        <w:snapToGrid w:val="0"/>
        <w:spacing w:line="240" w:lineRule="auto"/>
        <w:ind w:left="420" w:left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3当建筑平面长宽比大于1.5时，沿短边方向的楼层扭转位移比限值可放大10%；</w:t>
      </w:r>
    </w:p>
    <w:p>
      <w:pPr>
        <w:adjustRightInd w:val="0"/>
        <w:snapToGrid w:val="0"/>
        <w:spacing w:line="240" w:lineRule="auto"/>
        <w:ind w:left="420" w:left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4平均层间位移角取楼层各抗侧力构件最大层间位移角与最小层间位移角的平均值，一般指结构平面 形心处的层间位移角。</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楼板平面比较狭长、有较大的凹入或开洞时，应在设计中考虑其对结构产生的不利影响。有效楼板宽度不宜小于该层楼面宽度的50%；楼板开洞总面积不宜超过楼面面积的30%；在扣除凹入或开洞后，楼板在任一方向的最小净宽度不宜小于5m，且开洞后每一边的楼板净宽度不应小于2m。</w:t>
      </w:r>
    </w:p>
    <w:p>
      <w:pPr>
        <w:pStyle w:val="119"/>
        <w:rPr>
          <w:rFonts w:cs="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艹字形、井字形等外伸长度较大的建筑，当中央部分楼板有较大削弱时，应加强楼板以及连接部位墙体的构造措施，必要时可在外伸段凹</w:t>
      </w:r>
      <w:r>
        <w:rPr>
          <w:rFonts w:hint="eastAsia" w:cs="宋体"/>
          <w:color w:val="000000" w:themeColor="text1"/>
          <w:lang w:eastAsia="zh-CN"/>
          <w14:textFill>
            <w14:solidFill>
              <w14:schemeClr w14:val="tx1"/>
            </w14:solidFill>
          </w14:textFill>
        </w:rPr>
        <w:t>槽</w:t>
      </w:r>
      <w:r>
        <w:rPr>
          <w:rFonts w:hint="eastAsia"/>
          <w:color w:val="000000" w:themeColor="text1"/>
          <w:lang w:eastAsia="zh-CN"/>
          <w14:textFill>
            <w14:solidFill>
              <w14:schemeClr w14:val="tx1"/>
            </w14:solidFill>
          </w14:textFill>
        </w:rPr>
        <w:t>处设置连接梁或连接板。</w:t>
      </w:r>
    </w:p>
    <w:p>
      <w:pPr>
        <w:pStyle w:val="119"/>
        <w:rPr>
          <w:color w:val="000000" w:themeColor="text1"/>
          <w:kern w:val="2"/>
          <w:lang w:eastAsia="zh-CN"/>
          <w14:textFill>
            <w14:solidFill>
              <w14:schemeClr w14:val="tx1"/>
            </w14:solidFill>
          </w14:textFill>
        </w:rPr>
      </w:pPr>
      <w:r>
        <w:rPr>
          <w:rFonts w:hint="eastAsia"/>
          <w:color w:val="000000" w:themeColor="text1"/>
          <w:lang w:eastAsia="zh-CN"/>
          <w14:textFill>
            <w14:solidFill>
              <w14:schemeClr w14:val="tx1"/>
            </w14:solidFill>
          </w14:textFill>
        </w:rPr>
        <w:t>楼板开大洞削弱后，宜采取下列措施；</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1加厚洞口附近楼板，提高楼板的配筋率，采用双层双向配筋；</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2洞口边缘设置边梁、暗梁；</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3在楼板洞口角部集中配置斜向钢筋。</w:t>
      </w:r>
    </w:p>
    <w:p>
      <w:pPr>
        <w:spacing w:line="240" w:lineRule="auto"/>
        <w:ind w:left="0" w:firstLine="480" w:firstLineChars="200"/>
        <w:jc w:val="left"/>
        <w:rPr>
          <w:rFonts w:ascii="宋体" w:hAnsi="宋体"/>
          <w:color w:val="000000" w:themeColor="text1"/>
          <w:sz w:val="24"/>
          <w:szCs w:val="24"/>
          <w14:textFill>
            <w14:solidFill>
              <w14:schemeClr w14:val="tx1"/>
            </w14:solidFill>
          </w14:textFill>
        </w:rPr>
      </w:pPr>
    </w:p>
    <w:p>
      <w:pPr>
        <w:pStyle w:val="61"/>
        <w:rPr>
          <w:color w:val="000000" w:themeColor="text1"/>
          <w14:textFill>
            <w14:solidFill>
              <w14:schemeClr w14:val="tx1"/>
            </w14:solidFill>
          </w14:textFill>
        </w:rPr>
      </w:pPr>
      <w:bookmarkStart w:id="10" w:name="_Toc24714190"/>
      <w:r>
        <w:rPr>
          <w:rFonts w:hint="eastAsia"/>
          <w:color w:val="000000" w:themeColor="text1"/>
          <w14:textFill>
            <w14:solidFill>
              <w14:schemeClr w14:val="tx1"/>
            </w14:solidFill>
          </w14:textFill>
        </w:rPr>
        <w:t>结构竖向布置</w:t>
      </w:r>
      <w:bookmarkEnd w:id="10"/>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高层建筑的竖向体型宜规则、均匀，避免有过大的外挑和收进。结构的侧向刚度宜下大上小，逐渐均匀变化。</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结构楼层抗侧刚度应符合现行规范规程的要求。当局部楼层层高超过相邻楼层层高3倍时，宜按本规程附录A的方法计算楼层的抗侧刚度。</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当楼层侧向刚度明显低于下部相邻层的侧向刚度时，宜适当增大该层抗侧刚度，并复核刚度突变层及相邻层构件的承载力。</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楼层抗剪承载力应满足现行规范规程的要求。层抗剪承载力应是层所有抗侧力构件柱、剪力墙和斜撑抗剪承载力在变形协调条件下的承载力组合。计算层抗剪承载力时，柱的抗剪承载力应考虑与剪力墙、斜撑屈服时位移协调的影响。</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当上一层受剪承载力</w:t>
      </w:r>
      <w:r>
        <w:rPr>
          <w:rFonts w:hint="eastAsia"/>
          <w:color w:val="000000" w:themeColor="text1"/>
          <w:lang w:eastAsia="zh-CN"/>
          <w14:textFill>
            <w14:solidFill>
              <w14:schemeClr w14:val="tx1"/>
            </w14:solidFill>
          </w14:textFill>
        </w:rPr>
        <w:t>明显</w:t>
      </w:r>
      <w:r>
        <w:rPr>
          <w:color w:val="000000" w:themeColor="text1"/>
          <w:lang w:eastAsia="zh-CN"/>
          <w14:textFill>
            <w14:solidFill>
              <w14:schemeClr w14:val="tx1"/>
            </w14:solidFill>
          </w14:textFill>
        </w:rPr>
        <w:t>小于下一层受剪承载力时，上一层的地震</w:t>
      </w:r>
      <w:r>
        <w:rPr>
          <w:rFonts w:hint="eastAsia"/>
          <w:color w:val="000000" w:themeColor="text1"/>
          <w:lang w:eastAsia="zh-CN"/>
          <w14:textFill>
            <w14:solidFill>
              <w14:schemeClr w14:val="tx1"/>
            </w14:solidFill>
          </w14:textFill>
        </w:rPr>
        <w:t>作用</w:t>
      </w:r>
      <w:r>
        <w:rPr>
          <w:color w:val="000000" w:themeColor="text1"/>
          <w:lang w:eastAsia="zh-CN"/>
          <w14:textFill>
            <w14:solidFill>
              <w14:schemeClr w14:val="tx1"/>
            </w14:solidFill>
          </w14:textFill>
        </w:rPr>
        <w:t>标准值</w:t>
      </w:r>
      <w:r>
        <w:rPr>
          <w:rFonts w:hint="eastAsia"/>
          <w:color w:val="000000" w:themeColor="text1"/>
          <w:lang w:eastAsia="zh-CN"/>
          <w14:textFill>
            <w14:solidFill>
              <w14:schemeClr w14:val="tx1"/>
            </w14:solidFill>
          </w14:textFill>
        </w:rPr>
        <w:t>的剪力应乘以不小于1.25的增大系数</w:t>
      </w:r>
      <w:r>
        <w:rPr>
          <w:color w:val="000000" w:themeColor="text1"/>
          <w:lang w:eastAsia="zh-CN"/>
          <w14:textFill>
            <w14:solidFill>
              <w14:schemeClr w14:val="tx1"/>
            </w14:solidFill>
          </w14:textFill>
        </w:rPr>
        <w:t>。</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A级高度高层建筑，当楼层间无斜撑时，其楼层抗侧力结构的受剪承载力不宜小于其上一层受剪承载力的80%，不应小于其上一层受剪承载力的65%；B级高度高层建筑的楼层抗侧力结构的受剪承载力不应小于其上一层受剪承载力的75%。当不满足要求时，其对应于地震作用标准值的剪力应乘以1.25的增大系数。</w:t>
      </w:r>
    </w:p>
    <w:p>
      <w:pPr>
        <w:adjustRightInd w:val="0"/>
        <w:snapToGrid w:val="0"/>
        <w:spacing w:line="240" w:lineRule="auto"/>
        <w:ind w:left="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注：当层抗侧刚度同时不满足要求时，仅考虑本条增大系数。</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当结构某楼层中出现斜撑等抗侧力构件时，尚应按下式计算各层的抗剪裕度指数，</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position w:val="-14"/>
          <w:sz w:val="24"/>
          <w:szCs w:val="24"/>
          <w14:textFill>
            <w14:solidFill>
              <w14:schemeClr w14:val="tx1"/>
            </w14:solidFill>
          </w14:textFill>
        </w:rPr>
        <w:object>
          <v:shape id="_x0000_i1026" o:spt="75" type="#_x0000_t75" style="height:19pt;width:61pt;" o:ole="t" filled="f" coordsize="21600,21600">
            <v:path/>
            <v:fill on="f" focussize="0,0"/>
            <v:stroke/>
            <v:imagedata r:id="rId14" o:title=""/>
            <o:lock v:ext="edit" aspectratio="t"/>
            <w10:wrap type="none"/>
            <w10:anchorlock/>
          </v:shape>
          <o:OLEObject Type="Embed" ProgID="Equation.3" ShapeID="_x0000_i1026" DrawAspect="Content" ObjectID="_1468075726" r:id="rId13">
            <o:LockedField>false</o:LockedField>
          </o:OLEObject>
        </w:object>
      </w:r>
      <w:r>
        <w:rPr>
          <w:rFonts w:hint="eastAsia" w:ascii="宋体" w:hAnsi="宋体"/>
          <w:color w:val="000000" w:themeColor="text1"/>
          <w:sz w:val="24"/>
          <w:szCs w:val="24"/>
          <w14:textFill>
            <w14:solidFill>
              <w14:schemeClr w14:val="tx1"/>
            </w14:solidFill>
          </w14:textFill>
        </w:rPr>
        <w:t xml:space="preserve">                                    （3.5.7）</w:t>
      </w:r>
    </w:p>
    <w:p>
      <w:pPr>
        <w:spacing w:line="240" w:lineRule="auto"/>
        <w:ind w:left="0"/>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式中，</w:t>
      </w:r>
      <w:r>
        <w:rPr>
          <w:rFonts w:ascii="宋体" w:hAnsi="宋体"/>
          <w:color w:val="000000" w:themeColor="text1"/>
          <w:position w:val="-14"/>
          <w:sz w:val="24"/>
          <w:szCs w:val="24"/>
          <w14:textFill>
            <w14:solidFill>
              <w14:schemeClr w14:val="tx1"/>
            </w14:solidFill>
          </w14:textFill>
        </w:rPr>
        <w:object>
          <v:shape id="_x0000_i1027" o:spt="75" type="#_x0000_t75" style="height:19pt;width:18pt;" o:ole="t" filled="f" coordsize="21600,21600">
            <v:path/>
            <v:fill on="f" focussize="0,0"/>
            <v:stroke/>
            <v:imagedata r:id="rId16" o:title=""/>
            <o:lock v:ext="edit" aspectratio="t"/>
            <w10:wrap type="none"/>
            <w10:anchorlock/>
          </v:shape>
          <o:OLEObject Type="Embed" ProgID="Equation.3" ShapeID="_x0000_i1027" DrawAspect="Content" ObjectID="_1468075727" r:id="rId15">
            <o:LockedField>false</o:LockedField>
          </o:OLEObject>
        </w:object>
      </w:r>
      <w:r>
        <w:rPr>
          <w:rFonts w:hint="eastAsia" w:ascii="宋体" w:hAnsi="宋体"/>
          <w:color w:val="000000" w:themeColor="text1"/>
          <w:sz w:val="24"/>
          <w:szCs w:val="24"/>
          <w14:textFill>
            <w14:solidFill>
              <w14:schemeClr w14:val="tx1"/>
            </w14:solidFill>
          </w14:textFill>
        </w:rPr>
        <w:t>为i层的抗剪承载力；</w:t>
      </w:r>
      <w:r>
        <w:rPr>
          <w:rFonts w:ascii="宋体" w:hAnsi="宋体"/>
          <w:color w:val="000000" w:themeColor="text1"/>
          <w:position w:val="-12"/>
          <w:sz w:val="24"/>
          <w:szCs w:val="24"/>
          <w14:textFill>
            <w14:solidFill>
              <w14:schemeClr w14:val="tx1"/>
            </w14:solidFill>
          </w14:textFill>
        </w:rPr>
        <w:object>
          <v:shape id="_x0000_i1028" o:spt="75" type="#_x0000_t75" style="height:18pt;width:16pt;" o:ole="t" filled="f" coordsize="21600,21600">
            <v:path/>
            <v:fill on="f" focussize="0,0"/>
            <v:stroke/>
            <v:imagedata r:id="rId18" o:title=""/>
            <o:lock v:ext="edit" aspectratio="t"/>
            <w10:wrap type="none"/>
            <w10:anchorlock/>
          </v:shape>
          <o:OLEObject Type="Embed" ProgID="Equation.3" ShapeID="_x0000_i1028" DrawAspect="Content" ObjectID="_1468075728" r:id="rId17">
            <o:LockedField>false</o:LockedField>
          </o:OLEObject>
        </w:object>
      </w:r>
      <w:r>
        <w:rPr>
          <w:rFonts w:hint="eastAsia" w:ascii="宋体" w:hAnsi="宋体"/>
          <w:color w:val="000000" w:themeColor="text1"/>
          <w:sz w:val="24"/>
          <w:szCs w:val="24"/>
          <w14:textFill>
            <w14:solidFill>
              <w14:schemeClr w14:val="tx1"/>
            </w14:solidFill>
          </w14:textFill>
        </w:rPr>
        <w:t>为多遇地震作用下i层按弹性计算的层剪力；</w:t>
      </w:r>
      <w:r>
        <w:rPr>
          <w:rFonts w:ascii="宋体" w:hAnsi="宋体"/>
          <w:color w:val="000000" w:themeColor="text1"/>
          <w:position w:val="-10"/>
          <w:sz w:val="24"/>
          <w:szCs w:val="24"/>
          <w14:textFill>
            <w14:solidFill>
              <w14:schemeClr w14:val="tx1"/>
            </w14:solidFill>
          </w14:textFill>
        </w:rPr>
        <w:object>
          <v:shape id="_x0000_i1029" o:spt="75" type="#_x0000_t75" style="height:16pt;width:12pt;" o:ole="t" filled="f" coordsize="21600,21600">
            <v:path/>
            <v:fill on="f" focussize="0,0"/>
            <v:stroke/>
            <v:imagedata r:id="rId20" o:title=""/>
            <o:lock v:ext="edit" aspectratio="t"/>
            <w10:wrap type="none"/>
            <w10:anchorlock/>
          </v:shape>
          <o:OLEObject Type="Embed" ProgID="Equation.3" ShapeID="_x0000_i1029" DrawAspect="Content" ObjectID="_1468075729" r:id="rId19">
            <o:LockedField>false</o:LockedField>
          </o:OLEObject>
        </w:object>
      </w:r>
      <w:r>
        <w:rPr>
          <w:rFonts w:hint="eastAsia" w:ascii="宋体" w:hAnsi="宋体"/>
          <w:color w:val="000000" w:themeColor="text1"/>
          <w:sz w:val="24"/>
          <w:szCs w:val="24"/>
          <w14:textFill>
            <w14:solidFill>
              <w14:schemeClr w14:val="tx1"/>
            </w14:solidFill>
          </w14:textFill>
        </w:rPr>
        <w:t>为i层的抗剪裕度指数。</w:t>
      </w:r>
      <w:r>
        <w:rPr>
          <w:rFonts w:hint="eastAsia"/>
          <w:color w:val="000000" w:themeColor="text1"/>
          <w:sz w:val="24"/>
          <w:szCs w:val="24"/>
          <w14:textFill>
            <w14:solidFill>
              <w14:schemeClr w14:val="tx1"/>
            </w14:solidFill>
          </w14:textFill>
        </w:rPr>
        <w:t>结构的抗剪薄弱层取抗剪裕度指数最小的2~3个楼层。当薄弱层位置不在该楼层或其相邻层时，薄弱层的地震作用标准值的剪力应乘以1.15的增大系数。</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当采用性能化设计结构满足设定的抗震性能目标要求时,3.5.2、3.5.3及3.5.4条的限值可适当放松。</w:t>
      </w:r>
    </w:p>
    <w:p>
      <w:pPr>
        <w:spacing w:line="240" w:lineRule="auto"/>
        <w:ind w:left="0" w:firstLine="480" w:firstLineChars="200"/>
        <w:rPr>
          <w:color w:val="000000" w:themeColor="text1"/>
          <w:sz w:val="24"/>
          <w:szCs w:val="24"/>
          <w14:textFill>
            <w14:solidFill>
              <w14:schemeClr w14:val="tx1"/>
            </w14:solidFill>
          </w14:textFill>
        </w:rPr>
      </w:pPr>
    </w:p>
    <w:p>
      <w:pPr>
        <w:pStyle w:val="61"/>
        <w:rPr>
          <w:color w:val="000000" w:themeColor="text1"/>
          <w14:textFill>
            <w14:solidFill>
              <w14:schemeClr w14:val="tx1"/>
            </w14:solidFill>
          </w14:textFill>
        </w:rPr>
      </w:pPr>
      <w:bookmarkStart w:id="11" w:name="_Toc24714191"/>
      <w:r>
        <w:rPr>
          <w:rFonts w:hint="eastAsia"/>
          <w:color w:val="000000" w:themeColor="text1"/>
          <w14:textFill>
            <w14:solidFill>
              <w14:schemeClr w14:val="tx1"/>
            </w14:solidFill>
          </w14:textFill>
        </w:rPr>
        <w:t>楼盖结构</w:t>
      </w:r>
      <w:bookmarkEnd w:id="11"/>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当结构平面刚度不均匀、质量不均匀或楼板不连续时，应验算楼板薄弱部位在地震作用下的承载力（图3.6.1）。</w:t>
      </w:r>
    </w:p>
    <w:p>
      <w:pPr>
        <w:spacing w:line="240" w:lineRule="auto"/>
        <w:ind w:left="0" w:firstLine="480" w:firstLineChars="200"/>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3420110" cy="1912620"/>
            <wp:effectExtent l="19050" t="0" r="8890" b="0"/>
            <wp:docPr id="13" name="图片 1" descr="C:\Documents and Settings\Administrator\桌面\图像-04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 descr="C:\Documents and Settings\Administrator\桌面\图像-040.jpg"/>
                    <pic:cNvPicPr>
                      <a:picLocks noChangeAspect="true" noChangeArrowheads="true"/>
                    </pic:cNvPicPr>
                  </pic:nvPicPr>
                  <pic:blipFill>
                    <a:blip r:embed="rId21" cstate="print"/>
                    <a:srcRect/>
                    <a:stretch>
                      <a:fillRect/>
                    </a:stretch>
                  </pic:blipFill>
                  <pic:spPr>
                    <a:xfrm>
                      <a:off x="0" y="0"/>
                      <a:ext cx="3420110" cy="1912620"/>
                    </a:xfrm>
                    <a:prstGeom prst="rect">
                      <a:avLst/>
                    </a:prstGeom>
                    <a:noFill/>
                    <a:ln w="9525">
                      <a:noFill/>
                      <a:miter lim="800000"/>
                      <a:headEnd/>
                      <a:tailEnd/>
                    </a:ln>
                  </pic:spPr>
                </pic:pic>
              </a:graphicData>
            </a:graphic>
          </wp:inline>
        </w:drawing>
      </w:r>
    </w:p>
    <w:p>
      <w:pPr>
        <w:spacing w:line="240" w:lineRule="auto"/>
        <w:ind w:left="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图3.6.1   楼板薄弱部位验算位置</w:t>
      </w:r>
    </w:p>
    <w:p>
      <w:pPr>
        <w:pStyle w:val="119"/>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多遇地震、风</w:t>
      </w:r>
      <w:r>
        <w:rPr>
          <w:rFonts w:hint="eastAsia"/>
          <w:color w:val="000000" w:themeColor="text1"/>
          <w:lang w:eastAsia="zh-CN"/>
          <w14:textFill>
            <w14:solidFill>
              <w14:schemeClr w14:val="tx1"/>
            </w14:solidFill>
          </w14:textFill>
        </w:rPr>
        <w:t>荷载作用下的楼板中面的面内最大主拉应力不宜超过混凝土抗拉强度标准值</w:t>
      </w:r>
      <w:r>
        <w:rPr>
          <w:rFonts w:hint="eastAsia"/>
          <w:color w:val="000000" w:themeColor="text1"/>
          <w:lang w:val="en-US" w:eastAsia="zh-CN"/>
          <w14:textFill>
            <w14:solidFill>
              <w14:schemeClr w14:val="tx1"/>
            </w14:solidFill>
          </w14:textFill>
        </w:rPr>
        <w:t>。</w:t>
      </w:r>
    </w:p>
    <w:p>
      <w:pPr>
        <w:pStyle w:val="119"/>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应根据性能目标要求对楼板配筋</w:t>
      </w:r>
      <w:r>
        <w:rPr>
          <w:rFonts w:hint="eastAsia"/>
          <w:color w:val="000000" w:themeColor="text1"/>
          <w:lang w:eastAsia="zh-CN"/>
          <w14:textFill>
            <w14:solidFill>
              <w14:schemeClr w14:val="tx1"/>
            </w14:solidFill>
          </w14:textFill>
        </w:rPr>
        <w:t>进行验算，楼板单侧钢筋应满足以下要求：</w:t>
      </w:r>
    </w:p>
    <w:p>
      <w:pPr>
        <w:spacing w:line="240" w:lineRule="auto"/>
        <w:ind w:left="0" w:firstLine="480" w:firstLineChars="200"/>
        <w:rPr>
          <w:rFonts w:ascii="宋体" w:hAnsi="宋体"/>
          <w:color w:val="000000" w:themeColor="text1"/>
          <w:position w:val="-14"/>
          <w:sz w:val="24"/>
          <w:szCs w:val="24"/>
          <w14:textFill>
            <w14:solidFill>
              <w14:schemeClr w14:val="tx1"/>
            </w14:solidFill>
          </w14:textFill>
        </w:rPr>
      </w:pPr>
      <w:r>
        <w:rPr>
          <w:rFonts w:ascii="宋体" w:hAnsi="宋体"/>
          <w:color w:val="000000" w:themeColor="text1"/>
          <w:position w:val="-14"/>
          <w:sz w:val="24"/>
          <w:szCs w:val="24"/>
          <w14:textFill>
            <w14:solidFill>
              <w14:schemeClr w14:val="tx1"/>
            </w14:solidFill>
          </w14:textFill>
        </w:rPr>
        <w:object>
          <v:shape id="_x0000_i1030" o:spt="75" type="#_x0000_t75" style="height:20.5pt;width:66.5pt;" o:ole="t" filled="f" coordsize="21600,21600">
            <v:path/>
            <v:fill on="f" focussize="0,0"/>
            <v:stroke/>
            <v:imagedata r:id="rId23" o:title=""/>
            <o:lock v:ext="edit" aspectratio="t"/>
            <w10:wrap type="none"/>
            <w10:anchorlock/>
          </v:shape>
          <o:OLEObject Type="Embed" ProgID="Equation.DSMT4" ShapeID="_x0000_i1030" DrawAspect="Content" ObjectID="_1468075730" r:id="rId22">
            <o:LockedField>false</o:LockedField>
          </o:OLEObject>
        </w:object>
      </w:r>
      <w:r>
        <w:rPr>
          <w:rFonts w:hint="eastAsia" w:ascii="宋体" w:hAnsi="宋体"/>
          <w:color w:val="000000" w:themeColor="text1"/>
          <w:position w:val="-14"/>
          <w:sz w:val="24"/>
          <w:szCs w:val="24"/>
          <w14:textFill>
            <w14:solidFill>
              <w14:schemeClr w14:val="tx1"/>
            </w14:solidFill>
          </w14:textFill>
        </w:rPr>
        <w:t xml:space="preserve">                                     （3.6.3）</w:t>
      </w:r>
    </w:p>
    <w:p>
      <w:pPr>
        <w:spacing w:line="240" w:lineRule="auto"/>
        <w:ind w:left="0"/>
        <w:rPr>
          <w:rFonts w:ascii="宋体" w:hAnsi="宋体"/>
          <w:color w:val="000000" w:themeColor="text1"/>
          <w:position w:val="-14"/>
          <w:sz w:val="24"/>
          <w:szCs w:val="24"/>
          <w14:textFill>
            <w14:solidFill>
              <w14:schemeClr w14:val="tx1"/>
            </w14:solidFill>
          </w14:textFill>
        </w:rPr>
      </w:pPr>
      <w:r>
        <w:rPr>
          <w:rFonts w:hint="eastAsia" w:ascii="宋体" w:hAnsi="宋体"/>
          <w:color w:val="000000" w:themeColor="text1"/>
          <w:position w:val="-14"/>
          <w:sz w:val="24"/>
          <w:szCs w:val="24"/>
          <w14:textFill>
            <w14:solidFill>
              <w14:schemeClr w14:val="tx1"/>
            </w14:solidFill>
          </w14:textFill>
        </w:rPr>
        <w:t>式中，</w:t>
      </w:r>
      <w:r>
        <w:rPr>
          <w:rFonts w:ascii="宋体" w:hAnsi="宋体"/>
          <w:color w:val="000000" w:themeColor="text1"/>
          <w:position w:val="-14"/>
          <w:sz w:val="24"/>
          <w:szCs w:val="24"/>
          <w14:textFill>
            <w14:solidFill>
              <w14:schemeClr w14:val="tx1"/>
            </w14:solidFill>
          </w14:textFill>
        </w:rPr>
        <w:object>
          <v:shape id="_x0000_i1031" o:spt="75" type="#_x0000_t75" style="height:18pt;width:16pt;" o:ole="t" filled="f" coordsize="21600,21600">
            <v:path/>
            <v:fill on="f" focussize="0,0"/>
            <v:stroke/>
            <v:imagedata r:id="rId25" o:title=""/>
            <o:lock v:ext="edit" aspectratio="t"/>
            <w10:wrap type="none"/>
            <w10:anchorlock/>
          </v:shape>
          <o:OLEObject Type="Embed" ProgID="Equation.3" ShapeID="_x0000_i1031" DrawAspect="Content" ObjectID="_1468075731" r:id="rId24">
            <o:LockedField>false</o:LockedField>
          </o:OLEObject>
        </w:object>
      </w:r>
      <w:r>
        <w:rPr>
          <w:rFonts w:hint="eastAsia" w:ascii="宋体" w:hAnsi="宋体"/>
          <w:color w:val="000000" w:themeColor="text1"/>
          <w:position w:val="-14"/>
          <w:sz w:val="24"/>
          <w:szCs w:val="24"/>
          <w14:textFill>
            <w14:solidFill>
              <w14:schemeClr w14:val="tx1"/>
            </w14:solidFill>
          </w14:textFill>
        </w:rPr>
        <w:t>为楼板单侧钢筋；</w:t>
      </w:r>
      <w:r>
        <w:rPr>
          <w:rFonts w:ascii="宋体" w:hAnsi="宋体"/>
          <w:color w:val="000000" w:themeColor="text1"/>
          <w:position w:val="-14"/>
          <w:sz w:val="24"/>
          <w:szCs w:val="24"/>
          <w14:textFill>
            <w14:solidFill>
              <w14:schemeClr w14:val="tx1"/>
            </w14:solidFill>
          </w14:textFill>
        </w:rPr>
        <w:object>
          <v:shape id="_x0000_i1032" o:spt="75" type="#_x0000_t75" style="height:18pt;width:19pt;" o:ole="t" filled="f" coordsize="21600,21600">
            <v:path/>
            <v:fill on="f" focussize="0,0"/>
            <v:stroke/>
            <v:imagedata r:id="rId27" o:title=""/>
            <o:lock v:ext="edit" aspectratio="t"/>
            <w10:wrap type="none"/>
            <w10:anchorlock/>
          </v:shape>
          <o:OLEObject Type="Embed" ProgID="Equation.3" ShapeID="_x0000_i1032" DrawAspect="Content" ObjectID="_1468075732" r:id="rId26">
            <o:LockedField>false</o:LockedField>
          </o:OLEObject>
        </w:object>
      </w:r>
      <w:r>
        <w:rPr>
          <w:rFonts w:hint="eastAsia" w:ascii="宋体" w:hAnsi="宋体"/>
          <w:color w:val="000000" w:themeColor="text1"/>
          <w:position w:val="-14"/>
          <w:sz w:val="24"/>
          <w:szCs w:val="24"/>
          <w14:textFill>
            <w14:solidFill>
              <w14:schemeClr w14:val="tx1"/>
            </w14:solidFill>
          </w14:textFill>
        </w:rPr>
        <w:t>为轴力作用下配置的楼板单侧钢筋；</w:t>
      </w:r>
      <w:r>
        <w:rPr>
          <w:rFonts w:ascii="宋体" w:hAnsi="宋体"/>
          <w:color w:val="000000" w:themeColor="text1"/>
          <w:position w:val="-14"/>
          <w:sz w:val="24"/>
          <w:szCs w:val="24"/>
          <w14:textFill>
            <w14:solidFill>
              <w14:schemeClr w14:val="tx1"/>
            </w14:solidFill>
          </w14:textFill>
        </w:rPr>
        <w:object>
          <v:shape id="_x0000_i1033" o:spt="75" type="#_x0000_t75" style="height:18pt;width:22pt;" o:ole="t" filled="f" coordsize="21600,21600">
            <v:path/>
            <v:fill on="f" focussize="0,0"/>
            <v:stroke/>
            <v:imagedata r:id="rId29" o:title=""/>
            <o:lock v:ext="edit" aspectratio="t"/>
            <w10:wrap type="none"/>
            <w10:anchorlock/>
          </v:shape>
          <o:OLEObject Type="Embed" ProgID="Equation.3" ShapeID="_x0000_i1033" DrawAspect="Content" ObjectID="_1468075733" r:id="rId28">
            <o:LockedField>false</o:LockedField>
          </o:OLEObject>
        </w:object>
      </w:r>
      <w:r>
        <w:rPr>
          <w:rFonts w:hint="eastAsia" w:ascii="宋体" w:hAnsi="宋体"/>
          <w:color w:val="000000" w:themeColor="text1"/>
          <w:position w:val="-14"/>
          <w:sz w:val="24"/>
          <w:szCs w:val="24"/>
          <w14:textFill>
            <w14:solidFill>
              <w14:schemeClr w14:val="tx1"/>
            </w14:solidFill>
          </w14:textFill>
        </w:rPr>
        <w:t>为弯矩作用下配置的楼板单侧钢筋。荷载组合方法及材料强度等应按规范要求根据设定的性能目标取值。</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对钢筋混凝土楼板进行</w:t>
      </w:r>
      <w:r>
        <w:rPr>
          <w:color w:val="000000" w:themeColor="text1"/>
          <w:lang w:eastAsia="zh-CN"/>
          <w14:textFill>
            <w14:solidFill>
              <w14:schemeClr w14:val="tx1"/>
            </w14:solidFill>
          </w14:textFill>
        </w:rPr>
        <w:t>抗剪不屈服</w:t>
      </w:r>
      <w:r>
        <w:rPr>
          <w:rFonts w:hint="eastAsia"/>
          <w:color w:val="000000" w:themeColor="text1"/>
          <w:lang w:eastAsia="zh-CN"/>
          <w14:textFill>
            <w14:solidFill>
              <w14:schemeClr w14:val="tx1"/>
            </w14:solidFill>
          </w14:textFill>
        </w:rPr>
        <w:t>验算，</w:t>
      </w:r>
      <w:r>
        <w:rPr>
          <w:rFonts w:ascii="Times New Roman" w:hAnsi="Times New Roman"/>
          <w:color w:val="000000" w:themeColor="text1"/>
          <w:lang w:eastAsia="zh-CN"/>
          <w14:textFill>
            <w14:solidFill>
              <w14:schemeClr w14:val="tx1"/>
            </w14:solidFill>
          </w14:textFill>
        </w:rPr>
        <w:t>楼板全截面剪力标准值应满足</w:t>
      </w:r>
      <w:r>
        <w:rPr>
          <w:rFonts w:hint="eastAsia" w:ascii="Times New Roman" w:hAnsi="Times New Roman"/>
          <w:color w:val="000000" w:themeColor="text1"/>
          <w:lang w:eastAsia="zh-CN"/>
          <w14:textFill>
            <w14:solidFill>
              <w14:schemeClr w14:val="tx1"/>
            </w14:solidFill>
          </w14:textFill>
        </w:rPr>
        <w:t>以下要求</w:t>
      </w:r>
      <w:r>
        <w:rPr>
          <w:color w:val="000000" w:themeColor="text1"/>
          <w:lang w:eastAsia="zh-CN"/>
          <w14:textFill>
            <w14:solidFill>
              <w14:schemeClr w14:val="tx1"/>
            </w14:solidFill>
          </w14:textFill>
        </w:rPr>
        <w:t>：</w:t>
      </w:r>
    </w:p>
    <w:p>
      <w:pPr>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1、楼板</w:t>
      </w:r>
      <w:r>
        <w:rPr>
          <w:rFonts w:ascii="宋体" w:hAnsi="宋体"/>
          <w:color w:val="000000" w:themeColor="text1"/>
          <w:sz w:val="24"/>
          <w:szCs w:val="24"/>
          <w14:textFill>
            <w14:solidFill>
              <w14:schemeClr w14:val="tx1"/>
            </w14:solidFill>
          </w14:textFill>
        </w:rPr>
        <w:t>全截面受压时：</w:t>
      </w:r>
    </w:p>
    <w:p>
      <w:pPr>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ascii="宋体" w:hAnsi="宋体"/>
          <w:color w:val="000000" w:themeColor="text1"/>
          <w:position w:val="-18"/>
          <w:sz w:val="24"/>
          <w:szCs w:val="24"/>
          <w14:textFill>
            <w14:solidFill>
              <w14:schemeClr w14:val="tx1"/>
            </w14:solidFill>
          </w14:textFill>
        </w:rPr>
        <w:object>
          <v:shape id="_x0000_i1034" o:spt="75" type="#_x0000_t75" style="height:31pt;width:164.5pt;" o:ole="t" filled="f" coordsize="21600,21600">
            <v:path/>
            <v:fill on="f" focussize="0,0"/>
            <v:stroke/>
            <v:imagedata r:id="rId31" o:title=""/>
            <o:lock v:ext="edit" aspectratio="t"/>
            <w10:wrap type="none"/>
            <w10:anchorlock/>
          </v:shape>
          <o:OLEObject Type="Embed" ProgID="Equation.DSMT4" ShapeID="_x0000_i1034" DrawAspect="Content" ObjectID="_1468075734" r:id="rId30">
            <o:LockedField>false</o:LockedField>
          </o:OLEObject>
        </w:object>
      </w:r>
      <w:r>
        <w:rPr>
          <w:rFonts w:ascii="宋体" w:hAnsi="宋体"/>
          <w:color w:val="000000" w:themeColor="text1"/>
          <w:position w:val="-12"/>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ab/>
      </w:r>
      <w:r>
        <w:rPr>
          <w:rFonts w:hint="eastAsia" w:ascii="Times New Roman" w:hAnsi="Times New Roman"/>
          <w:color w:val="000000" w:themeColor="text1"/>
          <w:sz w:val="24"/>
          <w:szCs w:val="24"/>
          <w14:textFill>
            <w14:solidFill>
              <w14:schemeClr w14:val="tx1"/>
            </w14:solidFill>
          </w14:textFill>
        </w:rPr>
        <w:t>（3.6.4</w:t>
      </w:r>
      <w:r>
        <w:rPr>
          <w:rFonts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14:textFill>
            <w14:solidFill>
              <w14:schemeClr w14:val="tx1"/>
            </w14:solidFill>
          </w14:textFill>
        </w:rPr>
        <w:t>）</w:t>
      </w:r>
      <w:r>
        <w:rPr>
          <w:rFonts w:ascii="宋体" w:hAnsi="宋体"/>
          <w:color w:val="000000" w:themeColor="text1"/>
          <w:position w:val="-12"/>
          <w:sz w:val="24"/>
          <w:szCs w:val="24"/>
          <w14:textFill>
            <w14:solidFill>
              <w14:schemeClr w14:val="tx1"/>
            </w14:solidFill>
          </w14:textFill>
        </w:rPr>
        <w:t xml:space="preserve">  </w:t>
      </w:r>
    </w:p>
    <w:p>
      <w:pPr>
        <w:tabs>
          <w:tab w:val="left" w:pos="3119"/>
        </w:tabs>
        <w:snapToGrid w:val="0"/>
        <w:spacing w:line="240" w:lineRule="auto"/>
        <w:ind w:left="0"/>
        <w:jc w:val="lef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式中N为楼板截面轴向压力标准值，N大于</w:t>
      </w:r>
      <w:r>
        <w:rPr>
          <w:rFonts w:ascii="宋体" w:hAnsi="宋体"/>
          <w:color w:val="000000" w:themeColor="text1"/>
          <w:position w:val="-12"/>
          <w:sz w:val="24"/>
          <w:szCs w:val="24"/>
          <w14:textFill>
            <w14:solidFill>
              <w14:schemeClr w14:val="tx1"/>
            </w14:solidFill>
          </w14:textFill>
        </w:rPr>
        <w:object>
          <v:shape id="_x0000_i1035" o:spt="75" type="#_x0000_t75" style="height:16pt;width:36pt;" o:ole="t" filled="f" coordsize="21600,21600">
            <v:path/>
            <v:fill on="f" focussize="0,0"/>
            <v:stroke/>
            <v:imagedata r:id="rId33" o:title=""/>
            <o:lock v:ext="edit" aspectratio="t"/>
            <w10:wrap type="none"/>
            <w10:anchorlock/>
          </v:shape>
          <o:OLEObject Type="Embed" ProgID="Equation.DSMT4" ShapeID="_x0000_i1035" DrawAspect="Content" ObjectID="_1468075735" r:id="rId32">
            <o:LockedField>false</o:LockedField>
          </o:OLEObject>
        </w:object>
      </w:r>
      <w:r>
        <w:rPr>
          <w:rFonts w:ascii="宋体" w:hAnsi="宋体"/>
          <w:color w:val="000000" w:themeColor="text1"/>
          <w:sz w:val="24"/>
          <w:szCs w:val="24"/>
          <w14:textFill>
            <w14:solidFill>
              <w14:schemeClr w14:val="tx1"/>
            </w14:solidFill>
          </w14:textFill>
        </w:rPr>
        <w:t>，应取</w:t>
      </w:r>
      <w:r>
        <w:rPr>
          <w:rFonts w:ascii="宋体" w:hAnsi="宋体"/>
          <w:color w:val="000000" w:themeColor="text1"/>
          <w:position w:val="-12"/>
          <w:sz w:val="24"/>
          <w:szCs w:val="24"/>
          <w14:textFill>
            <w14:solidFill>
              <w14:schemeClr w14:val="tx1"/>
            </w14:solidFill>
          </w14:textFill>
        </w:rPr>
        <w:object>
          <v:shape id="_x0000_i1036" o:spt="75" type="#_x0000_t75" style="height:16pt;width:36pt;" o:ole="t" filled="f" coordsize="21600,21600">
            <v:path/>
            <v:fill on="f" focussize="0,0"/>
            <v:stroke/>
            <v:imagedata r:id="rId33" o:title=""/>
            <o:lock v:ext="edit" aspectratio="t"/>
            <w10:wrap type="none"/>
            <w10:anchorlock/>
          </v:shape>
          <o:OLEObject Type="Embed" ProgID="Equation.DSMT4" ShapeID="_x0000_i1036" DrawAspect="Content" ObjectID="_1468075736" r:id="rId34">
            <o:LockedField>false</o:LockedField>
          </o:OLEObject>
        </w:object>
      </w:r>
      <w:r>
        <w:rPr>
          <w:rFonts w:ascii="宋体" w:hAnsi="宋体"/>
          <w:color w:val="000000" w:themeColor="text1"/>
          <w:sz w:val="24"/>
          <w:szCs w:val="24"/>
          <w14:textFill>
            <w14:solidFill>
              <w14:schemeClr w14:val="tx1"/>
            </w14:solidFill>
          </w14:textFill>
        </w:rPr>
        <w:t>。s为水平分布钢筋间距。</w:t>
      </w:r>
    </w:p>
    <w:p>
      <w:pPr>
        <w:tabs>
          <w:tab w:val="left" w:pos="3119"/>
        </w:tabs>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r>
        <w:rPr>
          <w:rFonts w:ascii="宋体" w:hAnsi="宋体"/>
          <w:color w:val="000000" w:themeColor="text1"/>
          <w:sz w:val="24"/>
          <w:szCs w:val="24"/>
          <w14:textFill>
            <w14:solidFill>
              <w14:schemeClr w14:val="tx1"/>
            </w14:solidFill>
          </w14:textFill>
        </w:rPr>
        <w:t>全截面受拉时：</w:t>
      </w:r>
    </w:p>
    <w:p>
      <w:pPr>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ascii="宋体" w:hAnsi="宋体"/>
          <w:color w:val="000000" w:themeColor="text1"/>
          <w:position w:val="-18"/>
          <w:sz w:val="24"/>
          <w:szCs w:val="24"/>
          <w14:textFill>
            <w14:solidFill>
              <w14:schemeClr w14:val="tx1"/>
            </w14:solidFill>
          </w14:textFill>
        </w:rPr>
        <w:object>
          <v:shape id="_x0000_i1037" o:spt="75" type="#_x0000_t75" style="height:30pt;width:156pt;" o:ole="t" filled="f" coordsize="21600,21600">
            <v:path/>
            <v:fill on="f" focussize="0,0"/>
            <v:stroke/>
            <v:imagedata r:id="rId36" o:title=""/>
            <o:lock v:ext="edit" aspectratio="t"/>
            <w10:wrap type="none"/>
            <w10:anchorlock/>
          </v:shape>
          <o:OLEObject Type="Embed" ProgID="Equation.DSMT4" ShapeID="_x0000_i1037" DrawAspect="Content" ObjectID="_1468075737" r:id="rId35">
            <o:LockedField>false</o:LockedField>
          </o:OLEObject>
        </w:object>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ab/>
      </w:r>
      <w:r>
        <w:rPr>
          <w:rFonts w:hint="eastAsia" w:ascii="Times New Roman" w:hAnsi="Times New Roman"/>
          <w:color w:val="000000" w:themeColor="text1"/>
          <w:sz w:val="24"/>
          <w:szCs w:val="24"/>
          <w14:textFill>
            <w14:solidFill>
              <w14:schemeClr w14:val="tx1"/>
            </w14:solidFill>
          </w14:textFill>
        </w:rPr>
        <w:t>（3.6.4</w:t>
      </w:r>
      <w:r>
        <w:rPr>
          <w:rFonts w:ascii="Times New Roman" w:hAnsi="Times New Roman"/>
          <w:color w:val="000000" w:themeColor="text1"/>
          <w:sz w:val="24"/>
          <w:szCs w:val="24"/>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w:t>
      </w:r>
    </w:p>
    <w:p>
      <w:pPr>
        <w:snapToGrid w:val="0"/>
        <w:spacing w:line="240" w:lineRule="auto"/>
        <w:ind w:left="0"/>
        <w:jc w:val="left"/>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式中N大于</w:t>
      </w:r>
      <w:r>
        <w:rPr>
          <w:rFonts w:ascii="宋体" w:hAnsi="宋体"/>
          <w:color w:val="000000" w:themeColor="text1"/>
          <w:position w:val="-12"/>
          <w:sz w:val="24"/>
          <w:szCs w:val="24"/>
          <w14:textFill>
            <w14:solidFill>
              <w14:schemeClr w14:val="tx1"/>
            </w14:solidFill>
          </w14:textFill>
        </w:rPr>
        <w:object>
          <v:shape id="_x0000_i1038" o:spt="75" type="#_x0000_t75" style="height:16pt;width:29pt;" o:ole="t" filled="f" coordsize="21600,21600">
            <v:path/>
            <v:fill on="f" focussize="0,0"/>
            <v:stroke/>
            <v:imagedata r:id="rId38" o:title=""/>
            <o:lock v:ext="edit" aspectratio="t"/>
            <w10:wrap type="none"/>
            <w10:anchorlock/>
          </v:shape>
          <o:OLEObject Type="Embed" ProgID="Equation.DSMT4" ShapeID="_x0000_i1038" DrawAspect="Content" ObjectID="_1468075738" r:id="rId37">
            <o:LockedField>false</o:LockedField>
          </o:OLEObject>
        </w:object>
      </w:r>
      <w:r>
        <w:rPr>
          <w:rFonts w:ascii="宋体" w:hAnsi="宋体"/>
          <w:color w:val="000000" w:themeColor="text1"/>
          <w:sz w:val="24"/>
          <w:szCs w:val="24"/>
          <w14:textFill>
            <w14:solidFill>
              <w14:schemeClr w14:val="tx1"/>
            </w14:solidFill>
          </w14:textFill>
        </w:rPr>
        <w:t>，应取</w:t>
      </w:r>
      <w:r>
        <w:rPr>
          <w:rFonts w:ascii="宋体" w:hAnsi="宋体"/>
          <w:color w:val="000000" w:themeColor="text1"/>
          <w:position w:val="-12"/>
          <w:sz w:val="24"/>
          <w:szCs w:val="24"/>
          <w14:textFill>
            <w14:solidFill>
              <w14:schemeClr w14:val="tx1"/>
            </w14:solidFill>
          </w14:textFill>
        </w:rPr>
        <w:object>
          <v:shape id="_x0000_i1039" o:spt="75" type="#_x0000_t75" style="height:16pt;width:29pt;" o:ole="t" filled="f" coordsize="21600,21600">
            <v:path/>
            <v:fill on="f" focussize="0,0"/>
            <v:stroke/>
            <v:imagedata r:id="rId38" o:title=""/>
            <o:lock v:ext="edit" aspectratio="t"/>
            <w10:wrap type="none"/>
            <w10:anchorlock/>
          </v:shape>
          <o:OLEObject Type="Embed" ProgID="Equation.DSMT4" ShapeID="_x0000_i1039" DrawAspect="Content" ObjectID="_1468075739" r:id="rId39">
            <o:LockedField>false</o:LockedField>
          </o:OLEObject>
        </w:object>
      </w:r>
      <w:r>
        <w:rPr>
          <w:rFonts w:ascii="宋体" w:hAnsi="宋体"/>
          <w:color w:val="000000" w:themeColor="text1"/>
          <w:sz w:val="24"/>
          <w:szCs w:val="24"/>
          <w14:textFill>
            <w14:solidFill>
              <w14:schemeClr w14:val="tx1"/>
            </w14:solidFill>
          </w14:textFill>
        </w:rPr>
        <w:t>。</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对组合楼盖进行</w:t>
      </w:r>
      <w:r>
        <w:rPr>
          <w:color w:val="000000" w:themeColor="text1"/>
          <w:lang w:eastAsia="zh-CN"/>
          <w14:textFill>
            <w14:solidFill>
              <w14:schemeClr w14:val="tx1"/>
            </w14:solidFill>
          </w14:textFill>
        </w:rPr>
        <w:t>抗剪不屈服</w:t>
      </w:r>
      <w:r>
        <w:rPr>
          <w:rFonts w:hint="eastAsia"/>
          <w:color w:val="000000" w:themeColor="text1"/>
          <w:lang w:eastAsia="zh-CN"/>
          <w14:textFill>
            <w14:solidFill>
              <w14:schemeClr w14:val="tx1"/>
            </w14:solidFill>
          </w14:textFill>
        </w:rPr>
        <w:t>验算时，</w:t>
      </w:r>
      <w:r>
        <w:rPr>
          <w:color w:val="000000" w:themeColor="text1"/>
          <w:lang w:eastAsia="zh-CN"/>
          <w14:textFill>
            <w14:solidFill>
              <w14:schemeClr w14:val="tx1"/>
            </w14:solidFill>
          </w14:textFill>
        </w:rPr>
        <w:t>楼板与钢边框梁</w:t>
      </w:r>
      <w:r>
        <w:rPr>
          <w:rFonts w:hint="eastAsia"/>
          <w:color w:val="000000" w:themeColor="text1"/>
          <w:lang w:eastAsia="zh-CN"/>
          <w14:textFill>
            <w14:solidFill>
              <w14:schemeClr w14:val="tx1"/>
            </w14:solidFill>
          </w14:textFill>
        </w:rPr>
        <w:t>间</w:t>
      </w:r>
      <w:r>
        <w:rPr>
          <w:color w:val="000000" w:themeColor="text1"/>
          <w:lang w:eastAsia="zh-CN"/>
          <w14:textFill>
            <w14:solidFill>
              <w14:schemeClr w14:val="tx1"/>
            </w14:solidFill>
          </w14:textFill>
        </w:rPr>
        <w:t>抗剪栓钉</w:t>
      </w:r>
      <w:r>
        <w:rPr>
          <w:rFonts w:hint="eastAsia"/>
          <w:color w:val="000000" w:themeColor="text1"/>
          <w:lang w:eastAsia="zh-CN"/>
          <w14:textFill>
            <w14:solidFill>
              <w14:schemeClr w14:val="tx1"/>
            </w14:solidFill>
          </w14:textFill>
        </w:rPr>
        <w:t>的</w:t>
      </w:r>
      <w:r>
        <w:rPr>
          <w:color w:val="000000" w:themeColor="text1"/>
          <w:lang w:eastAsia="zh-CN"/>
          <w14:textFill>
            <w14:solidFill>
              <w14:schemeClr w14:val="tx1"/>
            </w14:solidFill>
          </w14:textFill>
        </w:rPr>
        <w:t>剪力标准值应满足下式：</w:t>
      </w:r>
    </w:p>
    <w:p>
      <w:pPr>
        <w:snapToGrid w:val="0"/>
        <w:spacing w:line="240" w:lineRule="auto"/>
        <w:ind w:left="0" w:firstLine="480" w:firstLineChars="20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10"/>
          <w:sz w:val="24"/>
          <w:szCs w:val="24"/>
          <w14:textFill>
            <w14:solidFill>
              <w14:schemeClr w14:val="tx1"/>
            </w14:solidFill>
          </w14:textFill>
        </w:rPr>
        <w:object>
          <v:shape id="_x0000_i1040" o:spt="75" type="#_x0000_t75" style="height:24pt;width:168.5pt;" o:ole="t" filled="f" coordsize="21600,21600">
            <v:path/>
            <v:fill on="f" focussize="0,0"/>
            <v:stroke/>
            <v:imagedata r:id="rId41" o:title=""/>
            <o:lock v:ext="edit" aspectratio="t"/>
            <w10:wrap type="none"/>
            <w10:anchorlock/>
          </v:shape>
          <o:OLEObject Type="Embed" ProgID="Equation.DSMT4" ShapeID="_x0000_i1040" DrawAspect="Content" ObjectID="_1468075740" r:id="rId40">
            <o:LockedField>false</o:LockedField>
          </o:OLEObject>
        </w:objec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3.6.5</w:t>
      </w:r>
      <w:r>
        <w:rPr>
          <w:rFonts w:ascii="Times New Roman" w:hAnsi="Times New Roman"/>
          <w:color w:val="000000" w:themeColor="text1"/>
          <w:sz w:val="24"/>
          <w:szCs w:val="24"/>
          <w14:textFill>
            <w14:solidFill>
              <w14:schemeClr w14:val="tx1"/>
            </w14:solidFill>
          </w14:textFill>
        </w:rPr>
        <w:t>）</w:t>
      </w:r>
    </w:p>
    <w:p>
      <w:pPr>
        <w:spacing w:line="240" w:lineRule="auto"/>
        <w:ind w:left="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式中</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position w:val="-10"/>
          <w:sz w:val="24"/>
          <w:szCs w:val="24"/>
          <w14:textFill>
            <w14:solidFill>
              <w14:schemeClr w14:val="tx1"/>
            </w14:solidFill>
          </w14:textFill>
        </w:rPr>
        <w:object>
          <v:shape id="_x0000_i1041" o:spt="75" type="#_x0000_t75" style="height:23.5pt;width:16pt;" o:ole="t" filled="f" coordsize="21600,21600">
            <v:path/>
            <v:fill on="f" focussize="0,0"/>
            <v:stroke/>
            <v:imagedata r:id="rId43" o:title=""/>
            <o:lock v:ext="edit" aspectratio="t"/>
            <w10:wrap type="none"/>
            <w10:anchorlock/>
          </v:shape>
          <o:OLEObject Type="Embed" ProgID="Equation.DSMT4" ShapeID="_x0000_i1041" DrawAspect="Content" ObjectID="_1468075741" r:id="rId42">
            <o:LockedField>false</o:LockedField>
          </o:OLEObject>
        </w:object>
      </w:r>
      <w:r>
        <w:rPr>
          <w:rFonts w:ascii="Times New Roman" w:hAnsi="Times New Roman"/>
          <w:color w:val="000000" w:themeColor="text1"/>
          <w:sz w:val="24"/>
          <w:szCs w:val="24"/>
          <w14:textFill>
            <w14:solidFill>
              <w14:schemeClr w14:val="tx1"/>
            </w14:solidFill>
          </w14:textFill>
        </w:rPr>
        <w:t>为栓钉钉杆截面面积，</w:t>
      </w:r>
      <w:r>
        <w:rPr>
          <w:rFonts w:ascii="Times New Roman" w:hAnsi="Times New Roman"/>
          <w:color w:val="000000" w:themeColor="text1"/>
          <w:position w:val="-8"/>
          <w:sz w:val="24"/>
          <w:szCs w:val="24"/>
          <w14:textFill>
            <w14:solidFill>
              <w14:schemeClr w14:val="tx1"/>
            </w14:solidFill>
          </w14:textFill>
        </w:rPr>
        <w:object>
          <v:shape id="_x0000_i1042" o:spt="75" type="#_x0000_t75" style="height:11pt;width:8pt;" o:ole="t" filled="f" coordsize="21600,21600">
            <v:path/>
            <v:fill on="f" focussize="0,0"/>
            <v:stroke/>
            <v:imagedata r:id="rId45" o:title=""/>
            <o:lock v:ext="edit" aspectratio="t"/>
            <w10:wrap type="none"/>
            <w10:anchorlock/>
          </v:shape>
          <o:OLEObject Type="Embed" ProgID="Equation.DSMT4" ShapeID="_x0000_i1042" DrawAspect="Content" ObjectID="_1468075742" r:id="rId44">
            <o:LockedField>false</o:LockedField>
          </o:OLEObject>
        </w:object>
      </w:r>
      <w:r>
        <w:rPr>
          <w:rFonts w:ascii="Times New Roman" w:hAnsi="Times New Roman"/>
          <w:color w:val="000000" w:themeColor="text1"/>
          <w:sz w:val="24"/>
          <w:szCs w:val="24"/>
          <w14:textFill>
            <w14:solidFill>
              <w14:schemeClr w14:val="tx1"/>
            </w14:solidFill>
          </w14:textFill>
        </w:rPr>
        <w:t>为栓钉材料抗拉强度最小值与屈服强度之比。</w:t>
      </w:r>
    </w:p>
    <w:p>
      <w:pPr>
        <w:spacing w:line="240" w:lineRule="auto"/>
        <w:ind w:left="0"/>
        <w:rPr>
          <w:rFonts w:ascii="Times New Roman" w:hAnsi="Times New Roman"/>
          <w:color w:val="000000" w:themeColor="text1"/>
          <w:szCs w:val="21"/>
          <w14:textFill>
            <w14:solidFill>
              <w14:schemeClr w14:val="tx1"/>
            </w14:solidFill>
          </w14:textFill>
        </w:rPr>
      </w:pPr>
    </w:p>
    <w:p>
      <w:pPr>
        <w:pStyle w:val="61"/>
        <w:rPr>
          <w:color w:val="000000" w:themeColor="text1"/>
          <w14:textFill>
            <w14:solidFill>
              <w14:schemeClr w14:val="tx1"/>
            </w14:solidFill>
          </w14:textFill>
        </w:rPr>
      </w:pPr>
      <w:bookmarkStart w:id="12" w:name="_Toc24714192"/>
      <w:r>
        <w:rPr>
          <w:color w:val="000000" w:themeColor="text1"/>
          <w14:textFill>
            <w14:solidFill>
              <w14:schemeClr w14:val="tx1"/>
            </w14:solidFill>
          </w14:textFill>
        </w:rPr>
        <w:t>水平位移限值</w:t>
      </w:r>
      <w:r>
        <w:rPr>
          <w:rFonts w:hint="eastAsia"/>
          <w:color w:val="000000" w:themeColor="text1"/>
          <w:lang w:eastAsia="zh-CN"/>
          <w14:textFill>
            <w14:solidFill>
              <w14:schemeClr w14:val="tx1"/>
            </w14:solidFill>
          </w14:textFill>
        </w:rPr>
        <w:t>和舒适度</w:t>
      </w:r>
      <w:r>
        <w:rPr>
          <w:color w:val="000000" w:themeColor="text1"/>
          <w14:textFill>
            <w14:solidFill>
              <w14:schemeClr w14:val="tx1"/>
            </w14:solidFill>
          </w14:textFill>
        </w:rPr>
        <w:t>要求</w:t>
      </w:r>
      <w:bookmarkEnd w:id="12"/>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在50年重现期风荷载标准值作用下，按弹性方法计算的楼层层间最大水平位移与层高之比△u/h不宜大于1/500，其中</w:t>
      </w:r>
      <w:r>
        <w:rPr>
          <w:rFonts w:hint="eastAsia"/>
          <w:color w:val="000000" w:themeColor="text1"/>
          <w:szCs w:val="21"/>
          <w:lang w:eastAsia="zh-CN"/>
          <w14:textFill>
            <w14:solidFill>
              <w14:schemeClr w14:val="tx1"/>
            </w14:solidFill>
          </w14:textFill>
        </w:rPr>
        <w:t>楼层层间最大位移△u以楼层竖向构件最大的水平位移差计算。</w:t>
      </w:r>
    </w:p>
    <w:p>
      <w:pPr>
        <w:pStyle w:val="119"/>
        <w:numPr>
          <w:ilvl w:val="0"/>
          <w:numId w:val="0"/>
        </w:numPr>
        <w:ind w:firstLine="420" w:firstLineChars="200"/>
        <w:outlineLvl w:val="9"/>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注：1 当采用阻尼器等减振措施满足结构风振舒适度要求时，位移限值可适当放松。</w:t>
      </w:r>
    </w:p>
    <w:p>
      <w:pPr>
        <w:pStyle w:val="119"/>
        <w:numPr>
          <w:ilvl w:val="0"/>
          <w:numId w:val="0"/>
        </w:numPr>
        <w:ind w:firstLine="420" w:firstLineChars="200"/>
        <w:outlineLvl w:val="9"/>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 xml:space="preserve">    2当计算位移计入地下室相应构件变形的影响时，位移限值可适当放松。</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在多遇地震标准值作用下，按弹性方法计算的楼层层间最大水平位移与层高之比△u/h的限值按广东省标准《高层建筑混凝土结构技术规程》（BDJ15-92-2013）的规定执行。</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当竖向荷载对楼层的层间位移有较大影响时，计算楼层层间位移时应考虑其影响。</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高层钢筋混凝土房屋高度不小于150m时，应验算楼层风振舒适度。10年一遇风荷载作用下，住宅和公寓的楼层风振加速度峰值不应大于0.15 m/s</w:t>
      </w:r>
      <w:r>
        <w:rPr>
          <w:rFonts w:hint="eastAsia"/>
          <w:color w:val="000000" w:themeColor="text1"/>
          <w:vertAlign w:val="superscript"/>
          <w:lang w:eastAsia="zh-CN"/>
          <w14:textFill>
            <w14:solidFill>
              <w14:schemeClr w14:val="tx1"/>
            </w14:solidFill>
          </w14:textFill>
        </w:rPr>
        <w:t>2</w:t>
      </w:r>
      <w:r>
        <w:rPr>
          <w:rFonts w:hint="eastAsia"/>
          <w:color w:val="000000" w:themeColor="text1"/>
          <w:lang w:eastAsia="zh-CN"/>
          <w14:textFill>
            <w14:solidFill>
              <w14:schemeClr w14:val="tx1"/>
            </w14:solidFill>
          </w14:textFill>
        </w:rPr>
        <w:t>，办公和旅馆的楼层风振加速度峰值不应大于0.25 m/s</w:t>
      </w:r>
      <w:r>
        <w:rPr>
          <w:rFonts w:hint="eastAsia"/>
          <w:color w:val="000000" w:themeColor="text1"/>
          <w:vertAlign w:val="superscript"/>
          <w:lang w:eastAsia="zh-CN"/>
          <w14:textFill>
            <w14:solidFill>
              <w14:schemeClr w14:val="tx1"/>
            </w14:solidFill>
          </w14:textFill>
        </w:rPr>
        <w:t>2</w:t>
      </w:r>
      <w:r>
        <w:rPr>
          <w:rFonts w:hint="eastAsia"/>
          <w:color w:val="000000" w:themeColor="text1"/>
          <w:lang w:eastAsia="zh-CN"/>
          <w14:textFill>
            <w14:solidFill>
              <w14:schemeClr w14:val="tx1"/>
            </w14:solidFill>
          </w14:textFill>
        </w:rPr>
        <w:t>。钢筋混凝土结构阻尼比一般可取值0.02，钢结构和组合结构阻尼比宜需适当折减。对平面凹凸不规则高层建筑高度大于100米时，应验算平面单肢端结构的风振舒适度。</w:t>
      </w:r>
    </w:p>
    <w:p>
      <w:pPr>
        <w:pStyle w:val="119"/>
        <w:rPr>
          <w:b/>
          <w:i/>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楼盖结构应具有适宜的舒适度。楼盖结构的竖向自振频率不宜小于3.0 Hz，竖向振动加速度峰值不应超过表3.7.5的限值。要充分考虑可能的竖向振动荷载源（如人群荷载、车辆入库跨越减速带冲击荷载等），荷载取值可按经验公式确定，钢筋混凝土结构阻尼比取值0.02，钢结构和组合结构阻尼比需适当折减。楼盖舒适度计算可按经验公式计算、通过试验或数值模拟结果判断。</w:t>
      </w:r>
    </w:p>
    <w:p>
      <w:pPr>
        <w:spacing w:line="24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表3.7.5 楼盖竖向加速度限值</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693"/>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vMerge w:val="restart"/>
            <w:shd w:val="clear" w:color="auto" w:fill="auto"/>
          </w:tcPr>
          <w:p>
            <w:pPr>
              <w:adjustRightInd w:val="0"/>
              <w:snapToGrid w:val="0"/>
              <w:spacing w:line="240" w:lineRule="auto"/>
              <w:ind w:left="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人员活动环境</w:t>
            </w:r>
          </w:p>
        </w:tc>
        <w:tc>
          <w:tcPr>
            <w:tcW w:w="5437" w:type="dxa"/>
            <w:gridSpan w:val="2"/>
            <w:shd w:val="clear" w:color="auto" w:fill="auto"/>
          </w:tcPr>
          <w:p>
            <w:pPr>
              <w:adjustRightInd w:val="0"/>
              <w:snapToGrid w:val="0"/>
              <w:spacing w:line="240" w:lineRule="auto"/>
              <w:ind w:left="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峰值加速度限值（m/s</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vMerge w:val="continue"/>
            <w:shd w:val="clear" w:color="auto" w:fill="auto"/>
          </w:tcPr>
          <w:p>
            <w:pPr>
              <w:adjustRightInd w:val="0"/>
              <w:snapToGrid w:val="0"/>
              <w:spacing w:line="240" w:lineRule="auto"/>
              <w:ind w:left="0"/>
              <w:jc w:val="center"/>
              <w:rPr>
                <w:color w:val="000000" w:themeColor="text1"/>
                <w:szCs w:val="21"/>
                <w14:textFill>
                  <w14:solidFill>
                    <w14:schemeClr w14:val="tx1"/>
                  </w14:solidFill>
                </w14:textFill>
              </w:rPr>
            </w:pPr>
          </w:p>
        </w:tc>
        <w:tc>
          <w:tcPr>
            <w:tcW w:w="2693" w:type="dxa"/>
            <w:shd w:val="clear" w:color="auto" w:fill="auto"/>
          </w:tcPr>
          <w:p>
            <w:pPr>
              <w:adjustRightInd w:val="0"/>
              <w:snapToGrid w:val="0"/>
              <w:spacing w:line="240" w:lineRule="auto"/>
              <w:ind w:left="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竖向自振频率不大于2Hz</w:t>
            </w:r>
          </w:p>
        </w:tc>
        <w:tc>
          <w:tcPr>
            <w:tcW w:w="2744" w:type="dxa"/>
            <w:shd w:val="clear" w:color="auto" w:fill="auto"/>
          </w:tcPr>
          <w:p>
            <w:pPr>
              <w:adjustRightInd w:val="0"/>
              <w:snapToGrid w:val="0"/>
              <w:spacing w:line="240" w:lineRule="auto"/>
              <w:ind w:left="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竖向自振频率不小于4Hz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85" w:type="dxa"/>
            <w:shd w:val="clear" w:color="auto" w:fill="auto"/>
          </w:tcPr>
          <w:p>
            <w:pPr>
              <w:adjustRightInd w:val="0"/>
              <w:snapToGrid w:val="0"/>
              <w:spacing w:line="240" w:lineRule="auto"/>
              <w:ind w:left="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住宅、办公</w:t>
            </w:r>
          </w:p>
        </w:tc>
        <w:tc>
          <w:tcPr>
            <w:tcW w:w="2693" w:type="dxa"/>
            <w:shd w:val="clear" w:color="auto" w:fill="auto"/>
          </w:tcPr>
          <w:p>
            <w:pPr>
              <w:adjustRightInd w:val="0"/>
              <w:snapToGrid w:val="0"/>
              <w:spacing w:line="240" w:lineRule="auto"/>
              <w:ind w:left="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0.07</w:t>
            </w:r>
          </w:p>
        </w:tc>
        <w:tc>
          <w:tcPr>
            <w:tcW w:w="2744" w:type="dxa"/>
            <w:shd w:val="clear" w:color="auto" w:fill="auto"/>
          </w:tcPr>
          <w:p>
            <w:pPr>
              <w:adjustRightInd w:val="0"/>
              <w:snapToGrid w:val="0"/>
              <w:spacing w:line="240" w:lineRule="auto"/>
              <w:ind w:left="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shd w:val="clear" w:color="auto" w:fill="auto"/>
          </w:tcPr>
          <w:p>
            <w:pPr>
              <w:adjustRightInd w:val="0"/>
              <w:snapToGrid w:val="0"/>
              <w:spacing w:line="240" w:lineRule="auto"/>
              <w:ind w:left="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商场、室内连廊</w:t>
            </w:r>
          </w:p>
        </w:tc>
        <w:tc>
          <w:tcPr>
            <w:tcW w:w="2693" w:type="dxa"/>
            <w:shd w:val="clear" w:color="auto" w:fill="auto"/>
          </w:tcPr>
          <w:p>
            <w:pPr>
              <w:adjustRightInd w:val="0"/>
              <w:snapToGrid w:val="0"/>
              <w:spacing w:line="240" w:lineRule="auto"/>
              <w:ind w:left="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0.22</w:t>
            </w:r>
          </w:p>
        </w:tc>
        <w:tc>
          <w:tcPr>
            <w:tcW w:w="2744" w:type="dxa"/>
            <w:shd w:val="clear" w:color="auto" w:fill="auto"/>
          </w:tcPr>
          <w:p>
            <w:pPr>
              <w:adjustRightInd w:val="0"/>
              <w:snapToGrid w:val="0"/>
              <w:spacing w:line="240" w:lineRule="auto"/>
              <w:ind w:left="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0.15</w:t>
            </w:r>
          </w:p>
        </w:tc>
      </w:tr>
    </w:tbl>
    <w:p>
      <w:pPr>
        <w:adjustRightInd w:val="0"/>
        <w:snapToGrid w:val="0"/>
        <w:spacing w:line="240" w:lineRule="auto"/>
        <w:ind w:left="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注：楼盖结构竖向自振频率为2Hz-4Hz时，峰值加速度限值按插值选取。</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楼盖结构舒适度可参考国际现有的计算方法及舒适度标准，如</w:t>
      </w:r>
      <w:bookmarkStart w:id="13" w:name="_Ref345840400"/>
      <w:bookmarkStart w:id="14" w:name="_Toc330571429"/>
      <w:bookmarkStart w:id="15" w:name="_Toc353141323"/>
      <w:r>
        <w:rPr>
          <w:rFonts w:hint="eastAsia"/>
          <w:color w:val="000000" w:themeColor="text1"/>
          <w:lang w:eastAsia="zh-CN"/>
          <w14:textFill>
            <w14:solidFill>
              <w14:schemeClr w14:val="tx1"/>
            </w14:solidFill>
          </w14:textFill>
        </w:rPr>
        <w:t>AISC11</w:t>
      </w:r>
      <w:bookmarkEnd w:id="13"/>
      <w:bookmarkEnd w:id="14"/>
      <w:bookmarkEnd w:id="15"/>
      <w:r>
        <w:rPr>
          <w:rFonts w:hint="eastAsia"/>
          <w:color w:val="000000" w:themeColor="text1"/>
          <w:lang w:eastAsia="zh-CN"/>
          <w14:textFill>
            <w14:solidFill>
              <w14:schemeClr w14:val="tx1"/>
            </w14:solidFill>
          </w14:textFill>
        </w:rPr>
        <w:t>、CCIP-016、SCI P354等方法，也可采用烦恼率等概念和标准进行验算，验算结果如论证充分可替代相应的规范规定。</w:t>
      </w:r>
    </w:p>
    <w:p>
      <w:pPr>
        <w:pStyle w:val="61"/>
        <w:rPr>
          <w:color w:val="000000" w:themeColor="text1"/>
          <w14:textFill>
            <w14:solidFill>
              <w14:schemeClr w14:val="tx1"/>
            </w14:solidFill>
          </w14:textFill>
        </w:rPr>
      </w:pPr>
      <w:bookmarkStart w:id="16" w:name="_Toc24714193"/>
      <w:r>
        <w:rPr>
          <w:rFonts w:hint="eastAsia"/>
          <w:color w:val="000000" w:themeColor="text1"/>
          <w14:textFill>
            <w14:solidFill>
              <w14:schemeClr w14:val="tx1"/>
            </w14:solidFill>
          </w14:textFill>
        </w:rPr>
        <w:t>抗震等级</w:t>
      </w:r>
      <w:bookmarkEnd w:id="16"/>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水</w:t>
      </w:r>
      <w:r>
        <w:rPr>
          <w:rFonts w:hint="eastAsia"/>
          <w:color w:val="000000" w:themeColor="text1"/>
          <w:lang w:eastAsia="zh-CN"/>
          <w14:textFill>
            <w14:solidFill>
              <w14:schemeClr w14:val="tx1"/>
            </w14:solidFill>
          </w14:textFill>
        </w:rPr>
        <w:t>平抗震设计时，高层建筑钢筋混凝土结构构件应根据抗震设防分类、烈度、结构类型和房屋高度采用不同的抗震等级，并应符合相应的计算和构造措施要求。本规程“特一级和一、二、三、四级”即“抗震等级为特一级和一、二、三、四级”的简称。</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抗震设计时，A级高度丙类建筑钢筋混凝土结构的抗震等级应按表3.8.2确定。</w:t>
      </w:r>
    </w:p>
    <w:p>
      <w:pPr>
        <w:spacing w:line="24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表3.8.2  A级高度的高层建筑结构抗震等级</w:t>
      </w:r>
    </w:p>
    <w:tbl>
      <w:tblPr>
        <w:tblStyle w:val="31"/>
        <w:tblW w:w="8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710"/>
        <w:gridCol w:w="1701"/>
        <w:gridCol w:w="851"/>
        <w:gridCol w:w="851"/>
        <w:gridCol w:w="851"/>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2" w:type="dxa"/>
            <w:gridSpan w:val="3"/>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结构类型</w:t>
            </w:r>
          </w:p>
        </w:tc>
        <w:tc>
          <w:tcPr>
            <w:tcW w:w="3348" w:type="dxa"/>
            <w:gridSpan w:val="4"/>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962" w:type="dxa"/>
            <w:gridSpan w:val="3"/>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6度</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2" w:type="dxa"/>
            <w:gridSpan w:val="3"/>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框架结构</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1"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板柱-剪力墙结构</w:t>
            </w: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高度（m）</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≤35</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＞35</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≤35</w:t>
            </w:r>
          </w:p>
        </w:tc>
        <w:tc>
          <w:tcPr>
            <w:tcW w:w="795"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框架、板柱及柱上板带</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795"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剪力墙</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795"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51"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框架-剪力墙结构</w:t>
            </w: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高度（m）</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w:t>
            </w:r>
          </w:p>
        </w:tc>
        <w:tc>
          <w:tcPr>
            <w:tcW w:w="795"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795"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剪力墙</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51"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剪力墙结构</w:t>
            </w: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高度（m）</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≤80</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＞80</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≤80</w:t>
            </w:r>
          </w:p>
        </w:tc>
        <w:tc>
          <w:tcPr>
            <w:tcW w:w="795"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剪力墙</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795"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2551"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一向少墙剪力墙结构</w:t>
            </w: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剪力墙</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795"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795"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255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平面凹凸不规则剪力墙结构</w:t>
            </w: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剪力墙</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795"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51"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部分框支剪力墙</w:t>
            </w: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非底部加强部位的剪力墙</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795"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底部加强部位的剪力墙</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795"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框支框架</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795"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551"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斜交网格-核心筒结构</w:t>
            </w: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斜交网格</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核心筒</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5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单外筒</w:t>
            </w: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外筒</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1"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框架-边筒结构</w:t>
            </w: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边筒</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1"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斜撑框架-核心筒结构</w:t>
            </w:r>
          </w:p>
        </w:tc>
        <w:tc>
          <w:tcPr>
            <w:tcW w:w="2411"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斜撑</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核心筒</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551"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筒体结构</w:t>
            </w:r>
          </w:p>
        </w:tc>
        <w:tc>
          <w:tcPr>
            <w:tcW w:w="710"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框架—核心筒</w:t>
            </w:r>
          </w:p>
        </w:tc>
        <w:tc>
          <w:tcPr>
            <w:tcW w:w="170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710"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170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核心筒</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710"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筒中筒</w:t>
            </w:r>
          </w:p>
        </w:tc>
        <w:tc>
          <w:tcPr>
            <w:tcW w:w="170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内筒</w:t>
            </w:r>
          </w:p>
        </w:tc>
        <w:tc>
          <w:tcPr>
            <w:tcW w:w="1702" w:type="dxa"/>
            <w:gridSpan w:val="2"/>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1646" w:type="dxa"/>
            <w:gridSpan w:val="2"/>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710"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170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外筒</w:t>
            </w:r>
          </w:p>
        </w:tc>
        <w:tc>
          <w:tcPr>
            <w:tcW w:w="1702" w:type="dxa"/>
            <w:gridSpan w:val="2"/>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1646" w:type="dxa"/>
            <w:gridSpan w:val="2"/>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1"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巨型结构</w:t>
            </w:r>
          </w:p>
        </w:tc>
        <w:tc>
          <w:tcPr>
            <w:tcW w:w="2411"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核心筒</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加强层</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1"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411"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斜撑</w:t>
            </w: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1646"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r>
    </w:tbl>
    <w:p>
      <w:pPr>
        <w:spacing w:line="240" w:lineRule="auto"/>
        <w:ind w:left="630" w:leftChars="100" w:hanging="420" w:hanging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注：1、接近或等于高度分界时，应结合房屋不规则程度及场地、地基条件适当确定抗震等级；</w:t>
      </w:r>
    </w:p>
    <w:p>
      <w:pPr>
        <w:spacing w:line="240" w:lineRule="auto"/>
        <w:ind w:left="630" w:leftChars="100" w:hanging="420" w:hanging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2、底部带转换层的筒体结构，其转换框架的抗震等级应按表中部分框支剪力墙结构的规定采用；</w:t>
      </w:r>
    </w:p>
    <w:p>
      <w:pPr>
        <w:spacing w:line="240" w:lineRule="auto"/>
        <w:ind w:left="630" w:leftChars="100" w:hanging="420" w:hanging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3、当框架-核心筒结构的高度不超过60m时，其抗震等级应允许按框架-剪力墙结构采用。</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抗震设计时，B级高度丙类建筑钢筋混凝土结构的抗震等级应按表3.8.3确定。</w:t>
      </w:r>
    </w:p>
    <w:p>
      <w:pPr>
        <w:spacing w:line="240" w:lineRule="auto"/>
        <w:ind w:firstLine="420"/>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表3.8.3  B级高度的高层建筑结构抗震等级</w:t>
      </w:r>
    </w:p>
    <w:tbl>
      <w:tblPr>
        <w:tblStyle w:val="31"/>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2977"/>
        <w:gridCol w:w="1417"/>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5637" w:type="dxa"/>
            <w:gridSpan w:val="2"/>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结构类型</w:t>
            </w:r>
          </w:p>
        </w:tc>
        <w:tc>
          <w:tcPr>
            <w:tcW w:w="2683"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5637" w:type="dxa"/>
            <w:gridSpan w:val="2"/>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6度</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框架-剪力墙结构</w:t>
            </w: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66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剪力墙</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66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剪力墙结构</w:t>
            </w: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剪力墙</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一向少墙剪力墙结构</w:t>
            </w: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剪力墙</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平面凹凸不规则剪力墙结构</w:t>
            </w: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剪力墙</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部分框支剪力墙结构</w:t>
            </w: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非底部加强部位的剪力墙</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底部加强部位的剪力墙</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框支框架</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特一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斜交网格-核心筒结构</w:t>
            </w: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斜交网格</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核心筒</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单外筒</w:t>
            </w:r>
          </w:p>
        </w:tc>
        <w:tc>
          <w:tcPr>
            <w:tcW w:w="2977"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外筒</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660"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框架-边筒结构</w:t>
            </w: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66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边筒</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斜撑框架-核心筒结构</w:t>
            </w: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边筒</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斜撑</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框架-核心筒结构</w:t>
            </w: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266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筒体</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筒中筒</w:t>
            </w: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外筒</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66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内筒</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巨型结构</w:t>
            </w: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筒体</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加强层</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2977"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斜撑</w:t>
            </w:r>
          </w:p>
        </w:tc>
        <w:tc>
          <w:tcPr>
            <w:tcW w:w="141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1266"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bl>
    <w:p>
      <w:pPr>
        <w:spacing w:line="240" w:lineRule="auto"/>
        <w:ind w:firstLine="420"/>
        <w:rPr>
          <w:rFonts w:ascii="宋体" w:hAnsi="宋体"/>
          <w:color w:val="000000" w:themeColor="text1"/>
          <w:sz w:val="24"/>
          <w:szCs w:val="24"/>
          <w14:textFill>
            <w14:solidFill>
              <w14:schemeClr w14:val="tx1"/>
            </w14:solidFill>
          </w14:textFill>
        </w:rPr>
      </w:pPr>
    </w:p>
    <w:p>
      <w:pPr>
        <w:pStyle w:val="61"/>
        <w:rPr>
          <w:color w:val="000000" w:themeColor="text1"/>
          <w14:textFill>
            <w14:solidFill>
              <w14:schemeClr w14:val="tx1"/>
            </w14:solidFill>
          </w14:textFill>
        </w:rPr>
      </w:pPr>
      <w:bookmarkStart w:id="17" w:name="_Toc24714194"/>
      <w:r>
        <w:rPr>
          <w:rFonts w:hint="eastAsia"/>
          <w:color w:val="000000" w:themeColor="text1"/>
          <w14:textFill>
            <w14:solidFill>
              <w14:schemeClr w14:val="tx1"/>
            </w14:solidFill>
          </w14:textFill>
        </w:rPr>
        <w:t>墙柱轴压比</w:t>
      </w:r>
      <w:bookmarkEnd w:id="17"/>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重力荷载代表值作用下，剪力墙墙肢轴压比限值不宜超过表3.9.1的规定。</w:t>
      </w:r>
    </w:p>
    <w:p>
      <w:pPr>
        <w:spacing w:line="24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表3.9.1 剪力墙轴压比限值</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2126"/>
        <w:gridCol w:w="2126"/>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adjustRightInd w:val="0"/>
              <w:snapToGrid w:val="0"/>
              <w:spacing w:line="240" w:lineRule="auto"/>
              <w:ind w:left="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抗震等级</w:t>
            </w:r>
          </w:p>
        </w:tc>
        <w:tc>
          <w:tcPr>
            <w:tcW w:w="2126" w:type="dxa"/>
            <w:shd w:val="clear" w:color="auto" w:fill="auto"/>
            <w:vAlign w:val="center"/>
          </w:tcPr>
          <w:p>
            <w:pPr>
              <w:adjustRightInd w:val="0"/>
              <w:snapToGrid w:val="0"/>
              <w:spacing w:line="240" w:lineRule="auto"/>
              <w:ind w:left="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一级（6度）</w:t>
            </w:r>
          </w:p>
        </w:tc>
        <w:tc>
          <w:tcPr>
            <w:tcW w:w="2126" w:type="dxa"/>
            <w:vAlign w:val="center"/>
          </w:tcPr>
          <w:p>
            <w:pPr>
              <w:adjustRightInd w:val="0"/>
              <w:snapToGrid w:val="0"/>
              <w:spacing w:line="240" w:lineRule="auto"/>
              <w:ind w:left="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一级（7度）</w:t>
            </w:r>
          </w:p>
        </w:tc>
        <w:tc>
          <w:tcPr>
            <w:tcW w:w="2127" w:type="dxa"/>
            <w:vAlign w:val="center"/>
          </w:tcPr>
          <w:p>
            <w:pPr>
              <w:adjustRightInd w:val="0"/>
              <w:snapToGrid w:val="0"/>
              <w:spacing w:line="240" w:lineRule="auto"/>
              <w:ind w:left="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二、三级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adjustRightInd w:val="0"/>
              <w:snapToGrid w:val="0"/>
              <w:spacing w:line="240" w:lineRule="auto"/>
              <w:ind w:left="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轴压比限值</w:t>
            </w:r>
          </w:p>
        </w:tc>
        <w:tc>
          <w:tcPr>
            <w:tcW w:w="2126" w:type="dxa"/>
            <w:shd w:val="clear" w:color="auto" w:fill="auto"/>
            <w:vAlign w:val="center"/>
          </w:tcPr>
          <w:p>
            <w:pPr>
              <w:adjustRightInd w:val="0"/>
              <w:snapToGrid w:val="0"/>
              <w:spacing w:line="240" w:lineRule="auto"/>
              <w:ind w:left="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0.65</w:t>
            </w:r>
          </w:p>
        </w:tc>
        <w:tc>
          <w:tcPr>
            <w:tcW w:w="2126" w:type="dxa"/>
            <w:vAlign w:val="center"/>
          </w:tcPr>
          <w:p>
            <w:pPr>
              <w:adjustRightInd w:val="0"/>
              <w:snapToGrid w:val="0"/>
              <w:spacing w:line="240" w:lineRule="auto"/>
              <w:ind w:left="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0.6</w:t>
            </w:r>
          </w:p>
        </w:tc>
        <w:tc>
          <w:tcPr>
            <w:tcW w:w="2127" w:type="dxa"/>
            <w:vAlign w:val="center"/>
          </w:tcPr>
          <w:p>
            <w:pPr>
              <w:adjustRightInd w:val="0"/>
              <w:snapToGrid w:val="0"/>
              <w:spacing w:line="240" w:lineRule="auto"/>
              <w:ind w:left="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0.65</w:t>
            </w:r>
          </w:p>
        </w:tc>
      </w:tr>
    </w:tbl>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剪力墙尚应验算其边缘约束构件的轴压比，轴压比取考虑地震作用组合的轴力设计值与约束边缘构件的截面面积和混凝土抗压强度设计值之比。轴压比限值宜取与剪力墙抗震等级相同的框架柱轴压比限值。</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框架柱轴压比限值应符合高规6.4.2条的规定。在罕遇地震下柱轴向承载力有较大富裕时，可适当提高轴压比限值。</w:t>
      </w:r>
    </w:p>
    <w:p>
      <w:pPr>
        <w:pStyle w:val="60"/>
        <w:spacing w:beforeLines="0" w:afterLines="0" w:line="240" w:lineRule="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 xml:space="preserve">  </w:t>
      </w:r>
      <w:bookmarkStart w:id="18" w:name="_Toc24714195"/>
      <w:bookmarkStart w:id="19" w:name="_Toc380486134"/>
      <w:r>
        <w:rPr>
          <w:rFonts w:hint="eastAsia"/>
          <w:color w:val="000000" w:themeColor="text1"/>
          <w14:textFill>
            <w14:solidFill>
              <w14:schemeClr w14:val="tx1"/>
            </w14:solidFill>
          </w14:textFill>
        </w:rPr>
        <w:t>地震作用</w:t>
      </w:r>
      <w:bookmarkEnd w:id="18"/>
      <w:bookmarkEnd w:id="19"/>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各抗震设防类别高层建筑的地震作用，应符合下列规定：</w:t>
      </w:r>
    </w:p>
    <w:p>
      <w:pPr>
        <w:spacing w:line="240" w:lineRule="auto"/>
        <w:ind w:lef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 甲类建筑：应按批准的地震安全性评价结果且高于本地区抗震设防烈度的要求确定；</w:t>
      </w:r>
    </w:p>
    <w:p>
      <w:pPr>
        <w:spacing w:line="240" w:lineRule="auto"/>
        <w:ind w:lef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 乙、丙类建筑：应按本地区抗震设防烈度计算。</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高层建筑结构的地震作用计算应符合下列规定：</w:t>
      </w:r>
    </w:p>
    <w:p>
      <w:pPr>
        <w:spacing w:line="240" w:lineRule="auto"/>
        <w:ind w:lef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1 一般情况下，应至少在两个主轴方向分别计算水平地震作用；有斜交抗侧力构件的结构，当相交角度大于</w:t>
      </w:r>
      <m:oMath>
        <m:sSup>
          <m:sSupPr>
            <m:ctrlPr>
              <w:rPr>
                <w:rFonts w:ascii="Cambria Math" w:hAnsi="Cambria Math"/>
                <w:color w:val="000000" w:themeColor="text1"/>
                <w14:textFill>
                  <w14:solidFill>
                    <w14:schemeClr w14:val="tx1"/>
                  </w14:solidFill>
                </w14:textFill>
              </w:rPr>
            </m:ctrlPr>
          </m:sSupPr>
          <m:e>
            <m:r>
              <m:rPr>
                <m:sty m:val="p"/>
              </m:rPr>
              <w:rPr>
                <w:rFonts w:ascii="Cambria Math" w:hAnsi="Cambria Math"/>
                <w:color w:val="000000" w:themeColor="text1"/>
                <w14:textFill>
                  <w14:solidFill>
                    <w14:schemeClr w14:val="tx1"/>
                  </w14:solidFill>
                </w14:textFill>
              </w:rPr>
              <m:t>15</m:t>
            </m:r>
            <m:ctrlPr>
              <w:rPr>
                <w:rFonts w:ascii="Cambria Math" w:hAnsi="Cambria Math"/>
                <w:color w:val="000000" w:themeColor="text1"/>
                <w14:textFill>
                  <w14:solidFill>
                    <w14:schemeClr w14:val="tx1"/>
                  </w14:solidFill>
                </w14:textFill>
              </w:rPr>
            </m:ctrlPr>
          </m:e>
          <m:sup>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p>
        </m:sSup>
      </m:oMath>
      <w:r>
        <w:rPr>
          <w:rFonts w:hint="eastAsia"/>
          <w:color w:val="000000" w:themeColor="text1"/>
          <w:sz w:val="24"/>
          <w:szCs w:val="24"/>
          <w14:textFill>
            <w14:solidFill>
              <w14:schemeClr w14:val="tx1"/>
            </w14:solidFill>
          </w14:textFill>
        </w:rPr>
        <w:t>时，应分别计算各抗侧力构件方向的水平地震作用。</w:t>
      </w:r>
    </w:p>
    <w:p>
      <w:pPr>
        <w:spacing w:line="240" w:lineRule="auto"/>
        <w:ind w:lef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2 质量与刚度分布明显不对称的结构，应计算双向水平地震作用下的扭转影响；其他情况，应计算单向水平地震作用下的扭转影响。</w:t>
      </w:r>
    </w:p>
    <w:p>
      <w:pPr>
        <w:spacing w:line="240" w:lineRule="auto"/>
        <w:ind w:lef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3  高层建筑中的大跨度、长悬臂结构抗震设计时应计入竖向地震作用。</w:t>
      </w:r>
    </w:p>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注：当采用时程分析法进行分析时，水平地震作用仅考虑按单向输入。</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计算单向地震作用时应考虑偶然偏心的影响。结构平面为矩形时，每层质心沿垂直于地震作用方向的偏移值可按下式采用：</w:t>
      </w:r>
    </w:p>
    <w:p>
      <w:pPr>
        <w:spacing w:line="24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e</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i</m:t>
            </m:r>
            <m:ctrlPr>
              <w:rPr>
                <w:rFonts w:ascii="Cambria Math" w:hAnsi="Cambria Math"/>
                <w:color w:val="000000" w:themeColor="text1"/>
                <w14:textFill>
                  <w14:solidFill>
                    <w14:schemeClr w14:val="tx1"/>
                  </w14:solidFill>
                </w14:textFill>
              </w:rPr>
            </m:ctrlPr>
          </m:sub>
        </m:sSub>
      </m:oMath>
      <w:r>
        <w:rPr>
          <w:rFonts w:hint="eastAsia"/>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0.05</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L</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i</m:t>
            </m:r>
            <m:ctrlPr>
              <w:rPr>
                <w:rFonts w:ascii="Cambria Math" w:hAnsi="Cambria Math"/>
                <w:color w:val="000000" w:themeColor="text1"/>
                <w14:textFill>
                  <w14:solidFill>
                    <w14:schemeClr w14:val="tx1"/>
                  </w14:solidFill>
                </w14:textFill>
              </w:rPr>
            </m:ctrlPr>
          </m:sub>
        </m:sSub>
      </m:oMath>
      <w:r>
        <w:rPr>
          <w:rFonts w:hint="eastAsia"/>
          <w:color w:val="000000" w:themeColor="text1"/>
          <w:sz w:val="24"/>
          <w:szCs w:val="24"/>
          <w14:textFill>
            <w14:solidFill>
              <w14:schemeClr w14:val="tx1"/>
            </w14:solidFill>
          </w14:textFill>
        </w:rPr>
        <w:t xml:space="preserve">                (4.1.3)</w:t>
      </w:r>
    </w:p>
    <w:p>
      <w:pPr>
        <w:spacing w:line="24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式中：</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e</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i</m:t>
            </m:r>
            <m:ctrlPr>
              <w:rPr>
                <w:rFonts w:ascii="Cambria Math" w:hAnsi="Cambria Math"/>
                <w:color w:val="000000" w:themeColor="text1"/>
                <w14:textFill>
                  <w14:solidFill>
                    <w14:schemeClr w14:val="tx1"/>
                  </w14:solidFill>
                </w14:textFill>
              </w:rPr>
            </m:ctrlPr>
          </m:sub>
        </m:sSub>
      </m:oMath>
      <w:r>
        <w:rPr>
          <w:rFonts w:hint="eastAsia"/>
          <w:color w:val="000000" w:themeColor="text1"/>
          <w:sz w:val="24"/>
          <w:szCs w:val="24"/>
          <w14:textFill>
            <w14:solidFill>
              <w14:schemeClr w14:val="tx1"/>
            </w14:solidFill>
          </w14:textFill>
        </w:rPr>
        <w:t>——第i层质心偏值（m），各楼层质心偏移方向相同；</w:t>
      </w:r>
    </w:p>
    <w:p>
      <w:pPr>
        <w:spacing w:line="24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L</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i</m:t>
            </m:r>
            <m:ctrlPr>
              <w:rPr>
                <w:rFonts w:ascii="Cambria Math" w:hAnsi="Cambria Math"/>
                <w:color w:val="000000" w:themeColor="text1"/>
                <w14:textFill>
                  <w14:solidFill>
                    <w14:schemeClr w14:val="tx1"/>
                  </w14:solidFill>
                </w14:textFill>
              </w:rPr>
            </m:ctrlPr>
          </m:sub>
        </m:sSub>
      </m:oMath>
      <w:r>
        <w:rPr>
          <w:rFonts w:hint="eastAsia"/>
          <w:color w:val="000000" w:themeColor="text1"/>
          <w:sz w:val="24"/>
          <w:szCs w:val="24"/>
          <w14:textFill>
            <w14:solidFill>
              <w14:schemeClr w14:val="tx1"/>
            </w14:solidFill>
          </w14:textFill>
        </w:rPr>
        <w:t>——第i层垂直于地震作用方向的建筑物总长度（m）。</w:t>
      </w:r>
    </w:p>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注：圆形、不规则形等非矩形结构平面的建筑物长度应取其相应方向的回转半径。</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高层建筑结构应根据不同的情况，分别采用下列地震作用计算方法：</w:t>
      </w:r>
    </w:p>
    <w:p>
      <w:pPr>
        <w:spacing w:line="240" w:lineRule="auto"/>
        <w:rPr>
          <w:color w:val="000000" w:themeColor="text1"/>
          <w:sz w:val="24"/>
          <w:szCs w:val="24"/>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1 高层建筑结构宜采用振型分解反应谱法；对质量和刚度不对称、不均匀的结构以及高度超过100m的高层建筑结构应采用考虑扭转耦联振动影响的振型分解反应谱法。</w:t>
      </w:r>
    </w:p>
    <w:p>
      <w:pPr>
        <w:spacing w:line="24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2 7度抗震设防的高层建筑，下列情况应采用弹性时程分析法进行多遇地震下的补充计算：</w:t>
      </w:r>
    </w:p>
    <w:p>
      <w:pPr>
        <w:pStyle w:val="56"/>
        <w:numPr>
          <w:ilvl w:val="0"/>
          <w:numId w:val="3"/>
        </w:numPr>
        <w:adjustRightInd w:val="0"/>
        <w:snapToGrid w:val="0"/>
        <w:spacing w:line="240" w:lineRule="auto"/>
        <w:ind w:left="840" w:leftChars="400" w:firstLine="0"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甲类高层建筑结构；</w:t>
      </w:r>
    </w:p>
    <w:p>
      <w:pPr>
        <w:pStyle w:val="56"/>
        <w:numPr>
          <w:ilvl w:val="0"/>
          <w:numId w:val="3"/>
        </w:numPr>
        <w:adjustRightInd w:val="0"/>
        <w:snapToGrid w:val="0"/>
        <w:spacing w:line="240" w:lineRule="auto"/>
        <w:ind w:left="840" w:leftChars="400" w:firstLine="0"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房屋高度大于100米的高层建筑；</w:t>
      </w:r>
    </w:p>
    <w:p>
      <w:pPr>
        <w:pStyle w:val="56"/>
        <w:numPr>
          <w:ilvl w:val="0"/>
          <w:numId w:val="3"/>
        </w:numPr>
        <w:adjustRightInd w:val="0"/>
        <w:snapToGrid w:val="0"/>
        <w:spacing w:line="240" w:lineRule="auto"/>
        <w:ind w:left="840" w:leftChars="400" w:firstLine="0"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不满足本规程3.5.2~3.5.7条规定的高层建筑结构；</w:t>
      </w:r>
    </w:p>
    <w:p>
      <w:pPr>
        <w:pStyle w:val="56"/>
        <w:numPr>
          <w:ilvl w:val="0"/>
          <w:numId w:val="3"/>
        </w:numPr>
        <w:adjustRightInd w:val="0"/>
        <w:snapToGrid w:val="0"/>
        <w:spacing w:line="240" w:lineRule="auto"/>
        <w:ind w:left="840" w:leftChars="400" w:firstLine="0"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复杂高层建筑结构。</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计算地震作用时，建筑结构的重力荷载代表值应取永久荷载标准值和可变荷载组合值之和，可变荷载的组合值系数应按下列规定采用：楼面活荷载按实际情况计算时取1.0；按等效均布活荷载计算时，藏书库、档案库、库房取0.8，一般民用建筑取0.5.</w:t>
      </w:r>
    </w:p>
    <w:p>
      <w:pPr>
        <w:pStyle w:val="119"/>
        <w:rPr>
          <w:b/>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建筑结构的地震影响系数应根据烈度、场地类别、设计地震分组和结构自振周期及阻尼比确定。</w:t>
      </w:r>
      <w:r>
        <w:rPr>
          <w:rFonts w:ascii="Times New Roman" w:hAnsi="Times New Roman"/>
          <w:color w:val="000000" w:themeColor="text1"/>
          <w:lang w:eastAsia="zh-CN"/>
          <w14:textFill>
            <w14:solidFill>
              <w14:schemeClr w14:val="tx1"/>
            </w14:solidFill>
          </w14:textFill>
        </w:rPr>
        <w:t>II</w:t>
      </w:r>
      <w:r>
        <w:rPr>
          <w:rFonts w:hint="eastAsia"/>
          <w:color w:val="000000" w:themeColor="text1"/>
          <w:lang w:eastAsia="zh-CN"/>
          <w14:textFill>
            <w14:solidFill>
              <w14:schemeClr w14:val="tx1"/>
            </w14:solidFill>
          </w14:textFill>
        </w:rPr>
        <w:t>类场地的水平地震影响系数最大值</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α</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lang w:eastAsia="zh-CN"/>
                <w14:textFill>
                  <w14:solidFill>
                    <w14:schemeClr w14:val="tx1"/>
                  </w14:solidFill>
                </w14:textFill>
              </w:rPr>
              <m:t>max</m:t>
            </m:r>
            <m:ctrlPr>
              <w:rPr>
                <w:rFonts w:ascii="Cambria Math" w:hAnsi="Cambria Math"/>
                <w:color w:val="000000" w:themeColor="text1"/>
                <w14:textFill>
                  <w14:solidFill>
                    <w14:schemeClr w14:val="tx1"/>
                  </w14:solidFill>
                </w14:textFill>
              </w:rPr>
            </m:ctrlPr>
          </m:sub>
        </m:sSub>
      </m:oMath>
      <w:r>
        <w:rPr>
          <w:rFonts w:hint="eastAsia"/>
          <w:color w:val="000000" w:themeColor="text1"/>
          <w:lang w:eastAsia="zh-CN"/>
          <w14:textFill>
            <w14:solidFill>
              <w14:schemeClr w14:val="tx1"/>
            </w14:solidFill>
          </w14:textFill>
        </w:rPr>
        <w:t>应按表4.1.6-1采用，其它类场地的水平地震影响系数最大值</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α</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lang w:eastAsia="zh-CN"/>
                <w14:textFill>
                  <w14:solidFill>
                    <w14:schemeClr w14:val="tx1"/>
                  </w14:solidFill>
                </w14:textFill>
              </w:rPr>
              <m:t>max</m:t>
            </m:r>
            <m:ctrlPr>
              <w:rPr>
                <w:rFonts w:ascii="Cambria Math" w:hAnsi="Cambria Math"/>
                <w:color w:val="000000" w:themeColor="text1"/>
                <w14:textFill>
                  <w14:solidFill>
                    <w14:schemeClr w14:val="tx1"/>
                  </w14:solidFill>
                </w14:textFill>
              </w:rPr>
            </m:ctrlPr>
          </m:sub>
        </m:sSub>
      </m:oMath>
      <w:r>
        <w:rPr>
          <w:rFonts w:hint="eastAsia"/>
          <w:color w:val="000000" w:themeColor="text1"/>
          <w:lang w:eastAsia="zh-CN"/>
          <w14:textFill>
            <w14:solidFill>
              <w14:schemeClr w14:val="tx1"/>
            </w14:solidFill>
          </w14:textFill>
        </w:rPr>
        <w:t>根据现行规范的有关规定进行调整；特征周期应根据场地类别和设计地震分组表4.1.6-2采用，计算罕遇地震作用时，特征周期应增加0.05s。</w:t>
      </w:r>
    </w:p>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表4.1.6-1   </w:t>
      </w:r>
      <w:r>
        <w:rPr>
          <w:rFonts w:ascii="Times New Roman" w:hAnsi="Times New Roman"/>
          <w:color w:val="000000" w:themeColor="text1"/>
          <w14:textFill>
            <w14:solidFill>
              <w14:schemeClr w14:val="tx1"/>
            </w14:solidFill>
          </w14:textFill>
        </w:rPr>
        <w:t>II</w:t>
      </w:r>
      <w:r>
        <w:rPr>
          <w:rFonts w:hint="eastAsia"/>
          <w:b/>
          <w:color w:val="000000" w:themeColor="text1"/>
          <w14:textFill>
            <w14:solidFill>
              <w14:schemeClr w14:val="tx1"/>
            </w14:solidFill>
          </w14:textFill>
        </w:rPr>
        <w:t>场地的水平地震影响系数最大值</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α</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max</m:t>
            </m:r>
            <m:ctrlPr>
              <w:rPr>
                <w:rFonts w:ascii="Cambria Math" w:hAnsi="Cambria Math"/>
                <w:color w:val="000000" w:themeColor="text1"/>
                <w14:textFill>
                  <w14:solidFill>
                    <w14:schemeClr w14:val="tx1"/>
                  </w14:solidFill>
                </w14:textFill>
              </w:rPr>
            </m:ctrlPr>
          </m:sub>
        </m:sSub>
      </m:oMath>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6"/>
        <w:gridCol w:w="2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地震影响</w:t>
            </w:r>
          </w:p>
        </w:tc>
        <w:tc>
          <w:tcPr>
            <w:tcW w:w="2776"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7度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多遇地震</w:t>
            </w:r>
          </w:p>
        </w:tc>
        <w:tc>
          <w:tcPr>
            <w:tcW w:w="2776"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设防地震</w:t>
            </w:r>
          </w:p>
        </w:tc>
        <w:tc>
          <w:tcPr>
            <w:tcW w:w="2776"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76"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罕遇地震</w:t>
            </w:r>
          </w:p>
        </w:tc>
        <w:tc>
          <w:tcPr>
            <w:tcW w:w="2776"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0.50</w:t>
            </w:r>
          </w:p>
        </w:tc>
      </w:tr>
    </w:tbl>
    <w:p>
      <w:pPr>
        <w:spacing w:line="240" w:lineRule="auto"/>
        <w:ind w:left="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表4.1.6-2特征周期值</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T</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g</m:t>
            </m:r>
            <m:ctrlPr>
              <w:rPr>
                <w:rFonts w:ascii="Cambria Math" w:hAnsi="Cambria Math"/>
                <w:color w:val="000000" w:themeColor="text1"/>
                <w14:textFill>
                  <w14:solidFill>
                    <w14:schemeClr w14:val="tx1"/>
                  </w14:solidFill>
                </w14:textFill>
              </w:rPr>
            </m:ctrlPr>
          </m:sub>
        </m:sSub>
      </m:oMath>
      <w:r>
        <w:rPr>
          <w:rFonts w:hint="eastAsia"/>
          <w:b/>
          <w:color w:val="000000" w:themeColor="text1"/>
          <w14:textFill>
            <w14:solidFill>
              <w14:schemeClr w14:val="tx1"/>
            </w14:solidFill>
          </w14:textFill>
        </w:rPr>
        <w:t>(s)</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2"/>
        <w:gridCol w:w="1319"/>
        <w:gridCol w:w="1319"/>
        <w:gridCol w:w="1319"/>
        <w:gridCol w:w="1319"/>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Borders>
              <w:tl2br w:val="single" w:color="auto" w:sz="4" w:space="0"/>
            </w:tcBorders>
          </w:tcPr>
          <w:p>
            <w:pPr>
              <w:spacing w:line="240" w:lineRule="auto"/>
              <w:ind w:left="735" w:hanging="735" w:hangingChars="35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场地类别</w:t>
            </w:r>
          </w:p>
          <w:p>
            <w:pPr>
              <w:adjustRightInd w:val="0"/>
              <w:spacing w:line="240" w:lineRule="auto"/>
              <w:ind w:left="-105" w:leftChars="-50" w:right="-105" w:rightChars="-5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设计地震分组</w:t>
            </w:r>
          </w:p>
        </w:tc>
        <w:tc>
          <w:tcPr>
            <w:tcW w:w="1319" w:type="dxa"/>
            <w:vAlign w:val="center"/>
          </w:tcPr>
          <w:p>
            <w:pPr>
              <w:spacing w:line="240" w:lineRule="auto"/>
              <w:jc w:val="center"/>
              <w:rPr>
                <w:color w:val="000000" w:themeColor="text1"/>
                <w:vertAlign w:val="subscript"/>
                <w14:textFill>
                  <w14:solidFill>
                    <w14:schemeClr w14:val="tx1"/>
                  </w14:solidFill>
                </w14:textFill>
              </w:rPr>
            </w:pPr>
            <m:oMathPara>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w:fldChar w:fldCharType="begin"/>
                    </m:r>
                    <m:r>
                      <m:rPr>
                        <m:sty m:val="p"/>
                      </m:rPr>
                      <w:rPr>
                        <w:rFonts w:ascii="Cambria Math" w:hAnsi="Cambria Math"/>
                        <w:color w:val="000000" w:themeColor="text1"/>
                        <w14:textFill>
                          <w14:solidFill>
                            <w14:schemeClr w14:val="tx1"/>
                          </w14:solidFill>
                        </w14:textFill>
                      </w:rPr>
                      <m:t xml:space="preserve"> </m:t>
                    </m:r>
                    <m:r>
                      <m:rPr>
                        <m:sty m:val="p"/>
                      </m:rPr>
                      <w:rPr>
                        <w:rFonts w:hint="eastAsia" w:ascii="Cambria Math" w:hAnsi="Cambria Math"/>
                        <w:color w:val="000000" w:themeColor="text1"/>
                        <w14:textFill>
                          <w14:solidFill>
                            <w14:schemeClr w14:val="tx1"/>
                          </w14:solidFill>
                        </w14:textFill>
                      </w:rPr>
                      <m:t xml:space="preserve">= 1 \* ROMAN</m:t>
                    </m:r>
                    <m:r>
                      <m:rPr>
                        <m:sty m:val="p"/>
                      </m:rPr>
                      <w:rPr>
                        <w:rFonts w:ascii="Cambria Math" w:hAnsi="Cambria Math"/>
                        <w:color w:val="000000" w:themeColor="text1"/>
                        <w14:textFill>
                          <w14:solidFill>
                            <w14:schemeClr w14:val="tx1"/>
                          </w14:solidFill>
                        </w14:textFill>
                      </w:rPr>
                      <m:t xml:space="preserve"> </m:t>
                    </m:r>
                    <m:r>
                      <m:rPr>
                        <m:sty m:val="p"/>
                      </m:rPr>
                      <w:rPr>
                        <w:rFonts w:ascii="Cambria Math" w:hAnsi="Cambria Math"/>
                        <w:color w:val="000000" w:themeColor="text1"/>
                        <w14:textFill>
                          <w14:solidFill>
                            <w14:schemeClr w14:val="tx1"/>
                          </w14:solidFill>
                        </w14:textFill>
                      </w:rPr>
                      <w:fldChar w:fldCharType="separate"/>
                    </m:r>
                    <m:r>
                      <m:rPr>
                        <m:sty m:val="p"/>
                      </m:rPr>
                      <w:rPr>
                        <w:rFonts w:ascii="Cambria Math" w:hAnsi="Cambria Math"/>
                        <w:color w:val="000000" w:themeColor="text1"/>
                        <w14:textFill>
                          <w14:solidFill>
                            <w14:schemeClr w14:val="tx1"/>
                          </w14:solidFill>
                        </w14:textFill>
                      </w:rPr>
                      <m:t>I</m:t>
                    </m:r>
                    <m:r>
                      <m:rPr>
                        <m:sty m:val="p"/>
                      </m:rPr>
                      <w:rPr>
                        <w:rFonts w:ascii="Cambria Math" w:hAnsi="Cambria Math"/>
                        <w:color w:val="000000" w:themeColor="text1"/>
                        <w14:textFill>
                          <w14:solidFill>
                            <w14:schemeClr w14:val="tx1"/>
                          </w14:solidFill>
                        </w14:textFill>
                      </w:rPr>
                      <w:fldChar w:fldCharType="end"/>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oMath>
            </m:oMathPara>
          </w:p>
        </w:tc>
        <w:tc>
          <w:tcPr>
            <w:tcW w:w="1319" w:type="dxa"/>
            <w:vAlign w:val="center"/>
          </w:tcPr>
          <w:p>
            <w:pPr>
              <w:spacing w:line="240" w:lineRule="auto"/>
              <w:jc w:val="center"/>
              <w:rPr>
                <w:color w:val="000000" w:themeColor="text1"/>
                <w:vertAlign w:val="subscript"/>
                <w14:textFill>
                  <w14:solidFill>
                    <w14:schemeClr w14:val="tx1"/>
                  </w14:solidFill>
                </w14:textFill>
              </w:rPr>
            </w:pPr>
            <m:oMathPara>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w:fldChar w:fldCharType="begin"/>
                    </m:r>
                    <m:r>
                      <m:rPr>
                        <m:sty m:val="p"/>
                      </m:rPr>
                      <w:rPr>
                        <w:rFonts w:ascii="Cambria Math" w:hAnsi="Cambria Math"/>
                        <w:color w:val="000000" w:themeColor="text1"/>
                        <w14:textFill>
                          <w14:solidFill>
                            <w14:schemeClr w14:val="tx1"/>
                          </w14:solidFill>
                        </w14:textFill>
                      </w:rPr>
                      <m:t xml:space="preserve"> </m:t>
                    </m:r>
                    <m:r>
                      <m:rPr>
                        <m:sty m:val="p"/>
                      </m:rPr>
                      <w:rPr>
                        <w:rFonts w:hint="eastAsia" w:ascii="Cambria Math" w:hAnsi="Cambria Math"/>
                        <w:color w:val="000000" w:themeColor="text1"/>
                        <w14:textFill>
                          <w14:solidFill>
                            <w14:schemeClr w14:val="tx1"/>
                          </w14:solidFill>
                        </w14:textFill>
                      </w:rPr>
                      <m:t xml:space="preserve">= 1 \* ROMAN</m:t>
                    </m:r>
                    <m:r>
                      <m:rPr>
                        <m:sty m:val="p"/>
                      </m:rPr>
                      <w:rPr>
                        <w:rFonts w:ascii="Cambria Math" w:hAnsi="Cambria Math"/>
                        <w:color w:val="000000" w:themeColor="text1"/>
                        <w14:textFill>
                          <w14:solidFill>
                            <w14:schemeClr w14:val="tx1"/>
                          </w14:solidFill>
                        </w14:textFill>
                      </w:rPr>
                      <m:t xml:space="preserve"> </m:t>
                    </m:r>
                    <m:r>
                      <m:rPr>
                        <m:sty m:val="p"/>
                      </m:rPr>
                      <w:rPr>
                        <w:rFonts w:ascii="Cambria Math" w:hAnsi="Cambria Math"/>
                        <w:color w:val="000000" w:themeColor="text1"/>
                        <w14:textFill>
                          <w14:solidFill>
                            <w14:schemeClr w14:val="tx1"/>
                          </w14:solidFill>
                        </w14:textFill>
                      </w:rPr>
                      <w:fldChar w:fldCharType="separate"/>
                    </m:r>
                    <m:r>
                      <m:rPr>
                        <m:sty m:val="p"/>
                      </m:rPr>
                      <w:rPr>
                        <w:rFonts w:ascii="Cambria Math" w:hAnsi="Cambria Math"/>
                        <w:color w:val="000000" w:themeColor="text1"/>
                        <w14:textFill>
                          <w14:solidFill>
                            <w14:schemeClr w14:val="tx1"/>
                          </w14:solidFill>
                        </w14:textFill>
                      </w:rPr>
                      <m:t>I</m:t>
                    </m:r>
                    <m:r>
                      <m:rPr>
                        <m:sty m:val="p"/>
                      </m:rPr>
                      <w:rPr>
                        <w:rFonts w:ascii="Cambria Math" w:hAnsi="Cambria Math"/>
                        <w:color w:val="000000" w:themeColor="text1"/>
                        <w14:textFill>
                          <w14:solidFill>
                            <w14:schemeClr w14:val="tx1"/>
                          </w14:solidFill>
                        </w14:textFill>
                      </w:rPr>
                      <w:fldChar w:fldCharType="end"/>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1</m:t>
                    </m:r>
                    <m:ctrlPr>
                      <w:rPr>
                        <w:rFonts w:ascii="Cambria Math" w:hAnsi="Cambria Math"/>
                        <w:color w:val="000000" w:themeColor="text1"/>
                        <w14:textFill>
                          <w14:solidFill>
                            <w14:schemeClr w14:val="tx1"/>
                          </w14:solidFill>
                        </w14:textFill>
                      </w:rPr>
                    </m:ctrlPr>
                  </m:sub>
                </m:sSub>
              </m:oMath>
            </m:oMathPara>
          </w:p>
        </w:tc>
        <w:tc>
          <w:tcPr>
            <w:tcW w:w="1319" w:type="dxa"/>
            <w:vAlign w:val="center"/>
          </w:tcPr>
          <w:p>
            <w:pPr>
              <w:spacing w:line="240" w:lineRule="auto"/>
              <w:jc w:val="center"/>
              <w:rPr>
                <w:color w:val="000000" w:themeColor="text1"/>
                <w:vertAlign w:val="subscript"/>
                <w14:textFill>
                  <w14:solidFill>
                    <w14:schemeClr w14:val="tx1"/>
                  </w14:solidFill>
                </w14:textFill>
              </w:rPr>
            </w:pPr>
            <w:r>
              <w:rPr>
                <w:rFonts w:ascii="Times New Roman" w:hAnsi="Times New Roman"/>
                <w:color w:val="000000" w:themeColor="text1"/>
                <w14:textFill>
                  <w14:solidFill>
                    <w14:schemeClr w14:val="tx1"/>
                  </w14:solidFill>
                </w14:textFill>
              </w:rPr>
              <w:t>II</w:t>
            </w:r>
          </w:p>
        </w:tc>
        <w:tc>
          <w:tcPr>
            <w:tcW w:w="1319" w:type="dxa"/>
            <w:vAlign w:val="center"/>
          </w:tcPr>
          <w:p>
            <w:pPr>
              <w:spacing w:line="240" w:lineRule="auto"/>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II</w:t>
            </w:r>
            <w:r>
              <w:rPr>
                <w:rFonts w:hint="eastAsia" w:ascii="Times New Roman" w:hAnsi="Times New Roman"/>
                <w:color w:val="000000" w:themeColor="text1"/>
                <w14:textFill>
                  <w14:solidFill>
                    <w14:schemeClr w14:val="tx1"/>
                  </w14:solidFill>
                </w14:textFill>
              </w:rPr>
              <w:t>I</w:t>
            </w:r>
          </w:p>
        </w:tc>
        <w:tc>
          <w:tcPr>
            <w:tcW w:w="1320" w:type="dxa"/>
            <w:vAlign w:val="center"/>
          </w:tcPr>
          <w:p>
            <w:pPr>
              <w:spacing w:line="240" w:lineRule="auto"/>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I</w:t>
            </w:r>
            <w:r>
              <w:rPr>
                <w:rFonts w:hint="eastAsia" w:ascii="Times New Roman" w:hAnsi="Times New Roman"/>
                <w:color w:val="000000" w:themeColor="text1"/>
                <w14:textFill>
                  <w14:solidFill>
                    <w14:schemeClr w14:val="tx1"/>
                  </w14:solidFill>
                </w14:textFill>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第一组</w:t>
            </w:r>
          </w:p>
        </w:tc>
        <w:tc>
          <w:tcPr>
            <w:tcW w:w="1319"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0.20</w:t>
            </w:r>
          </w:p>
        </w:tc>
        <w:tc>
          <w:tcPr>
            <w:tcW w:w="1319"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0.25</w:t>
            </w:r>
          </w:p>
        </w:tc>
        <w:tc>
          <w:tcPr>
            <w:tcW w:w="1319"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0.35</w:t>
            </w:r>
          </w:p>
        </w:tc>
        <w:tc>
          <w:tcPr>
            <w:tcW w:w="1319"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0.45</w:t>
            </w:r>
          </w:p>
        </w:tc>
        <w:tc>
          <w:tcPr>
            <w:tcW w:w="1320"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第二组</w:t>
            </w:r>
          </w:p>
        </w:tc>
        <w:tc>
          <w:tcPr>
            <w:tcW w:w="1319"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0.25</w:t>
            </w:r>
          </w:p>
        </w:tc>
        <w:tc>
          <w:tcPr>
            <w:tcW w:w="1319"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0.30</w:t>
            </w:r>
          </w:p>
        </w:tc>
        <w:tc>
          <w:tcPr>
            <w:tcW w:w="1319"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0.40</w:t>
            </w:r>
          </w:p>
        </w:tc>
        <w:tc>
          <w:tcPr>
            <w:tcW w:w="1319"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0.55</w:t>
            </w:r>
          </w:p>
        </w:tc>
        <w:tc>
          <w:tcPr>
            <w:tcW w:w="1320"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第三组</w:t>
            </w:r>
          </w:p>
        </w:tc>
        <w:tc>
          <w:tcPr>
            <w:tcW w:w="1319"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0.30</w:t>
            </w:r>
          </w:p>
        </w:tc>
        <w:tc>
          <w:tcPr>
            <w:tcW w:w="1319"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0.35</w:t>
            </w:r>
          </w:p>
        </w:tc>
        <w:tc>
          <w:tcPr>
            <w:tcW w:w="1319"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0.45</w:t>
            </w:r>
          </w:p>
        </w:tc>
        <w:tc>
          <w:tcPr>
            <w:tcW w:w="1319"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0.65</w:t>
            </w:r>
          </w:p>
        </w:tc>
        <w:tc>
          <w:tcPr>
            <w:tcW w:w="1320" w:type="dxa"/>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0.90</w:t>
            </w:r>
          </w:p>
        </w:tc>
      </w:tr>
    </w:tbl>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高层建筑结构地震影响系数曲线（图4.1.7）的形状参数和阻尼调整应符合下列规定：</w:t>
      </w:r>
    </w:p>
    <w:p>
      <w:pPr>
        <w:adjustRightInd w:val="0"/>
        <w:snapToGrid w:val="0"/>
        <w:spacing w:line="240" w:lineRule="auto"/>
        <w:ind w:left="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1 除有专门规定外，钢筋混凝土高层建筑结构的阻尼比应取0.05，此时阻尼调整系数</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η</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2</m:t>
            </m:r>
            <m:ctrlPr>
              <w:rPr>
                <w:rFonts w:ascii="Cambria Math" w:hAnsi="Cambria Math"/>
                <w:color w:val="000000" w:themeColor="text1"/>
                <w14:textFill>
                  <w14:solidFill>
                    <w14:schemeClr w14:val="tx1"/>
                  </w14:solidFill>
                </w14:textFill>
              </w:rPr>
            </m:ctrlPr>
          </m:sub>
        </m:sSub>
      </m:oMath>
      <w:r>
        <w:rPr>
          <w:rFonts w:hint="eastAsia"/>
          <w:color w:val="000000" w:themeColor="text1"/>
          <w:sz w:val="24"/>
          <w:szCs w:val="24"/>
          <w14:textFill>
            <w14:solidFill>
              <w14:schemeClr w14:val="tx1"/>
            </w14:solidFill>
          </w14:textFill>
        </w:rPr>
        <w:t>应取1.0；计算罕遇地震作用时，结构的阻尼比应适当增加。形状参数应符合下列规定：</w:t>
      </w:r>
    </w:p>
    <w:p>
      <w:pPr>
        <w:spacing w:line="24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3957955" cy="1535430"/>
            <wp:effectExtent l="19050" t="0" r="4445" b="0"/>
            <wp:docPr id="5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true" noChangeArrowheads="true"/>
                    </pic:cNvPicPr>
                  </pic:nvPicPr>
                  <pic:blipFill>
                    <a:blip r:embed="rId46"/>
                    <a:srcRect/>
                    <a:stretch>
                      <a:fillRect/>
                    </a:stretch>
                  </pic:blipFill>
                  <pic:spPr>
                    <a:xfrm>
                      <a:off x="0" y="0"/>
                      <a:ext cx="3957955" cy="1535430"/>
                    </a:xfrm>
                    <a:prstGeom prst="rect">
                      <a:avLst/>
                    </a:prstGeom>
                    <a:noFill/>
                    <a:ln w="9525">
                      <a:noFill/>
                      <a:miter lim="800000"/>
                      <a:headEnd/>
                      <a:tailEnd/>
                    </a:ln>
                  </pic:spPr>
                </pic:pic>
              </a:graphicData>
            </a:graphic>
          </wp:inline>
        </w:drawing>
      </w:r>
    </w:p>
    <w:p>
      <w:pPr>
        <w:spacing w:line="24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图4.1.7 地震影响系数曲线</w:t>
      </w:r>
    </w:p>
    <w:p>
      <w:pPr>
        <w:spacing w:line="240" w:lineRule="auto"/>
        <w:ind w:left="735" w:leftChars="350" w:firstLine="105" w:firstLineChars="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α</w:t>
      </w:r>
      <w:r>
        <w:rPr>
          <w:rFonts w:hint="eastAsia" w:ascii="Times New Roman" w:hAnsi="Times New Roman"/>
          <w:color w:val="000000" w:themeColor="text1"/>
          <w:szCs w:val="21"/>
          <w14:textFill>
            <w14:solidFill>
              <w14:schemeClr w14:val="tx1"/>
            </w14:solidFill>
          </w14:textFill>
        </w:rPr>
        <w:t>—地震影响系数；</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α</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max</m:t>
            </m:r>
            <m:ctrlPr>
              <w:rPr>
                <w:rFonts w:ascii="Cambria Math" w:hAnsi="Cambria Math"/>
                <w:color w:val="000000" w:themeColor="text1"/>
                <w14:textFill>
                  <w14:solidFill>
                    <w14:schemeClr w14:val="tx1"/>
                  </w14:solidFill>
                </w14:textFill>
              </w:rPr>
            </m:ctrlPr>
          </m:sub>
        </m:sSub>
      </m:oMath>
      <w:r>
        <w:rPr>
          <w:rFonts w:hint="eastAsia" w:ascii="Times New Roman" w:hAnsi="Times New Roman"/>
          <w:color w:val="000000" w:themeColor="text1"/>
          <w:szCs w:val="21"/>
          <w14:textFill>
            <w14:solidFill>
              <w14:schemeClr w14:val="tx1"/>
            </w14:solidFill>
          </w14:textFill>
        </w:rPr>
        <w:t>—地震影响系数最大值；T—结构自振周期：</w:t>
      </w:r>
    </w:p>
    <w:p>
      <w:pPr>
        <w:spacing w:line="240" w:lineRule="auto"/>
        <w:ind w:left="735" w:leftChars="350" w:firstLine="105" w:firstLineChars="50"/>
        <w:rPr>
          <w:rFonts w:ascii="Times New Roman" w:hAnsi="Times New Roman"/>
          <w:color w:val="000000" w:themeColor="text1"/>
          <w:szCs w:val="21"/>
          <w14:textFill>
            <w14:solidFill>
              <w14:schemeClr w14:val="tx1"/>
            </w14:solidFill>
          </w14:textFill>
        </w:rPr>
      </w:pP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T</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g</m:t>
            </m:r>
            <m:ctrlPr>
              <w:rPr>
                <w:rFonts w:ascii="Cambria Math" w:hAnsi="Cambria Math"/>
                <w:color w:val="000000" w:themeColor="text1"/>
                <w14:textFill>
                  <w14:solidFill>
                    <w14:schemeClr w14:val="tx1"/>
                  </w14:solidFill>
                </w14:textFill>
              </w:rPr>
            </m:ctrlPr>
          </m:sub>
        </m:sSub>
      </m:oMath>
      <w:r>
        <w:rPr>
          <w:rFonts w:hint="eastAsia" w:ascii="Times New Roman" w:hAnsi="Times New Roman"/>
          <w:color w:val="000000" w:themeColor="text1"/>
          <w:szCs w:val="21"/>
          <w14:textFill>
            <w14:solidFill>
              <w14:schemeClr w14:val="tx1"/>
            </w14:solidFill>
          </w14:textFill>
        </w:rPr>
        <w:t>—调整周期；</w:t>
      </w:r>
      <w:r>
        <w:rPr>
          <w:rFonts w:ascii="Times New Roman" w:hAnsi="Times New Roman"/>
          <w:color w:val="000000" w:themeColor="text1"/>
          <w:szCs w:val="21"/>
          <w14:textFill>
            <w14:solidFill>
              <w14:schemeClr w14:val="tx1"/>
            </w14:solidFill>
          </w14:textFill>
        </w:rPr>
        <w:t>γ</w:t>
      </w:r>
      <w:r>
        <w:rPr>
          <w:rFonts w:hint="eastAsia" w:ascii="Times New Roman" w:hAnsi="Times New Roman"/>
          <w:color w:val="000000" w:themeColor="text1"/>
          <w:szCs w:val="21"/>
          <w14:textFill>
            <w14:solidFill>
              <w14:schemeClr w14:val="tx1"/>
            </w14:solidFill>
          </w14:textFill>
        </w:rPr>
        <w:t>—衰减指数；</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η</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1</m:t>
            </m:r>
            <m:ctrlPr>
              <w:rPr>
                <w:rFonts w:ascii="Cambria Math" w:hAnsi="Cambria Math"/>
                <w:color w:val="000000" w:themeColor="text1"/>
                <w14:textFill>
                  <w14:solidFill>
                    <w14:schemeClr w14:val="tx1"/>
                  </w14:solidFill>
                </w14:textFill>
              </w:rPr>
            </m:ctrlPr>
          </m:sub>
        </m:sSub>
      </m:oMath>
      <w:r>
        <w:rPr>
          <w:rFonts w:hint="eastAsia" w:ascii="Times New Roman" w:hAnsi="Times New Roman"/>
          <w:color w:val="000000" w:themeColor="text1"/>
          <w:szCs w:val="21"/>
          <w14:textFill>
            <w14:solidFill>
              <w14:schemeClr w14:val="tx1"/>
            </w14:solidFill>
          </w14:textFill>
        </w:rPr>
        <w:t>—直线下降段下降斜率调整系数；</w:t>
      </w:r>
    </w:p>
    <w:p>
      <w:pPr>
        <w:spacing w:line="240" w:lineRule="auto"/>
        <w:ind w:left="735" w:leftChars="350" w:firstLine="105" w:firstLineChars="50"/>
        <w:jc w:val="center"/>
        <w:rPr>
          <w:color w:val="000000" w:themeColor="text1"/>
          <w:szCs w:val="21"/>
          <w14:textFill>
            <w14:solidFill>
              <w14:schemeClr w14:val="tx1"/>
            </w14:solidFill>
          </w14:textFill>
        </w:rPr>
      </w:pP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η</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2</m:t>
            </m:r>
            <m:ctrlPr>
              <w:rPr>
                <w:rFonts w:ascii="Cambria Math" w:hAnsi="Cambria Math"/>
                <w:color w:val="000000" w:themeColor="text1"/>
                <w14:textFill>
                  <w14:solidFill>
                    <w14:schemeClr w14:val="tx1"/>
                  </w14:solidFill>
                </w14:textFill>
              </w:rPr>
            </m:ctrlPr>
          </m:sub>
        </m:sSub>
      </m:oMath>
      <w:r>
        <w:rPr>
          <w:rFonts w:hint="eastAsia" w:ascii="Times New Roman" w:hAnsi="Times New Roman"/>
          <w:color w:val="000000" w:themeColor="text1"/>
          <w:szCs w:val="21"/>
          <w14:textFill>
            <w14:solidFill>
              <w14:schemeClr w14:val="tx1"/>
            </w14:solidFill>
          </w14:textFill>
        </w:rPr>
        <w:t>—阻尼调整系数；</w:t>
      </w:r>
    </w:p>
    <w:p>
      <w:pPr>
        <w:pStyle w:val="56"/>
        <w:numPr>
          <w:ilvl w:val="0"/>
          <w:numId w:val="4"/>
        </w:numPr>
        <w:adjustRightInd w:val="0"/>
        <w:snapToGrid w:val="0"/>
        <w:spacing w:line="240" w:lineRule="auto"/>
        <w:ind w:left="1110" w:leftChars="300" w:hanging="480" w:hanging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直线上升段，周期小于0.1S的区段；</w:t>
      </w:r>
    </w:p>
    <w:p>
      <w:pPr>
        <w:pStyle w:val="56"/>
        <w:numPr>
          <w:ilvl w:val="0"/>
          <w:numId w:val="4"/>
        </w:numPr>
        <w:adjustRightInd w:val="0"/>
        <w:snapToGrid w:val="0"/>
        <w:spacing w:line="240" w:lineRule="auto"/>
        <w:ind w:left="1110" w:leftChars="300" w:hanging="480" w:hanging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水平段，自0.1S至特征周期</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T</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g</m:t>
            </m:r>
            <m:ctrlPr>
              <w:rPr>
                <w:rFonts w:ascii="Cambria Math" w:hAnsi="Cambria Math"/>
                <w:color w:val="000000" w:themeColor="text1"/>
                <w14:textFill>
                  <w14:solidFill>
                    <w14:schemeClr w14:val="tx1"/>
                  </w14:solidFill>
                </w14:textFill>
              </w:rPr>
            </m:ctrlPr>
          </m:sub>
        </m:sSub>
      </m:oMath>
      <w:r>
        <w:rPr>
          <w:rFonts w:hint="eastAsia"/>
          <w:color w:val="000000" w:themeColor="text1"/>
          <w:sz w:val="24"/>
          <w:szCs w:val="24"/>
          <w14:textFill>
            <w14:solidFill>
              <w14:schemeClr w14:val="tx1"/>
            </w14:solidFill>
          </w14:textFill>
        </w:rPr>
        <w:t>的区段，地震影响系数取最大值</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α</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max</m:t>
            </m:r>
            <m:ctrlPr>
              <w:rPr>
                <w:rFonts w:ascii="Cambria Math" w:hAnsi="Cambria Math"/>
                <w:color w:val="000000" w:themeColor="text1"/>
                <w14:textFill>
                  <w14:solidFill>
                    <w14:schemeClr w14:val="tx1"/>
                  </w14:solidFill>
                </w14:textFill>
              </w:rPr>
            </m:ctrlPr>
          </m:sub>
        </m:sSub>
      </m:oMath>
      <w:r>
        <w:rPr>
          <w:rFonts w:hint="eastAsia"/>
          <w:color w:val="000000" w:themeColor="text1"/>
          <w:sz w:val="24"/>
          <w:szCs w:val="24"/>
          <w14:textFill>
            <w14:solidFill>
              <w14:schemeClr w14:val="tx1"/>
            </w14:solidFill>
          </w14:textFill>
        </w:rPr>
        <w:t>；</w:t>
      </w:r>
    </w:p>
    <w:p>
      <w:pPr>
        <w:pStyle w:val="56"/>
        <w:numPr>
          <w:ilvl w:val="0"/>
          <w:numId w:val="4"/>
        </w:numPr>
        <w:adjustRightInd w:val="0"/>
        <w:snapToGrid w:val="0"/>
        <w:spacing w:line="240" w:lineRule="auto"/>
        <w:ind w:left="1110" w:leftChars="300" w:hanging="480" w:hanging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曲线下降段，自特征周期至5倍特征周期的区段，衰减指数</w:t>
      </w:r>
      <w:r>
        <w:rPr>
          <w:rFonts w:ascii="Times New Roman" w:hAnsi="Times New Roman"/>
          <w:color w:val="000000" w:themeColor="text1"/>
          <w:sz w:val="24"/>
          <w:szCs w:val="24"/>
          <w14:textFill>
            <w14:solidFill>
              <w14:schemeClr w14:val="tx1"/>
            </w14:solidFill>
          </w14:textFill>
        </w:rPr>
        <w:t>γ</w:t>
      </w:r>
      <w:r>
        <w:rPr>
          <w:rFonts w:hint="eastAsia"/>
          <w:color w:val="000000" w:themeColor="text1"/>
          <w:sz w:val="24"/>
          <w:szCs w:val="24"/>
          <w14:textFill>
            <w14:solidFill>
              <w14:schemeClr w14:val="tx1"/>
            </w14:solidFill>
          </w14:textFill>
        </w:rPr>
        <w:t>应取0.9；</w:t>
      </w:r>
    </w:p>
    <w:p>
      <w:pPr>
        <w:pStyle w:val="56"/>
        <w:numPr>
          <w:ilvl w:val="0"/>
          <w:numId w:val="4"/>
        </w:numPr>
        <w:adjustRightInd w:val="0"/>
        <w:snapToGrid w:val="0"/>
        <w:spacing w:line="240" w:lineRule="auto"/>
        <w:ind w:left="1110" w:leftChars="300" w:hanging="480" w:hanging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直线下降段，自5倍特征周期至6.0S的区段，下降斜率调整系数</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η</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1</m:t>
            </m:r>
            <m:ctrlPr>
              <w:rPr>
                <w:rFonts w:ascii="Cambria Math" w:hAnsi="Cambria Math"/>
                <w:color w:val="000000" w:themeColor="text1"/>
                <w14:textFill>
                  <w14:solidFill>
                    <w14:schemeClr w14:val="tx1"/>
                  </w14:solidFill>
                </w14:textFill>
              </w:rPr>
            </m:ctrlPr>
          </m:sub>
        </m:sSub>
      </m:oMath>
      <w:r>
        <w:rPr>
          <w:rFonts w:hint="eastAsia"/>
          <w:color w:val="000000" w:themeColor="text1"/>
          <w:sz w:val="24"/>
          <w:szCs w:val="24"/>
          <w14:textFill>
            <w14:solidFill>
              <w14:schemeClr w14:val="tx1"/>
            </w14:solidFill>
          </w14:textFill>
        </w:rPr>
        <w:t>应取0.02。</w:t>
      </w:r>
    </w:p>
    <w:p>
      <w:pPr>
        <w:adjustRightInd w:val="0"/>
        <w:snapToGrid w:val="0"/>
        <w:spacing w:line="240" w:lineRule="auto"/>
        <w:ind w:left="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 当建筑结构的阻尼比不等于0.05时，地震影响系数曲线的分段情况与本条1款相同，但其形状参数和阻尼调整系数</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η</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2</m:t>
            </m:r>
            <m:ctrlPr>
              <w:rPr>
                <w:rFonts w:ascii="Cambria Math" w:hAnsi="Cambria Math"/>
                <w:color w:val="000000" w:themeColor="text1"/>
                <w14:textFill>
                  <w14:solidFill>
                    <w14:schemeClr w14:val="tx1"/>
                  </w14:solidFill>
                </w14:textFill>
              </w:rPr>
            </m:ctrlPr>
          </m:sub>
        </m:sSub>
      </m:oMath>
      <w:r>
        <w:rPr>
          <w:rFonts w:hint="eastAsia"/>
          <w:color w:val="000000" w:themeColor="text1"/>
          <w:sz w:val="24"/>
          <w:szCs w:val="24"/>
          <w14:textFill>
            <w14:solidFill>
              <w14:schemeClr w14:val="tx1"/>
            </w14:solidFill>
          </w14:textFill>
        </w:rPr>
        <w:t>应符合下列规定：</w:t>
      </w:r>
    </w:p>
    <w:p>
      <w:pPr>
        <w:pStyle w:val="56"/>
        <w:numPr>
          <w:ilvl w:val="0"/>
          <w:numId w:val="5"/>
        </w:numPr>
        <w:adjustRightInd w:val="0"/>
        <w:snapToGrid w:val="0"/>
        <w:spacing w:line="240" w:lineRule="auto"/>
        <w:ind w:left="1110" w:leftChars="300" w:hanging="480" w:hanging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曲线下降的衰减指数应按下式确定：</w:t>
      </w:r>
    </w:p>
    <w:p>
      <w:pPr>
        <w:pStyle w:val="56"/>
        <w:spacing w:line="240" w:lineRule="auto"/>
        <w:ind w:left="658" w:firstLine="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QUOTE </w:instrText>
      </w:r>
      <m:oMath>
        <m:r>
          <m:rPr>
            <m:sty m:val="p"/>
          </m:rPr>
          <w:rPr>
            <w:rFonts w:ascii="Cambria Math" w:hAnsi="Cambria Math" w:cs="Cambria Math"/>
            <w:color w:val="000000" w:themeColor="text1"/>
            <w14:textFill>
              <w14:solidFill>
                <w14:schemeClr w14:val="tx1"/>
              </w14:solidFill>
            </w14:textFill>
          </w:rPr>
          <m:t xml:space="preserve">   γ=0.9+</m:t>
        </m:r>
        <m:f>
          <m:fPr>
            <m:ctrlPr>
              <w:rPr>
                <w:rFonts w:ascii="Cambria Math" w:hAnsi="Cambria Math"/>
                <w:color w:val="000000" w:themeColor="text1"/>
                <w14:textFill>
                  <w14:solidFill>
                    <w14:schemeClr w14:val="tx1"/>
                  </w14:solidFill>
                </w14:textFill>
              </w:rPr>
            </m:ctrlPr>
          </m:fPr>
          <m:num>
            <m:r>
              <m:rPr>
                <m:sty m:val="p"/>
              </m:rPr>
              <w:rPr>
                <w:rFonts w:ascii="Cambria Math" w:hAnsi="Cambria Math" w:cs="Cambria Math"/>
                <w:color w:val="000000" w:themeColor="text1"/>
                <w14:textFill>
                  <w14:solidFill>
                    <w14:schemeClr w14:val="tx1"/>
                  </w14:solidFill>
                </w14:textFill>
              </w:rPr>
              <m:t xml:space="preserve">0.05−ζ</m:t>
            </m:r>
            <m:ctrlPr>
              <w:rPr>
                <w:rFonts w:ascii="Cambria Math" w:hAnsi="Cambria Math"/>
                <w:color w:val="000000" w:themeColor="text1"/>
                <w14:textFill>
                  <w14:solidFill>
                    <w14:schemeClr w14:val="tx1"/>
                  </w14:solidFill>
                </w14:textFill>
              </w:rPr>
            </m:ctrlPr>
          </m:num>
          <m:den>
            <m:r>
              <m:rPr>
                <m:sty m:val="p"/>
              </m:rPr>
              <w:rPr>
                <w:rFonts w:ascii="Cambria Math" w:hAnsi="Cambria Math" w:cs="Cambria Math"/>
                <w:color w:val="000000" w:themeColor="text1"/>
                <w14:textFill>
                  <w14:solidFill>
                    <w14:schemeClr w14:val="tx1"/>
                  </w14:solidFill>
                </w14:textFill>
              </w:rPr>
              <m:t xml:space="preserve">0.3+6ζ</m:t>
            </m:r>
            <m:ctrlPr>
              <w:rPr>
                <w:rFonts w:ascii="Cambria Math" w:hAnsi="Cambria Math"/>
                <w:color w:val="000000" w:themeColor="text1"/>
                <w14:textFill>
                  <w14:solidFill>
                    <w14:schemeClr w14:val="tx1"/>
                  </w14:solidFill>
                </w14:textFill>
              </w:rPr>
            </m:ctrlPr>
          </m:den>
        </m:f>
      </m:oMath>
      <w:r>
        <w:rPr>
          <w:color w:val="000000" w:themeColor="text1"/>
          <w:sz w:val="24"/>
          <w:szCs w:val="24"/>
          <w14:textFill>
            <w14:solidFill>
              <w14:schemeClr w14:val="tx1"/>
            </w14:solidFill>
          </w14:textFill>
        </w:rPr>
        <w:instrText xml:space="preserve"> </w:instrText>
      </w:r>
      <w:r>
        <w:rPr>
          <w:color w:val="000000" w:themeColor="text1"/>
          <w:sz w:val="24"/>
          <w:szCs w:val="24"/>
          <w14:textFill>
            <w14:solidFill>
              <w14:schemeClr w14:val="tx1"/>
            </w14:solidFill>
          </w14:textFill>
        </w:rPr>
        <w:fldChar w:fldCharType="separate"/>
      </w:r>
      <w:r>
        <w:rPr>
          <w:color w:val="000000" w:themeColor="text1"/>
          <w:position w:val="-28"/>
          <w:sz w:val="24"/>
          <w:szCs w:val="24"/>
          <w14:textFill>
            <w14:solidFill>
              <w14:schemeClr w14:val="tx1"/>
            </w14:solidFill>
          </w14:textFill>
        </w:rPr>
        <w:object>
          <v:shape id="_x0000_i1043" o:spt="75" type="#_x0000_t75" style="height:32pt;width:88pt;" o:ole="t" filled="f" coordsize="21600,21600">
            <v:path/>
            <v:fill on="f" focussize="0,0"/>
            <v:stroke/>
            <v:imagedata r:id="rId48" o:title=""/>
            <o:lock v:ext="edit" aspectratio="t"/>
            <w10:wrap type="none"/>
            <w10:anchorlock/>
          </v:shape>
          <o:OLEObject Type="Embed" ProgID="Equation.3" ShapeID="_x0000_i1043" DrawAspect="Content" ObjectID="_1468075743" r:id="rId47">
            <o:LockedField>false</o:LockedField>
          </o:OLEObject>
        </w:objec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 xml:space="preserve">                       （4.1.7-1）</w:t>
      </w:r>
    </w:p>
    <w:p>
      <w:pPr>
        <w:pStyle w:val="56"/>
        <w:spacing w:line="240" w:lineRule="auto"/>
        <w:ind w:left="660"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式中：</w:t>
      </w:r>
      <w:r>
        <w:rPr>
          <w:rFonts w:ascii="Times New Roman" w:hAnsi="Times New Roman"/>
          <w:color w:val="000000" w:themeColor="text1"/>
          <w:sz w:val="24"/>
          <w:szCs w:val="24"/>
          <w14:textFill>
            <w14:solidFill>
              <w14:schemeClr w14:val="tx1"/>
            </w14:solidFill>
          </w14:textFill>
        </w:rPr>
        <w:t>γ</w:t>
      </w:r>
      <w:r>
        <w:rPr>
          <w:rFonts w:hint="eastAsia"/>
          <w:color w:val="000000" w:themeColor="text1"/>
          <w:sz w:val="24"/>
          <w:szCs w:val="24"/>
          <w14:textFill>
            <w14:solidFill>
              <w14:schemeClr w14:val="tx1"/>
            </w14:solidFill>
          </w14:textFill>
        </w:rPr>
        <w:t>——曲线下降段的衰减指数;</w:t>
      </w:r>
    </w:p>
    <w:p>
      <w:pPr>
        <w:pStyle w:val="56"/>
        <w:spacing w:line="240" w:lineRule="auto"/>
        <w:ind w:left="660"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ζ</w:t>
      </w:r>
      <w:r>
        <w:rPr>
          <w:rFonts w:hint="eastAsia"/>
          <w:color w:val="000000" w:themeColor="text1"/>
          <w:sz w:val="24"/>
          <w:szCs w:val="24"/>
          <w14:textFill>
            <w14:solidFill>
              <w14:schemeClr w14:val="tx1"/>
            </w14:solidFill>
          </w14:textFill>
        </w:rPr>
        <w:t>——阻尼比。</w:t>
      </w:r>
    </w:p>
    <w:p>
      <w:pPr>
        <w:pStyle w:val="56"/>
        <w:numPr>
          <w:ilvl w:val="0"/>
          <w:numId w:val="5"/>
        </w:numPr>
        <w:adjustRightInd w:val="0"/>
        <w:snapToGrid w:val="0"/>
        <w:spacing w:line="240" w:lineRule="auto"/>
        <w:ind w:left="1110" w:leftChars="300" w:hanging="480" w:hanging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直线下降段的下降斜率调整系数应按下式确定：</w:t>
      </w:r>
    </w:p>
    <w:p>
      <w:pPr>
        <w:spacing w:line="240" w:lineRule="auto"/>
        <w:ind w:firstLine="315" w:firstLineChars="150"/>
        <w:jc w:val="left"/>
        <w:rPr>
          <w:color w:val="000000" w:themeColor="text1"/>
          <w:sz w:val="24"/>
          <w:szCs w:val="24"/>
          <w14:textFill>
            <w14:solidFill>
              <w14:schemeClr w14:val="tx1"/>
            </w14:solidFill>
          </w14:textFill>
        </w:rPr>
      </w:pPr>
      <m:oMath>
        <m:sSub>
          <m:sSubPr>
            <m:ctrlPr>
              <w:rPr>
                <w:rFonts w:ascii="Cambria Math" w:hAnsi="Cambria Math" w:cs="Cambria Math"/>
                <w:i/>
                <w:color w:val="000000" w:themeColor="text1"/>
                <w14:textFill>
                  <w14:solidFill>
                    <w14:schemeClr w14:val="tx1"/>
                  </w14:solidFill>
                </w14:textFill>
              </w:rPr>
            </m:ctrlPr>
          </m:sSubPr>
          <m:e>
            <m:r>
              <m:rPr/>
              <w:rPr>
                <w:rFonts w:ascii="Cambria Math" w:hAnsi="Cambria Math" w:cs="Cambria Math"/>
                <w:color w:val="000000" w:themeColor="text1"/>
                <w14:textFill>
                  <w14:solidFill>
                    <w14:schemeClr w14:val="tx1"/>
                  </w14:solidFill>
                </w14:textFill>
              </w:rPr>
              <m:t xml:space="preserve">          η</m:t>
            </m:r>
            <m:ctrlPr>
              <w:rPr>
                <w:rFonts w:ascii="Cambria Math" w:hAnsi="Cambria Math" w:cs="Cambria Math"/>
                <w:i/>
                <w:color w:val="000000" w:themeColor="text1"/>
                <w14:textFill>
                  <w14:solidFill>
                    <w14:schemeClr w14:val="tx1"/>
                  </w14:solidFill>
                </w14:textFill>
              </w:rPr>
            </m:ctrlPr>
          </m:e>
          <m:sub>
            <m:r>
              <m:rPr/>
              <w:rPr>
                <w:rFonts w:ascii="Cambria Math" w:hAnsi="Cambria Math" w:cs="Cambria Math"/>
                <w:color w:val="000000" w:themeColor="text1"/>
                <w14:textFill>
                  <w14:solidFill>
                    <w14:schemeClr w14:val="tx1"/>
                  </w14:solidFill>
                </w14:textFill>
              </w:rPr>
              <m:t>1</m:t>
            </m:r>
            <m:ctrlPr>
              <w:rPr>
                <w:rFonts w:ascii="Cambria Math" w:hAnsi="Cambria Math" w:cs="Cambria Math"/>
                <w:i/>
                <w:color w:val="000000" w:themeColor="text1"/>
                <w14:textFill>
                  <w14:solidFill>
                    <w14:schemeClr w14:val="tx1"/>
                  </w14:solidFill>
                </w14:textFill>
              </w:rPr>
            </m:ctrlPr>
          </m:sub>
        </m:sSub>
        <m:r>
          <m:rPr>
            <m:sty m:val="p"/>
          </m:rPr>
          <w:rPr>
            <w:rFonts w:ascii="Cambria Math" w:hAnsi="Cambria Math" w:cs="Cambria Math"/>
            <w:color w:val="000000" w:themeColor="text1"/>
            <w14:textFill>
              <w14:solidFill>
                <w14:schemeClr w14:val="tx1"/>
              </w14:solidFill>
            </w14:textFill>
          </w:rPr>
          <m:t>=0.02+</m:t>
        </m:r>
        <m:f>
          <m:fPr>
            <m:ctrlPr>
              <w:rPr>
                <w:rFonts w:ascii="Cambria Math" w:hAnsi="Cambria Math"/>
                <w:color w:val="000000" w:themeColor="text1"/>
                <w14:textFill>
                  <w14:solidFill>
                    <w14:schemeClr w14:val="tx1"/>
                  </w14:solidFill>
                </w14:textFill>
              </w:rPr>
            </m:ctrlPr>
          </m:fPr>
          <m:num>
            <m:r>
              <m:rPr>
                <m:sty m:val="p"/>
              </m:rPr>
              <w:rPr>
                <w:rFonts w:ascii="Cambria Math" w:hAnsi="Cambria Math" w:cs="Cambria Math"/>
                <w:color w:val="000000" w:themeColor="text1"/>
                <w14:textFill>
                  <w14:solidFill>
                    <w14:schemeClr w14:val="tx1"/>
                  </w14:solidFill>
                </w14:textFill>
              </w:rPr>
              <m:t>0.05−ζ</m:t>
            </m:r>
            <m:ctrlPr>
              <w:rPr>
                <w:rFonts w:ascii="Cambria Math" w:hAnsi="Cambria Math"/>
                <w:color w:val="000000" w:themeColor="text1"/>
                <w14:textFill>
                  <w14:solidFill>
                    <w14:schemeClr w14:val="tx1"/>
                  </w14:solidFill>
                </w14:textFill>
              </w:rPr>
            </m:ctrlPr>
          </m:num>
          <m:den>
            <m:r>
              <m:rPr>
                <m:sty m:val="p"/>
              </m:rPr>
              <w:rPr>
                <w:rFonts w:ascii="Cambria Math" w:hAnsi="Cambria Math" w:cs="Cambria Math"/>
                <w:color w:val="000000" w:themeColor="text1"/>
                <w14:textFill>
                  <w14:solidFill>
                    <w14:schemeClr w14:val="tx1"/>
                  </w14:solidFill>
                </w14:textFill>
              </w:rPr>
              <m:t>4+32ζ</m:t>
            </m:r>
            <m:ctrlPr>
              <w:rPr>
                <w:rFonts w:ascii="Cambria Math" w:hAnsi="Cambria Math"/>
                <w:color w:val="000000" w:themeColor="text1"/>
                <w14:textFill>
                  <w14:solidFill>
                    <w14:schemeClr w14:val="tx1"/>
                  </w14:solidFill>
                </w14:textFill>
              </w:rPr>
            </m:ctrlPr>
          </m:den>
        </m:f>
      </m:oMath>
      <w:r>
        <w:rPr>
          <w:rFonts w:hint="eastAsia"/>
          <w:color w:val="000000" w:themeColor="text1"/>
          <w:sz w:val="24"/>
          <w:szCs w:val="24"/>
          <w14:textFill>
            <w14:solidFill>
              <w14:schemeClr w14:val="tx1"/>
            </w14:solidFill>
          </w14:textFill>
        </w:rPr>
        <w:t xml:space="preserve">                      （4.1.7-2）</w:t>
      </w:r>
    </w:p>
    <w:p>
      <w:pPr>
        <w:spacing w:line="240" w:lineRule="auto"/>
        <w:ind w:firstLine="720" w:firstLineChars="3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式中：</w:t>
      </w:r>
      <m:oMath>
        <m:sSub>
          <m:sSubPr>
            <m:ctrlPr>
              <w:rPr>
                <w:rFonts w:ascii="Cambria Math" w:hAnsi="Cambria Math" w:cs="Cambria Math"/>
                <w:i/>
                <w:color w:val="000000" w:themeColor="text1"/>
                <w14:textFill>
                  <w14:solidFill>
                    <w14:schemeClr w14:val="tx1"/>
                  </w14:solidFill>
                </w14:textFill>
              </w:rPr>
            </m:ctrlPr>
          </m:sSubPr>
          <m:e>
            <m:r>
              <m:rPr/>
              <w:rPr>
                <w:rFonts w:ascii="Cambria Math" w:hAnsi="Cambria Math" w:cs="Cambria Math"/>
                <w:color w:val="000000" w:themeColor="text1"/>
                <w14:textFill>
                  <w14:solidFill>
                    <w14:schemeClr w14:val="tx1"/>
                  </w14:solidFill>
                </w14:textFill>
              </w:rPr>
              <m:t xml:space="preserve"> η</m:t>
            </m:r>
            <m:ctrlPr>
              <w:rPr>
                <w:rFonts w:ascii="Cambria Math" w:hAnsi="Cambria Math" w:cs="Cambria Math"/>
                <w:i/>
                <w:color w:val="000000" w:themeColor="text1"/>
                <w14:textFill>
                  <w14:solidFill>
                    <w14:schemeClr w14:val="tx1"/>
                  </w14:solidFill>
                </w14:textFill>
              </w:rPr>
            </m:ctrlPr>
          </m:e>
          <m:sub>
            <m:r>
              <m:rPr/>
              <w:rPr>
                <w:rFonts w:ascii="Cambria Math" w:hAnsi="Cambria Math" w:cs="Cambria Math"/>
                <w:color w:val="000000" w:themeColor="text1"/>
                <w14:textFill>
                  <w14:solidFill>
                    <w14:schemeClr w14:val="tx1"/>
                  </w14:solidFill>
                </w14:textFill>
              </w:rPr>
              <m:t>1</m:t>
            </m:r>
            <m:ctrlPr>
              <w:rPr>
                <w:rFonts w:ascii="Cambria Math" w:hAnsi="Cambria Math" w:cs="Cambria Math"/>
                <w:i/>
                <w:color w:val="000000" w:themeColor="text1"/>
                <w14:textFill>
                  <w14:solidFill>
                    <w14:schemeClr w14:val="tx1"/>
                  </w14:solidFill>
                </w14:textFill>
              </w:rPr>
            </m:ctrlPr>
          </m:sub>
        </m:sSub>
      </m:oMath>
      <w:r>
        <w:rPr>
          <w:rFonts w:hint="eastAsia"/>
          <w:color w:val="000000" w:themeColor="text1"/>
          <w:sz w:val="24"/>
          <w:szCs w:val="24"/>
          <w14:textFill>
            <w14:solidFill>
              <w14:schemeClr w14:val="tx1"/>
            </w14:solidFill>
          </w14:textFill>
        </w:rPr>
        <w:t>——直线下阶段的斜率调整系数，小于0时，应取0。</w:t>
      </w:r>
    </w:p>
    <w:p>
      <w:pPr>
        <w:pStyle w:val="56"/>
        <w:numPr>
          <w:ilvl w:val="0"/>
          <w:numId w:val="5"/>
        </w:numPr>
        <w:adjustRightInd w:val="0"/>
        <w:snapToGrid w:val="0"/>
        <w:spacing w:line="240" w:lineRule="auto"/>
        <w:ind w:left="1110" w:leftChars="300" w:hanging="480" w:hanging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阻尼调整系数应按下式确定：</w:t>
      </w:r>
    </w:p>
    <w:p>
      <w:pPr>
        <w:spacing w:line="240" w:lineRule="auto"/>
        <w:ind w:left="300"/>
        <w:jc w:val="left"/>
        <w:rPr>
          <w:color w:val="000000" w:themeColor="text1"/>
          <w:sz w:val="24"/>
          <w:szCs w:val="24"/>
          <w14:textFill>
            <w14:solidFill>
              <w14:schemeClr w14:val="tx1"/>
            </w14:solidFill>
          </w14:textFill>
        </w:rPr>
      </w:pPr>
      <m:oMath>
        <m:sSub>
          <m:sSubPr>
            <m:ctrlPr>
              <w:rPr>
                <w:rFonts w:ascii="Cambria Math" w:hAnsi="Cambria Math" w:cs="Cambria Math"/>
                <w:i/>
                <w:color w:val="000000" w:themeColor="text1"/>
                <w14:textFill>
                  <w14:solidFill>
                    <w14:schemeClr w14:val="tx1"/>
                  </w14:solidFill>
                </w14:textFill>
              </w:rPr>
            </m:ctrlPr>
          </m:sSubPr>
          <m:e>
            <m:r>
              <m:rPr/>
              <w:rPr>
                <w:rFonts w:ascii="Cambria Math" w:hAnsi="Cambria Math" w:cs="Cambria Math"/>
                <w:color w:val="000000" w:themeColor="text1"/>
                <w14:textFill>
                  <w14:solidFill>
                    <w14:schemeClr w14:val="tx1"/>
                  </w14:solidFill>
                </w14:textFill>
              </w:rPr>
              <m:t xml:space="preserve">          η</m:t>
            </m:r>
            <m:ctrlPr>
              <w:rPr>
                <w:rFonts w:ascii="Cambria Math" w:hAnsi="Cambria Math" w:cs="Cambria Math"/>
                <w:i/>
                <w:color w:val="000000" w:themeColor="text1"/>
                <w14:textFill>
                  <w14:solidFill>
                    <w14:schemeClr w14:val="tx1"/>
                  </w14:solidFill>
                </w14:textFill>
              </w:rPr>
            </m:ctrlPr>
          </m:e>
          <m:sub>
            <m:r>
              <m:rPr/>
              <w:rPr>
                <w:rFonts w:ascii="Cambria Math" w:hAnsi="Cambria Math" w:cs="Cambria Math"/>
                <w:color w:val="000000" w:themeColor="text1"/>
                <w14:textFill>
                  <w14:solidFill>
                    <w14:schemeClr w14:val="tx1"/>
                  </w14:solidFill>
                </w14:textFill>
              </w:rPr>
              <m:t>2</m:t>
            </m:r>
            <m:ctrlPr>
              <w:rPr>
                <w:rFonts w:ascii="Cambria Math" w:hAnsi="Cambria Math" w:cs="Cambria Math"/>
                <w:i/>
                <w:color w:val="000000" w:themeColor="text1"/>
                <w14:textFill>
                  <w14:solidFill>
                    <w14:schemeClr w14:val="tx1"/>
                  </w14:solidFill>
                </w14:textFill>
              </w:rPr>
            </m:ctrlPr>
          </m:sub>
        </m:sSub>
        <m:r>
          <m:rPr>
            <m:sty m:val="p"/>
          </m:rPr>
          <w:rPr>
            <w:rFonts w:ascii="Cambria Math" w:hAnsi="Cambria Math" w:cs="Cambria Math"/>
            <w:color w:val="000000" w:themeColor="text1"/>
            <w14:textFill>
              <w14:solidFill>
                <w14:schemeClr w14:val="tx1"/>
              </w14:solidFill>
            </w14:textFill>
          </w:rPr>
          <m:t>=1+</m:t>
        </m:r>
        <m:f>
          <m:fPr>
            <m:ctrlPr>
              <w:rPr>
                <w:rFonts w:ascii="Cambria Math" w:hAnsi="Cambria Math"/>
                <w:color w:val="000000" w:themeColor="text1"/>
                <w14:textFill>
                  <w14:solidFill>
                    <w14:schemeClr w14:val="tx1"/>
                  </w14:solidFill>
                </w14:textFill>
              </w:rPr>
            </m:ctrlPr>
          </m:fPr>
          <m:num>
            <m:r>
              <m:rPr>
                <m:sty m:val="p"/>
              </m:rPr>
              <w:rPr>
                <w:rFonts w:ascii="Cambria Math" w:hAnsi="Cambria Math" w:cs="Cambria Math"/>
                <w:color w:val="000000" w:themeColor="text1"/>
                <w14:textFill>
                  <w14:solidFill>
                    <w14:schemeClr w14:val="tx1"/>
                  </w14:solidFill>
                </w14:textFill>
              </w:rPr>
              <m:t>0.05−ζ</m:t>
            </m:r>
            <m:ctrlPr>
              <w:rPr>
                <w:rFonts w:ascii="Cambria Math" w:hAnsi="Cambria Math"/>
                <w:color w:val="000000" w:themeColor="text1"/>
                <w14:textFill>
                  <w14:solidFill>
                    <w14:schemeClr w14:val="tx1"/>
                  </w14:solidFill>
                </w14:textFill>
              </w:rPr>
            </m:ctrlPr>
          </m:num>
          <m:den>
            <m:r>
              <m:rPr>
                <m:sty m:val="p"/>
              </m:rPr>
              <w:rPr>
                <w:rFonts w:ascii="Cambria Math" w:hAnsi="Cambria Math" w:cs="Cambria Math"/>
                <w:color w:val="000000" w:themeColor="text1"/>
                <w14:textFill>
                  <w14:solidFill>
                    <w14:schemeClr w14:val="tx1"/>
                  </w14:solidFill>
                </w14:textFill>
              </w:rPr>
              <m:t>0.08+1.6ζ</m:t>
            </m:r>
            <m:ctrlPr>
              <w:rPr>
                <w:rFonts w:ascii="Cambria Math" w:hAnsi="Cambria Math"/>
                <w:color w:val="000000" w:themeColor="text1"/>
                <w14:textFill>
                  <w14:solidFill>
                    <w14:schemeClr w14:val="tx1"/>
                  </w14:solidFill>
                </w14:textFill>
              </w:rPr>
            </m:ctrlPr>
          </m:den>
        </m:f>
      </m:oMath>
      <w:r>
        <w:rPr>
          <w:rFonts w:hint="eastAsia"/>
          <w:color w:val="000000" w:themeColor="text1"/>
          <w:sz w:val="24"/>
          <w:szCs w:val="24"/>
          <w14:textFill>
            <w14:solidFill>
              <w14:schemeClr w14:val="tx1"/>
            </w14:solidFill>
          </w14:textFill>
        </w:rPr>
        <w:t xml:space="preserve">                      （4.1.7-3）</w:t>
      </w:r>
    </w:p>
    <w:p>
      <w:pPr>
        <w:spacing w:line="240" w:lineRule="auto"/>
        <w:ind w:firstLine="720" w:firstLineChars="3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式中：</w:t>
      </w:r>
      <m:oMath>
        <m:sSub>
          <m:sSubPr>
            <m:ctrlPr>
              <w:rPr>
                <w:rFonts w:ascii="Cambria Math" w:hAnsi="Cambria Math" w:cs="Cambria Math"/>
                <w:i/>
                <w:color w:val="000000" w:themeColor="text1"/>
                <w14:textFill>
                  <w14:solidFill>
                    <w14:schemeClr w14:val="tx1"/>
                  </w14:solidFill>
                </w14:textFill>
              </w:rPr>
            </m:ctrlPr>
          </m:sSubPr>
          <m:e>
            <m:r>
              <m:rPr/>
              <w:rPr>
                <w:rFonts w:ascii="Cambria Math" w:hAnsi="Cambria Math" w:cs="Cambria Math"/>
                <w:color w:val="000000" w:themeColor="text1"/>
                <w14:textFill>
                  <w14:solidFill>
                    <w14:schemeClr w14:val="tx1"/>
                  </w14:solidFill>
                </w14:textFill>
              </w:rPr>
              <m:t xml:space="preserve"> η</m:t>
            </m:r>
            <m:ctrlPr>
              <w:rPr>
                <w:rFonts w:ascii="Cambria Math" w:hAnsi="Cambria Math" w:cs="Cambria Math"/>
                <w:i/>
                <w:color w:val="000000" w:themeColor="text1"/>
                <w14:textFill>
                  <w14:solidFill>
                    <w14:schemeClr w14:val="tx1"/>
                  </w14:solidFill>
                </w14:textFill>
              </w:rPr>
            </m:ctrlPr>
          </m:e>
          <m:sub>
            <m:r>
              <m:rPr/>
              <w:rPr>
                <w:rFonts w:ascii="Cambria Math" w:hAnsi="Cambria Math" w:cs="Cambria Math"/>
                <w:color w:val="000000" w:themeColor="text1"/>
                <w14:textFill>
                  <w14:solidFill>
                    <w14:schemeClr w14:val="tx1"/>
                  </w14:solidFill>
                </w14:textFill>
              </w:rPr>
              <m:t>2</m:t>
            </m:r>
            <m:ctrlPr>
              <w:rPr>
                <w:rFonts w:ascii="Cambria Math" w:hAnsi="Cambria Math" w:cs="Cambria Math"/>
                <w:i/>
                <w:color w:val="000000" w:themeColor="text1"/>
                <w14:textFill>
                  <w14:solidFill>
                    <w14:schemeClr w14:val="tx1"/>
                  </w14:solidFill>
                </w14:textFill>
              </w:rPr>
            </m:ctrlPr>
          </m:sub>
        </m:sSub>
      </m:oMath>
      <w:r>
        <w:rPr>
          <w:rFonts w:hint="eastAsia"/>
          <w:color w:val="000000" w:themeColor="text1"/>
          <w:sz w:val="24"/>
          <w:szCs w:val="24"/>
          <w14:textFill>
            <w14:solidFill>
              <w14:schemeClr w14:val="tx1"/>
            </w14:solidFill>
          </w14:textFill>
        </w:rPr>
        <w:t>——阻尼调整系数，当</w:t>
      </w:r>
      <m:oMath>
        <m:sSub>
          <m:sSubPr>
            <m:ctrlPr>
              <w:rPr>
                <w:rFonts w:ascii="Cambria Math" w:hAnsi="Cambria Math" w:cs="Cambria Math"/>
                <w:i/>
                <w:color w:val="000000" w:themeColor="text1"/>
                <w14:textFill>
                  <w14:solidFill>
                    <w14:schemeClr w14:val="tx1"/>
                  </w14:solidFill>
                </w14:textFill>
              </w:rPr>
            </m:ctrlPr>
          </m:sSubPr>
          <m:e>
            <m:r>
              <m:rPr/>
              <w:rPr>
                <w:rFonts w:ascii="Cambria Math" w:hAnsi="Cambria Math" w:cs="Cambria Math"/>
                <w:color w:val="000000" w:themeColor="text1"/>
                <w14:textFill>
                  <w14:solidFill>
                    <w14:schemeClr w14:val="tx1"/>
                  </w14:solidFill>
                </w14:textFill>
              </w:rPr>
              <m:t xml:space="preserve"> η</m:t>
            </m:r>
            <m:ctrlPr>
              <w:rPr>
                <w:rFonts w:ascii="Cambria Math" w:hAnsi="Cambria Math" w:cs="Cambria Math"/>
                <w:i/>
                <w:color w:val="000000" w:themeColor="text1"/>
                <w14:textFill>
                  <w14:solidFill>
                    <w14:schemeClr w14:val="tx1"/>
                  </w14:solidFill>
                </w14:textFill>
              </w:rPr>
            </m:ctrlPr>
          </m:e>
          <m:sub>
            <m:r>
              <m:rPr/>
              <w:rPr>
                <w:rFonts w:ascii="Cambria Math" w:hAnsi="Cambria Math" w:cs="Cambria Math"/>
                <w:color w:val="000000" w:themeColor="text1"/>
                <w14:textFill>
                  <w14:solidFill>
                    <w14:schemeClr w14:val="tx1"/>
                  </w14:solidFill>
                </w14:textFill>
              </w:rPr>
              <m:t>2</m:t>
            </m:r>
            <m:ctrlPr>
              <w:rPr>
                <w:rFonts w:ascii="Cambria Math" w:hAnsi="Cambria Math" w:cs="Cambria Math"/>
                <w:i/>
                <w:color w:val="000000" w:themeColor="text1"/>
                <w14:textFill>
                  <w14:solidFill>
                    <w14:schemeClr w14:val="tx1"/>
                  </w14:solidFill>
                </w14:textFill>
              </w:rPr>
            </m:ctrlPr>
          </m:sub>
        </m:sSub>
      </m:oMath>
      <w:r>
        <w:rPr>
          <w:rFonts w:hint="eastAsia"/>
          <w:color w:val="000000" w:themeColor="text1"/>
          <w:sz w:val="24"/>
          <w:szCs w:val="24"/>
          <w14:textFill>
            <w14:solidFill>
              <w14:schemeClr w14:val="tx1"/>
            </w14:solidFill>
          </w14:textFill>
        </w:rPr>
        <w:t>小于0.55时，应取,0.55。</w:t>
      </w:r>
    </w:p>
    <w:p>
      <w:pPr>
        <w:adjustRightInd w:val="0"/>
        <w:snapToGrid w:val="0"/>
        <w:spacing w:line="240" w:lineRule="auto"/>
        <w:ind w:left="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 周期大于6.0s的地震影响系数可按取6.0s时的地震影响系数。当有充分论证依据时，周期大于6.0s的地震影响系数</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α</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max</m:t>
            </m:r>
            <m:ctrlPr>
              <w:rPr>
                <w:rFonts w:ascii="Cambria Math" w:hAnsi="Cambria Math"/>
                <w:color w:val="000000" w:themeColor="text1"/>
                <w14:textFill>
                  <w14:solidFill>
                    <w14:schemeClr w14:val="tx1"/>
                  </w14:solidFill>
                </w14:textFill>
              </w:rPr>
            </m:ctrlPr>
          </m:sub>
        </m:sSub>
      </m:oMath>
      <w:r>
        <w:rPr>
          <w:rFonts w:hint="eastAsia"/>
          <w:color w:val="000000" w:themeColor="text1"/>
          <w:sz w:val="24"/>
          <w:szCs w:val="24"/>
          <w14:textFill>
            <w14:solidFill>
              <w14:schemeClr w14:val="tx1"/>
            </w14:solidFill>
          </w14:textFill>
        </w:rPr>
        <w:t>可适当降低。</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水平地震作用计算时，结构各楼层对应于地震作用标准值的剪力应符合下式要求：</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position w:val="-30"/>
          <w:sz w:val="24"/>
          <w:szCs w:val="24"/>
          <w14:textFill>
            <w14:solidFill>
              <w14:schemeClr w14:val="tx1"/>
            </w14:solidFill>
          </w14:textFill>
        </w:rPr>
        <w:object>
          <v:shape id="_x0000_i1044" o:spt="75" type="#_x0000_t75" style="height:36pt;width:71pt;" o:ole="t" filled="f" coordsize="21600,21600">
            <v:path/>
            <v:fill on="f" focussize="0,0"/>
            <v:stroke/>
            <v:imagedata r:id="rId50" o:title=""/>
            <o:lock v:ext="edit" aspectratio="t"/>
            <w10:wrap type="none"/>
            <w10:anchorlock/>
          </v:shape>
          <o:OLEObject Type="Embed" ProgID="Equation.3" ShapeID="_x0000_i1044" DrawAspect="Content" ObjectID="_1468075744" r:id="rId49">
            <o:LockedField>false</o:LockedField>
          </o:OLEObject>
        </w:object>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4</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8</w:t>
      </w:r>
      <w:r>
        <w:rPr>
          <w:rFonts w:ascii="宋体" w:hAnsi="宋体"/>
          <w:color w:val="000000" w:themeColor="text1"/>
          <w:sz w:val="24"/>
          <w:szCs w:val="24"/>
          <w14:textFill>
            <w14:solidFill>
              <w14:schemeClr w14:val="tx1"/>
            </w14:solidFill>
          </w14:textFill>
        </w:rPr>
        <w:t>）</w:t>
      </w:r>
    </w:p>
    <w:p>
      <w:pPr>
        <w:spacing w:line="240" w:lineRule="auto"/>
        <w:ind w:left="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式中：</w:t>
      </w:r>
      <w:r>
        <w:rPr>
          <w:rFonts w:ascii="宋体" w:hAnsi="宋体"/>
          <w:color w:val="000000" w:themeColor="text1"/>
          <w:position w:val="-12"/>
          <w:sz w:val="24"/>
          <w:szCs w:val="24"/>
          <w14:textFill>
            <w14:solidFill>
              <w14:schemeClr w14:val="tx1"/>
            </w14:solidFill>
          </w14:textFill>
        </w:rPr>
        <w:object>
          <v:shape id="_x0000_i1045" o:spt="75" type="#_x0000_t75" style="height:18pt;width:22pt;" o:ole="t" filled="f" coordsize="21600,21600">
            <v:path/>
            <v:fill on="f" focussize="0,0"/>
            <v:stroke/>
            <v:imagedata r:id="rId52" o:title=""/>
            <o:lock v:ext="edit" aspectratio="t"/>
            <w10:wrap type="none"/>
            <w10:anchorlock/>
          </v:shape>
          <o:OLEObject Type="Embed" ProgID="Equation.3" ShapeID="_x0000_i1045" DrawAspect="Content" ObjectID="_1468075745" r:id="rId51">
            <o:LockedField>false</o:LockedField>
          </o:OLEObject>
        </w:object>
      </w:r>
      <w:r>
        <w:rPr>
          <w:rFonts w:ascii="宋体" w:hAnsi="宋体"/>
          <w:color w:val="000000" w:themeColor="text1"/>
          <w:sz w:val="24"/>
          <w:szCs w:val="24"/>
          <w14:textFill>
            <w14:solidFill>
              <w14:schemeClr w14:val="tx1"/>
            </w14:solidFill>
          </w14:textFill>
        </w:rPr>
        <w:t>——第i层对应于水平地震作用标准值的剪力；</w:t>
      </w:r>
    </w:p>
    <w:p>
      <w:pPr>
        <w:spacing w:line="240" w:lineRule="auto"/>
        <w:ind w:left="720" w:hanging="720" w:hangingChars="300"/>
        <w:rPr>
          <w:rFonts w:ascii="宋体" w:hAnsi="宋体"/>
          <w:color w:val="000000" w:themeColor="text1"/>
          <w:sz w:val="24"/>
          <w:szCs w:val="24"/>
          <w14:textFill>
            <w14:solidFill>
              <w14:schemeClr w14:val="tx1"/>
            </w14:solidFill>
          </w14:textFill>
        </w:rPr>
      </w:pPr>
      <w:r>
        <w:rPr>
          <w:rFonts w:ascii="宋体" w:hAnsi="宋体"/>
          <w:color w:val="000000" w:themeColor="text1"/>
          <w:position w:val="-6"/>
          <w:sz w:val="24"/>
          <w:szCs w:val="24"/>
          <w14:textFill>
            <w14:solidFill>
              <w14:schemeClr w14:val="tx1"/>
            </w14:solidFill>
          </w14:textFill>
        </w:rPr>
        <w:object>
          <v:shape id="_x0000_i1046" o:spt="75" type="#_x0000_t75" style="height:13pt;width:9.5pt;" o:ole="t" filled="f" coordsize="21600,21600">
            <v:path/>
            <v:fill on="f" focussize="0,0"/>
            <v:stroke/>
            <v:imagedata r:id="rId54" o:title=""/>
            <o:lock v:ext="edit" aspectratio="t"/>
            <w10:wrap type="none"/>
            <w10:anchorlock/>
          </v:shape>
          <o:OLEObject Type="Embed" ProgID="Equation.3" ShapeID="_x0000_i1046" DrawAspect="Content" ObjectID="_1468075746" r:id="rId53">
            <o:LockedField>false</o:LockedField>
          </o:OLEObject>
        </w:object>
      </w:r>
      <w:r>
        <w:rPr>
          <w:rFonts w:ascii="宋体" w:hAnsi="宋体"/>
          <w:color w:val="000000" w:themeColor="text1"/>
          <w:sz w:val="24"/>
          <w:szCs w:val="24"/>
          <w14:textFill>
            <w14:solidFill>
              <w14:schemeClr w14:val="tx1"/>
            </w14:solidFill>
          </w14:textFill>
        </w:rPr>
        <w:t>——水平地震剪力系数，不小于表</w:t>
      </w:r>
      <w:r>
        <w:rPr>
          <w:rFonts w:hint="eastAsia" w:ascii="宋体" w:hAnsi="宋体"/>
          <w:color w:val="000000" w:themeColor="text1"/>
          <w:sz w:val="24"/>
          <w:szCs w:val="24"/>
          <w14:textFill>
            <w14:solidFill>
              <w14:schemeClr w14:val="tx1"/>
            </w14:solidFill>
          </w14:textFill>
        </w:rPr>
        <w:t>4.1.8</w:t>
      </w:r>
      <w:r>
        <w:rPr>
          <w:rFonts w:ascii="宋体" w:hAnsi="宋体"/>
          <w:color w:val="000000" w:themeColor="text1"/>
          <w:sz w:val="24"/>
          <w:szCs w:val="24"/>
          <w14:textFill>
            <w14:solidFill>
              <w14:schemeClr w14:val="tx1"/>
            </w14:solidFill>
          </w14:textFill>
        </w:rPr>
        <w:t>规定的值；对于竖向不规则结构的薄弱层，尚应乘以1.15的增大系数；</w:t>
      </w:r>
    </w:p>
    <w:p>
      <w:pPr>
        <w:spacing w:line="240" w:lineRule="auto"/>
        <w:ind w:left="720" w:hanging="720" w:hangingChars="300"/>
        <w:rPr>
          <w:rFonts w:ascii="宋体" w:hAnsi="宋体"/>
          <w:color w:val="000000" w:themeColor="text1"/>
          <w:sz w:val="24"/>
          <w:szCs w:val="24"/>
          <w14:textFill>
            <w14:solidFill>
              <w14:schemeClr w14:val="tx1"/>
            </w14:solidFill>
          </w14:textFill>
        </w:rPr>
      </w:pPr>
      <w:r>
        <w:rPr>
          <w:rFonts w:ascii="宋体" w:hAnsi="宋体"/>
          <w:color w:val="000000" w:themeColor="text1"/>
          <w:position w:val="-14"/>
          <w:sz w:val="24"/>
          <w:szCs w:val="24"/>
          <w14:textFill>
            <w14:solidFill>
              <w14:schemeClr w14:val="tx1"/>
            </w14:solidFill>
          </w14:textFill>
        </w:rPr>
        <w:object>
          <v:shape id="_x0000_i1047" o:spt="75" type="#_x0000_t75" style="height:19pt;width:16pt;" o:ole="t" filled="f" coordsize="21600,21600">
            <v:path/>
            <v:fill on="f" focussize="0,0"/>
            <v:stroke/>
            <v:imagedata r:id="rId56" o:title=""/>
            <o:lock v:ext="edit" aspectratio="t"/>
            <w10:wrap type="none"/>
            <w10:anchorlock/>
          </v:shape>
          <o:OLEObject Type="Embed" ProgID="Equation.3" ShapeID="_x0000_i1047" DrawAspect="Content" ObjectID="_1468075747" r:id="rId55">
            <o:LockedField>false</o:LockedField>
          </o:OLEObject>
        </w:object>
      </w:r>
      <w:r>
        <w:rPr>
          <w:rFonts w:ascii="宋体" w:hAnsi="宋体"/>
          <w:color w:val="000000" w:themeColor="text1"/>
          <w:sz w:val="24"/>
          <w:szCs w:val="24"/>
          <w14:textFill>
            <w14:solidFill>
              <w14:schemeClr w14:val="tx1"/>
            </w14:solidFill>
          </w14:textFill>
        </w:rPr>
        <w:t>——第j层的重力荷载代表值；</w:t>
      </w:r>
    </w:p>
    <w:p>
      <w:pPr>
        <w:spacing w:line="240" w:lineRule="auto"/>
        <w:ind w:left="720" w:hanging="720" w:hangingChars="300"/>
        <w:rPr>
          <w:rFonts w:ascii="宋体" w:hAnsi="宋体"/>
          <w:color w:val="000000" w:themeColor="text1"/>
          <w:sz w:val="24"/>
          <w:szCs w:val="24"/>
          <w14:textFill>
            <w14:solidFill>
              <w14:schemeClr w14:val="tx1"/>
            </w14:solidFill>
          </w14:textFill>
        </w:rPr>
      </w:pPr>
      <w:r>
        <w:rPr>
          <w:rFonts w:ascii="宋体" w:hAnsi="宋体"/>
          <w:color w:val="000000" w:themeColor="text1"/>
          <w:position w:val="-6"/>
          <w:sz w:val="24"/>
          <w:szCs w:val="24"/>
          <w14:textFill>
            <w14:solidFill>
              <w14:schemeClr w14:val="tx1"/>
            </w14:solidFill>
          </w14:textFill>
        </w:rPr>
        <w:object>
          <v:shape id="_x0000_i1048" o:spt="75" type="#_x0000_t75" style="height:9.5pt;width:10pt;" o:ole="t" filled="f" coordsize="21600,21600">
            <v:path/>
            <v:fill on="f" focussize="0,0"/>
            <v:stroke/>
            <v:imagedata r:id="rId58" o:title=""/>
            <o:lock v:ext="edit" aspectratio="t"/>
            <w10:wrap type="none"/>
            <w10:anchorlock/>
          </v:shape>
          <o:OLEObject Type="Embed" ProgID="Equation.3" ShapeID="_x0000_i1048" DrawAspect="Content" ObjectID="_1468075748" r:id="rId57">
            <o:LockedField>false</o:LockedField>
          </o:OLEObject>
        </w:object>
      </w:r>
      <w:r>
        <w:rPr>
          <w:rFonts w:ascii="宋体" w:hAnsi="宋体"/>
          <w:color w:val="000000" w:themeColor="text1"/>
          <w:sz w:val="24"/>
          <w:szCs w:val="24"/>
          <w14:textFill>
            <w14:solidFill>
              <w14:schemeClr w14:val="tx1"/>
            </w14:solidFill>
          </w14:textFill>
        </w:rPr>
        <w:t>——结构计算总层数。</w:t>
      </w:r>
    </w:p>
    <w:p>
      <w:pPr>
        <w:spacing w:line="240" w:lineRule="auto"/>
        <w:ind w:left="0"/>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 xml:space="preserve">表 </w:t>
      </w:r>
      <w:r>
        <w:rPr>
          <w:rFonts w:hint="eastAsia" w:ascii="宋体" w:hAnsi="宋体"/>
          <w:b/>
          <w:color w:val="000000" w:themeColor="text1"/>
          <w:szCs w:val="21"/>
          <w14:textFill>
            <w14:solidFill>
              <w14:schemeClr w14:val="tx1"/>
            </w14:solidFill>
          </w14:textFill>
        </w:rPr>
        <w:t>4</w:t>
      </w:r>
      <w:r>
        <w:rPr>
          <w:rFonts w:ascii="宋体" w:hAnsi="宋体"/>
          <w:b/>
          <w:color w:val="000000" w:themeColor="text1"/>
          <w:szCs w:val="21"/>
          <w14:textFill>
            <w14:solidFill>
              <w14:schemeClr w14:val="tx1"/>
            </w14:solidFill>
          </w14:textFill>
        </w:rPr>
        <w:t>.</w:t>
      </w:r>
      <w:r>
        <w:rPr>
          <w:rFonts w:hint="eastAsia" w:ascii="宋体" w:hAnsi="宋体"/>
          <w:b/>
          <w:color w:val="000000" w:themeColor="text1"/>
          <w:szCs w:val="21"/>
          <w14:textFill>
            <w14:solidFill>
              <w14:schemeClr w14:val="tx1"/>
            </w14:solidFill>
          </w14:textFill>
        </w:rPr>
        <w:t>1</w:t>
      </w:r>
      <w:r>
        <w:rPr>
          <w:rFonts w:ascii="宋体" w:hAnsi="宋体"/>
          <w:b/>
          <w:color w:val="000000" w:themeColor="text1"/>
          <w:szCs w:val="21"/>
          <w14:textFill>
            <w14:solidFill>
              <w14:schemeClr w14:val="tx1"/>
            </w14:solidFill>
          </w14:textFill>
        </w:rPr>
        <w:t>.</w:t>
      </w:r>
      <w:r>
        <w:rPr>
          <w:rFonts w:hint="eastAsia" w:ascii="宋体" w:hAnsi="宋体"/>
          <w:b/>
          <w:color w:val="000000" w:themeColor="text1"/>
          <w:szCs w:val="21"/>
          <w14:textFill>
            <w14:solidFill>
              <w14:schemeClr w14:val="tx1"/>
            </w14:solidFill>
          </w14:textFill>
        </w:rPr>
        <w:t>8</w:t>
      </w:r>
      <w:r>
        <w:rPr>
          <w:rFonts w:ascii="宋体" w:hAnsi="宋体"/>
          <w:b/>
          <w:color w:val="000000" w:themeColor="text1"/>
          <w:szCs w:val="21"/>
          <w14:textFill>
            <w14:solidFill>
              <w14:schemeClr w14:val="tx1"/>
            </w14:solidFill>
          </w14:textFill>
        </w:rPr>
        <w:t xml:space="preserve">  楼层最小地震剪力系数值</w:t>
      </w:r>
    </w:p>
    <w:tbl>
      <w:tblPr>
        <w:tblStyle w:val="31"/>
        <w:tblW w:w="646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153"/>
        <w:gridCol w:w="2153"/>
        <w:gridCol w:w="215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153" w:type="dxa"/>
            <w:vAlign w:val="center"/>
          </w:tcPr>
          <w:p>
            <w:pPr>
              <w:spacing w:line="240" w:lineRule="auto"/>
              <w:jc w:val="center"/>
              <w:rPr>
                <w:rFonts w:ascii="宋体" w:hAnsi="宋体"/>
                <w:color w:val="000000" w:themeColor="text1"/>
                <w:szCs w:val="21"/>
                <w14:textFill>
                  <w14:solidFill>
                    <w14:schemeClr w14:val="tx1"/>
                  </w14:solidFill>
                </w14:textFill>
              </w:rPr>
            </w:pPr>
          </w:p>
        </w:tc>
        <w:tc>
          <w:tcPr>
            <w:tcW w:w="2153" w:type="dxa"/>
            <w:vAlign w:val="center"/>
          </w:tcPr>
          <w:p>
            <w:pPr>
              <w:spacing w:line="24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场地类别</w:t>
            </w:r>
          </w:p>
        </w:tc>
        <w:tc>
          <w:tcPr>
            <w:tcW w:w="2154" w:type="dxa"/>
            <w:vAlign w:val="center"/>
          </w:tcPr>
          <w:p>
            <w:pPr>
              <w:spacing w:line="24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6" w:hRule="atLeast"/>
          <w:jc w:val="center"/>
        </w:trPr>
        <w:tc>
          <w:tcPr>
            <w:tcW w:w="2153" w:type="dxa"/>
            <w:vMerge w:val="restart"/>
            <w:vAlign w:val="center"/>
          </w:tcPr>
          <w:p>
            <w:pPr>
              <w:spacing w:line="240" w:lineRule="auto"/>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扭转效应明显或基本周期小 3.5s 的结构</w:t>
            </w:r>
          </w:p>
        </w:tc>
        <w:tc>
          <w:tcPr>
            <w:tcW w:w="2153" w:type="dxa"/>
            <w:vAlign w:val="center"/>
          </w:tcPr>
          <w:p>
            <w:pPr>
              <w:spacing w:line="240" w:lineRule="auto"/>
              <w:jc w:val="center"/>
              <w:rPr>
                <w:rFonts w:ascii="Times New Roman" w:hAnsi="Times New Roman"/>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II</w:t>
            </w:r>
          </w:p>
        </w:tc>
        <w:tc>
          <w:tcPr>
            <w:tcW w:w="2154" w:type="dxa"/>
            <w:vAlign w:val="center"/>
          </w:tcPr>
          <w:p>
            <w:pPr>
              <w:spacing w:line="240" w:lineRule="auto"/>
              <w:jc w:val="center"/>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0.016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153" w:type="dxa"/>
            <w:vMerge w:val="continue"/>
            <w:vAlign w:val="center"/>
          </w:tcPr>
          <w:p>
            <w:pPr>
              <w:spacing w:line="240" w:lineRule="auto"/>
              <w:jc w:val="center"/>
              <w:rPr>
                <w:rFonts w:ascii="宋体" w:hAnsi="宋体"/>
                <w:color w:val="000000" w:themeColor="text1"/>
                <w:szCs w:val="21"/>
                <w14:textFill>
                  <w14:solidFill>
                    <w14:schemeClr w14:val="tx1"/>
                  </w14:solidFill>
                </w14:textFill>
              </w:rPr>
            </w:pPr>
          </w:p>
        </w:tc>
        <w:tc>
          <w:tcPr>
            <w:tcW w:w="2153" w:type="dxa"/>
            <w:vAlign w:val="center"/>
          </w:tcPr>
          <w:p>
            <w:pPr>
              <w:spacing w:line="240"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III</w:t>
            </w:r>
          </w:p>
        </w:tc>
        <w:tc>
          <w:tcPr>
            <w:tcW w:w="2154" w:type="dxa"/>
            <w:vAlign w:val="center"/>
          </w:tcPr>
          <w:p>
            <w:pPr>
              <w:spacing w:line="24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153" w:type="dxa"/>
            <w:vMerge w:val="continue"/>
            <w:vAlign w:val="center"/>
          </w:tcPr>
          <w:p>
            <w:pPr>
              <w:spacing w:line="240" w:lineRule="auto"/>
              <w:jc w:val="center"/>
              <w:rPr>
                <w:rFonts w:ascii="宋体" w:hAnsi="宋体"/>
                <w:color w:val="000000" w:themeColor="text1"/>
                <w:szCs w:val="21"/>
                <w14:textFill>
                  <w14:solidFill>
                    <w14:schemeClr w14:val="tx1"/>
                  </w14:solidFill>
                </w14:textFill>
              </w:rPr>
            </w:pPr>
          </w:p>
        </w:tc>
        <w:tc>
          <w:tcPr>
            <w:tcW w:w="2153" w:type="dxa"/>
            <w:vAlign w:val="center"/>
          </w:tcPr>
          <w:p>
            <w:pPr>
              <w:spacing w:line="240"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IV</w:t>
            </w:r>
          </w:p>
        </w:tc>
        <w:tc>
          <w:tcPr>
            <w:tcW w:w="2154" w:type="dxa"/>
            <w:vAlign w:val="center"/>
          </w:tcPr>
          <w:p>
            <w:pPr>
              <w:spacing w:line="24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9" w:hRule="atLeast"/>
          <w:jc w:val="center"/>
        </w:trPr>
        <w:tc>
          <w:tcPr>
            <w:tcW w:w="2153" w:type="dxa"/>
            <w:vMerge w:val="restart"/>
            <w:vAlign w:val="center"/>
          </w:tcPr>
          <w:p>
            <w:pPr>
              <w:spacing w:line="240" w:lineRule="auto"/>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基本周期大于 </w:t>
            </w: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.0s 的结构</w:t>
            </w:r>
          </w:p>
        </w:tc>
        <w:tc>
          <w:tcPr>
            <w:tcW w:w="2153" w:type="dxa"/>
            <w:vAlign w:val="center"/>
          </w:tcPr>
          <w:p>
            <w:pPr>
              <w:spacing w:line="240" w:lineRule="auto"/>
              <w:jc w:val="center"/>
              <w:rPr>
                <w:rFonts w:ascii="Times New Roman" w:hAnsi="Times New Roman"/>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II</w:t>
            </w:r>
          </w:p>
        </w:tc>
        <w:tc>
          <w:tcPr>
            <w:tcW w:w="2154" w:type="dxa"/>
            <w:vAlign w:val="center"/>
          </w:tcPr>
          <w:p>
            <w:pPr>
              <w:spacing w:line="240" w:lineRule="auto"/>
              <w:jc w:val="center"/>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0.012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153" w:type="dxa"/>
            <w:vMerge w:val="continue"/>
            <w:vAlign w:val="center"/>
          </w:tcPr>
          <w:p>
            <w:pPr>
              <w:spacing w:line="240" w:lineRule="auto"/>
              <w:jc w:val="center"/>
              <w:rPr>
                <w:rFonts w:ascii="宋体" w:hAnsi="宋体"/>
                <w:color w:val="000000" w:themeColor="text1"/>
                <w:szCs w:val="21"/>
                <w14:textFill>
                  <w14:solidFill>
                    <w14:schemeClr w14:val="tx1"/>
                  </w14:solidFill>
                </w14:textFill>
              </w:rPr>
            </w:pPr>
          </w:p>
        </w:tc>
        <w:tc>
          <w:tcPr>
            <w:tcW w:w="2153" w:type="dxa"/>
            <w:vAlign w:val="center"/>
          </w:tcPr>
          <w:p>
            <w:pPr>
              <w:spacing w:line="240"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III</w:t>
            </w:r>
          </w:p>
        </w:tc>
        <w:tc>
          <w:tcPr>
            <w:tcW w:w="2154" w:type="dxa"/>
            <w:vAlign w:val="center"/>
          </w:tcPr>
          <w:p>
            <w:pPr>
              <w:spacing w:line="24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2153" w:type="dxa"/>
            <w:vMerge w:val="continue"/>
            <w:vAlign w:val="center"/>
          </w:tcPr>
          <w:p>
            <w:pPr>
              <w:spacing w:line="240" w:lineRule="auto"/>
              <w:jc w:val="center"/>
              <w:rPr>
                <w:rFonts w:ascii="宋体" w:hAnsi="宋体"/>
                <w:color w:val="000000" w:themeColor="text1"/>
                <w:szCs w:val="21"/>
                <w14:textFill>
                  <w14:solidFill>
                    <w14:schemeClr w14:val="tx1"/>
                  </w14:solidFill>
                </w14:textFill>
              </w:rPr>
            </w:pPr>
          </w:p>
        </w:tc>
        <w:tc>
          <w:tcPr>
            <w:tcW w:w="2153" w:type="dxa"/>
            <w:vAlign w:val="center"/>
          </w:tcPr>
          <w:p>
            <w:pPr>
              <w:spacing w:line="240"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IV</w:t>
            </w:r>
          </w:p>
        </w:tc>
        <w:tc>
          <w:tcPr>
            <w:tcW w:w="2154" w:type="dxa"/>
            <w:vAlign w:val="center"/>
          </w:tcPr>
          <w:p>
            <w:pPr>
              <w:spacing w:line="24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0.014</w:t>
            </w:r>
          </w:p>
        </w:tc>
      </w:tr>
    </w:tbl>
    <w:p>
      <w:pPr>
        <w:spacing w:line="240" w:lineRule="auto"/>
        <w:ind w:left="630" w:leftChars="100" w:hanging="420" w:hanging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注：基本周期介于 3.5s 和 </w:t>
      </w: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.0s 之间的结构，应允许线性插入取值</w:t>
      </w:r>
    </w:p>
    <w:p>
      <w:pPr>
        <w:pStyle w:val="119"/>
        <w:rPr>
          <w:color w:val="000000" w:themeColor="text1"/>
          <w14:textFill>
            <w14:solidFill>
              <w14:schemeClr w14:val="tx1"/>
            </w14:solidFill>
          </w14:textFill>
        </w:rPr>
      </w:pPr>
      <w:r>
        <w:rPr>
          <w:color w:val="000000" w:themeColor="text1"/>
          <w:lang w:eastAsia="zh-CN"/>
          <w14:textFill>
            <w14:solidFill>
              <w14:schemeClr w14:val="tx1"/>
            </w14:solidFill>
          </w14:textFill>
        </w:rPr>
        <w:t>当计算得到水平地震作用下各楼层对应于地震作用标准值的剪力不满足第</w:t>
      </w:r>
      <w:r>
        <w:rPr>
          <w:rFonts w:hint="eastAsia"/>
          <w:color w:val="000000" w:themeColor="text1"/>
          <w:lang w:eastAsia="zh-CN"/>
          <w14:textFill>
            <w14:solidFill>
              <w14:schemeClr w14:val="tx1"/>
            </w14:solidFill>
          </w14:textFill>
        </w:rPr>
        <w:t>4.1.8</w:t>
      </w:r>
      <w:r>
        <w:rPr>
          <w:color w:val="000000" w:themeColor="text1"/>
          <w:lang w:eastAsia="zh-CN"/>
          <w14:textFill>
            <w14:solidFill>
              <w14:schemeClr w14:val="tx1"/>
            </w14:solidFill>
          </w14:textFill>
        </w:rPr>
        <w:t>条的要求时，宜将</w:t>
      </w:r>
      <w:r>
        <w:rPr>
          <w:rFonts w:hint="eastAsia"/>
          <w:color w:val="000000" w:themeColor="text1"/>
          <w:lang w:eastAsia="zh-CN"/>
          <w14:textFill>
            <w14:solidFill>
              <w14:schemeClr w14:val="tx1"/>
            </w14:solidFill>
          </w14:textFill>
        </w:rPr>
        <w:t>该楼层及相邻楼层的层</w:t>
      </w:r>
      <w:r>
        <w:rPr>
          <w:color w:val="000000" w:themeColor="text1"/>
          <w:lang w:eastAsia="zh-CN"/>
          <w14:textFill>
            <w14:solidFill>
              <w14:schemeClr w14:val="tx1"/>
            </w14:solidFill>
          </w14:textFill>
        </w:rPr>
        <w:t>地震作用放大，使之满足第</w:t>
      </w:r>
      <w:r>
        <w:rPr>
          <w:rFonts w:hint="eastAsia"/>
          <w:color w:val="000000" w:themeColor="text1"/>
          <w:lang w:eastAsia="zh-CN"/>
          <w14:textFill>
            <w14:solidFill>
              <w14:schemeClr w14:val="tx1"/>
            </w14:solidFill>
          </w14:textFill>
        </w:rPr>
        <w:t>4</w:t>
      </w:r>
      <w:r>
        <w:rPr>
          <w:color w:val="000000" w:themeColor="text1"/>
          <w:lang w:eastAsia="zh-CN"/>
          <w14:textFill>
            <w14:solidFill>
              <w14:schemeClr w14:val="tx1"/>
            </w14:solidFill>
          </w14:textFill>
        </w:rPr>
        <w:t>.</w:t>
      </w:r>
      <w:r>
        <w:rPr>
          <w:rFonts w:hint="eastAsia"/>
          <w:color w:val="000000" w:themeColor="text1"/>
          <w:lang w:eastAsia="zh-CN"/>
          <w14:textFill>
            <w14:solidFill>
              <w14:schemeClr w14:val="tx1"/>
            </w14:solidFill>
          </w14:textFill>
        </w:rPr>
        <w:t>1</w:t>
      </w:r>
      <w:r>
        <w:rPr>
          <w:color w:val="000000" w:themeColor="text1"/>
          <w:lang w:eastAsia="zh-CN"/>
          <w14:textFill>
            <w14:solidFill>
              <w14:schemeClr w14:val="tx1"/>
            </w14:solidFill>
          </w14:textFill>
        </w:rPr>
        <w:t>.</w:t>
      </w:r>
      <w:r>
        <w:rPr>
          <w:rFonts w:hint="eastAsia"/>
          <w:color w:val="000000" w:themeColor="text1"/>
          <w:lang w:eastAsia="zh-CN"/>
          <w14:textFill>
            <w14:solidFill>
              <w14:schemeClr w14:val="tx1"/>
            </w14:solidFill>
          </w14:textFill>
        </w:rPr>
        <w:t>8</w:t>
      </w:r>
      <w:r>
        <w:rPr>
          <w:color w:val="000000" w:themeColor="text1"/>
          <w:lang w:eastAsia="zh-CN"/>
          <w14:textFill>
            <w14:solidFill>
              <w14:schemeClr w14:val="tx1"/>
            </w14:solidFill>
          </w14:textFill>
        </w:rPr>
        <w:t>条的要求。</w:t>
      </w:r>
      <w:r>
        <w:rPr>
          <w:rFonts w:hint="eastAsia"/>
          <w:color w:val="000000" w:themeColor="text1"/>
          <w14:textFill>
            <w14:solidFill>
              <w14:schemeClr w14:val="tx1"/>
            </w14:solidFill>
          </w14:textFill>
        </w:rPr>
        <w:t>不宜采取增大结构刚度方法来满足要求。</w:t>
      </w:r>
    </w:p>
    <w:p>
      <w:pPr>
        <w:pStyle w:val="119"/>
        <w:rPr>
          <w:rFonts w:ascii="Times New Roman"/>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采用时程分析法进行弹性分析和弹塑性分析时，地震波的数量及相应要求可按抗震规范有关规定选用。对于非超限高层建筑，也可选用一组人工波，选用时应符合下列要求：</w:t>
      </w:r>
    </w:p>
    <w:p>
      <w:pPr>
        <w:adjustRightInd w:val="0"/>
        <w:snapToGrid w:val="0"/>
        <w:spacing w:line="240" w:lineRule="auto"/>
        <w:ind w:left="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 选用人工波的拟合反应谱与规范反应谱在结构基本周期的谱值差在5%以内；</w:t>
      </w:r>
    </w:p>
    <w:p>
      <w:pPr>
        <w:adjustRightInd w:val="0"/>
        <w:snapToGrid w:val="0"/>
        <w:spacing w:line="240" w:lineRule="auto"/>
        <w:ind w:left="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  地震波的持续时间不宜小于建筑结构基本自振周期的5倍和10s，地震波的时间间距可取0.01s或0.02s；</w:t>
      </w:r>
    </w:p>
    <w:p>
      <w:pPr>
        <w:adjustRightInd w:val="0"/>
        <w:snapToGrid w:val="0"/>
        <w:spacing w:line="240" w:lineRule="auto"/>
        <w:ind w:left="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  地震波的有效峰值按下表采用。</w:t>
      </w:r>
    </w:p>
    <w:p>
      <w:pPr>
        <w:spacing w:line="240" w:lineRule="auto"/>
        <w:ind w:left="0"/>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表4.1.10  时程分析所用地震加速度时程的有效峰值（单位：cm/</w:t>
      </w:r>
      <m:oMath>
        <m:sSup>
          <m:sSupPr>
            <m:ctrlPr>
              <w:rPr>
                <w:rFonts w:ascii="Cambria Math" w:hAnsi="Cambria Math"/>
                <w:color w:val="000000" w:themeColor="text1"/>
                <w14:textFill>
                  <w14:solidFill>
                    <w14:schemeClr w14:val="tx1"/>
                  </w14:solidFill>
                </w14:textFill>
              </w:rPr>
            </m:ctrlPr>
          </m:sSupPr>
          <m:e>
            <m:r>
              <m:rPr>
                <m:sty m:val="p"/>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ascii="Cambria Math" w:hAnsi="Cambria Math"/>
                <w:color w:val="000000" w:themeColor="text1"/>
                <w14:textFill>
                  <w14:solidFill>
                    <w14:schemeClr w14:val="tx1"/>
                  </w14:solidFill>
                </w14:textFill>
              </w:rPr>
              <m:t>2</m:t>
            </m:r>
            <m:ctrlPr>
              <w:rPr>
                <w:rFonts w:ascii="Cambria Math" w:hAnsi="Cambria Math"/>
                <w:color w:val="000000" w:themeColor="text1"/>
                <w14:textFill>
                  <w14:solidFill>
                    <w14:schemeClr w14:val="tx1"/>
                  </w14:solidFill>
                </w14:textFill>
              </w:rPr>
            </m:ctrlPr>
          </m:sup>
        </m:sSup>
      </m:oMath>
      <w:r>
        <w:rPr>
          <w:rFonts w:hint="eastAsia" w:ascii="宋体" w:hAnsi="宋体"/>
          <w:b/>
          <w:color w:val="000000" w:themeColor="text1"/>
          <w:szCs w:val="21"/>
          <w14:textFill>
            <w14:solidFill>
              <w14:schemeClr w14:val="tx1"/>
            </w14:solidFill>
          </w14:textFill>
        </w:rPr>
        <w:t>）</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9"/>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地震影响</w:t>
            </w:r>
          </w:p>
        </w:tc>
        <w:tc>
          <w:tcPr>
            <w:tcW w:w="202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多遇地震</w:t>
            </w:r>
          </w:p>
        </w:tc>
        <w:tc>
          <w:tcPr>
            <w:tcW w:w="202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设防地震</w:t>
            </w:r>
          </w:p>
        </w:tc>
        <w:tc>
          <w:tcPr>
            <w:tcW w:w="202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8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罕遇地震</w:t>
            </w:r>
          </w:p>
        </w:tc>
        <w:tc>
          <w:tcPr>
            <w:tcW w:w="202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220</w:t>
            </w:r>
          </w:p>
        </w:tc>
      </w:tr>
    </w:tbl>
    <w:p>
      <w:pPr>
        <w:adjustRightInd w:val="0"/>
        <w:snapToGrid w:val="0"/>
        <w:spacing w:line="240" w:lineRule="auto"/>
        <w:ind w:left="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 采用该组人工波进行弹性时程分析得到的结构基底剪力应与规范反应谱得到的结构基底剪力基本一致；</w:t>
      </w:r>
    </w:p>
    <w:p>
      <w:pPr>
        <w:adjustRightInd w:val="0"/>
        <w:snapToGrid w:val="0"/>
        <w:spacing w:line="240" w:lineRule="auto"/>
        <w:ind w:left="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  选取一组人工模拟波分析时地震波峰值宜乘以系数1.1~1.2。</w:t>
      </w:r>
    </w:p>
    <w:p>
      <w:pPr>
        <w:pStyle w:val="60"/>
        <w:spacing w:beforeLines="0" w:afterLines="0" w:line="240" w:lineRule="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 xml:space="preserve">  </w:t>
      </w:r>
      <w:bookmarkStart w:id="20" w:name="_Toc24714196"/>
      <w:bookmarkStart w:id="21" w:name="_Toc379895628"/>
      <w:r>
        <w:rPr>
          <w:color w:val="000000" w:themeColor="text1"/>
          <w14:textFill>
            <w14:solidFill>
              <w14:schemeClr w14:val="tx1"/>
            </w14:solidFill>
          </w14:textFill>
        </w:rPr>
        <w:t>结构抗震性能设计</w:t>
      </w:r>
      <w:bookmarkEnd w:id="20"/>
      <w:bookmarkEnd w:id="21"/>
    </w:p>
    <w:p>
      <w:pPr>
        <w:pStyle w:val="61"/>
        <w:rPr>
          <w:color w:val="000000" w:themeColor="text1"/>
          <w14:textFill>
            <w14:solidFill>
              <w14:schemeClr w14:val="tx1"/>
            </w14:solidFill>
          </w14:textFill>
        </w:rPr>
      </w:pPr>
      <w:bookmarkStart w:id="22" w:name="_Toc24714197"/>
      <w:r>
        <w:rPr>
          <w:rFonts w:hint="eastAsia"/>
          <w:color w:val="000000" w:themeColor="text1"/>
          <w14:textFill>
            <w14:solidFill>
              <w14:schemeClr w14:val="tx1"/>
            </w14:solidFill>
          </w14:textFill>
        </w:rPr>
        <w:t>一般规定</w:t>
      </w:r>
      <w:bookmarkEnd w:id="22"/>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结构抗震</w:t>
      </w:r>
      <w:r>
        <w:rPr>
          <w:color w:val="000000" w:themeColor="text1"/>
          <w:lang w:eastAsia="zh-CN"/>
          <w14:textFill>
            <w14:solidFill>
              <w14:schemeClr w14:val="tx1"/>
            </w14:solidFill>
          </w14:textFill>
        </w:rPr>
        <w:t>设计必须遵循构件破坏先于节点破坏</w:t>
      </w:r>
      <w:r>
        <w:rPr>
          <w:rFonts w:hint="eastAsia"/>
          <w:color w:val="000000" w:themeColor="text1"/>
          <w:lang w:eastAsia="zh-CN"/>
          <w14:textFill>
            <w14:solidFill>
              <w14:schemeClr w14:val="tx1"/>
            </w14:solidFill>
          </w14:textFill>
        </w:rPr>
        <w:t>的设计原则；对钢筋混凝土结构尚应满足</w:t>
      </w:r>
      <w:r>
        <w:rPr>
          <w:color w:val="000000" w:themeColor="text1"/>
          <w:lang w:eastAsia="zh-CN"/>
          <w14:textFill>
            <w14:solidFill>
              <w14:schemeClr w14:val="tx1"/>
            </w14:solidFill>
          </w14:textFill>
        </w:rPr>
        <w:t>弯曲破坏先于剪切破坏的设计原则。</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框架类结构应避免出现层剪切破坏。</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结构抗震性能目标应分析结构方案的特殊性、选用适宜的结构抗震性能目标，并采取满足预期的抗震性能目标的措施。</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结构抗震性能目标应综合考虑抗震设防类别、设防烈度、场地条件、结构的特殊性、建造费用、震后损失和修复难易程度等各项因素选定。结构抗震性能目标分为</w:t>
      </w:r>
      <w:r>
        <w:rPr>
          <w:rFonts w:ascii="宋体" w:hAnsi="宋体"/>
          <w:color w:val="000000" w:themeColor="text1"/>
          <w:sz w:val="24"/>
          <w:szCs w:val="24"/>
          <w14:textFill>
            <w14:solidFill>
              <w14:schemeClr w14:val="tx1"/>
            </w14:solidFill>
          </w14:textFill>
        </w:rPr>
        <w:t>A</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B</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C</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D</w:t>
      </w:r>
      <w:r>
        <w:rPr>
          <w:rFonts w:hint="eastAsia" w:ascii="宋体" w:hAnsi="宋体"/>
          <w:color w:val="000000" w:themeColor="text1"/>
          <w:sz w:val="24"/>
          <w:szCs w:val="24"/>
          <w:vertAlign w:val="superscript"/>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，D五个等级，结构抗震性能分为1，</w:t>
      </w:r>
      <w:r>
        <w:rPr>
          <w:rFonts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五个水准（表5.1.3），各性能目标均与一组在指定地震地面运动下的结构抗震性能水准相对应。</w:t>
      </w:r>
    </w:p>
    <w:p>
      <w:pPr>
        <w:spacing w:line="24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表5.1.3  结构抗震性能目标水准</w:t>
      </w:r>
    </w:p>
    <w:tbl>
      <w:tblPr>
        <w:tblStyle w:val="31"/>
        <w:tblW w:w="803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23"/>
        <w:gridCol w:w="1688"/>
        <w:gridCol w:w="1123"/>
        <w:gridCol w:w="1124"/>
        <w:gridCol w:w="1124"/>
        <w:gridCol w:w="1124"/>
        <w:gridCol w:w="112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723" w:type="dxa"/>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1688"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性能目标</w:t>
            </w:r>
          </w:p>
        </w:tc>
        <w:tc>
          <w:tcPr>
            <w:tcW w:w="1123"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A</w:t>
            </w:r>
          </w:p>
        </w:tc>
        <w:tc>
          <w:tcPr>
            <w:tcW w:w="1124"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B</w:t>
            </w:r>
          </w:p>
        </w:tc>
        <w:tc>
          <w:tcPr>
            <w:tcW w:w="1124"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C</w:t>
            </w:r>
          </w:p>
        </w:tc>
        <w:tc>
          <w:tcPr>
            <w:tcW w:w="1124"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D</w:t>
            </w:r>
            <w:r>
              <w:rPr>
                <w:rFonts w:hint="eastAsia" w:ascii="宋体" w:hAnsi="宋体"/>
                <w:color w:val="000000" w:themeColor="text1"/>
                <w:kern w:val="0"/>
                <w:szCs w:val="21"/>
                <w:vertAlign w:val="superscript"/>
                <w14:textFill>
                  <w14:solidFill>
                    <w14:schemeClr w14:val="tx1"/>
                  </w14:solidFill>
                </w14:textFill>
              </w:rPr>
              <w:t>*</w:t>
            </w:r>
          </w:p>
        </w:tc>
        <w:tc>
          <w:tcPr>
            <w:tcW w:w="1124"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723" w:type="dxa"/>
            <w:vMerge w:val="restart"/>
            <w:vAlign w:val="center"/>
          </w:tcPr>
          <w:p>
            <w:pPr>
              <w:spacing w:line="240" w:lineRule="auto"/>
              <w:ind w:left="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地震</w:t>
            </w:r>
          </w:p>
          <w:p>
            <w:pPr>
              <w:spacing w:line="240" w:lineRule="auto"/>
              <w:ind w:left="0"/>
              <w:jc w:val="center"/>
              <w:rPr>
                <w:rFonts w:ascii="宋体" w:hAnsi="宋体"/>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水准</w:t>
            </w:r>
          </w:p>
        </w:tc>
        <w:tc>
          <w:tcPr>
            <w:tcW w:w="1688"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多遇地震</w:t>
            </w:r>
          </w:p>
        </w:tc>
        <w:tc>
          <w:tcPr>
            <w:tcW w:w="1123"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124" w:type="dxa"/>
            <w:vAlign w:val="center"/>
          </w:tcPr>
          <w:p>
            <w:pPr>
              <w:spacing w:line="240" w:lineRule="auto"/>
              <w:ind w:left="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124" w:type="dxa"/>
            <w:vAlign w:val="center"/>
          </w:tcPr>
          <w:p>
            <w:pPr>
              <w:spacing w:line="240" w:lineRule="auto"/>
              <w:ind w:left="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124" w:type="dxa"/>
            <w:vAlign w:val="center"/>
          </w:tcPr>
          <w:p>
            <w:pPr>
              <w:spacing w:line="240" w:lineRule="auto"/>
              <w:ind w:left="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124" w:type="dxa"/>
            <w:vAlign w:val="center"/>
          </w:tcPr>
          <w:p>
            <w:pPr>
              <w:spacing w:line="240" w:lineRule="auto"/>
              <w:ind w:left="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723" w:type="dxa"/>
            <w:vMerge w:val="continue"/>
            <w:vAlign w:val="center"/>
          </w:tcPr>
          <w:p>
            <w:pPr>
              <w:spacing w:line="240" w:lineRule="auto"/>
              <w:ind w:left="0"/>
              <w:jc w:val="center"/>
              <w:rPr>
                <w:rFonts w:ascii="宋体" w:hAnsi="宋体"/>
                <w:color w:val="000000" w:themeColor="text1"/>
                <w:kern w:val="0"/>
                <w:szCs w:val="21"/>
                <w14:textFill>
                  <w14:solidFill>
                    <w14:schemeClr w14:val="tx1"/>
                  </w14:solidFill>
                </w14:textFill>
              </w:rPr>
            </w:pPr>
          </w:p>
        </w:tc>
        <w:tc>
          <w:tcPr>
            <w:tcW w:w="1688"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设防烈度地震</w:t>
            </w:r>
          </w:p>
        </w:tc>
        <w:tc>
          <w:tcPr>
            <w:tcW w:w="1123"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c>
          <w:tcPr>
            <w:tcW w:w="1124"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2</w:t>
            </w:r>
          </w:p>
        </w:tc>
        <w:tc>
          <w:tcPr>
            <w:tcW w:w="1124"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3</w:t>
            </w:r>
          </w:p>
        </w:tc>
        <w:tc>
          <w:tcPr>
            <w:tcW w:w="1124"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w:t>
            </w:r>
          </w:p>
        </w:tc>
        <w:tc>
          <w:tcPr>
            <w:tcW w:w="1124"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723" w:type="dxa"/>
            <w:vMerge w:val="continue"/>
            <w:vAlign w:val="center"/>
          </w:tcPr>
          <w:p>
            <w:pPr>
              <w:spacing w:line="240" w:lineRule="auto"/>
              <w:ind w:left="0"/>
              <w:jc w:val="center"/>
              <w:rPr>
                <w:rFonts w:ascii="宋体" w:hAnsi="宋体"/>
                <w:color w:val="000000" w:themeColor="text1"/>
                <w:kern w:val="0"/>
                <w:szCs w:val="21"/>
                <w14:textFill>
                  <w14:solidFill>
                    <w14:schemeClr w14:val="tx1"/>
                  </w14:solidFill>
                </w14:textFill>
              </w:rPr>
            </w:pPr>
          </w:p>
        </w:tc>
        <w:tc>
          <w:tcPr>
            <w:tcW w:w="1688"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预估的罕遇地震</w:t>
            </w:r>
          </w:p>
        </w:tc>
        <w:tc>
          <w:tcPr>
            <w:tcW w:w="1123"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2</w:t>
            </w:r>
          </w:p>
        </w:tc>
        <w:tc>
          <w:tcPr>
            <w:tcW w:w="1124"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3</w:t>
            </w:r>
          </w:p>
        </w:tc>
        <w:tc>
          <w:tcPr>
            <w:tcW w:w="1124"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4</w:t>
            </w:r>
          </w:p>
        </w:tc>
        <w:tc>
          <w:tcPr>
            <w:tcW w:w="1124"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5</w:t>
            </w:r>
          </w:p>
        </w:tc>
        <w:tc>
          <w:tcPr>
            <w:tcW w:w="1124" w:type="dxa"/>
            <w:vAlign w:val="center"/>
          </w:tcPr>
          <w:p>
            <w:pPr>
              <w:spacing w:line="240" w:lineRule="auto"/>
              <w:ind w:left="0"/>
              <w:jc w:val="center"/>
              <w:rPr>
                <w:rFonts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5</w:t>
            </w:r>
          </w:p>
        </w:tc>
      </w:tr>
    </w:tbl>
    <w:p>
      <w:pPr>
        <w:adjustRightInd w:val="0"/>
        <w:snapToGrid w:val="0"/>
        <w:spacing w:line="240" w:lineRule="auto"/>
        <w:ind w:left="420" w:hanging="420" w:hanging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注：1</w:t>
      </w:r>
      <w:r>
        <w:rPr>
          <w:rFonts w:hint="eastAsia" w:ascii="宋体" w:hAnsi="宋体"/>
          <w:color w:val="000000" w:themeColor="text1"/>
          <w:kern w:val="0"/>
          <w:szCs w:val="21"/>
          <w14:textFill>
            <w14:solidFill>
              <w14:schemeClr w14:val="tx1"/>
            </w14:solidFill>
          </w14:textFill>
        </w:rPr>
        <w:t xml:space="preserve"> D</w:t>
      </w:r>
      <w:r>
        <w:rPr>
          <w:rFonts w:hint="eastAsia" w:ascii="宋体" w:hAnsi="宋体"/>
          <w:color w:val="000000" w:themeColor="text1"/>
          <w:kern w:val="0"/>
          <w:szCs w:val="21"/>
          <w:vertAlign w:val="superscript"/>
          <w14:textFill>
            <w14:solidFill>
              <w14:schemeClr w14:val="tx1"/>
            </w14:solidFill>
          </w14:textFill>
        </w:rPr>
        <w:t>*</w:t>
      </w:r>
      <w:r>
        <w:rPr>
          <w:rFonts w:hint="eastAsia" w:ascii="宋体" w:hAnsi="宋体"/>
          <w:color w:val="000000" w:themeColor="text1"/>
          <w:kern w:val="0"/>
          <w:szCs w:val="21"/>
          <w14:textFill>
            <w14:solidFill>
              <w14:schemeClr w14:val="tx1"/>
            </w14:solidFill>
          </w14:textFill>
        </w:rPr>
        <w:t>级性能目标相当于抗规第1.0.1条制定的结构基本抗震设防目标：当遭受低于本地区抗震设防烈度的多遇地震影响时，主体结构不受损坏或不需修理可继续使用；当遭受相当于本地区抗震设防烈度的设防地震影响时，可能发生损坏，但经一般性修理仍可继续使用；当遭受高于本地区抗震设防烈度的罕遇地震影响时，不致倒塌或发生危及生命的严重破坏。</w:t>
      </w:r>
    </w:p>
    <w:p>
      <w:pPr>
        <w:adjustRightInd w:val="0"/>
        <w:snapToGrid w:val="0"/>
        <w:spacing w:line="240" w:lineRule="auto"/>
        <w:ind w:left="420" w:left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多遇地震下的性能水准为1的结构，应满足弹性设计要求，其承载力和变形应符合有关规程的规定；设防烈度地震下性能水准为1的结构，应满足弹性设计要求，允许耗能构件刚度适当降低，其验算公式不含有抗震等级有关的增大系数及其他的内力增大系数。</w:t>
      </w:r>
    </w:p>
    <w:p>
      <w:pPr>
        <w:adjustRightInd w:val="0"/>
        <w:snapToGrid w:val="0"/>
        <w:spacing w:line="240" w:lineRule="auto"/>
        <w:ind w:left="420" w:left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3当结构抗震性能目标为C级时，宜验算巨震作用下结构抗震性能目标水准为</w:t>
      </w:r>
      <w:r>
        <w:rPr>
          <w:rFonts w:hint="eastAsia" w:ascii="宋体" w:hAnsi="宋体"/>
          <w:color w:val="000000" w:themeColor="text1"/>
          <w:kern w:val="0"/>
          <w:szCs w:val="21"/>
          <w14:textFill>
            <w14:solidFill>
              <w14:schemeClr w14:val="tx1"/>
            </w14:solidFill>
          </w14:textFill>
        </w:rPr>
        <w:t>D</w:t>
      </w:r>
      <w:r>
        <w:rPr>
          <w:rFonts w:hint="eastAsia" w:ascii="宋体" w:hAnsi="宋体"/>
          <w:color w:val="000000" w:themeColor="text1"/>
          <w:szCs w:val="21"/>
          <w14:textFill>
            <w14:solidFill>
              <w14:schemeClr w14:val="tx1"/>
            </w14:solidFill>
          </w14:textFill>
        </w:rPr>
        <w:t>的要求，巨震烈度按罕遇地震烈度提高1度采用。</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结构抗震性能水准可按表5.1.4进行宏观判别。</w:t>
      </w:r>
    </w:p>
    <w:p>
      <w:pPr>
        <w:spacing w:line="24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表5.1.4  各性能水准结构预期的震后性能状况</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134"/>
        <w:gridCol w:w="1559"/>
        <w:gridCol w:w="1134"/>
        <w:gridCol w:w="155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结构抗震性能水准</w:t>
            </w:r>
          </w:p>
        </w:tc>
        <w:tc>
          <w:tcPr>
            <w:tcW w:w="1134" w:type="dxa"/>
            <w:vMerge w:val="restart"/>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宏观破</w:t>
            </w:r>
          </w:p>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坏程度</w:t>
            </w:r>
          </w:p>
        </w:tc>
        <w:tc>
          <w:tcPr>
            <w:tcW w:w="4252" w:type="dxa"/>
            <w:gridSpan w:val="3"/>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损破部位</w:t>
            </w:r>
          </w:p>
        </w:tc>
        <w:tc>
          <w:tcPr>
            <w:tcW w:w="1843" w:type="dxa"/>
            <w:vMerge w:val="restart"/>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继续使用的可能性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widowControl/>
              <w:spacing w:line="240" w:lineRule="auto"/>
              <w:ind w:left="0"/>
              <w:jc w:val="center"/>
              <w:rPr>
                <w:rFonts w:ascii="宋体" w:hAnsi="宋体"/>
                <w:color w:val="000000" w:themeColor="text1"/>
                <w:sz w:val="20"/>
                <w:szCs w:val="21"/>
                <w14:textFill>
                  <w14:solidFill>
                    <w14:schemeClr w14:val="tx1"/>
                  </w14:solidFill>
                </w14:textFill>
              </w:rPr>
            </w:pPr>
          </w:p>
        </w:tc>
        <w:tc>
          <w:tcPr>
            <w:tcW w:w="1134" w:type="dxa"/>
            <w:vMerge w:val="continue"/>
            <w:vAlign w:val="center"/>
          </w:tcPr>
          <w:p>
            <w:pPr>
              <w:widowControl/>
              <w:spacing w:line="240" w:lineRule="auto"/>
              <w:ind w:left="0"/>
              <w:jc w:val="center"/>
              <w:rPr>
                <w:rFonts w:ascii="宋体" w:hAnsi="宋体"/>
                <w:color w:val="000000" w:themeColor="text1"/>
                <w:sz w:val="20"/>
                <w:szCs w:val="21"/>
                <w14:textFill>
                  <w14:solidFill>
                    <w14:schemeClr w14:val="tx1"/>
                  </w14:solidFill>
                </w14:textFill>
              </w:rPr>
            </w:pPr>
          </w:p>
        </w:tc>
        <w:tc>
          <w:tcPr>
            <w:tcW w:w="1559"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关键构件</w:t>
            </w:r>
          </w:p>
        </w:tc>
        <w:tc>
          <w:tcPr>
            <w:tcW w:w="1134"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普通竖向构件</w:t>
            </w:r>
          </w:p>
        </w:tc>
        <w:tc>
          <w:tcPr>
            <w:tcW w:w="1559"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耗能构件</w:t>
            </w:r>
          </w:p>
        </w:tc>
        <w:tc>
          <w:tcPr>
            <w:tcW w:w="1843" w:type="dxa"/>
            <w:vMerge w:val="continue"/>
            <w:vAlign w:val="center"/>
          </w:tcPr>
          <w:p>
            <w:pPr>
              <w:widowControl/>
              <w:spacing w:line="240" w:lineRule="auto"/>
              <w:ind w:left="0"/>
              <w:jc w:val="center"/>
              <w:rPr>
                <w:rFonts w:ascii="宋体" w:hAnsi="宋体"/>
                <w:color w:val="000000" w:themeColor="text1"/>
                <w:sz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101" w:type="dxa"/>
            <w:vAlign w:val="center"/>
          </w:tcPr>
          <w:p>
            <w:pPr>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1</w:t>
            </w:r>
          </w:p>
        </w:tc>
        <w:tc>
          <w:tcPr>
            <w:tcW w:w="1134"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完好</w:t>
            </w:r>
          </w:p>
        </w:tc>
        <w:tc>
          <w:tcPr>
            <w:tcW w:w="1559"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无损坏</w:t>
            </w:r>
          </w:p>
        </w:tc>
        <w:tc>
          <w:tcPr>
            <w:tcW w:w="1134"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无损坏</w:t>
            </w:r>
          </w:p>
        </w:tc>
        <w:tc>
          <w:tcPr>
            <w:tcW w:w="1559"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无损坏</w:t>
            </w:r>
          </w:p>
        </w:tc>
        <w:tc>
          <w:tcPr>
            <w:tcW w:w="1843"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不需修理</w:t>
            </w:r>
          </w:p>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即可继续使用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101"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ascii="宋体" w:hAnsi="宋体"/>
                <w:color w:val="000000" w:themeColor="text1"/>
                <w:sz w:val="20"/>
                <w:szCs w:val="21"/>
                <w14:textFill>
                  <w14:solidFill>
                    <w14:schemeClr w14:val="tx1"/>
                  </w14:solidFill>
                </w14:textFill>
              </w:rPr>
              <w:t>2</w:t>
            </w:r>
          </w:p>
        </w:tc>
        <w:tc>
          <w:tcPr>
            <w:tcW w:w="1134"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基本完好</w:t>
            </w:r>
          </w:p>
        </w:tc>
        <w:tc>
          <w:tcPr>
            <w:tcW w:w="1559"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无损坏</w:t>
            </w:r>
          </w:p>
        </w:tc>
        <w:tc>
          <w:tcPr>
            <w:tcW w:w="1134"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无损坏</w:t>
            </w:r>
          </w:p>
        </w:tc>
        <w:tc>
          <w:tcPr>
            <w:tcW w:w="1559"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轻微损坏</w:t>
            </w:r>
          </w:p>
        </w:tc>
        <w:tc>
          <w:tcPr>
            <w:tcW w:w="1843"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稍加修理</w:t>
            </w:r>
          </w:p>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即可继续使用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ascii="宋体" w:hAnsi="宋体"/>
                <w:color w:val="000000" w:themeColor="text1"/>
                <w:sz w:val="20"/>
                <w:szCs w:val="21"/>
                <w14:textFill>
                  <w14:solidFill>
                    <w14:schemeClr w14:val="tx1"/>
                  </w14:solidFill>
                </w14:textFill>
              </w:rPr>
              <w:t>3</w:t>
            </w:r>
          </w:p>
        </w:tc>
        <w:tc>
          <w:tcPr>
            <w:tcW w:w="1134"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轻微损坏</w:t>
            </w:r>
          </w:p>
        </w:tc>
        <w:tc>
          <w:tcPr>
            <w:tcW w:w="1559"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轻微损坏</w:t>
            </w:r>
          </w:p>
        </w:tc>
        <w:tc>
          <w:tcPr>
            <w:tcW w:w="1134"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轻微损坏</w:t>
            </w:r>
          </w:p>
        </w:tc>
        <w:tc>
          <w:tcPr>
            <w:tcW w:w="1559"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轻度损坏</w:t>
            </w:r>
          </w:p>
        </w:tc>
        <w:tc>
          <w:tcPr>
            <w:tcW w:w="1843"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一般修理后</w:t>
            </w:r>
          </w:p>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可继续使用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ascii="宋体" w:hAnsi="宋体"/>
                <w:color w:val="000000" w:themeColor="text1"/>
                <w:sz w:val="20"/>
                <w:szCs w:val="21"/>
                <w14:textFill>
                  <w14:solidFill>
                    <w14:schemeClr w14:val="tx1"/>
                  </w14:solidFill>
                </w14:textFill>
              </w:rPr>
              <w:t>4</w:t>
            </w:r>
          </w:p>
        </w:tc>
        <w:tc>
          <w:tcPr>
            <w:tcW w:w="1134"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轻度损坏</w:t>
            </w:r>
          </w:p>
        </w:tc>
        <w:tc>
          <w:tcPr>
            <w:tcW w:w="1559"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轻微损坏，部分轻度损坏</w:t>
            </w:r>
          </w:p>
        </w:tc>
        <w:tc>
          <w:tcPr>
            <w:tcW w:w="1134"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轻度损坏</w:t>
            </w:r>
          </w:p>
        </w:tc>
        <w:tc>
          <w:tcPr>
            <w:tcW w:w="1559"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轻度损坏、部分中度损坏</w:t>
            </w:r>
          </w:p>
        </w:tc>
        <w:tc>
          <w:tcPr>
            <w:tcW w:w="1843"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修复或加固后</w:t>
            </w:r>
          </w:p>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可继续使用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ascii="宋体" w:hAnsi="宋体"/>
                <w:color w:val="000000" w:themeColor="text1"/>
                <w:sz w:val="20"/>
                <w:szCs w:val="21"/>
                <w14:textFill>
                  <w14:solidFill>
                    <w14:schemeClr w14:val="tx1"/>
                  </w14:solidFill>
                </w14:textFill>
              </w:rPr>
              <w:t>5</w:t>
            </w:r>
          </w:p>
        </w:tc>
        <w:tc>
          <w:tcPr>
            <w:tcW w:w="1134"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中度损坏</w:t>
            </w:r>
          </w:p>
        </w:tc>
        <w:tc>
          <w:tcPr>
            <w:tcW w:w="1559"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中度损坏</w:t>
            </w:r>
          </w:p>
        </w:tc>
        <w:tc>
          <w:tcPr>
            <w:tcW w:w="1134"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中度损坏</w:t>
            </w:r>
          </w:p>
        </w:tc>
        <w:tc>
          <w:tcPr>
            <w:tcW w:w="1559"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中度损坏、部分比较严重损坏</w:t>
            </w:r>
          </w:p>
        </w:tc>
        <w:tc>
          <w:tcPr>
            <w:tcW w:w="1843" w:type="dxa"/>
            <w:vAlign w:val="center"/>
          </w:tcPr>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需排险大修</w:t>
            </w:r>
          </w:p>
          <w:p>
            <w:pPr>
              <w:spacing w:line="240" w:lineRule="auto"/>
              <w:ind w:left="0"/>
              <w:jc w:val="center"/>
              <w:rPr>
                <w:rFonts w:ascii="宋体" w:hAnsi="宋体"/>
                <w:color w:val="000000" w:themeColor="text1"/>
                <w:sz w:val="20"/>
                <w:szCs w:val="21"/>
                <w14:textFill>
                  <w14:solidFill>
                    <w14:schemeClr w14:val="tx1"/>
                  </w14:solidFill>
                </w14:textFill>
              </w:rPr>
            </w:pPr>
            <w:r>
              <w:rPr>
                <w:rFonts w:hint="eastAsia" w:ascii="宋体" w:hAnsi="宋体"/>
                <w:color w:val="000000" w:themeColor="text1"/>
                <w:sz w:val="20"/>
                <w:szCs w:val="21"/>
                <w14:textFill>
                  <w14:solidFill>
                    <w14:schemeClr w14:val="tx1"/>
                  </w14:solidFill>
                </w14:textFill>
              </w:rPr>
              <w:t>或拆除重建</w:t>
            </w:r>
          </w:p>
        </w:tc>
      </w:tr>
    </w:tbl>
    <w:p>
      <w:pPr>
        <w:spacing w:line="240" w:lineRule="auto"/>
        <w:ind w:left="420" w:left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注：“关键构件”是指该构件的失效可能引起结构的连续破坏或危及生命安全的严重破坏；“普通竖向构件”是指“关键构件”之外的竖向构件；“耗能构件”包括框架梁、剪力墙连梁及耗能支撑等。</w:t>
      </w:r>
    </w:p>
    <w:p>
      <w:pPr>
        <w:spacing w:line="240" w:lineRule="auto"/>
        <w:ind w:left="420" w:leftChars="200"/>
        <w:jc w:val="left"/>
        <w:rPr>
          <w:rFonts w:ascii="宋体" w:hAnsi="宋体"/>
          <w:color w:val="000000" w:themeColor="text1"/>
          <w:szCs w:val="21"/>
          <w:lang w:val="en-GB"/>
          <w14:textFill>
            <w14:solidFill>
              <w14:schemeClr w14:val="tx1"/>
            </w14:solidFill>
          </w14:textFill>
        </w:rPr>
      </w:pPr>
    </w:p>
    <w:p>
      <w:pPr>
        <w:pStyle w:val="61"/>
        <w:rPr>
          <w:color w:val="000000" w:themeColor="text1"/>
          <w14:textFill>
            <w14:solidFill>
              <w14:schemeClr w14:val="tx1"/>
            </w14:solidFill>
          </w14:textFill>
        </w:rPr>
      </w:pPr>
      <w:bookmarkStart w:id="23" w:name="_Toc24714198"/>
      <w:r>
        <w:rPr>
          <w:rFonts w:hint="eastAsia"/>
          <w:color w:val="000000" w:themeColor="text1"/>
          <w14:textFill>
            <w14:solidFill>
              <w14:schemeClr w14:val="tx1"/>
            </w14:solidFill>
          </w14:textFill>
        </w:rPr>
        <w:t>结构抗震性能目标</w:t>
      </w:r>
      <w:bookmarkEnd w:id="23"/>
    </w:p>
    <w:p>
      <w:pPr>
        <w:spacing w:line="240" w:lineRule="auto"/>
        <w:ind w:left="420" w:leftChars="200"/>
        <w:jc w:val="left"/>
        <w:rPr>
          <w:rFonts w:ascii="宋体" w:hAnsi="宋体"/>
          <w:color w:val="000000" w:themeColor="text1"/>
          <w:sz w:val="15"/>
          <w:szCs w:val="15"/>
          <w14:textFill>
            <w14:solidFill>
              <w14:schemeClr w14:val="tx1"/>
            </w14:solidFill>
          </w14:textFill>
        </w:rPr>
      </w:pP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框架结构中各类构件的抗震性能目标可按表5.2.1选用。</w:t>
      </w:r>
    </w:p>
    <w:p>
      <w:pPr>
        <w:spacing w:line="24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表5.2.1  框架结构抗震性能目标</w:t>
      </w:r>
    </w:p>
    <w:tbl>
      <w:tblPr>
        <w:tblStyle w:val="31"/>
        <w:tblW w:w="8336"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1"/>
        <w:gridCol w:w="2126"/>
        <w:gridCol w:w="993"/>
        <w:gridCol w:w="1842"/>
        <w:gridCol w:w="2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7"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结构构件</w:t>
            </w:r>
          </w:p>
        </w:tc>
        <w:tc>
          <w:tcPr>
            <w:tcW w:w="993"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多遇地震</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（1水准）</w:t>
            </w:r>
          </w:p>
        </w:tc>
        <w:tc>
          <w:tcPr>
            <w:tcW w:w="184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设防烈度地震</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（3水准）</w:t>
            </w:r>
          </w:p>
        </w:tc>
        <w:tc>
          <w:tcPr>
            <w:tcW w:w="2694"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罕遇地震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1" w:type="dxa"/>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关键构件</w:t>
            </w:r>
          </w:p>
        </w:tc>
        <w:tc>
          <w:tcPr>
            <w:tcW w:w="2126"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长短柱在同一楼层数量相当的各长短柱</w:t>
            </w:r>
          </w:p>
        </w:tc>
        <w:tc>
          <w:tcPr>
            <w:tcW w:w="993"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84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2694"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1" w:type="dxa"/>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普通竖向构件</w:t>
            </w:r>
          </w:p>
        </w:tc>
        <w:tc>
          <w:tcPr>
            <w:tcW w:w="2126"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框架柱</w:t>
            </w:r>
          </w:p>
        </w:tc>
        <w:tc>
          <w:tcPr>
            <w:tcW w:w="993"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84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2694"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trPr>
        <w:tc>
          <w:tcPr>
            <w:tcW w:w="681" w:type="dxa"/>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耗能构件</w:t>
            </w:r>
          </w:p>
        </w:tc>
        <w:tc>
          <w:tcPr>
            <w:tcW w:w="2126"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框架梁</w:t>
            </w:r>
          </w:p>
        </w:tc>
        <w:tc>
          <w:tcPr>
            <w:tcW w:w="993"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84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c>
          <w:tcPr>
            <w:tcW w:w="2694"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大部分屈服、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1" w:type="dxa"/>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2126"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变形要求</w:t>
            </w:r>
          </w:p>
        </w:tc>
        <w:tc>
          <w:tcPr>
            <w:tcW w:w="993"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184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2694"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控制弹塑性层间位移角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681" w:type="dxa"/>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2126"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整体计算方法</w:t>
            </w:r>
          </w:p>
        </w:tc>
        <w:tc>
          <w:tcPr>
            <w:tcW w:w="993"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弹性反应谱</w:t>
            </w:r>
          </w:p>
        </w:tc>
        <w:tc>
          <w:tcPr>
            <w:tcW w:w="184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弹性反应谱</w:t>
            </w:r>
          </w:p>
        </w:tc>
        <w:tc>
          <w:tcPr>
            <w:tcW w:w="2694"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弹塑性分析</w:t>
            </w:r>
          </w:p>
        </w:tc>
      </w:tr>
    </w:tbl>
    <w:p>
      <w:pPr>
        <w:spacing w:line="240" w:lineRule="auto"/>
        <w:ind w:left="420" w:left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表中量词“个别”为小于10%，“部分”为20%左右，“较多”为30%左右，“大部分”为50%左右，“普遍”为75%左右。“弹性”指多遇地震下构件无损坏（以下同）；允许屈服项的构件损坏程度应满足本规程5.1.4条的规定（以下同）。</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剪力墙结构中各类构件的抗震性能目标可按表5.2.2选用。</w:t>
      </w:r>
    </w:p>
    <w:p>
      <w:pPr>
        <w:spacing w:line="24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表5.2.2  剪力墙结构抗震性能目标</w:t>
      </w:r>
    </w:p>
    <w:tbl>
      <w:tblPr>
        <w:tblStyle w:val="31"/>
        <w:tblW w:w="8336"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32"/>
        <w:gridCol w:w="1275"/>
        <w:gridCol w:w="1382"/>
        <w:gridCol w:w="1382"/>
        <w:gridCol w:w="148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7" w:type="dxa"/>
            <w:gridSpan w:val="2"/>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结构构件</w:t>
            </w:r>
          </w:p>
        </w:tc>
        <w:tc>
          <w:tcPr>
            <w:tcW w:w="138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多遇地震</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（1水准）</w:t>
            </w:r>
          </w:p>
        </w:tc>
        <w:tc>
          <w:tcPr>
            <w:tcW w:w="138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设防烈度地震</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（3水准）</w:t>
            </w:r>
          </w:p>
        </w:tc>
        <w:tc>
          <w:tcPr>
            <w:tcW w:w="1489"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罕遇地震</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（4水准）</w:t>
            </w:r>
          </w:p>
        </w:tc>
        <w:tc>
          <w:tcPr>
            <w:tcW w:w="1276"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罕遇地震</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（5水准）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3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关键构件</w:t>
            </w:r>
          </w:p>
        </w:tc>
        <w:tc>
          <w:tcPr>
            <w:tcW w:w="1275"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底部加强部位的重要剪力墙</w:t>
            </w:r>
          </w:p>
        </w:tc>
        <w:tc>
          <w:tcPr>
            <w:tcW w:w="138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38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489"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个别屈服、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276"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3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普通竖向构件</w:t>
            </w:r>
          </w:p>
        </w:tc>
        <w:tc>
          <w:tcPr>
            <w:tcW w:w="1275"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除关键构件外的剪力墙</w:t>
            </w:r>
          </w:p>
        </w:tc>
        <w:tc>
          <w:tcPr>
            <w:tcW w:w="138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38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489"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c>
          <w:tcPr>
            <w:tcW w:w="1276"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较多屈服、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3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耗能构件</w:t>
            </w:r>
          </w:p>
        </w:tc>
        <w:tc>
          <w:tcPr>
            <w:tcW w:w="1275"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连梁</w:t>
            </w:r>
          </w:p>
        </w:tc>
        <w:tc>
          <w:tcPr>
            <w:tcW w:w="138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38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c>
          <w:tcPr>
            <w:tcW w:w="1489"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大部分屈服、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c>
          <w:tcPr>
            <w:tcW w:w="1276"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普遍屈服、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3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275"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变形要求</w:t>
            </w:r>
          </w:p>
        </w:tc>
        <w:tc>
          <w:tcPr>
            <w:tcW w:w="138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138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1489"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控制弹塑性层间位移角</w:t>
            </w:r>
          </w:p>
        </w:tc>
        <w:tc>
          <w:tcPr>
            <w:tcW w:w="1276"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控制弹塑性层间位移角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3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275"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整体计算方法</w:t>
            </w:r>
          </w:p>
        </w:tc>
        <w:tc>
          <w:tcPr>
            <w:tcW w:w="138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弹性反应谱</w:t>
            </w:r>
          </w:p>
        </w:tc>
        <w:tc>
          <w:tcPr>
            <w:tcW w:w="1382"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弹性反应谱</w:t>
            </w:r>
          </w:p>
        </w:tc>
        <w:tc>
          <w:tcPr>
            <w:tcW w:w="1489"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弹塑性分析</w:t>
            </w:r>
          </w:p>
        </w:tc>
        <w:tc>
          <w:tcPr>
            <w:tcW w:w="1276"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弹塑性分析</w:t>
            </w:r>
          </w:p>
        </w:tc>
      </w:tr>
    </w:tbl>
    <w:p>
      <w:pPr>
        <w:spacing w:line="240" w:lineRule="auto"/>
        <w:jc w:val="right"/>
        <w:rPr>
          <w:rFonts w:ascii="宋体" w:hAnsi="宋体"/>
          <w:color w:val="000000" w:themeColor="text1"/>
          <w:sz w:val="18"/>
          <w:szCs w:val="18"/>
          <w:lang w:val="en-GB"/>
          <w14:textFill>
            <w14:solidFill>
              <w14:schemeClr w14:val="tx1"/>
            </w14:solidFill>
          </w14:textFill>
        </w:rPr>
      </w:pP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框架-剪力墙结构中各类构件的抗震性能目标可按表5.2.3选用。</w:t>
      </w:r>
    </w:p>
    <w:p>
      <w:pPr>
        <w:spacing w:line="240" w:lineRule="auto"/>
        <w:jc w:val="right"/>
        <w:rPr>
          <w:rFonts w:ascii="宋体" w:hAnsi="宋体"/>
          <w:color w:val="000000" w:themeColor="text1"/>
          <w:sz w:val="18"/>
          <w:szCs w:val="18"/>
          <w:lang w:val="en-GB"/>
          <w14:textFill>
            <w14:solidFill>
              <w14:schemeClr w14:val="tx1"/>
            </w14:solidFill>
          </w14:textFill>
        </w:rPr>
      </w:pPr>
    </w:p>
    <w:p>
      <w:pPr>
        <w:spacing w:line="24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表5.2.3  框架—剪力墙结构抗震性能目标</w:t>
      </w:r>
    </w:p>
    <w:tbl>
      <w:tblPr>
        <w:tblStyle w:val="31"/>
        <w:tblW w:w="8336" w:type="dxa"/>
        <w:tblInd w:w="13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81"/>
        <w:gridCol w:w="1559"/>
        <w:gridCol w:w="1276"/>
        <w:gridCol w:w="1331"/>
        <w:gridCol w:w="1744"/>
        <w:gridCol w:w="174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240" w:type="dxa"/>
            <w:gridSpan w:val="2"/>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结构构件</w:t>
            </w:r>
          </w:p>
        </w:tc>
        <w:tc>
          <w:tcPr>
            <w:tcW w:w="1276"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多遇地震</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（1水准）</w:t>
            </w:r>
          </w:p>
        </w:tc>
        <w:tc>
          <w:tcPr>
            <w:tcW w:w="133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设防烈度地震</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（3水准）</w:t>
            </w:r>
          </w:p>
        </w:tc>
        <w:tc>
          <w:tcPr>
            <w:tcW w:w="17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罕遇地震</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（4水准）</w:t>
            </w:r>
          </w:p>
        </w:tc>
        <w:tc>
          <w:tcPr>
            <w:tcW w:w="17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罕遇地震</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（5水准）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8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559"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底层加强部位的重要剪力墙</w:t>
            </w:r>
          </w:p>
        </w:tc>
        <w:tc>
          <w:tcPr>
            <w:tcW w:w="1276"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33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7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7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个别屈服、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8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普通竖向构件</w:t>
            </w:r>
          </w:p>
        </w:tc>
        <w:tc>
          <w:tcPr>
            <w:tcW w:w="1559"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除关键构件外的剪力墙与柱</w:t>
            </w:r>
          </w:p>
        </w:tc>
        <w:tc>
          <w:tcPr>
            <w:tcW w:w="1276"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33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7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c>
          <w:tcPr>
            <w:tcW w:w="17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较多屈服、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满足截面条件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81"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耗能</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构件</w:t>
            </w:r>
          </w:p>
        </w:tc>
        <w:tc>
          <w:tcPr>
            <w:tcW w:w="1559"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梁</w:t>
            </w:r>
          </w:p>
        </w:tc>
        <w:tc>
          <w:tcPr>
            <w:tcW w:w="1276"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33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c>
          <w:tcPr>
            <w:tcW w:w="17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大部分屈服、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c>
          <w:tcPr>
            <w:tcW w:w="17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普遍屈服、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81"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559"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连梁</w:t>
            </w:r>
          </w:p>
        </w:tc>
        <w:tc>
          <w:tcPr>
            <w:tcW w:w="1276"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33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c>
          <w:tcPr>
            <w:tcW w:w="17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大部分屈服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c>
          <w:tcPr>
            <w:tcW w:w="17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普遍屈服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81"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559"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变形要求</w:t>
            </w:r>
          </w:p>
        </w:tc>
        <w:tc>
          <w:tcPr>
            <w:tcW w:w="1276" w:type="dxa"/>
            <w:vAlign w:val="center"/>
          </w:tcPr>
          <w:p>
            <w:pPr>
              <w:spacing w:line="24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1331" w:type="dxa"/>
            <w:vAlign w:val="center"/>
          </w:tcPr>
          <w:p>
            <w:pPr>
              <w:spacing w:line="24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17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控制弹塑性层间位移角</w:t>
            </w:r>
          </w:p>
        </w:tc>
        <w:tc>
          <w:tcPr>
            <w:tcW w:w="17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控制弹塑性层间位移角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0" w:hRule="atLeast"/>
        </w:trPr>
        <w:tc>
          <w:tcPr>
            <w:tcW w:w="681"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559"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整体计算方法</w:t>
            </w:r>
          </w:p>
        </w:tc>
        <w:tc>
          <w:tcPr>
            <w:tcW w:w="1276"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弹性反应谱</w:t>
            </w:r>
          </w:p>
        </w:tc>
        <w:tc>
          <w:tcPr>
            <w:tcW w:w="133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弹性反应谱</w:t>
            </w:r>
          </w:p>
        </w:tc>
        <w:tc>
          <w:tcPr>
            <w:tcW w:w="17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弹塑性分析</w:t>
            </w:r>
          </w:p>
        </w:tc>
        <w:tc>
          <w:tcPr>
            <w:tcW w:w="17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弹塑性分析</w:t>
            </w:r>
          </w:p>
        </w:tc>
      </w:tr>
    </w:tbl>
    <w:p>
      <w:pPr>
        <w:spacing w:line="240" w:lineRule="auto"/>
        <w:jc w:val="right"/>
        <w:rPr>
          <w:rFonts w:ascii="宋体" w:hAnsi="宋体"/>
          <w:color w:val="000000" w:themeColor="text1"/>
          <w:sz w:val="18"/>
          <w:szCs w:val="18"/>
          <w14:textFill>
            <w14:solidFill>
              <w14:schemeClr w14:val="tx1"/>
            </w14:solidFill>
          </w14:textFill>
        </w:rPr>
      </w:pPr>
    </w:p>
    <w:p>
      <w:pPr>
        <w:pStyle w:val="119"/>
        <w:rPr>
          <w:color w:val="000000" w:themeColor="text1"/>
          <w:sz w:val="18"/>
          <w:szCs w:val="18"/>
          <w:lang w:eastAsia="zh-CN"/>
          <w14:textFill>
            <w14:solidFill>
              <w14:schemeClr w14:val="tx1"/>
            </w14:solidFill>
          </w14:textFill>
        </w:rPr>
      </w:pPr>
      <w:r>
        <w:rPr>
          <w:rFonts w:hint="eastAsia"/>
          <w:color w:val="000000" w:themeColor="text1"/>
          <w:lang w:eastAsia="zh-CN"/>
          <w14:textFill>
            <w14:solidFill>
              <w14:schemeClr w14:val="tx1"/>
            </w14:solidFill>
          </w14:textFill>
        </w:rPr>
        <w:t>框架-筒体结构中各类构件的抗震性能目标可按表5.2.4选用。</w:t>
      </w:r>
    </w:p>
    <w:p>
      <w:pPr>
        <w:spacing w:line="240" w:lineRule="auto"/>
        <w:ind w:left="-105" w:leftChars="-50" w:right="-105" w:rightChars="-50"/>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表5.2.4  框架——筒体结构抗震性能目标</w:t>
      </w:r>
    </w:p>
    <w:tbl>
      <w:tblPr>
        <w:tblStyle w:val="31"/>
        <w:tblW w:w="8208" w:type="dxa"/>
        <w:tblInd w:w="1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53"/>
        <w:gridCol w:w="1701"/>
        <w:gridCol w:w="1320"/>
        <w:gridCol w:w="1545"/>
        <w:gridCol w:w="1544"/>
        <w:gridCol w:w="154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254" w:type="dxa"/>
            <w:gridSpan w:val="2"/>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结构构件</w:t>
            </w:r>
          </w:p>
        </w:tc>
        <w:tc>
          <w:tcPr>
            <w:tcW w:w="132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多遇地震</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（1水准）</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设防烈度地震</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（3水准）</w:t>
            </w:r>
          </w:p>
        </w:tc>
        <w:tc>
          <w:tcPr>
            <w:tcW w:w="15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罕遇地震</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（4水准）</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罕遇地震</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（5水准）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3"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关键</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构件</w:t>
            </w:r>
          </w:p>
        </w:tc>
        <w:tc>
          <w:tcPr>
            <w:tcW w:w="170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加强层伸臂</w:t>
            </w:r>
          </w:p>
        </w:tc>
        <w:tc>
          <w:tcPr>
            <w:tcW w:w="132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个别屈服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3"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70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支承伸臂作用的周边环带结构及竖向支承构件</w:t>
            </w:r>
          </w:p>
        </w:tc>
        <w:tc>
          <w:tcPr>
            <w:tcW w:w="132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个别屈服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3"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70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承托上部多个楼层框架柱的腰桁架</w:t>
            </w:r>
          </w:p>
        </w:tc>
        <w:tc>
          <w:tcPr>
            <w:tcW w:w="132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个别屈服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1" w:hRule="atLeast"/>
        </w:trPr>
        <w:tc>
          <w:tcPr>
            <w:tcW w:w="553"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70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底部加强部位的重要剪力墙</w:t>
            </w:r>
          </w:p>
        </w:tc>
        <w:tc>
          <w:tcPr>
            <w:tcW w:w="132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个别屈服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3"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普通竖向构件</w:t>
            </w:r>
          </w:p>
        </w:tc>
        <w:tc>
          <w:tcPr>
            <w:tcW w:w="170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筒体剪力墙</w:t>
            </w:r>
          </w:p>
        </w:tc>
        <w:tc>
          <w:tcPr>
            <w:tcW w:w="132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较多屈服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3"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70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框架柱</w:t>
            </w:r>
          </w:p>
        </w:tc>
        <w:tc>
          <w:tcPr>
            <w:tcW w:w="132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较多屈服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9" w:hRule="atLeast"/>
        </w:trPr>
        <w:tc>
          <w:tcPr>
            <w:tcW w:w="553"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耗能构件</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70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框架梁</w:t>
            </w:r>
          </w:p>
        </w:tc>
        <w:tc>
          <w:tcPr>
            <w:tcW w:w="132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c>
          <w:tcPr>
            <w:tcW w:w="15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较多屈服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普遍屈服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3"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70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连梁</w:t>
            </w:r>
          </w:p>
        </w:tc>
        <w:tc>
          <w:tcPr>
            <w:tcW w:w="132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c>
          <w:tcPr>
            <w:tcW w:w="15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较多屈服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普遍屈服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3"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70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变形要求</w:t>
            </w:r>
          </w:p>
        </w:tc>
        <w:tc>
          <w:tcPr>
            <w:tcW w:w="132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5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控制弹塑性层间位移角</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控制弹塑性层间位移角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0" w:hRule="atLeast"/>
        </w:trPr>
        <w:tc>
          <w:tcPr>
            <w:tcW w:w="553" w:type="dxa"/>
            <w:vMerge w:val="continue"/>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701"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整体计算方法</w:t>
            </w:r>
          </w:p>
        </w:tc>
        <w:tc>
          <w:tcPr>
            <w:tcW w:w="132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弹性反应谱</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弹性反应谱</w:t>
            </w:r>
          </w:p>
        </w:tc>
        <w:tc>
          <w:tcPr>
            <w:tcW w:w="154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弹塑性分析</w:t>
            </w:r>
          </w:p>
        </w:tc>
        <w:tc>
          <w:tcPr>
            <w:tcW w:w="1545"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弹塑性分析</w:t>
            </w:r>
          </w:p>
        </w:tc>
      </w:tr>
    </w:tbl>
    <w:p>
      <w:pPr>
        <w:spacing w:line="240" w:lineRule="auto"/>
        <w:jc w:val="right"/>
        <w:rPr>
          <w:rFonts w:ascii="宋体" w:hAnsi="宋体"/>
          <w:color w:val="000000" w:themeColor="text1"/>
          <w:sz w:val="18"/>
          <w:szCs w:val="18"/>
          <w14:textFill>
            <w14:solidFill>
              <w14:schemeClr w14:val="tx1"/>
            </w14:solidFill>
          </w14:textFill>
        </w:rPr>
      </w:pPr>
    </w:p>
    <w:p>
      <w:pPr>
        <w:rPr>
          <w:color w:val="000000" w:themeColor="text1"/>
          <w14:textFill>
            <w14:solidFill>
              <w14:schemeClr w14:val="tx1"/>
            </w14:solidFill>
          </w14:textFill>
        </w:rPr>
      </w:pPr>
    </w:p>
    <w:p>
      <w:pPr>
        <w:pStyle w:val="119"/>
        <w:rPr>
          <w:color w:val="000000" w:themeColor="text1"/>
          <w:szCs w:val="18"/>
          <w:lang w:eastAsia="zh-CN"/>
          <w14:textFill>
            <w14:solidFill>
              <w14:schemeClr w14:val="tx1"/>
            </w14:solidFill>
          </w14:textFill>
        </w:rPr>
      </w:pPr>
      <w:r>
        <w:rPr>
          <w:rFonts w:hint="eastAsia"/>
          <w:color w:val="000000" w:themeColor="text1"/>
          <w:lang w:eastAsia="zh-CN"/>
          <w14:textFill>
            <w14:solidFill>
              <w14:schemeClr w14:val="tx1"/>
            </w14:solidFill>
          </w14:textFill>
        </w:rPr>
        <w:t>框支剪力墙</w:t>
      </w:r>
      <w:r>
        <w:rPr>
          <w:rFonts w:hint="eastAsia"/>
          <w:color w:val="000000" w:themeColor="text1"/>
          <w:szCs w:val="21"/>
          <w:lang w:eastAsia="zh-CN"/>
          <w14:textFill>
            <w14:solidFill>
              <w14:schemeClr w14:val="tx1"/>
            </w14:solidFill>
          </w14:textFill>
        </w:rPr>
        <w:t>结构</w:t>
      </w:r>
      <w:r>
        <w:rPr>
          <w:rFonts w:hint="eastAsia"/>
          <w:color w:val="000000" w:themeColor="text1"/>
          <w:lang w:eastAsia="zh-CN"/>
          <w14:textFill>
            <w14:solidFill>
              <w14:schemeClr w14:val="tx1"/>
            </w14:solidFill>
          </w14:textFill>
        </w:rPr>
        <w:t>中各类构件的</w:t>
      </w:r>
      <w:r>
        <w:rPr>
          <w:rFonts w:hint="eastAsia"/>
          <w:color w:val="000000" w:themeColor="text1"/>
          <w:szCs w:val="21"/>
          <w:lang w:eastAsia="zh-CN"/>
          <w14:textFill>
            <w14:solidFill>
              <w14:schemeClr w14:val="tx1"/>
            </w14:solidFill>
          </w14:textFill>
        </w:rPr>
        <w:t>抗震性能</w:t>
      </w:r>
      <w:r>
        <w:rPr>
          <w:rFonts w:hint="eastAsia"/>
          <w:color w:val="000000" w:themeColor="text1"/>
          <w:lang w:eastAsia="zh-CN"/>
          <w14:textFill>
            <w14:solidFill>
              <w14:schemeClr w14:val="tx1"/>
            </w14:solidFill>
          </w14:textFill>
        </w:rPr>
        <w:t>目标</w:t>
      </w:r>
      <w:r>
        <w:rPr>
          <w:rFonts w:hint="eastAsia"/>
          <w:color w:val="000000" w:themeColor="text1"/>
          <w:szCs w:val="21"/>
          <w:lang w:eastAsia="zh-CN"/>
          <w14:textFill>
            <w14:solidFill>
              <w14:schemeClr w14:val="tx1"/>
            </w14:solidFill>
          </w14:textFill>
        </w:rPr>
        <w:t>可按表</w:t>
      </w:r>
      <w:r>
        <w:rPr>
          <w:rFonts w:hint="eastAsia"/>
          <w:color w:val="000000" w:themeColor="text1"/>
          <w:lang w:eastAsia="zh-CN"/>
          <w14:textFill>
            <w14:solidFill>
              <w14:schemeClr w14:val="tx1"/>
            </w14:solidFill>
          </w14:textFill>
        </w:rPr>
        <w:t>5.2.5选用。</w:t>
      </w:r>
    </w:p>
    <w:p>
      <w:pPr>
        <w:spacing w:line="240" w:lineRule="auto"/>
        <w:ind w:left="-105" w:leftChars="-50" w:right="-105" w:rightChars="-50"/>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表5.2.5  框支剪力墙结构抗震性能目标</w:t>
      </w:r>
    </w:p>
    <w:tbl>
      <w:tblPr>
        <w:tblStyle w:val="31"/>
        <w:tblW w:w="8208" w:type="dxa"/>
        <w:tblInd w:w="1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80"/>
        <w:gridCol w:w="1433"/>
        <w:gridCol w:w="1523"/>
        <w:gridCol w:w="1524"/>
        <w:gridCol w:w="1524"/>
        <w:gridCol w:w="15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113" w:type="dxa"/>
            <w:gridSpan w:val="2"/>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结构构件</w:t>
            </w:r>
          </w:p>
        </w:tc>
        <w:tc>
          <w:tcPr>
            <w:tcW w:w="1523" w:type="dxa"/>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多遇地震</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（1水准）</w:t>
            </w:r>
          </w:p>
        </w:tc>
        <w:tc>
          <w:tcPr>
            <w:tcW w:w="1524" w:type="dxa"/>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设防烈度地震</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（3水准）</w:t>
            </w:r>
          </w:p>
        </w:tc>
        <w:tc>
          <w:tcPr>
            <w:tcW w:w="1524" w:type="dxa"/>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罕遇地震</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（4水准）</w:t>
            </w:r>
          </w:p>
        </w:tc>
        <w:tc>
          <w:tcPr>
            <w:tcW w:w="1524" w:type="dxa"/>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罕遇地震</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（5水准）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80"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关键构件</w:t>
            </w:r>
          </w:p>
        </w:tc>
        <w:tc>
          <w:tcPr>
            <w:tcW w:w="143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框支柱</w:t>
            </w:r>
          </w:p>
        </w:tc>
        <w:tc>
          <w:tcPr>
            <w:tcW w:w="152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个别屈服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8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43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转换梁</w:t>
            </w:r>
          </w:p>
        </w:tc>
        <w:tc>
          <w:tcPr>
            <w:tcW w:w="152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个别屈服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8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43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转换层以下落地剪力墙</w:t>
            </w:r>
          </w:p>
        </w:tc>
        <w:tc>
          <w:tcPr>
            <w:tcW w:w="152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个别屈服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80" w:type="dxa"/>
            <w:vMerge w:val="continue"/>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43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转换层以上加强层部位的重要剪力墙</w:t>
            </w:r>
          </w:p>
        </w:tc>
        <w:tc>
          <w:tcPr>
            <w:tcW w:w="152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个别屈服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8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普通竖向构件</w:t>
            </w:r>
          </w:p>
        </w:tc>
        <w:tc>
          <w:tcPr>
            <w:tcW w:w="143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除关键构件外的剪力墙</w:t>
            </w:r>
          </w:p>
        </w:tc>
        <w:tc>
          <w:tcPr>
            <w:tcW w:w="152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较多屈服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80"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耗能构件</w:t>
            </w:r>
          </w:p>
        </w:tc>
        <w:tc>
          <w:tcPr>
            <w:tcW w:w="143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连梁</w:t>
            </w:r>
          </w:p>
        </w:tc>
        <w:tc>
          <w:tcPr>
            <w:tcW w:w="152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大部分屈服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普遍屈服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680" w:type="dxa"/>
            <w:vMerge w:val="restart"/>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43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转换层处楼板</w:t>
            </w:r>
          </w:p>
        </w:tc>
        <w:tc>
          <w:tcPr>
            <w:tcW w:w="152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个别屈服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680" w:type="dxa"/>
            <w:vMerge w:val="continue"/>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43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变形要求</w:t>
            </w:r>
          </w:p>
        </w:tc>
        <w:tc>
          <w:tcPr>
            <w:tcW w:w="1523"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1524"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控制弹塑性层间位移角</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控制弹塑性层间位移角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0" w:hRule="atLeast"/>
        </w:trPr>
        <w:tc>
          <w:tcPr>
            <w:tcW w:w="680" w:type="dxa"/>
            <w:vMerge w:val="continue"/>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p>
        </w:tc>
        <w:tc>
          <w:tcPr>
            <w:tcW w:w="143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整体计算方法</w:t>
            </w:r>
          </w:p>
        </w:tc>
        <w:tc>
          <w:tcPr>
            <w:tcW w:w="1523"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弹性反应谱</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弹性反应谱</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弹塑性分析</w:t>
            </w:r>
          </w:p>
        </w:tc>
        <w:tc>
          <w:tcPr>
            <w:tcW w:w="1524" w:type="dxa"/>
            <w:vAlign w:val="center"/>
          </w:tcPr>
          <w:p>
            <w:pPr>
              <w:adjustRightInd w:val="0"/>
              <w:snapToGrid w:val="0"/>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弹塑性分析</w:t>
            </w:r>
          </w:p>
        </w:tc>
      </w:tr>
    </w:tbl>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对于破坏危及整个结构安全的关键构件，其抗震性能目标可按表</w:t>
      </w:r>
      <w:r>
        <w:rPr>
          <w:rFonts w:hint="eastAsia"/>
          <w:color w:val="000000" w:themeColor="text1"/>
          <w:lang w:eastAsia="zh-CN"/>
          <w14:textFill>
            <w14:solidFill>
              <w14:schemeClr w14:val="tx1"/>
            </w14:solidFill>
          </w14:textFill>
        </w:rPr>
        <w:t>5</w:t>
      </w:r>
      <w:r>
        <w:rPr>
          <w:color w:val="000000" w:themeColor="text1"/>
          <w:lang w:eastAsia="zh-CN"/>
          <w14:textFill>
            <w14:solidFill>
              <w14:schemeClr w14:val="tx1"/>
            </w14:solidFill>
          </w14:textFill>
        </w:rPr>
        <w:t>.</w:t>
      </w:r>
      <w:r>
        <w:rPr>
          <w:rFonts w:hint="eastAsia"/>
          <w:color w:val="000000" w:themeColor="text1"/>
          <w:lang w:eastAsia="zh-CN"/>
          <w14:textFill>
            <w14:solidFill>
              <w14:schemeClr w14:val="tx1"/>
            </w14:solidFill>
          </w14:textFill>
        </w:rPr>
        <w:t>2</w:t>
      </w:r>
      <w:r>
        <w:rPr>
          <w:color w:val="000000" w:themeColor="text1"/>
          <w:lang w:eastAsia="zh-CN"/>
          <w14:textFill>
            <w14:solidFill>
              <w14:schemeClr w14:val="tx1"/>
            </w14:solidFill>
          </w14:textFill>
        </w:rPr>
        <w:t>.</w:t>
      </w:r>
      <w:r>
        <w:rPr>
          <w:rFonts w:hint="eastAsia"/>
          <w:color w:val="000000" w:themeColor="text1"/>
          <w:lang w:eastAsia="zh-CN"/>
          <w14:textFill>
            <w14:solidFill>
              <w14:schemeClr w14:val="tx1"/>
            </w14:solidFill>
          </w14:textFill>
        </w:rPr>
        <w:t>6</w:t>
      </w:r>
      <w:r>
        <w:rPr>
          <w:color w:val="000000" w:themeColor="text1"/>
          <w:lang w:eastAsia="zh-CN"/>
          <w14:textFill>
            <w14:solidFill>
              <w14:schemeClr w14:val="tx1"/>
            </w14:solidFill>
          </w14:textFill>
        </w:rPr>
        <w:t>的要求选用。</w:t>
      </w:r>
    </w:p>
    <w:p>
      <w:pPr>
        <w:spacing w:line="240" w:lineRule="auto"/>
        <w:ind w:left="0" w:firstLine="1144" w:firstLineChars="543"/>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表</w:t>
      </w:r>
      <w:r>
        <w:rPr>
          <w:rFonts w:hint="eastAsia" w:ascii="宋体" w:hAnsi="宋体"/>
          <w:b/>
          <w:color w:val="000000" w:themeColor="text1"/>
          <w:szCs w:val="21"/>
          <w14:textFill>
            <w14:solidFill>
              <w14:schemeClr w14:val="tx1"/>
            </w14:solidFill>
          </w14:textFill>
        </w:rPr>
        <w:t>5.2.6</w:t>
      </w:r>
      <w:r>
        <w:rPr>
          <w:rFonts w:ascii="宋体" w:hAnsi="宋体"/>
          <w:b/>
          <w:color w:val="000000" w:themeColor="text1"/>
          <w:szCs w:val="21"/>
          <w14:textFill>
            <w14:solidFill>
              <w14:schemeClr w14:val="tx1"/>
            </w14:solidFill>
          </w14:textFill>
        </w:rPr>
        <w:t xml:space="preserve">  结构中关键构件的抗震性能目标</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2268"/>
        <w:gridCol w:w="2545"/>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性能目标</w:t>
            </w:r>
          </w:p>
        </w:tc>
        <w:tc>
          <w:tcPr>
            <w:tcW w:w="2268" w:type="dxa"/>
          </w:tcPr>
          <w:p>
            <w:pPr>
              <w:spacing w:line="240" w:lineRule="auto"/>
              <w:ind w:left="0"/>
              <w:jc w:val="center"/>
              <w:rPr>
                <w:rFonts w:ascii="宋体" w:hAnsi="宋体"/>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多遇地震</w:t>
            </w:r>
          </w:p>
        </w:tc>
        <w:tc>
          <w:tcPr>
            <w:tcW w:w="2545" w:type="dxa"/>
          </w:tcPr>
          <w:p>
            <w:pPr>
              <w:spacing w:line="240" w:lineRule="auto"/>
              <w:ind w:left="0"/>
              <w:jc w:val="center"/>
              <w:rPr>
                <w:rFonts w:ascii="宋体" w:hAnsi="宋体"/>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设防烈度地震</w:t>
            </w:r>
          </w:p>
        </w:tc>
        <w:tc>
          <w:tcPr>
            <w:tcW w:w="2131" w:type="dxa"/>
          </w:tcPr>
          <w:p>
            <w:pPr>
              <w:spacing w:line="240" w:lineRule="auto"/>
              <w:ind w:left="0"/>
              <w:jc w:val="center"/>
              <w:rPr>
                <w:rFonts w:ascii="宋体" w:hAnsi="宋体"/>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罕遇地震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w:t>
            </w:r>
          </w:p>
        </w:tc>
        <w:tc>
          <w:tcPr>
            <w:tcW w:w="2268" w:type="dxa"/>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2545" w:type="dxa"/>
          </w:tcPr>
          <w:p>
            <w:pPr>
              <w:spacing w:line="240" w:lineRule="auto"/>
              <w:ind w:left="0"/>
              <w:jc w:val="center"/>
              <w:rPr>
                <w:rFonts w:ascii="宋体" w:hAnsi="宋体"/>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弹性</w:t>
            </w:r>
          </w:p>
        </w:tc>
        <w:tc>
          <w:tcPr>
            <w:tcW w:w="2131" w:type="dxa"/>
          </w:tcPr>
          <w:p>
            <w:pPr>
              <w:spacing w:line="240" w:lineRule="auto"/>
              <w:ind w:left="0"/>
              <w:jc w:val="center"/>
              <w:rPr>
                <w:rFonts w:ascii="宋体" w:hAnsi="宋体"/>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B</w:t>
            </w:r>
          </w:p>
        </w:tc>
        <w:tc>
          <w:tcPr>
            <w:tcW w:w="2268" w:type="dxa"/>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2545" w:type="dxa"/>
          </w:tcPr>
          <w:p>
            <w:pPr>
              <w:spacing w:line="240" w:lineRule="auto"/>
              <w:ind w:left="0"/>
              <w:jc w:val="center"/>
              <w:rPr>
                <w:rFonts w:ascii="宋体" w:hAnsi="宋体"/>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弹性</w:t>
            </w:r>
          </w:p>
        </w:tc>
        <w:tc>
          <w:tcPr>
            <w:tcW w:w="2131" w:type="dxa"/>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剪、压</w:t>
            </w:r>
            <w:r>
              <w:rPr>
                <w:rFonts w:ascii="宋体" w:hAnsi="宋体"/>
                <w:bCs/>
                <w:color w:val="000000" w:themeColor="text1"/>
                <w:szCs w:val="21"/>
                <w14:textFill>
                  <w14:solidFill>
                    <w14:schemeClr w14:val="tx1"/>
                  </w14:solidFill>
                </w14:textFill>
              </w:rPr>
              <w:t>不屈服</w:t>
            </w:r>
          </w:p>
        </w:tc>
      </w:tr>
    </w:tbl>
    <w:p>
      <w:pPr>
        <w:spacing w:line="240" w:lineRule="auto"/>
        <w:ind w:left="630" w:leftChars="100" w:hanging="420" w:hanging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注：大跨连体结构的连接体及其相连的竖向支承构件、大悬挑结构的主要悬挑构件、扭转变形很大部位的竖向（斜向）构件、重要的斜撑构件、错层柱墙等，视其实际受力状况确定是否定义为结构中的关键构件。</w:t>
      </w:r>
    </w:p>
    <w:p>
      <w:pPr>
        <w:pStyle w:val="119"/>
        <w:rPr>
          <w:color w:val="000000" w:themeColor="text1"/>
          <w:szCs w:val="18"/>
          <w:lang w:eastAsia="zh-CN"/>
          <w14:textFill>
            <w14:solidFill>
              <w14:schemeClr w14:val="tx1"/>
            </w14:solidFill>
          </w14:textFill>
        </w:rPr>
      </w:pPr>
      <w:r>
        <w:rPr>
          <w:rFonts w:hint="eastAsia"/>
          <w:color w:val="000000" w:themeColor="text1"/>
          <w:lang w:eastAsia="zh-CN"/>
          <w14:textFill>
            <w14:solidFill>
              <w14:schemeClr w14:val="tx1"/>
            </w14:solidFill>
          </w14:textFill>
        </w:rPr>
        <w:t>楼盖结构的</w:t>
      </w:r>
      <w:r>
        <w:rPr>
          <w:rFonts w:hint="eastAsia"/>
          <w:color w:val="000000" w:themeColor="text1"/>
          <w:szCs w:val="21"/>
          <w:lang w:eastAsia="zh-CN"/>
          <w14:textFill>
            <w14:solidFill>
              <w14:schemeClr w14:val="tx1"/>
            </w14:solidFill>
          </w14:textFill>
        </w:rPr>
        <w:t>抗震性能</w:t>
      </w:r>
      <w:r>
        <w:rPr>
          <w:rFonts w:hint="eastAsia"/>
          <w:color w:val="000000" w:themeColor="text1"/>
          <w:lang w:eastAsia="zh-CN"/>
          <w14:textFill>
            <w14:solidFill>
              <w14:schemeClr w14:val="tx1"/>
            </w14:solidFill>
          </w14:textFill>
        </w:rPr>
        <w:t>目标</w:t>
      </w:r>
      <w:r>
        <w:rPr>
          <w:rFonts w:hint="eastAsia"/>
          <w:color w:val="000000" w:themeColor="text1"/>
          <w:szCs w:val="21"/>
          <w:lang w:eastAsia="zh-CN"/>
          <w14:textFill>
            <w14:solidFill>
              <w14:schemeClr w14:val="tx1"/>
            </w14:solidFill>
          </w14:textFill>
        </w:rPr>
        <w:t>可按表</w:t>
      </w:r>
      <w:r>
        <w:rPr>
          <w:rFonts w:hint="eastAsia"/>
          <w:color w:val="000000" w:themeColor="text1"/>
          <w:lang w:eastAsia="zh-CN"/>
          <w14:textFill>
            <w14:solidFill>
              <w14:schemeClr w14:val="tx1"/>
            </w14:solidFill>
          </w14:textFill>
        </w:rPr>
        <w:t>5.2.7选用。</w:t>
      </w:r>
    </w:p>
    <w:p>
      <w:pPr>
        <w:spacing w:line="240" w:lineRule="auto"/>
        <w:ind w:left="-105" w:leftChars="-50" w:right="-105" w:rightChars="-50"/>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表5.2.7  楼盖抗震性能水准</w:t>
      </w:r>
    </w:p>
    <w:tbl>
      <w:tblPr>
        <w:tblStyle w:val="31"/>
        <w:tblW w:w="8038" w:type="dxa"/>
        <w:tblInd w:w="1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4"/>
        <w:gridCol w:w="1701"/>
        <w:gridCol w:w="1701"/>
        <w:gridCol w:w="1701"/>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8" w:hRule="atLeast"/>
        </w:trPr>
        <w:tc>
          <w:tcPr>
            <w:tcW w:w="1234"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关键构件</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多遇地震</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（1水准）</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设防烈度地震</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（3水准）</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罕遇地震</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（4水准）</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罕遇地震</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（5水准）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 w:hRule="atLeast"/>
        </w:trPr>
        <w:tc>
          <w:tcPr>
            <w:tcW w:w="1234"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一般楼盖</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抗剪不屈服</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较多屈服</w:t>
            </w:r>
          </w:p>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满足截面抗剪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 w:hRule="atLeast"/>
        </w:trPr>
        <w:tc>
          <w:tcPr>
            <w:tcW w:w="1234"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弱连接楼盖</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抗剪弹性</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不屈服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 w:hRule="atLeast"/>
        </w:trPr>
        <w:tc>
          <w:tcPr>
            <w:tcW w:w="1234"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板端抗弯</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允许屈服</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允许屈服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 w:hRule="atLeast"/>
        </w:trPr>
        <w:tc>
          <w:tcPr>
            <w:tcW w:w="1234"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楼盖梁抗弯</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弹性</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部分屈服</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允许屈服</w:t>
            </w:r>
          </w:p>
        </w:tc>
        <w:tc>
          <w:tcPr>
            <w:tcW w:w="1701"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允许屈服</w:t>
            </w:r>
          </w:p>
        </w:tc>
      </w:tr>
    </w:tbl>
    <w:p>
      <w:pPr>
        <w:spacing w:line="240" w:lineRule="auto"/>
        <w:ind w:left="630" w:leftChars="100" w:hanging="420" w:hanging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注：表中不屈服指截面内钢筋应力低于屈服强度标准值，弹性指混凝土楼板面内主拉应力不超过混凝土抗拉强度标准值。</w:t>
      </w:r>
    </w:p>
    <w:p>
      <w:pPr>
        <w:spacing w:line="240" w:lineRule="auto"/>
        <w:ind w:left="630" w:leftChars="100" w:hanging="420" w:hangingChars="200"/>
        <w:jc w:val="left"/>
        <w:rPr>
          <w:rFonts w:ascii="宋体" w:hAnsi="宋体"/>
          <w:color w:val="000000" w:themeColor="text1"/>
          <w:szCs w:val="21"/>
          <w14:textFill>
            <w14:solidFill>
              <w14:schemeClr w14:val="tx1"/>
            </w14:solidFill>
          </w14:textFill>
        </w:rPr>
      </w:pPr>
    </w:p>
    <w:p>
      <w:pPr>
        <w:pStyle w:val="60"/>
        <w:spacing w:beforeLines="0" w:afterLines="0" w:line="240" w:lineRule="auto"/>
        <w:rPr>
          <w:color w:val="000000" w:themeColor="text1"/>
          <w14:textFill>
            <w14:solidFill>
              <w14:schemeClr w14:val="tx1"/>
            </w14:solidFill>
          </w14:textFill>
        </w:rPr>
      </w:pPr>
      <w:bookmarkStart w:id="24" w:name="_Toc24714199"/>
      <w:r>
        <w:rPr>
          <w:rFonts w:hint="eastAsia"/>
          <w:color w:val="000000" w:themeColor="text1"/>
          <w14:textFill>
            <w14:solidFill>
              <w14:schemeClr w14:val="tx1"/>
            </w14:solidFill>
          </w14:textFill>
        </w:rPr>
        <w:t>结构计算分析</w:t>
      </w:r>
      <w:bookmarkEnd w:id="24"/>
    </w:p>
    <w:p>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5" w:name="_Toc24714200"/>
      <w:r>
        <w:rPr>
          <w:rFonts w:hint="eastAsia"/>
          <w:color w:val="000000" w:themeColor="text1"/>
          <w14:textFill>
            <w14:solidFill>
              <w14:schemeClr w14:val="tx1"/>
            </w14:solidFill>
          </w14:textFill>
        </w:rPr>
        <w:t>一般规定</w:t>
      </w:r>
      <w:bookmarkEnd w:id="25"/>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结构分析模型应根据结构实际情况确定。风及多遇地震作用下结构的变形和内力可按弹性方法计算，设防烈度地震作用下宜近似采用弹性方法计算，罕遇地震地震作用下应根据性能目标要求采取弹塑性方法计算或近似采用弹性方法计算。</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高层建筑具有特别复杂体型或采用的结构体系未见于规范规定时，应进行多结构方案比较分析，确定适宜的结构体系。</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当楼板可能产生较为明显的面内应力时，计算时应考虑楼板的面内变形。</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高层建筑在进行重力荷载作用效应分析时，柱、墙、斜撑等构件的轴向变形宜考虑施工过程的影响；复杂高层建筑及房屋高度大于150米的其它高层建筑结构，应考虑施工过程的影响。</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复杂形状截面的混凝土构件及型钢混凝土构件，应按构件实际情况进行计算，并按有关规定进行构件截面设计。</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体型复杂、结构布置复杂以及高度超过250米的高层建筑，应采用至少两个不同力学模型的结构分析软件进行整体分析，高度超过350米的复杂高层建筑宜采用至少两个不同力学模型的结构分析软件进行弹塑性分析。</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对于有大开洞、弱连接的楼盖结构，当楼板面内应力较复杂时，应补充弹性时程分析法验证。</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对于不需抗震超限专项审查但有不规则项的高层建筑，应对相应超限项进行分析，并采取相应的加强措施。</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对于大跨、长悬臂结构应进行楼板舒适度分析。</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选取结构计算嵌固端时应考虑楼板的完整性、高差、地下室墙柱抗侧抗扭刚度及外墙土体侧向约束等影响综合确定。</w:t>
      </w:r>
    </w:p>
    <w:p>
      <w:pPr>
        <w:pStyle w:val="119"/>
        <w:tabs>
          <w:tab w:val="left" w:pos="1701"/>
        </w:tabs>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高度超过250米的高层建筑，宜进行收缩徐变对结构不利影响的计算。</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多塔结构应按实际情况进行整体计算，并对裙房楼盖进行温度收缩影响的分析。在裙房设置的后浇带封闭前，宜按后浇带范围内的单塔（或多塔）连接裙房部分进行10年一遇风作用复核。</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当剪力墙承受面外弯矩和剪力作用时，应复核剪力墙的面外承载力。</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平动耦连作用明显的高层建筑应考虑斜向输入或双向输入地震作用。</w:t>
      </w:r>
    </w:p>
    <w:p>
      <w:pPr>
        <w:spacing w:line="240" w:lineRule="auto"/>
        <w:jc w:val="center"/>
        <w:rPr>
          <w:b/>
          <w:color w:val="000000" w:themeColor="text1"/>
          <w:sz w:val="24"/>
          <w:lang w:val="en-GB"/>
          <w14:textFill>
            <w14:solidFill>
              <w14:schemeClr w14:val="tx1"/>
            </w14:solidFill>
          </w14:textFill>
        </w:rPr>
      </w:pPr>
    </w:p>
    <w:p>
      <w:pPr>
        <w:pStyle w:val="61"/>
        <w:rPr>
          <w:color w:val="000000" w:themeColor="text1"/>
          <w14:textFill>
            <w14:solidFill>
              <w14:schemeClr w14:val="tx1"/>
            </w14:solidFill>
          </w14:textFill>
        </w:rPr>
      </w:pPr>
      <w:bookmarkStart w:id="26" w:name="_Toc24714201"/>
      <w:r>
        <w:rPr>
          <w:rFonts w:hint="eastAsia"/>
          <w:color w:val="000000" w:themeColor="text1"/>
          <w14:textFill>
            <w14:solidFill>
              <w14:schemeClr w14:val="tx1"/>
            </w14:solidFill>
          </w14:textFill>
        </w:rPr>
        <w:t>计算参数</w:t>
      </w:r>
      <w:r>
        <w:rPr>
          <w:rFonts w:hint="eastAsia"/>
          <w:color w:val="000000" w:themeColor="text1"/>
          <w:lang w:eastAsia="zh-CN"/>
          <w14:textFill>
            <w14:solidFill>
              <w14:schemeClr w14:val="tx1"/>
            </w14:solidFill>
          </w14:textFill>
        </w:rPr>
        <w:t>与计算模型</w:t>
      </w:r>
      <w:bookmarkEnd w:id="26"/>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进行风作用计算时，连梁的刚度折减系数取1.0；按反应谱方法进行多遇地震作用效应计算时连梁的刚度折减系数取0.7～0.8，进行设防烈度地震作用效应计算时连梁刚度折减系数取0.5，进行罕遇地震作用效应计算时连梁刚度折减系数取0.3。</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结构楼面梁受扭计算时应考虑现浇楼盖对梁的约束作用。当梁扭矩主要由其上部的偏心荷载引起时，可根据楼板对梁的约束作用选取扭转折减系数取0.4；当梁扭矩主要由平面内梁板荷载引起时，梁的扭转折减系数取1.0。</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计算各振型地震影响系数所采用的结构自振周期应考虑非承重墙体的刚度影响予以折减。当非承重墙体为砌体墙时，高层建筑结构的计算自振周期折减系数可按下列规定取值：</w:t>
      </w:r>
    </w:p>
    <w:p>
      <w:pPr>
        <w:spacing w:line="240" w:lineRule="auto"/>
        <w:rPr>
          <w:rFonts w:ascii="宋体" w:hAnsi="宋体"/>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1 </w:t>
      </w:r>
      <w:r>
        <w:rPr>
          <w:rFonts w:hint="eastAsia"/>
          <w:color w:val="000000" w:themeColor="text1"/>
          <w:sz w:val="24"/>
          <w:szCs w:val="24"/>
          <w14:textFill>
            <w14:solidFill>
              <w14:schemeClr w14:val="tx1"/>
            </w14:solidFill>
          </w14:textFill>
        </w:rPr>
        <w:t>框架结构可取</w:t>
      </w:r>
      <w:r>
        <w:rPr>
          <w:color w:val="000000" w:themeColor="text1"/>
          <w:sz w:val="24"/>
          <w:szCs w:val="24"/>
          <w14:textFill>
            <w14:solidFill>
              <w14:schemeClr w14:val="tx1"/>
            </w14:solidFill>
          </w14:textFill>
        </w:rPr>
        <w:t>0.6</w:t>
      </w:r>
      <w:r>
        <w:rPr>
          <w:rFonts w:hint="eastAsia" w:ascii="宋体" w:hAnsi="宋体"/>
          <w:color w:val="000000" w:themeColor="text1"/>
          <w:sz w:val="24"/>
          <w:szCs w:val="24"/>
          <w14:textFill>
            <w14:solidFill>
              <w14:schemeClr w14:val="tx1"/>
            </w14:solidFill>
          </w14:textFill>
        </w:rPr>
        <w:t>～0.7；</w:t>
      </w:r>
    </w:p>
    <w:p>
      <w:p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框架-剪力墙结构可取0.7～0.8；</w:t>
      </w:r>
    </w:p>
    <w:p>
      <w:p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 框架-核心筒结构可取0.8～0.9；</w:t>
      </w:r>
    </w:p>
    <w:p>
      <w:p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 剪力墙结构可取0.8～1.0。</w:t>
      </w:r>
    </w:p>
    <w:p>
      <w:p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对于其他结构体系或采用其他承重墙体时，可根据工程情况确定周期折减系数。</w:t>
      </w:r>
    </w:p>
    <w:p>
      <w:pPr>
        <w:pStyle w:val="119"/>
        <w:rPr>
          <w:b/>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构地震及风作用下分析时应选取符合结构变形及材料性能的阻尼比。当建筑结构中有多种不同材料时宜采用应变能阻尼法考虑不同阻尼对结构的影响。当近似采用单一阻尼比进行计算时，钢结构部分的内力计算阻尼比宜取0.02。</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应选取符合结构实际的计算模型，并根据相应的计算结果进行设计。</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框架梁、柱中心线宜重合。当框架梁、柱中心线不重合时，梁、柱中心线之间的偏心距不宜大于柱截面在该方向宽度的1/4，超过时应进行分析论证并应采取加强措施，必要时进行荷载试验。</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对于剪力墙端部局部加厚或有端柱的情况，应根据构件的受力情况选取不同计算模型进行计算复核。</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宜对转换层及转换层上部结构进行整体有限元分析。</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重要结构构件节点宜进行实体有限元分析。</w:t>
      </w:r>
    </w:p>
    <w:p>
      <w:pPr>
        <w:spacing w:line="240" w:lineRule="auto"/>
        <w:ind w:left="0"/>
        <w:jc w:val="center"/>
        <w:rPr>
          <w:rFonts w:ascii="宋体" w:hAnsi="宋体"/>
          <w:color w:val="000000" w:themeColor="text1"/>
          <w:sz w:val="24"/>
          <w:szCs w:val="24"/>
          <w14:textFill>
            <w14:solidFill>
              <w14:schemeClr w14:val="tx1"/>
            </w14:solidFill>
          </w14:textFill>
        </w:rPr>
      </w:pPr>
    </w:p>
    <w:p>
      <w:pPr>
        <w:pStyle w:val="61"/>
        <w:rPr>
          <w:color w:val="000000" w:themeColor="text1"/>
          <w14:textFill>
            <w14:solidFill>
              <w14:schemeClr w14:val="tx1"/>
            </w14:solidFill>
          </w14:textFill>
        </w:rPr>
      </w:pPr>
      <w:bookmarkStart w:id="27" w:name="_Toc24714202"/>
      <w:r>
        <w:rPr>
          <w:rFonts w:hint="eastAsia"/>
          <w:color w:val="000000" w:themeColor="text1"/>
          <w14:textFill>
            <w14:solidFill>
              <w14:schemeClr w14:val="tx1"/>
            </w14:solidFill>
          </w14:textFill>
        </w:rPr>
        <w:t>剪力墙全截面受拉</w:t>
      </w:r>
      <w:bookmarkEnd w:id="27"/>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当剪力墙在偶遇及罕遇地震作用下出现全截面受拉，且名义拉应力超过1.3f</w:t>
      </w:r>
      <w:r>
        <w:rPr>
          <w:rFonts w:hint="eastAsia"/>
          <w:color w:val="000000" w:themeColor="text1"/>
          <w:vertAlign w:val="subscript"/>
          <w:lang w:eastAsia="zh-CN"/>
          <w14:textFill>
            <w14:solidFill>
              <w14:schemeClr w14:val="tx1"/>
            </w14:solidFill>
          </w14:textFill>
        </w:rPr>
        <w:t>tk</w:t>
      </w:r>
      <w:r>
        <w:rPr>
          <w:rFonts w:hint="eastAsia"/>
          <w:color w:val="000000" w:themeColor="text1"/>
          <w:lang w:eastAsia="zh-CN"/>
          <w14:textFill>
            <w14:solidFill>
              <w14:schemeClr w14:val="tx1"/>
            </w14:solidFill>
          </w14:textFill>
        </w:rPr>
        <w:t>时，剪力墙截面配筋应按拉抗拉承载力进行验算，满足抗拉不屈服或弹性性能目标要求。</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剪力墙拉力设计值可采用塑性调幅系数0.8~0.9调整。</w:t>
      </w:r>
    </w:p>
    <w:p>
      <w:pPr>
        <w:spacing w:line="240" w:lineRule="auto"/>
        <w:ind w:left="0"/>
        <w:jc w:val="center"/>
        <w:rPr>
          <w:rFonts w:ascii="宋体" w:hAnsi="宋体"/>
          <w:color w:val="000000" w:themeColor="text1"/>
          <w:sz w:val="24"/>
          <w:szCs w:val="24"/>
          <w14:textFill>
            <w14:solidFill>
              <w14:schemeClr w14:val="tx1"/>
            </w14:solidFill>
          </w14:textFill>
        </w:rPr>
      </w:pPr>
    </w:p>
    <w:p>
      <w:pPr>
        <w:pStyle w:val="61"/>
        <w:rPr>
          <w:color w:val="000000" w:themeColor="text1"/>
          <w:lang w:eastAsia="zh-CN"/>
          <w14:textFill>
            <w14:solidFill>
              <w14:schemeClr w14:val="tx1"/>
            </w14:solidFill>
          </w14:textFill>
        </w:rPr>
      </w:pPr>
      <w:bookmarkStart w:id="28" w:name="_Toc24714203"/>
      <w:r>
        <w:rPr>
          <w:rFonts w:hint="eastAsia"/>
          <w:color w:val="000000" w:themeColor="text1"/>
          <w:lang w:eastAsia="zh-CN"/>
          <w14:textFill>
            <w14:solidFill>
              <w14:schemeClr w14:val="tx1"/>
            </w14:solidFill>
          </w14:textFill>
        </w:rPr>
        <w:t>重力二阶效应及结构稳定</w:t>
      </w:r>
      <w:bookmarkEnd w:id="28"/>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高层建筑宜考虑结构的重力二阶效应。自重下有侧移和刚度质量沿高度分布不均匀的高层建筑及超高层建筑应考虑结构的重力二阶效应。</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结构的总体稳定性宜按整体结构在重力荷载设计值作用下的结构整体屈曲进行分析，结构的屈曲因子不宜小于9。</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结构的局部（柱）稳定性验算应考虑罕遇地震下的附加轴力，其水平构件的约束宜按铰考虑。</w:t>
      </w:r>
    </w:p>
    <w:p>
      <w:pPr>
        <w:pStyle w:val="61"/>
        <w:rPr>
          <w:rFonts w:hAnsi="Times New Roman"/>
          <w:color w:val="000000" w:themeColor="text1"/>
          <w14:textFill>
            <w14:solidFill>
              <w14:schemeClr w14:val="tx1"/>
            </w14:solidFill>
          </w14:textFill>
        </w:rPr>
      </w:pPr>
      <w:bookmarkStart w:id="29" w:name="_Toc24714204"/>
      <w:r>
        <w:rPr>
          <w:color w:val="000000" w:themeColor="text1"/>
          <w14:textFill>
            <w14:solidFill>
              <w14:schemeClr w14:val="tx1"/>
            </w14:solidFill>
          </w14:textFill>
        </w:rPr>
        <w:t>弹性时程分析</w:t>
      </w:r>
      <w:bookmarkEnd w:id="29"/>
    </w:p>
    <w:p>
      <w:pPr>
        <w:pStyle w:val="119"/>
        <w:rPr>
          <w:rFonts w:hAnsi="Times New Roman"/>
          <w:color w:val="000000" w:themeColor="text1"/>
          <w:lang w:eastAsia="zh-CN"/>
          <w14:textFill>
            <w14:solidFill>
              <w14:schemeClr w14:val="tx1"/>
            </w14:solidFill>
          </w14:textFill>
        </w:rPr>
      </w:pPr>
      <w:bookmarkStart w:id="30" w:name="_Toc379895635"/>
      <w:r>
        <w:rPr>
          <w:color w:val="000000" w:themeColor="text1"/>
          <w:lang w:eastAsia="zh-CN"/>
          <w14:textFill>
            <w14:solidFill>
              <w14:schemeClr w14:val="tx1"/>
            </w14:solidFill>
          </w14:textFill>
        </w:rPr>
        <w:t>对下列情况应采用多遇地震下的弹性时程分析进行补充计算：</w:t>
      </w:r>
      <w:bookmarkEnd w:id="30"/>
    </w:p>
    <w:p>
      <w:pPr>
        <w:spacing w:line="240" w:lineRule="auto"/>
        <w:ind w:left="0" w:firstLine="360" w:firstLineChars="150"/>
        <w:rPr>
          <w:rFonts w:ascii="Times New Roman" w:hAnsi="宋体"/>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宋体"/>
          <w:color w:val="000000" w:themeColor="text1"/>
          <w:sz w:val="24"/>
          <w:szCs w:val="24"/>
          <w14:textFill>
            <w14:solidFill>
              <w14:schemeClr w14:val="tx1"/>
            </w14:solidFill>
          </w14:textFill>
        </w:rPr>
        <w:t>超限高层建筑结构；</w:t>
      </w:r>
    </w:p>
    <w:p>
      <w:pPr>
        <w:spacing w:line="240" w:lineRule="auto"/>
        <w:ind w:left="0" w:firstLine="360" w:firstLineChars="15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 xml:space="preserve">2 </w:t>
      </w:r>
      <w:r>
        <w:rPr>
          <w:rFonts w:hint="eastAsia" w:ascii="Times New Roman" w:hAnsi="宋体"/>
          <w:color w:val="000000" w:themeColor="text1"/>
          <w:sz w:val="24"/>
          <w:szCs w:val="24"/>
          <w14:textFill>
            <w14:solidFill>
              <w14:schemeClr w14:val="tx1"/>
            </w14:solidFill>
          </w14:textFill>
        </w:rPr>
        <w:t>复杂</w:t>
      </w:r>
      <w:r>
        <w:rPr>
          <w:rFonts w:ascii="Times New Roman" w:hAnsi="宋体"/>
          <w:color w:val="000000" w:themeColor="text1"/>
          <w:sz w:val="24"/>
          <w:szCs w:val="24"/>
          <w14:textFill>
            <w14:solidFill>
              <w14:schemeClr w14:val="tx1"/>
            </w14:solidFill>
          </w14:textFill>
        </w:rPr>
        <w:t>高层建筑结构</w:t>
      </w:r>
      <w:r>
        <w:rPr>
          <w:rFonts w:ascii="Times New Roman" w:hAnsi="Times New Roman"/>
          <w:color w:val="000000" w:themeColor="text1"/>
          <w:sz w:val="24"/>
          <w:szCs w:val="24"/>
          <w14:textFill>
            <w14:solidFill>
              <w14:schemeClr w14:val="tx1"/>
            </w14:solidFill>
          </w14:textFill>
        </w:rPr>
        <w:t>;</w:t>
      </w:r>
    </w:p>
    <w:p>
      <w:pPr>
        <w:spacing w:line="240" w:lineRule="auto"/>
        <w:ind w:left="0" w:firstLine="360" w:firstLineChars="15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宋体"/>
          <w:color w:val="000000" w:themeColor="text1"/>
          <w:sz w:val="24"/>
          <w:szCs w:val="24"/>
          <w14:textFill>
            <w14:solidFill>
              <w14:schemeClr w14:val="tx1"/>
            </w14:solidFill>
          </w14:textFill>
        </w:rPr>
        <w:t>抗震类别为甲类的高层建筑结构；</w:t>
      </w:r>
    </w:p>
    <w:p>
      <w:pPr>
        <w:spacing w:line="240" w:lineRule="auto"/>
        <w:ind w:left="0" w:firstLine="360" w:firstLineChars="150"/>
        <w:rPr>
          <w:rFonts w:ascii="Times New Roman" w:hAnsi="宋体"/>
          <w:color w:val="000000" w:themeColor="text1"/>
          <w:sz w:val="24"/>
          <w:szCs w:val="24"/>
          <w14:textFill>
            <w14:solidFill>
              <w14:schemeClr w14:val="tx1"/>
            </w14:solidFill>
          </w14:textFill>
        </w:rPr>
      </w:pPr>
      <w:r>
        <w:rPr>
          <w:rFonts w:hint="eastAsia" w:ascii="Times New Roman" w:hAnsi="宋体"/>
          <w:color w:val="000000" w:themeColor="text1"/>
          <w:sz w:val="24"/>
          <w:szCs w:val="24"/>
          <w14:textFill>
            <w14:solidFill>
              <w14:schemeClr w14:val="tx1"/>
            </w14:solidFill>
          </w14:textFill>
        </w:rPr>
        <w:t>4 存在弱连接楼板或竖向明显不规则的高层建筑结构；</w:t>
      </w:r>
    </w:p>
    <w:p>
      <w:pPr>
        <w:spacing w:line="240" w:lineRule="auto"/>
        <w:ind w:left="0" w:firstLine="360" w:firstLineChars="15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 xml:space="preserve">5 </w:t>
      </w:r>
      <w:r>
        <w:rPr>
          <w:rFonts w:ascii="Times New Roman" w:hAnsi="宋体"/>
          <w:color w:val="000000" w:themeColor="text1"/>
          <w:sz w:val="24"/>
          <w:szCs w:val="24"/>
          <w14:textFill>
            <w14:solidFill>
              <w14:schemeClr w14:val="tx1"/>
            </w14:solidFill>
          </w14:textFill>
        </w:rPr>
        <w:t>结构顶部取消</w:t>
      </w:r>
      <w:r>
        <w:rPr>
          <w:rFonts w:hint="eastAsia" w:ascii="Times New Roman" w:hAnsi="宋体"/>
          <w:color w:val="000000" w:themeColor="text1"/>
          <w:sz w:val="24"/>
          <w:szCs w:val="24"/>
          <w14:textFill>
            <w14:solidFill>
              <w14:schemeClr w14:val="tx1"/>
            </w14:solidFill>
          </w14:textFill>
        </w:rPr>
        <w:t>较多</w:t>
      </w:r>
      <w:r>
        <w:rPr>
          <w:rFonts w:ascii="Times New Roman" w:hAnsi="宋体"/>
          <w:color w:val="000000" w:themeColor="text1"/>
          <w:sz w:val="24"/>
          <w:szCs w:val="24"/>
          <w14:textFill>
            <w14:solidFill>
              <w14:schemeClr w14:val="tx1"/>
            </w14:solidFill>
          </w14:textFill>
        </w:rPr>
        <w:t>墙、柱而形成空旷空间时。</w:t>
      </w:r>
    </w:p>
    <w:p>
      <w:pPr>
        <w:pStyle w:val="119"/>
        <w:rPr>
          <w:rFonts w:hAnsi="Times New Roman"/>
          <w:i/>
          <w:color w:val="000000" w:themeColor="text1"/>
          <w:lang w:eastAsia="zh-CN"/>
          <w14:textFill>
            <w14:solidFill>
              <w14:schemeClr w14:val="tx1"/>
            </w14:solidFill>
          </w14:textFill>
        </w:rPr>
      </w:pPr>
      <w:bookmarkStart w:id="31" w:name="_Toc379895636"/>
      <w:r>
        <w:rPr>
          <w:rFonts w:hint="eastAsia" w:hAnsi="Times New Roman"/>
          <w:color w:val="000000" w:themeColor="text1"/>
          <w:lang w:eastAsia="zh-CN"/>
          <w14:textFill>
            <w14:solidFill>
              <w14:schemeClr w14:val="tx1"/>
            </w14:solidFill>
          </w14:textFill>
        </w:rPr>
        <w:t>当</w:t>
      </w:r>
      <w:r>
        <w:rPr>
          <w:color w:val="000000" w:themeColor="text1"/>
          <w:lang w:eastAsia="zh-CN"/>
          <w14:textFill>
            <w14:solidFill>
              <w14:schemeClr w14:val="tx1"/>
            </w14:solidFill>
          </w14:textFill>
        </w:rPr>
        <w:t>振型分解反应谱法的计算振型</w:t>
      </w:r>
      <w:r>
        <w:rPr>
          <w:rFonts w:hint="eastAsia"/>
          <w:color w:val="000000" w:themeColor="text1"/>
          <w:lang w:eastAsia="zh-CN"/>
          <w14:textFill>
            <w14:solidFill>
              <w14:schemeClr w14:val="tx1"/>
            </w14:solidFill>
          </w14:textFill>
        </w:rPr>
        <w:t>数不能准确反映</w:t>
      </w:r>
      <w:r>
        <w:rPr>
          <w:color w:val="000000" w:themeColor="text1"/>
          <w:lang w:eastAsia="zh-CN"/>
          <w14:textFill>
            <w14:solidFill>
              <w14:schemeClr w14:val="tx1"/>
            </w14:solidFill>
          </w14:textFill>
        </w:rPr>
        <w:t>关键构件内力时，应补充弹性时程分析。</w:t>
      </w:r>
      <w:bookmarkEnd w:id="31"/>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w:t>
      </w:r>
      <w:r>
        <w:rPr>
          <w:color w:val="000000" w:themeColor="text1"/>
          <w:lang w:eastAsia="zh-CN"/>
          <w14:textFill>
            <w14:solidFill>
              <w14:schemeClr w14:val="tx1"/>
            </w14:solidFill>
          </w14:textFill>
        </w:rPr>
        <w:t>弹性时程分析法求得的楼层剪力</w:t>
      </w:r>
      <w:r>
        <w:rPr>
          <w:rFonts w:hint="eastAsia"/>
          <w:color w:val="000000" w:themeColor="text1"/>
          <w:lang w:eastAsia="zh-CN"/>
          <w14:textFill>
            <w14:solidFill>
              <w14:schemeClr w14:val="tx1"/>
            </w14:solidFill>
          </w14:textFill>
        </w:rPr>
        <w:t>大于</w:t>
      </w:r>
      <w:r>
        <w:rPr>
          <w:color w:val="000000" w:themeColor="text1"/>
          <w:lang w:eastAsia="zh-CN"/>
          <w14:textFill>
            <w14:solidFill>
              <w14:schemeClr w14:val="tx1"/>
            </w14:solidFill>
          </w14:textFill>
        </w:rPr>
        <w:t>振型分解反应谱法</w:t>
      </w:r>
      <w:r>
        <w:rPr>
          <w:rFonts w:hint="eastAsia"/>
          <w:color w:val="000000" w:themeColor="text1"/>
          <w:lang w:eastAsia="zh-CN"/>
          <w14:textFill>
            <w14:solidFill>
              <w14:schemeClr w14:val="tx1"/>
            </w14:solidFill>
          </w14:textFill>
        </w:rPr>
        <w:t>计算结果</w:t>
      </w:r>
      <w:r>
        <w:rPr>
          <w:color w:val="000000" w:themeColor="text1"/>
          <w:lang w:eastAsia="zh-CN"/>
          <w14:textFill>
            <w14:solidFill>
              <w14:schemeClr w14:val="tx1"/>
            </w14:solidFill>
          </w14:textFill>
        </w:rPr>
        <w:t>时，</w:t>
      </w:r>
      <w:r>
        <w:rPr>
          <w:rFonts w:hint="eastAsia"/>
          <w:color w:val="000000" w:themeColor="text1"/>
          <w:lang w:eastAsia="zh-CN"/>
          <w14:textFill>
            <w14:solidFill>
              <w14:schemeClr w14:val="tx1"/>
            </w14:solidFill>
          </w14:textFill>
        </w:rPr>
        <w:t>宜将</w:t>
      </w:r>
      <w:r>
        <w:rPr>
          <w:color w:val="000000" w:themeColor="text1"/>
          <w:lang w:eastAsia="zh-CN"/>
          <w14:textFill>
            <w14:solidFill>
              <w14:schemeClr w14:val="tx1"/>
            </w14:solidFill>
          </w14:textFill>
        </w:rPr>
        <w:t>反应谱法</w:t>
      </w:r>
      <w:r>
        <w:rPr>
          <w:rFonts w:hint="eastAsia"/>
          <w:color w:val="000000" w:themeColor="text1"/>
          <w:lang w:eastAsia="zh-CN"/>
          <w14:textFill>
            <w14:solidFill>
              <w14:schemeClr w14:val="tx1"/>
            </w14:solidFill>
          </w14:textFill>
        </w:rPr>
        <w:t>计算的相应</w:t>
      </w:r>
      <w:r>
        <w:rPr>
          <w:color w:val="000000" w:themeColor="text1"/>
          <w:lang w:eastAsia="zh-CN"/>
          <w14:textFill>
            <w14:solidFill>
              <w14:schemeClr w14:val="tx1"/>
            </w14:solidFill>
          </w14:textFill>
        </w:rPr>
        <w:t>楼层剪力</w:t>
      </w:r>
      <w:r>
        <w:rPr>
          <w:rFonts w:hint="eastAsia"/>
          <w:color w:val="000000" w:themeColor="text1"/>
          <w:lang w:eastAsia="zh-CN"/>
          <w14:textFill>
            <w14:solidFill>
              <w14:schemeClr w14:val="tx1"/>
            </w14:solidFill>
          </w14:textFill>
        </w:rPr>
        <w:t>适当放大。</w:t>
      </w:r>
    </w:p>
    <w:p>
      <w:pPr>
        <w:spacing w:line="240" w:lineRule="auto"/>
        <w:ind w:left="0"/>
        <w:rPr>
          <w:rFonts w:ascii="Times New Roman" w:hAnsi="Times New Roman"/>
          <w:color w:val="000000" w:themeColor="text1"/>
          <w:sz w:val="24"/>
          <w:szCs w:val="24"/>
          <w14:textFill>
            <w14:solidFill>
              <w14:schemeClr w14:val="tx1"/>
            </w14:solidFill>
          </w14:textFill>
        </w:rPr>
      </w:pPr>
    </w:p>
    <w:p>
      <w:pPr>
        <w:pStyle w:val="61"/>
        <w:rPr>
          <w:rFonts w:hAnsi="Times New Roman"/>
          <w:color w:val="000000" w:themeColor="text1"/>
          <w:lang w:eastAsia="zh-CN"/>
          <w14:textFill>
            <w14:solidFill>
              <w14:schemeClr w14:val="tx1"/>
            </w14:solidFill>
          </w14:textFill>
        </w:rPr>
      </w:pPr>
      <w:bookmarkStart w:id="32" w:name="_Toc379895638"/>
      <w:r>
        <w:rPr>
          <w:rFonts w:hAnsi="Times New Roman"/>
          <w:color w:val="000000" w:themeColor="text1"/>
          <w:lang w:eastAsia="zh-CN"/>
          <w14:textFill>
            <w14:solidFill>
              <w14:schemeClr w14:val="tx1"/>
            </w14:solidFill>
          </w14:textFill>
        </w:rPr>
        <w:t xml:space="preserve">  </w:t>
      </w:r>
      <w:bookmarkStart w:id="33" w:name="_Toc24714205"/>
      <w:r>
        <w:rPr>
          <w:color w:val="000000" w:themeColor="text1"/>
          <w:lang w:eastAsia="zh-CN"/>
          <w14:textFill>
            <w14:solidFill>
              <w14:schemeClr w14:val="tx1"/>
            </w14:solidFill>
          </w14:textFill>
        </w:rPr>
        <w:t>设防烈度地震作用下屈服判别</w:t>
      </w:r>
      <w:bookmarkEnd w:id="32"/>
      <w:bookmarkEnd w:id="33"/>
    </w:p>
    <w:p>
      <w:pPr>
        <w:spacing w:line="240" w:lineRule="auto"/>
        <w:ind w:left="0"/>
        <w:jc w:val="center"/>
        <w:rPr>
          <w:rFonts w:ascii="Times New Roman" w:hAnsi="Times New Roman"/>
          <w:color w:val="000000" w:themeColor="text1"/>
          <w:sz w:val="24"/>
          <w:szCs w:val="24"/>
          <w14:textFill>
            <w14:solidFill>
              <w14:schemeClr w14:val="tx1"/>
            </w14:solidFill>
          </w14:textFill>
        </w:rPr>
      </w:pP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设防烈度地震作用下应采取屈服判别法进行结构分析，找出结构的薄弱部位、薄弱性质和薄弱程度，并采取相应的加强措施。</w:t>
      </w:r>
      <w:r>
        <w:rPr>
          <w:rFonts w:hint="eastAsia" w:hAnsi="Times New Roman"/>
          <w:color w:val="000000" w:themeColor="text1"/>
          <w:lang w:eastAsia="zh-CN"/>
          <w14:textFill>
            <w14:solidFill>
              <w14:schemeClr w14:val="tx1"/>
            </w14:solidFill>
          </w14:textFill>
        </w:rPr>
        <w:t>屈服判别法可采用振型分解法或时程分析法进行验算。</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构件在不同状态下可按下列公式进行验算：</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 构件处于弹性状态，结构构件的抗震承载力应符合下式规定：</w:t>
      </w:r>
    </w:p>
    <w:p>
      <w:pPr>
        <w:spacing w:line="240" w:lineRule="auto"/>
        <w:ind w:left="0" w:firstLine="480" w:firstLineChars="200"/>
        <w:jc w:val="left"/>
        <w:rPr>
          <w:rFonts w:ascii="宋体" w:hAnsi="宋体"/>
          <w:color w:val="000000" w:themeColor="text1"/>
          <w:position w:val="-12"/>
          <w:sz w:val="24"/>
          <w:szCs w:val="24"/>
          <w14:textFill>
            <w14:solidFill>
              <w14:schemeClr w14:val="tx1"/>
            </w14:solidFill>
          </w14:textFill>
        </w:rPr>
      </w:pP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γ</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G</m:t>
            </m:r>
            <m:ctrlPr>
              <w:rPr>
                <w:rFonts w:ascii="Cambria Math" w:hAnsi="宋体"/>
                <w:i/>
                <w:color w:val="000000" w:themeColor="text1"/>
                <w:sz w:val="24"/>
                <w:szCs w:val="24"/>
                <w14:textFill>
                  <w14:solidFill>
                    <w14:schemeClr w14:val="tx1"/>
                  </w14:solidFill>
                </w14:textFill>
              </w:rPr>
            </m:ctrlPr>
          </m:sub>
        </m:sSub>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GE</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γ</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m:t>
            </m:r>
            <m:r>
              <m:rPr/>
              <w:rPr>
                <w:rFonts w:hint="eastAsia" w:ascii="MS Gothic" w:hAnsi="MS Gothic"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sub>
        </m:sSub>
        <m:sSubSup>
          <m:sSubSupPr>
            <m:ctrlPr>
              <w:rPr>
                <w:rFonts w:ascii="Cambria Math" w:hAnsi="宋体"/>
                <w:i/>
                <w:color w:val="000000" w:themeColor="text1"/>
                <w:sz w:val="24"/>
                <w:szCs w:val="24"/>
                <w14:textFill>
                  <w14:solidFill>
                    <w14:schemeClr w14:val="tx1"/>
                  </w14:solidFill>
                </w14:textFill>
              </w:rPr>
            </m:ctrlPr>
          </m:sSubSup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m:t>
            </m:r>
            <m:r>
              <m:rPr/>
              <w:rPr>
                <w:rFonts w:hint="eastAsia" w:ascii="MS Gothic" w:hAnsi="MS Gothic" w:eastAsia="MS Gothic" w:cs="MS Gothic"/>
                <w:color w:val="000000" w:themeColor="text1"/>
                <w:sz w:val="24"/>
                <w:szCs w:val="24"/>
                <w14:textFill>
                  <w14:solidFill>
                    <w14:schemeClr w14:val="tx1"/>
                  </w14:solidFill>
                </w14:textFill>
              </w:rPr>
              <m:t>ℎ</m:t>
            </m:r>
            <m:r>
              <m:rPr/>
              <w:rPr>
                <w:rFonts w:ascii="Cambria Math" w:hAnsi="宋体"/>
                <w:color w:val="000000" w:themeColor="text1"/>
                <w:sz w:val="24"/>
                <w:szCs w:val="24"/>
                <w14:textFill>
                  <w14:solidFill>
                    <w14:schemeClr w14:val="tx1"/>
                  </w14:solidFill>
                </w14:textFill>
              </w:rPr>
              <m:t>k</m:t>
            </m:r>
            <m:ctrlPr>
              <w:rPr>
                <w:rFonts w:ascii="Cambria Math" w:hAnsi="宋体"/>
                <w:i/>
                <w:color w:val="000000" w:themeColor="text1"/>
                <w:sz w:val="24"/>
                <w:szCs w:val="24"/>
                <w14:textFill>
                  <w14:solidFill>
                    <w14:schemeClr w14:val="tx1"/>
                  </w14:solidFill>
                </w14:textFill>
              </w:rPr>
            </m:ctrlPr>
          </m:sub>
          <m:sup>
            <m:r>
              <m:rPr/>
              <w:rPr>
                <w:rFonts w:ascii="Cambria Math" w:hAnsi="宋体"/>
                <w:color w:val="000000" w:themeColor="text1"/>
                <w:sz w:val="24"/>
                <w:szCs w:val="24"/>
                <w14:textFill>
                  <w14:solidFill>
                    <w14:schemeClr w14:val="tx1"/>
                  </w14:solidFill>
                </w14:textFill>
              </w:rPr>
              <m:t>*</m:t>
            </m:r>
            <m:ctrlPr>
              <w:rPr>
                <w:rFonts w:ascii="Cambria Math" w:hAnsi="宋体"/>
                <w:i/>
                <w:color w:val="000000" w:themeColor="text1"/>
                <w:sz w:val="24"/>
                <w:szCs w:val="24"/>
                <w14:textFill>
                  <w14:solidFill>
                    <w14:schemeClr w14:val="tx1"/>
                  </w14:solidFill>
                </w14:textFill>
              </w:rPr>
            </m:ctrlPr>
          </m:sup>
        </m:sSubSup>
        <m:r>
          <m:rPr/>
          <w:rPr>
            <w:rFonts w:ascii="Cambria Math" w:hAnsi="宋体"/>
            <w:color w:val="000000" w:themeColor="text1"/>
            <w:sz w:val="24"/>
            <w:szCs w:val="24"/>
            <w14:textFill>
              <w14:solidFill>
                <w14:schemeClr w14:val="tx1"/>
              </w14:solidFill>
            </w14:textFill>
          </w:rPr>
          <m:t>+</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γ</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Ev</m:t>
            </m:r>
            <m:ctrlPr>
              <w:rPr>
                <w:rFonts w:ascii="Cambria Math" w:hAnsi="宋体"/>
                <w:i/>
                <w:color w:val="000000" w:themeColor="text1"/>
                <w:sz w:val="24"/>
                <w:szCs w:val="24"/>
                <w14:textFill>
                  <w14:solidFill>
                    <w14:schemeClr w14:val="tx1"/>
                  </w14:solidFill>
                </w14:textFill>
              </w:rPr>
            </m:ctrlPr>
          </m:sub>
        </m:sSub>
        <m:sSubSup>
          <m:sSubSupPr>
            <m:ctrlPr>
              <w:rPr>
                <w:rFonts w:ascii="Cambria Math" w:hAnsi="宋体"/>
                <w:i/>
                <w:color w:val="000000" w:themeColor="text1"/>
                <w:sz w:val="24"/>
                <w:szCs w:val="24"/>
                <w14:textFill>
                  <w14:solidFill>
                    <w14:schemeClr w14:val="tx1"/>
                  </w14:solidFill>
                </w14:textFill>
              </w:rPr>
            </m:ctrlPr>
          </m:sSubSup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Evk</m:t>
            </m:r>
            <m:ctrlPr>
              <w:rPr>
                <w:rFonts w:ascii="Cambria Math" w:hAnsi="宋体"/>
                <w:i/>
                <w:color w:val="000000" w:themeColor="text1"/>
                <w:sz w:val="24"/>
                <w:szCs w:val="24"/>
                <w14:textFill>
                  <w14:solidFill>
                    <w14:schemeClr w14:val="tx1"/>
                  </w14:solidFill>
                </w14:textFill>
              </w:rPr>
            </m:ctrlPr>
          </m:sub>
          <m:sup>
            <m:r>
              <m:rPr/>
              <w:rPr>
                <w:rFonts w:ascii="Cambria Math" w:hAnsi="宋体"/>
                <w:color w:val="000000" w:themeColor="text1"/>
                <w:sz w:val="24"/>
                <w:szCs w:val="24"/>
                <w14:textFill>
                  <w14:solidFill>
                    <w14:schemeClr w14:val="tx1"/>
                  </w14:solidFill>
                </w14:textFill>
              </w:rPr>
              <m:t>*</m:t>
            </m:r>
            <m:ctrlPr>
              <w:rPr>
                <w:rFonts w:ascii="Cambria Math" w:hAnsi="宋体"/>
                <w:i/>
                <w:color w:val="000000" w:themeColor="text1"/>
                <w:sz w:val="24"/>
                <w:szCs w:val="24"/>
                <w14:textFill>
                  <w14:solidFill>
                    <w14:schemeClr w14:val="tx1"/>
                  </w14:solidFill>
                </w14:textFill>
              </w:rPr>
            </m:ctrlPr>
          </m:sup>
        </m:sSubSup>
        <m:r>
          <m:rPr/>
          <w:rPr>
            <w:rFonts w:ascii="Cambria Math" w:hAnsi="宋体"/>
            <w:color w:val="000000" w:themeColor="text1"/>
            <w:sz w:val="24"/>
            <w:szCs w:val="24"/>
            <w14:textFill>
              <w14:solidFill>
                <w14:schemeClr w14:val="tx1"/>
              </w14:solidFill>
            </w14:textFill>
          </w:rPr>
          <m:t>≤</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R</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d</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γ</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RE</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position w:val="-12"/>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（6.6.2-1）</w:t>
      </w:r>
    </w:p>
    <w:p>
      <w:pPr>
        <w:spacing w:line="240" w:lineRule="auto"/>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式中：</w:t>
      </w: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R</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d</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w:t>
      </w: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γ</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RE</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 xml:space="preserve">分别为构件承载力设计值和承载力抗震调整系数； </w:t>
      </w: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GE</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w:t>
      </w: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γ</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G</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w:t>
      </w: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γ</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m:t>
            </m:r>
            <m:r>
              <m:rPr/>
              <w:rPr>
                <w:rFonts w:hint="eastAsia" w:ascii="Cambria Math" w:hAnsi="Cambria Math"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w:t>
      </w: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γ</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Ev</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 xml:space="preserve">分别为重力荷载代表值的效应，重力荷载分项系数，水平地震作用分项系数，竖向地震作用分项系数； </w:t>
      </w:r>
      <m:oMath>
        <m:sSubSup>
          <m:sSubSupPr>
            <m:ctrlPr>
              <w:rPr>
                <w:rFonts w:ascii="Cambria Math" w:hAnsi="宋体"/>
                <w:i/>
                <w:color w:val="000000" w:themeColor="text1"/>
                <w:sz w:val="24"/>
                <w:szCs w:val="24"/>
                <w14:textFill>
                  <w14:solidFill>
                    <w14:schemeClr w14:val="tx1"/>
                  </w14:solidFill>
                </w14:textFill>
              </w:rPr>
            </m:ctrlPr>
          </m:sSubSup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m:t>
            </m:r>
            <m:r>
              <m:rPr/>
              <w:rPr>
                <w:rFonts w:hint="eastAsia" w:ascii="Cambria Math" w:hAnsi="Cambria Math" w:eastAsia="MS Gothic" w:cs="MS Gothic"/>
                <w:color w:val="000000" w:themeColor="text1"/>
                <w:sz w:val="24"/>
                <w:szCs w:val="24"/>
                <w14:textFill>
                  <w14:solidFill>
                    <w14:schemeClr w14:val="tx1"/>
                  </w14:solidFill>
                </w14:textFill>
              </w:rPr>
              <m:t>ℎ</m:t>
            </m:r>
            <m:r>
              <m:rPr/>
              <w:rPr>
                <w:rFonts w:ascii="Cambria Math" w:hAnsi="宋体"/>
                <w:color w:val="000000" w:themeColor="text1"/>
                <w:sz w:val="24"/>
                <w:szCs w:val="24"/>
                <w14:textFill>
                  <w14:solidFill>
                    <w14:schemeClr w14:val="tx1"/>
                  </w14:solidFill>
                </w14:textFill>
              </w:rPr>
              <m:t>k</m:t>
            </m:r>
            <m:ctrlPr>
              <w:rPr>
                <w:rFonts w:ascii="Cambria Math" w:hAnsi="宋体"/>
                <w:i/>
                <w:color w:val="000000" w:themeColor="text1"/>
                <w:sz w:val="24"/>
                <w:szCs w:val="24"/>
                <w14:textFill>
                  <w14:solidFill>
                    <w14:schemeClr w14:val="tx1"/>
                  </w14:solidFill>
                </w14:textFill>
              </w:rPr>
            </m:ctrlPr>
          </m:sub>
          <m:sup>
            <m:r>
              <m:rPr/>
              <w:rPr>
                <w:rFonts w:ascii="Cambria Math" w:hAnsi="宋体"/>
                <w:color w:val="000000" w:themeColor="text1"/>
                <w:sz w:val="24"/>
                <w:szCs w:val="24"/>
                <w14:textFill>
                  <w14:solidFill>
                    <w14:schemeClr w14:val="tx1"/>
                  </w14:solidFill>
                </w14:textFill>
              </w:rPr>
              <m:t>*</m:t>
            </m:r>
            <m:ctrlPr>
              <w:rPr>
                <w:rFonts w:ascii="Cambria Math" w:hAnsi="宋体"/>
                <w:i/>
                <w:color w:val="000000" w:themeColor="text1"/>
                <w:sz w:val="24"/>
                <w:szCs w:val="24"/>
                <w14:textFill>
                  <w14:solidFill>
                    <w14:schemeClr w14:val="tx1"/>
                  </w14:solidFill>
                </w14:textFill>
              </w:rPr>
            </m:ctrlPr>
          </m:sup>
        </m:sSubSup>
      </m:oMath>
      <w:r>
        <w:rPr>
          <w:rFonts w:hint="eastAsia" w:ascii="宋体" w:hAnsi="宋体"/>
          <w:color w:val="000000" w:themeColor="text1"/>
          <w:sz w:val="24"/>
          <w:szCs w:val="24"/>
          <w14:textFill>
            <w14:solidFill>
              <w14:schemeClr w14:val="tx1"/>
            </w14:solidFill>
          </w14:textFill>
        </w:rPr>
        <w:t xml:space="preserve">为 水平地震作用标准值的构件内力，不需考虑与抗震等级有关的增大系数； </w:t>
      </w:r>
      <m:oMath>
        <m:sSubSup>
          <m:sSubSupPr>
            <m:ctrlPr>
              <w:rPr>
                <w:rFonts w:ascii="Cambria Math" w:hAnsi="宋体"/>
                <w:i/>
                <w:color w:val="000000" w:themeColor="text1"/>
                <w:sz w:val="24"/>
                <w:szCs w:val="24"/>
                <w14:textFill>
                  <w14:solidFill>
                    <w14:schemeClr w14:val="tx1"/>
                  </w14:solidFill>
                </w14:textFill>
              </w:rPr>
            </m:ctrlPr>
          </m:sSubSup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Evk</m:t>
            </m:r>
            <m:ctrlPr>
              <w:rPr>
                <w:rFonts w:ascii="Cambria Math" w:hAnsi="宋体"/>
                <w:i/>
                <w:color w:val="000000" w:themeColor="text1"/>
                <w:sz w:val="24"/>
                <w:szCs w:val="24"/>
                <w14:textFill>
                  <w14:solidFill>
                    <w14:schemeClr w14:val="tx1"/>
                  </w14:solidFill>
                </w14:textFill>
              </w:rPr>
            </m:ctrlPr>
          </m:sub>
          <m:sup>
            <m:r>
              <m:rPr/>
              <w:rPr>
                <w:rFonts w:ascii="Cambria Math" w:hAnsi="宋体"/>
                <w:color w:val="000000" w:themeColor="text1"/>
                <w:sz w:val="24"/>
                <w:szCs w:val="24"/>
                <w14:textFill>
                  <w14:solidFill>
                    <w14:schemeClr w14:val="tx1"/>
                  </w14:solidFill>
                </w14:textFill>
              </w:rPr>
              <m:t>*</m:t>
            </m:r>
            <m:ctrlPr>
              <w:rPr>
                <w:rFonts w:ascii="Cambria Math" w:hAnsi="宋体"/>
                <w:i/>
                <w:color w:val="000000" w:themeColor="text1"/>
                <w:sz w:val="24"/>
                <w:szCs w:val="24"/>
                <w14:textFill>
                  <w14:solidFill>
                    <w14:schemeClr w14:val="tx1"/>
                  </w14:solidFill>
                </w14:textFill>
              </w:rPr>
            </m:ctrlPr>
          </m:sup>
        </m:sSubSup>
      </m:oMath>
      <w:r>
        <w:rPr>
          <w:rFonts w:hint="eastAsia" w:ascii="宋体" w:hAnsi="宋体"/>
          <w:color w:val="000000" w:themeColor="text1"/>
          <w:sz w:val="24"/>
          <w:szCs w:val="24"/>
          <w14:textFill>
            <w14:solidFill>
              <w14:schemeClr w14:val="tx1"/>
            </w14:solidFill>
          </w14:textFill>
        </w:rPr>
        <w:t>为竖向地震作用标准值的构件内力，不需考虑与抗震等级有关的增大系数。</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构件处于弹性状态时，其截面承载力也可按下式进行验算</w:t>
      </w:r>
      <w:r>
        <w:rPr>
          <w:rFonts w:ascii="宋体" w:hAnsi="宋体"/>
          <w:color w:val="000000" w:themeColor="text1"/>
          <w:sz w:val="24"/>
          <w:szCs w:val="24"/>
          <w14:textFill>
            <w14:solidFill>
              <w14:schemeClr w14:val="tx1"/>
            </w14:solidFill>
          </w14:textFill>
        </w:rPr>
        <w:t>，其中为</w:t>
      </w:r>
      <m:oMath>
        <m:r>
          <m:rPr/>
          <w:rPr>
            <w:rFonts w:ascii="Cambria Math" w:hAnsi="宋体"/>
            <w:color w:val="000000" w:themeColor="text1"/>
            <w:sz w:val="24"/>
            <w:szCs w:val="24"/>
            <w14:textFill>
              <w14:solidFill>
                <w14:schemeClr w14:val="tx1"/>
              </w14:solidFill>
            </w14:textFill>
          </w:rPr>
          <m:t>η</m:t>
        </m:r>
      </m:oMath>
      <w:r>
        <w:rPr>
          <w:rFonts w:ascii="宋体" w:hAnsi="宋体"/>
          <w:color w:val="000000" w:themeColor="text1"/>
          <w:sz w:val="24"/>
          <w:szCs w:val="24"/>
          <w14:textFill>
            <w14:solidFill>
              <w14:schemeClr w14:val="tx1"/>
            </w14:solidFill>
          </w14:textFill>
        </w:rPr>
        <w:t>材料强度</w:t>
      </w:r>
      <w:r>
        <w:rPr>
          <w:rFonts w:hint="eastAsia" w:ascii="宋体" w:hAnsi="宋体"/>
          <w:color w:val="000000" w:themeColor="text1"/>
          <w:sz w:val="24"/>
          <w:szCs w:val="24"/>
          <w14:textFill>
            <w14:solidFill>
              <w14:schemeClr w14:val="tx1"/>
            </w14:solidFill>
          </w14:textFill>
        </w:rPr>
        <w:t>系数，一般取0.8：</w:t>
      </w:r>
    </w:p>
    <w:p>
      <w:pPr>
        <w:spacing w:line="240" w:lineRule="auto"/>
        <w:ind w:left="0" w:firstLine="480" w:firstLineChars="200"/>
        <w:jc w:val="left"/>
        <w:rPr>
          <w:rFonts w:ascii="宋体" w:hAnsi="宋体"/>
          <w:color w:val="000000" w:themeColor="text1"/>
          <w:position w:val="-12"/>
          <w:sz w:val="24"/>
          <w:szCs w:val="24"/>
          <w14:textFill>
            <w14:solidFill>
              <w14:schemeClr w14:val="tx1"/>
            </w14:solidFill>
          </w14:textFill>
        </w:rPr>
      </w:pP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GE</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m:t>
        </m:r>
        <m:sSubSup>
          <m:sSubSupPr>
            <m:ctrlPr>
              <w:rPr>
                <w:rFonts w:ascii="Cambria Math" w:hAnsi="宋体"/>
                <w:i/>
                <w:color w:val="000000" w:themeColor="text1"/>
                <w:sz w:val="24"/>
                <w:szCs w:val="24"/>
                <w14:textFill>
                  <w14:solidFill>
                    <w14:schemeClr w14:val="tx1"/>
                  </w14:solidFill>
                </w14:textFill>
              </w:rPr>
            </m:ctrlPr>
          </m:sSubSup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m:t>
            </m:r>
            <m:r>
              <m:rPr/>
              <w:rPr>
                <w:rFonts w:hint="eastAsia" w:ascii="MS Gothic" w:hAnsi="MS Gothic" w:eastAsia="MS Gothic" w:cs="MS Gothic"/>
                <w:color w:val="000000" w:themeColor="text1"/>
                <w:sz w:val="24"/>
                <w:szCs w:val="24"/>
                <w14:textFill>
                  <w14:solidFill>
                    <w14:schemeClr w14:val="tx1"/>
                  </w14:solidFill>
                </w14:textFill>
              </w:rPr>
              <m:t>ℎ</m:t>
            </m:r>
            <m:r>
              <m:rPr/>
              <w:rPr>
                <w:rFonts w:ascii="Cambria Math" w:hAnsi="宋体"/>
                <w:color w:val="000000" w:themeColor="text1"/>
                <w:sz w:val="24"/>
                <w:szCs w:val="24"/>
                <w14:textFill>
                  <w14:solidFill>
                    <w14:schemeClr w14:val="tx1"/>
                  </w14:solidFill>
                </w14:textFill>
              </w:rPr>
              <m:t>k</m:t>
            </m:r>
            <m:ctrlPr>
              <w:rPr>
                <w:rFonts w:ascii="Cambria Math" w:hAnsi="宋体"/>
                <w:i/>
                <w:color w:val="000000" w:themeColor="text1"/>
                <w:sz w:val="24"/>
                <w:szCs w:val="24"/>
                <w14:textFill>
                  <w14:solidFill>
                    <w14:schemeClr w14:val="tx1"/>
                  </w14:solidFill>
                </w14:textFill>
              </w:rPr>
            </m:ctrlPr>
          </m:sub>
          <m:sup>
            <m:r>
              <m:rPr/>
              <w:rPr>
                <w:rFonts w:ascii="Cambria Math" w:hAnsi="宋体"/>
                <w:color w:val="000000" w:themeColor="text1"/>
                <w:sz w:val="24"/>
                <w:szCs w:val="24"/>
                <w14:textFill>
                  <w14:solidFill>
                    <w14:schemeClr w14:val="tx1"/>
                  </w14:solidFill>
                </w14:textFill>
              </w:rPr>
              <m:t>*</m:t>
            </m:r>
            <m:ctrlPr>
              <w:rPr>
                <w:rFonts w:ascii="Cambria Math" w:hAnsi="宋体"/>
                <w:i/>
                <w:color w:val="000000" w:themeColor="text1"/>
                <w:sz w:val="24"/>
                <w:szCs w:val="24"/>
                <w14:textFill>
                  <w14:solidFill>
                    <w14:schemeClr w14:val="tx1"/>
                  </w14:solidFill>
                </w14:textFill>
              </w:rPr>
            </m:ctrlPr>
          </m:sup>
        </m:sSubSup>
        <m:r>
          <m:rPr/>
          <w:rPr>
            <w:rFonts w:ascii="Cambria Math" w:hAnsi="宋体"/>
            <w:color w:val="000000" w:themeColor="text1"/>
            <w:sz w:val="24"/>
            <w:szCs w:val="24"/>
            <w14:textFill>
              <w14:solidFill>
                <w14:schemeClr w14:val="tx1"/>
              </w14:solidFill>
            </w14:textFill>
          </w:rPr>
          <m:t>+0.4</m:t>
        </m:r>
        <m:sSubSup>
          <m:sSubSupPr>
            <m:ctrlPr>
              <w:rPr>
                <w:rFonts w:ascii="Cambria Math" w:hAnsi="宋体"/>
                <w:i/>
                <w:color w:val="000000" w:themeColor="text1"/>
                <w:sz w:val="24"/>
                <w:szCs w:val="24"/>
                <w14:textFill>
                  <w14:solidFill>
                    <w14:schemeClr w14:val="tx1"/>
                  </w14:solidFill>
                </w14:textFill>
              </w:rPr>
            </m:ctrlPr>
          </m:sSubSup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Evk</m:t>
            </m:r>
            <m:ctrlPr>
              <w:rPr>
                <w:rFonts w:ascii="Cambria Math" w:hAnsi="宋体"/>
                <w:i/>
                <w:color w:val="000000" w:themeColor="text1"/>
                <w:sz w:val="24"/>
                <w:szCs w:val="24"/>
                <w14:textFill>
                  <w14:solidFill>
                    <w14:schemeClr w14:val="tx1"/>
                  </w14:solidFill>
                </w14:textFill>
              </w:rPr>
            </m:ctrlPr>
          </m:sub>
          <m:sup>
            <m:r>
              <m:rPr/>
              <w:rPr>
                <w:rFonts w:ascii="Cambria Math" w:hAnsi="宋体"/>
                <w:color w:val="000000" w:themeColor="text1"/>
                <w:sz w:val="24"/>
                <w:szCs w:val="24"/>
                <w14:textFill>
                  <w14:solidFill>
                    <w14:schemeClr w14:val="tx1"/>
                  </w14:solidFill>
                </w14:textFill>
              </w:rPr>
              <m:t>*</m:t>
            </m:r>
            <m:ctrlPr>
              <w:rPr>
                <w:rFonts w:ascii="Cambria Math" w:hAnsi="宋体"/>
                <w:i/>
                <w:color w:val="000000" w:themeColor="text1"/>
                <w:sz w:val="24"/>
                <w:szCs w:val="24"/>
                <w14:textFill>
                  <w14:solidFill>
                    <w14:schemeClr w14:val="tx1"/>
                  </w14:solidFill>
                </w14:textFill>
              </w:rPr>
            </m:ctrlPr>
          </m:sup>
        </m:sSubSup>
        <m:r>
          <m:rPr/>
          <w:rPr>
            <w:rFonts w:ascii="Cambria Math" w:hAnsi="宋体"/>
            <w:color w:val="000000" w:themeColor="text1"/>
            <w:sz w:val="24"/>
            <w:szCs w:val="24"/>
            <w14:textFill>
              <w14:solidFill>
                <w14:schemeClr w14:val="tx1"/>
              </w14:solidFill>
            </w14:textFill>
          </w:rPr>
          <m:t>≤η</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R</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k</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（6.6.2-2）</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3构件处于不屈服状态，其截面承载力应符合下式规定：</w:t>
      </w:r>
    </w:p>
    <w:p>
      <w:pPr>
        <w:spacing w:line="240" w:lineRule="auto"/>
        <w:ind w:left="0" w:firstLine="480" w:firstLineChars="200"/>
        <w:jc w:val="left"/>
        <w:rPr>
          <w:rFonts w:ascii="宋体" w:hAnsi="宋体"/>
          <w:color w:val="000000" w:themeColor="text1"/>
          <w:position w:val="-12"/>
          <w:sz w:val="24"/>
          <w:szCs w:val="24"/>
          <w14:textFill>
            <w14:solidFill>
              <w14:schemeClr w14:val="tx1"/>
            </w14:solidFill>
          </w14:textFill>
        </w:rPr>
      </w:pP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GE</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m:t>
        </m:r>
        <m:sSubSup>
          <m:sSubSupPr>
            <m:ctrlPr>
              <w:rPr>
                <w:rFonts w:ascii="Cambria Math" w:hAnsi="宋体"/>
                <w:i/>
                <w:color w:val="000000" w:themeColor="text1"/>
                <w:sz w:val="24"/>
                <w:szCs w:val="24"/>
                <w14:textFill>
                  <w14:solidFill>
                    <w14:schemeClr w14:val="tx1"/>
                  </w14:solidFill>
                </w14:textFill>
              </w:rPr>
            </m:ctrlPr>
          </m:sSubSup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m:t>
            </m:r>
            <m:r>
              <m:rPr/>
              <w:rPr>
                <w:rFonts w:hint="eastAsia" w:ascii="MS Gothic" w:hAnsi="MS Gothic" w:eastAsia="MS Gothic" w:cs="MS Gothic"/>
                <w:color w:val="000000" w:themeColor="text1"/>
                <w:sz w:val="24"/>
                <w:szCs w:val="24"/>
                <w14:textFill>
                  <w14:solidFill>
                    <w14:schemeClr w14:val="tx1"/>
                  </w14:solidFill>
                </w14:textFill>
              </w:rPr>
              <m:t>ℎ</m:t>
            </m:r>
            <m:r>
              <m:rPr/>
              <w:rPr>
                <w:rFonts w:ascii="Cambria Math" w:hAnsi="宋体"/>
                <w:color w:val="000000" w:themeColor="text1"/>
                <w:sz w:val="24"/>
                <w:szCs w:val="24"/>
                <w14:textFill>
                  <w14:solidFill>
                    <w14:schemeClr w14:val="tx1"/>
                  </w14:solidFill>
                </w14:textFill>
              </w:rPr>
              <m:t>k</m:t>
            </m:r>
            <m:ctrlPr>
              <w:rPr>
                <w:rFonts w:ascii="Cambria Math" w:hAnsi="宋体"/>
                <w:i/>
                <w:color w:val="000000" w:themeColor="text1"/>
                <w:sz w:val="24"/>
                <w:szCs w:val="24"/>
                <w14:textFill>
                  <w14:solidFill>
                    <w14:schemeClr w14:val="tx1"/>
                  </w14:solidFill>
                </w14:textFill>
              </w:rPr>
            </m:ctrlPr>
          </m:sub>
          <m:sup>
            <m:r>
              <m:rPr/>
              <w:rPr>
                <w:rFonts w:ascii="Cambria Math" w:hAnsi="宋体"/>
                <w:color w:val="000000" w:themeColor="text1"/>
                <w:sz w:val="24"/>
                <w:szCs w:val="24"/>
                <w14:textFill>
                  <w14:solidFill>
                    <w14:schemeClr w14:val="tx1"/>
                  </w14:solidFill>
                </w14:textFill>
              </w:rPr>
              <m:t>*</m:t>
            </m:r>
            <m:ctrlPr>
              <w:rPr>
                <w:rFonts w:ascii="Cambria Math" w:hAnsi="宋体"/>
                <w:i/>
                <w:color w:val="000000" w:themeColor="text1"/>
                <w:sz w:val="24"/>
                <w:szCs w:val="24"/>
                <w14:textFill>
                  <w14:solidFill>
                    <w14:schemeClr w14:val="tx1"/>
                  </w14:solidFill>
                </w14:textFill>
              </w:rPr>
            </m:ctrlPr>
          </m:sup>
        </m:sSubSup>
        <m:r>
          <m:rPr/>
          <w:rPr>
            <w:rFonts w:ascii="Cambria Math" w:hAnsi="宋体"/>
            <w:color w:val="000000" w:themeColor="text1"/>
            <w:sz w:val="24"/>
            <w:szCs w:val="24"/>
            <w14:textFill>
              <w14:solidFill>
                <w14:schemeClr w14:val="tx1"/>
              </w14:solidFill>
            </w14:textFill>
          </w:rPr>
          <m:t>+0.4</m:t>
        </m:r>
        <m:sSubSup>
          <m:sSubSupPr>
            <m:ctrlPr>
              <w:rPr>
                <w:rFonts w:ascii="Cambria Math" w:hAnsi="宋体"/>
                <w:i/>
                <w:color w:val="000000" w:themeColor="text1"/>
                <w:sz w:val="24"/>
                <w:szCs w:val="24"/>
                <w14:textFill>
                  <w14:solidFill>
                    <w14:schemeClr w14:val="tx1"/>
                  </w14:solidFill>
                </w14:textFill>
              </w:rPr>
            </m:ctrlPr>
          </m:sSubSup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Evk</m:t>
            </m:r>
            <m:ctrlPr>
              <w:rPr>
                <w:rFonts w:ascii="Cambria Math" w:hAnsi="宋体"/>
                <w:i/>
                <w:color w:val="000000" w:themeColor="text1"/>
                <w:sz w:val="24"/>
                <w:szCs w:val="24"/>
                <w14:textFill>
                  <w14:solidFill>
                    <w14:schemeClr w14:val="tx1"/>
                  </w14:solidFill>
                </w14:textFill>
              </w:rPr>
            </m:ctrlPr>
          </m:sub>
          <m:sup>
            <m:r>
              <m:rPr/>
              <w:rPr>
                <w:rFonts w:ascii="Cambria Math" w:hAnsi="宋体"/>
                <w:color w:val="000000" w:themeColor="text1"/>
                <w:sz w:val="24"/>
                <w:szCs w:val="24"/>
                <w14:textFill>
                  <w14:solidFill>
                    <w14:schemeClr w14:val="tx1"/>
                  </w14:solidFill>
                </w14:textFill>
              </w:rPr>
              <m:t>*</m:t>
            </m:r>
            <m:ctrlPr>
              <w:rPr>
                <w:rFonts w:ascii="Cambria Math" w:hAnsi="宋体"/>
                <w:i/>
                <w:color w:val="000000" w:themeColor="text1"/>
                <w:sz w:val="24"/>
                <w:szCs w:val="24"/>
                <w14:textFill>
                  <w14:solidFill>
                    <w14:schemeClr w14:val="tx1"/>
                  </w14:solidFill>
                </w14:textFill>
              </w:rPr>
            </m:ctrlPr>
          </m:sup>
        </m:sSubSup>
        <m:r>
          <m:rPr/>
          <w:rPr>
            <w:rFonts w:ascii="Cambria Math" w:hAnsi="宋体"/>
            <w:color w:val="000000" w:themeColor="text1"/>
            <w:sz w:val="24"/>
            <w:szCs w:val="24"/>
            <w14:textFill>
              <w14:solidFill>
                <w14:schemeClr w14:val="tx1"/>
              </w14:solidFill>
            </w14:textFill>
          </w:rPr>
          <m:t>≤</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R</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k</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（6.6.2-3）</w:t>
      </w:r>
      <w:r>
        <w:rPr>
          <w:rFonts w:hint="eastAsia" w:ascii="宋体" w:hAnsi="宋体"/>
          <w:color w:val="000000" w:themeColor="text1"/>
          <w:position w:val="-12"/>
          <w:sz w:val="24"/>
          <w:szCs w:val="24"/>
          <w14:textFill>
            <w14:solidFill>
              <w14:schemeClr w14:val="tx1"/>
            </w14:solidFill>
          </w14:textFill>
        </w:rPr>
        <w:tab/>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水平长悬臂结构和大跨度结构中的构件其截面承载力应符合：</w:t>
      </w:r>
    </w:p>
    <w:p>
      <w:pPr>
        <w:spacing w:line="240" w:lineRule="auto"/>
        <w:ind w:left="0" w:firstLine="480" w:firstLineChars="200"/>
        <w:jc w:val="left"/>
        <w:rPr>
          <w:rFonts w:ascii="宋体" w:hAnsi="宋体"/>
          <w:color w:val="000000" w:themeColor="text1"/>
          <w:sz w:val="24"/>
          <w:szCs w:val="24"/>
          <w14:textFill>
            <w14:solidFill>
              <w14:schemeClr w14:val="tx1"/>
            </w14:solidFill>
          </w14:textFill>
        </w:rPr>
      </w:pP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GE</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+0.4</m:t>
        </m:r>
        <m:sSubSup>
          <m:sSubSupPr>
            <m:ctrlPr>
              <w:rPr>
                <w:rFonts w:ascii="Cambria Math" w:hAnsi="宋体"/>
                <w:i/>
                <w:color w:val="000000" w:themeColor="text1"/>
                <w:sz w:val="24"/>
                <w:szCs w:val="24"/>
                <w14:textFill>
                  <w14:solidFill>
                    <w14:schemeClr w14:val="tx1"/>
                  </w14:solidFill>
                </w14:textFill>
              </w:rPr>
            </m:ctrlPr>
          </m:sSubSup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m:t>
            </m:r>
            <m:r>
              <m:rPr/>
              <w:rPr>
                <w:rFonts w:hint="eastAsia" w:ascii="MS Gothic" w:hAnsi="MS Gothic" w:eastAsia="MS Gothic" w:cs="MS Gothic"/>
                <w:color w:val="000000" w:themeColor="text1"/>
                <w:sz w:val="24"/>
                <w:szCs w:val="24"/>
                <w14:textFill>
                  <w14:solidFill>
                    <w14:schemeClr w14:val="tx1"/>
                  </w14:solidFill>
                </w14:textFill>
              </w:rPr>
              <m:t>ℎ</m:t>
            </m:r>
            <m:r>
              <m:rPr/>
              <w:rPr>
                <w:rFonts w:ascii="Cambria Math" w:hAnsi="宋体"/>
                <w:color w:val="000000" w:themeColor="text1"/>
                <w:sz w:val="24"/>
                <w:szCs w:val="24"/>
                <w14:textFill>
                  <w14:solidFill>
                    <w14:schemeClr w14:val="tx1"/>
                  </w14:solidFill>
                </w14:textFill>
              </w:rPr>
              <m:t>k</m:t>
            </m:r>
            <m:ctrlPr>
              <w:rPr>
                <w:rFonts w:ascii="Cambria Math" w:hAnsi="宋体"/>
                <w:i/>
                <w:color w:val="000000" w:themeColor="text1"/>
                <w:sz w:val="24"/>
                <w:szCs w:val="24"/>
                <w14:textFill>
                  <w14:solidFill>
                    <w14:schemeClr w14:val="tx1"/>
                  </w14:solidFill>
                </w14:textFill>
              </w:rPr>
            </m:ctrlPr>
          </m:sub>
          <m:sup>
            <m:r>
              <m:rPr/>
              <w:rPr>
                <w:rFonts w:ascii="Cambria Math" w:hAnsi="宋体"/>
                <w:color w:val="000000" w:themeColor="text1"/>
                <w:sz w:val="24"/>
                <w:szCs w:val="24"/>
                <w14:textFill>
                  <w14:solidFill>
                    <w14:schemeClr w14:val="tx1"/>
                  </w14:solidFill>
                </w14:textFill>
              </w:rPr>
              <m:t>*</m:t>
            </m:r>
            <m:ctrlPr>
              <w:rPr>
                <w:rFonts w:ascii="Cambria Math" w:hAnsi="宋体"/>
                <w:i/>
                <w:color w:val="000000" w:themeColor="text1"/>
                <w:sz w:val="24"/>
                <w:szCs w:val="24"/>
                <w14:textFill>
                  <w14:solidFill>
                    <w14:schemeClr w14:val="tx1"/>
                  </w14:solidFill>
                </w14:textFill>
              </w:rPr>
            </m:ctrlPr>
          </m:sup>
        </m:sSubSup>
        <m:r>
          <m:rPr/>
          <w:rPr>
            <w:rFonts w:ascii="Cambria Math" w:hAnsi="宋体"/>
            <w:color w:val="000000" w:themeColor="text1"/>
            <w:sz w:val="24"/>
            <w:szCs w:val="24"/>
            <w14:textFill>
              <w14:solidFill>
                <w14:schemeClr w14:val="tx1"/>
              </w14:solidFill>
            </w14:textFill>
          </w:rPr>
          <m:t>+</m:t>
        </m:r>
        <m:sSubSup>
          <m:sSubSupPr>
            <m:ctrlPr>
              <w:rPr>
                <w:rFonts w:ascii="Cambria Math" w:hAnsi="宋体"/>
                <w:i/>
                <w:color w:val="000000" w:themeColor="text1"/>
                <w:sz w:val="24"/>
                <w:szCs w:val="24"/>
                <w14:textFill>
                  <w14:solidFill>
                    <w14:schemeClr w14:val="tx1"/>
                  </w14:solidFill>
                </w14:textFill>
              </w:rPr>
            </m:ctrlPr>
          </m:sSubSupPr>
          <m:e>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Evk</m:t>
            </m:r>
            <m:ctrlPr>
              <w:rPr>
                <w:rFonts w:ascii="Cambria Math" w:hAnsi="宋体"/>
                <w:i/>
                <w:color w:val="000000" w:themeColor="text1"/>
                <w:sz w:val="24"/>
                <w:szCs w:val="24"/>
                <w14:textFill>
                  <w14:solidFill>
                    <w14:schemeClr w14:val="tx1"/>
                  </w14:solidFill>
                </w14:textFill>
              </w:rPr>
            </m:ctrlPr>
          </m:sub>
          <m:sup>
            <m:r>
              <m:rPr/>
              <w:rPr>
                <w:rFonts w:ascii="Cambria Math" w:hAnsi="宋体"/>
                <w:color w:val="000000" w:themeColor="text1"/>
                <w:sz w:val="24"/>
                <w:szCs w:val="24"/>
                <w14:textFill>
                  <w14:solidFill>
                    <w14:schemeClr w14:val="tx1"/>
                  </w14:solidFill>
                </w14:textFill>
              </w:rPr>
              <m:t>*</m:t>
            </m:r>
            <m:ctrlPr>
              <w:rPr>
                <w:rFonts w:ascii="Cambria Math" w:hAnsi="宋体"/>
                <w:i/>
                <w:color w:val="000000" w:themeColor="text1"/>
                <w:sz w:val="24"/>
                <w:szCs w:val="24"/>
                <w14:textFill>
                  <w14:solidFill>
                    <w14:schemeClr w14:val="tx1"/>
                  </w14:solidFill>
                </w14:textFill>
              </w:rPr>
            </m:ctrlPr>
          </m:sup>
        </m:sSubSup>
        <m:r>
          <m:rPr/>
          <w:rPr>
            <w:rFonts w:ascii="Cambria Math" w:hAnsi="宋体"/>
            <w:color w:val="000000" w:themeColor="text1"/>
            <w:sz w:val="24"/>
            <w:szCs w:val="24"/>
            <w14:textFill>
              <w14:solidFill>
                <w14:schemeClr w14:val="tx1"/>
              </w14:solidFill>
            </w14:textFill>
          </w:rPr>
          <m:t>≤</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R</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k</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（6.6.2-4）</w:t>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sz w:val="24"/>
          <w:szCs w:val="24"/>
          <w14:textFill>
            <w14:solidFill>
              <w14:schemeClr w14:val="tx1"/>
            </w14:solidFill>
          </w14:textFill>
        </w:rPr>
        <w:t>4构件满足截面抗剪条件，应符合下列规定：</w:t>
      </w:r>
    </w:p>
    <w:p>
      <w:pPr>
        <w:spacing w:line="240" w:lineRule="auto"/>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钢筋混凝土竖向构件的受剪截面：</w:t>
      </w:r>
    </w:p>
    <w:p>
      <w:pPr>
        <w:spacing w:line="240" w:lineRule="auto"/>
        <w:ind w:left="0" w:firstLine="480" w:firstLineChars="200"/>
        <w:jc w:val="left"/>
        <w:rPr>
          <w:rFonts w:ascii="宋体" w:hAnsi="宋体"/>
          <w:color w:val="000000" w:themeColor="text1"/>
          <w:position w:val="-12"/>
          <w:sz w:val="24"/>
          <w:szCs w:val="24"/>
          <w14:textFill>
            <w14:solidFill>
              <w14:schemeClr w14:val="tx1"/>
            </w14:solidFill>
          </w14:textFill>
        </w:rPr>
      </w:pP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V</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GE</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m:t>
        </m:r>
        <m:sSubSup>
          <m:sSubSupPr>
            <m:ctrlPr>
              <w:rPr>
                <w:rFonts w:ascii="Cambria Math" w:hAnsi="宋体"/>
                <w:i/>
                <w:color w:val="000000" w:themeColor="text1"/>
                <w:sz w:val="24"/>
                <w:szCs w:val="24"/>
                <w14:textFill>
                  <w14:solidFill>
                    <w14:schemeClr w14:val="tx1"/>
                  </w14:solidFill>
                </w14:textFill>
              </w:rPr>
            </m:ctrlPr>
          </m:sSubSupPr>
          <m:e>
            <m:r>
              <m:rPr/>
              <w:rPr>
                <w:rFonts w:ascii="Cambria Math" w:hAnsi="宋体"/>
                <w:color w:val="000000" w:themeColor="text1"/>
                <w:sz w:val="24"/>
                <w:szCs w:val="24"/>
                <w14:textFill>
                  <w14:solidFill>
                    <w14:schemeClr w14:val="tx1"/>
                  </w14:solidFill>
                </w14:textFill>
              </w:rPr>
              <m:t>V</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Ek</m:t>
            </m:r>
            <m:ctrlPr>
              <w:rPr>
                <w:rFonts w:ascii="Cambria Math" w:hAnsi="宋体"/>
                <w:i/>
                <w:color w:val="000000" w:themeColor="text1"/>
                <w:sz w:val="24"/>
                <w:szCs w:val="24"/>
                <w14:textFill>
                  <w14:solidFill>
                    <w14:schemeClr w14:val="tx1"/>
                  </w14:solidFill>
                </w14:textFill>
              </w:rPr>
            </m:ctrlPr>
          </m:sub>
          <m:sup>
            <m:r>
              <m:rPr/>
              <w:rPr>
                <w:rFonts w:ascii="Cambria Math" w:hAnsi="宋体"/>
                <w:color w:val="000000" w:themeColor="text1"/>
                <w:sz w:val="24"/>
                <w:szCs w:val="24"/>
                <w14:textFill>
                  <w14:solidFill>
                    <w14:schemeClr w14:val="tx1"/>
                  </w14:solidFill>
                </w14:textFill>
              </w:rPr>
              <m:t>*</m:t>
            </m:r>
            <m:ctrlPr>
              <w:rPr>
                <w:rFonts w:ascii="Cambria Math" w:hAnsi="宋体"/>
                <w:i/>
                <w:color w:val="000000" w:themeColor="text1"/>
                <w:sz w:val="24"/>
                <w:szCs w:val="24"/>
                <w14:textFill>
                  <w14:solidFill>
                    <w14:schemeClr w14:val="tx1"/>
                  </w14:solidFill>
                </w14:textFill>
              </w:rPr>
            </m:ctrlPr>
          </m:sup>
        </m:sSubSup>
        <m:r>
          <m:rPr/>
          <w:rPr>
            <w:rFonts w:ascii="Cambria Math" w:hAnsi="宋体"/>
            <w:color w:val="000000" w:themeColor="text1"/>
            <w:sz w:val="24"/>
            <w:szCs w:val="24"/>
            <w14:textFill>
              <w14:solidFill>
                <w14:schemeClr w14:val="tx1"/>
              </w14:solidFill>
            </w14:textFill>
          </w:rPr>
          <m:t>≤0.15</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ck</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b</m:t>
        </m:r>
        <m:sSub>
          <m:sSubPr>
            <m:ctrlPr>
              <w:rPr>
                <w:rFonts w:ascii="Cambria Math" w:hAnsi="Cambria Math"/>
                <w:i/>
                <w:color w:val="000000" w:themeColor="text1"/>
                <w:sz w:val="24"/>
                <w:szCs w:val="24"/>
                <w14:textFill>
                  <w14:solidFill>
                    <w14:schemeClr w14:val="tx1"/>
                  </w14:solidFill>
                </w14:textFill>
              </w:rPr>
            </m:ctrlPr>
          </m:sSubPr>
          <m:e>
            <m:r>
              <m:rPr/>
              <w:rPr>
                <w:rFonts w:hint="eastAsia" w:ascii="MS Gothic" w:hAnsi="MS Gothic"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0</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position w:val="-12"/>
          <w:sz w:val="24"/>
          <w:szCs w:val="24"/>
          <w14:textFill>
            <w14:solidFill>
              <w14:schemeClr w14:val="tx1"/>
            </w14:solidFill>
          </w14:textFill>
        </w:rPr>
        <w:t xml:space="preserve">            </w:t>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（6.6.2-5）</w:t>
      </w:r>
    </w:p>
    <w:p>
      <w:pPr>
        <w:spacing w:line="240" w:lineRule="auto"/>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钢筋混凝土组合剪力墙的受剪截面：</w:t>
      </w:r>
    </w:p>
    <w:p>
      <w:pPr>
        <w:spacing w:line="240" w:lineRule="auto"/>
        <w:ind w:left="0" w:firstLine="480" w:firstLineChars="200"/>
        <w:jc w:val="left"/>
        <w:rPr>
          <w:rFonts w:ascii="宋体" w:hAnsi="宋体"/>
          <w:color w:val="000000" w:themeColor="text1"/>
          <w:position w:val="-12"/>
          <w:sz w:val="24"/>
          <w:szCs w:val="24"/>
          <w14:textFill>
            <w14:solidFill>
              <w14:schemeClr w14:val="tx1"/>
            </w14:solidFill>
          </w14:textFill>
        </w:rPr>
      </w:pPr>
      <m:oMath>
        <m:r>
          <m:rPr/>
          <w:rPr>
            <w:rFonts w:ascii="Cambria Math" w:hAnsi="宋体"/>
            <w:color w:val="000000" w:themeColor="text1"/>
            <w:sz w:val="24"/>
            <w:szCs w:val="24"/>
            <w14:textFill>
              <w14:solidFill>
                <w14:schemeClr w14:val="tx1"/>
              </w14:solidFill>
            </w14:textFill>
          </w:rPr>
          <m:t>(</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V</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GE</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m:t>
        </m:r>
        <m:sSubSup>
          <m:sSubSupPr>
            <m:ctrlPr>
              <w:rPr>
                <w:rFonts w:ascii="Cambria Math" w:hAnsi="宋体"/>
                <w:i/>
                <w:color w:val="000000" w:themeColor="text1"/>
                <w:sz w:val="24"/>
                <w:szCs w:val="24"/>
                <w14:textFill>
                  <w14:solidFill>
                    <w14:schemeClr w14:val="tx1"/>
                  </w14:solidFill>
                </w14:textFill>
              </w:rPr>
            </m:ctrlPr>
          </m:sSubSupPr>
          <m:e>
            <m:r>
              <m:rPr/>
              <w:rPr>
                <w:rFonts w:ascii="Cambria Math" w:hAnsi="宋体"/>
                <w:color w:val="000000" w:themeColor="text1"/>
                <w:sz w:val="24"/>
                <w:szCs w:val="24"/>
                <w14:textFill>
                  <w14:solidFill>
                    <w14:schemeClr w14:val="tx1"/>
                  </w14:solidFill>
                </w14:textFill>
              </w:rPr>
              <m:t>V</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Ek</m:t>
            </m:r>
            <m:ctrlPr>
              <w:rPr>
                <w:rFonts w:ascii="Cambria Math" w:hAnsi="宋体"/>
                <w:i/>
                <w:color w:val="000000" w:themeColor="text1"/>
                <w:sz w:val="24"/>
                <w:szCs w:val="24"/>
                <w14:textFill>
                  <w14:solidFill>
                    <w14:schemeClr w14:val="tx1"/>
                  </w14:solidFill>
                </w14:textFill>
              </w:rPr>
            </m:ctrlPr>
          </m:sub>
          <m:sup>
            <m:r>
              <m:rPr/>
              <w:rPr>
                <w:rFonts w:ascii="Cambria Math" w:hAnsi="宋体"/>
                <w:color w:val="000000" w:themeColor="text1"/>
                <w:sz w:val="24"/>
                <w:szCs w:val="24"/>
                <w14:textFill>
                  <w14:solidFill>
                    <w14:schemeClr w14:val="tx1"/>
                  </w14:solidFill>
                </w14:textFill>
              </w:rPr>
              <m:t>*</m:t>
            </m:r>
            <m:ctrlPr>
              <w:rPr>
                <w:rFonts w:ascii="Cambria Math" w:hAnsi="宋体"/>
                <w:i/>
                <w:color w:val="000000" w:themeColor="text1"/>
                <w:sz w:val="24"/>
                <w:szCs w:val="24"/>
                <w14:textFill>
                  <w14:solidFill>
                    <w14:schemeClr w14:val="tx1"/>
                  </w14:solidFill>
                </w14:textFill>
              </w:rPr>
            </m:ctrlPr>
          </m:sup>
        </m:sSubSup>
        <m:r>
          <m:rPr/>
          <w:rPr>
            <w:rFonts w:ascii="Cambria Math" w:hAnsi="宋体"/>
            <w:color w:val="000000" w:themeColor="text1"/>
            <w:sz w:val="24"/>
            <w:szCs w:val="24"/>
            <w14:textFill>
              <w14:solidFill>
                <w14:schemeClr w14:val="tx1"/>
              </w14:solidFill>
            </w14:textFill>
          </w:rPr>
          <m:t>)</m:t>
        </m:r>
        <m:r>
          <m:rPr/>
          <w:rPr>
            <w:rFonts w:hint="eastAsia" w:ascii="微软雅黑" w:hAnsi="微软雅黑" w:eastAsia="微软雅黑" w:cs="微软雅黑"/>
            <w:color w:val="000000" w:themeColor="text1"/>
            <w:sz w:val="24"/>
            <w:szCs w:val="24"/>
            <w14:textFill>
              <w14:solidFill>
                <w14:schemeClr w14:val="tx1"/>
              </w14:solidFill>
            </w14:textFill>
          </w:rPr>
          <m:t>−</m:t>
        </m:r>
        <m:r>
          <m:rPr/>
          <w:rPr>
            <w:rFonts w:ascii="Cambria Math" w:hAnsi="宋体"/>
            <w:color w:val="000000" w:themeColor="text1"/>
            <w:sz w:val="24"/>
            <w:szCs w:val="24"/>
            <w14:textFill>
              <w14:solidFill>
                <w14:schemeClr w14:val="tx1"/>
              </w14:solidFill>
            </w14:textFill>
          </w:rPr>
          <m:t>(0.25</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ak</m:t>
            </m:r>
            <m:ctrlPr>
              <w:rPr>
                <w:rFonts w:ascii="Cambria Math" w:hAnsi="宋体"/>
                <w:i/>
                <w:color w:val="000000" w:themeColor="text1"/>
                <w:sz w:val="24"/>
                <w:szCs w:val="24"/>
                <w14:textFill>
                  <w14:solidFill>
                    <w14:schemeClr w14:val="tx1"/>
                  </w14:solidFill>
                </w14:textFill>
              </w:rPr>
            </m:ctrlPr>
          </m:sub>
        </m:sSub>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+0.5</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spk</m:t>
            </m:r>
            <m:ctrlPr>
              <w:rPr>
                <w:rFonts w:ascii="Cambria Math" w:hAnsi="宋体"/>
                <w:i/>
                <w:color w:val="000000" w:themeColor="text1"/>
                <w:sz w:val="24"/>
                <w:szCs w:val="24"/>
                <w14:textFill>
                  <w14:solidFill>
                    <w14:schemeClr w14:val="tx1"/>
                  </w14:solidFill>
                </w14:textFill>
              </w:rPr>
            </m:ctrlPr>
          </m:sub>
        </m:sSub>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sp</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)≤0.15</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ck</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b</m:t>
        </m:r>
        <m:sSub>
          <m:sSubPr>
            <m:ctrlPr>
              <w:rPr>
                <w:rFonts w:ascii="Cambria Math" w:hAnsi="Cambria Math"/>
                <w:i/>
                <w:color w:val="000000" w:themeColor="text1"/>
                <w:sz w:val="24"/>
                <w:szCs w:val="24"/>
                <w14:textFill>
                  <w14:solidFill>
                    <w14:schemeClr w14:val="tx1"/>
                  </w14:solidFill>
                </w14:textFill>
              </w:rPr>
            </m:ctrlPr>
          </m:sSubPr>
          <m:e>
            <m:r>
              <m:rPr/>
              <w:rPr>
                <w:rFonts w:hint="eastAsia" w:ascii="MS Gothic" w:hAnsi="MS Gothic"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0</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position w:val="-12"/>
          <w:sz w:val="24"/>
          <w:szCs w:val="24"/>
          <w14:textFill>
            <w14:solidFill>
              <w14:schemeClr w14:val="tx1"/>
            </w14:solidFill>
          </w14:textFill>
        </w:rPr>
        <w:t xml:space="preserve">     </w:t>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（6.6.2-6）</w:t>
      </w:r>
    </w:p>
    <w:p>
      <w:pPr>
        <w:spacing w:line="240" w:lineRule="auto"/>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式中：</w:t>
      </w: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V</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GE</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 xml:space="preserve">为重力荷载代表值作用下的构件剪力，N； </w:t>
      </w:r>
      <m:oMath>
        <m:sSubSup>
          <m:sSubSupPr>
            <m:ctrlPr>
              <w:rPr>
                <w:rFonts w:ascii="Cambria Math" w:hAnsi="宋体"/>
                <w:i/>
                <w:color w:val="000000" w:themeColor="text1"/>
                <w:sz w:val="24"/>
                <w:szCs w:val="24"/>
                <w14:textFill>
                  <w14:solidFill>
                    <w14:schemeClr w14:val="tx1"/>
                  </w14:solidFill>
                </w14:textFill>
              </w:rPr>
            </m:ctrlPr>
          </m:sSubSupPr>
          <m:e>
            <m:r>
              <m:rPr/>
              <w:rPr>
                <w:rFonts w:ascii="Cambria Math" w:hAnsi="宋体"/>
                <w:color w:val="000000" w:themeColor="text1"/>
                <w:sz w:val="24"/>
                <w:szCs w:val="24"/>
                <w14:textFill>
                  <w14:solidFill>
                    <w14:schemeClr w14:val="tx1"/>
                  </w14:solidFill>
                </w14:textFill>
              </w:rPr>
              <m:t>V</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Ek</m:t>
            </m:r>
            <m:ctrlPr>
              <w:rPr>
                <w:rFonts w:ascii="Cambria Math" w:hAnsi="宋体"/>
                <w:i/>
                <w:color w:val="000000" w:themeColor="text1"/>
                <w:sz w:val="24"/>
                <w:szCs w:val="24"/>
                <w14:textFill>
                  <w14:solidFill>
                    <w14:schemeClr w14:val="tx1"/>
                  </w14:solidFill>
                </w14:textFill>
              </w:rPr>
            </m:ctrlPr>
          </m:sub>
          <m:sup>
            <m:r>
              <m:rPr/>
              <w:rPr>
                <w:rFonts w:ascii="Cambria Math" w:hAnsi="宋体"/>
                <w:color w:val="000000" w:themeColor="text1"/>
                <w:sz w:val="24"/>
                <w:szCs w:val="24"/>
                <w14:textFill>
                  <w14:solidFill>
                    <w14:schemeClr w14:val="tx1"/>
                  </w14:solidFill>
                </w14:textFill>
              </w:rPr>
              <m:t>*</m:t>
            </m:r>
            <m:ctrlPr>
              <w:rPr>
                <w:rFonts w:ascii="Cambria Math" w:hAnsi="宋体"/>
                <w:i/>
                <w:color w:val="000000" w:themeColor="text1"/>
                <w:sz w:val="24"/>
                <w:szCs w:val="24"/>
                <w14:textFill>
                  <w14:solidFill>
                    <w14:schemeClr w14:val="tx1"/>
                  </w14:solidFill>
                </w14:textFill>
              </w:rPr>
            </m:ctrlPr>
          </m:sup>
        </m:sSubSup>
      </m:oMath>
      <w:r>
        <w:rPr>
          <w:rFonts w:ascii="宋体" w:hAnsi="宋体"/>
          <w:color w:val="000000" w:themeColor="text1"/>
          <w:sz w:val="24"/>
          <w:szCs w:val="24"/>
          <w14:textFill>
            <w14:solidFill>
              <w14:schemeClr w14:val="tx1"/>
            </w14:solidFill>
          </w14:textFill>
        </w:rPr>
        <w:fldChar w:fldCharType="begin"/>
      </w:r>
      <w:r>
        <w:rPr>
          <w:rFonts w:ascii="宋体" w:hAnsi="宋体"/>
          <w:color w:val="000000" w:themeColor="text1"/>
          <w:sz w:val="24"/>
          <w:szCs w:val="24"/>
          <w14:textFill>
            <w14:solidFill>
              <w14:schemeClr w14:val="tx1"/>
            </w14:solidFill>
          </w14:textFill>
        </w:rPr>
        <w:instrText xml:space="preserve"> QUOTE </w:instrText>
      </w:r>
      <m:oMath>
        <m:sSub>
          <m:sSubPr>
            <m:ctrlPr>
              <w:rPr>
                <w:rFonts w:ascii="Cambria Math" w:hAnsi="Cambria Math"/>
                <w:color w:val="000000" w:themeColor="text1"/>
                <w:sz w:val="24"/>
                <w:szCs w:val="24"/>
                <w14:textFill>
                  <w14:solidFill>
                    <w14:schemeClr w14:val="tx1"/>
                  </w14:solidFill>
                </w14:textFill>
              </w:rPr>
            </m:ctrlPr>
          </m:sSubPr>
          <m:e>
            <m:sSup>
              <m:sSupPr>
                <m:ctrlPr>
                  <w:rPr>
                    <w:rFonts w:ascii="Cambria Math" w:hAnsi="Cambria Math"/>
                    <w:color w:val="000000" w:themeColor="text1"/>
                    <w:sz w:val="24"/>
                    <w:szCs w:val="24"/>
                    <w14:textFill>
                      <w14:solidFill>
                        <w14:schemeClr w14:val="tx1"/>
                      </w14:solidFill>
                    </w14:textFill>
                  </w:rPr>
                </m:ctrlPr>
              </m:sSupPr>
              <m:e>
                <m:r>
                  <m:rPr>
                    <m:sty m:val="p"/>
                  </m:rPr>
                  <w:rPr>
                    <w:rFonts w:ascii="Cambria Math" w:hAnsi="Cambria Math"/>
                    <w:color w:val="000000" w:themeColor="text1"/>
                    <w:sz w:val="24"/>
                    <w:szCs w:val="24"/>
                    <w14:textFill>
                      <w14:solidFill>
                        <w14:schemeClr w14:val="tx1"/>
                      </w14:solidFill>
                    </w14:textFill>
                  </w:rPr>
                  <m:t xml:space="preserve">             V</m:t>
                </m:r>
                <m:ctrlPr>
                  <w:rPr>
                    <w:rFonts w:ascii="Cambria Math" w:hAnsi="Cambria Math"/>
                    <w:color w:val="000000" w:themeColor="text1"/>
                    <w:sz w:val="24"/>
                    <w:szCs w:val="24"/>
                    <w14:textFill>
                      <w14:solidFill>
                        <w14:schemeClr w14:val="tx1"/>
                      </w14:solidFill>
                    </w14:textFill>
                  </w:rPr>
                </m:ctrlPr>
              </m:e>
              <m:sup>
                <m:r>
                  <m:rPr>
                    <m:sty m:val="p"/>
                  </m:rPr>
                  <w:rPr>
                    <w:rFonts w:hint="eastAsia" w:ascii="Cambria Math" w:hAnsi="Cambria Math"/>
                    <w:color w:val="000000" w:themeColor="text1"/>
                    <w:sz w:val="24"/>
                    <w:szCs w:val="24"/>
                    <w14:textFill>
                      <w14:solidFill>
                        <w14:schemeClr w14:val="tx1"/>
                      </w14:solidFill>
                    </w14:textFill>
                  </w:rPr>
                  <m:t xml:space="preserve">﹡</m:t>
                </m:r>
                <m:ctrlPr>
                  <w:rPr>
                    <w:rFonts w:ascii="Cambria Math" w:hAnsi="Cambria Math"/>
                    <w:color w:val="000000" w:themeColor="text1"/>
                    <w:sz w:val="24"/>
                    <w:szCs w:val="24"/>
                    <w14:textFill>
                      <w14:solidFill>
                        <w14:schemeClr w14:val="tx1"/>
                      </w14:solidFill>
                    </w14:textFill>
                  </w:rPr>
                </m:ctrlPr>
              </m:sup>
            </m:sSup>
            <m:ctrlPr>
              <w:rPr>
                <w:rFonts w:ascii="Cambria Math" w:hAnsi="Cambria Math"/>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 xml:space="preserve">Ek</m:t>
            </m:r>
            <m:ctrlPr>
              <w:rPr>
                <w:rFonts w:ascii="Cambria Math" w:hAnsi="Cambria Math"/>
                <w:color w:val="000000" w:themeColor="text1"/>
                <w:sz w:val="24"/>
                <w:szCs w:val="24"/>
                <w14:textFill>
                  <w14:solidFill>
                    <w14:schemeClr w14:val="tx1"/>
                  </w14:solidFill>
                </w14:textFill>
              </w:rPr>
            </m:ctrlPr>
          </m:sub>
        </m:sSub>
      </m:oMath>
      <w:r>
        <w:rPr>
          <w:rFonts w:ascii="宋体" w:hAnsi="宋体"/>
          <w:color w:val="000000" w:themeColor="text1"/>
          <w:sz w:val="24"/>
          <w:szCs w:val="24"/>
          <w14:textFill>
            <w14:solidFill>
              <w14:schemeClr w14:val="tx1"/>
            </w14:solidFill>
          </w14:textFill>
        </w:rPr>
        <w:instrText xml:space="preserve"> </w:instrText>
      </w:r>
      <w:r>
        <w:rPr>
          <w:rFonts w:ascii="宋体" w:hAnsi="宋体"/>
          <w:color w:val="000000" w:themeColor="text1"/>
          <w:sz w:val="24"/>
          <w:szCs w:val="24"/>
          <w14:textFill>
            <w14:solidFill>
              <w14:schemeClr w14:val="tx1"/>
            </w14:solidFill>
          </w14:textFill>
        </w:rPr>
        <w:fldChar w:fldCharType="end"/>
      </w:r>
      <w:r>
        <w:rPr>
          <w:rFonts w:hint="eastAsia" w:ascii="宋体" w:hAnsi="宋体"/>
          <w:color w:val="000000" w:themeColor="text1"/>
          <w:sz w:val="24"/>
          <w:szCs w:val="24"/>
          <w14:textFill>
            <w14:solidFill>
              <w14:schemeClr w14:val="tx1"/>
            </w14:solidFill>
          </w14:textFill>
        </w:rPr>
        <w:t>为地震作用标准值的构件剪力，不需考虑与抗震等级有关的增大系数，N；</w:t>
      </w: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ck</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为混凝土轴心拉压强度标准值；</w:t>
      </w: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ak</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为剪力墙端部暗柱中型钢的强度标准值；</w:t>
      </w: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为剪力墙端部暗柱中型钢的截面面积；</w:t>
      </w: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spk</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为剪力墙墙内钢板的强度标准值；</w:t>
      </w: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sp</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为剪力墙墙内钢板的横截面面积。</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 剪力墙截面抗剪验算</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偏心受压时截面验算按下式：</w:t>
      </w:r>
    </w:p>
    <w:p>
      <w:pPr>
        <w:spacing w:line="240" w:lineRule="auto"/>
        <w:ind w:left="0" w:firstLine="480" w:firstLineChars="200"/>
        <w:jc w:val="left"/>
        <w:rPr>
          <w:rFonts w:ascii="宋体" w:hAnsi="宋体"/>
          <w:color w:val="000000" w:themeColor="text1"/>
          <w:position w:val="-12"/>
          <w:sz w:val="24"/>
          <w:szCs w:val="24"/>
          <w14:textFill>
            <w14:solidFill>
              <w14:schemeClr w14:val="tx1"/>
            </w14:solidFill>
          </w14:textFill>
        </w:rPr>
      </w:pPr>
      <m:oMath>
        <m:r>
          <m:rPr/>
          <w:rPr>
            <w:rFonts w:ascii="Cambria Math" w:hAnsi="宋体"/>
            <w:color w:val="000000" w:themeColor="text1"/>
            <w:sz w:val="24"/>
            <w:szCs w:val="24"/>
            <w14:textFill>
              <w14:solidFill>
                <w14:schemeClr w14:val="tx1"/>
              </w14:solidFill>
            </w14:textFill>
          </w:rPr>
          <m:t>V≤</m:t>
        </m:r>
        <m:f>
          <m:fPr>
            <m:ctrlPr>
              <w:rPr>
                <w:rFonts w:ascii="Cambria Math" w:hAnsi="宋体"/>
                <w:i/>
                <w:color w:val="000000" w:themeColor="text1"/>
                <w:sz w:val="24"/>
                <w:szCs w:val="24"/>
                <w14:textFill>
                  <w14:solidFill>
                    <w14:schemeClr w14:val="tx1"/>
                  </w14:solidFill>
                </w14:textFill>
              </w:rPr>
            </m:ctrlPr>
          </m:fPr>
          <m:num>
            <m:r>
              <m:rPr/>
              <w:rPr>
                <w:rFonts w:ascii="Cambria Math" w:hAnsi="宋体"/>
                <w:color w:val="000000" w:themeColor="text1"/>
                <w:sz w:val="24"/>
                <w:szCs w:val="24"/>
                <w14:textFill>
                  <w14:solidFill>
                    <w14:schemeClr w14:val="tx1"/>
                  </w14:solidFill>
                </w14:textFill>
              </w:rPr>
              <m:t>1</m:t>
            </m:r>
            <m:ctrlPr>
              <w:rPr>
                <w:rFonts w:ascii="Cambria Math" w:hAnsi="宋体"/>
                <w:i/>
                <w:color w:val="000000" w:themeColor="text1"/>
                <w:sz w:val="24"/>
                <w:szCs w:val="24"/>
                <w14:textFill>
                  <w14:solidFill>
                    <w14:schemeClr w14:val="tx1"/>
                  </w14:solidFill>
                </w14:textFill>
              </w:rPr>
            </m:ctrlPr>
          </m:num>
          <m:den>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γ</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RE</m:t>
                </m:r>
                <m:ctrlPr>
                  <w:rPr>
                    <w:rFonts w:ascii="Cambria Math" w:hAnsi="宋体"/>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r>
          <m:rPr/>
          <w:rPr>
            <w:rFonts w:ascii="Cambria Math" w:hAnsi="宋体"/>
            <w:color w:val="000000" w:themeColor="text1"/>
            <w:sz w:val="24"/>
            <w:szCs w:val="24"/>
            <w14:textFill>
              <w14:solidFill>
                <w14:schemeClr w14:val="tx1"/>
              </w14:solidFill>
            </w14:textFill>
          </w:rPr>
          <m:t>[</m:t>
        </m:r>
        <m:f>
          <m:fPr>
            <m:ctrlPr>
              <w:rPr>
                <w:rFonts w:ascii="Cambria Math" w:hAnsi="宋体"/>
                <w:i/>
                <w:color w:val="000000" w:themeColor="text1"/>
                <w:sz w:val="24"/>
                <w:szCs w:val="24"/>
                <w14:textFill>
                  <w14:solidFill>
                    <w14:schemeClr w14:val="tx1"/>
                  </w14:solidFill>
                </w14:textFill>
              </w:rPr>
            </m:ctrlPr>
          </m:fPr>
          <m:num>
            <m:r>
              <m:rPr/>
              <w:rPr>
                <w:rFonts w:ascii="Cambria Math" w:hAnsi="宋体"/>
                <w:color w:val="000000" w:themeColor="text1"/>
                <w:sz w:val="24"/>
                <w:szCs w:val="24"/>
                <w14:textFill>
                  <w14:solidFill>
                    <w14:schemeClr w14:val="tx1"/>
                  </w14:solidFill>
                </w14:textFill>
              </w:rPr>
              <m:t>1</m:t>
            </m:r>
            <m:ctrlPr>
              <w:rPr>
                <w:rFonts w:ascii="Cambria Math" w:hAnsi="宋体"/>
                <w:i/>
                <w:color w:val="000000" w:themeColor="text1"/>
                <w:sz w:val="24"/>
                <w:szCs w:val="24"/>
                <w14:textFill>
                  <w14:solidFill>
                    <w14:schemeClr w14:val="tx1"/>
                  </w14:solidFill>
                </w14:textFill>
              </w:rPr>
            </m:ctrlPr>
          </m:num>
          <m:den>
            <m:d>
              <m:dPr>
                <m:ctrlPr>
                  <w:rPr>
                    <w:rFonts w:ascii="Cambria Math" w:hAnsi="宋体"/>
                    <w:i/>
                    <w:color w:val="000000" w:themeColor="text1"/>
                    <w:sz w:val="24"/>
                    <w:szCs w:val="24"/>
                    <w14:textFill>
                      <w14:solidFill>
                        <w14:schemeClr w14:val="tx1"/>
                      </w14:solidFill>
                    </w14:textFill>
                  </w:rPr>
                </m:ctrlPr>
              </m:dPr>
              <m:e>
                <m:r>
                  <m:rPr/>
                  <w:rPr>
                    <w:rFonts w:ascii="Cambria Math" w:hAnsi="宋体"/>
                    <w:color w:val="000000" w:themeColor="text1"/>
                    <w:sz w:val="24"/>
                    <w:szCs w:val="24"/>
                    <w14:textFill>
                      <w14:solidFill>
                        <w14:schemeClr w14:val="tx1"/>
                      </w14:solidFill>
                    </w14:textFill>
                  </w:rPr>
                  <m:t>λ</m:t>
                </m:r>
                <m:r>
                  <m:rPr/>
                  <w:rPr>
                    <w:rFonts w:hint="eastAsia" w:ascii="Cambria Math" w:hAnsi="Cambria Math" w:eastAsia="微软雅黑" w:cs="微软雅黑"/>
                    <w:color w:val="000000" w:themeColor="text1"/>
                    <w:sz w:val="24"/>
                    <w:szCs w:val="24"/>
                    <w14:textFill>
                      <w14:solidFill>
                        <w14:schemeClr w14:val="tx1"/>
                      </w14:solidFill>
                    </w14:textFill>
                  </w:rPr>
                  <m:t>−</m:t>
                </m:r>
                <m:r>
                  <m:rPr/>
                  <w:rPr>
                    <w:rFonts w:ascii="Cambria Math" w:hAnsi="宋体"/>
                    <w:color w:val="000000" w:themeColor="text1"/>
                    <w:sz w:val="24"/>
                    <w:szCs w:val="24"/>
                    <w14:textFill>
                      <w14:solidFill>
                        <w14:schemeClr w14:val="tx1"/>
                      </w14:solidFill>
                    </w14:textFill>
                  </w:rPr>
                  <m:t>0.5</m:t>
                </m:r>
                <m:ctrlPr>
                  <w:rPr>
                    <w:rFonts w:ascii="Cambria Math" w:hAnsi="宋体"/>
                    <w:i/>
                    <w:color w:val="000000" w:themeColor="text1"/>
                    <w:sz w:val="24"/>
                    <w:szCs w:val="24"/>
                    <w14:textFill>
                      <w14:solidFill>
                        <w14:schemeClr w14:val="tx1"/>
                      </w14:solidFill>
                    </w14:textFill>
                  </w:rPr>
                </m:ctrlPr>
              </m:e>
            </m:d>
            <m:ctrlPr>
              <w:rPr>
                <w:rFonts w:ascii="Cambria Math" w:hAnsi="宋体"/>
                <w:i/>
                <w:color w:val="000000" w:themeColor="text1"/>
                <w:sz w:val="24"/>
                <w:szCs w:val="24"/>
                <w14:textFill>
                  <w14:solidFill>
                    <w14:schemeClr w14:val="tx1"/>
                  </w14:solidFill>
                </w14:textFill>
              </w:rPr>
            </m:ctrlPr>
          </m:den>
        </m:f>
        <m:r>
          <m:rPr/>
          <w:rPr>
            <w:rFonts w:ascii="Cambria Math" w:hAnsi="宋体"/>
            <w:color w:val="000000" w:themeColor="text1"/>
            <w:sz w:val="24"/>
            <w:szCs w:val="24"/>
            <w14:textFill>
              <w14:solidFill>
                <w14:schemeClr w14:val="tx1"/>
              </w14:solidFill>
            </w14:textFill>
          </w:rPr>
          <m:t>(0.4</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t</m:t>
            </m:r>
            <m:ctrlPr>
              <w:rPr>
                <w:rFonts w:ascii="Cambria Math" w:hAnsi="宋体"/>
                <w:i/>
                <w:color w:val="000000" w:themeColor="text1"/>
                <w:sz w:val="24"/>
                <w:szCs w:val="24"/>
                <w14:textFill>
                  <w14:solidFill>
                    <w14:schemeClr w14:val="tx1"/>
                  </w14:solidFill>
                </w14:textFill>
              </w:rPr>
            </m:ctrlPr>
          </m:sub>
        </m:sSub>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b</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w</m:t>
            </m:r>
            <m:ctrlPr>
              <w:rPr>
                <w:rFonts w:ascii="Cambria Math" w:hAnsi="宋体"/>
                <w:i/>
                <w:color w:val="000000" w:themeColor="text1"/>
                <w:sz w:val="24"/>
                <w:szCs w:val="24"/>
                <w14:textFill>
                  <w14:solidFill>
                    <w14:schemeClr w14:val="tx1"/>
                  </w14:solidFill>
                </w14:textFill>
              </w:rPr>
            </m:ctrlPr>
          </m:sub>
        </m:sSub>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w0</m:t>
            </m:r>
            <m:ctrlPr>
              <w:rPr>
                <w:rFonts w:ascii="Cambria Math" w:hAnsi="宋体"/>
                <w:i/>
                <w:color w:val="000000" w:themeColor="text1"/>
                <w:sz w:val="24"/>
                <w:szCs w:val="24"/>
                <w14:textFill>
                  <w14:solidFill>
                    <w14:schemeClr w14:val="tx1"/>
                  </w14:solidFill>
                </w14:textFill>
              </w:rPr>
            </m:ctrlPr>
          </m:sub>
        </m:sSub>
        <m:r>
          <m:rPr/>
          <w:rPr>
            <w:rFonts w:hint="eastAsia" w:ascii="Cambria Math" w:hAnsi="微软雅黑" w:eastAsia="微软雅黑" w:cs="微软雅黑"/>
            <w:color w:val="000000" w:themeColor="text1"/>
            <w:sz w:val="24"/>
            <w:szCs w:val="24"/>
            <w14:textFill>
              <w14:solidFill>
                <w14:schemeClr w14:val="tx1"/>
              </w14:solidFill>
            </w14:textFill>
          </w:rPr>
          <m:t>+</m:t>
        </m:r>
        <m:f>
          <m:fPr>
            <m:ctrlPr>
              <w:rPr>
                <w:rFonts w:ascii="Cambria Math" w:hAnsi="宋体"/>
                <w:i/>
                <w:color w:val="000000" w:themeColor="text1"/>
                <w:sz w:val="24"/>
                <w:szCs w:val="24"/>
                <w14:textFill>
                  <w14:solidFill>
                    <w14:schemeClr w14:val="tx1"/>
                  </w14:solidFill>
                </w14:textFill>
              </w:rPr>
            </m:ctrlPr>
          </m:fPr>
          <m:num>
            <m:r>
              <m:rPr/>
              <w:rPr>
                <w:rFonts w:ascii="Cambria Math" w:hAnsi="宋体"/>
                <w:color w:val="000000" w:themeColor="text1"/>
                <w:sz w:val="24"/>
                <w:szCs w:val="24"/>
                <w14:textFill>
                  <w14:solidFill>
                    <w14:schemeClr w14:val="tx1"/>
                  </w14:solidFill>
                </w14:textFill>
              </w:rPr>
              <m:t>0.1N</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w</m:t>
                </m:r>
                <m:ctrlPr>
                  <w:rPr>
                    <w:rFonts w:ascii="Cambria Math" w:hAnsi="宋体"/>
                    <w:i/>
                    <w:color w:val="000000" w:themeColor="text1"/>
                    <w:sz w:val="24"/>
                    <w:szCs w:val="24"/>
                    <w14:textFill>
                      <w14:solidFill>
                        <w14:schemeClr w14:val="tx1"/>
                      </w14:solidFill>
                    </w14:textFill>
                  </w:rPr>
                </m:ctrlPr>
              </m:sub>
            </m:sSub>
            <m:ctrlPr>
              <w:rPr>
                <w:rFonts w:ascii="Cambria Math" w:hAnsi="宋体"/>
                <w:i/>
                <w:color w:val="000000" w:themeColor="text1"/>
                <w:sz w:val="24"/>
                <w:szCs w:val="24"/>
                <w14:textFill>
                  <w14:solidFill>
                    <w14:schemeClr w14:val="tx1"/>
                  </w14:solidFill>
                </w14:textFill>
              </w:rPr>
            </m:ctrlPr>
          </m:num>
          <m:den>
            <m:r>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den>
        </m:f>
        <m:r>
          <m:rPr/>
          <w:rPr>
            <w:rFonts w:ascii="Cambria Math" w:hAnsi="宋体"/>
            <w:color w:val="000000" w:themeColor="text1"/>
            <w:sz w:val="24"/>
            <w:szCs w:val="24"/>
            <w14:textFill>
              <w14:solidFill>
                <w14:schemeClr w14:val="tx1"/>
              </w14:solidFill>
            </w14:textFill>
          </w:rPr>
          <m:t>)+0.8</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y</m:t>
            </m:r>
            <m:r>
              <m:rPr/>
              <w:rPr>
                <w:rFonts w:hint="eastAsia" w:ascii="Cambria Math" w:hAnsi="Cambria Math"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sub>
        </m:sSub>
        <m:f>
          <m:fPr>
            <m:ctrlPr>
              <w:rPr>
                <w:rFonts w:ascii="Cambria Math" w:hAnsi="宋体"/>
                <w:i/>
                <w:color w:val="000000" w:themeColor="text1"/>
                <w:sz w:val="24"/>
                <w:szCs w:val="24"/>
                <w14:textFill>
                  <w14:solidFill>
                    <w14:schemeClr w14:val="tx1"/>
                  </w14:solidFill>
                </w14:textFill>
              </w:rPr>
            </m:ctrlPr>
          </m:fPr>
          <m:num>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s</m:t>
                </m:r>
                <m:r>
                  <m:rPr/>
                  <w:rPr>
                    <w:rFonts w:hint="eastAsia" w:ascii="Cambria Math" w:hAnsi="Cambria Math"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sub>
            </m:sSub>
            <m:ctrlPr>
              <w:rPr>
                <w:rFonts w:ascii="Cambria Math" w:hAnsi="宋体"/>
                <w:i/>
                <w:color w:val="000000" w:themeColor="text1"/>
                <w:sz w:val="24"/>
                <w:szCs w:val="24"/>
                <w14:textFill>
                  <w14:solidFill>
                    <w14:schemeClr w14:val="tx1"/>
                  </w14:solidFill>
                </w14:textFill>
              </w:rPr>
            </m:ctrlPr>
          </m:num>
          <m:den>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den>
        </m:f>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w0</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m:t>
        </m:r>
      </m:oMath>
      <w:r>
        <w:rPr>
          <w:rFonts w:hint="eastAsia" w:ascii="宋体" w:hAnsi="宋体"/>
          <w:color w:val="000000" w:themeColor="text1"/>
          <w:position w:val="-12"/>
          <w:sz w:val="24"/>
          <w:szCs w:val="24"/>
          <w14:textFill>
            <w14:solidFill>
              <w14:schemeClr w14:val="tx1"/>
            </w14:solidFill>
          </w14:textFill>
        </w:rPr>
        <w:t xml:space="preserve">    </w:t>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（6.6.2-7）</w:t>
      </w:r>
    </w:p>
    <w:p>
      <w:pPr>
        <w:spacing w:line="240" w:lineRule="auto"/>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式中：</w:t>
      </w:r>
      <m:oMath>
        <m:r>
          <m:rPr/>
          <w:rPr>
            <w:rFonts w:ascii="Cambria Math" w:hAnsi="宋体"/>
            <w:color w:val="000000" w:themeColor="text1"/>
            <w:sz w:val="24"/>
            <w:szCs w:val="24"/>
            <w14:textFill>
              <w14:solidFill>
                <w14:schemeClr w14:val="tx1"/>
              </w14:solidFill>
            </w14:textFill>
          </w:rPr>
          <m:t>N</m:t>
        </m:r>
      </m:oMath>
      <w:r>
        <w:rPr>
          <w:rFonts w:hint="eastAsia" w:ascii="宋体" w:hAnsi="宋体"/>
          <w:color w:val="000000" w:themeColor="text1"/>
          <w:sz w:val="24"/>
          <w:szCs w:val="24"/>
          <w14:textFill>
            <w14:solidFill>
              <w14:schemeClr w14:val="tx1"/>
            </w14:solidFill>
          </w14:textFill>
        </w:rPr>
        <w:t>为剪力墙截面轴向压力设计值，</w:t>
      </w:r>
      <m:oMath>
        <m:r>
          <m:rPr/>
          <w:rPr>
            <w:rFonts w:ascii="Cambria Math" w:hAnsi="宋体"/>
            <w:color w:val="000000" w:themeColor="text1"/>
            <w:sz w:val="24"/>
            <w:szCs w:val="24"/>
            <w14:textFill>
              <w14:solidFill>
                <w14:schemeClr w14:val="tx1"/>
              </w14:solidFill>
            </w14:textFill>
          </w:rPr>
          <m:t>N</m:t>
        </m:r>
      </m:oMath>
      <w:r>
        <w:rPr>
          <w:rFonts w:hint="eastAsia" w:ascii="宋体" w:hAnsi="宋体"/>
          <w:color w:val="000000" w:themeColor="text1"/>
          <w:sz w:val="24"/>
          <w:szCs w:val="24"/>
          <w14:textFill>
            <w14:solidFill>
              <w14:schemeClr w14:val="tx1"/>
            </w14:solidFill>
          </w14:textFill>
        </w:rPr>
        <w:t>大于</w:t>
      </w:r>
      <m:oMath>
        <m:r>
          <m:rPr/>
          <w:rPr>
            <w:rFonts w:ascii="Cambria Math" w:hAnsi="宋体"/>
            <w:color w:val="000000" w:themeColor="text1"/>
            <w:sz w:val="24"/>
            <w:szCs w:val="24"/>
            <w14:textFill>
              <w14:solidFill>
                <w14:schemeClr w14:val="tx1"/>
              </w14:solidFill>
            </w14:textFill>
          </w:rPr>
          <m:t>0.2</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c</m:t>
            </m:r>
            <m:ctrlPr>
              <w:rPr>
                <w:rFonts w:ascii="Cambria Math" w:hAnsi="宋体"/>
                <w:i/>
                <w:color w:val="000000" w:themeColor="text1"/>
                <w:sz w:val="24"/>
                <w:szCs w:val="24"/>
                <w14:textFill>
                  <w14:solidFill>
                    <w14:schemeClr w14:val="tx1"/>
                  </w14:solidFill>
                </w14:textFill>
              </w:rPr>
            </m:ctrlPr>
          </m:sub>
        </m:sSub>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b</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w</m:t>
            </m:r>
            <m:ctrlPr>
              <w:rPr>
                <w:rFonts w:ascii="Cambria Math" w:hAnsi="宋体"/>
                <w:i/>
                <w:color w:val="000000" w:themeColor="text1"/>
                <w:sz w:val="24"/>
                <w:szCs w:val="24"/>
                <w14:textFill>
                  <w14:solidFill>
                    <w14:schemeClr w14:val="tx1"/>
                  </w14:solidFill>
                </w14:textFill>
              </w:rPr>
            </m:ctrlPr>
          </m:sub>
        </m:sSub>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w</m:t>
            </m:r>
            <m:ctrlPr>
              <w:rPr>
                <w:rFonts w:ascii="Cambria Math" w:hAnsi="宋体"/>
                <w:i/>
                <w:color w:val="000000" w:themeColor="text1"/>
                <w:sz w:val="24"/>
                <w:szCs w:val="24"/>
                <w14:textFill>
                  <w14:solidFill>
                    <w14:schemeClr w14:val="tx1"/>
                  </w14:solidFill>
                </w14:textFill>
              </w:rPr>
            </m:ctrlPr>
          </m:sub>
        </m:sSub>
      </m:oMath>
      <w:r>
        <w:rPr>
          <w:rFonts w:ascii="宋体" w:hAnsi="宋体"/>
          <w:color w:val="000000" w:themeColor="text1"/>
          <w:sz w:val="24"/>
          <w:szCs w:val="24"/>
          <w14:textFill>
            <w14:solidFill>
              <w14:schemeClr w14:val="tx1"/>
            </w14:solidFill>
          </w14:textFill>
        </w:rPr>
        <w:fldChar w:fldCharType="begin"/>
      </w:r>
      <w:r>
        <w:rPr>
          <w:rFonts w:ascii="宋体" w:hAnsi="宋体"/>
          <w:color w:val="000000" w:themeColor="text1"/>
          <w:sz w:val="24"/>
          <w:szCs w:val="24"/>
          <w14:textFill>
            <w14:solidFill>
              <w14:schemeClr w14:val="tx1"/>
            </w14:solidFill>
          </w14:textFill>
        </w:rPr>
        <w:instrText xml:space="preserve"> QUOTE </w:instrText>
      </w:r>
      <m:oMath>
        <m:r>
          <m:rPr>
            <m:sty m:val="p"/>
          </m:rPr>
          <w:rPr>
            <w:rFonts w:ascii="Cambria Math" w:hAnsi="Cambria Math"/>
            <w:color w:val="000000" w:themeColor="text1"/>
            <w:sz w:val="24"/>
            <w:szCs w:val="24"/>
            <w14:textFill>
              <w14:solidFill>
                <w14:schemeClr w14:val="tx1"/>
              </w14:solidFill>
            </w14:textFill>
          </w:rPr>
          <m:t xml:space="preserve">0.2</m:t>
        </m:r>
        <m:sSub>
          <m:sSubPr>
            <m:ctrlPr>
              <w:rPr>
                <w:rFonts w:ascii="Cambria Math" w:hAnsi="Cambria Math"/>
                <w:color w:val="000000" w:themeColor="text1"/>
                <w:sz w:val="24"/>
                <w:szCs w:val="24"/>
                <w14:textFill>
                  <w14:solidFill>
                    <w14:schemeClr w14:val="tx1"/>
                  </w14:solidFill>
                </w14:textFill>
              </w:rPr>
            </m:ctrlPr>
          </m:sSubPr>
          <m:e>
            <m:r>
              <m:rPr>
                <m:sty m:val="p"/>
              </m:rPr>
              <w:rPr>
                <w:rFonts w:ascii="Cambria Math" w:hAnsi="Cambria Math"/>
                <w:color w:val="000000" w:themeColor="text1"/>
                <w:sz w:val="24"/>
                <w:szCs w:val="24"/>
                <w14:textFill>
                  <w14:solidFill>
                    <w14:schemeClr w14:val="tx1"/>
                  </w14:solidFill>
                </w14:textFill>
              </w:rPr>
              <m:t xml:space="preserve">f</m:t>
            </m:r>
            <m:ctrlPr>
              <w:rPr>
                <w:rFonts w:ascii="Cambria Math" w:hAnsi="Cambria Math"/>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 xml:space="preserve">c</m:t>
            </m:r>
            <m:ctrlPr>
              <w:rPr>
                <w:rFonts w:ascii="Cambria Math" w:hAnsi="Cambria Math"/>
                <w:color w:val="000000" w:themeColor="text1"/>
                <w:sz w:val="24"/>
                <w:szCs w:val="24"/>
                <w14:textFill>
                  <w14:solidFill>
                    <w14:schemeClr w14:val="tx1"/>
                  </w14:solidFill>
                </w14:textFill>
              </w:rPr>
            </m:ctrlPr>
          </m:sub>
        </m:sSub>
        <m:sSub>
          <m:sSubPr>
            <m:ctrlPr>
              <w:rPr>
                <w:rFonts w:ascii="Cambria Math" w:hAnsi="Cambria Math"/>
                <w:color w:val="000000" w:themeColor="text1"/>
                <w:sz w:val="24"/>
                <w:szCs w:val="24"/>
                <w14:textFill>
                  <w14:solidFill>
                    <w14:schemeClr w14:val="tx1"/>
                  </w14:solidFill>
                </w14:textFill>
              </w:rPr>
            </m:ctrlPr>
          </m:sSubPr>
          <m:e>
            <m:r>
              <m:rPr>
                <m:sty m:val="p"/>
              </m:rPr>
              <w:rPr>
                <w:rFonts w:ascii="Cambria Math" w:hAnsi="Cambria Math"/>
                <w:color w:val="000000" w:themeColor="text1"/>
                <w:sz w:val="24"/>
                <w:szCs w:val="24"/>
                <w14:textFill>
                  <w14:solidFill>
                    <w14:schemeClr w14:val="tx1"/>
                  </w14:solidFill>
                </w14:textFill>
              </w:rPr>
              <m:t xml:space="preserve">b</m:t>
            </m:r>
            <m:ctrlPr>
              <w:rPr>
                <w:rFonts w:ascii="Cambria Math" w:hAnsi="Cambria Math"/>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 xml:space="preserve">w</m:t>
            </m:r>
            <m:ctrlPr>
              <w:rPr>
                <w:rFonts w:ascii="Cambria Math" w:hAnsi="Cambria Math"/>
                <w:color w:val="000000" w:themeColor="text1"/>
                <w:sz w:val="24"/>
                <w:szCs w:val="24"/>
                <w14:textFill>
                  <w14:solidFill>
                    <w14:schemeClr w14:val="tx1"/>
                  </w14:solidFill>
                </w14:textFill>
              </w:rPr>
            </m:ctrlPr>
          </m:sub>
        </m:sSub>
        <m:sSub>
          <m:sSubPr>
            <m:ctrlPr>
              <w:rPr>
                <w:rFonts w:ascii="Cambria Math" w:hAnsi="Cambria Math"/>
                <w:color w:val="000000" w:themeColor="text1"/>
                <w:sz w:val="24"/>
                <w:szCs w:val="24"/>
                <w14:textFill>
                  <w14:solidFill>
                    <w14:schemeClr w14:val="tx1"/>
                  </w14:solidFill>
                </w14:textFill>
              </w:rPr>
            </m:ctrlPr>
          </m:sSubPr>
          <m:e>
            <m:r>
              <m:rPr>
                <m:sty m:val="p"/>
              </m:rPr>
              <w:rPr>
                <w:rFonts w:ascii="Cambria Math" w:hAnsi="Cambria Math"/>
                <w:color w:val="000000" w:themeColor="text1"/>
                <w:sz w:val="24"/>
                <w:szCs w:val="24"/>
                <w14:textFill>
                  <w14:solidFill>
                    <w14:schemeClr w14:val="tx1"/>
                  </w14:solidFill>
                </w14:textFill>
              </w:rPr>
              <m:t xml:space="preserve">h</m:t>
            </m:r>
            <m:ctrlPr>
              <w:rPr>
                <w:rFonts w:ascii="Cambria Math" w:hAnsi="Cambria Math"/>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 xml:space="preserve">w</m:t>
            </m:r>
            <m:ctrlPr>
              <w:rPr>
                <w:rFonts w:ascii="Cambria Math" w:hAnsi="Cambria Math"/>
                <w:color w:val="000000" w:themeColor="text1"/>
                <w:sz w:val="24"/>
                <w:szCs w:val="24"/>
                <w14:textFill>
                  <w14:solidFill>
                    <w14:schemeClr w14:val="tx1"/>
                  </w14:solidFill>
                </w14:textFill>
              </w:rPr>
            </m:ctrlPr>
          </m:sub>
        </m:sSub>
      </m:oMath>
      <w:r>
        <w:rPr>
          <w:rFonts w:ascii="宋体" w:hAnsi="宋体"/>
          <w:color w:val="000000" w:themeColor="text1"/>
          <w:sz w:val="24"/>
          <w:szCs w:val="24"/>
          <w14:textFill>
            <w14:solidFill>
              <w14:schemeClr w14:val="tx1"/>
            </w14:solidFill>
          </w14:textFill>
        </w:rPr>
        <w:instrText xml:space="preserve"> </w:instrText>
      </w:r>
      <w:r>
        <w:rPr>
          <w:rFonts w:ascii="宋体" w:hAnsi="宋体"/>
          <w:color w:val="000000" w:themeColor="text1"/>
          <w:sz w:val="24"/>
          <w:szCs w:val="24"/>
          <w14:textFill>
            <w14:solidFill>
              <w14:schemeClr w14:val="tx1"/>
            </w14:solidFill>
          </w14:textFill>
        </w:rPr>
        <w:fldChar w:fldCharType="end"/>
      </w:r>
      <w:r>
        <w:rPr>
          <w:rFonts w:hint="eastAsia" w:ascii="宋体" w:hAnsi="宋体"/>
          <w:color w:val="000000" w:themeColor="text1"/>
          <w:sz w:val="24"/>
          <w:szCs w:val="24"/>
          <w14:textFill>
            <w14:solidFill>
              <w14:schemeClr w14:val="tx1"/>
            </w14:solidFill>
          </w14:textFill>
        </w:rPr>
        <w:t>时，应取</w:t>
      </w:r>
      <w:r>
        <w:rPr>
          <w:rFonts w:ascii="宋体" w:hAnsi="宋体"/>
          <w:color w:val="000000" w:themeColor="text1"/>
          <w:sz w:val="24"/>
          <w:szCs w:val="24"/>
          <w14:textFill>
            <w14:solidFill>
              <w14:schemeClr w14:val="tx1"/>
            </w14:solidFill>
          </w14:textFill>
        </w:rPr>
        <w:fldChar w:fldCharType="begin"/>
      </w:r>
      <w:r>
        <w:rPr>
          <w:rFonts w:ascii="宋体" w:hAnsi="宋体"/>
          <w:color w:val="000000" w:themeColor="text1"/>
          <w:sz w:val="24"/>
          <w:szCs w:val="24"/>
          <w14:textFill>
            <w14:solidFill>
              <w14:schemeClr w14:val="tx1"/>
            </w14:solidFill>
          </w14:textFill>
        </w:rPr>
        <w:instrText xml:space="preserve"> QUOTE </w:instrText>
      </w:r>
      <m:oMath>
        <m:r>
          <m:rPr>
            <m:sty m:val="p"/>
          </m:rPr>
          <w:rPr>
            <w:rFonts w:ascii="Cambria Math" w:hAnsi="Cambria Math"/>
            <w:color w:val="000000" w:themeColor="text1"/>
            <w:sz w:val="24"/>
            <w:szCs w:val="24"/>
            <w14:textFill>
              <w14:solidFill>
                <w14:schemeClr w14:val="tx1"/>
              </w14:solidFill>
            </w14:textFill>
          </w:rPr>
          <m:t xml:space="preserve">0.2</m:t>
        </m:r>
        <m:sSub>
          <m:sSubPr>
            <m:ctrlPr>
              <w:rPr>
                <w:rFonts w:ascii="Cambria Math" w:hAnsi="Cambria Math"/>
                <w:color w:val="000000" w:themeColor="text1"/>
                <w:sz w:val="24"/>
                <w:szCs w:val="24"/>
                <w14:textFill>
                  <w14:solidFill>
                    <w14:schemeClr w14:val="tx1"/>
                  </w14:solidFill>
                </w14:textFill>
              </w:rPr>
            </m:ctrlPr>
          </m:sSubPr>
          <m:e>
            <m:r>
              <m:rPr>
                <m:sty m:val="p"/>
              </m:rPr>
              <w:rPr>
                <w:rFonts w:ascii="Cambria Math" w:hAnsi="Cambria Math"/>
                <w:color w:val="000000" w:themeColor="text1"/>
                <w:sz w:val="24"/>
                <w:szCs w:val="24"/>
                <w14:textFill>
                  <w14:solidFill>
                    <w14:schemeClr w14:val="tx1"/>
                  </w14:solidFill>
                </w14:textFill>
              </w:rPr>
              <m:t xml:space="preserve">f</m:t>
            </m:r>
            <m:ctrlPr>
              <w:rPr>
                <w:rFonts w:ascii="Cambria Math" w:hAnsi="Cambria Math"/>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 xml:space="preserve">c</m:t>
            </m:r>
            <m:ctrlPr>
              <w:rPr>
                <w:rFonts w:ascii="Cambria Math" w:hAnsi="Cambria Math"/>
                <w:color w:val="000000" w:themeColor="text1"/>
                <w:sz w:val="24"/>
                <w:szCs w:val="24"/>
                <w14:textFill>
                  <w14:solidFill>
                    <w14:schemeClr w14:val="tx1"/>
                  </w14:solidFill>
                </w14:textFill>
              </w:rPr>
            </m:ctrlPr>
          </m:sub>
        </m:sSub>
        <m:sSub>
          <m:sSubPr>
            <m:ctrlPr>
              <w:rPr>
                <w:rFonts w:ascii="Cambria Math" w:hAnsi="Cambria Math"/>
                <w:color w:val="000000" w:themeColor="text1"/>
                <w:sz w:val="24"/>
                <w:szCs w:val="24"/>
                <w14:textFill>
                  <w14:solidFill>
                    <w14:schemeClr w14:val="tx1"/>
                  </w14:solidFill>
                </w14:textFill>
              </w:rPr>
            </m:ctrlPr>
          </m:sSubPr>
          <m:e>
            <m:r>
              <m:rPr>
                <m:sty m:val="p"/>
              </m:rPr>
              <w:rPr>
                <w:rFonts w:ascii="Cambria Math" w:hAnsi="Cambria Math"/>
                <w:color w:val="000000" w:themeColor="text1"/>
                <w:sz w:val="24"/>
                <w:szCs w:val="24"/>
                <w14:textFill>
                  <w14:solidFill>
                    <w14:schemeClr w14:val="tx1"/>
                  </w14:solidFill>
                </w14:textFill>
              </w:rPr>
              <m:t xml:space="preserve">b</m:t>
            </m:r>
            <m:ctrlPr>
              <w:rPr>
                <w:rFonts w:ascii="Cambria Math" w:hAnsi="Cambria Math"/>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 xml:space="preserve">w</m:t>
            </m:r>
            <m:ctrlPr>
              <w:rPr>
                <w:rFonts w:ascii="Cambria Math" w:hAnsi="Cambria Math"/>
                <w:color w:val="000000" w:themeColor="text1"/>
                <w:sz w:val="24"/>
                <w:szCs w:val="24"/>
                <w14:textFill>
                  <w14:solidFill>
                    <w14:schemeClr w14:val="tx1"/>
                  </w14:solidFill>
                </w14:textFill>
              </w:rPr>
            </m:ctrlPr>
          </m:sub>
        </m:sSub>
        <m:sSub>
          <m:sSubPr>
            <m:ctrlPr>
              <w:rPr>
                <w:rFonts w:ascii="Cambria Math" w:hAnsi="Cambria Math"/>
                <w:color w:val="000000" w:themeColor="text1"/>
                <w:sz w:val="24"/>
                <w:szCs w:val="24"/>
                <w14:textFill>
                  <w14:solidFill>
                    <w14:schemeClr w14:val="tx1"/>
                  </w14:solidFill>
                </w14:textFill>
              </w:rPr>
            </m:ctrlPr>
          </m:sSubPr>
          <m:e>
            <m:r>
              <m:rPr>
                <m:sty m:val="p"/>
              </m:rPr>
              <w:rPr>
                <w:rFonts w:ascii="Cambria Math" w:hAnsi="Cambria Math"/>
                <w:color w:val="000000" w:themeColor="text1"/>
                <w:sz w:val="24"/>
                <w:szCs w:val="24"/>
                <w14:textFill>
                  <w14:solidFill>
                    <w14:schemeClr w14:val="tx1"/>
                  </w14:solidFill>
                </w14:textFill>
              </w:rPr>
              <m:t xml:space="preserve">h</m:t>
            </m:r>
            <m:ctrlPr>
              <w:rPr>
                <w:rFonts w:ascii="Cambria Math" w:hAnsi="Cambria Math"/>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 xml:space="preserve">w</m:t>
            </m:r>
            <m:ctrlPr>
              <w:rPr>
                <w:rFonts w:ascii="Cambria Math" w:hAnsi="Cambria Math"/>
                <w:color w:val="000000" w:themeColor="text1"/>
                <w:sz w:val="24"/>
                <w:szCs w:val="24"/>
                <w14:textFill>
                  <w14:solidFill>
                    <w14:schemeClr w14:val="tx1"/>
                  </w14:solidFill>
                </w14:textFill>
              </w:rPr>
            </m:ctrlPr>
          </m:sub>
        </m:sSub>
      </m:oMath>
      <w:r>
        <w:rPr>
          <w:rFonts w:ascii="宋体" w:hAnsi="宋体"/>
          <w:color w:val="000000" w:themeColor="text1"/>
          <w:sz w:val="24"/>
          <w:szCs w:val="24"/>
          <w14:textFill>
            <w14:solidFill>
              <w14:schemeClr w14:val="tx1"/>
            </w14:solidFill>
          </w14:textFill>
        </w:rPr>
        <w:instrText xml:space="preserve"> </w:instrText>
      </w:r>
      <w:r>
        <w:rPr>
          <w:rFonts w:ascii="宋体" w:hAnsi="宋体"/>
          <w:color w:val="000000" w:themeColor="text1"/>
          <w:sz w:val="24"/>
          <w:szCs w:val="24"/>
          <w14:textFill>
            <w14:solidFill>
              <w14:schemeClr w14:val="tx1"/>
            </w14:solidFill>
          </w14:textFill>
        </w:rPr>
        <w:fldChar w:fldCharType="separate"/>
      </w:r>
      <m:oMath>
        <m:r>
          <m:rPr>
            <m:sty m:val="p"/>
          </m:rPr>
          <w:rPr>
            <w:rFonts w:ascii="Cambria Math" w:hAnsi="Cambria Math"/>
            <w:color w:val="000000" w:themeColor="text1"/>
            <w:sz w:val="24"/>
            <w:szCs w:val="24"/>
            <w14:textFill>
              <w14:solidFill>
                <w14:schemeClr w14:val="tx1"/>
              </w14:solidFill>
            </w14:textFill>
          </w:rPr>
          <m:t>0.2</m:t>
        </m:r>
        <m:sSub>
          <m:sSubPr>
            <m:ctrlPr>
              <w:rPr>
                <w:rFonts w:ascii="Cambria Math" w:hAnsi="Cambria Math"/>
                <w:i/>
                <w:color w:val="000000" w:themeColor="text1"/>
                <w:sz w:val="24"/>
                <w:szCs w:val="24"/>
                <w14:textFill>
                  <w14:solidFill>
                    <w14:schemeClr w14:val="tx1"/>
                  </w14:solidFill>
                </w14:textFill>
              </w:rPr>
            </m:ctrlPr>
          </m:sSubPr>
          <m:e>
            <m:r>
              <m:rPr>
                <m:sty m:val="p"/>
              </m:rPr>
              <w:rPr>
                <w:rFonts w:ascii="Cambria Math" w:hAnsi="Cambria Math"/>
                <w:color w:val="000000" w:themeColor="text1"/>
                <w:sz w:val="24"/>
                <w:szCs w:val="24"/>
                <w14:textFill>
                  <w14:solidFill>
                    <w14:schemeClr w14:val="tx1"/>
                  </w14:solidFill>
                </w14:textFill>
              </w:rPr>
              <m:t>f</m:t>
            </m:r>
            <m:ctrlPr>
              <w:rPr>
                <w:rFonts w:ascii="Cambria Math" w:hAnsi="Cambria Math"/>
                <w:i/>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c</m:t>
            </m:r>
            <m:ctrlPr>
              <w:rPr>
                <w:rFonts w:ascii="Cambria Math" w:hAnsi="Cambria Math"/>
                <w:i/>
                <w:color w:val="000000" w:themeColor="text1"/>
                <w:sz w:val="24"/>
                <w:szCs w:val="24"/>
                <w14:textFill>
                  <w14:solidFill>
                    <w14:schemeClr w14:val="tx1"/>
                  </w14:solidFill>
                </w14:textFill>
              </w:rPr>
            </m:ctrlPr>
          </m:sub>
        </m:sSub>
        <m:sSub>
          <m:sSubPr>
            <m:ctrlPr>
              <w:rPr>
                <w:rFonts w:ascii="Cambria Math" w:hAnsi="Cambria Math"/>
                <w:i/>
                <w:color w:val="000000" w:themeColor="text1"/>
                <w:sz w:val="24"/>
                <w:szCs w:val="24"/>
                <w14:textFill>
                  <w14:solidFill>
                    <w14:schemeClr w14:val="tx1"/>
                  </w14:solidFill>
                </w14:textFill>
              </w:rPr>
            </m:ctrlPr>
          </m:sSubPr>
          <m:e>
            <m:r>
              <m:rPr>
                <m:sty m:val="p"/>
              </m:rPr>
              <w:rPr>
                <w:rFonts w:ascii="Cambria Math" w:hAnsi="Cambria Math"/>
                <w:color w:val="000000" w:themeColor="text1"/>
                <w:sz w:val="24"/>
                <w:szCs w:val="24"/>
                <w14:textFill>
                  <w14:solidFill>
                    <w14:schemeClr w14:val="tx1"/>
                  </w14:solidFill>
                </w14:textFill>
              </w:rPr>
              <m:t>b</m:t>
            </m:r>
            <m:ctrlPr>
              <w:rPr>
                <w:rFonts w:ascii="Cambria Math" w:hAnsi="Cambria Math"/>
                <w:i/>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w</m:t>
            </m:r>
            <m:ctrlPr>
              <w:rPr>
                <w:rFonts w:ascii="Cambria Math" w:hAnsi="Cambria Math"/>
                <w:i/>
                <w:color w:val="000000" w:themeColor="text1"/>
                <w:sz w:val="24"/>
                <w:szCs w:val="24"/>
                <w14:textFill>
                  <w14:solidFill>
                    <w14:schemeClr w14:val="tx1"/>
                  </w14:solidFill>
                </w14:textFill>
              </w:rPr>
            </m:ctrlPr>
          </m:sub>
        </m:sSub>
        <m:sSub>
          <m:sSubPr>
            <m:ctrlPr>
              <w:rPr>
                <w:rFonts w:ascii="Cambria Math" w:hAnsi="Cambria Math"/>
                <w:i/>
                <w:color w:val="000000" w:themeColor="text1"/>
                <w:sz w:val="24"/>
                <w:szCs w:val="24"/>
                <w14:textFill>
                  <w14:solidFill>
                    <w14:schemeClr w14:val="tx1"/>
                  </w14:solidFill>
                </w14:textFill>
              </w:rPr>
            </m:ctrlPr>
          </m:sSubPr>
          <m:e>
            <m:r>
              <m:rPr>
                <m:sty m:val="p"/>
              </m:rPr>
              <w:rPr>
                <w:rFonts w:ascii="Cambria Math" w:hAnsi="Cambria Math"/>
                <w:color w:val="000000" w:themeColor="text1"/>
                <w:sz w:val="24"/>
                <w:szCs w:val="24"/>
                <w14:textFill>
                  <w14:solidFill>
                    <w14:schemeClr w14:val="tx1"/>
                  </w14:solidFill>
                </w14:textFill>
              </w:rPr>
              <m:t>h</m:t>
            </m:r>
            <m:ctrlPr>
              <w:rPr>
                <w:rFonts w:ascii="Cambria Math" w:hAnsi="Cambria Math"/>
                <w:i/>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w</m:t>
            </m:r>
            <m:ctrlPr>
              <w:rPr>
                <w:rFonts w:ascii="Cambria Math" w:hAnsi="Cambria Math"/>
                <w:i/>
                <w:color w:val="000000" w:themeColor="text1"/>
                <w:sz w:val="24"/>
                <w:szCs w:val="24"/>
                <w14:textFill>
                  <w14:solidFill>
                    <w14:schemeClr w14:val="tx1"/>
                  </w14:solidFill>
                </w14:textFill>
              </w:rPr>
            </m:ctrlPr>
          </m:sub>
        </m:sSub>
      </m:oMath>
      <w:r>
        <w:rPr>
          <w:rFonts w:ascii="宋体" w:hAnsi="宋体"/>
          <w:color w:val="000000" w:themeColor="text1"/>
          <w:sz w:val="24"/>
          <w:szCs w:val="24"/>
          <w14:textFill>
            <w14:solidFill>
              <w14:schemeClr w14:val="tx1"/>
            </w14:solidFill>
          </w14:textFill>
        </w:rPr>
        <w:fldChar w:fldCharType="end"/>
      </w:r>
      <w:r>
        <w:rPr>
          <w:rFonts w:hint="eastAsia" w:ascii="宋体" w:hAnsi="宋体"/>
          <w:color w:val="000000" w:themeColor="text1"/>
          <w:sz w:val="24"/>
          <w:szCs w:val="24"/>
          <w14:textFill>
            <w14:solidFill>
              <w14:schemeClr w14:val="tx1"/>
            </w14:solidFill>
          </w14:textFill>
        </w:rPr>
        <w:t>；</w:t>
      </w:r>
      <m:oMath>
        <m:r>
          <m:rPr/>
          <w:rPr>
            <w:rFonts w:ascii="Cambria Math" w:hAnsi="宋体"/>
            <w:color w:val="000000" w:themeColor="text1"/>
            <w:sz w:val="24"/>
            <w:szCs w:val="24"/>
            <w14:textFill>
              <w14:solidFill>
                <w14:schemeClr w14:val="tx1"/>
              </w14:solidFill>
            </w14:textFill>
          </w:rPr>
          <m:t>A</m:t>
        </m:r>
      </m:oMath>
      <w:r>
        <w:rPr>
          <w:rFonts w:hint="eastAsia" w:ascii="宋体" w:hAnsi="宋体"/>
          <w:color w:val="000000" w:themeColor="text1"/>
          <w:sz w:val="24"/>
          <w:szCs w:val="24"/>
          <w14:textFill>
            <w14:solidFill>
              <w14:schemeClr w14:val="tx1"/>
            </w14:solidFill>
          </w14:textFill>
        </w:rPr>
        <w:t>为剪力墙全截面面积；</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A</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w</m:t>
            </m:r>
            <m:ctrlPr>
              <w:rPr>
                <w:rFonts w:ascii="Cambria Math" w:hAnsi="Cambria Math"/>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为T形或I形截面剪力墙腹板的面积，矩形截面时应取</w:t>
      </w:r>
      <m:oMath>
        <m:r>
          <m:rPr/>
          <w:rPr>
            <w:rFonts w:ascii="Cambria Math" w:hAnsi="宋体"/>
            <w:color w:val="000000" w:themeColor="text1"/>
            <w:sz w:val="24"/>
            <w:szCs w:val="24"/>
            <w14:textFill>
              <w14:solidFill>
                <w14:schemeClr w14:val="tx1"/>
              </w14:solidFill>
            </w14:textFill>
          </w:rPr>
          <m:t>A</m:t>
        </m:r>
      </m:oMath>
      <w:r>
        <w:rPr>
          <w:rFonts w:hint="eastAsia" w:ascii="宋体" w:hAnsi="宋体"/>
          <w:color w:val="000000" w:themeColor="text1"/>
          <w:sz w:val="24"/>
          <w:szCs w:val="24"/>
          <w14:textFill>
            <w14:solidFill>
              <w14:schemeClr w14:val="tx1"/>
            </w14:solidFill>
          </w14:textFill>
        </w:rPr>
        <w:t>；</w:t>
      </w:r>
      <m:oMath>
        <m:r>
          <m:rPr/>
          <w:rPr>
            <w:rFonts w:ascii="Cambria Math" w:hAnsi="宋体"/>
            <w:color w:val="000000" w:themeColor="text1"/>
            <w:sz w:val="24"/>
            <w:szCs w:val="24"/>
            <w14:textFill>
              <w14:solidFill>
                <w14:schemeClr w14:val="tx1"/>
              </w14:solidFill>
            </w14:textFill>
          </w:rPr>
          <m:t>λ</m:t>
        </m:r>
      </m:oMath>
      <w:r>
        <w:rPr>
          <w:rFonts w:hint="eastAsia" w:ascii="宋体" w:hAnsi="宋体"/>
          <w:color w:val="000000" w:themeColor="text1"/>
          <w:sz w:val="24"/>
          <w:szCs w:val="24"/>
          <w14:textFill>
            <w14:solidFill>
              <w14:schemeClr w14:val="tx1"/>
            </w14:solidFill>
          </w14:textFill>
        </w:rPr>
        <w:t>为计算截面的剪跨比，</w:t>
      </w:r>
      <w:r>
        <w:rPr>
          <w:rFonts w:ascii="宋体" w:hAnsi="宋体"/>
          <w:color w:val="000000" w:themeColor="text1"/>
          <w:sz w:val="24"/>
          <w:szCs w:val="24"/>
          <w14:textFill>
            <w14:solidFill>
              <w14:schemeClr w14:val="tx1"/>
            </w14:solidFill>
          </w14:textFill>
        </w:rPr>
        <w:fldChar w:fldCharType="begin"/>
      </w:r>
      <w:r>
        <w:rPr>
          <w:rFonts w:ascii="宋体" w:hAnsi="宋体"/>
          <w:color w:val="000000" w:themeColor="text1"/>
          <w:sz w:val="24"/>
          <w:szCs w:val="24"/>
          <w14:textFill>
            <w14:solidFill>
              <w14:schemeClr w14:val="tx1"/>
            </w14:solidFill>
          </w14:textFill>
        </w:rPr>
        <w:instrText xml:space="preserve"> QUOTE </w:instrText>
      </w:r>
      <w:r>
        <w:rPr>
          <w:rFonts w:ascii="宋体" w:hAnsi="宋体"/>
          <w:color w:val="000000" w:themeColor="text1"/>
          <w:position w:val="-5"/>
          <w:sz w:val="24"/>
          <w:szCs w:val="24"/>
          <w14:textFill>
            <w14:solidFill>
              <w14:schemeClr w14:val="tx1"/>
            </w14:solidFill>
          </w14:textFill>
        </w:rPr>
        <w:pict>
          <v:shape id="_x0000_i1049" o:spt="75" type="#_x0000_t75" style="height:18pt;width:6pt;" filled="f" coordsize="21600,21600" equationxml="&lt;">
            <v:path/>
            <v:fill on="f" focussize="0,0"/>
            <v:stroke/>
            <v:imagedata r:id="rId59" chromakey="#FFFFFF" o:title=""/>
            <o:lock v:ext="edit" aspectratio="t"/>
            <w10:wrap type="none"/>
            <w10:anchorlock/>
          </v:shape>
        </w:pict>
      </w:r>
      <w:r>
        <w:rPr>
          <w:rFonts w:ascii="宋体" w:hAnsi="宋体"/>
          <w:color w:val="000000" w:themeColor="text1"/>
          <w:sz w:val="24"/>
          <w:szCs w:val="24"/>
          <w14:textFill>
            <w14:solidFill>
              <w14:schemeClr w14:val="tx1"/>
            </w14:solidFill>
          </w14:textFill>
        </w:rPr>
        <w:instrText xml:space="preserve"> </w:instrText>
      </w:r>
      <w:r>
        <w:rPr>
          <w:rFonts w:ascii="宋体" w:hAnsi="宋体"/>
          <w:color w:val="000000" w:themeColor="text1"/>
          <w:sz w:val="24"/>
          <w:szCs w:val="24"/>
          <w14:textFill>
            <w14:solidFill>
              <w14:schemeClr w14:val="tx1"/>
            </w14:solidFill>
          </w14:textFill>
        </w:rPr>
        <w:fldChar w:fldCharType="separate"/>
      </w:r>
      <m:oMath>
        <m:r>
          <m:rPr>
            <m:sty m:val="p"/>
          </m:rPr>
          <w:rPr>
            <w:rFonts w:ascii="Cambria Math" w:hAnsi="宋体"/>
            <w:color w:val="000000" w:themeColor="text1"/>
            <w:sz w:val="24"/>
            <w:szCs w:val="24"/>
            <w14:textFill>
              <w14:solidFill>
                <w14:schemeClr w14:val="tx1"/>
              </w14:solidFill>
            </w14:textFill>
          </w:rPr>
          <m:t>λ</m:t>
        </m:r>
      </m:oMath>
      <w:r>
        <w:rPr>
          <w:rFonts w:ascii="宋体" w:hAnsi="宋体"/>
          <w:color w:val="000000" w:themeColor="text1"/>
          <w:sz w:val="24"/>
          <w:szCs w:val="24"/>
          <w14:textFill>
            <w14:solidFill>
              <w14:schemeClr w14:val="tx1"/>
            </w14:solidFill>
          </w14:textFill>
        </w:rPr>
        <w:fldChar w:fldCharType="end"/>
      </w:r>
      <w:r>
        <w:rPr>
          <w:rFonts w:hint="eastAsia" w:ascii="宋体" w:hAnsi="宋体"/>
          <w:color w:val="000000" w:themeColor="text1"/>
          <w:sz w:val="24"/>
          <w:szCs w:val="24"/>
          <w14:textFill>
            <w14:solidFill>
              <w14:schemeClr w14:val="tx1"/>
            </w14:solidFill>
          </w14:textFill>
        </w:rPr>
        <w:t>小于1.5时应取1.5，</w:t>
      </w:r>
      <w:r>
        <w:rPr>
          <w:rFonts w:ascii="宋体" w:hAnsi="宋体"/>
          <w:color w:val="000000" w:themeColor="text1"/>
          <w:sz w:val="24"/>
          <w:szCs w:val="24"/>
          <w14:textFill>
            <w14:solidFill>
              <w14:schemeClr w14:val="tx1"/>
            </w14:solidFill>
          </w14:textFill>
        </w:rPr>
        <w:fldChar w:fldCharType="begin"/>
      </w:r>
      <w:r>
        <w:rPr>
          <w:rFonts w:ascii="宋体" w:hAnsi="宋体"/>
          <w:color w:val="000000" w:themeColor="text1"/>
          <w:sz w:val="24"/>
          <w:szCs w:val="24"/>
          <w14:textFill>
            <w14:solidFill>
              <w14:schemeClr w14:val="tx1"/>
            </w14:solidFill>
          </w14:textFill>
        </w:rPr>
        <w:instrText xml:space="preserve"> QUOTE </w:instrText>
      </w:r>
      <w:r>
        <w:rPr>
          <w:rFonts w:ascii="宋体" w:hAnsi="宋体"/>
          <w:color w:val="000000" w:themeColor="text1"/>
          <w:position w:val="-5"/>
          <w:sz w:val="24"/>
          <w:szCs w:val="24"/>
          <w14:textFill>
            <w14:solidFill>
              <w14:schemeClr w14:val="tx1"/>
            </w14:solidFill>
          </w14:textFill>
        </w:rPr>
        <w:pict>
          <v:shape id="_x0000_i1050" o:spt="75" type="#_x0000_t75" style="height:18pt;width:6pt;" filled="f" coordsize="21600,21600" equationxml="&lt;">
            <v:path/>
            <v:fill on="f" focussize="0,0"/>
            <v:stroke/>
            <v:imagedata r:id="rId59" chromakey="#FFFFFF" o:title=""/>
            <o:lock v:ext="edit" aspectratio="t"/>
            <w10:wrap type="none"/>
            <w10:anchorlock/>
          </v:shape>
        </w:pict>
      </w:r>
      <w:r>
        <w:rPr>
          <w:rFonts w:ascii="宋体" w:hAnsi="宋体"/>
          <w:color w:val="000000" w:themeColor="text1"/>
          <w:sz w:val="24"/>
          <w:szCs w:val="24"/>
          <w14:textFill>
            <w14:solidFill>
              <w14:schemeClr w14:val="tx1"/>
            </w14:solidFill>
          </w14:textFill>
        </w:rPr>
        <w:instrText xml:space="preserve"> </w:instrText>
      </w:r>
      <w:r>
        <w:rPr>
          <w:rFonts w:ascii="宋体" w:hAnsi="宋体"/>
          <w:color w:val="000000" w:themeColor="text1"/>
          <w:sz w:val="24"/>
          <w:szCs w:val="24"/>
          <w14:textFill>
            <w14:solidFill>
              <w14:schemeClr w14:val="tx1"/>
            </w14:solidFill>
          </w14:textFill>
        </w:rPr>
        <w:fldChar w:fldCharType="separate"/>
      </w:r>
      <m:oMath>
        <m:r>
          <m:rPr>
            <m:sty m:val="p"/>
          </m:rPr>
          <w:rPr>
            <w:rFonts w:ascii="Cambria Math" w:hAnsi="Cambria Math"/>
            <w:color w:val="000000" w:themeColor="text1"/>
            <w:sz w:val="24"/>
            <w:szCs w:val="24"/>
            <w14:textFill>
              <w14:solidFill>
                <w14:schemeClr w14:val="tx1"/>
              </w14:solidFill>
            </w14:textFill>
          </w:rPr>
          <m:t>λ</m:t>
        </m:r>
      </m:oMath>
      <w:r>
        <w:rPr>
          <w:rFonts w:ascii="宋体" w:hAnsi="宋体"/>
          <w:color w:val="000000" w:themeColor="text1"/>
          <w:sz w:val="24"/>
          <w:szCs w:val="24"/>
          <w14:textFill>
            <w14:solidFill>
              <w14:schemeClr w14:val="tx1"/>
            </w14:solidFill>
          </w14:textFill>
        </w:rPr>
        <w:fldChar w:fldCharType="end"/>
      </w:r>
      <w:r>
        <w:rPr>
          <w:rFonts w:hint="eastAsia" w:ascii="宋体" w:hAnsi="宋体"/>
          <w:color w:val="000000" w:themeColor="text1"/>
          <w:sz w:val="24"/>
          <w:szCs w:val="24"/>
          <w14:textFill>
            <w14:solidFill>
              <w14:schemeClr w14:val="tx1"/>
            </w14:solidFill>
          </w14:textFill>
        </w:rPr>
        <w:t>大于2.2时应取2.2；</w:t>
      </w:r>
      <m:oMath>
        <m:r>
          <m:rPr/>
          <w:rPr>
            <w:rFonts w:ascii="Cambria Math" w:hAnsi="宋体"/>
            <w:color w:val="000000" w:themeColor="text1"/>
            <w:sz w:val="24"/>
            <w:szCs w:val="24"/>
            <w14:textFill>
              <w14:solidFill>
                <w14:schemeClr w14:val="tx1"/>
              </w14:solidFill>
            </w14:textFill>
          </w:rPr>
          <m:t>s</m:t>
        </m:r>
      </m:oMath>
      <w:r>
        <w:rPr>
          <w:rFonts w:hint="eastAsia" w:ascii="宋体" w:hAnsi="宋体"/>
          <w:color w:val="000000" w:themeColor="text1"/>
          <w:sz w:val="24"/>
          <w:szCs w:val="24"/>
          <w14:textFill>
            <w14:solidFill>
              <w14:schemeClr w14:val="tx1"/>
            </w14:solidFill>
          </w14:textFill>
        </w:rPr>
        <w:t>为剪力墙水平分布钢筋间距。</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偏心受拉时截面验算按下式：</w:t>
      </w:r>
    </w:p>
    <w:p>
      <w:pPr>
        <w:spacing w:line="240" w:lineRule="auto"/>
        <w:ind w:left="0" w:firstLine="480" w:firstLineChars="200"/>
        <w:jc w:val="left"/>
        <w:rPr>
          <w:rFonts w:ascii="宋体" w:hAnsi="宋体"/>
          <w:color w:val="000000" w:themeColor="text1"/>
          <w:position w:val="-12"/>
          <w:sz w:val="24"/>
          <w:szCs w:val="24"/>
          <w14:textFill>
            <w14:solidFill>
              <w14:schemeClr w14:val="tx1"/>
            </w14:solidFill>
          </w14:textFill>
        </w:rPr>
      </w:pPr>
      <m:oMath>
        <m:r>
          <m:rPr/>
          <w:rPr>
            <w:rFonts w:ascii="Cambria Math" w:hAnsi="宋体"/>
            <w:color w:val="000000" w:themeColor="text1"/>
            <w:sz w:val="24"/>
            <w:szCs w:val="24"/>
            <w14:textFill>
              <w14:solidFill>
                <w14:schemeClr w14:val="tx1"/>
              </w14:solidFill>
            </w14:textFill>
          </w:rPr>
          <m:t>V≤</m:t>
        </m:r>
        <m:f>
          <m:fPr>
            <m:ctrlPr>
              <w:rPr>
                <w:rFonts w:ascii="Cambria Math" w:hAnsi="宋体"/>
                <w:i/>
                <w:color w:val="000000" w:themeColor="text1"/>
                <w:sz w:val="24"/>
                <w:szCs w:val="24"/>
                <w14:textFill>
                  <w14:solidFill>
                    <w14:schemeClr w14:val="tx1"/>
                  </w14:solidFill>
                </w14:textFill>
              </w:rPr>
            </m:ctrlPr>
          </m:fPr>
          <m:num>
            <m:r>
              <m:rPr/>
              <w:rPr>
                <w:rFonts w:ascii="Cambria Math" w:hAnsi="宋体"/>
                <w:color w:val="000000" w:themeColor="text1"/>
                <w:sz w:val="24"/>
                <w:szCs w:val="24"/>
                <w14:textFill>
                  <w14:solidFill>
                    <w14:schemeClr w14:val="tx1"/>
                  </w14:solidFill>
                </w14:textFill>
              </w:rPr>
              <m:t>1</m:t>
            </m:r>
            <m:ctrlPr>
              <w:rPr>
                <w:rFonts w:ascii="Cambria Math" w:hAnsi="宋体"/>
                <w:i/>
                <w:color w:val="000000" w:themeColor="text1"/>
                <w:sz w:val="24"/>
                <w:szCs w:val="24"/>
                <w14:textFill>
                  <w14:solidFill>
                    <w14:schemeClr w14:val="tx1"/>
                  </w14:solidFill>
                </w14:textFill>
              </w:rPr>
            </m:ctrlPr>
          </m:num>
          <m:den>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γ</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RE</m:t>
                </m:r>
                <m:ctrlPr>
                  <w:rPr>
                    <w:rFonts w:ascii="Cambria Math" w:hAnsi="宋体"/>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r>
          <m:rPr/>
          <w:rPr>
            <w:rFonts w:ascii="Cambria Math" w:hAnsi="宋体"/>
            <w:color w:val="000000" w:themeColor="text1"/>
            <w:sz w:val="24"/>
            <w:szCs w:val="24"/>
            <w14:textFill>
              <w14:solidFill>
                <w14:schemeClr w14:val="tx1"/>
              </w14:solidFill>
            </w14:textFill>
          </w:rPr>
          <m:t>[</m:t>
        </m:r>
        <m:f>
          <m:fPr>
            <m:ctrlPr>
              <w:rPr>
                <w:rFonts w:ascii="Cambria Math" w:hAnsi="宋体"/>
                <w:i/>
                <w:color w:val="000000" w:themeColor="text1"/>
                <w:sz w:val="24"/>
                <w:szCs w:val="24"/>
                <w14:textFill>
                  <w14:solidFill>
                    <w14:schemeClr w14:val="tx1"/>
                  </w14:solidFill>
                </w14:textFill>
              </w:rPr>
            </m:ctrlPr>
          </m:fPr>
          <m:num>
            <m:r>
              <m:rPr/>
              <w:rPr>
                <w:rFonts w:ascii="Cambria Math" w:hAnsi="宋体"/>
                <w:color w:val="000000" w:themeColor="text1"/>
                <w:sz w:val="24"/>
                <w:szCs w:val="24"/>
                <w14:textFill>
                  <w14:solidFill>
                    <w14:schemeClr w14:val="tx1"/>
                  </w14:solidFill>
                </w14:textFill>
              </w:rPr>
              <m:t>1</m:t>
            </m:r>
            <m:ctrlPr>
              <w:rPr>
                <w:rFonts w:ascii="Cambria Math" w:hAnsi="宋体"/>
                <w:i/>
                <w:color w:val="000000" w:themeColor="text1"/>
                <w:sz w:val="24"/>
                <w:szCs w:val="24"/>
                <w14:textFill>
                  <w14:solidFill>
                    <w14:schemeClr w14:val="tx1"/>
                  </w14:solidFill>
                </w14:textFill>
              </w:rPr>
            </m:ctrlPr>
          </m:num>
          <m:den>
            <m:r>
              <m:rPr/>
              <w:rPr>
                <w:rFonts w:ascii="Cambria Math" w:hAnsi="宋体"/>
                <w:color w:val="000000" w:themeColor="text1"/>
                <w:sz w:val="24"/>
                <w:szCs w:val="24"/>
                <w14:textFill>
                  <w14:solidFill>
                    <w14:schemeClr w14:val="tx1"/>
                  </w14:solidFill>
                </w14:textFill>
              </w:rPr>
              <m:t>(λ</m:t>
            </m:r>
            <m:r>
              <m:rPr/>
              <w:rPr>
                <w:rFonts w:hint="eastAsia" w:ascii="微软雅黑" w:hAnsi="微软雅黑" w:eastAsia="微软雅黑" w:cs="微软雅黑"/>
                <w:color w:val="000000" w:themeColor="text1"/>
                <w:sz w:val="24"/>
                <w:szCs w:val="24"/>
                <w14:textFill>
                  <w14:solidFill>
                    <w14:schemeClr w14:val="tx1"/>
                  </w14:solidFill>
                </w14:textFill>
              </w:rPr>
              <m:t>−</m:t>
            </m:r>
            <m:r>
              <m:rPr/>
              <w:rPr>
                <w:rFonts w:ascii="Cambria Math" w:hAnsi="宋体"/>
                <w:color w:val="000000" w:themeColor="text1"/>
                <w:sz w:val="24"/>
                <w:szCs w:val="24"/>
                <w14:textFill>
                  <w14:solidFill>
                    <w14:schemeClr w14:val="tx1"/>
                  </w14:solidFill>
                </w14:textFill>
              </w:rPr>
              <m:t>0.5)</m:t>
            </m:r>
            <m:ctrlPr>
              <w:rPr>
                <w:rFonts w:ascii="Cambria Math" w:hAnsi="宋体"/>
                <w:i/>
                <w:color w:val="000000" w:themeColor="text1"/>
                <w:sz w:val="24"/>
                <w:szCs w:val="24"/>
                <w14:textFill>
                  <w14:solidFill>
                    <w14:schemeClr w14:val="tx1"/>
                  </w14:solidFill>
                </w14:textFill>
              </w:rPr>
            </m:ctrlPr>
          </m:den>
        </m:f>
        <m:r>
          <m:rPr/>
          <w:rPr>
            <w:rFonts w:ascii="Cambria Math" w:hAnsi="宋体"/>
            <w:color w:val="000000" w:themeColor="text1"/>
            <w:sz w:val="24"/>
            <w:szCs w:val="24"/>
            <w14:textFill>
              <w14:solidFill>
                <w14:schemeClr w14:val="tx1"/>
              </w14:solidFill>
            </w14:textFill>
          </w:rPr>
          <m:t>(0.4</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t</m:t>
            </m:r>
            <m:ctrlPr>
              <w:rPr>
                <w:rFonts w:ascii="Cambria Math" w:hAnsi="宋体"/>
                <w:i/>
                <w:color w:val="000000" w:themeColor="text1"/>
                <w:sz w:val="24"/>
                <w:szCs w:val="24"/>
                <w14:textFill>
                  <w14:solidFill>
                    <w14:schemeClr w14:val="tx1"/>
                  </w14:solidFill>
                </w14:textFill>
              </w:rPr>
            </m:ctrlPr>
          </m:sub>
        </m:sSub>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b</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w</m:t>
            </m:r>
            <m:ctrlPr>
              <w:rPr>
                <w:rFonts w:ascii="Cambria Math" w:hAnsi="宋体"/>
                <w:i/>
                <w:color w:val="000000" w:themeColor="text1"/>
                <w:sz w:val="24"/>
                <w:szCs w:val="24"/>
                <w14:textFill>
                  <w14:solidFill>
                    <w14:schemeClr w14:val="tx1"/>
                  </w14:solidFill>
                </w14:textFill>
              </w:rPr>
            </m:ctrlPr>
          </m:sub>
        </m:sSub>
        <m:sSub>
          <m:sSubPr>
            <m:ctrlPr>
              <w:rPr>
                <w:rFonts w:ascii="Cambria Math" w:hAnsi="Cambria Math"/>
                <w:i/>
                <w:color w:val="000000" w:themeColor="text1"/>
                <w:sz w:val="24"/>
                <w:szCs w:val="24"/>
                <w14:textFill>
                  <w14:solidFill>
                    <w14:schemeClr w14:val="tx1"/>
                  </w14:solidFill>
                </w14:textFill>
              </w:rPr>
            </m:ctrlPr>
          </m:sSubPr>
          <m:e>
            <m:r>
              <m:rPr/>
              <w:rPr>
                <w:rFonts w:hint="eastAsia" w:ascii="MS Gothic" w:hAnsi="MS Gothic"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w0</m:t>
            </m:r>
            <m:ctrlPr>
              <w:rPr>
                <w:rFonts w:ascii="Cambria Math" w:hAnsi="宋体"/>
                <w:i/>
                <w:color w:val="000000" w:themeColor="text1"/>
                <w:sz w:val="24"/>
                <w:szCs w:val="24"/>
                <w14:textFill>
                  <w14:solidFill>
                    <w14:schemeClr w14:val="tx1"/>
                  </w14:solidFill>
                </w14:textFill>
              </w:rPr>
            </m:ctrlPr>
          </m:sub>
        </m:sSub>
        <m:r>
          <m:rPr/>
          <w:rPr>
            <w:rFonts w:hint="eastAsia" w:ascii="微软雅黑" w:hAnsi="微软雅黑" w:eastAsia="微软雅黑" w:cs="微软雅黑"/>
            <w:color w:val="000000" w:themeColor="text1"/>
            <w:sz w:val="24"/>
            <w:szCs w:val="24"/>
            <w14:textFill>
              <w14:solidFill>
                <w14:schemeClr w14:val="tx1"/>
              </w14:solidFill>
            </w14:textFill>
          </w:rPr>
          <m:t>−</m:t>
        </m:r>
        <m:f>
          <m:fPr>
            <m:ctrlPr>
              <w:rPr>
                <w:rFonts w:ascii="Cambria Math" w:hAnsi="宋体"/>
                <w:i/>
                <w:color w:val="000000" w:themeColor="text1"/>
                <w:sz w:val="24"/>
                <w:szCs w:val="24"/>
                <w14:textFill>
                  <w14:solidFill>
                    <w14:schemeClr w14:val="tx1"/>
                  </w14:solidFill>
                </w14:textFill>
              </w:rPr>
            </m:ctrlPr>
          </m:fPr>
          <m:num>
            <m:r>
              <m:rPr/>
              <w:rPr>
                <w:rFonts w:ascii="Cambria Math" w:hAnsi="宋体"/>
                <w:color w:val="000000" w:themeColor="text1"/>
                <w:sz w:val="24"/>
                <w:szCs w:val="24"/>
                <w14:textFill>
                  <w14:solidFill>
                    <w14:schemeClr w14:val="tx1"/>
                  </w14:solidFill>
                </w14:textFill>
              </w:rPr>
              <m:t>0.1N</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w</m:t>
                </m:r>
                <m:ctrlPr>
                  <w:rPr>
                    <w:rFonts w:ascii="Cambria Math" w:hAnsi="宋体"/>
                    <w:i/>
                    <w:color w:val="000000" w:themeColor="text1"/>
                    <w:sz w:val="24"/>
                    <w:szCs w:val="24"/>
                    <w14:textFill>
                      <w14:solidFill>
                        <w14:schemeClr w14:val="tx1"/>
                      </w14:solidFill>
                    </w14:textFill>
                  </w:rPr>
                </m:ctrlPr>
              </m:sub>
            </m:sSub>
            <m:ctrlPr>
              <w:rPr>
                <w:rFonts w:ascii="Cambria Math" w:hAnsi="宋体"/>
                <w:i/>
                <w:color w:val="000000" w:themeColor="text1"/>
                <w:sz w:val="24"/>
                <w:szCs w:val="24"/>
                <w14:textFill>
                  <w14:solidFill>
                    <w14:schemeClr w14:val="tx1"/>
                  </w14:solidFill>
                </w14:textFill>
              </w:rPr>
            </m:ctrlPr>
          </m:num>
          <m:den>
            <m:r>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den>
        </m:f>
        <m:r>
          <m:rPr/>
          <w:rPr>
            <w:rFonts w:ascii="Cambria Math" w:hAnsi="宋体"/>
            <w:color w:val="000000" w:themeColor="text1"/>
            <w:sz w:val="24"/>
            <w:szCs w:val="24"/>
            <w14:textFill>
              <w14:solidFill>
                <w14:schemeClr w14:val="tx1"/>
              </w14:solidFill>
            </w14:textFill>
          </w:rPr>
          <m:t>)+0.8</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y</m:t>
            </m:r>
            <m:r>
              <m:rPr/>
              <w:rPr>
                <w:rFonts w:hint="eastAsia" w:ascii="MS Gothic" w:hAnsi="MS Gothic"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sub>
        </m:sSub>
        <m:f>
          <m:fPr>
            <m:ctrlPr>
              <w:rPr>
                <w:rFonts w:ascii="Cambria Math" w:hAnsi="宋体"/>
                <w:i/>
                <w:color w:val="000000" w:themeColor="text1"/>
                <w:sz w:val="24"/>
                <w:szCs w:val="24"/>
                <w14:textFill>
                  <w14:solidFill>
                    <w14:schemeClr w14:val="tx1"/>
                  </w14:solidFill>
                </w14:textFill>
              </w:rPr>
            </m:ctrlPr>
          </m:fPr>
          <m:num>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s</m:t>
                </m:r>
                <m:r>
                  <m:rPr/>
                  <w:rPr>
                    <w:rFonts w:hint="eastAsia" w:ascii="MS Gothic" w:hAnsi="MS Gothic"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sub>
            </m:sSub>
            <m:ctrlPr>
              <w:rPr>
                <w:rFonts w:ascii="Cambria Math" w:hAnsi="宋体"/>
                <w:i/>
                <w:color w:val="000000" w:themeColor="text1"/>
                <w:sz w:val="24"/>
                <w:szCs w:val="24"/>
                <w14:textFill>
                  <w14:solidFill>
                    <w14:schemeClr w14:val="tx1"/>
                  </w14:solidFill>
                </w14:textFill>
              </w:rPr>
            </m:ctrlPr>
          </m:num>
          <m:den>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den>
        </m:f>
        <m:sSub>
          <m:sSubPr>
            <m:ctrlPr>
              <w:rPr>
                <w:rFonts w:ascii="Cambria Math" w:hAnsi="Cambria Math"/>
                <w:i/>
                <w:color w:val="000000" w:themeColor="text1"/>
                <w:sz w:val="24"/>
                <w:szCs w:val="24"/>
                <w14:textFill>
                  <w14:solidFill>
                    <w14:schemeClr w14:val="tx1"/>
                  </w14:solidFill>
                </w14:textFill>
              </w:rPr>
            </m:ctrlPr>
          </m:sSubPr>
          <m:e>
            <m:r>
              <m:rPr/>
              <w:rPr>
                <w:rFonts w:hint="eastAsia" w:ascii="MS Gothic" w:hAnsi="MS Gothic"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w0</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m:t>
        </m:r>
      </m:oMath>
      <w:r>
        <w:rPr>
          <w:rFonts w:hint="eastAsia" w:ascii="宋体" w:hAnsi="宋体"/>
          <w:color w:val="000000" w:themeColor="text1"/>
          <w:position w:val="-12"/>
          <w:sz w:val="24"/>
          <w:szCs w:val="24"/>
          <w14:textFill>
            <w14:solidFill>
              <w14:schemeClr w14:val="tx1"/>
            </w14:solidFill>
          </w14:textFill>
        </w:rPr>
        <w:t xml:space="preserve">  </w:t>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（6.6.2-8）</w:t>
      </w:r>
    </w:p>
    <w:p>
      <w:pPr>
        <w:spacing w:line="240" w:lineRule="auto"/>
        <w:ind w:left="0" w:firstLine="480" w:firstLineChars="200"/>
        <w:jc w:val="left"/>
        <w:rPr>
          <w:rFonts w:ascii="宋体" w:hAnsi="宋体"/>
          <w:color w:val="000000" w:themeColor="text1"/>
          <w:position w:val="-12"/>
          <w:sz w:val="24"/>
          <w:szCs w:val="24"/>
          <w14:textFill>
            <w14:solidFill>
              <w14:schemeClr w14:val="tx1"/>
            </w14:solidFill>
          </w14:textFill>
        </w:rPr>
      </w:pPr>
    </w:p>
    <w:p>
      <w:pPr>
        <w:spacing w:line="240" w:lineRule="auto"/>
        <w:ind w:left="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上式右端方括号内的计算值小于</w:t>
      </w:r>
      <m:oMath>
        <m:r>
          <m:rPr/>
          <w:rPr>
            <w:rFonts w:ascii="Cambria Math" w:hAnsi="宋体"/>
            <w:color w:val="000000" w:themeColor="text1"/>
            <w:sz w:val="24"/>
            <w:szCs w:val="24"/>
            <w14:textFill>
              <w14:solidFill>
                <w14:schemeClr w14:val="tx1"/>
              </w14:solidFill>
            </w14:textFill>
          </w:rPr>
          <m:t>0.8</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y</m:t>
            </m:r>
            <m:r>
              <m:rPr/>
              <w:rPr>
                <w:rFonts w:hint="eastAsia" w:ascii="MS Gothic" w:hAnsi="MS Gothic"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sub>
        </m:sSub>
        <m:f>
          <m:fPr>
            <m:ctrlPr>
              <w:rPr>
                <w:rFonts w:ascii="Cambria Math" w:hAnsi="宋体"/>
                <w:i/>
                <w:color w:val="000000" w:themeColor="text1"/>
                <w:sz w:val="24"/>
                <w:szCs w:val="24"/>
                <w14:textFill>
                  <w14:solidFill>
                    <w14:schemeClr w14:val="tx1"/>
                  </w14:solidFill>
                </w14:textFill>
              </w:rPr>
            </m:ctrlPr>
          </m:fPr>
          <m:num>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s</m:t>
                </m:r>
                <m:r>
                  <m:rPr/>
                  <w:rPr>
                    <w:rFonts w:hint="eastAsia" w:ascii="MS Gothic" w:hAnsi="MS Gothic"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sub>
            </m:sSub>
            <m:ctrlPr>
              <w:rPr>
                <w:rFonts w:ascii="Cambria Math" w:hAnsi="宋体"/>
                <w:i/>
                <w:color w:val="000000" w:themeColor="text1"/>
                <w:sz w:val="24"/>
                <w:szCs w:val="24"/>
                <w14:textFill>
                  <w14:solidFill>
                    <w14:schemeClr w14:val="tx1"/>
                  </w14:solidFill>
                </w14:textFill>
              </w:rPr>
            </m:ctrlPr>
          </m:num>
          <m:den>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den>
        </m:f>
        <m:sSub>
          <m:sSubPr>
            <m:ctrlPr>
              <w:rPr>
                <w:rFonts w:ascii="Cambria Math" w:hAnsi="Cambria Math"/>
                <w:i/>
                <w:color w:val="000000" w:themeColor="text1"/>
                <w:sz w:val="24"/>
                <w:szCs w:val="24"/>
                <w14:textFill>
                  <w14:solidFill>
                    <w14:schemeClr w14:val="tx1"/>
                  </w14:solidFill>
                </w14:textFill>
              </w:rPr>
            </m:ctrlPr>
          </m:sSubPr>
          <m:e>
            <m:r>
              <m:rPr/>
              <w:rPr>
                <w:rFonts w:hint="eastAsia" w:ascii="MS Gothic" w:hAnsi="MS Gothic" w:eastAsia="MS Gothic" w:cs="MS Gothic"/>
                <w:color w:val="000000" w:themeColor="text1"/>
                <w:sz w:val="24"/>
                <w:szCs w:val="24"/>
                <w14:textFill>
                  <w14:solidFill>
                    <w14:schemeClr w14:val="tx1"/>
                  </w14:solidFill>
                </w14:textFill>
              </w:rPr>
              <m:t>ℎ</m:t>
            </m:r>
            <m:ctrlPr>
              <w:rPr>
                <w:rFonts w:ascii="Cambria Math" w:hAnsi="Cambria Math"/>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w0</m:t>
            </m:r>
            <m:ctrlPr>
              <w:rPr>
                <w:rFonts w:ascii="Cambria Math" w:hAnsi="宋体"/>
                <w:i/>
                <w:color w:val="000000" w:themeColor="text1"/>
                <w:sz w:val="24"/>
                <w:szCs w:val="24"/>
                <w14:textFill>
                  <w14:solidFill>
                    <w14:schemeClr w14:val="tx1"/>
                  </w14:solidFill>
                </w14:textFill>
              </w:rPr>
            </m:ctrlPr>
          </m:sub>
        </m:sSub>
      </m:oMath>
      <w:r>
        <w:rPr>
          <w:rFonts w:ascii="宋体" w:hAnsi="宋体"/>
          <w:color w:val="000000" w:themeColor="text1"/>
          <w:sz w:val="24"/>
          <w:szCs w:val="24"/>
          <w14:textFill>
            <w14:solidFill>
              <w14:schemeClr w14:val="tx1"/>
            </w14:solidFill>
          </w14:textFill>
        </w:rPr>
        <w:fldChar w:fldCharType="begin"/>
      </w:r>
      <w:r>
        <w:rPr>
          <w:rFonts w:ascii="宋体" w:hAnsi="宋体"/>
          <w:color w:val="000000" w:themeColor="text1"/>
          <w:sz w:val="24"/>
          <w:szCs w:val="24"/>
          <w14:textFill>
            <w14:solidFill>
              <w14:schemeClr w14:val="tx1"/>
            </w14:solidFill>
          </w14:textFill>
        </w:rPr>
        <w:instrText xml:space="preserve"> QUOTE </w:instrText>
      </w:r>
      <m:oMath>
        <m:r>
          <m:rPr>
            <m:sty m:val="p"/>
          </m:rPr>
          <w:rPr>
            <w:rFonts w:ascii="Cambria Math" w:hAnsi="宋体"/>
            <w:color w:val="000000" w:themeColor="text1"/>
            <w:sz w:val="24"/>
            <w:szCs w:val="24"/>
            <w14:textFill>
              <w14:solidFill>
                <w14:schemeClr w14:val="tx1"/>
              </w14:solidFill>
            </w14:textFill>
          </w:rPr>
          <m:t xml:space="preserve">0.8</m:t>
        </m:r>
        <m:sSub>
          <m:sSubPr>
            <m:ctrlPr>
              <w:rPr>
                <w:rFonts w:ascii="Cambria Math" w:hAnsi="宋体"/>
                <w:color w:val="000000" w:themeColor="text1"/>
                <w:sz w:val="24"/>
                <w:szCs w:val="24"/>
                <w14:textFill>
                  <w14:solidFill>
                    <w14:schemeClr w14:val="tx1"/>
                  </w14:solidFill>
                </w14:textFill>
              </w:rPr>
            </m:ctrlPr>
          </m:sSubPr>
          <m:e>
            <m:r>
              <m:rPr>
                <m:sty m:val="p"/>
              </m:rPr>
              <w:rPr>
                <w:rFonts w:ascii="Cambria Math" w:hAnsi="宋体"/>
                <w:color w:val="000000" w:themeColor="text1"/>
                <w:sz w:val="24"/>
                <w:szCs w:val="24"/>
                <w14:textFill>
                  <w14:solidFill>
                    <w14:schemeClr w14:val="tx1"/>
                  </w14:solidFill>
                </w14:textFill>
              </w:rPr>
              <m:t xml:space="preserve">f</m:t>
            </m:r>
            <m:ctrlPr>
              <w:rPr>
                <w:rFonts w:ascii="Cambria Math" w:hAnsi="宋体"/>
                <w:color w:val="000000" w:themeColor="text1"/>
                <w:sz w:val="24"/>
                <w:szCs w:val="24"/>
                <w14:textFill>
                  <w14:solidFill>
                    <w14:schemeClr w14:val="tx1"/>
                  </w14:solidFill>
                </w14:textFill>
              </w:rPr>
            </m:ctrlPr>
          </m:e>
          <m:sub>
            <m:r>
              <m:rPr>
                <m:sty m:val="p"/>
              </m:rPr>
              <w:rPr>
                <w:rFonts w:ascii="Cambria Math" w:hAnsi="宋体"/>
                <w:color w:val="000000" w:themeColor="text1"/>
                <w:sz w:val="24"/>
                <w:szCs w:val="24"/>
                <w14:textFill>
                  <w14:solidFill>
                    <w14:schemeClr w14:val="tx1"/>
                  </w14:solidFill>
                </w14:textFill>
              </w:rPr>
              <m:t xml:space="preserve">yh</m:t>
            </m:r>
            <m:ctrlPr>
              <w:rPr>
                <w:rFonts w:ascii="Cambria Math" w:hAnsi="宋体"/>
                <w:color w:val="000000" w:themeColor="text1"/>
                <w:sz w:val="24"/>
                <w:szCs w:val="24"/>
                <w14:textFill>
                  <w14:solidFill>
                    <w14:schemeClr w14:val="tx1"/>
                  </w14:solidFill>
                </w14:textFill>
              </w:rPr>
            </m:ctrlPr>
          </m:sub>
        </m:sSub>
        <m:f>
          <m:fPr>
            <m:ctrlPr>
              <w:rPr>
                <w:rFonts w:ascii="Cambria Math" w:hAnsi="宋体"/>
                <w:color w:val="000000" w:themeColor="text1"/>
                <w:sz w:val="24"/>
                <w:szCs w:val="24"/>
                <w14:textFill>
                  <w14:solidFill>
                    <w14:schemeClr w14:val="tx1"/>
                  </w14:solidFill>
                </w14:textFill>
              </w:rPr>
            </m:ctrlPr>
          </m:fPr>
          <m:num>
            <m:sSub>
              <m:sSubPr>
                <m:ctrlPr>
                  <w:rPr>
                    <w:rFonts w:ascii="Cambria Math" w:hAnsi="宋体"/>
                    <w:color w:val="000000" w:themeColor="text1"/>
                    <w:sz w:val="24"/>
                    <w:szCs w:val="24"/>
                    <w14:textFill>
                      <w14:solidFill>
                        <w14:schemeClr w14:val="tx1"/>
                      </w14:solidFill>
                    </w14:textFill>
                  </w:rPr>
                </m:ctrlPr>
              </m:sSubPr>
              <m:e>
                <m:r>
                  <m:rPr>
                    <m:sty m:val="p"/>
                  </m:rPr>
                  <w:rPr>
                    <w:rFonts w:ascii="Cambria Math" w:hAnsi="宋体"/>
                    <w:color w:val="000000" w:themeColor="text1"/>
                    <w:sz w:val="24"/>
                    <w:szCs w:val="24"/>
                    <w14:textFill>
                      <w14:solidFill>
                        <w14:schemeClr w14:val="tx1"/>
                      </w14:solidFill>
                    </w14:textFill>
                  </w:rPr>
                  <m:t xml:space="preserve">A</m:t>
                </m:r>
                <m:ctrlPr>
                  <w:rPr>
                    <w:rFonts w:ascii="Cambria Math" w:hAnsi="宋体"/>
                    <w:color w:val="000000" w:themeColor="text1"/>
                    <w:sz w:val="24"/>
                    <w:szCs w:val="24"/>
                    <w14:textFill>
                      <w14:solidFill>
                        <w14:schemeClr w14:val="tx1"/>
                      </w14:solidFill>
                    </w14:textFill>
                  </w:rPr>
                </m:ctrlPr>
              </m:e>
              <m:sub>
                <m:r>
                  <m:rPr>
                    <m:sty m:val="p"/>
                  </m:rPr>
                  <w:rPr>
                    <w:rFonts w:ascii="Cambria Math" w:hAnsi="宋体"/>
                    <w:color w:val="000000" w:themeColor="text1"/>
                    <w:sz w:val="24"/>
                    <w:szCs w:val="24"/>
                    <w14:textFill>
                      <w14:solidFill>
                        <w14:schemeClr w14:val="tx1"/>
                      </w14:solidFill>
                    </w14:textFill>
                  </w:rPr>
                  <m:t xml:space="preserve">sh</m:t>
                </m:r>
                <m:ctrlPr>
                  <w:rPr>
                    <w:rFonts w:ascii="Cambria Math" w:hAnsi="宋体"/>
                    <w:color w:val="000000" w:themeColor="text1"/>
                    <w:sz w:val="24"/>
                    <w:szCs w:val="24"/>
                    <w14:textFill>
                      <w14:solidFill>
                        <w14:schemeClr w14:val="tx1"/>
                      </w14:solidFill>
                    </w14:textFill>
                  </w:rPr>
                </m:ctrlPr>
              </m:sub>
            </m:sSub>
            <m:ctrlPr>
              <w:rPr>
                <w:rFonts w:ascii="Cambria Math" w:hAnsi="宋体"/>
                <w:color w:val="000000" w:themeColor="text1"/>
                <w:sz w:val="24"/>
                <w:szCs w:val="24"/>
                <w14:textFill>
                  <w14:solidFill>
                    <w14:schemeClr w14:val="tx1"/>
                  </w14:solidFill>
                </w14:textFill>
              </w:rPr>
            </m:ctrlPr>
          </m:num>
          <m:den>
            <m:r>
              <m:rPr>
                <m:sty m:val="p"/>
              </m:rPr>
              <w:rPr>
                <w:rFonts w:ascii="Cambria Math" w:hAnsi="宋体"/>
                <w:color w:val="000000" w:themeColor="text1"/>
                <w:sz w:val="24"/>
                <w:szCs w:val="24"/>
                <w14:textFill>
                  <w14:solidFill>
                    <w14:schemeClr w14:val="tx1"/>
                  </w14:solidFill>
                </w14:textFill>
              </w:rPr>
              <m:t xml:space="preserve">s</m:t>
            </m:r>
            <m:ctrlPr>
              <w:rPr>
                <w:rFonts w:ascii="Cambria Math" w:hAnsi="宋体"/>
                <w:color w:val="000000" w:themeColor="text1"/>
                <w:sz w:val="24"/>
                <w:szCs w:val="24"/>
                <w14:textFill>
                  <w14:solidFill>
                    <w14:schemeClr w14:val="tx1"/>
                  </w14:solidFill>
                </w14:textFill>
              </w:rPr>
            </m:ctrlPr>
          </m:den>
        </m:f>
        <m:sSub>
          <m:sSubPr>
            <m:ctrlPr>
              <w:rPr>
                <w:rFonts w:ascii="Cambria Math" w:hAnsi="宋体"/>
                <w:color w:val="000000" w:themeColor="text1"/>
                <w:sz w:val="24"/>
                <w:szCs w:val="24"/>
                <w14:textFill>
                  <w14:solidFill>
                    <w14:schemeClr w14:val="tx1"/>
                  </w14:solidFill>
                </w14:textFill>
              </w:rPr>
            </m:ctrlPr>
          </m:sSubPr>
          <m:e>
            <m:r>
              <m:rPr>
                <m:sty m:val="p"/>
              </m:rPr>
              <w:rPr>
                <w:rFonts w:ascii="Cambria Math" w:hAnsi="宋体"/>
                <w:color w:val="000000" w:themeColor="text1"/>
                <w:sz w:val="24"/>
                <w:szCs w:val="24"/>
                <w14:textFill>
                  <w14:solidFill>
                    <w14:schemeClr w14:val="tx1"/>
                  </w14:solidFill>
                </w14:textFill>
              </w:rPr>
              <m:t xml:space="preserve">h</m:t>
            </m:r>
            <m:ctrlPr>
              <w:rPr>
                <w:rFonts w:ascii="Cambria Math" w:hAnsi="宋体"/>
                <w:color w:val="000000" w:themeColor="text1"/>
                <w:sz w:val="24"/>
                <w:szCs w:val="24"/>
                <w14:textFill>
                  <w14:solidFill>
                    <w14:schemeClr w14:val="tx1"/>
                  </w14:solidFill>
                </w14:textFill>
              </w:rPr>
            </m:ctrlPr>
          </m:e>
          <m:sub>
            <m:r>
              <m:rPr>
                <m:sty m:val="p"/>
              </m:rPr>
              <w:rPr>
                <w:rFonts w:ascii="Cambria Math" w:hAnsi="宋体"/>
                <w:color w:val="000000" w:themeColor="text1"/>
                <w:sz w:val="24"/>
                <w:szCs w:val="24"/>
                <w14:textFill>
                  <w14:solidFill>
                    <w14:schemeClr w14:val="tx1"/>
                  </w14:solidFill>
                </w14:textFill>
              </w:rPr>
              <m:t xml:space="preserve">w0</m:t>
            </m:r>
            <m:ctrlPr>
              <w:rPr>
                <w:rFonts w:ascii="Cambria Math" w:hAnsi="宋体"/>
                <w:color w:val="000000" w:themeColor="text1"/>
                <w:sz w:val="24"/>
                <w:szCs w:val="24"/>
                <w14:textFill>
                  <w14:solidFill>
                    <w14:schemeClr w14:val="tx1"/>
                  </w14:solidFill>
                </w14:textFill>
              </w:rPr>
            </m:ctrlPr>
          </m:sub>
        </m:sSub>
      </m:oMath>
      <w:r>
        <w:rPr>
          <w:rFonts w:ascii="宋体" w:hAnsi="宋体"/>
          <w:color w:val="000000" w:themeColor="text1"/>
          <w:sz w:val="24"/>
          <w:szCs w:val="24"/>
          <w14:textFill>
            <w14:solidFill>
              <w14:schemeClr w14:val="tx1"/>
            </w14:solidFill>
          </w14:textFill>
        </w:rPr>
        <w:instrText xml:space="preserve"> </w:instrText>
      </w:r>
      <w:r>
        <w:rPr>
          <w:rFonts w:ascii="宋体" w:hAnsi="宋体"/>
          <w:color w:val="000000" w:themeColor="text1"/>
          <w:sz w:val="24"/>
          <w:szCs w:val="24"/>
          <w14:textFill>
            <w14:solidFill>
              <w14:schemeClr w14:val="tx1"/>
            </w14:solidFill>
          </w14:textFill>
        </w:rPr>
        <w:fldChar w:fldCharType="end"/>
      </w:r>
      <w:r>
        <w:rPr>
          <w:rFonts w:hint="eastAsia" w:ascii="宋体" w:hAnsi="宋体"/>
          <w:color w:val="000000" w:themeColor="text1"/>
          <w:sz w:val="24"/>
          <w:szCs w:val="24"/>
          <w14:textFill>
            <w14:solidFill>
              <w14:schemeClr w14:val="tx1"/>
            </w14:solidFill>
          </w14:textFill>
        </w:rPr>
        <w:t>时，应取等于</w:t>
      </w:r>
      <w:r>
        <w:rPr>
          <w:rFonts w:ascii="宋体" w:hAnsi="宋体"/>
          <w:color w:val="000000" w:themeColor="text1"/>
          <w:sz w:val="24"/>
          <w:szCs w:val="24"/>
          <w14:textFill>
            <w14:solidFill>
              <w14:schemeClr w14:val="tx1"/>
            </w14:solidFill>
          </w14:textFill>
        </w:rPr>
        <w:fldChar w:fldCharType="begin"/>
      </w:r>
      <w:r>
        <w:rPr>
          <w:rFonts w:ascii="宋体" w:hAnsi="宋体"/>
          <w:color w:val="000000" w:themeColor="text1"/>
          <w:sz w:val="24"/>
          <w:szCs w:val="24"/>
          <w14:textFill>
            <w14:solidFill>
              <w14:schemeClr w14:val="tx1"/>
            </w14:solidFill>
          </w14:textFill>
        </w:rPr>
        <w:instrText xml:space="preserve"> QUOTE </w:instrText>
      </w:r>
      <m:oMath>
        <m:r>
          <m:rPr>
            <m:sty m:val="p"/>
          </m:rPr>
          <w:rPr>
            <w:rFonts w:ascii="Cambria Math" w:hAnsi="宋体"/>
            <w:color w:val="000000" w:themeColor="text1"/>
            <w:sz w:val="24"/>
            <w:szCs w:val="24"/>
            <w14:textFill>
              <w14:solidFill>
                <w14:schemeClr w14:val="tx1"/>
              </w14:solidFill>
            </w14:textFill>
          </w:rPr>
          <m:t xml:space="preserve">0.8</m:t>
        </m:r>
        <m:sSub>
          <m:sSubPr>
            <m:ctrlPr>
              <w:rPr>
                <w:rFonts w:ascii="Cambria Math" w:hAnsi="宋体"/>
                <w:color w:val="000000" w:themeColor="text1"/>
                <w:sz w:val="24"/>
                <w:szCs w:val="24"/>
                <w14:textFill>
                  <w14:solidFill>
                    <w14:schemeClr w14:val="tx1"/>
                  </w14:solidFill>
                </w14:textFill>
              </w:rPr>
            </m:ctrlPr>
          </m:sSubPr>
          <m:e>
            <m:r>
              <m:rPr>
                <m:sty m:val="p"/>
              </m:rPr>
              <w:rPr>
                <w:rFonts w:ascii="Cambria Math" w:hAnsi="宋体"/>
                <w:color w:val="000000" w:themeColor="text1"/>
                <w:sz w:val="24"/>
                <w:szCs w:val="24"/>
                <w14:textFill>
                  <w14:solidFill>
                    <w14:schemeClr w14:val="tx1"/>
                  </w14:solidFill>
                </w14:textFill>
              </w:rPr>
              <m:t xml:space="preserve">f</m:t>
            </m:r>
            <m:ctrlPr>
              <w:rPr>
                <w:rFonts w:ascii="Cambria Math" w:hAnsi="宋体"/>
                <w:color w:val="000000" w:themeColor="text1"/>
                <w:sz w:val="24"/>
                <w:szCs w:val="24"/>
                <w14:textFill>
                  <w14:solidFill>
                    <w14:schemeClr w14:val="tx1"/>
                  </w14:solidFill>
                </w14:textFill>
              </w:rPr>
            </m:ctrlPr>
          </m:e>
          <m:sub>
            <m:r>
              <m:rPr>
                <m:sty m:val="p"/>
              </m:rPr>
              <w:rPr>
                <w:rFonts w:ascii="Cambria Math" w:hAnsi="宋体"/>
                <w:color w:val="000000" w:themeColor="text1"/>
                <w:sz w:val="24"/>
                <w:szCs w:val="24"/>
                <w14:textFill>
                  <w14:solidFill>
                    <w14:schemeClr w14:val="tx1"/>
                  </w14:solidFill>
                </w14:textFill>
              </w:rPr>
              <m:t xml:space="preserve">yh</m:t>
            </m:r>
            <m:ctrlPr>
              <w:rPr>
                <w:rFonts w:ascii="Cambria Math" w:hAnsi="宋体"/>
                <w:color w:val="000000" w:themeColor="text1"/>
                <w:sz w:val="24"/>
                <w:szCs w:val="24"/>
                <w14:textFill>
                  <w14:solidFill>
                    <w14:schemeClr w14:val="tx1"/>
                  </w14:solidFill>
                </w14:textFill>
              </w:rPr>
            </m:ctrlPr>
          </m:sub>
        </m:sSub>
        <m:f>
          <m:fPr>
            <m:ctrlPr>
              <w:rPr>
                <w:rFonts w:ascii="Cambria Math" w:hAnsi="宋体"/>
                <w:color w:val="000000" w:themeColor="text1"/>
                <w:sz w:val="24"/>
                <w:szCs w:val="24"/>
                <w14:textFill>
                  <w14:solidFill>
                    <w14:schemeClr w14:val="tx1"/>
                  </w14:solidFill>
                </w14:textFill>
              </w:rPr>
            </m:ctrlPr>
          </m:fPr>
          <m:num>
            <m:sSub>
              <m:sSubPr>
                <m:ctrlPr>
                  <w:rPr>
                    <w:rFonts w:ascii="Cambria Math" w:hAnsi="宋体"/>
                    <w:color w:val="000000" w:themeColor="text1"/>
                    <w:sz w:val="24"/>
                    <w:szCs w:val="24"/>
                    <w14:textFill>
                      <w14:solidFill>
                        <w14:schemeClr w14:val="tx1"/>
                      </w14:solidFill>
                    </w14:textFill>
                  </w:rPr>
                </m:ctrlPr>
              </m:sSubPr>
              <m:e>
                <m:r>
                  <m:rPr>
                    <m:sty m:val="p"/>
                  </m:rPr>
                  <w:rPr>
                    <w:rFonts w:ascii="Cambria Math" w:hAnsi="宋体"/>
                    <w:color w:val="000000" w:themeColor="text1"/>
                    <w:sz w:val="24"/>
                    <w:szCs w:val="24"/>
                    <w14:textFill>
                      <w14:solidFill>
                        <w14:schemeClr w14:val="tx1"/>
                      </w14:solidFill>
                    </w14:textFill>
                  </w:rPr>
                  <m:t xml:space="preserve">A</m:t>
                </m:r>
                <m:ctrlPr>
                  <w:rPr>
                    <w:rFonts w:ascii="Cambria Math" w:hAnsi="宋体"/>
                    <w:color w:val="000000" w:themeColor="text1"/>
                    <w:sz w:val="24"/>
                    <w:szCs w:val="24"/>
                    <w14:textFill>
                      <w14:solidFill>
                        <w14:schemeClr w14:val="tx1"/>
                      </w14:solidFill>
                    </w14:textFill>
                  </w:rPr>
                </m:ctrlPr>
              </m:e>
              <m:sub>
                <m:r>
                  <m:rPr>
                    <m:sty m:val="p"/>
                  </m:rPr>
                  <w:rPr>
                    <w:rFonts w:ascii="Cambria Math" w:hAnsi="宋体"/>
                    <w:color w:val="000000" w:themeColor="text1"/>
                    <w:sz w:val="24"/>
                    <w:szCs w:val="24"/>
                    <w14:textFill>
                      <w14:solidFill>
                        <w14:schemeClr w14:val="tx1"/>
                      </w14:solidFill>
                    </w14:textFill>
                  </w:rPr>
                  <m:t xml:space="preserve">sh</m:t>
                </m:r>
                <m:ctrlPr>
                  <w:rPr>
                    <w:rFonts w:ascii="Cambria Math" w:hAnsi="宋体"/>
                    <w:color w:val="000000" w:themeColor="text1"/>
                    <w:sz w:val="24"/>
                    <w:szCs w:val="24"/>
                    <w14:textFill>
                      <w14:solidFill>
                        <w14:schemeClr w14:val="tx1"/>
                      </w14:solidFill>
                    </w14:textFill>
                  </w:rPr>
                </m:ctrlPr>
              </m:sub>
            </m:sSub>
            <m:ctrlPr>
              <w:rPr>
                <w:rFonts w:ascii="Cambria Math" w:hAnsi="宋体"/>
                <w:color w:val="000000" w:themeColor="text1"/>
                <w:sz w:val="24"/>
                <w:szCs w:val="24"/>
                <w14:textFill>
                  <w14:solidFill>
                    <w14:schemeClr w14:val="tx1"/>
                  </w14:solidFill>
                </w14:textFill>
              </w:rPr>
            </m:ctrlPr>
          </m:num>
          <m:den>
            <m:r>
              <m:rPr>
                <m:sty m:val="p"/>
              </m:rPr>
              <w:rPr>
                <w:rFonts w:ascii="Cambria Math" w:hAnsi="宋体"/>
                <w:color w:val="000000" w:themeColor="text1"/>
                <w:sz w:val="24"/>
                <w:szCs w:val="24"/>
                <w14:textFill>
                  <w14:solidFill>
                    <w14:schemeClr w14:val="tx1"/>
                  </w14:solidFill>
                </w14:textFill>
              </w:rPr>
              <m:t xml:space="preserve">s</m:t>
            </m:r>
            <m:ctrlPr>
              <w:rPr>
                <w:rFonts w:ascii="Cambria Math" w:hAnsi="宋体"/>
                <w:color w:val="000000" w:themeColor="text1"/>
                <w:sz w:val="24"/>
                <w:szCs w:val="24"/>
                <w14:textFill>
                  <w14:solidFill>
                    <w14:schemeClr w14:val="tx1"/>
                  </w14:solidFill>
                </w14:textFill>
              </w:rPr>
            </m:ctrlPr>
          </m:den>
        </m:f>
        <m:sSub>
          <m:sSubPr>
            <m:ctrlPr>
              <w:rPr>
                <w:rFonts w:ascii="Cambria Math" w:hAnsi="宋体"/>
                <w:color w:val="000000" w:themeColor="text1"/>
                <w:sz w:val="24"/>
                <w:szCs w:val="24"/>
                <w14:textFill>
                  <w14:solidFill>
                    <w14:schemeClr w14:val="tx1"/>
                  </w14:solidFill>
                </w14:textFill>
              </w:rPr>
            </m:ctrlPr>
          </m:sSubPr>
          <m:e>
            <m:r>
              <m:rPr>
                <m:sty m:val="p"/>
              </m:rPr>
              <w:rPr>
                <w:rFonts w:ascii="Cambria Math" w:hAnsi="宋体"/>
                <w:color w:val="000000" w:themeColor="text1"/>
                <w:sz w:val="24"/>
                <w:szCs w:val="24"/>
                <w14:textFill>
                  <w14:solidFill>
                    <w14:schemeClr w14:val="tx1"/>
                  </w14:solidFill>
                </w14:textFill>
              </w:rPr>
              <m:t xml:space="preserve">h</m:t>
            </m:r>
            <m:ctrlPr>
              <w:rPr>
                <w:rFonts w:ascii="Cambria Math" w:hAnsi="宋体"/>
                <w:color w:val="000000" w:themeColor="text1"/>
                <w:sz w:val="24"/>
                <w:szCs w:val="24"/>
                <w14:textFill>
                  <w14:solidFill>
                    <w14:schemeClr w14:val="tx1"/>
                  </w14:solidFill>
                </w14:textFill>
              </w:rPr>
            </m:ctrlPr>
          </m:e>
          <m:sub>
            <m:r>
              <m:rPr>
                <m:sty m:val="p"/>
              </m:rPr>
              <w:rPr>
                <w:rFonts w:ascii="Cambria Math" w:hAnsi="宋体"/>
                <w:color w:val="000000" w:themeColor="text1"/>
                <w:sz w:val="24"/>
                <w:szCs w:val="24"/>
                <w14:textFill>
                  <w14:solidFill>
                    <w14:schemeClr w14:val="tx1"/>
                  </w14:solidFill>
                </w14:textFill>
              </w:rPr>
              <m:t xml:space="preserve">w0</m:t>
            </m:r>
            <m:ctrlPr>
              <w:rPr>
                <w:rFonts w:ascii="Cambria Math" w:hAnsi="宋体"/>
                <w:color w:val="000000" w:themeColor="text1"/>
                <w:sz w:val="24"/>
                <w:szCs w:val="24"/>
                <w14:textFill>
                  <w14:solidFill>
                    <w14:schemeClr w14:val="tx1"/>
                  </w14:solidFill>
                </w14:textFill>
              </w:rPr>
            </m:ctrlPr>
          </m:sub>
        </m:sSub>
      </m:oMath>
      <w:r>
        <w:rPr>
          <w:rFonts w:ascii="宋体" w:hAnsi="宋体"/>
          <w:color w:val="000000" w:themeColor="text1"/>
          <w:sz w:val="24"/>
          <w:szCs w:val="24"/>
          <w14:textFill>
            <w14:solidFill>
              <w14:schemeClr w14:val="tx1"/>
            </w14:solidFill>
          </w14:textFill>
        </w:rPr>
        <w:instrText xml:space="preserve"> </w:instrText>
      </w:r>
      <w:r>
        <w:rPr>
          <w:rFonts w:ascii="宋体" w:hAnsi="宋体"/>
          <w:color w:val="000000" w:themeColor="text1"/>
          <w:sz w:val="24"/>
          <w:szCs w:val="24"/>
          <w14:textFill>
            <w14:solidFill>
              <w14:schemeClr w14:val="tx1"/>
            </w14:solidFill>
          </w14:textFill>
        </w:rPr>
        <w:fldChar w:fldCharType="separate"/>
      </w:r>
      <m:oMath>
        <m:r>
          <m:rPr>
            <m:sty m:val="p"/>
          </m:rPr>
          <w:rPr>
            <w:rFonts w:ascii="Cambria Math" w:hAnsi="宋体"/>
            <w:color w:val="000000" w:themeColor="text1"/>
            <w:sz w:val="24"/>
            <w:szCs w:val="24"/>
            <w14:textFill>
              <w14:solidFill>
                <w14:schemeClr w14:val="tx1"/>
              </w14:solidFill>
            </w14:textFill>
          </w:rPr>
          <m:t>0.8</m:t>
        </m:r>
        <m:sSub>
          <m:sSubPr>
            <m:ctrlPr>
              <w:rPr>
                <w:rFonts w:ascii="Cambria Math" w:hAnsi="宋体"/>
                <w:i/>
                <w:color w:val="000000" w:themeColor="text1"/>
                <w:sz w:val="24"/>
                <w:szCs w:val="24"/>
                <w14:textFill>
                  <w14:solidFill>
                    <w14:schemeClr w14:val="tx1"/>
                  </w14:solidFill>
                </w14:textFill>
              </w:rPr>
            </m:ctrlPr>
          </m:sSubPr>
          <m:e>
            <m:r>
              <m:rPr>
                <m:sty m:val="p"/>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m:sty m:val="p"/>
              </m:rPr>
              <w:rPr>
                <w:rFonts w:ascii="Cambria Math" w:hAnsi="宋体"/>
                <w:color w:val="000000" w:themeColor="text1"/>
                <w:sz w:val="24"/>
                <w:szCs w:val="24"/>
                <w14:textFill>
                  <w14:solidFill>
                    <w14:schemeClr w14:val="tx1"/>
                  </w14:solidFill>
                </w14:textFill>
              </w:rPr>
              <m:t>y</m:t>
            </m:r>
            <m:r>
              <m:rPr>
                <m:sty m:val="p"/>
              </m:rPr>
              <w:rPr>
                <w:rFonts w:hint="eastAsia" w:ascii="Cambria Math" w:hAnsi="Cambria Math" w:eastAsia="MS Gothic" w:cs="MS Gothic"/>
                <w:color w:val="000000" w:themeColor="text1"/>
                <w:sz w:val="24"/>
                <w:szCs w:val="24"/>
                <w14:textFill>
                  <w14:solidFill>
                    <w14:schemeClr w14:val="tx1"/>
                  </w14:solidFill>
                </w14:textFill>
              </w:rPr>
              <m:t>h</m:t>
            </m:r>
            <m:ctrlPr>
              <w:rPr>
                <w:rFonts w:ascii="Cambria Math" w:hAnsi="Cambria Math"/>
                <w:i/>
                <w:color w:val="000000" w:themeColor="text1"/>
                <w:sz w:val="24"/>
                <w:szCs w:val="24"/>
                <w14:textFill>
                  <w14:solidFill>
                    <w14:schemeClr w14:val="tx1"/>
                  </w14:solidFill>
                </w14:textFill>
              </w:rPr>
            </m:ctrlPr>
          </m:sub>
        </m:sSub>
        <m:f>
          <m:fPr>
            <m:ctrlPr>
              <w:rPr>
                <w:rFonts w:ascii="Cambria Math" w:hAnsi="宋体"/>
                <w:i/>
                <w:color w:val="000000" w:themeColor="text1"/>
                <w:sz w:val="24"/>
                <w:szCs w:val="24"/>
                <w14:textFill>
                  <w14:solidFill>
                    <w14:schemeClr w14:val="tx1"/>
                  </w14:solidFill>
                </w14:textFill>
              </w:rPr>
            </m:ctrlPr>
          </m:fPr>
          <m:num>
            <m:sSub>
              <m:sSubPr>
                <m:ctrlPr>
                  <w:rPr>
                    <w:rFonts w:ascii="Cambria Math" w:hAnsi="宋体"/>
                    <w:i/>
                    <w:color w:val="000000" w:themeColor="text1"/>
                    <w:sz w:val="24"/>
                    <w:szCs w:val="24"/>
                    <w14:textFill>
                      <w14:solidFill>
                        <w14:schemeClr w14:val="tx1"/>
                      </w14:solidFill>
                    </w14:textFill>
                  </w:rPr>
                </m:ctrlPr>
              </m:sSubPr>
              <m:e>
                <m:r>
                  <m:rPr>
                    <m:sty m:val="p"/>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e>
              <m:sub>
                <m:r>
                  <m:rPr>
                    <m:sty m:val="p"/>
                  </m:rPr>
                  <w:rPr>
                    <w:rFonts w:ascii="Cambria Math" w:hAnsi="宋体"/>
                    <w:color w:val="000000" w:themeColor="text1"/>
                    <w:sz w:val="24"/>
                    <w:szCs w:val="24"/>
                    <w14:textFill>
                      <w14:solidFill>
                        <w14:schemeClr w14:val="tx1"/>
                      </w14:solidFill>
                    </w14:textFill>
                  </w:rPr>
                  <m:t>s</m:t>
                </m:r>
                <m:r>
                  <m:rPr>
                    <m:sty m:val="p"/>
                  </m:rPr>
                  <w:rPr>
                    <w:rFonts w:hint="eastAsia" w:ascii="Cambria Math" w:hAnsi="Cambria Math" w:eastAsia="MS Gothic" w:cs="MS Gothic"/>
                    <w:color w:val="000000" w:themeColor="text1"/>
                    <w:sz w:val="24"/>
                    <w:szCs w:val="24"/>
                    <w14:textFill>
                      <w14:solidFill>
                        <w14:schemeClr w14:val="tx1"/>
                      </w14:solidFill>
                    </w14:textFill>
                  </w:rPr>
                  <m:t>h</m:t>
                </m:r>
                <m:ctrlPr>
                  <w:rPr>
                    <w:rFonts w:ascii="Cambria Math" w:hAnsi="Cambria Math"/>
                    <w:i/>
                    <w:color w:val="000000" w:themeColor="text1"/>
                    <w:sz w:val="24"/>
                    <w:szCs w:val="24"/>
                    <w14:textFill>
                      <w14:solidFill>
                        <w14:schemeClr w14:val="tx1"/>
                      </w14:solidFill>
                    </w14:textFill>
                  </w:rPr>
                </m:ctrlPr>
              </m:sub>
            </m:sSub>
            <m:ctrlPr>
              <w:rPr>
                <w:rFonts w:ascii="Cambria Math" w:hAnsi="宋体"/>
                <w:i/>
                <w:color w:val="000000" w:themeColor="text1"/>
                <w:sz w:val="24"/>
                <w:szCs w:val="24"/>
                <w14:textFill>
                  <w14:solidFill>
                    <w14:schemeClr w14:val="tx1"/>
                  </w14:solidFill>
                </w14:textFill>
              </w:rPr>
            </m:ctrlPr>
          </m:num>
          <m:den>
            <m:r>
              <m:rPr>
                <m:sty m:val="p"/>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den>
        </m:f>
        <m:sSub>
          <m:sSubPr>
            <m:ctrlPr>
              <w:rPr>
                <w:rFonts w:ascii="Cambria Math" w:hAnsi="Cambria Math"/>
                <w:i/>
                <w:color w:val="000000" w:themeColor="text1"/>
                <w:sz w:val="24"/>
                <w:szCs w:val="24"/>
                <w14:textFill>
                  <w14:solidFill>
                    <w14:schemeClr w14:val="tx1"/>
                  </w14:solidFill>
                </w14:textFill>
              </w:rPr>
            </m:ctrlPr>
          </m:sSubPr>
          <m:e>
            <m:r>
              <m:rPr>
                <m:sty m:val="p"/>
              </m:rPr>
              <w:rPr>
                <w:rFonts w:hint="eastAsia" w:ascii="Cambria Math" w:hAnsi="Cambria Math" w:eastAsia="MS Gothic" w:cs="MS Gothic"/>
                <w:color w:val="000000" w:themeColor="text1"/>
                <w:sz w:val="24"/>
                <w:szCs w:val="24"/>
                <w14:textFill>
                  <w14:solidFill>
                    <w14:schemeClr w14:val="tx1"/>
                  </w14:solidFill>
                </w14:textFill>
              </w:rPr>
              <m:t>h</m:t>
            </m:r>
            <m:ctrlPr>
              <w:rPr>
                <w:rFonts w:ascii="Cambria Math" w:hAnsi="Cambria Math"/>
                <w:i/>
                <w:color w:val="000000" w:themeColor="text1"/>
                <w:sz w:val="24"/>
                <w:szCs w:val="24"/>
                <w14:textFill>
                  <w14:solidFill>
                    <w14:schemeClr w14:val="tx1"/>
                  </w14:solidFill>
                </w14:textFill>
              </w:rPr>
            </m:ctrlPr>
          </m:e>
          <m:sub>
            <m:r>
              <m:rPr>
                <m:sty m:val="p"/>
              </m:rPr>
              <w:rPr>
                <w:rFonts w:ascii="Cambria Math" w:hAnsi="宋体"/>
                <w:color w:val="000000" w:themeColor="text1"/>
                <w:sz w:val="24"/>
                <w:szCs w:val="24"/>
                <w14:textFill>
                  <w14:solidFill>
                    <w14:schemeClr w14:val="tx1"/>
                  </w14:solidFill>
                </w14:textFill>
              </w:rPr>
              <m:t>w0</m:t>
            </m:r>
            <m:ctrlPr>
              <w:rPr>
                <w:rFonts w:ascii="Cambria Math" w:hAnsi="宋体"/>
                <w:i/>
                <w:color w:val="000000" w:themeColor="text1"/>
                <w:sz w:val="24"/>
                <w:szCs w:val="24"/>
                <w14:textFill>
                  <w14:solidFill>
                    <w14:schemeClr w14:val="tx1"/>
                  </w14:solidFill>
                </w14:textFill>
              </w:rPr>
            </m:ctrlPr>
          </m:sub>
        </m:sSub>
      </m:oMath>
      <w:r>
        <w:rPr>
          <w:rFonts w:ascii="宋体" w:hAnsi="宋体"/>
          <w:color w:val="000000" w:themeColor="text1"/>
          <w:sz w:val="24"/>
          <w:szCs w:val="24"/>
          <w14:textFill>
            <w14:solidFill>
              <w14:schemeClr w14:val="tx1"/>
            </w14:solidFill>
          </w14:textFill>
        </w:rPr>
        <w:fldChar w:fldCharType="end"/>
      </w:r>
      <w:r>
        <w:rPr>
          <w:rFonts w:hint="eastAsia" w:ascii="宋体" w:hAnsi="宋体"/>
          <w:color w:val="000000" w:themeColor="text1"/>
          <w:sz w:val="24"/>
          <w:szCs w:val="24"/>
          <w14:textFill>
            <w14:solidFill>
              <w14:schemeClr w14:val="tx1"/>
            </w14:solidFill>
          </w14:textFill>
        </w:rPr>
        <w:t>。</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剪力墙全截面拉裂时的截面抗剪验算：</w:t>
      </w:r>
    </w:p>
    <w:p>
      <w:pPr>
        <w:spacing w:line="240" w:lineRule="auto"/>
        <w:ind w:left="0" w:firstLine="480" w:firstLineChars="200"/>
        <w:jc w:val="left"/>
        <w:rPr>
          <w:rFonts w:ascii="宋体" w:hAnsi="宋体"/>
          <w:color w:val="000000" w:themeColor="text1"/>
          <w:position w:val="-12"/>
          <w:sz w:val="24"/>
          <w:szCs w:val="24"/>
          <w14:textFill>
            <w14:solidFill>
              <w14:schemeClr w14:val="tx1"/>
            </w14:solidFill>
          </w14:textFill>
        </w:rPr>
      </w:pP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V</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wj</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m:t>
        </m:r>
        <m:f>
          <m:fPr>
            <m:ctrlPr>
              <w:rPr>
                <w:rFonts w:ascii="Cambria Math" w:hAnsi="宋体"/>
                <w:i/>
                <w:color w:val="000000" w:themeColor="text1"/>
                <w:sz w:val="24"/>
                <w:szCs w:val="24"/>
                <w14:textFill>
                  <w14:solidFill>
                    <w14:schemeClr w14:val="tx1"/>
                  </w14:solidFill>
                </w14:textFill>
              </w:rPr>
            </m:ctrlPr>
          </m:fPr>
          <m:num>
            <m:r>
              <m:rPr/>
              <w:rPr>
                <w:rFonts w:ascii="Cambria Math" w:hAnsi="宋体"/>
                <w:color w:val="000000" w:themeColor="text1"/>
                <w:sz w:val="24"/>
                <w:szCs w:val="24"/>
                <w14:textFill>
                  <w14:solidFill>
                    <w14:schemeClr w14:val="tx1"/>
                  </w14:solidFill>
                </w14:textFill>
              </w:rPr>
              <m:t>1</m:t>
            </m:r>
            <m:ctrlPr>
              <w:rPr>
                <w:rFonts w:ascii="Cambria Math" w:hAnsi="宋体"/>
                <w:i/>
                <w:color w:val="000000" w:themeColor="text1"/>
                <w:sz w:val="24"/>
                <w:szCs w:val="24"/>
                <w14:textFill>
                  <w14:solidFill>
                    <w14:schemeClr w14:val="tx1"/>
                  </w14:solidFill>
                </w14:textFill>
              </w:rPr>
            </m:ctrlPr>
          </m:num>
          <m:den>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γ</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RE</m:t>
                </m:r>
                <m:ctrlPr>
                  <w:rPr>
                    <w:rFonts w:ascii="Cambria Math" w:hAnsi="宋体"/>
                    <w:i/>
                    <w:color w:val="000000" w:themeColor="text1"/>
                    <w:sz w:val="24"/>
                    <w:szCs w:val="24"/>
                    <w14:textFill>
                      <w14:solidFill>
                        <w14:schemeClr w14:val="tx1"/>
                      </w14:solidFill>
                    </w14:textFill>
                  </w:rPr>
                </m:ctrlPr>
              </m:sub>
            </m:sSub>
            <m:ctrlPr>
              <w:rPr>
                <w:rFonts w:ascii="Cambria Math" w:hAnsi="Cambria Math"/>
                <w:i/>
                <w:color w:val="000000" w:themeColor="text1"/>
                <w:sz w:val="24"/>
                <w:szCs w:val="24"/>
                <w14:textFill>
                  <w14:solidFill>
                    <w14:schemeClr w14:val="tx1"/>
                  </w14:solidFill>
                </w14:textFill>
              </w:rPr>
            </m:ctrlPr>
          </m:den>
        </m:f>
        <m:r>
          <m:rPr/>
          <w:rPr>
            <w:rFonts w:ascii="Cambria Math" w:hAnsi="宋体"/>
            <w:color w:val="000000" w:themeColor="text1"/>
            <w:sz w:val="24"/>
            <w:szCs w:val="24"/>
            <w14:textFill>
              <w14:solidFill>
                <w14:schemeClr w14:val="tx1"/>
              </w14:solidFill>
            </w14:textFill>
          </w:rPr>
          <m:t>(0.6</m:t>
        </m:r>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y</m:t>
            </m:r>
            <m:ctrlPr>
              <w:rPr>
                <w:rFonts w:ascii="Cambria Math" w:hAnsi="宋体"/>
                <w:i/>
                <w:color w:val="000000" w:themeColor="text1"/>
                <w:sz w:val="24"/>
                <w:szCs w:val="24"/>
                <w14:textFill>
                  <w14:solidFill>
                    <w14:schemeClr w14:val="tx1"/>
                  </w14:solidFill>
                </w14:textFill>
              </w:rPr>
            </m:ctrlPr>
          </m:sub>
        </m:sSub>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A</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s</m:t>
            </m:r>
            <m:ctrlPr>
              <w:rPr>
                <w:rFonts w:ascii="Cambria Math" w:hAnsi="宋体"/>
                <w:i/>
                <w:color w:val="000000" w:themeColor="text1"/>
                <w:sz w:val="24"/>
                <w:szCs w:val="24"/>
                <w14:textFill>
                  <w14:solidFill>
                    <w14:schemeClr w14:val="tx1"/>
                  </w14:solidFill>
                </w14:textFill>
              </w:rPr>
            </m:ctrlPr>
          </m:sub>
        </m:sSub>
        <m:r>
          <m:rPr/>
          <w:rPr>
            <w:rFonts w:ascii="Cambria Math" w:hAnsi="宋体"/>
            <w:color w:val="000000" w:themeColor="text1"/>
            <w:sz w:val="24"/>
            <w:szCs w:val="24"/>
            <w14:textFill>
              <w14:solidFill>
                <w14:schemeClr w14:val="tx1"/>
              </w14:solidFill>
            </w14:textFill>
          </w:rPr>
          <m:t>+0.8N)</m:t>
        </m:r>
      </m:oMath>
      <w:r>
        <w:rPr>
          <w:rFonts w:hint="eastAsia" w:ascii="宋体" w:hAnsi="宋体"/>
          <w:color w:val="000000" w:themeColor="text1"/>
          <w:position w:val="-12"/>
          <w:sz w:val="24"/>
          <w:szCs w:val="24"/>
          <w14:textFill>
            <w14:solidFill>
              <w14:schemeClr w14:val="tx1"/>
            </w14:solidFill>
          </w14:textFill>
        </w:rPr>
        <w:t xml:space="preserve">   </w:t>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ascii="宋体" w:hAnsi="宋体"/>
          <w:color w:val="000000" w:themeColor="text1"/>
          <w:position w:val="-12"/>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（6.6.2-9）</w:t>
      </w:r>
    </w:p>
    <w:p>
      <w:pPr>
        <w:spacing w:line="240" w:lineRule="auto"/>
        <w:ind w:left="0"/>
        <w:rPr>
          <w:rFonts w:ascii="宋体" w:hAnsi="宋体"/>
          <w:b/>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式中：</w:t>
      </w:r>
      <m:oMath>
        <m:sSub>
          <m:sSubPr>
            <m:ctrlPr>
              <w:rPr>
                <w:rFonts w:ascii="Cambria Math" w:hAnsi="宋体"/>
                <w:i/>
                <w:color w:val="000000" w:themeColor="text1"/>
                <w:sz w:val="24"/>
                <w:szCs w:val="24"/>
                <w14:textFill>
                  <w14:solidFill>
                    <w14:schemeClr w14:val="tx1"/>
                  </w14:solidFill>
                </w14:textFill>
              </w:rPr>
            </m:ctrlPr>
          </m:sSubPr>
          <m:e>
            <m:r>
              <m:rPr/>
              <w:rPr>
                <w:rFonts w:ascii="Cambria Math" w:hAnsi="宋体"/>
                <w:color w:val="000000" w:themeColor="text1"/>
                <w:sz w:val="24"/>
                <w:szCs w:val="24"/>
                <w14:textFill>
                  <w14:solidFill>
                    <w14:schemeClr w14:val="tx1"/>
                  </w14:solidFill>
                </w14:textFill>
              </w:rPr>
              <m:t>V</m:t>
            </m:r>
            <m:ctrlPr>
              <w:rPr>
                <w:rFonts w:ascii="Cambria Math" w:hAnsi="宋体"/>
                <w:i/>
                <w:color w:val="000000" w:themeColor="text1"/>
                <w:sz w:val="24"/>
                <w:szCs w:val="24"/>
                <w14:textFill>
                  <w14:solidFill>
                    <w14:schemeClr w14:val="tx1"/>
                  </w14:solidFill>
                </w14:textFill>
              </w:rPr>
            </m:ctrlPr>
          </m:e>
          <m:sub>
            <m:r>
              <m:rPr/>
              <w:rPr>
                <w:rFonts w:ascii="Cambria Math" w:hAnsi="宋体"/>
                <w:color w:val="000000" w:themeColor="text1"/>
                <w:sz w:val="24"/>
                <w:szCs w:val="24"/>
                <w14:textFill>
                  <w14:solidFill>
                    <w14:schemeClr w14:val="tx1"/>
                  </w14:solidFill>
                </w14:textFill>
              </w:rPr>
              <m:t>wj</m:t>
            </m:r>
            <m:ctrlPr>
              <w:rPr>
                <w:rFonts w:ascii="Cambria Math" w:hAnsi="宋体"/>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为剪力墙水平剪力设计值；</w:t>
      </w:r>
      <m:oMath>
        <m:sSub>
          <m:sSubPr>
            <m:ctrlPr>
              <w:rPr>
                <w:rFonts w:ascii="Cambria Math" w:hAnsi="Cambria Math"/>
                <w:i/>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A</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s</m:t>
            </m:r>
            <m:ctrlPr>
              <w:rPr>
                <w:rFonts w:ascii="Cambria Math" w:hAnsi="Cambria Math"/>
                <w:i/>
                <w:color w:val="000000" w:themeColor="text1"/>
                <w:sz w:val="24"/>
                <w:szCs w:val="24"/>
                <w14:textFill>
                  <w14:solidFill>
                    <w14:schemeClr w14:val="tx1"/>
                  </w14:solidFill>
                </w14:textFill>
              </w:rPr>
            </m:ctrlPr>
          </m:sub>
        </m:sSub>
      </m:oMath>
      <w:r>
        <w:rPr>
          <w:rFonts w:hint="eastAsia" w:ascii="宋体" w:hAnsi="宋体"/>
          <w:color w:val="000000" w:themeColor="text1"/>
          <w:sz w:val="24"/>
          <w:szCs w:val="24"/>
          <w14:textFill>
            <w14:solidFill>
              <w14:schemeClr w14:val="tx1"/>
            </w14:solidFill>
          </w14:textFill>
        </w:rPr>
        <w:t>为剪力墙腹板内竖向分布钢筋和边缘构件中的竖向钢筋总面积（不包括两侧翼缘），以及在墙体中有足够锚固长度的附加竖向插筋面积；</w:t>
      </w:r>
      <w:r>
        <w:rPr>
          <w:rFonts w:ascii="宋体" w:hAnsi="宋体"/>
          <w:color w:val="000000" w:themeColor="text1"/>
          <w:sz w:val="24"/>
          <w:szCs w:val="24"/>
          <w14:textFill>
            <w14:solidFill>
              <w14:schemeClr w14:val="tx1"/>
            </w14:solidFill>
          </w14:textFill>
        </w:rPr>
        <w:fldChar w:fldCharType="begin"/>
      </w:r>
      <w:r>
        <w:rPr>
          <w:rFonts w:ascii="宋体" w:hAnsi="宋体"/>
          <w:color w:val="000000" w:themeColor="text1"/>
          <w:sz w:val="24"/>
          <w:szCs w:val="24"/>
          <w14:textFill>
            <w14:solidFill>
              <w14:schemeClr w14:val="tx1"/>
            </w14:solidFill>
          </w14:textFill>
        </w:rPr>
        <w:instrText xml:space="preserve"> QUOTE </w:instrText>
      </w:r>
      <m:oMath>
        <m:sSub>
          <m:sSubPr>
            <m:ctrlPr>
              <w:rPr>
                <w:rFonts w:ascii="Cambria Math" w:hAnsi="Cambria Math"/>
                <w:i/>
                <w:color w:val="000000" w:themeColor="text1"/>
                <w:sz w:val="24"/>
                <w:szCs w:val="24"/>
                <w14:textFill>
                  <w14:solidFill>
                    <w14:schemeClr w14:val="tx1"/>
                  </w14:solidFill>
                </w14:textFill>
              </w:rPr>
            </m:ctrlPr>
          </m:sSubPr>
          <m:e>
            <m:r>
              <m:rPr>
                <m:sty m:val="p"/>
              </m:rPr>
              <w:rPr>
                <w:rFonts w:ascii="Cambria Math" w:hAnsi="Cambria Math"/>
                <w:color w:val="000000" w:themeColor="text1"/>
                <w:sz w:val="24"/>
                <w:szCs w:val="24"/>
                <w14:textFill>
                  <w14:solidFill>
                    <w14:schemeClr w14:val="tx1"/>
                  </w14:solidFill>
                </w14:textFill>
              </w:rPr>
              <m:t xml:space="preserve">f</m:t>
            </m:r>
            <m:ctrlPr>
              <w:rPr>
                <w:rFonts w:ascii="Cambria Math" w:hAnsi="Cambria Math"/>
                <w:i/>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 xml:space="preserve">y</m:t>
            </m:r>
            <m:ctrlPr>
              <w:rPr>
                <w:rFonts w:ascii="Cambria Math" w:hAnsi="Cambria Math"/>
                <w:i/>
                <w:color w:val="000000" w:themeColor="text1"/>
                <w:sz w:val="24"/>
                <w:szCs w:val="24"/>
                <w14:textFill>
                  <w14:solidFill>
                    <w14:schemeClr w14:val="tx1"/>
                  </w14:solidFill>
                </w14:textFill>
              </w:rPr>
            </m:ctrlPr>
          </m:sub>
        </m:sSub>
      </m:oMath>
      <w:r>
        <w:rPr>
          <w:rFonts w:ascii="宋体" w:hAnsi="宋体"/>
          <w:color w:val="000000" w:themeColor="text1"/>
          <w:sz w:val="24"/>
          <w:szCs w:val="24"/>
          <w14:textFill>
            <w14:solidFill>
              <w14:schemeClr w14:val="tx1"/>
            </w14:solidFill>
          </w14:textFill>
        </w:rPr>
        <w:instrText xml:space="preserve"> </w:instrText>
      </w:r>
      <w:r>
        <w:rPr>
          <w:rFonts w:ascii="宋体" w:hAnsi="宋体"/>
          <w:color w:val="000000" w:themeColor="text1"/>
          <w:sz w:val="24"/>
          <w:szCs w:val="24"/>
          <w14:textFill>
            <w14:solidFill>
              <w14:schemeClr w14:val="tx1"/>
            </w14:solidFill>
          </w14:textFill>
        </w:rPr>
        <w:fldChar w:fldCharType="separate"/>
      </w:r>
      <m:oMath>
        <m:sSub>
          <m:sSubPr>
            <m:ctrlPr>
              <w:rPr>
                <w:rFonts w:ascii="Cambria Math" w:hAnsi="宋体"/>
                <w:i/>
                <w:color w:val="000000" w:themeColor="text1"/>
                <w:sz w:val="24"/>
                <w:szCs w:val="24"/>
                <w14:textFill>
                  <w14:solidFill>
                    <w14:schemeClr w14:val="tx1"/>
                  </w14:solidFill>
                </w14:textFill>
              </w:rPr>
            </m:ctrlPr>
          </m:sSubPr>
          <m:e>
            <m:r>
              <m:rPr>
                <m:sty m:val="p"/>
              </m:rPr>
              <w:rPr>
                <w:rFonts w:ascii="Cambria Math" w:hAnsi="宋体"/>
                <w:color w:val="000000" w:themeColor="text1"/>
                <w:sz w:val="24"/>
                <w:szCs w:val="24"/>
                <w14:textFill>
                  <w14:solidFill>
                    <w14:schemeClr w14:val="tx1"/>
                  </w14:solidFill>
                </w14:textFill>
              </w:rPr>
              <m:t>f</m:t>
            </m:r>
            <m:ctrlPr>
              <w:rPr>
                <w:rFonts w:ascii="Cambria Math" w:hAnsi="宋体"/>
                <w:i/>
                <w:color w:val="000000" w:themeColor="text1"/>
                <w:sz w:val="24"/>
                <w:szCs w:val="24"/>
                <w14:textFill>
                  <w14:solidFill>
                    <w14:schemeClr w14:val="tx1"/>
                  </w14:solidFill>
                </w14:textFill>
              </w:rPr>
            </m:ctrlPr>
          </m:e>
          <m:sub>
            <m:r>
              <m:rPr>
                <m:sty m:val="p"/>
              </m:rPr>
              <w:rPr>
                <w:rFonts w:ascii="Cambria Math" w:hAnsi="宋体"/>
                <w:color w:val="000000" w:themeColor="text1"/>
                <w:sz w:val="24"/>
                <w:szCs w:val="24"/>
                <w14:textFill>
                  <w14:solidFill>
                    <w14:schemeClr w14:val="tx1"/>
                  </w14:solidFill>
                </w14:textFill>
              </w:rPr>
              <m:t>y</m:t>
            </m:r>
            <m:ctrlPr>
              <w:rPr>
                <w:rFonts w:ascii="Cambria Math" w:hAnsi="宋体"/>
                <w:i/>
                <w:color w:val="000000" w:themeColor="text1"/>
                <w:sz w:val="24"/>
                <w:szCs w:val="24"/>
                <w14:textFill>
                  <w14:solidFill>
                    <w14:schemeClr w14:val="tx1"/>
                  </w14:solidFill>
                </w14:textFill>
              </w:rPr>
            </m:ctrlPr>
          </m:sub>
        </m:sSub>
      </m:oMath>
      <w:r>
        <w:rPr>
          <w:rFonts w:ascii="宋体" w:hAnsi="宋体"/>
          <w:color w:val="000000" w:themeColor="text1"/>
          <w:sz w:val="24"/>
          <w:szCs w:val="24"/>
          <w14:textFill>
            <w14:solidFill>
              <w14:schemeClr w14:val="tx1"/>
            </w14:solidFill>
          </w14:textFill>
        </w:rPr>
        <w:fldChar w:fldCharType="end"/>
      </w:r>
      <w:r>
        <w:rPr>
          <w:rFonts w:hint="eastAsia" w:ascii="宋体" w:hAnsi="宋体"/>
          <w:color w:val="000000" w:themeColor="text1"/>
          <w:sz w:val="24"/>
          <w:szCs w:val="24"/>
          <w14:textFill>
            <w14:solidFill>
              <w14:schemeClr w14:val="tx1"/>
            </w14:solidFill>
          </w14:textFill>
        </w:rPr>
        <w:t>为竖向钢筋抗拉强度设计值；</w:t>
      </w:r>
      <m:oMath>
        <m:r>
          <m:rPr/>
          <w:rPr>
            <w:rFonts w:ascii="Cambria Math" w:hAnsi="宋体"/>
            <w:color w:val="000000" w:themeColor="text1"/>
            <w:sz w:val="24"/>
            <w:szCs w:val="24"/>
            <w14:textFill>
              <w14:solidFill>
                <w14:schemeClr w14:val="tx1"/>
              </w14:solidFill>
            </w14:textFill>
          </w:rPr>
          <m:t>N</m:t>
        </m:r>
      </m:oMath>
      <w:r>
        <w:rPr>
          <w:rFonts w:hint="eastAsia" w:ascii="宋体" w:hAnsi="宋体"/>
          <w:color w:val="000000" w:themeColor="text1"/>
          <w:sz w:val="24"/>
          <w:szCs w:val="24"/>
          <w14:textFill>
            <w14:solidFill>
              <w14:schemeClr w14:val="tx1"/>
            </w14:solidFill>
          </w14:textFill>
        </w:rPr>
        <w:t xml:space="preserve">为考虑地震作用组合的轴向设计值，拉力为负值。 </w:t>
      </w:r>
    </w:p>
    <w:p>
      <w:pPr>
        <w:snapToGrid w:val="0"/>
        <w:spacing w:line="240" w:lineRule="auto"/>
        <w:ind w:left="1440" w:hanging="1440" w:hangingChars="600"/>
        <w:rPr>
          <w:rFonts w:ascii="Times New Roman" w:hAnsi="Times New Roman"/>
          <w:color w:val="000000" w:themeColor="text1"/>
          <w:sz w:val="24"/>
          <w:szCs w:val="24"/>
          <w:lang w:val="en-GB"/>
          <w14:textFill>
            <w14:solidFill>
              <w14:schemeClr w14:val="tx1"/>
            </w14:solidFill>
          </w14:textFill>
        </w:rPr>
      </w:pPr>
    </w:p>
    <w:p>
      <w:pPr>
        <w:pStyle w:val="61"/>
        <w:rPr>
          <w:rFonts w:hAnsi="Times New Roman"/>
          <w:color w:val="000000" w:themeColor="text1"/>
          <w:lang w:eastAsia="zh-CN"/>
          <w14:textFill>
            <w14:solidFill>
              <w14:schemeClr w14:val="tx1"/>
            </w14:solidFill>
          </w14:textFill>
        </w:rPr>
      </w:pPr>
      <w:bookmarkStart w:id="34" w:name="_Toc24714206"/>
      <w:r>
        <w:rPr>
          <w:rFonts w:hint="eastAsia"/>
          <w:color w:val="000000" w:themeColor="text1"/>
          <w:lang w:eastAsia="zh-CN"/>
          <w14:textFill>
            <w14:solidFill>
              <w14:schemeClr w14:val="tx1"/>
            </w14:solidFill>
          </w14:textFill>
        </w:rPr>
        <w:t>罕遇地震作用下</w:t>
      </w:r>
      <w:r>
        <w:rPr>
          <w:color w:val="000000" w:themeColor="text1"/>
          <w:lang w:eastAsia="zh-CN"/>
          <w14:textFill>
            <w14:solidFill>
              <w14:schemeClr w14:val="tx1"/>
            </w14:solidFill>
          </w14:textFill>
        </w:rPr>
        <w:t>静力推覆分析</w:t>
      </w:r>
      <w:bookmarkEnd w:id="34"/>
    </w:p>
    <w:p>
      <w:pPr>
        <w:pStyle w:val="119"/>
        <w:rPr>
          <w:color w:val="000000" w:themeColor="text1"/>
          <w:lang w:eastAsia="zh-CN"/>
          <w14:textFill>
            <w14:solidFill>
              <w14:schemeClr w14:val="tx1"/>
            </w14:solidFill>
          </w14:textFill>
        </w:rPr>
      </w:pPr>
      <w:bookmarkStart w:id="35" w:name="_Toc379895639"/>
      <w:r>
        <w:rPr>
          <w:color w:val="000000" w:themeColor="text1"/>
          <w:lang w:eastAsia="zh-CN"/>
          <w14:textFill>
            <w14:solidFill>
              <w14:schemeClr w14:val="tx1"/>
            </w14:solidFill>
          </w14:textFill>
        </w:rPr>
        <w:t> </w:t>
      </w:r>
      <w:r>
        <w:rPr>
          <w:rFonts w:hint="eastAsia"/>
          <w:color w:val="000000" w:themeColor="text1"/>
          <w:lang w:eastAsia="zh-CN"/>
          <w14:textFill>
            <w14:solidFill>
              <w14:schemeClr w14:val="tx1"/>
            </w14:solidFill>
          </w14:textFill>
        </w:rPr>
        <w:t>以下</w:t>
      </w:r>
      <w:r>
        <w:rPr>
          <w:color w:val="000000" w:themeColor="text1"/>
          <w:lang w:eastAsia="zh-CN"/>
          <w14:textFill>
            <w14:solidFill>
              <w14:schemeClr w14:val="tx1"/>
            </w14:solidFill>
          </w14:textFill>
        </w:rPr>
        <w:t>高层建筑宜采用弹塑性静力</w:t>
      </w:r>
      <w:r>
        <w:rPr>
          <w:rFonts w:hint="eastAsia"/>
          <w:color w:val="000000" w:themeColor="text1"/>
          <w:lang w:eastAsia="zh-CN"/>
          <w14:textFill>
            <w14:solidFill>
              <w14:schemeClr w14:val="tx1"/>
            </w14:solidFill>
          </w14:textFill>
        </w:rPr>
        <w:t>推覆</w:t>
      </w:r>
      <w:r>
        <w:rPr>
          <w:color w:val="000000" w:themeColor="text1"/>
          <w:lang w:eastAsia="zh-CN"/>
          <w14:textFill>
            <w14:solidFill>
              <w14:schemeClr w14:val="tx1"/>
            </w14:solidFill>
          </w14:textFill>
        </w:rPr>
        <w:t>分析方法进行罕遇地震作用下的结构分析</w:t>
      </w:r>
      <w:r>
        <w:rPr>
          <w:rFonts w:hint="eastAsia"/>
          <w:color w:val="000000" w:themeColor="text1"/>
          <w:lang w:eastAsia="zh-CN"/>
          <w14:textFill>
            <w14:solidFill>
              <w14:schemeClr w14:val="tx1"/>
            </w14:solidFill>
          </w14:textFill>
        </w:rPr>
        <w:t>，</w:t>
      </w:r>
      <w:bookmarkEnd w:id="35"/>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  基本对称的单幢高层建筑；</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  结构高度小于150m的高层建筑；</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3  第一振型基底剪力不小于总基底剪力60%的结构；</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4  楼盖满足平面刚性假定的结构。</w:t>
      </w:r>
    </w:p>
    <w:p>
      <w:pPr>
        <w:pStyle w:val="119"/>
        <w:rPr>
          <w:rFonts w:hAnsi="Times New Roman"/>
          <w:color w:val="000000" w:themeColor="text1"/>
          <w:lang w:eastAsia="zh-CN"/>
          <w14:textFill>
            <w14:solidFill>
              <w14:schemeClr w14:val="tx1"/>
            </w14:solidFill>
          </w14:textFill>
        </w:rPr>
      </w:pPr>
      <w:bookmarkStart w:id="36" w:name="_Toc379895640"/>
      <w:r>
        <w:rPr>
          <w:rFonts w:hAnsi="Times New Roman"/>
          <w:color w:val="000000" w:themeColor="text1"/>
          <w:lang w:eastAsia="zh-CN"/>
          <w14:textFill>
            <w14:solidFill>
              <w14:schemeClr w14:val="tx1"/>
            </w14:solidFill>
          </w14:textFill>
        </w:rPr>
        <w:t> </w:t>
      </w:r>
      <w:r>
        <w:rPr>
          <w:color w:val="000000" w:themeColor="text1"/>
          <w:lang w:eastAsia="zh-CN"/>
          <w14:textFill>
            <w14:solidFill>
              <w14:schemeClr w14:val="tx1"/>
            </w14:solidFill>
          </w14:textFill>
        </w:rPr>
        <w:t>采用弹塑性静力法分析时，宜符合下列规定：</w:t>
      </w:r>
      <w:bookmarkEnd w:id="36"/>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 xml:space="preserve">  侧向荷载</w:t>
      </w:r>
      <w:r>
        <w:rPr>
          <w:rFonts w:hint="eastAsia" w:ascii="Times New Roman" w:hAnsi="Times New Roman"/>
          <w:color w:val="000000" w:themeColor="text1"/>
          <w:sz w:val="24"/>
          <w:szCs w:val="24"/>
          <w14:textFill>
            <w14:solidFill>
              <w14:schemeClr w14:val="tx1"/>
            </w14:solidFill>
          </w14:textFill>
        </w:rPr>
        <w:t>分布的选择宜做到多遇地震性能点下的计算结果与CQC法基本一致；</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  侧力荷载采用层核定层剪力法时，采用以下公式计算</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m:oMath>
        <m:sSub>
          <m:sSubPr>
            <m:ctrlPr>
              <w:rPr>
                <w:rFonts w:ascii="Cambria Math" w:hAnsi="Times New Roman"/>
                <w:i/>
                <w:color w:val="000000" w:themeColor="text1"/>
                <w:sz w:val="24"/>
                <w:szCs w:val="24"/>
                <w14:textFill>
                  <w14:solidFill>
                    <w14:schemeClr w14:val="tx1"/>
                  </w14:solidFill>
                </w14:textFill>
              </w:rPr>
            </m:ctrlPr>
          </m:sSubPr>
          <m:e>
            <m:r>
              <m:rPr/>
              <w:rPr>
                <w:rFonts w:ascii="Cambria Math" w:hAnsi="Times New Roman"/>
                <w:color w:val="000000" w:themeColor="text1"/>
                <w:sz w:val="24"/>
                <w:szCs w:val="24"/>
                <w14:textFill>
                  <w14:solidFill>
                    <w14:schemeClr w14:val="tx1"/>
                  </w14:solidFill>
                </w14:textFill>
              </w:rPr>
              <m:t>P</m:t>
            </m:r>
            <m:ctrlPr>
              <w:rPr>
                <w:rFonts w:ascii="Cambria Math" w:hAnsi="Times New Roman"/>
                <w:i/>
                <w:color w:val="000000" w:themeColor="text1"/>
                <w:sz w:val="24"/>
                <w:szCs w:val="24"/>
                <w14:textFill>
                  <w14:solidFill>
                    <w14:schemeClr w14:val="tx1"/>
                  </w14:solidFill>
                </w14:textFill>
              </w:rPr>
            </m:ctrlPr>
          </m:e>
          <m:sub>
            <m:r>
              <m:rPr/>
              <w:rPr>
                <w:rFonts w:ascii="Cambria Math" w:hAnsi="Times New Roman"/>
                <w:color w:val="000000" w:themeColor="text1"/>
                <w:sz w:val="24"/>
                <w:szCs w:val="24"/>
                <w14:textFill>
                  <w14:solidFill>
                    <w14:schemeClr w14:val="tx1"/>
                  </w14:solidFill>
                </w14:textFill>
              </w:rPr>
              <m:t>i</m:t>
            </m:r>
            <m:ctrlPr>
              <w:rPr>
                <w:rFonts w:ascii="Cambria Math" w:hAnsi="Times New Roman"/>
                <w:i/>
                <w:color w:val="000000" w:themeColor="text1"/>
                <w:sz w:val="24"/>
                <w:szCs w:val="24"/>
                <w14:textFill>
                  <w14:solidFill>
                    <w14:schemeClr w14:val="tx1"/>
                  </w14:solidFill>
                </w14:textFill>
              </w:rPr>
            </m:ctrlPr>
          </m:sub>
        </m:sSub>
        <m:r>
          <m:rPr/>
          <w:rPr>
            <w:rFonts w:ascii="Cambria Math" w:hAnsi="Times New Roman"/>
            <w:color w:val="000000" w:themeColor="text1"/>
            <w:sz w:val="24"/>
            <w:szCs w:val="24"/>
            <w14:textFill>
              <w14:solidFill>
                <w14:schemeClr w14:val="tx1"/>
              </w14:solidFill>
            </w14:textFill>
          </w:rPr>
          <m:t>=</m:t>
        </m:r>
        <m:sSub>
          <m:sSubPr>
            <m:ctrlPr>
              <w:rPr>
                <w:rFonts w:ascii="Cambria Math" w:hAnsi="Times New Roman"/>
                <w:i/>
                <w:color w:val="000000" w:themeColor="text1"/>
                <w:sz w:val="24"/>
                <w:szCs w:val="24"/>
                <w14:textFill>
                  <w14:solidFill>
                    <w14:schemeClr w14:val="tx1"/>
                  </w14:solidFill>
                </w14:textFill>
              </w:rPr>
            </m:ctrlPr>
          </m:sSubPr>
          <m:e>
            <m:r>
              <m:rPr/>
              <w:rPr>
                <w:rFonts w:ascii="Cambria Math" w:hAnsi="Times New Roman"/>
                <w:color w:val="000000" w:themeColor="text1"/>
                <w:sz w:val="24"/>
                <w:szCs w:val="24"/>
                <w14:textFill>
                  <w14:solidFill>
                    <w14:schemeClr w14:val="tx1"/>
                  </w14:solidFill>
                </w14:textFill>
              </w:rPr>
              <m:t>Q</m:t>
            </m:r>
            <m:ctrlPr>
              <w:rPr>
                <w:rFonts w:ascii="Cambria Math" w:hAnsi="Times New Roman"/>
                <w:i/>
                <w:color w:val="000000" w:themeColor="text1"/>
                <w:sz w:val="24"/>
                <w:szCs w:val="24"/>
                <w14:textFill>
                  <w14:solidFill>
                    <w14:schemeClr w14:val="tx1"/>
                  </w14:solidFill>
                </w14:textFill>
              </w:rPr>
            </m:ctrlPr>
          </m:e>
          <m:sub>
            <m:r>
              <m:rPr/>
              <w:rPr>
                <w:rFonts w:ascii="Cambria Math" w:hAnsi="Times New Roman"/>
                <w:color w:val="000000" w:themeColor="text1"/>
                <w:sz w:val="24"/>
                <w:szCs w:val="24"/>
                <w14:textFill>
                  <w14:solidFill>
                    <w14:schemeClr w14:val="tx1"/>
                  </w14:solidFill>
                </w14:textFill>
              </w:rPr>
              <m:t>i</m:t>
            </m:r>
            <m:ctrlPr>
              <w:rPr>
                <w:rFonts w:ascii="Cambria Math" w:hAnsi="Times New Roman"/>
                <w:i/>
                <w:color w:val="000000" w:themeColor="text1"/>
                <w:sz w:val="24"/>
                <w:szCs w:val="24"/>
                <w14:textFill>
                  <w14:solidFill>
                    <w14:schemeClr w14:val="tx1"/>
                  </w14:solidFill>
                </w14:textFill>
              </w:rPr>
            </m:ctrlPr>
          </m:sub>
        </m:sSub>
        <m:r>
          <m:rPr/>
          <w:rPr>
            <w:rFonts w:ascii="Cambria Math" w:hAnsi="Times New Roman"/>
            <w:color w:val="000000" w:themeColor="text1"/>
            <w:sz w:val="24"/>
            <w:szCs w:val="24"/>
            <w14:textFill>
              <w14:solidFill>
                <w14:schemeClr w14:val="tx1"/>
              </w14:solidFill>
            </w14:textFill>
          </w:rPr>
          <m:t>−</m:t>
        </m:r>
        <m:sSub>
          <m:sSubPr>
            <m:ctrlPr>
              <w:rPr>
                <w:rFonts w:ascii="Cambria Math" w:hAnsi="Times New Roman"/>
                <w:i/>
                <w:color w:val="000000" w:themeColor="text1"/>
                <w:sz w:val="24"/>
                <w:szCs w:val="24"/>
                <w14:textFill>
                  <w14:solidFill>
                    <w14:schemeClr w14:val="tx1"/>
                  </w14:solidFill>
                </w14:textFill>
              </w:rPr>
            </m:ctrlPr>
          </m:sSubPr>
          <m:e>
            <m:r>
              <m:rPr/>
              <w:rPr>
                <w:rFonts w:ascii="Cambria Math" w:hAnsi="Times New Roman"/>
                <w:color w:val="000000" w:themeColor="text1"/>
                <w:sz w:val="24"/>
                <w:szCs w:val="24"/>
                <w14:textFill>
                  <w14:solidFill>
                    <w14:schemeClr w14:val="tx1"/>
                  </w14:solidFill>
                </w14:textFill>
              </w:rPr>
              <m:t>Q</m:t>
            </m:r>
            <m:ctrlPr>
              <w:rPr>
                <w:rFonts w:ascii="Cambria Math" w:hAnsi="Times New Roman"/>
                <w:i/>
                <w:color w:val="000000" w:themeColor="text1"/>
                <w:sz w:val="24"/>
                <w:szCs w:val="24"/>
                <w14:textFill>
                  <w14:solidFill>
                    <w14:schemeClr w14:val="tx1"/>
                  </w14:solidFill>
                </w14:textFill>
              </w:rPr>
            </m:ctrlPr>
          </m:e>
          <m:sub>
            <m:r>
              <m:rPr/>
              <w:rPr>
                <w:rFonts w:ascii="Cambria Math" w:hAnsi="Times New Roman"/>
                <w:color w:val="000000" w:themeColor="text1"/>
                <w:sz w:val="24"/>
                <w:szCs w:val="24"/>
                <w14:textFill>
                  <w14:solidFill>
                    <w14:schemeClr w14:val="tx1"/>
                  </w14:solidFill>
                </w14:textFill>
              </w:rPr>
              <m:t>i+1</m:t>
            </m:r>
            <m:ctrlPr>
              <w:rPr>
                <w:rFonts w:ascii="Cambria Math" w:hAnsi="Times New Roman"/>
                <w:i/>
                <w:color w:val="000000" w:themeColor="text1"/>
                <w:sz w:val="24"/>
                <w:szCs w:val="24"/>
                <w14:textFill>
                  <w14:solidFill>
                    <w14:schemeClr w14:val="tx1"/>
                  </w14:solidFill>
                </w14:textFill>
              </w:rPr>
            </m:ctrlPr>
          </m:sub>
        </m:sSub>
      </m:oMath>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6.7.</w:t>
      </w:r>
      <w:r>
        <w:rPr>
          <w:rFonts w:ascii="Times New Roman" w:hAnsi="Times New Roman"/>
          <w:color w:val="000000" w:themeColor="text1"/>
          <w:sz w:val="24"/>
          <w:szCs w:val="24"/>
          <w14:textFill>
            <w14:solidFill>
              <w14:schemeClr w14:val="tx1"/>
            </w14:solidFill>
          </w14:textFill>
        </w:rPr>
        <w:t>2-1</w:t>
      </w:r>
      <w:r>
        <w:rPr>
          <w:rFonts w:ascii="Times New Roman" w:hAnsi="宋体"/>
          <w:color w:val="000000" w:themeColor="text1"/>
          <w:sz w:val="24"/>
          <w:szCs w:val="24"/>
          <w14:textFill>
            <w14:solidFill>
              <w14:schemeClr w14:val="tx1"/>
            </w14:solidFill>
          </w14:textFill>
        </w:rPr>
        <w:t>）</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m:oMath>
        <m:sSub>
          <m:sSubPr>
            <m:ctrlPr>
              <w:rPr>
                <w:rFonts w:ascii="Cambria Math" w:hAnsi="Times New Roman"/>
                <w:i/>
                <w:color w:val="000000" w:themeColor="text1"/>
                <w:sz w:val="24"/>
                <w:szCs w:val="24"/>
                <w14:textFill>
                  <w14:solidFill>
                    <w14:schemeClr w14:val="tx1"/>
                  </w14:solidFill>
                </w14:textFill>
              </w:rPr>
            </m:ctrlPr>
          </m:sSubPr>
          <m:e>
            <m:r>
              <m:rPr/>
              <w:rPr>
                <w:rFonts w:ascii="Cambria Math" w:hAnsi="Times New Roman"/>
                <w:color w:val="000000" w:themeColor="text1"/>
                <w:sz w:val="24"/>
                <w:szCs w:val="24"/>
                <w14:textFill>
                  <w14:solidFill>
                    <w14:schemeClr w14:val="tx1"/>
                  </w14:solidFill>
                </w14:textFill>
              </w:rPr>
              <m:t>Q</m:t>
            </m:r>
            <m:ctrlPr>
              <w:rPr>
                <w:rFonts w:ascii="Cambria Math" w:hAnsi="Times New Roman"/>
                <w:i/>
                <w:color w:val="000000" w:themeColor="text1"/>
                <w:sz w:val="24"/>
                <w:szCs w:val="24"/>
                <w14:textFill>
                  <w14:solidFill>
                    <w14:schemeClr w14:val="tx1"/>
                  </w14:solidFill>
                </w14:textFill>
              </w:rPr>
            </m:ctrlPr>
          </m:e>
          <m:sub>
            <m:r>
              <m:rPr/>
              <w:rPr>
                <w:rFonts w:ascii="Cambria Math" w:hAnsi="Times New Roman"/>
                <w:color w:val="000000" w:themeColor="text1"/>
                <w:sz w:val="24"/>
                <w:szCs w:val="24"/>
                <w14:textFill>
                  <w14:solidFill>
                    <w14:schemeClr w14:val="tx1"/>
                  </w14:solidFill>
                </w14:textFill>
              </w:rPr>
              <m:t>i</m:t>
            </m:r>
            <m:ctrlPr>
              <w:rPr>
                <w:rFonts w:ascii="Cambria Math" w:hAnsi="Times New Roman"/>
                <w:i/>
                <w:color w:val="000000" w:themeColor="text1"/>
                <w:sz w:val="24"/>
                <w:szCs w:val="24"/>
                <w14:textFill>
                  <w14:solidFill>
                    <w14:schemeClr w14:val="tx1"/>
                  </w14:solidFill>
                </w14:textFill>
              </w:rPr>
            </m:ctrlPr>
          </m:sub>
        </m:sSub>
        <m:r>
          <m:rPr/>
          <w:rPr>
            <w:rFonts w:ascii="Cambria Math" w:hAnsi="Times New Roman"/>
            <w:color w:val="000000" w:themeColor="text1"/>
            <w:sz w:val="24"/>
            <w:szCs w:val="24"/>
            <w14:textFill>
              <w14:solidFill>
                <w14:schemeClr w14:val="tx1"/>
              </w14:solidFill>
            </w14:textFill>
          </w:rPr>
          <m:t>=</m:t>
        </m:r>
        <m:rad>
          <m:radPr>
            <m:degHide m:val="true"/>
            <m:ctrlPr>
              <w:rPr>
                <w:rFonts w:ascii="Cambria Math" w:hAnsi="Times New Roman"/>
                <w:i/>
                <w:color w:val="000000" w:themeColor="text1"/>
                <w:sz w:val="24"/>
                <w:szCs w:val="24"/>
                <w14:textFill>
                  <w14:solidFill>
                    <w14:schemeClr w14:val="tx1"/>
                  </w14:solidFill>
                </w14:textFill>
              </w:rPr>
            </m:ctrlPr>
          </m:radPr>
          <m:deg>
            <m:ctrlPr>
              <w:rPr>
                <w:rFonts w:ascii="Cambria Math" w:hAnsi="Times New Roman"/>
                <w:i/>
                <w:color w:val="000000" w:themeColor="text1"/>
                <w:sz w:val="24"/>
                <w:szCs w:val="24"/>
                <w14:textFill>
                  <w14:solidFill>
                    <w14:schemeClr w14:val="tx1"/>
                  </w14:solidFill>
                </w14:textFill>
              </w:rPr>
            </m:ctrlPr>
          </m:deg>
          <m:e>
            <m:nary>
              <m:naryPr>
                <m:chr m:val="∑"/>
                <m:ctrlPr>
                  <w:rPr>
                    <w:rFonts w:ascii="Cambria Math" w:hAnsi="Times New Roman"/>
                    <w:i/>
                    <w:color w:val="000000" w:themeColor="text1"/>
                    <w:sz w:val="24"/>
                    <w:szCs w:val="24"/>
                    <w14:textFill>
                      <w14:solidFill>
                        <w14:schemeClr w14:val="tx1"/>
                      </w14:solidFill>
                    </w14:textFill>
                  </w:rPr>
                </m:ctrlPr>
              </m:naryPr>
              <m:sub>
                <m:r>
                  <m:rPr/>
                  <w:rPr>
                    <w:rFonts w:ascii="Cambria Math" w:hAnsi="Times New Roman"/>
                    <w:color w:val="000000" w:themeColor="text1"/>
                    <w:sz w:val="24"/>
                    <w:szCs w:val="24"/>
                    <w14:textFill>
                      <w14:solidFill>
                        <w14:schemeClr w14:val="tx1"/>
                      </w14:solidFill>
                    </w14:textFill>
                  </w:rPr>
                  <m:t>j=1</m:t>
                </m:r>
                <m:ctrlPr>
                  <w:rPr>
                    <w:rFonts w:ascii="Cambria Math" w:hAnsi="Times New Roman"/>
                    <w:i/>
                    <w:color w:val="000000" w:themeColor="text1"/>
                    <w:sz w:val="24"/>
                    <w:szCs w:val="24"/>
                    <w14:textFill>
                      <w14:solidFill>
                        <w14:schemeClr w14:val="tx1"/>
                      </w14:solidFill>
                    </w14:textFill>
                  </w:rPr>
                </m:ctrlPr>
              </m:sub>
              <m:sup>
                <m:r>
                  <m:rPr/>
                  <w:rPr>
                    <w:rFonts w:ascii="Cambria Math" w:hAnsi="Times New Roman"/>
                    <w:color w:val="000000" w:themeColor="text1"/>
                    <w:sz w:val="24"/>
                    <w:szCs w:val="24"/>
                    <w14:textFill>
                      <w14:solidFill>
                        <w14:schemeClr w14:val="tx1"/>
                      </w14:solidFill>
                    </w14:textFill>
                  </w:rPr>
                  <m:t>n</m:t>
                </m:r>
                <m:ctrlPr>
                  <w:rPr>
                    <w:rFonts w:ascii="Cambria Math" w:hAnsi="Times New Roman"/>
                    <w:i/>
                    <w:color w:val="000000" w:themeColor="text1"/>
                    <w:sz w:val="24"/>
                    <w:szCs w:val="24"/>
                    <w14:textFill>
                      <w14:solidFill>
                        <w14:schemeClr w14:val="tx1"/>
                      </w14:solidFill>
                    </w14:textFill>
                  </w:rPr>
                </m:ctrlPr>
              </m:sup>
              <m:e>
                <m:sSubSup>
                  <m:sSubSupPr>
                    <m:ctrlPr>
                      <w:rPr>
                        <w:rFonts w:ascii="Cambria Math" w:hAnsi="Times New Roman"/>
                        <w:i/>
                        <w:color w:val="000000" w:themeColor="text1"/>
                        <w:sz w:val="24"/>
                        <w:szCs w:val="24"/>
                        <w14:textFill>
                          <w14:solidFill>
                            <w14:schemeClr w14:val="tx1"/>
                          </w14:solidFill>
                        </w14:textFill>
                      </w:rPr>
                    </m:ctrlPr>
                  </m:sSubSupPr>
                  <m:e>
                    <m:r>
                      <m:rPr/>
                      <w:rPr>
                        <w:rFonts w:ascii="Cambria Math" w:hAnsi="Times New Roman"/>
                        <w:color w:val="000000" w:themeColor="text1"/>
                        <w:sz w:val="24"/>
                        <w:szCs w:val="24"/>
                        <w14:textFill>
                          <w14:solidFill>
                            <w14:schemeClr w14:val="tx1"/>
                          </w14:solidFill>
                        </w14:textFill>
                      </w:rPr>
                      <m:t>Q</m:t>
                    </m:r>
                    <m:ctrlPr>
                      <w:rPr>
                        <w:rFonts w:ascii="Cambria Math" w:hAnsi="Times New Roman"/>
                        <w:i/>
                        <w:color w:val="000000" w:themeColor="text1"/>
                        <w:sz w:val="24"/>
                        <w:szCs w:val="24"/>
                        <w14:textFill>
                          <w14:solidFill>
                            <w14:schemeClr w14:val="tx1"/>
                          </w14:solidFill>
                        </w14:textFill>
                      </w:rPr>
                    </m:ctrlPr>
                  </m:e>
                  <m:sub>
                    <m:r>
                      <m:rPr/>
                      <w:rPr>
                        <w:rFonts w:ascii="Cambria Math" w:hAnsi="Times New Roman"/>
                        <w:color w:val="000000" w:themeColor="text1"/>
                        <w:sz w:val="24"/>
                        <w:szCs w:val="24"/>
                        <w14:textFill>
                          <w14:solidFill>
                            <w14:schemeClr w14:val="tx1"/>
                          </w14:solidFill>
                        </w14:textFill>
                      </w:rPr>
                      <m:t>ji</m:t>
                    </m:r>
                    <m:ctrlPr>
                      <w:rPr>
                        <w:rFonts w:ascii="Cambria Math" w:hAnsi="Times New Roman"/>
                        <w:i/>
                        <w:color w:val="000000" w:themeColor="text1"/>
                        <w:sz w:val="24"/>
                        <w:szCs w:val="24"/>
                        <w14:textFill>
                          <w14:solidFill>
                            <w14:schemeClr w14:val="tx1"/>
                          </w14:solidFill>
                        </w14:textFill>
                      </w:rPr>
                    </m:ctrlPr>
                  </m:sub>
                  <m:sup>
                    <m:r>
                      <m:rPr/>
                      <w:rPr>
                        <w:rFonts w:ascii="Cambria Math" w:hAnsi="Times New Roman"/>
                        <w:color w:val="000000" w:themeColor="text1"/>
                        <w:sz w:val="24"/>
                        <w:szCs w:val="24"/>
                        <w14:textFill>
                          <w14:solidFill>
                            <w14:schemeClr w14:val="tx1"/>
                          </w14:solidFill>
                        </w14:textFill>
                      </w:rPr>
                      <m:t>2</m:t>
                    </m:r>
                    <m:ctrlPr>
                      <w:rPr>
                        <w:rFonts w:ascii="Cambria Math" w:hAnsi="Times New Roman"/>
                        <w:i/>
                        <w:color w:val="000000" w:themeColor="text1"/>
                        <w:sz w:val="24"/>
                        <w:szCs w:val="24"/>
                        <w14:textFill>
                          <w14:solidFill>
                            <w14:schemeClr w14:val="tx1"/>
                          </w14:solidFill>
                        </w14:textFill>
                      </w:rPr>
                    </m:ctrlPr>
                  </m:sup>
                </m:sSubSup>
                <m:ctrlPr>
                  <w:rPr>
                    <w:rFonts w:ascii="Cambria Math" w:hAnsi="Cambria Math"/>
                    <w:i/>
                    <w:color w:val="000000" w:themeColor="text1"/>
                    <w:sz w:val="24"/>
                    <w:szCs w:val="24"/>
                    <w14:textFill>
                      <w14:solidFill>
                        <w14:schemeClr w14:val="tx1"/>
                      </w14:solidFill>
                    </w14:textFill>
                  </w:rPr>
                </m:ctrlPr>
              </m:e>
            </m:nary>
            <m:ctrlPr>
              <w:rPr>
                <w:rFonts w:ascii="Cambria Math" w:hAnsi="Cambria Math"/>
                <w:i/>
                <w:color w:val="000000" w:themeColor="text1"/>
                <w:sz w:val="24"/>
                <w:szCs w:val="24"/>
                <w14:textFill>
                  <w14:solidFill>
                    <w14:schemeClr w14:val="tx1"/>
                  </w14:solidFill>
                </w14:textFill>
              </w:rPr>
            </m:ctrlPr>
          </m:e>
        </m:rad>
      </m:oMath>
      <w:r>
        <w:rPr>
          <w:rFonts w:ascii="Times New Roman" w:hAnsi="Times New Roman"/>
          <w:color w:val="000000" w:themeColor="text1"/>
          <w:sz w:val="24"/>
          <w:szCs w:val="24"/>
          <w14:textFill>
            <w14:solidFill>
              <w14:schemeClr w14:val="tx1"/>
            </w14:solidFill>
          </w14:textFill>
        </w:rPr>
        <w:t xml:space="preserve">                                        </w:t>
      </w:r>
      <w:r>
        <w:rPr>
          <w:rFonts w:ascii="Times New Roman" w:hAnsi="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6.7.</w:t>
      </w:r>
      <w:r>
        <w:rPr>
          <w:rFonts w:ascii="Times New Roman" w:hAnsi="Times New Roman"/>
          <w:color w:val="000000" w:themeColor="text1"/>
          <w:sz w:val="24"/>
          <w:szCs w:val="24"/>
          <w14:textFill>
            <w14:solidFill>
              <w14:schemeClr w14:val="tx1"/>
            </w14:solidFill>
          </w14:textFill>
        </w:rPr>
        <w:t>2-2</w:t>
      </w:r>
      <w:r>
        <w:rPr>
          <w:rFonts w:ascii="Times New Roman" w:hAnsi="宋体"/>
          <w:color w:val="000000" w:themeColor="text1"/>
          <w:sz w:val="24"/>
          <w:szCs w:val="24"/>
          <w14:textFill>
            <w14:solidFill>
              <w14:schemeClr w14:val="tx1"/>
            </w14:solidFill>
          </w14:textFill>
        </w:rPr>
        <w:t>）</w:t>
      </w:r>
    </w:p>
    <w:p>
      <w:pPr>
        <w:spacing w:line="240" w:lineRule="auto"/>
        <w:ind w:left="0"/>
        <w:rPr>
          <w:rFonts w:ascii="Times New Roman" w:hAnsi="宋体"/>
          <w:color w:val="000000" w:themeColor="text1"/>
          <w:sz w:val="24"/>
          <w:szCs w:val="24"/>
          <w14:textFill>
            <w14:solidFill>
              <w14:schemeClr w14:val="tx1"/>
            </w14:solidFill>
          </w14:textFill>
        </w:rPr>
      </w:pPr>
      <w:r>
        <w:rPr>
          <w:rFonts w:ascii="Times New Roman" w:hAnsi="宋体"/>
          <w:color w:val="000000" w:themeColor="text1"/>
          <w:sz w:val="24"/>
          <w:szCs w:val="24"/>
          <w14:textFill>
            <w14:solidFill>
              <w14:schemeClr w14:val="tx1"/>
            </w14:solidFill>
          </w14:textFill>
        </w:rPr>
        <w:t>式中</w:t>
      </w:r>
      <w:r>
        <w:rPr>
          <w:rFonts w:ascii="Times New Roman" w:hAnsi="Times New Roman"/>
          <w:color w:val="000000" w:themeColor="text1"/>
          <w:sz w:val="24"/>
          <w:szCs w:val="24"/>
          <w14:textFill>
            <w14:solidFill>
              <w14:schemeClr w14:val="tx1"/>
            </w14:solidFill>
          </w14:textFill>
        </w:rPr>
        <w:t xml:space="preserve">  </w:t>
      </w:r>
      <m:oMath>
        <m:sSub>
          <m:sSubPr>
            <m:ctrlPr>
              <w:rPr>
                <w:rFonts w:ascii="Cambria Math" w:hAnsi="Times New Roman"/>
                <w:i/>
                <w:color w:val="000000" w:themeColor="text1"/>
                <w:sz w:val="24"/>
                <w:szCs w:val="24"/>
                <w14:textFill>
                  <w14:solidFill>
                    <w14:schemeClr w14:val="tx1"/>
                  </w14:solidFill>
                </w14:textFill>
              </w:rPr>
            </m:ctrlPr>
          </m:sSubPr>
          <m:e>
            <m:r>
              <m:rPr/>
              <w:rPr>
                <w:rFonts w:ascii="Cambria Math" w:hAnsi="Times New Roman"/>
                <w:color w:val="000000" w:themeColor="text1"/>
                <w:sz w:val="24"/>
                <w:szCs w:val="24"/>
                <w14:textFill>
                  <w14:solidFill>
                    <w14:schemeClr w14:val="tx1"/>
                  </w14:solidFill>
                </w14:textFill>
              </w:rPr>
              <m:t>P</m:t>
            </m:r>
            <m:ctrlPr>
              <w:rPr>
                <w:rFonts w:ascii="Cambria Math" w:hAnsi="Times New Roman"/>
                <w:i/>
                <w:color w:val="000000" w:themeColor="text1"/>
                <w:sz w:val="24"/>
                <w:szCs w:val="24"/>
                <w14:textFill>
                  <w14:solidFill>
                    <w14:schemeClr w14:val="tx1"/>
                  </w14:solidFill>
                </w14:textFill>
              </w:rPr>
            </m:ctrlPr>
          </m:e>
          <m:sub>
            <m:r>
              <m:rPr/>
              <w:rPr>
                <w:rFonts w:ascii="Cambria Math" w:hAnsi="Times New Roman"/>
                <w:color w:val="000000" w:themeColor="text1"/>
                <w:sz w:val="24"/>
                <w:szCs w:val="24"/>
                <w14:textFill>
                  <w14:solidFill>
                    <w14:schemeClr w14:val="tx1"/>
                  </w14:solidFill>
                </w14:textFill>
              </w:rPr>
              <m:t>i</m:t>
            </m:r>
            <m:ctrlPr>
              <w:rPr>
                <w:rFonts w:ascii="Cambria Math" w:hAnsi="Times New Roman"/>
                <w:i/>
                <w:color w:val="000000" w:themeColor="text1"/>
                <w:sz w:val="24"/>
                <w:szCs w:val="24"/>
                <w14:textFill>
                  <w14:solidFill>
                    <w14:schemeClr w14:val="tx1"/>
                  </w14:solidFill>
                </w14:textFill>
              </w:rPr>
            </m:ctrlPr>
          </m:sub>
        </m:sSub>
      </m:oMath>
      <w:r>
        <w:rPr>
          <w:rFonts w:ascii="Times New Roman" w:hAnsi="Times New Roman"/>
          <w:color w:val="000000" w:themeColor="text1"/>
          <w:sz w:val="24"/>
          <w:szCs w:val="24"/>
          <w14:textFill>
            <w14:solidFill>
              <w14:schemeClr w14:val="tx1"/>
            </w14:solidFill>
          </w14:textFill>
        </w:rPr>
        <w:t>——</w:t>
      </w:r>
      <w:r>
        <w:rPr>
          <w:rFonts w:ascii="Times New Roman" w:hAnsi="宋体"/>
          <w:color w:val="000000" w:themeColor="text1"/>
          <w:sz w:val="24"/>
          <w:szCs w:val="24"/>
          <w14:textFill>
            <w14:solidFill>
              <w14:schemeClr w14:val="tx1"/>
            </w14:solidFill>
          </w14:textFill>
        </w:rPr>
        <w:t>各楼层弹塑性静力分析时的侧向荷载；</w:t>
      </w:r>
      <w:bookmarkStart w:id="37" w:name="_Toc379895641"/>
    </w:p>
    <w:p>
      <w:pPr>
        <w:spacing w:line="240" w:lineRule="auto"/>
        <w:ind w:left="0"/>
        <w:rPr>
          <w:color w:val="000000" w:themeColor="text1"/>
          <w14:textFill>
            <w14:solidFill>
              <w14:schemeClr w14:val="tx1"/>
            </w14:solidFill>
          </w14:textFill>
        </w:rPr>
      </w:pPr>
      <w:r>
        <w:rPr>
          <w:rFonts w:hint="eastAsia" w:ascii="Times New Roman" w:hAnsi="宋体"/>
          <w:color w:val="000000" w:themeColor="text1"/>
          <w:sz w:val="24"/>
          <w:szCs w:val="24"/>
          <w14:textFill>
            <w14:solidFill>
              <w14:schemeClr w14:val="tx1"/>
            </w14:solidFill>
          </w14:textFill>
        </w:rPr>
        <w:t xml:space="preserve">     </w:t>
      </w:r>
      <w:r>
        <w:rPr>
          <w:color w:val="000000" w:themeColor="text1"/>
          <w14:textFill>
            <w14:solidFill>
              <w14:schemeClr w14:val="tx1"/>
            </w14:solidFill>
          </w14:textFill>
        </w:rPr>
        <w:object>
          <v:shape id="_x0000_i1051" o:spt="75" type="#_x0000_t75" style="height:18pt;width:16pt;" o:ole="t" filled="f" coordsize="21600,21600">
            <v:path/>
            <v:fill on="f" focussize="0,0"/>
            <v:stroke/>
            <v:imagedata r:id="rId61" o:title=""/>
            <o:lock v:ext="edit" aspectratio="t"/>
            <w10:wrap type="none"/>
            <w10:anchorlock/>
          </v:shape>
          <o:OLEObject Type="Embed" ProgID="Equation.3" ShapeID="_x0000_i1051" DrawAspect="Content" ObjectID="_1468075749" r:id="rId60">
            <o:LockedField>false</o:LockedField>
          </o:OLEObject>
        </w:object>
      </w:r>
      <w:r>
        <w:rPr>
          <w:color w:val="000000" w:themeColor="text1"/>
          <w14:textFill>
            <w14:solidFill>
              <w14:schemeClr w14:val="tx1"/>
            </w14:solidFill>
          </w14:textFill>
        </w:rPr>
        <w:t>——根据振型分解反应谱法求得结构各楼层地震作用剪力；</w:t>
      </w:r>
      <w:bookmarkEnd w:id="37"/>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n</w:t>
      </w:r>
      <w:r>
        <w:rPr>
          <w:rFonts w:ascii="Times New Roman" w:hAnsi="Times New Roman"/>
          <w:color w:val="000000" w:themeColor="text1"/>
          <w:sz w:val="24"/>
          <w:szCs w:val="24"/>
          <w14:textFill>
            <w14:solidFill>
              <w14:schemeClr w14:val="tx1"/>
            </w14:solidFill>
          </w14:textFill>
        </w:rPr>
        <w:t>——</w:t>
      </w:r>
      <w:r>
        <w:rPr>
          <w:rFonts w:ascii="Times New Roman" w:hAnsi="宋体"/>
          <w:color w:val="000000" w:themeColor="text1"/>
          <w:sz w:val="24"/>
          <w:szCs w:val="24"/>
          <w14:textFill>
            <w14:solidFill>
              <w14:schemeClr w14:val="tx1"/>
            </w14:solidFill>
          </w14:textFill>
        </w:rPr>
        <w:t>计算振型的个数；</w:t>
      </w:r>
    </w:p>
    <w:p>
      <w:pPr>
        <w:spacing w:line="240" w:lineRule="auto"/>
        <w:ind w:left="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      </w:t>
      </w:r>
      <m:oMath>
        <m:sSub>
          <m:sSubPr>
            <m:ctrlPr>
              <w:rPr>
                <w:rFonts w:ascii="Cambria Math" w:hAnsi="Times New Roman"/>
                <w:i/>
                <w:color w:val="000000" w:themeColor="text1"/>
                <w:sz w:val="24"/>
                <w:szCs w:val="24"/>
                <w14:textFill>
                  <w14:solidFill>
                    <w14:schemeClr w14:val="tx1"/>
                  </w14:solidFill>
                </w14:textFill>
              </w:rPr>
            </m:ctrlPr>
          </m:sSubPr>
          <m:e>
            <m:r>
              <m:rPr/>
              <w:rPr>
                <w:rFonts w:ascii="Cambria Math" w:hAnsi="Times New Roman"/>
                <w:color w:val="000000" w:themeColor="text1"/>
                <w:sz w:val="24"/>
                <w:szCs w:val="24"/>
                <w14:textFill>
                  <w14:solidFill>
                    <w14:schemeClr w14:val="tx1"/>
                  </w14:solidFill>
                </w14:textFill>
              </w:rPr>
              <m:t>Q</m:t>
            </m:r>
            <m:ctrlPr>
              <w:rPr>
                <w:rFonts w:ascii="Cambria Math" w:hAnsi="Times New Roman"/>
                <w:i/>
                <w:color w:val="000000" w:themeColor="text1"/>
                <w:sz w:val="24"/>
                <w:szCs w:val="24"/>
                <w14:textFill>
                  <w14:solidFill>
                    <w14:schemeClr w14:val="tx1"/>
                  </w14:solidFill>
                </w14:textFill>
              </w:rPr>
            </m:ctrlPr>
          </m:e>
          <m:sub>
            <m:r>
              <m:rPr/>
              <w:rPr>
                <w:rFonts w:ascii="Cambria Math" w:hAnsi="Times New Roman"/>
                <w:color w:val="000000" w:themeColor="text1"/>
                <w:sz w:val="24"/>
                <w:szCs w:val="24"/>
                <w14:textFill>
                  <w14:solidFill>
                    <w14:schemeClr w14:val="tx1"/>
                  </w14:solidFill>
                </w14:textFill>
              </w:rPr>
              <m:t>ji</m:t>
            </m:r>
            <m:ctrlPr>
              <w:rPr>
                <w:rFonts w:ascii="Cambria Math" w:hAnsi="Times New Roman"/>
                <w:i/>
                <w:color w:val="000000" w:themeColor="text1"/>
                <w:sz w:val="24"/>
                <w:szCs w:val="24"/>
                <w14:textFill>
                  <w14:solidFill>
                    <w14:schemeClr w14:val="tx1"/>
                  </w14:solidFill>
                </w14:textFill>
              </w:rPr>
            </m:ctrlPr>
          </m:sub>
        </m:sSub>
      </m:oMath>
      <w:r>
        <w:rPr>
          <w:rFonts w:ascii="Times New Roman" w:hAnsi="Times New Roman"/>
          <w:color w:val="000000" w:themeColor="text1"/>
          <w:sz w:val="24"/>
          <w:szCs w:val="24"/>
          <w14:textFill>
            <w14:solidFill>
              <w14:schemeClr w14:val="tx1"/>
            </w14:solidFill>
          </w14:textFill>
        </w:rPr>
        <w:t>——</w:t>
      </w:r>
      <w:r>
        <w:rPr>
          <w:rFonts w:ascii="Times New Roman" w:hAnsi="Times New Roman"/>
          <w:i/>
          <w:color w:val="000000" w:themeColor="text1"/>
          <w:sz w:val="24"/>
          <w:szCs w:val="24"/>
          <w14:textFill>
            <w14:solidFill>
              <w14:schemeClr w14:val="tx1"/>
            </w14:solidFill>
          </w14:textFill>
        </w:rPr>
        <w:t>j</w:t>
      </w:r>
      <w:r>
        <w:rPr>
          <w:rFonts w:ascii="Times New Roman" w:hAnsi="宋体"/>
          <w:color w:val="000000" w:themeColor="text1"/>
          <w:sz w:val="24"/>
          <w:szCs w:val="24"/>
          <w14:textFill>
            <w14:solidFill>
              <w14:schemeClr w14:val="tx1"/>
            </w14:solidFill>
          </w14:textFill>
        </w:rPr>
        <w:t>振型时</w:t>
      </w:r>
      <w:r>
        <w:rPr>
          <w:rFonts w:ascii="Times New Roman" w:hAnsi="Times New Roman"/>
          <w:i/>
          <w:color w:val="000000" w:themeColor="text1"/>
          <w:sz w:val="24"/>
          <w:szCs w:val="24"/>
          <w14:textFill>
            <w14:solidFill>
              <w14:schemeClr w14:val="tx1"/>
            </w14:solidFill>
          </w14:textFill>
        </w:rPr>
        <w:t>i</w:t>
      </w:r>
      <w:r>
        <w:rPr>
          <w:rFonts w:ascii="Times New Roman" w:hAnsi="宋体"/>
          <w:color w:val="000000" w:themeColor="text1"/>
          <w:sz w:val="24"/>
          <w:szCs w:val="24"/>
          <w14:textFill>
            <w14:solidFill>
              <w14:schemeClr w14:val="tx1"/>
            </w14:solidFill>
          </w14:textFill>
        </w:rPr>
        <w:t>层的剪力。</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不对称结构采用推覆法时应考虑偏心对扭转的不利影响。</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采用静力弹塑性推覆法时应给出下列计算结果，并满足规范要求：</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1  </w:t>
      </w:r>
      <w:r>
        <w:rPr>
          <w:rFonts w:hint="eastAsia" w:ascii="Times New Roman" w:hAnsi="Times New Roman"/>
          <w:color w:val="000000" w:themeColor="text1"/>
          <w:sz w:val="24"/>
          <w:szCs w:val="24"/>
          <w14:textFill>
            <w14:solidFill>
              <w14:schemeClr w14:val="tx1"/>
            </w14:solidFill>
          </w14:textFill>
        </w:rPr>
        <w:t>弹塑性最大层间位移角；</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  主要剪力墙的计算剪力和抗剪承载力的比较；</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3  剪力墙出现拉力时，给出拉力计算结果和相应的配筋措施，并给出截面的抗剪承载力核算；</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p>
    <w:p>
      <w:pPr>
        <w:pStyle w:val="61"/>
        <w:rPr>
          <w:color w:val="000000" w:themeColor="text1"/>
          <w:lang w:eastAsia="zh-CN"/>
          <w14:textFill>
            <w14:solidFill>
              <w14:schemeClr w14:val="tx1"/>
            </w14:solidFill>
          </w14:textFill>
        </w:rPr>
      </w:pPr>
      <w:bookmarkStart w:id="38" w:name="_Toc24714207"/>
      <w:bookmarkStart w:id="39" w:name="_Toc427075201"/>
      <w:r>
        <w:rPr>
          <w:rFonts w:hint="eastAsia"/>
          <w:color w:val="000000" w:themeColor="text1"/>
          <w:lang w:eastAsia="zh-CN"/>
          <w14:textFill>
            <w14:solidFill>
              <w14:schemeClr w14:val="tx1"/>
            </w14:solidFill>
          </w14:textFill>
        </w:rPr>
        <w:t>罕遇地震作用下动力弹塑性时程分析</w:t>
      </w:r>
      <w:bookmarkEnd w:id="38"/>
      <w:bookmarkEnd w:id="39"/>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地震波的输入方向应与多遇地震分析输入方向一致，并取正反方向的作用结果的包络值。对质量和刚度分布明显不对称的结构，宜按双向输入补充分析。高层建筑中的大跨度、长悬臂结构，应同时考虑竖向地震作用。</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弹塑性分析模型</w:t>
      </w:r>
      <w:r>
        <w:rPr>
          <w:rFonts w:hint="eastAsia"/>
          <w:color w:val="000000" w:themeColor="text1"/>
          <w:lang w:eastAsia="zh-CN"/>
          <w14:textFill>
            <w14:solidFill>
              <w14:schemeClr w14:val="tx1"/>
            </w14:solidFill>
          </w14:textFill>
        </w:rPr>
        <w:t>宜采用三维空间模型，构件的弹塑性性能应按其实际尺寸、配筋和材料强度标准值计算。</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梁柱可采用双折线或三折线滞回模型。混凝土轴心受拉或小偏心受拉构件开裂后，其受拉刚度宜取开裂前刚度的0.2~0.3倍。</w:t>
      </w:r>
    </w:p>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混凝土结构阻尼比取</w:t>
      </w:r>
      <w:r>
        <w:rPr>
          <w:rFonts w:hint="eastAsia"/>
          <w:color w:val="000000" w:themeColor="text1"/>
          <w:lang w:eastAsia="zh-CN"/>
          <w14:textFill>
            <w14:solidFill>
              <w14:schemeClr w14:val="tx1"/>
            </w14:solidFill>
          </w14:textFill>
        </w:rPr>
        <w:t>5~</w:t>
      </w:r>
      <w:r>
        <w:rPr>
          <w:rFonts w:hint="eastAsia"/>
          <w:color w:val="000000" w:themeColor="text1"/>
          <w14:textFill>
            <w14:solidFill>
              <w14:schemeClr w14:val="tx1"/>
            </w14:solidFill>
          </w14:textFill>
        </w:rPr>
        <w:t>7%</w:t>
      </w:r>
      <w:r>
        <w:rPr>
          <w:rFonts w:hint="eastAsia"/>
          <w:color w:val="000000" w:themeColor="text1"/>
          <w:lang w:eastAsia="zh-CN"/>
          <w14:textFill>
            <w14:solidFill>
              <w14:schemeClr w14:val="tx1"/>
            </w14:solidFill>
          </w14:textFill>
        </w:rPr>
        <w:t>。</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弹塑性分析应将施加重力荷载的结构作为初始状态。</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弹塑性分析时，楼板视工程具体情况可采用刚性或弹性板计算。楼板应满足罕遇地震作用下面内的受拉及受剪承载力要求，楼板内力可按罕遇地震作用下的等效弹性分析法近似求得。</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结构构件应根据其性能目标要求设置塑性变形控制项和承载力控制项。弹塑性分析应提供承载力控制项的内力值及塑性变形控制项的塑性变形值。常用结构构件按</w:t>
      </w:r>
      <w:r>
        <w:rPr>
          <w:rFonts w:hint="eastAsia" w:ascii="Times New Roman" w:hAnsi="Times New Roman"/>
          <w:color w:val="000000" w:themeColor="text1"/>
          <w:lang w:eastAsia="zh-CN"/>
          <w14:textFill>
            <w14:solidFill>
              <w14:schemeClr w14:val="tx1"/>
            </w14:solidFill>
          </w14:textFill>
        </w:rPr>
        <w:t>表6.8.7的</w:t>
      </w:r>
      <w:r>
        <w:rPr>
          <w:rFonts w:hint="eastAsia"/>
          <w:color w:val="000000" w:themeColor="text1"/>
          <w:lang w:eastAsia="zh-CN"/>
          <w14:textFill>
            <w14:solidFill>
              <w14:schemeClr w14:val="tx1"/>
            </w14:solidFill>
          </w14:textFill>
        </w:rPr>
        <w:t>规定设置。</w:t>
      </w:r>
    </w:p>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表</w:t>
      </w:r>
      <w:r>
        <w:rPr>
          <w:rFonts w:hint="eastAsia" w:ascii="宋体" w:hAnsi="宋体"/>
          <w:color w:val="000000" w:themeColor="text1"/>
          <w:szCs w:val="21"/>
          <w14:textFill>
            <w14:solidFill>
              <w14:schemeClr w14:val="tx1"/>
            </w14:solidFill>
          </w14:textFill>
        </w:rPr>
        <w:t>6.8.7 常用结构构件控制设计项选择原则</w:t>
      </w:r>
    </w:p>
    <w:tbl>
      <w:tblPr>
        <w:tblStyle w:val="3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5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构件类型</w:t>
            </w:r>
          </w:p>
        </w:tc>
        <w:tc>
          <w:tcPr>
            <w:tcW w:w="5763"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位置及原则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框架梁</w:t>
            </w:r>
          </w:p>
        </w:tc>
        <w:tc>
          <w:tcPr>
            <w:tcW w:w="5763" w:type="dxa"/>
            <w:vAlign w:val="center"/>
          </w:tcPr>
          <w:p>
            <w:pPr>
              <w:spacing w:line="240" w:lineRule="auto"/>
              <w:ind w:left="0"/>
              <w:jc w:val="lef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梁端</w:t>
            </w:r>
            <w:r>
              <w:rPr>
                <w:rFonts w:ascii="Times New Roman" w:hAnsi="Times New Roman"/>
                <w:color w:val="000000" w:themeColor="text1"/>
                <w:szCs w:val="21"/>
                <w14:textFill>
                  <w14:solidFill>
                    <w14:schemeClr w14:val="tx1"/>
                  </w14:solidFill>
                </w14:textFill>
              </w:rPr>
              <w:t>允许抗弯屈服</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控制塑性变形</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受剪</w:t>
            </w:r>
            <w:r>
              <w:rPr>
                <w:rFonts w:hint="eastAsia" w:ascii="Times New Roman" w:hAnsi="Times New Roman"/>
                <w:color w:val="000000" w:themeColor="text1"/>
                <w:szCs w:val="21"/>
                <w14:textFill>
                  <w14:solidFill>
                    <w14:schemeClr w14:val="tx1"/>
                  </w14:solidFill>
                </w14:textFill>
              </w:rPr>
              <w:t>承载力</w:t>
            </w:r>
            <w:r>
              <w:rPr>
                <w:rFonts w:ascii="Times New Roman" w:hAnsi="Times New Roman"/>
                <w:color w:val="000000" w:themeColor="text1"/>
                <w:szCs w:val="21"/>
                <w14:textFill>
                  <w14:solidFill>
                    <w14:schemeClr w14:val="tx1"/>
                  </w14:solidFill>
                </w14:textFill>
              </w:rPr>
              <w:t>控制</w:t>
            </w:r>
            <w:r>
              <w:rPr>
                <w:rFonts w:hint="eastAsia" w:ascii="Times New Roman" w:hAnsi="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转换梁</w:t>
            </w:r>
          </w:p>
        </w:tc>
        <w:tc>
          <w:tcPr>
            <w:tcW w:w="5763" w:type="dxa"/>
            <w:vAlign w:val="center"/>
          </w:tcPr>
          <w:p>
            <w:pPr>
              <w:spacing w:line="240" w:lineRule="auto"/>
              <w:ind w:left="0"/>
              <w:jc w:val="lef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抗弯、受剪承载力控制。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连梁</w:t>
            </w:r>
          </w:p>
        </w:tc>
        <w:tc>
          <w:tcPr>
            <w:tcW w:w="5763" w:type="dxa"/>
            <w:vAlign w:val="center"/>
          </w:tcPr>
          <w:p>
            <w:pPr>
              <w:spacing w:line="240" w:lineRule="auto"/>
              <w:ind w:left="0"/>
              <w:jc w:val="lef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梁端允许抗弯屈服，控制塑性变形。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外框柱</w:t>
            </w:r>
            <w:r>
              <w:rPr>
                <w:rFonts w:hint="eastAsia" w:ascii="Times New Roman" w:hAnsi="Times New Roman"/>
                <w:color w:val="000000" w:themeColor="text1"/>
                <w:szCs w:val="21"/>
                <w14:textFill>
                  <w14:solidFill>
                    <w14:schemeClr w14:val="tx1"/>
                  </w14:solidFill>
                </w14:textFill>
              </w:rPr>
              <w:t>（框筒）</w:t>
            </w:r>
          </w:p>
        </w:tc>
        <w:tc>
          <w:tcPr>
            <w:tcW w:w="5763" w:type="dxa"/>
            <w:vAlign w:val="center"/>
          </w:tcPr>
          <w:p>
            <w:pPr>
              <w:spacing w:line="240" w:lineRule="auto"/>
              <w:ind w:left="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允许抗弯屈服或抗拉屈服</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控制塑性变形</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受压</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受剪</w:t>
            </w:r>
            <w:r>
              <w:rPr>
                <w:rFonts w:hint="eastAsia" w:ascii="Times New Roman" w:hAnsi="Times New Roman"/>
                <w:color w:val="000000" w:themeColor="text1"/>
                <w:szCs w:val="21"/>
                <w14:textFill>
                  <w14:solidFill>
                    <w14:schemeClr w14:val="tx1"/>
                  </w14:solidFill>
                </w14:textFill>
              </w:rPr>
              <w:t>承载力</w:t>
            </w:r>
            <w:r>
              <w:rPr>
                <w:rFonts w:ascii="Times New Roman" w:hAnsi="Times New Roman"/>
                <w:color w:val="000000" w:themeColor="text1"/>
                <w:szCs w:val="21"/>
                <w14:textFill>
                  <w14:solidFill>
                    <w14:schemeClr w14:val="tx1"/>
                  </w14:solidFill>
                </w14:textFill>
              </w:rPr>
              <w:t>控制</w:t>
            </w:r>
            <w:r>
              <w:rPr>
                <w:rFonts w:hint="eastAsia" w:ascii="Times New Roman" w:hAnsi="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框架柱</w:t>
            </w:r>
          </w:p>
        </w:tc>
        <w:tc>
          <w:tcPr>
            <w:tcW w:w="5763" w:type="dxa"/>
            <w:vAlign w:val="center"/>
          </w:tcPr>
          <w:p>
            <w:pPr>
              <w:spacing w:line="240" w:lineRule="auto"/>
              <w:ind w:left="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允许</w:t>
            </w:r>
            <w:r>
              <w:rPr>
                <w:rFonts w:hint="eastAsia" w:ascii="Times New Roman" w:hAnsi="Times New Roman"/>
                <w:color w:val="000000" w:themeColor="text1"/>
                <w:szCs w:val="21"/>
                <w14:textFill>
                  <w14:solidFill>
                    <w14:schemeClr w14:val="tx1"/>
                  </w14:solidFill>
                </w14:textFill>
              </w:rPr>
              <w:t>P-M-M屈服，控制塑性变形；</w:t>
            </w:r>
            <w:r>
              <w:rPr>
                <w:rFonts w:ascii="Times New Roman" w:hAnsi="Times New Roman"/>
                <w:color w:val="000000" w:themeColor="text1"/>
                <w:szCs w:val="21"/>
                <w14:textFill>
                  <w14:solidFill>
                    <w14:schemeClr w14:val="tx1"/>
                  </w14:solidFill>
                </w14:textFill>
              </w:rPr>
              <w:t>受剪</w:t>
            </w:r>
            <w:r>
              <w:rPr>
                <w:rFonts w:hint="eastAsia" w:ascii="Times New Roman" w:hAnsi="Times New Roman"/>
                <w:color w:val="000000" w:themeColor="text1"/>
                <w:szCs w:val="21"/>
                <w14:textFill>
                  <w14:solidFill>
                    <w14:schemeClr w14:val="tx1"/>
                  </w14:solidFill>
                </w14:textFill>
              </w:rPr>
              <w:t>承载力</w:t>
            </w:r>
            <w:r>
              <w:rPr>
                <w:rFonts w:ascii="Times New Roman" w:hAnsi="Times New Roman"/>
                <w:color w:val="000000" w:themeColor="text1"/>
                <w:szCs w:val="21"/>
                <w14:textFill>
                  <w14:solidFill>
                    <w14:schemeClr w14:val="tx1"/>
                  </w14:solidFill>
                </w14:textFill>
              </w:rPr>
              <w:t>控制</w:t>
            </w:r>
            <w:r>
              <w:rPr>
                <w:rFonts w:hint="eastAsia" w:ascii="Times New Roman" w:hAnsi="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552" w:type="dxa"/>
            <w:vAlign w:val="center"/>
          </w:tcPr>
          <w:p>
            <w:pPr>
              <w:spacing w:line="240" w:lineRule="auto"/>
              <w:ind w:left="0"/>
              <w:jc w:val="center"/>
              <w:rPr>
                <w:rFonts w:ascii="Times New Roman" w:hAnsi="Times New Roman"/>
                <w:color w:val="000000" w:themeColor="text1"/>
                <w:szCs w:val="21"/>
                <w:vertAlign w:val="superscript"/>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剪力墙</w:t>
            </w:r>
          </w:p>
        </w:tc>
        <w:tc>
          <w:tcPr>
            <w:tcW w:w="5763" w:type="dxa"/>
            <w:vAlign w:val="center"/>
          </w:tcPr>
          <w:p>
            <w:pPr>
              <w:spacing w:line="240" w:lineRule="auto"/>
              <w:ind w:left="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允许</w:t>
            </w:r>
            <w:r>
              <w:rPr>
                <w:rFonts w:hint="eastAsia" w:ascii="Times New Roman" w:hAnsi="Times New Roman"/>
                <w:color w:val="000000" w:themeColor="text1"/>
                <w:szCs w:val="21"/>
                <w14:textFill>
                  <w14:solidFill>
                    <w14:schemeClr w14:val="tx1"/>
                  </w14:solidFill>
                </w14:textFill>
              </w:rPr>
              <w:t>P-M-M屈服，控制塑性变形；</w:t>
            </w:r>
            <w:r>
              <w:rPr>
                <w:rFonts w:ascii="Times New Roman" w:hAnsi="Times New Roman"/>
                <w:color w:val="000000" w:themeColor="text1"/>
                <w:szCs w:val="21"/>
                <w14:textFill>
                  <w14:solidFill>
                    <w14:schemeClr w14:val="tx1"/>
                  </w14:solidFill>
                </w14:textFill>
              </w:rPr>
              <w:t>受剪</w:t>
            </w:r>
            <w:r>
              <w:rPr>
                <w:rFonts w:hint="eastAsia" w:ascii="Times New Roman" w:hAnsi="Times New Roman"/>
                <w:color w:val="000000" w:themeColor="text1"/>
                <w:szCs w:val="21"/>
                <w14:textFill>
                  <w14:solidFill>
                    <w14:schemeClr w14:val="tx1"/>
                  </w14:solidFill>
                </w14:textFill>
              </w:rPr>
              <w:t>承载力</w:t>
            </w:r>
            <w:r>
              <w:rPr>
                <w:rFonts w:ascii="Times New Roman" w:hAnsi="Times New Roman"/>
                <w:color w:val="000000" w:themeColor="text1"/>
                <w:szCs w:val="21"/>
                <w14:textFill>
                  <w14:solidFill>
                    <w14:schemeClr w14:val="tx1"/>
                  </w14:solidFill>
                </w14:textFill>
              </w:rPr>
              <w:t>控制</w:t>
            </w:r>
            <w:r>
              <w:rPr>
                <w:rFonts w:hint="eastAsia" w:ascii="Times New Roman" w:hAnsi="Times New Roman"/>
                <w:color w:val="000000" w:themeColor="text1"/>
                <w:szCs w:val="21"/>
                <w14:textFill>
                  <w14:solidFill>
                    <w14:schemeClr w14:val="tx1"/>
                  </w14:solidFill>
                </w14:textFill>
              </w:rPr>
              <w:t>；受压承载力控制。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552"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中心支撑</w:t>
            </w:r>
            <w:r>
              <w:rPr>
                <w:rFonts w:hint="eastAsia" w:ascii="Times New Roman" w:hAnsi="Times New Roman"/>
                <w:color w:val="000000" w:themeColor="text1"/>
                <w:szCs w:val="21"/>
                <w14:textFill>
                  <w14:solidFill>
                    <w14:schemeClr w14:val="tx1"/>
                  </w14:solidFill>
                </w14:textFill>
              </w:rPr>
              <w:t>（钢）、防屈曲支撑（钢）</w:t>
            </w:r>
          </w:p>
        </w:tc>
        <w:tc>
          <w:tcPr>
            <w:tcW w:w="5763" w:type="dxa"/>
            <w:vAlign w:val="center"/>
          </w:tcPr>
          <w:p>
            <w:pPr>
              <w:spacing w:line="240" w:lineRule="auto"/>
              <w:ind w:left="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允许抗拉屈服或抗压屈曲</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控制塑性变形</w:t>
            </w:r>
            <w:r>
              <w:rPr>
                <w:rFonts w:hint="eastAsia" w:ascii="Times New Roman" w:hAnsi="Times New Roman"/>
                <w:color w:val="000000" w:themeColor="text1"/>
                <w:szCs w:val="21"/>
                <w14:textFill>
                  <w14:solidFill>
                    <w14:schemeClr w14:val="tx1"/>
                  </w14:solidFill>
                </w14:textFill>
              </w:rPr>
              <w:t>。</w:t>
            </w:r>
          </w:p>
        </w:tc>
      </w:tr>
    </w:tbl>
    <w:p>
      <w:pPr>
        <w:rPr>
          <w:color w:val="000000" w:themeColor="text1"/>
          <w14:textFill>
            <w14:solidFill>
              <w14:schemeClr w14:val="tx1"/>
            </w14:solidFill>
          </w14:textFill>
        </w:rPr>
      </w:pPr>
      <w:r>
        <w:rPr>
          <w:color w:val="000000" w:themeColor="text1"/>
          <w14:textFill>
            <w14:solidFill>
              <w14:schemeClr w14:val="tx1"/>
            </w14:solidFill>
          </w14:textFill>
        </w:rPr>
        <w:t>注</w:t>
      </w:r>
      <w:r>
        <w:rPr>
          <w:rFonts w:hint="eastAsia"/>
          <w:color w:val="000000" w:themeColor="text1"/>
          <w14:textFill>
            <w14:solidFill>
              <w14:schemeClr w14:val="tx1"/>
            </w14:solidFill>
          </w14:textFill>
        </w:rPr>
        <w:t>：1当设计性能目标高于上表要求时，应按设计性能目标进行设计；</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2 对非关键构件的剪力墙，表中的受剪承载力控制可部分按截面控制进行。</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对设置为承载力控制项的构件，应对其相应的承载力控制项在分析模型</w:t>
      </w:r>
      <w:r>
        <w:rPr>
          <w:color w:val="000000" w:themeColor="text1"/>
          <w:lang w:eastAsia="zh-CN"/>
          <w14:textFill>
            <w14:solidFill>
              <w14:schemeClr w14:val="tx1"/>
            </w14:solidFill>
          </w14:textFill>
        </w:rPr>
        <w:t>定义为</w:t>
      </w:r>
      <w:r>
        <w:rPr>
          <w:rFonts w:hint="eastAsia"/>
          <w:color w:val="000000" w:themeColor="text1"/>
          <w:lang w:eastAsia="zh-CN"/>
          <w14:textFill>
            <w14:solidFill>
              <w14:schemeClr w14:val="tx1"/>
            </w14:solidFill>
          </w14:textFill>
        </w:rPr>
        <w:t>弹性，并根据计算得到的内力按照本规程6.6节的要求进行承载力验算。</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根据本规程第5章结构性能目标的要求，混凝土构件屈服后的变形控制值按现行地方标准</w:t>
      </w:r>
      <w:r>
        <w:rPr>
          <w:color w:val="000000" w:themeColor="text1"/>
          <w:lang w:eastAsia="zh-CN"/>
          <w14:textFill>
            <w14:solidFill>
              <w14:schemeClr w14:val="tx1"/>
            </w14:solidFill>
          </w14:textFill>
        </w:rPr>
        <w:t>《建筑工程混凝土结构抗震性能设计规程》</w:t>
      </w:r>
      <w:r>
        <w:rPr>
          <w:rFonts w:hint="eastAsia"/>
          <w:color w:val="000000" w:themeColor="text1"/>
          <w:lang w:eastAsia="zh-CN"/>
          <w14:textFill>
            <w14:solidFill>
              <w14:schemeClr w14:val="tx1"/>
            </w14:solidFill>
          </w14:textFill>
        </w:rPr>
        <w:t>DBJ/T-15-151-2019的相关规定取值。</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钢支撑屈服后的变形控制值按表6.8.10采用。</w:t>
      </w:r>
    </w:p>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表6.8.10  钢支撑变形</w:t>
      </w:r>
      <w:r>
        <w:rPr>
          <w:rFonts w:hint="eastAsia"/>
          <w:color w:val="000000" w:themeColor="text1"/>
          <w14:textFill>
            <w14:solidFill>
              <w14:schemeClr w14:val="tx1"/>
            </w14:solidFill>
          </w14:textFill>
        </w:rPr>
        <w:t>控制值</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1597"/>
        <w:gridCol w:w="1701"/>
        <w:gridCol w:w="1701"/>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受力状态</w:t>
            </w:r>
          </w:p>
        </w:tc>
        <w:tc>
          <w:tcPr>
            <w:tcW w:w="6997" w:type="dxa"/>
            <w:gridSpan w:val="4"/>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构件性能状态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1597"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无损伤（BR1）</w:t>
            </w:r>
          </w:p>
        </w:tc>
        <w:tc>
          <w:tcPr>
            <w:tcW w:w="170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轻微损伤（BR2）</w:t>
            </w:r>
          </w:p>
        </w:tc>
        <w:tc>
          <w:tcPr>
            <w:tcW w:w="170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轻度损伤（BR3）</w:t>
            </w:r>
          </w:p>
        </w:tc>
        <w:tc>
          <w:tcPr>
            <w:tcW w:w="1998" w:type="dxa"/>
            <w:vAlign w:val="center"/>
          </w:tcPr>
          <w:p>
            <w:pPr>
              <w:spacing w:line="240" w:lineRule="auto"/>
              <w:ind w:left="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中度损伤（BR4）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受压</w:t>
            </w:r>
          </w:p>
        </w:tc>
        <w:tc>
          <w:tcPr>
            <w:tcW w:w="1597"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0.25</w:t>
            </w:r>
            <w:r>
              <w:rPr>
                <w:rFonts w:ascii="Times New Roman" w:hAnsi="Times New Roman"/>
                <w:color w:val="000000" w:themeColor="text1"/>
                <w:szCs w:val="21"/>
                <w14:textFill>
                  <w14:solidFill>
                    <w14:schemeClr w14:val="tx1"/>
                  </w14:solidFill>
                </w14:textFill>
              </w:rPr>
              <w:t>Δ</w:t>
            </w:r>
            <w:r>
              <w:rPr>
                <w:rFonts w:hint="eastAsia" w:ascii="Times New Roman" w:hAnsi="Times New Roman"/>
                <w:color w:val="000000" w:themeColor="text1"/>
                <w:szCs w:val="21"/>
                <w14:textFill>
                  <w14:solidFill>
                    <w14:schemeClr w14:val="tx1"/>
                  </w14:solidFill>
                </w14:textFill>
              </w:rPr>
              <w:t>C</w:t>
            </w:r>
          </w:p>
        </w:tc>
        <w:tc>
          <w:tcPr>
            <w:tcW w:w="1701"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2.6Δ</w:t>
            </w:r>
            <w:r>
              <w:rPr>
                <w:rFonts w:hint="eastAsia" w:ascii="Times New Roman" w:hAnsi="Times New Roman"/>
                <w:color w:val="000000" w:themeColor="text1"/>
                <w:szCs w:val="21"/>
                <w14:textFill>
                  <w14:solidFill>
                    <w14:schemeClr w14:val="tx1"/>
                  </w14:solidFill>
                </w14:textFill>
              </w:rPr>
              <w:t>C</w:t>
            </w:r>
          </w:p>
        </w:tc>
        <w:tc>
          <w:tcPr>
            <w:tcW w:w="1701"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5Δ</w:t>
            </w:r>
            <w:r>
              <w:rPr>
                <w:rFonts w:hint="eastAsia" w:ascii="Times New Roman" w:hAnsi="Times New Roman"/>
                <w:color w:val="000000" w:themeColor="text1"/>
                <w:szCs w:val="21"/>
                <w14:textFill>
                  <w14:solidFill>
                    <w14:schemeClr w14:val="tx1"/>
                  </w14:solidFill>
                </w14:textFill>
              </w:rPr>
              <w:t>C</w:t>
            </w:r>
          </w:p>
        </w:tc>
        <w:tc>
          <w:tcPr>
            <w:tcW w:w="1998"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7</w:t>
            </w:r>
            <w:r>
              <w:rPr>
                <w:rFonts w:ascii="Times New Roman" w:hAnsi="Times New Roman"/>
                <w:color w:val="000000" w:themeColor="text1"/>
                <w:szCs w:val="21"/>
                <w14:textFill>
                  <w14:solidFill>
                    <w14:schemeClr w14:val="tx1"/>
                  </w14:solidFill>
                </w14:textFill>
              </w:rPr>
              <w:t>Δ</w:t>
            </w:r>
            <w:r>
              <w:rPr>
                <w:rFonts w:hint="eastAsia" w:ascii="Times New Roman" w:hAnsi="Times New Roman"/>
                <w:color w:val="000000" w:themeColor="text1"/>
                <w:szCs w:val="21"/>
                <w14:textFill>
                  <w14:solidFill>
                    <w14:schemeClr w14:val="tx1"/>
                  </w14:solidFill>
                </w14:textFill>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8"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受拉</w:t>
            </w:r>
          </w:p>
        </w:tc>
        <w:tc>
          <w:tcPr>
            <w:tcW w:w="1597"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0.25</w:t>
            </w:r>
            <w:r>
              <w:rPr>
                <w:rFonts w:ascii="Times New Roman" w:hAnsi="Times New Roman"/>
                <w:color w:val="000000" w:themeColor="text1"/>
                <w:szCs w:val="21"/>
                <w14:textFill>
                  <w14:solidFill>
                    <w14:schemeClr w14:val="tx1"/>
                  </w14:solidFill>
                </w14:textFill>
              </w:rPr>
              <w:t>Δ</w:t>
            </w:r>
            <w:r>
              <w:rPr>
                <w:rFonts w:hint="eastAsia" w:ascii="Times New Roman" w:hAnsi="Times New Roman"/>
                <w:color w:val="000000" w:themeColor="text1"/>
                <w:szCs w:val="21"/>
                <w14:textFill>
                  <w14:solidFill>
                    <w14:schemeClr w14:val="tx1"/>
                  </w14:solidFill>
                </w14:textFill>
              </w:rPr>
              <w:t>T</w:t>
            </w:r>
          </w:p>
        </w:tc>
        <w:tc>
          <w:tcPr>
            <w:tcW w:w="1701"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3.6Δ</w:t>
            </w:r>
            <w:r>
              <w:rPr>
                <w:rFonts w:hint="eastAsia" w:ascii="Times New Roman" w:hAnsi="Times New Roman"/>
                <w:color w:val="000000" w:themeColor="text1"/>
                <w:szCs w:val="21"/>
                <w14:textFill>
                  <w14:solidFill>
                    <w14:schemeClr w14:val="tx1"/>
                  </w14:solidFill>
                </w14:textFill>
              </w:rPr>
              <w:t>T</w:t>
            </w:r>
          </w:p>
        </w:tc>
        <w:tc>
          <w:tcPr>
            <w:tcW w:w="1701"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7Δ</w:t>
            </w:r>
            <w:r>
              <w:rPr>
                <w:rFonts w:hint="eastAsia" w:ascii="Times New Roman" w:hAnsi="Times New Roman"/>
                <w:color w:val="000000" w:themeColor="text1"/>
                <w:szCs w:val="21"/>
                <w14:textFill>
                  <w14:solidFill>
                    <w14:schemeClr w14:val="tx1"/>
                  </w14:solidFill>
                </w14:textFill>
              </w:rPr>
              <w:t>T</w:t>
            </w:r>
          </w:p>
        </w:tc>
        <w:tc>
          <w:tcPr>
            <w:tcW w:w="1998" w:type="dxa"/>
            <w:vAlign w:val="center"/>
          </w:tcPr>
          <w:p>
            <w:pPr>
              <w:spacing w:line="240" w:lineRule="auto"/>
              <w:ind w:left="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9</w:t>
            </w:r>
            <w:r>
              <w:rPr>
                <w:rFonts w:ascii="Times New Roman" w:hAnsi="Times New Roman"/>
                <w:color w:val="000000" w:themeColor="text1"/>
                <w:szCs w:val="21"/>
                <w14:textFill>
                  <w14:solidFill>
                    <w14:schemeClr w14:val="tx1"/>
                  </w14:solidFill>
                </w14:textFill>
              </w:rPr>
              <w:t>Δ</w:t>
            </w:r>
            <w:r>
              <w:rPr>
                <w:rFonts w:hint="eastAsia" w:ascii="Times New Roman" w:hAnsi="Times New Roman"/>
                <w:color w:val="000000" w:themeColor="text1"/>
                <w:szCs w:val="21"/>
                <w14:textFill>
                  <w14:solidFill>
                    <w14:schemeClr w14:val="tx1"/>
                  </w14:solidFill>
                </w14:textFill>
              </w:rPr>
              <w:t>T</w:t>
            </w:r>
          </w:p>
        </w:tc>
      </w:tr>
    </w:tbl>
    <w:p>
      <w:pPr>
        <w:spacing w:line="240" w:lineRule="auto"/>
        <w:ind w:left="630" w:leftChars="100" w:hanging="420" w:hanging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注：1、</w:t>
      </w:r>
      <w:r>
        <w:rPr>
          <w:rFonts w:ascii="Times New Roman" w:hAnsi="Times New Roman"/>
          <w:color w:val="000000" w:themeColor="text1"/>
          <w:szCs w:val="21"/>
          <w14:textFill>
            <w14:solidFill>
              <w14:schemeClr w14:val="tx1"/>
            </w14:solidFill>
          </w14:textFill>
        </w:rPr>
        <w:t>Δ</w:t>
      </w:r>
      <w:r>
        <w:rPr>
          <w:rFonts w:hint="eastAsia" w:ascii="宋体" w:hAnsi="宋体"/>
          <w:color w:val="000000" w:themeColor="text1"/>
          <w:szCs w:val="21"/>
          <w14:textFill>
            <w14:solidFill>
              <w14:schemeClr w14:val="tx1"/>
            </w14:solidFill>
          </w14:textFill>
        </w:rPr>
        <w:t>C表示受压屈曲值对应的轴向变形。</w:t>
      </w:r>
    </w:p>
    <w:p>
      <w:pPr>
        <w:spacing w:line="240" w:lineRule="auto"/>
        <w:ind w:left="630" w:leftChars="100" w:hanging="420" w:hangingChars="200"/>
        <w:jc w:val="left"/>
        <w:rPr>
          <w:rFonts w:ascii="宋体"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Δ</w:t>
      </w:r>
      <w:r>
        <w:rPr>
          <w:rFonts w:hint="eastAsia" w:ascii="宋体" w:hAnsi="宋体"/>
          <w:color w:val="000000" w:themeColor="text1"/>
          <w:szCs w:val="21"/>
          <w14:textFill>
            <w14:solidFill>
              <w14:schemeClr w14:val="tx1"/>
            </w14:solidFill>
          </w14:textFill>
        </w:rPr>
        <w:t>T表示受拉屈服值对应的轴向变形。</w:t>
      </w:r>
    </w:p>
    <w:p>
      <w:pPr>
        <w:pStyle w:val="119"/>
        <w:rPr>
          <w:b/>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应结合工程的实际情况，选取合适的</w:t>
      </w:r>
      <w:r>
        <w:rPr>
          <w:rFonts w:hint="eastAsia"/>
          <w:color w:val="000000" w:themeColor="text1"/>
          <w:lang w:eastAsia="zh-CN"/>
          <w14:textFill>
            <w14:solidFill>
              <w14:schemeClr w14:val="tx1"/>
            </w14:solidFill>
          </w14:textFill>
        </w:rPr>
        <w:t>弹塑性分析</w:t>
      </w:r>
      <w:r>
        <w:rPr>
          <w:color w:val="000000" w:themeColor="text1"/>
          <w:lang w:eastAsia="zh-CN"/>
          <w14:textFill>
            <w14:solidFill>
              <w14:schemeClr w14:val="tx1"/>
            </w14:solidFill>
          </w14:textFill>
        </w:rPr>
        <w:t>软件。</w:t>
      </w:r>
      <w:r>
        <w:rPr>
          <w:rFonts w:hint="eastAsia"/>
          <w:color w:val="000000" w:themeColor="text1"/>
          <w:lang w:eastAsia="zh-CN"/>
          <w14:textFill>
            <w14:solidFill>
              <w14:schemeClr w14:val="tx1"/>
            </w14:solidFill>
          </w14:textFill>
        </w:rPr>
        <w:t>分析</w:t>
      </w:r>
      <w:r>
        <w:rPr>
          <w:color w:val="000000" w:themeColor="text1"/>
          <w:lang w:eastAsia="zh-CN"/>
          <w14:textFill>
            <w14:solidFill>
              <w14:schemeClr w14:val="tx1"/>
            </w14:solidFill>
          </w14:textFill>
        </w:rPr>
        <w:t>软件应能提供构件</w:t>
      </w:r>
      <w:r>
        <w:rPr>
          <w:rFonts w:hint="eastAsia"/>
          <w:color w:val="000000" w:themeColor="text1"/>
          <w:lang w:eastAsia="zh-CN"/>
          <w14:textFill>
            <w14:solidFill>
              <w14:schemeClr w14:val="tx1"/>
            </w14:solidFill>
          </w14:textFill>
        </w:rPr>
        <w:t>承载力控制项的</w:t>
      </w:r>
      <w:r>
        <w:rPr>
          <w:color w:val="000000" w:themeColor="text1"/>
          <w:lang w:eastAsia="zh-CN"/>
          <w14:textFill>
            <w14:solidFill>
              <w14:schemeClr w14:val="tx1"/>
            </w14:solidFill>
          </w14:textFill>
        </w:rPr>
        <w:t>内力</w:t>
      </w:r>
      <w:r>
        <w:rPr>
          <w:rFonts w:hint="eastAsia"/>
          <w:color w:val="000000" w:themeColor="text1"/>
          <w:lang w:eastAsia="zh-CN"/>
          <w14:textFill>
            <w14:solidFill>
              <w14:schemeClr w14:val="tx1"/>
            </w14:solidFill>
          </w14:textFill>
        </w:rPr>
        <w:t>结果及塑性变形控制项的塑性变形结果</w:t>
      </w:r>
      <w:r>
        <w:rPr>
          <w:color w:val="000000" w:themeColor="text1"/>
          <w:lang w:eastAsia="zh-CN"/>
          <w14:textFill>
            <w14:solidFill>
              <w14:schemeClr w14:val="tx1"/>
            </w14:solidFill>
          </w14:textFill>
        </w:rPr>
        <w:t>。</w:t>
      </w:r>
    </w:p>
    <w:p>
      <w:pPr>
        <w:spacing w:line="240" w:lineRule="auto"/>
        <w:ind w:left="0" w:firstLine="480" w:firstLineChars="200"/>
        <w:rPr>
          <w:rFonts w:ascii="Times New Roman" w:hAnsi="Times New Roman"/>
          <w:color w:val="000000" w:themeColor="text1"/>
          <w:sz w:val="24"/>
          <w:szCs w:val="24"/>
          <w:lang w:val="en-GB"/>
          <w14:textFill>
            <w14:solidFill>
              <w14:schemeClr w14:val="tx1"/>
            </w14:solidFill>
          </w14:textFill>
        </w:rPr>
      </w:pPr>
    </w:p>
    <w:p>
      <w:pPr>
        <w:pStyle w:val="61"/>
        <w:rPr>
          <w:rFonts w:hAnsi="Times New Roman"/>
          <w:color w:val="000000" w:themeColor="text1"/>
          <w:lang w:eastAsia="zh-CN"/>
          <w14:textFill>
            <w14:solidFill>
              <w14:schemeClr w14:val="tx1"/>
            </w14:solidFill>
          </w14:textFill>
        </w:rPr>
      </w:pPr>
      <w:bookmarkStart w:id="40" w:name="_Toc24714208"/>
      <w:r>
        <w:rPr>
          <w:rFonts w:hint="eastAsia"/>
          <w:color w:val="000000" w:themeColor="text1"/>
          <w:lang w:eastAsia="zh-CN"/>
          <w14:textFill>
            <w14:solidFill>
              <w14:schemeClr w14:val="tx1"/>
            </w14:solidFill>
          </w14:textFill>
        </w:rPr>
        <w:t>罕遇地震作用下等效弹性分析</w:t>
      </w:r>
      <w:bookmarkEnd w:id="40"/>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罕遇地震作用下弹塑性法分析法提供的计算结果不足以进行重要构件截面的承载力验算时，宜采用等效弹性法进行补充计算。</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罕遇地震作用下反应谱的地震影响系数、结构阻尼比和场地特征周期等参数取值按本规程第4章有关规定取值。</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采用等效弹性法计算时，构件刚度宜根据弹塑性分析的构件损伤状态进行适当调整。连梁刚度宜按不同高度范围的损伤情况分段取相应的折减系数，低区取0.5~0.6，中高区取0.2~0.3；框架梁刚度折减系数宜取0.7~0.8；底部抗弯屈服的剪力墙刚度折减系数宜取0.7~0.8；全截面受拉的剪力墙刚度宜适当折减。</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等效弹性分析法计算的基底剪力应与相应</w:t>
      </w:r>
      <w:r>
        <w:rPr>
          <w:color w:val="000000" w:themeColor="text1"/>
          <w:lang w:eastAsia="zh-CN"/>
          <w14:textFill>
            <w14:solidFill>
              <w14:schemeClr w14:val="tx1"/>
            </w14:solidFill>
          </w14:textFill>
        </w:rPr>
        <w:t>静力</w:t>
      </w:r>
      <w:r>
        <w:rPr>
          <w:rFonts w:hint="eastAsia"/>
          <w:color w:val="000000" w:themeColor="text1"/>
          <w:lang w:eastAsia="zh-CN"/>
          <w14:textFill>
            <w14:solidFill>
              <w14:schemeClr w14:val="tx1"/>
            </w14:solidFill>
          </w14:textFill>
        </w:rPr>
        <w:t>推覆或动力时程弹塑性分析的计算结果基本一致。</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楼板面内配筋及剪力墙截面抗剪承载力验算等可按等效弹性法计算求得的内力进行。</w:t>
      </w:r>
    </w:p>
    <w:p>
      <w:pPr>
        <w:spacing w:line="240" w:lineRule="auto"/>
        <w:ind w:left="0" w:firstLine="480" w:firstLineChars="200"/>
        <w:rPr>
          <w:rFonts w:ascii="Times New Roman" w:hAnsi="Times New Roman"/>
          <w:color w:val="000000" w:themeColor="text1"/>
          <w:sz w:val="24"/>
          <w:szCs w:val="24"/>
          <w:lang w:val="en-GB"/>
          <w14:textFill>
            <w14:solidFill>
              <w14:schemeClr w14:val="tx1"/>
            </w14:solidFill>
          </w14:textFill>
        </w:rPr>
      </w:pPr>
    </w:p>
    <w:p>
      <w:pPr>
        <w:spacing w:line="240" w:lineRule="auto"/>
        <w:jc w:val="center"/>
        <w:rPr>
          <w:b/>
          <w:color w:val="000000" w:themeColor="text1"/>
          <w:sz w:val="24"/>
          <w:lang w:val="en-GB"/>
          <w14:textFill>
            <w14:solidFill>
              <w14:schemeClr w14:val="tx1"/>
            </w14:solidFill>
          </w14:textFill>
        </w:rPr>
      </w:pPr>
    </w:p>
    <w:p>
      <w:pPr>
        <w:spacing w:line="240" w:lineRule="auto"/>
        <w:jc w:val="center"/>
        <w:rPr>
          <w:b/>
          <w:color w:val="000000" w:themeColor="text1"/>
          <w:sz w:val="24"/>
          <w:lang w:val="en-GB"/>
          <w14:textFill>
            <w14:solidFill>
              <w14:schemeClr w14:val="tx1"/>
            </w14:solidFill>
          </w14:textFill>
        </w:rPr>
      </w:pPr>
    </w:p>
    <w:p>
      <w:pPr>
        <w:pStyle w:val="60"/>
        <w:spacing w:beforeLines="0" w:afterLines="0" w:line="240" w:lineRule="auto"/>
        <w:rPr>
          <w:color w:val="000000" w:themeColor="text1"/>
          <w14:textFill>
            <w14:solidFill>
              <w14:schemeClr w14:val="tx1"/>
            </w14:solidFill>
          </w14:textFill>
        </w:rPr>
      </w:pPr>
      <w:bookmarkStart w:id="41" w:name="_Toc24714209"/>
      <w:r>
        <w:rPr>
          <w:rFonts w:hint="eastAsia"/>
          <w:color w:val="000000" w:themeColor="text1"/>
          <w14:textFill>
            <w14:solidFill>
              <w14:schemeClr w14:val="tx1"/>
            </w14:solidFill>
          </w14:textFill>
        </w:rPr>
        <w:t>复杂高层建筑结构设计</w:t>
      </w:r>
      <w:bookmarkEnd w:id="41"/>
    </w:p>
    <w:p>
      <w:pPr>
        <w:pStyle w:val="61"/>
        <w:rPr>
          <w:rFonts w:hAnsi="Times New Roman"/>
          <w:color w:val="000000" w:themeColor="text1"/>
          <w14:textFill>
            <w14:solidFill>
              <w14:schemeClr w14:val="tx1"/>
            </w14:solidFill>
          </w14:textFill>
        </w:rPr>
      </w:pPr>
      <w:bookmarkStart w:id="42" w:name="_Toc24714210"/>
      <w:r>
        <w:rPr>
          <w:color w:val="000000" w:themeColor="text1"/>
          <w14:textFill>
            <w14:solidFill>
              <w14:schemeClr w14:val="tx1"/>
            </w14:solidFill>
          </w14:textFill>
        </w:rPr>
        <w:t>带转换层高层建筑结构</w:t>
      </w:r>
      <w:bookmarkEnd w:id="42"/>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当以受压为主的竖向构件（剪力墙、框架柱）在底端间断时，应设置转换结构。</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设计带转换结构时，结构性能应符合下列要求：</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w:t>
      </w:r>
      <w:r>
        <w:rPr>
          <w:rFonts w:ascii="Times New Roman" w:hAnsi="宋体"/>
          <w:color w:val="000000" w:themeColor="text1"/>
          <w:sz w:val="24"/>
          <w:szCs w:val="24"/>
          <w14:textFill>
            <w14:solidFill>
              <w14:schemeClr w14:val="tx1"/>
            </w14:solidFill>
          </w14:textFill>
        </w:rPr>
        <w:t>转换层受剪承载力不宜小于上一层受剪承载力的</w:t>
      </w:r>
      <w:r>
        <w:rPr>
          <w:rFonts w:ascii="Times New Roman" w:hAnsi="Times New Roman"/>
          <w:color w:val="000000" w:themeColor="text1"/>
          <w:sz w:val="24"/>
          <w:szCs w:val="24"/>
          <w14:textFill>
            <w14:solidFill>
              <w14:schemeClr w14:val="tx1"/>
            </w14:solidFill>
          </w14:textFill>
        </w:rPr>
        <w:t>0.65</w:t>
      </w:r>
      <w:r>
        <w:rPr>
          <w:rFonts w:ascii="Times New Roman" w:hAnsi="宋体"/>
          <w:color w:val="000000" w:themeColor="text1"/>
          <w:sz w:val="24"/>
          <w:szCs w:val="24"/>
          <w14:textFill>
            <w14:solidFill>
              <w14:schemeClr w14:val="tx1"/>
            </w14:solidFill>
          </w14:textFill>
        </w:rPr>
        <w:t>倍；</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w:t>
      </w:r>
      <w:r>
        <w:rPr>
          <w:rFonts w:ascii="Times New Roman" w:hAnsi="宋体"/>
          <w:color w:val="000000" w:themeColor="text1"/>
          <w:sz w:val="24"/>
          <w:szCs w:val="24"/>
          <w14:textFill>
            <w14:solidFill>
              <w14:schemeClr w14:val="tx1"/>
            </w14:solidFill>
          </w14:textFill>
        </w:rPr>
        <w:t>当底部大空间为</w:t>
      </w:r>
      <w:r>
        <w:rPr>
          <w:rFonts w:ascii="Times New Roman" w:hAnsi="Times New Roman"/>
          <w:color w:val="000000" w:themeColor="text1"/>
          <w:sz w:val="24"/>
          <w:szCs w:val="24"/>
          <w14:textFill>
            <w14:solidFill>
              <w14:schemeClr w14:val="tx1"/>
            </w14:solidFill>
          </w14:textFill>
        </w:rPr>
        <w:t>2</w:t>
      </w:r>
      <w:r>
        <w:rPr>
          <w:rFonts w:ascii="Times New Roman" w:hAnsi="宋体"/>
          <w:color w:val="000000" w:themeColor="text1"/>
          <w:sz w:val="24"/>
          <w:szCs w:val="24"/>
          <w14:textFill>
            <w14:solidFill>
              <w14:schemeClr w14:val="tx1"/>
            </w14:solidFill>
          </w14:textFill>
        </w:rPr>
        <w:t>层及以上时，转换层下部</w:t>
      </w:r>
      <w:r>
        <w:rPr>
          <w:rFonts w:ascii="Times New Roman" w:hAnsi="Times New Roman"/>
          <w:color w:val="000000" w:themeColor="text1"/>
          <w:sz w:val="24"/>
          <w:szCs w:val="24"/>
          <w14:textFill>
            <w14:solidFill>
              <w14:schemeClr w14:val="tx1"/>
            </w14:solidFill>
          </w14:textFill>
        </w:rPr>
        <w:t>(</w:t>
      </w:r>
      <w:r>
        <w:rPr>
          <w:rFonts w:ascii="Times New Roman" w:hAnsi="宋体"/>
          <w:color w:val="000000" w:themeColor="text1"/>
          <w:sz w:val="24"/>
          <w:szCs w:val="24"/>
          <w14:textFill>
            <w14:solidFill>
              <w14:schemeClr w14:val="tx1"/>
            </w14:solidFill>
          </w14:textFill>
        </w:rPr>
        <w:t>转换层至嵌固端之子结构</w:t>
      </w:r>
      <w:r>
        <w:rPr>
          <w:rFonts w:ascii="Times New Roman" w:hAnsi="Times New Roman"/>
          <w:color w:val="000000" w:themeColor="text1"/>
          <w:sz w:val="24"/>
          <w:szCs w:val="24"/>
          <w14:textFill>
            <w14:solidFill>
              <w14:schemeClr w14:val="tx1"/>
            </w14:solidFill>
          </w14:textFill>
        </w:rPr>
        <w:t xml:space="preserve">) </w:t>
      </w:r>
      <w:r>
        <w:rPr>
          <w:rFonts w:ascii="Times New Roman" w:hAnsi="宋体"/>
          <w:color w:val="000000" w:themeColor="text1"/>
          <w:sz w:val="24"/>
          <w:szCs w:val="24"/>
          <w14:textFill>
            <w14:solidFill>
              <w14:schemeClr w14:val="tx1"/>
            </w14:solidFill>
          </w14:textFill>
        </w:rPr>
        <w:t>等效侧向刚度宜与转换层上部</w:t>
      </w:r>
      <w:r>
        <w:rPr>
          <w:rFonts w:ascii="Times New Roman" w:hAnsi="Times New Roman"/>
          <w:color w:val="000000" w:themeColor="text1"/>
          <w:sz w:val="24"/>
          <w:szCs w:val="24"/>
          <w14:textFill>
            <w14:solidFill>
              <w14:schemeClr w14:val="tx1"/>
            </w14:solidFill>
          </w14:textFill>
        </w:rPr>
        <w:t>(</w:t>
      </w:r>
      <w:r>
        <w:rPr>
          <w:rFonts w:ascii="Times New Roman" w:hAnsi="宋体"/>
          <w:color w:val="000000" w:themeColor="text1"/>
          <w:sz w:val="24"/>
          <w:szCs w:val="24"/>
          <w14:textFill>
            <w14:solidFill>
              <w14:schemeClr w14:val="tx1"/>
            </w14:solidFill>
          </w14:textFill>
        </w:rPr>
        <w:t>转换层上部等效子结构，其高度与转换层下部结构高度相近</w:t>
      </w:r>
      <w:r>
        <w:rPr>
          <w:rFonts w:ascii="Times New Roman" w:hAnsi="Times New Roman"/>
          <w:color w:val="000000" w:themeColor="text1"/>
          <w:sz w:val="24"/>
          <w:szCs w:val="24"/>
          <w14:textFill>
            <w14:solidFill>
              <w14:schemeClr w14:val="tx1"/>
            </w14:solidFill>
          </w14:textFill>
        </w:rPr>
        <w:t>)</w:t>
      </w:r>
      <w:r>
        <w:rPr>
          <w:rFonts w:ascii="Times New Roman" w:hAnsi="宋体"/>
          <w:color w:val="000000" w:themeColor="text1"/>
          <w:sz w:val="24"/>
          <w:szCs w:val="24"/>
          <w14:textFill>
            <w14:solidFill>
              <w14:schemeClr w14:val="tx1"/>
            </w14:solidFill>
          </w14:textFill>
        </w:rPr>
        <w:t>相当，不应小于转换层上部等效侧向刚度的</w:t>
      </w:r>
      <w:r>
        <w:rPr>
          <w:rFonts w:ascii="Times New Roman" w:hAnsi="Times New Roman"/>
          <w:color w:val="000000" w:themeColor="text1"/>
          <w:sz w:val="24"/>
          <w:szCs w:val="24"/>
          <w14:textFill>
            <w14:solidFill>
              <w14:schemeClr w14:val="tx1"/>
            </w14:solidFill>
          </w14:textFill>
        </w:rPr>
        <w:t>0.8</w:t>
      </w:r>
      <w:r>
        <w:rPr>
          <w:rFonts w:ascii="Times New Roman" w:hAnsi="宋体"/>
          <w:color w:val="000000" w:themeColor="text1"/>
          <w:sz w:val="24"/>
          <w:szCs w:val="24"/>
          <w14:textFill>
            <w14:solidFill>
              <w14:schemeClr w14:val="tx1"/>
            </w14:solidFill>
          </w14:textFill>
        </w:rPr>
        <w:t>倍</w:t>
      </w:r>
      <w:r>
        <w:rPr>
          <w:rFonts w:hint="eastAsia" w:ascii="Times New Roman" w:hAnsi="宋体"/>
          <w:color w:val="000000" w:themeColor="text1"/>
          <w:sz w:val="24"/>
          <w:szCs w:val="24"/>
          <w14:textFill>
            <w14:solidFill>
              <w14:schemeClr w14:val="tx1"/>
            </w14:solidFill>
          </w14:textFill>
        </w:rPr>
        <w:t>，当计算结果存在疑义时，可采用附录A方法进行计算；</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w:t>
      </w:r>
      <w:r>
        <w:rPr>
          <w:rFonts w:ascii="Times New Roman" w:hAnsi="宋体"/>
          <w:color w:val="000000" w:themeColor="text1"/>
          <w:sz w:val="24"/>
          <w:szCs w:val="24"/>
          <w14:textFill>
            <w14:solidFill>
              <w14:schemeClr w14:val="tx1"/>
            </w14:solidFill>
          </w14:textFill>
        </w:rPr>
        <w:t>塔楼转换层下的框架柱（含框支柱，不含裙房框架柱）承受的倾覆弯矩</w:t>
      </w:r>
      <w:r>
        <w:rPr>
          <w:rFonts w:hint="eastAsia" w:ascii="Times New Roman" w:hAnsi="宋体"/>
          <w:color w:val="000000" w:themeColor="text1"/>
          <w:sz w:val="24"/>
          <w:szCs w:val="24"/>
          <w14:textFill>
            <w14:solidFill>
              <w14:schemeClr w14:val="tx1"/>
            </w14:solidFill>
          </w14:textFill>
        </w:rPr>
        <w:t>和剪力</w:t>
      </w:r>
      <w:r>
        <w:rPr>
          <w:rFonts w:ascii="Times New Roman" w:hAnsi="宋体"/>
          <w:color w:val="000000" w:themeColor="text1"/>
          <w:sz w:val="24"/>
          <w:szCs w:val="24"/>
          <w14:textFill>
            <w14:solidFill>
              <w14:schemeClr w14:val="tx1"/>
            </w14:solidFill>
          </w14:textFill>
        </w:rPr>
        <w:t>不宜大于塔楼整体倾覆弯矩</w:t>
      </w:r>
      <w:r>
        <w:rPr>
          <w:rFonts w:hint="eastAsia" w:ascii="Times New Roman" w:hAnsi="宋体"/>
          <w:color w:val="000000" w:themeColor="text1"/>
          <w:sz w:val="24"/>
          <w:szCs w:val="24"/>
          <w14:textFill>
            <w14:solidFill>
              <w14:schemeClr w14:val="tx1"/>
            </w14:solidFill>
          </w14:textFill>
        </w:rPr>
        <w:t>和层剪力</w:t>
      </w:r>
      <w:r>
        <w:rPr>
          <w:rFonts w:ascii="Times New Roman" w:hAnsi="宋体"/>
          <w:color w:val="000000" w:themeColor="text1"/>
          <w:sz w:val="24"/>
          <w:szCs w:val="24"/>
          <w14:textFill>
            <w14:solidFill>
              <w14:schemeClr w14:val="tx1"/>
            </w14:solidFill>
          </w14:textFill>
        </w:rPr>
        <w:t>的</w:t>
      </w:r>
      <w:r>
        <w:rPr>
          <w:rFonts w:ascii="Times New Roman" w:hAnsi="Times New Roman"/>
          <w:color w:val="000000" w:themeColor="text1"/>
          <w:sz w:val="24"/>
          <w:szCs w:val="24"/>
          <w14:textFill>
            <w14:solidFill>
              <w14:schemeClr w14:val="tx1"/>
            </w14:solidFill>
          </w14:textFill>
        </w:rPr>
        <w:t>50%</w:t>
      </w:r>
      <w:r>
        <w:rPr>
          <w:rFonts w:hint="eastAsia" w:ascii="Times New Roman" w:hAnsi="Times New Roman"/>
          <w:color w:val="000000" w:themeColor="text1"/>
          <w:sz w:val="24"/>
          <w:szCs w:val="24"/>
          <w14:textFill>
            <w14:solidFill>
              <w14:schemeClr w14:val="tx1"/>
            </w14:solidFill>
          </w14:textFill>
        </w:rPr>
        <w:t>；</w:t>
      </w:r>
      <w:r>
        <w:rPr>
          <w:rFonts w:ascii="Times New Roman" w:hAnsi="宋体"/>
          <w:color w:val="000000" w:themeColor="text1"/>
          <w:sz w:val="24"/>
          <w:szCs w:val="24"/>
          <w14:textFill>
            <w14:solidFill>
              <w14:schemeClr w14:val="tx1"/>
            </w14:solidFill>
          </w14:textFill>
        </w:rPr>
        <w:t>倾覆弯矩</w:t>
      </w:r>
      <w:r>
        <w:rPr>
          <w:rFonts w:hint="eastAsia" w:ascii="Times New Roman" w:hAnsi="宋体"/>
          <w:color w:val="000000" w:themeColor="text1"/>
          <w:sz w:val="24"/>
          <w:szCs w:val="24"/>
          <w14:textFill>
            <w14:solidFill>
              <w14:schemeClr w14:val="tx1"/>
            </w14:solidFill>
          </w14:textFill>
        </w:rPr>
        <w:t>的计算宜考虑柱底轴向力对倾覆力矩的影响。</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宋体"/>
          <w:color w:val="000000" w:themeColor="text1"/>
          <w:sz w:val="24"/>
          <w:szCs w:val="24"/>
          <w14:textFill>
            <w14:solidFill>
              <w14:schemeClr w14:val="tx1"/>
            </w14:solidFill>
          </w14:textFill>
        </w:rPr>
        <w:t>4</w:t>
      </w:r>
      <w:r>
        <w:rPr>
          <w:rFonts w:ascii="Times New Roman" w:hAnsi="宋体"/>
          <w:color w:val="000000" w:themeColor="text1"/>
          <w:sz w:val="24"/>
          <w:szCs w:val="24"/>
          <w14:textFill>
            <w14:solidFill>
              <w14:schemeClr w14:val="tx1"/>
            </w14:solidFill>
          </w14:textFill>
        </w:rPr>
        <w:t>当采用梁式转换结构时，在重力作用下，转换梁的裂缝宽度不宜大于</w:t>
      </w:r>
      <w:r>
        <w:rPr>
          <w:rFonts w:ascii="Times New Roman" w:hAnsi="Times New Roman"/>
          <w:color w:val="000000" w:themeColor="text1"/>
          <w:sz w:val="24"/>
          <w:szCs w:val="24"/>
          <w14:textFill>
            <w14:solidFill>
              <w14:schemeClr w14:val="tx1"/>
            </w14:solidFill>
          </w14:textFill>
        </w:rPr>
        <w:t>0.2mm</w:t>
      </w:r>
      <w:r>
        <w:rPr>
          <w:rFonts w:ascii="Times New Roman" w:hAnsi="宋体"/>
          <w:color w:val="000000" w:themeColor="text1"/>
          <w:sz w:val="24"/>
          <w:szCs w:val="24"/>
          <w14:textFill>
            <w14:solidFill>
              <w14:schemeClr w14:val="tx1"/>
            </w14:solidFill>
          </w14:textFill>
        </w:rPr>
        <w:t>。</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设计带转换结构时，结构布置及相关参数控制宜遵循下列原则：</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1转换结构宜优先采用梁式转换结构，托墙转换宜优先采用框支满布剪力墙转换结构和框支转换结构；</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2当转换层设在1、2层时，落地剪力墙的间距不宜大于楼盖平均宽度的2倍和24m的较小值，落地剪力墙与相邻框支柱的距离不宜大于12m；</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当转换层设在3层及以上层时，落地剪力墙的间距不宜大于楼盖平均宽度的1.5倍和20m的较小值，落地剪力墙与相邻框支柱的距离不宜大于10m；</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当不满足上述条件时，应适当加厚楼板或设置水平支撑，并按楼盖设防烈度地震弹性的性能标准及弹性楼板的计算假定，控制楼盖的面内承载力；</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3当上部剪力墙与转换梁偏置或上部剪力墙与落地墙偏置时，在与转换梁、落地墙垂直的方向上宜布置次梁；</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4转换梁沿平面外方向支承于剪力墙时，宜在支承处设置扶壁柱；</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5转换结构的布置不宜采用多于二次以上的转换；</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6转换板的下层框支柱顶宜设置柱帽；</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7特一级转换柱当采用普通钢筋混凝土不能满足要求时，可采用型钢混凝土柱或钢管混凝土柱；</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8转换梁及转换柱的剪压比均不大于0.15，落地墙剪压比不大于0.1；特一级钢筋混凝土转换柱轴压比不大于0.5，特一级型钢混凝土转换柱轴压比不大于0.6，一级钢筋混凝土转换柱轴压比不大于0.6，一级型钢混凝土转换柱轴压比不大于0.7；当罕遇地震作用下框支柱轴压力小于其轴向抗压承载力较多时，框支柱轴压比可适当放松；</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9当转换结构上部结构高度超过150米以上时，应提高转换结构的承载力要求，或采取分层转换结构。</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10 宜提高转换层上两层剪力墙的抗震性能目标，其竖向及水平分布钢筋的最小配筋率不低于0.3%。</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10应优化上部墙与柱的布置，尽量减少竖向构件的转换。</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设计带转换结构时，结构分析应遵循下列原则：</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1分析转换层楼盖内力时，应采用弹性楼盖分析模型；</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2当采用梁式转换结构时，宜采用实体元或壳元模拟转换梁进行复核补充分析；</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3当采用板式转换结构时，应采用实体元或壳元模拟转换板进行结构分析；</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4应计入竖向地震的影响；</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5应根据转换梁截面尺寸、板厚度及板跨度等因素，合理选取转换构件的刚度放大系数、扭矩折减系数；</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6当上部剪力墙与转换梁偏置或上部剪力墙与落地墙偏置时，分析时应考虑偏心对转换梁、落地墙及相关构件的不利影响；</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7转换梁支承于横向剪力墙时，应在支承处按框支柱要求设置扶壁柱或暗柱，并验算该段剪力墙的面外承载力；</w:t>
      </w:r>
    </w:p>
    <w:p>
      <w:pPr>
        <w:spacing w:line="240" w:lineRule="auto"/>
        <w:ind w:left="0"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8框支柱截面剪力调整系数可不计竖向荷载；</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当剪力墙和端柱整体连接时，应沿剪力墙方向按整体剪力墙进行计算，在垂直剪力墙方向端柱宜按框支柱要求进行设计。</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转换结构传力复杂时应采用符合实际的结构模型进行实体有限元分析。</w:t>
      </w:r>
    </w:p>
    <w:p>
      <w:pPr>
        <w:pStyle w:val="61"/>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 xml:space="preserve">  </w:t>
      </w:r>
      <w:bookmarkStart w:id="43" w:name="_Toc24714211"/>
      <w:r>
        <w:rPr>
          <w:rFonts w:hint="eastAsia"/>
          <w:color w:val="000000" w:themeColor="text1"/>
          <w:lang w:eastAsia="zh-CN"/>
          <w14:textFill>
            <w14:solidFill>
              <w14:schemeClr w14:val="tx1"/>
            </w14:solidFill>
          </w14:textFill>
        </w:rPr>
        <w:t>大底盘</w:t>
      </w:r>
      <w:r>
        <w:rPr>
          <w:color w:val="000000" w:themeColor="text1"/>
          <w14:textFill>
            <w14:solidFill>
              <w14:schemeClr w14:val="tx1"/>
            </w14:solidFill>
          </w14:textFill>
        </w:rPr>
        <w:t>多塔楼结构</w:t>
      </w:r>
      <w:bookmarkEnd w:id="43"/>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抗震设计时，多塔楼高层建筑的结构布置宜符合下列规定：</w:t>
      </w:r>
    </w:p>
    <w:p>
      <w:pPr>
        <w:spacing w:line="240" w:lineRule="auto"/>
        <w:ind w:lef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、塔楼与底盘之间应根据受力情况、平面和竖向不规则程度、地基条件以及技术经济等因素，综合确定是否设置变形缝，能不设缝时尽量不设缝。</w:t>
      </w:r>
    </w:p>
    <w:p>
      <w:pPr>
        <w:spacing w:line="240" w:lineRule="auto"/>
        <w:ind w:lef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、各塔楼的层数、平面和刚度宜接近，塔楼相对底盘宜分散、均衡布置。</w:t>
      </w:r>
    </w:p>
    <w:p>
      <w:pPr>
        <w:spacing w:line="240" w:lineRule="auto"/>
        <w:ind w:lef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3、塔楼宜沿底盘周边布置，并控制底盘结构的扭转位移比，可利用裙楼的卫生间、楼电梯间等布置剪力墙或支撑，剪力墙或支撑宜沿大底盘周边布置。</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多塔楼结构计算应符合下列规定：</w:t>
      </w:r>
    </w:p>
    <w:p>
      <w:pPr>
        <w:spacing w:line="240" w:lineRule="auto"/>
        <w:ind w:lef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、大底盘多塔楼结构宜按实际情况整体建模计算。</w:t>
      </w:r>
    </w:p>
    <w:p>
      <w:pPr>
        <w:spacing w:line="240" w:lineRule="auto"/>
        <w:ind w:lef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、大底盘的楼板在计算模型中宜采用弹性楼板假定。多塔楼结构整体计算时，振型数不应小于塔楼数的</w:t>
      </w:r>
      <w:r>
        <w:rPr>
          <w:color w:val="000000" w:themeColor="text1"/>
          <w:sz w:val="24"/>
          <w:szCs w:val="24"/>
          <w14:textFill>
            <w14:solidFill>
              <w14:schemeClr w14:val="tx1"/>
            </w14:solidFill>
          </w14:textFill>
        </w:rPr>
        <w:t>9</w:t>
      </w:r>
      <w:r>
        <w:rPr>
          <w:rFonts w:hint="eastAsia"/>
          <w:color w:val="000000" w:themeColor="text1"/>
          <w:sz w:val="24"/>
          <w:szCs w:val="24"/>
          <w14:textFill>
            <w14:solidFill>
              <w14:schemeClr w14:val="tx1"/>
            </w14:solidFill>
          </w14:textFill>
        </w:rPr>
        <w:t>倍，且计算振型数应使各振型参与质量之和不小于总质量的</w:t>
      </w:r>
      <w:r>
        <w:rPr>
          <w:color w:val="000000" w:themeColor="text1"/>
          <w:sz w:val="24"/>
          <w:szCs w:val="24"/>
          <w14:textFill>
            <w14:solidFill>
              <w14:schemeClr w14:val="tx1"/>
            </w14:solidFill>
          </w14:textFill>
        </w:rPr>
        <w:t>90%</w:t>
      </w:r>
      <w:r>
        <w:rPr>
          <w:rFonts w:hint="eastAsia"/>
          <w:color w:val="000000" w:themeColor="text1"/>
          <w:sz w:val="24"/>
          <w:szCs w:val="24"/>
          <w14:textFill>
            <w14:solidFill>
              <w14:schemeClr w14:val="tx1"/>
            </w14:solidFill>
          </w14:textFill>
        </w:rPr>
        <w:t>。</w:t>
      </w:r>
    </w:p>
    <w:p>
      <w:pPr>
        <w:spacing w:line="240" w:lineRule="auto"/>
        <w:ind w:lef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、大底盘多塔楼结构各塔楼的位移比宜在整体模型中计算统计；裙楼位移比应采用整体模型计算统计。计算周期、位移等指标时可按刚性楼板假定。</w:t>
      </w:r>
    </w:p>
    <w:p>
      <w:pPr>
        <w:spacing w:line="240" w:lineRule="auto"/>
        <w:ind w:lef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、多塔楼结构应根据施工阶段大底盘合拢前塔楼及底盘的实际情况分别建模验算施工工况。</w:t>
      </w:r>
    </w:p>
    <w:p>
      <w:pPr>
        <w:spacing w:line="240" w:lineRule="auto"/>
        <w:ind w:lef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、当底盘尺寸较大时，宜计算温度及混凝土收缩作用对底盘结构构件内力的影响，并应采取相应的措施。</w:t>
      </w:r>
    </w:p>
    <w:p>
      <w:pPr>
        <w:spacing w:line="240" w:lineRule="auto"/>
        <w:ind w:lef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6、当底盘仅一层时，多塔楼结构可近似按多个单独塔楼分别进行独立计算。</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抗震设计时，多塔楼结构的构造措施应符合下列规定：</w:t>
      </w:r>
    </w:p>
    <w:p>
      <w:pPr>
        <w:spacing w:line="240" w:lineRule="auto"/>
        <w:ind w:lef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、底盘屋盖结构应适当加强，板厚不宜小于</w:t>
      </w:r>
      <w:r>
        <w:rPr>
          <w:color w:val="000000" w:themeColor="text1"/>
          <w:sz w:val="24"/>
          <w:szCs w:val="24"/>
          <w14:textFill>
            <w14:solidFill>
              <w14:schemeClr w14:val="tx1"/>
            </w14:solidFill>
          </w14:textFill>
        </w:rPr>
        <w:t>150mm</w:t>
      </w:r>
      <w:r>
        <w:rPr>
          <w:rFonts w:hint="eastAsia"/>
          <w:color w:val="000000" w:themeColor="text1"/>
          <w:sz w:val="24"/>
          <w:szCs w:val="24"/>
          <w14:textFill>
            <w14:solidFill>
              <w14:schemeClr w14:val="tx1"/>
            </w14:solidFill>
          </w14:textFill>
        </w:rPr>
        <w:t>，楼板钢筋双层双向配置，每层每方向最小配筋率不宜小于</w:t>
      </w:r>
      <w:r>
        <w:rPr>
          <w:color w:val="000000" w:themeColor="text1"/>
          <w:sz w:val="24"/>
          <w:szCs w:val="24"/>
          <w14:textFill>
            <w14:solidFill>
              <w14:schemeClr w14:val="tx1"/>
            </w14:solidFill>
          </w14:textFill>
        </w:rPr>
        <w:t>0.25%</w:t>
      </w:r>
      <w:r>
        <w:rPr>
          <w:rFonts w:hint="eastAsia"/>
          <w:color w:val="000000" w:themeColor="text1"/>
          <w:sz w:val="24"/>
          <w:szCs w:val="24"/>
          <w14:textFill>
            <w14:solidFill>
              <w14:schemeClr w14:val="tx1"/>
            </w14:solidFill>
          </w14:textFill>
        </w:rPr>
        <w:t>，屋盖梁底筋、腰筋及不少于</w:t>
      </w:r>
      <w:r>
        <w:rPr>
          <w:color w:val="000000" w:themeColor="text1"/>
          <w:sz w:val="24"/>
          <w:szCs w:val="24"/>
          <w14:textFill>
            <w14:solidFill>
              <w14:schemeClr w14:val="tx1"/>
            </w14:solidFill>
          </w14:textFill>
        </w:rPr>
        <w:t>1/4</w:t>
      </w:r>
      <w:r>
        <w:rPr>
          <w:rFonts w:hint="eastAsia"/>
          <w:color w:val="000000" w:themeColor="text1"/>
          <w:sz w:val="24"/>
          <w:szCs w:val="24"/>
          <w14:textFill>
            <w14:solidFill>
              <w14:schemeClr w14:val="tx1"/>
            </w14:solidFill>
          </w14:textFill>
        </w:rPr>
        <w:t>支座面筋宜通长布置。</w:t>
      </w:r>
    </w:p>
    <w:p>
      <w:pPr>
        <w:spacing w:line="240" w:lineRule="auto"/>
        <w:ind w:lef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、塔楼中与裙房相连的外围柱、剪力墙，从嵌固端至裙房屋面上一层的高度范围内，柱纵筋的最小配筋率宜适当提高，柱箍筋宜在裙楼屋面上、下层的范围内全高加密；剪力墙宜按《高规》第</w:t>
      </w:r>
      <w:r>
        <w:rPr>
          <w:color w:val="000000" w:themeColor="text1"/>
          <w:sz w:val="24"/>
          <w:szCs w:val="24"/>
          <w14:textFill>
            <w14:solidFill>
              <w14:schemeClr w14:val="tx1"/>
            </w14:solidFill>
          </w14:textFill>
        </w:rPr>
        <w:t>7.2.15</w:t>
      </w:r>
      <w:r>
        <w:rPr>
          <w:rFonts w:hint="eastAsia"/>
          <w:color w:val="000000" w:themeColor="text1"/>
          <w:sz w:val="24"/>
          <w:szCs w:val="24"/>
          <w14:textFill>
            <w14:solidFill>
              <w14:schemeClr w14:val="tx1"/>
            </w14:solidFill>
          </w14:textFill>
        </w:rPr>
        <w:t>条的规定设置约束边缘构件。</w:t>
      </w:r>
    </w:p>
    <w:p>
      <w:pPr>
        <w:pStyle w:val="61"/>
        <w:rPr>
          <w:rFonts w:hAnsi="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 xml:space="preserve">  </w:t>
      </w:r>
      <w:bookmarkStart w:id="44" w:name="_Toc24714212"/>
      <w:r>
        <w:rPr>
          <w:color w:val="000000" w:themeColor="text1"/>
          <w14:textFill>
            <w14:solidFill>
              <w14:schemeClr w14:val="tx1"/>
            </w14:solidFill>
          </w14:textFill>
        </w:rPr>
        <w:t>连体高层建筑结构</w:t>
      </w:r>
      <w:bookmarkEnd w:id="44"/>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连体高层建筑由2幢或2幢以上塔楼通过连接体连接组成，与连接体连接的塔楼宜对称布置，避免出现过大的扭转效应和位移差。</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连接体与塔楼可正向连接，也可斜向连接。当连接体与塔楼间无相对位移可直接传递内力时，其连接方式为刚性连接；当连接体与塔楼的连接方式为可滑动支座时，其连接方式为柔性连接。</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连体多塔楼结构设计时单塔楼宜分别满足高规对独立单塔楼的设计控制指标要求。当其中某塔楼不满足时，应采用刚性连接，并使连体多塔楼结构总体满足高规控制指标要求。</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连接体宜采用钢结构（梁或桁架）或组合结构。</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时宜根据不同建筑功能和结构受力需要，经比较分析确定连接体两端与塔楼的连接方式。可采用两端刚性连接、一端刚性连接另一端柔性连接或两端柔性连接。刚性连接时，连接杆件一般采用刚接（焊接）或铰接；柔性连接时，宜采用板式橡胶支座或仅克服一定摩擦力后可滑动钢支座。</w:t>
      </w:r>
    </w:p>
    <w:p>
      <w:pPr>
        <w:pStyle w:val="119"/>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刚性连接端主要结构构件应伸入塔楼结构至少一跨并可靠连接；当连接体为斜向与塔楼连接时，主要结构构件伸入塔楼区应形成水平桁架受力体系，并有可靠连接。柔性连接端宜置放于塔楼可传递竖向荷载的适宜位置。刚性连接时，连接体主要受力楼层楼板（如桁架上下层楼板、连接体顶层和底层楼板）应与塔楼楼板相一致，确保楼板传力的有效性。</w:t>
      </w:r>
      <w:r>
        <w:rPr>
          <w:rFonts w:hint="eastAsia"/>
          <w:color w:val="000000" w:themeColor="text1"/>
          <w14:textFill>
            <w14:solidFill>
              <w14:schemeClr w14:val="tx1"/>
            </w14:solidFill>
          </w14:textFill>
        </w:rPr>
        <w:t>楼盖宜设水平支撑。</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连体高层结构宜通过风洞试验提供风荷载取值，并给出沿水平向多点风时程曲线。当结构为简单平面时，可仅给出质心处的合成风时程曲线。</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连接体与塔楼为斜向连接时，应考虑斜向风荷载和斜向及双向地震输入进行结构计算，连接体宜考虑竖向地震作用和温度作用。</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连体塔楼应采用两种不同的力学模型（或两个不同的程序）采用三维空间有限元分析软件进行整体计算，并对各单塔进行相关计算及复核。关键和复杂节点宜进行节点有限元分析。</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连体高层结构宜采用抗震性能设计方法，设定各相关构件的适宜性能目标，并对多遇地震、设防地震、罕遇地震作用下的性能目标进行验算，满足相关规范要求。</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抗震计算时，除按规范规定的振型分解反应谱法计算外，尚应补充进行弹性时程分析。采用振型分解反应谱法计算时，宜尽量多采取振型数，并满足振型参与质量不小于总质量的90%的要求。</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罕遇地震宜采用弹塑性动力时程分析法进行整体分析，并重点验算连接体的结构、连接节点以及伸入塔楼部位的相应构件和塔楼竖向构件的承载力，同时检查其破坏程度。当采用等效弹性法补充分析时，应复核剪力墙的抗剪承载力。</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当施工顺序对连体结构内力影响较明显时，应进行施工模拟分析。</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连接体的楼盖应按弹性楼盖进行分析；进行设防地震、罕遇地震分析时，尚宜补充考虑和不考虑楼板刚度或楼板刚度折减时结构计算分析对比，并采取相应的构造加强措施。</w:t>
      </w:r>
    </w:p>
    <w:p>
      <w:pPr>
        <w:pStyle w:val="119"/>
        <w:rPr>
          <w:color w:val="000000" w:themeColor="text1"/>
          <w:shd w:val="clear" w:color="auto" w:fill="E7E6E6"/>
          <w:lang w:eastAsia="zh-CN"/>
          <w14:textFill>
            <w14:solidFill>
              <w14:schemeClr w14:val="tx1"/>
            </w14:solidFill>
          </w14:textFill>
        </w:rPr>
      </w:pPr>
      <w:r>
        <w:rPr>
          <w:rFonts w:hint="eastAsia"/>
          <w:color w:val="000000" w:themeColor="text1"/>
          <w:lang w:eastAsia="zh-CN"/>
          <w14:textFill>
            <w14:solidFill>
              <w14:schemeClr w14:val="tx1"/>
            </w14:solidFill>
          </w14:textFill>
        </w:rPr>
        <w:t>计算柔性连接端时，应考虑连接体支座处传给塔楼的竖向及由于摩擦等影响构成的水平荷载。抗震计算时应根据支座滞迴曲线计算连接体对塔楼的影响。当连接体采用阻尼器时，应考虑连接体的阻尼器和塔楼结构的共同作用。</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连接体楼盖应具有适宜的舒适度，楼盖结构的竖向振动频率不应小于3Hz；人行引起的楼盖振动峰值加速度应满足高规的相关要求。</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大跨度连接体宜输入风洞试验提供的风时程曲线进行舒适度验算，计算时应考虑连接体两端塔楼结构和支座变形的影响；连接体位置较高时，除进行顺风向和横风向舒适度计算外，尚应考虑连接体顶部和底部风压差带来的竖向振动。</w:t>
      </w:r>
    </w:p>
    <w:p>
      <w:pPr>
        <w:pStyle w:val="119"/>
        <w:rPr>
          <w:color w:val="000000" w:themeColor="text1"/>
          <w:lang w:eastAsia="zh-CN"/>
          <w14:textFill>
            <w14:solidFill>
              <w14:schemeClr w14:val="tx1"/>
            </w14:solidFill>
          </w14:textFill>
        </w:rPr>
      </w:pPr>
      <w:r>
        <w:rPr>
          <w:rStyle w:val="120"/>
          <w:rFonts w:hint="eastAsia"/>
          <w:color w:val="000000" w:themeColor="text1"/>
          <w:lang w:eastAsia="zh-CN"/>
          <w14:textFill>
            <w14:solidFill>
              <w14:schemeClr w14:val="tx1"/>
            </w14:solidFill>
          </w14:textFill>
        </w:rPr>
        <w:t>连接体支座变形量应满足两个方向和斜向（斜向连接时）的罕遇地震作用下塔楼在连</w:t>
      </w:r>
      <w:r>
        <w:rPr>
          <w:rFonts w:hint="eastAsia"/>
          <w:color w:val="000000" w:themeColor="text1"/>
          <w:lang w:eastAsia="zh-CN"/>
          <w14:textFill>
            <w14:solidFill>
              <w14:schemeClr w14:val="tx1"/>
            </w14:solidFill>
          </w14:textFill>
        </w:rPr>
        <w:t>接体高度处结的构位移量；其值宜根据弹塑性时程分析法结果按下式进行计算：</w:t>
      </w:r>
    </w:p>
    <w:p>
      <w:pPr>
        <w:spacing w:line="240" w:lineRule="auto"/>
        <w:ind w:left="0"/>
        <w:rPr>
          <w:color w:val="000000" w:themeColor="text1"/>
          <w:szCs w:val="24"/>
          <w14:textFill>
            <w14:solidFill>
              <w14:schemeClr w14:val="tx1"/>
            </w14:solidFill>
          </w14:textFill>
        </w:rPr>
      </w:pPr>
      <m:oMathPara>
        <m:oMath>
          <m:r>
            <m:rPr>
              <m:sty m:val="p"/>
            </m:rPr>
            <w:rPr>
              <w:rFonts w:ascii="Cambria Math" w:hAnsi="Cambria Math"/>
              <w:color w:val="000000" w:themeColor="text1"/>
              <w:szCs w:val="24"/>
              <w14:textFill>
                <w14:solidFill>
                  <w14:schemeClr w14:val="tx1"/>
                </w14:solidFill>
              </w14:textFill>
            </w:rPr>
            <m:t>∆</m:t>
          </m:r>
          <m:r>
            <m:rPr>
              <m:sty m:val="p"/>
            </m:rPr>
            <w:rPr>
              <w:rFonts w:hint="eastAsia" w:ascii="Cambria Math" w:hAnsi="Cambria Math"/>
              <w:color w:val="000000" w:themeColor="text1"/>
              <w:szCs w:val="24"/>
              <w14:textFill>
                <w14:solidFill>
                  <w14:schemeClr w14:val="tx1"/>
                </w14:solidFill>
              </w14:textFill>
            </w:rPr>
            <m:t>=</m:t>
          </m:r>
          <m:sSub>
            <m:sSubPr>
              <m:ctrlPr>
                <w:rPr>
                  <w:rFonts w:ascii="Cambria Math" w:hAnsi="Cambria Math"/>
                  <w:color w:val="000000" w:themeColor="text1"/>
                  <w:szCs w:val="24"/>
                  <w14:textFill>
                    <w14:solidFill>
                      <w14:schemeClr w14:val="tx1"/>
                    </w14:solidFill>
                  </w14:textFill>
                </w:rPr>
              </m:ctrlPr>
            </m:sSubPr>
            <m:e>
              <m:r>
                <m:rPr>
                  <m:sty m:val="p"/>
                </m:rPr>
                <w:rPr>
                  <w:rFonts w:ascii="Cambria Math" w:hAnsi="Cambria Math"/>
                  <w:color w:val="000000" w:themeColor="text1"/>
                  <w:szCs w:val="24"/>
                  <w14:textFill>
                    <w14:solidFill>
                      <w14:schemeClr w14:val="tx1"/>
                    </w14:solidFill>
                  </w14:textFill>
                </w:rPr>
                <m:t>∆</m:t>
              </m:r>
              <m:ctrlPr>
                <w:rPr>
                  <w:rFonts w:ascii="Cambria Math" w:hAnsi="Cambria Math"/>
                  <w:color w:val="000000" w:themeColor="text1"/>
                  <w:szCs w:val="24"/>
                  <w14:textFill>
                    <w14:solidFill>
                      <w14:schemeClr w14:val="tx1"/>
                    </w14:solidFill>
                  </w14:textFill>
                </w:rPr>
              </m:ctrlPr>
            </m:e>
            <m:sub>
              <m:r>
                <m:rPr>
                  <m:sty m:val="p"/>
                </m:rPr>
                <w:rPr>
                  <w:rFonts w:ascii="Cambria Math" w:hAnsi="Cambria Math"/>
                  <w:color w:val="000000" w:themeColor="text1"/>
                  <w:szCs w:val="24"/>
                  <w14:textFill>
                    <w14:solidFill>
                      <w14:schemeClr w14:val="tx1"/>
                    </w14:solidFill>
                  </w14:textFill>
                </w:rPr>
                <m:t>1</m:t>
              </m:r>
              <m:ctrlPr>
                <w:rPr>
                  <w:rFonts w:ascii="Cambria Math" w:hAnsi="Cambria Math"/>
                  <w:color w:val="000000" w:themeColor="text1"/>
                  <w:szCs w:val="24"/>
                  <w14:textFill>
                    <w14:solidFill>
                      <w14:schemeClr w14:val="tx1"/>
                    </w14:solidFill>
                  </w14:textFill>
                </w:rPr>
              </m:ctrlPr>
            </m:sub>
          </m:sSub>
          <m:rad>
            <m:radPr>
              <m:degHide m:val="true"/>
              <m:ctrlPr>
                <w:rPr>
                  <w:rFonts w:ascii="Cambria Math" w:hAnsi="Cambria Math"/>
                  <w:i/>
                  <w:color w:val="000000" w:themeColor="text1"/>
                  <w:szCs w:val="24"/>
                  <w14:textFill>
                    <w14:solidFill>
                      <w14:schemeClr w14:val="tx1"/>
                    </w14:solidFill>
                  </w14:textFill>
                </w:rPr>
              </m:ctrlPr>
            </m:radPr>
            <m:deg>
              <m:ctrlPr>
                <w:rPr>
                  <w:rFonts w:ascii="Cambria Math" w:hAnsi="Cambria Math"/>
                  <w:i/>
                  <w:color w:val="000000" w:themeColor="text1"/>
                  <w:szCs w:val="24"/>
                  <w14:textFill>
                    <w14:solidFill>
                      <w14:schemeClr w14:val="tx1"/>
                    </w14:solidFill>
                  </w14:textFill>
                </w:rPr>
              </m:ctrlPr>
            </m:deg>
            <m:e>
              <m:r>
                <m:rPr/>
                <w:rPr>
                  <w:rFonts w:ascii="Cambria Math" w:hAnsi="Cambria Math"/>
                  <w:color w:val="000000" w:themeColor="text1"/>
                  <w:szCs w:val="24"/>
                  <w14:textFill>
                    <w14:solidFill>
                      <w14:schemeClr w14:val="tx1"/>
                    </w14:solidFill>
                  </w14:textFill>
                </w:rPr>
                <m:t>1+</m:t>
              </m:r>
              <m:sSup>
                <m:sSupPr>
                  <m:ctrlPr>
                    <w:rPr>
                      <w:rFonts w:ascii="Cambria Math" w:hAnsi="Cambria Math"/>
                      <w:i/>
                      <w:color w:val="000000" w:themeColor="text1"/>
                      <w:szCs w:val="24"/>
                      <w14:textFill>
                        <w14:solidFill>
                          <w14:schemeClr w14:val="tx1"/>
                        </w14:solidFill>
                      </w14:textFill>
                    </w:rPr>
                  </m:ctrlPr>
                </m:sSupPr>
                <m:e>
                  <m:r>
                    <m:rPr/>
                    <w:rPr>
                      <w:rFonts w:ascii="Cambria Math" w:hAnsi="Cambria Math"/>
                      <w:color w:val="000000" w:themeColor="text1"/>
                      <w:szCs w:val="24"/>
                      <w14:textFill>
                        <w14:solidFill>
                          <w14:schemeClr w14:val="tx1"/>
                        </w14:solidFill>
                      </w14:textFill>
                    </w:rPr>
                    <m:t>(</m:t>
                  </m:r>
                  <m:f>
                    <m:fPr>
                      <m:ctrlPr>
                        <w:rPr>
                          <w:rFonts w:ascii="Cambria Math" w:hAnsi="Cambria Math"/>
                          <w:i/>
                          <w:color w:val="000000" w:themeColor="text1"/>
                          <w:szCs w:val="24"/>
                          <w14:textFill>
                            <w14:solidFill>
                              <w14:schemeClr w14:val="tx1"/>
                            </w14:solidFill>
                          </w14:textFill>
                        </w:rPr>
                      </m:ctrlPr>
                    </m:fPr>
                    <m:num>
                      <m:sSub>
                        <m:sSubPr>
                          <m:ctrlPr>
                            <w:rPr>
                              <w:rFonts w:ascii="Cambria Math" w:hAnsi="Cambria Math"/>
                              <w:color w:val="000000" w:themeColor="text1"/>
                              <w:szCs w:val="24"/>
                              <w14:textFill>
                                <w14:solidFill>
                                  <w14:schemeClr w14:val="tx1"/>
                                </w14:solidFill>
                              </w14:textFill>
                            </w:rPr>
                          </m:ctrlPr>
                        </m:sSubPr>
                        <m:e>
                          <m:r>
                            <m:rPr>
                              <m:sty m:val="p"/>
                            </m:rPr>
                            <w:rPr>
                              <w:rFonts w:ascii="Cambria Math" w:hAnsi="Cambria Math"/>
                              <w:color w:val="000000" w:themeColor="text1"/>
                              <w:szCs w:val="24"/>
                              <w14:textFill>
                                <w14:solidFill>
                                  <w14:schemeClr w14:val="tx1"/>
                                </w14:solidFill>
                              </w14:textFill>
                            </w:rPr>
                            <m:t>∆</m:t>
                          </m:r>
                          <m:ctrlPr>
                            <w:rPr>
                              <w:rFonts w:ascii="Cambria Math" w:hAnsi="Cambria Math"/>
                              <w:color w:val="000000" w:themeColor="text1"/>
                              <w:szCs w:val="24"/>
                              <w14:textFill>
                                <w14:solidFill>
                                  <w14:schemeClr w14:val="tx1"/>
                                </w14:solidFill>
                              </w14:textFill>
                            </w:rPr>
                          </m:ctrlPr>
                        </m:e>
                        <m:sub>
                          <m:r>
                            <m:rPr>
                              <m:sty m:val="p"/>
                            </m:rPr>
                            <w:rPr>
                              <w:rFonts w:ascii="Cambria Math" w:hAnsi="Cambria Math"/>
                              <w:color w:val="000000" w:themeColor="text1"/>
                              <w:szCs w:val="24"/>
                              <w14:textFill>
                                <w14:solidFill>
                                  <w14:schemeClr w14:val="tx1"/>
                                </w14:solidFill>
                              </w14:textFill>
                            </w:rPr>
                            <m:t>2</m:t>
                          </m:r>
                          <m:ctrlPr>
                            <w:rPr>
                              <w:rFonts w:ascii="Cambria Math" w:hAnsi="Cambria Math"/>
                              <w:color w:val="000000" w:themeColor="text1"/>
                              <w:szCs w:val="24"/>
                              <w14:textFill>
                                <w14:solidFill>
                                  <w14:schemeClr w14:val="tx1"/>
                                </w14:solidFill>
                              </w14:textFill>
                            </w:rPr>
                          </m:ctrlPr>
                        </m:sub>
                      </m:sSub>
                      <m:ctrlPr>
                        <w:rPr>
                          <w:rFonts w:ascii="Cambria Math" w:hAnsi="Cambria Math"/>
                          <w:i/>
                          <w:color w:val="000000" w:themeColor="text1"/>
                          <w:szCs w:val="24"/>
                          <w14:textFill>
                            <w14:solidFill>
                              <w14:schemeClr w14:val="tx1"/>
                            </w14:solidFill>
                          </w14:textFill>
                        </w:rPr>
                      </m:ctrlPr>
                    </m:num>
                    <m:den>
                      <m:sSub>
                        <m:sSubPr>
                          <m:ctrlPr>
                            <w:rPr>
                              <w:rFonts w:ascii="Cambria Math" w:hAnsi="Cambria Math"/>
                              <w:color w:val="000000" w:themeColor="text1"/>
                              <w:szCs w:val="24"/>
                              <w14:textFill>
                                <w14:solidFill>
                                  <w14:schemeClr w14:val="tx1"/>
                                </w14:solidFill>
                              </w14:textFill>
                            </w:rPr>
                          </m:ctrlPr>
                        </m:sSubPr>
                        <m:e>
                          <m:r>
                            <m:rPr>
                              <m:sty m:val="p"/>
                            </m:rPr>
                            <w:rPr>
                              <w:rFonts w:ascii="Cambria Math" w:hAnsi="Cambria Math"/>
                              <w:color w:val="000000" w:themeColor="text1"/>
                              <w:szCs w:val="24"/>
                              <w14:textFill>
                                <w14:solidFill>
                                  <w14:schemeClr w14:val="tx1"/>
                                </w14:solidFill>
                              </w14:textFill>
                            </w:rPr>
                            <m:t>∆</m:t>
                          </m:r>
                          <m:ctrlPr>
                            <w:rPr>
                              <w:rFonts w:ascii="Cambria Math" w:hAnsi="Cambria Math"/>
                              <w:color w:val="000000" w:themeColor="text1"/>
                              <w:szCs w:val="24"/>
                              <w14:textFill>
                                <w14:solidFill>
                                  <w14:schemeClr w14:val="tx1"/>
                                </w14:solidFill>
                              </w14:textFill>
                            </w:rPr>
                          </m:ctrlPr>
                        </m:e>
                        <m:sub>
                          <m:r>
                            <m:rPr>
                              <m:sty m:val="p"/>
                            </m:rPr>
                            <w:rPr>
                              <w:rFonts w:ascii="Cambria Math" w:hAnsi="Cambria Math"/>
                              <w:color w:val="000000" w:themeColor="text1"/>
                              <w:szCs w:val="24"/>
                              <w14:textFill>
                                <w14:solidFill>
                                  <w14:schemeClr w14:val="tx1"/>
                                </w14:solidFill>
                              </w14:textFill>
                            </w:rPr>
                            <m:t>1</m:t>
                          </m:r>
                          <m:ctrlPr>
                            <w:rPr>
                              <w:rFonts w:ascii="Cambria Math" w:hAnsi="Cambria Math"/>
                              <w:color w:val="000000" w:themeColor="text1"/>
                              <w:szCs w:val="24"/>
                              <w14:textFill>
                                <w14:solidFill>
                                  <w14:schemeClr w14:val="tx1"/>
                                </w14:solidFill>
                              </w14:textFill>
                            </w:rPr>
                          </m:ctrlPr>
                        </m:sub>
                      </m:sSub>
                      <m:ctrlPr>
                        <w:rPr>
                          <w:rFonts w:ascii="Cambria Math" w:hAnsi="Cambria Math"/>
                          <w:i/>
                          <w:color w:val="000000" w:themeColor="text1"/>
                          <w:szCs w:val="24"/>
                          <w14:textFill>
                            <w14:solidFill>
                              <w14:schemeClr w14:val="tx1"/>
                            </w14:solidFill>
                          </w14:textFill>
                        </w:rPr>
                      </m:ctrlPr>
                    </m:den>
                  </m:f>
                  <m:r>
                    <m:rPr/>
                    <w:rPr>
                      <w:rFonts w:hint="eastAsia" w:ascii="Cambria Math" w:hAnsi="Cambria Math"/>
                      <w:color w:val="000000" w:themeColor="text1"/>
                      <w:szCs w:val="24"/>
                      <w14:textFill>
                        <w14:solidFill>
                          <w14:schemeClr w14:val="tx1"/>
                        </w14:solidFill>
                      </w14:textFill>
                    </w:rPr>
                    <m:t>)</m:t>
                  </m:r>
                  <m:ctrlPr>
                    <w:rPr>
                      <w:rFonts w:ascii="Cambria Math" w:hAnsi="Cambria Math"/>
                      <w:i/>
                      <w:color w:val="000000" w:themeColor="text1"/>
                      <w:szCs w:val="24"/>
                      <w14:textFill>
                        <w14:solidFill>
                          <w14:schemeClr w14:val="tx1"/>
                        </w14:solidFill>
                      </w14:textFill>
                    </w:rPr>
                  </m:ctrlPr>
                </m:e>
                <m:sup>
                  <m:r>
                    <m:rPr/>
                    <w:rPr>
                      <w:rFonts w:ascii="Cambria Math" w:hAnsi="Cambria Math"/>
                      <w:color w:val="000000" w:themeColor="text1"/>
                      <w:szCs w:val="24"/>
                      <w14:textFill>
                        <w14:solidFill>
                          <w14:schemeClr w14:val="tx1"/>
                        </w14:solidFill>
                      </w14:textFill>
                    </w:rPr>
                    <m:t>2</m:t>
                  </m:r>
                  <m:ctrlPr>
                    <w:rPr>
                      <w:rFonts w:ascii="Cambria Math" w:hAnsi="Cambria Math"/>
                      <w:i/>
                      <w:color w:val="000000" w:themeColor="text1"/>
                      <w:szCs w:val="24"/>
                      <w14:textFill>
                        <w14:solidFill>
                          <w14:schemeClr w14:val="tx1"/>
                        </w14:solidFill>
                      </w14:textFill>
                    </w:rPr>
                  </m:ctrlPr>
                </m:sup>
              </m:sSup>
              <m:ctrlPr>
                <w:rPr>
                  <w:rFonts w:ascii="Cambria Math" w:hAnsi="Cambria Math"/>
                  <w:i/>
                  <w:color w:val="000000" w:themeColor="text1"/>
                  <w:szCs w:val="24"/>
                  <w14:textFill>
                    <w14:solidFill>
                      <w14:schemeClr w14:val="tx1"/>
                    </w14:solidFill>
                  </w14:textFill>
                </w:rPr>
              </m:ctrlPr>
            </m:e>
          </m:rad>
          <m:r>
            <m:rPr/>
            <w:rPr>
              <w:rFonts w:ascii="Cambria Math" w:hAnsi="Cambria Math"/>
              <w:color w:val="000000" w:themeColor="text1"/>
              <w:szCs w:val="24"/>
              <w14:textFill>
                <w14:solidFill>
                  <w14:schemeClr w14:val="tx1"/>
                </w14:solidFill>
              </w14:textFill>
            </w:rPr>
            <m:t xml:space="preserve">        (7.3.18)</m:t>
          </m:r>
        </m:oMath>
      </m:oMathPara>
    </w:p>
    <w:p>
      <w:pPr>
        <w:spacing w:line="240" w:lineRule="auto"/>
        <w:ind w:left="0"/>
        <w:jc w:val="center"/>
        <w:rPr>
          <w:color w:val="000000" w:themeColor="text1"/>
          <w:szCs w:val="24"/>
          <w14:textFill>
            <w14:solidFill>
              <w14:schemeClr w14:val="tx1"/>
            </w14:solidFill>
          </w14:textFill>
        </w:rPr>
      </w:pPr>
    </w:p>
    <w:p>
      <w:pPr>
        <w:spacing w:line="240" w:lineRule="auto"/>
        <w:ind w:left="0"/>
        <w:rPr>
          <w:color w:val="000000" w:themeColor="text1"/>
          <w:szCs w:val="24"/>
          <w14:textFill>
            <w14:solidFill>
              <w14:schemeClr w14:val="tx1"/>
            </w14:solidFill>
          </w14:textFill>
        </w:rPr>
      </w:pPr>
      <w:r>
        <w:rPr>
          <w:rFonts w:hint="eastAsia"/>
          <w:color w:val="000000" w:themeColor="text1"/>
          <w:sz w:val="24"/>
          <w:szCs w:val="24"/>
          <w14:textFill>
            <w14:solidFill>
              <w14:schemeClr w14:val="tx1"/>
            </w14:solidFill>
          </w14:textFill>
        </w:rPr>
        <w:t>式中，当连接体一端为刚性连接另一端为柔性连接时，</w:t>
      </w:r>
      <m:oMath>
        <m:sSub>
          <m:sSubPr>
            <m:ctrlPr>
              <w:rPr>
                <w:rFonts w:ascii="Cambria Math" w:hAnsi="Cambria Math"/>
                <w:color w:val="000000" w:themeColor="text1"/>
                <w:szCs w:val="24"/>
                <w14:textFill>
                  <w14:solidFill>
                    <w14:schemeClr w14:val="tx1"/>
                  </w14:solidFill>
                </w14:textFill>
              </w:rPr>
            </m:ctrlPr>
          </m:sSubPr>
          <m:e>
            <m:r>
              <m:rPr>
                <m:sty m:val="p"/>
              </m:rPr>
              <w:rPr>
                <w:rFonts w:ascii="Cambria Math" w:hAnsi="Cambria Math"/>
                <w:color w:val="000000" w:themeColor="text1"/>
                <w:szCs w:val="24"/>
                <w14:textFill>
                  <w14:solidFill>
                    <w14:schemeClr w14:val="tx1"/>
                  </w14:solidFill>
                </w14:textFill>
              </w:rPr>
              <m:t>∆</m:t>
            </m:r>
            <m:ctrlPr>
              <w:rPr>
                <w:rFonts w:ascii="Cambria Math" w:hAnsi="Cambria Math"/>
                <w:color w:val="000000" w:themeColor="text1"/>
                <w:szCs w:val="24"/>
                <w14:textFill>
                  <w14:solidFill>
                    <w14:schemeClr w14:val="tx1"/>
                  </w14:solidFill>
                </w14:textFill>
              </w:rPr>
            </m:ctrlPr>
          </m:e>
          <m:sub>
            <m:r>
              <m:rPr>
                <m:sty m:val="p"/>
              </m:rPr>
              <w:rPr>
                <w:rFonts w:ascii="Cambria Math" w:hAnsi="Cambria Math"/>
                <w:color w:val="000000" w:themeColor="text1"/>
                <w:szCs w:val="24"/>
                <w14:textFill>
                  <w14:solidFill>
                    <w14:schemeClr w14:val="tx1"/>
                  </w14:solidFill>
                </w14:textFill>
              </w:rPr>
              <m:t>1</m:t>
            </m:r>
            <m:ctrlPr>
              <w:rPr>
                <w:rFonts w:ascii="Cambria Math" w:hAnsi="Cambria Math"/>
                <w:color w:val="000000" w:themeColor="text1"/>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为刚性连接端塔楼的变形在柔性连接端连接体高度处在罕遇地震作用下产生的最大弹塑性位移；</w:t>
      </w:r>
      <m:oMath>
        <m:sSub>
          <m:sSubPr>
            <m:ctrlPr>
              <w:rPr>
                <w:rFonts w:ascii="Cambria Math" w:hAnsi="Cambria Math"/>
                <w:color w:val="000000" w:themeColor="text1"/>
                <w:szCs w:val="24"/>
                <w14:textFill>
                  <w14:solidFill>
                    <w14:schemeClr w14:val="tx1"/>
                  </w14:solidFill>
                </w14:textFill>
              </w:rPr>
            </m:ctrlPr>
          </m:sSubPr>
          <m:e>
            <m:r>
              <m:rPr>
                <m:sty m:val="p"/>
              </m:rPr>
              <w:rPr>
                <w:rFonts w:ascii="Cambria Math" w:hAnsi="Cambria Math"/>
                <w:color w:val="000000" w:themeColor="text1"/>
                <w:szCs w:val="24"/>
                <w14:textFill>
                  <w14:solidFill>
                    <w14:schemeClr w14:val="tx1"/>
                  </w14:solidFill>
                </w14:textFill>
              </w:rPr>
              <m:t>∆</m:t>
            </m:r>
            <m:ctrlPr>
              <w:rPr>
                <w:rFonts w:ascii="Cambria Math" w:hAnsi="Cambria Math"/>
                <w:color w:val="000000" w:themeColor="text1"/>
                <w:szCs w:val="24"/>
                <w14:textFill>
                  <w14:solidFill>
                    <w14:schemeClr w14:val="tx1"/>
                  </w14:solidFill>
                </w14:textFill>
              </w:rPr>
            </m:ctrlPr>
          </m:e>
          <m:sub>
            <m:r>
              <m:rPr>
                <m:sty m:val="p"/>
              </m:rPr>
              <w:rPr>
                <w:rFonts w:ascii="Cambria Math" w:hAnsi="Cambria Math"/>
                <w:color w:val="000000" w:themeColor="text1"/>
                <w:szCs w:val="24"/>
                <w14:textFill>
                  <w14:solidFill>
                    <w14:schemeClr w14:val="tx1"/>
                  </w14:solidFill>
                </w14:textFill>
              </w:rPr>
              <m:t>2</m:t>
            </m:r>
            <m:ctrlPr>
              <w:rPr>
                <w:rFonts w:ascii="Cambria Math" w:hAnsi="Cambria Math"/>
                <w:color w:val="000000" w:themeColor="text1"/>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为柔性连接端塔楼在连接体高度处在罕遇地震作用下的最大弹塑性位移；当连接体两端均为柔性连接时，</w:t>
      </w:r>
      <m:oMath>
        <m:sSub>
          <m:sSubPr>
            <m:ctrlPr>
              <w:rPr>
                <w:rFonts w:ascii="Cambria Math" w:hAnsi="Cambria Math"/>
                <w:color w:val="000000" w:themeColor="text1"/>
                <w:szCs w:val="24"/>
                <w14:textFill>
                  <w14:solidFill>
                    <w14:schemeClr w14:val="tx1"/>
                  </w14:solidFill>
                </w14:textFill>
              </w:rPr>
            </m:ctrlPr>
          </m:sSubPr>
          <m:e>
            <m:r>
              <m:rPr>
                <m:sty m:val="p"/>
              </m:rPr>
              <w:rPr>
                <w:rFonts w:ascii="Cambria Math" w:hAnsi="Cambria Math"/>
                <w:color w:val="000000" w:themeColor="text1"/>
                <w:szCs w:val="24"/>
                <w14:textFill>
                  <w14:solidFill>
                    <w14:schemeClr w14:val="tx1"/>
                  </w14:solidFill>
                </w14:textFill>
              </w:rPr>
              <m:t>∆</m:t>
            </m:r>
            <m:ctrlPr>
              <w:rPr>
                <w:rFonts w:ascii="Cambria Math" w:hAnsi="Cambria Math"/>
                <w:color w:val="000000" w:themeColor="text1"/>
                <w:szCs w:val="24"/>
                <w14:textFill>
                  <w14:solidFill>
                    <w14:schemeClr w14:val="tx1"/>
                  </w14:solidFill>
                </w14:textFill>
              </w:rPr>
            </m:ctrlPr>
          </m:e>
          <m:sub>
            <m:r>
              <m:rPr>
                <m:sty m:val="p"/>
              </m:rPr>
              <w:rPr>
                <w:rFonts w:ascii="Cambria Math" w:hAnsi="Cambria Math"/>
                <w:color w:val="000000" w:themeColor="text1"/>
                <w:szCs w:val="24"/>
                <w14:textFill>
                  <w14:solidFill>
                    <w14:schemeClr w14:val="tx1"/>
                  </w14:solidFill>
                </w14:textFill>
              </w:rPr>
              <m:t>1</m:t>
            </m:r>
            <m:ctrlPr>
              <w:rPr>
                <w:rFonts w:ascii="Cambria Math" w:hAnsi="Cambria Math"/>
                <w:color w:val="000000" w:themeColor="text1"/>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与</w:t>
      </w:r>
      <m:oMath>
        <m:sSub>
          <m:sSubPr>
            <m:ctrlPr>
              <w:rPr>
                <w:rFonts w:ascii="Cambria Math" w:hAnsi="Cambria Math"/>
                <w:color w:val="000000" w:themeColor="text1"/>
                <w:szCs w:val="24"/>
                <w14:textFill>
                  <w14:solidFill>
                    <w14:schemeClr w14:val="tx1"/>
                  </w14:solidFill>
                </w14:textFill>
              </w:rPr>
            </m:ctrlPr>
          </m:sSubPr>
          <m:e>
            <m:r>
              <m:rPr>
                <m:sty m:val="p"/>
              </m:rPr>
              <w:rPr>
                <w:rFonts w:ascii="Cambria Math" w:hAnsi="Cambria Math"/>
                <w:color w:val="000000" w:themeColor="text1"/>
                <w:szCs w:val="24"/>
                <w14:textFill>
                  <w14:solidFill>
                    <w14:schemeClr w14:val="tx1"/>
                  </w14:solidFill>
                </w14:textFill>
              </w:rPr>
              <m:t>∆</m:t>
            </m:r>
            <m:ctrlPr>
              <w:rPr>
                <w:rFonts w:ascii="Cambria Math" w:hAnsi="Cambria Math"/>
                <w:color w:val="000000" w:themeColor="text1"/>
                <w:szCs w:val="24"/>
                <w14:textFill>
                  <w14:solidFill>
                    <w14:schemeClr w14:val="tx1"/>
                  </w14:solidFill>
                </w14:textFill>
              </w:rPr>
            </m:ctrlPr>
          </m:e>
          <m:sub>
            <m:r>
              <m:rPr>
                <m:sty m:val="p"/>
              </m:rPr>
              <w:rPr>
                <w:rFonts w:ascii="Cambria Math" w:hAnsi="Cambria Math"/>
                <w:color w:val="000000" w:themeColor="text1"/>
                <w:szCs w:val="24"/>
                <w14:textFill>
                  <w14:solidFill>
                    <w14:schemeClr w14:val="tx1"/>
                  </w14:solidFill>
                </w14:textFill>
              </w:rPr>
              <m:t>2</m:t>
            </m:r>
            <m:ctrlPr>
              <w:rPr>
                <w:rFonts w:ascii="Cambria Math" w:hAnsi="Cambria Math"/>
                <w:color w:val="000000" w:themeColor="text1"/>
                <w:szCs w:val="24"/>
                <w14:textFill>
                  <w14:solidFill>
                    <w14:schemeClr w14:val="tx1"/>
                  </w14:solidFill>
                </w14:textFill>
              </w:rPr>
            </m:ctrlPr>
          </m:sub>
        </m:sSub>
      </m:oMath>
      <w:r>
        <w:rPr>
          <w:rFonts w:hint="eastAsia"/>
          <w:color w:val="000000" w:themeColor="text1"/>
          <w:sz w:val="24"/>
          <w:szCs w:val="24"/>
          <w14:textFill>
            <w14:solidFill>
              <w14:schemeClr w14:val="tx1"/>
            </w14:solidFill>
          </w14:textFill>
        </w:rPr>
        <w:t>分别为两侧塔楼在连接体高度处在罕遇地震作用下的最大弹塑性位移。</w:t>
      </w:r>
    </w:p>
    <w:p>
      <w:pPr>
        <w:pStyle w:val="119"/>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柔性连接采用板式橡胶支座时，计算变形时应考虑其刚度及滞迴性能的影响；当采用可滑动钢支座时，应根据设备制造方提供的相关参数进行相应计算。柔性连接支座不允许产生明显位移并应具有复位功能及一定的转动能力。可</w:t>
      </w:r>
      <w:r>
        <w:rPr>
          <w:rFonts w:hint="eastAsia"/>
          <w:color w:val="000000" w:themeColor="text1"/>
          <w14:textFill>
            <w14:solidFill>
              <w14:schemeClr w14:val="tx1"/>
            </w14:solidFill>
          </w14:textFill>
        </w:rPr>
        <w:t>滑动钢支座不宜采用单向滑动支座。</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在罕遇地震作用下，连接体的柔性连接端应采用限位防撞击及防坠落措施。</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在风荷载与地震作用下，连接体支座处出现拉力时，应对支座进行抗拉设计。</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连接体与连接体相连的结构构件在连接体高度范围及其上下相邻层宜满足以下构造要求：</w:t>
      </w:r>
    </w:p>
    <w:p>
      <w:pPr>
        <w:spacing w:line="240" w:lineRule="auto"/>
        <w:ind w:left="0"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 抗震等级应提高一级采用，已为特一级时可不再提高。</w:t>
      </w:r>
    </w:p>
    <w:p>
      <w:pPr>
        <w:spacing w:line="240" w:lineRule="auto"/>
        <w:ind w:left="0"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 框架柱的箍筋应全高加密配置，轴压比限值应按其他楼层框架柱的数值减少0.05采用。</w:t>
      </w:r>
    </w:p>
    <w:p>
      <w:pPr>
        <w:spacing w:line="240" w:lineRule="auto"/>
        <w:ind w:left="0"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 剪力墙应设置约束边缘构件。</w:t>
      </w:r>
    </w:p>
    <w:p>
      <w:pPr>
        <w:spacing w:line="240" w:lineRule="auto"/>
        <w:ind w:left="0"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 楼板应双层双向配筋，配筋率一般不低于2%；两端刚性连接时不宜低于2.5%。楼板厚度不宜小于150mm。</w:t>
      </w:r>
    </w:p>
    <w:p>
      <w:pPr>
        <w:pStyle w:val="61"/>
        <w:rPr>
          <w:rFonts w:ascii="Times New Roman" w:hAnsi="Times New Roman"/>
          <w:color w:val="000000" w:themeColor="text1"/>
          <w:lang w:eastAsia="zh-CN"/>
          <w14:textFill>
            <w14:solidFill>
              <w14:schemeClr w14:val="tx1"/>
            </w14:solidFill>
          </w14:textFill>
        </w:rPr>
      </w:pPr>
      <w:r>
        <w:rPr>
          <w:rFonts w:hAnsi="Times New Roman"/>
          <w:color w:val="000000" w:themeColor="text1"/>
          <w:lang w:eastAsia="zh-CN"/>
          <w14:textFill>
            <w14:solidFill>
              <w14:schemeClr w14:val="tx1"/>
            </w14:solidFill>
          </w14:textFill>
        </w:rPr>
        <w:t xml:space="preserve"> </w:t>
      </w:r>
      <w:bookmarkStart w:id="45" w:name="_Toc24714213"/>
      <w:r>
        <w:rPr>
          <w:rFonts w:hint="eastAsia" w:hAnsi="Times New Roman"/>
          <w:color w:val="000000" w:themeColor="text1"/>
          <w:lang w:eastAsia="zh-CN"/>
          <w14:textFill>
            <w14:solidFill>
              <w14:schemeClr w14:val="tx1"/>
            </w14:solidFill>
          </w14:textFill>
        </w:rPr>
        <w:t>带</w:t>
      </w:r>
      <w:r>
        <w:rPr>
          <w:color w:val="000000" w:themeColor="text1"/>
          <w:lang w:eastAsia="zh-CN"/>
          <w14:textFill>
            <w14:solidFill>
              <w14:schemeClr w14:val="tx1"/>
            </w14:solidFill>
          </w14:textFill>
        </w:rPr>
        <w:t>加强层高层建筑结构</w:t>
      </w:r>
      <w:bookmarkEnd w:id="45"/>
      <w:r>
        <w:rPr>
          <w:rFonts w:ascii="Times New Roman" w:hAnsi="Times New Roman"/>
          <w:color w:val="000000" w:themeColor="text1"/>
          <w:lang w:eastAsia="zh-CN"/>
          <w14:textFill>
            <w14:solidFill>
              <w14:schemeClr w14:val="tx1"/>
            </w14:solidFill>
          </w14:textFill>
        </w:rPr>
        <w:t xml:space="preserve">  </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超B级高度的钢筋混凝土框架—核心筒和筒中筒结构、超过混合结构高层建筑适用最大高度的框架—核心筒和筒中筒结构，当侧向刚度不能满足本规程第2.7.1和2.7.2条的要求时，可利用建筑避难层、设备层空间设置刚度适宜的加强层。设置加强层的数量和位置应通过有效性比较确定。当仅设置一道加强层时，其位置宜在0.6倍结构高度附近的避难层；当需设置二道加强层时，第二道位置宜在第一道加强层位置上或下相邻的避难层，或在第一道加强层相邻的上、下两个避难层处。</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加强层可设水平伸臂构件或周边水平环带构件，必要时加强层也可同时设置这两种构件。</w:t>
      </w:r>
    </w:p>
    <w:p>
      <w:pPr>
        <w:spacing w:line="240" w:lineRule="auto"/>
        <w:ind w:lef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 水平伸臂构件可采用斜腹杆、斜腹杆桁架、空腹桁架和实腹梁，宜优先采用斜腹杆、斜腹杆桁架。当高层结构仅有一向刚度较弱时，可仅在弱刚度方向设置水平伸臂构件。</w:t>
      </w:r>
    </w:p>
    <w:p>
      <w:pPr>
        <w:spacing w:line="240" w:lineRule="auto"/>
        <w:ind w:lef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 水平环带构件可采用斜腹杆桁架、空腹桁架和实腹梁，宜优先采用斜腹杆桁架。当高层结构仅有一向刚度较弱时，可仅在弱刚度方向设置单向桁架。</w:t>
      </w:r>
    </w:p>
    <w:p>
      <w:pPr>
        <w:spacing w:line="240" w:lineRule="auto"/>
        <w:ind w:lef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 当一层高的斜腹杆桁架不能满足刚度要求时，可采用多层斜腹杆桁架。</w:t>
      </w:r>
    </w:p>
    <w:p>
      <w:pPr>
        <w:spacing w:line="240" w:lineRule="auto"/>
        <w:ind w:lef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4 斜腹杆、斜腹杆桁架宜采用钢结构。 </w:t>
      </w:r>
    </w:p>
    <w:p>
      <w:pPr>
        <w:spacing w:line="240" w:lineRule="auto"/>
        <w:ind w:lef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 必要时可结合设计要求设置阻尼器或消能耗能装置。</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加强层的水平伸臂构件、水平环带构件、加强层及其上、下相邻一层的框架和核心筒剪力墙抗震等级为特一级。</w:t>
      </w:r>
    </w:p>
    <w:p>
      <w:pPr>
        <w:pStyle w:val="119"/>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加强层及其上、下相邻一层的核心筒剪力墙轴压比不宜超过0.4；加强层及其上、下相邻一层的框架柱轴压比不宜超过0.55，柱箍筋应全柱段加密。</w:t>
      </w:r>
      <w:r>
        <w:rPr>
          <w:rFonts w:hint="eastAsia"/>
          <w:color w:val="000000" w:themeColor="text1"/>
          <w14:textFill>
            <w14:solidFill>
              <w14:schemeClr w14:val="tx1"/>
            </w14:solidFill>
          </w14:textFill>
        </w:rPr>
        <w:t>6度时轴压比限值可增加0.10。</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加强层的水平伸臂构件在平面上宜对称均匀布置，上下弦杆均应在核心筒墙体内贯通，墙体内可根据需要设置斜腹杆；平面布置应注意使伸臂构件一端直接与核心筒的转角或T字墙肢处刚性连接，并宜在此处设置构造型钢柱，型钢柱至少延伸至伸臂桁架高度范围以外上、下各一层，伸臂构件另一端应直接与柱相连，连接宜采用铰接或半刚接。对连接节点应单独进行分析计算，确保实现“强节点弱构件”的抗震设计理念。</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加强层楼板厚度不应小于150mm，楼板应双层双向配筋，每层每方向板的配筋率不宜小于0.25%，框架柱与核心筒之间的楼板不宜开大洞。设置水平伸臂桁架的楼层构件内力分析时应以弹性楼板参与整体计算，设防烈度地震验算时宜考虑楼板开裂对其刚度的影响。加强层相邻的上、下层楼板厚度及配筋宜适当加强。</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设置加强层后，必须注意加强层上、下相邻层外围框架柱的强度和延性设计，可采用劲性钢筋混凝土；加强层及其上、下相邻层的核心筒剪力墙应按底部加强部位的要求设计。</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宜考虑施工过程中在重力荷载作用下外框柱与核心筒竖向变形差引起水平伸臂构件的附加内力，设计时可要求水平伸臂构件采用后浇块（钢筋混凝土）或后连接（钢结构）的措施，待主体结构施工完成或部分完成后再进行刚性连接以减少其影响。</w:t>
      </w:r>
    </w:p>
    <w:p>
      <w:pPr>
        <w:pStyle w:val="61"/>
        <w:rPr>
          <w:color w:val="000000" w:themeColor="text1"/>
          <w14:textFill>
            <w14:solidFill>
              <w14:schemeClr w14:val="tx1"/>
            </w14:solidFill>
          </w14:textFill>
        </w:rPr>
      </w:pPr>
      <w:bookmarkStart w:id="46" w:name="_Toc24714214"/>
      <w:r>
        <w:rPr>
          <w:rFonts w:hint="eastAsia"/>
          <w:color w:val="000000" w:themeColor="text1"/>
          <w14:textFill>
            <w14:solidFill>
              <w14:schemeClr w14:val="tx1"/>
            </w14:solidFill>
          </w14:textFill>
        </w:rPr>
        <w:t>一向少墙剪力墙结构</w:t>
      </w:r>
      <w:bookmarkEnd w:id="46"/>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一向少墙剪力墙结构指平面沿主轴方向或其它方向的两个方向布置的剪力墙数量相差较大的结构。</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进行少墙向结构体系的判定时,除了根据高规8.1.3条按倾覆力矩比判别外,尚应按剪力比进行判别,当二者在</w:t>
      </w:r>
      <w:r>
        <w:rPr>
          <w:color w:val="000000" w:themeColor="text1"/>
          <w:lang w:eastAsia="zh-CN"/>
          <w14:textFill>
            <w14:solidFill>
              <w14:schemeClr w14:val="tx1"/>
            </w14:solidFill>
          </w14:textFill>
        </w:rPr>
        <w:t>底层</w:t>
      </w:r>
      <w:r>
        <w:rPr>
          <w:rFonts w:hint="eastAsia"/>
          <w:color w:val="000000" w:themeColor="text1"/>
          <w:lang w:eastAsia="zh-CN"/>
          <w14:textFill>
            <w14:solidFill>
              <w14:schemeClr w14:val="tx1"/>
            </w14:solidFill>
          </w14:textFill>
        </w:rPr>
        <w:t>的占比</w:t>
      </w:r>
      <w:r>
        <w:rPr>
          <w:color w:val="000000" w:themeColor="text1"/>
          <w:lang w:eastAsia="zh-CN"/>
          <w14:textFill>
            <w14:solidFill>
              <w14:schemeClr w14:val="tx1"/>
            </w14:solidFill>
          </w14:textFill>
        </w:rPr>
        <w:t>计算结果有差异时，取较小值为准</w:t>
      </w:r>
      <w:r>
        <w:rPr>
          <w:rFonts w:hint="eastAsia"/>
          <w:color w:val="000000" w:themeColor="text1"/>
          <w:lang w:eastAsia="zh-CN"/>
          <w14:textFill>
            <w14:solidFill>
              <w14:schemeClr w14:val="tx1"/>
            </w14:solidFill>
          </w14:textFill>
        </w:rPr>
        <w:t>进行判别。</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当属于框架剪力墙结构时，尚应根据另向墙与楼板组成的框架(扁柱楼板框架)的楼层剪力占比确定相应的设计方法，并符合以下规定：</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  当扁柱楼板框架的楼层剪力占比小于10%时，应按框架剪力墙结构进行设计，剪力墙及梁柱框架承担全部水平地震作用；</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当扁柱楼板框架的楼层剪力占比不小于10%时，</w:t>
      </w:r>
      <w:r>
        <w:rPr>
          <w:rFonts w:ascii="宋体" w:hAnsi="宋体"/>
          <w:color w:val="000000" w:themeColor="text1"/>
          <w:sz w:val="24"/>
          <w:szCs w:val="24"/>
          <w14:textFill>
            <w14:solidFill>
              <w14:schemeClr w14:val="tx1"/>
            </w14:solidFill>
          </w14:textFill>
        </w:rPr>
        <w:t>除按规范框架-剪力墙结构进行设计外，应对扁柱框架的抗震承载力进行验算，</w:t>
      </w:r>
      <w:r>
        <w:rPr>
          <w:rFonts w:hint="eastAsia" w:ascii="宋体" w:hAnsi="宋体"/>
          <w:color w:val="000000" w:themeColor="text1"/>
          <w:sz w:val="24"/>
          <w:szCs w:val="24"/>
          <w14:textFill>
            <w14:solidFill>
              <w14:schemeClr w14:val="tx1"/>
            </w14:solidFill>
          </w14:textFill>
        </w:rPr>
        <w:t>墙体竖向分布钢筋的配筋率不宜小于0.3%。</w:t>
      </w:r>
    </w:p>
    <w:p>
      <w:pPr>
        <w:pStyle w:val="61"/>
        <w:rPr>
          <w:color w:val="000000" w:themeColor="text1"/>
          <w:lang w:eastAsia="zh-CN"/>
          <w14:textFill>
            <w14:solidFill>
              <w14:schemeClr w14:val="tx1"/>
            </w14:solidFill>
          </w14:textFill>
        </w:rPr>
      </w:pPr>
      <w:bookmarkStart w:id="47" w:name="_Toc24714215"/>
      <w:r>
        <w:rPr>
          <w:rFonts w:hint="eastAsia"/>
          <w:color w:val="000000" w:themeColor="text1"/>
          <w:lang w:eastAsia="zh-CN"/>
          <w14:textFill>
            <w14:solidFill>
              <w14:schemeClr w14:val="tx1"/>
            </w14:solidFill>
          </w14:textFill>
        </w:rPr>
        <w:t>平面凹凸不规则剪力墙结构</w:t>
      </w:r>
      <w:bookmarkEnd w:id="47"/>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平面凹凸不规则剪力墙结构中的结构平面形式可分为为单肢非正交（或斜交）形式和单肢正交形式，单肢非正交（或斜交）如Y形平面、X形平面等，单肢正交如工字形、十字形、风车形等。</w:t>
      </w:r>
    </w:p>
    <w:p>
      <w:pPr>
        <w:pStyle w:val="119"/>
        <w:rPr>
          <w:color w:val="000000" w:themeColor="text1"/>
          <w:lang w:eastAsia="zh-CN"/>
          <w14:textFill>
            <w14:solidFill>
              <w14:schemeClr w14:val="tx1"/>
            </w14:solidFill>
          </w14:textFill>
        </w:rPr>
      </w:pPr>
      <w:r>
        <w:rPr>
          <w:rFonts w:hint="eastAsia"/>
          <w:color w:val="000000" w:themeColor="text1"/>
          <w:lang w:val="zh-CN" w:eastAsia="zh-CN"/>
          <w14:textFill>
            <w14:solidFill>
              <w14:schemeClr w14:val="tx1"/>
            </w14:solidFill>
          </w14:textFill>
        </w:rPr>
        <w:t>单肢结构平面内应布置与单肢纵向相垂直的剪力墙和梁柱框架（横向）抗震。</w:t>
      </w:r>
    </w:p>
    <w:p>
      <w:pPr>
        <w:pStyle w:val="119"/>
        <w:rPr>
          <w:color w:val="000000" w:themeColor="text1"/>
          <w:lang w:eastAsia="zh-CN"/>
          <w14:textFill>
            <w14:solidFill>
              <w14:schemeClr w14:val="tx1"/>
            </w14:solidFill>
          </w14:textFill>
        </w:rPr>
      </w:pPr>
      <w:r>
        <w:rPr>
          <w:rFonts w:hint="eastAsia"/>
          <w:color w:val="000000" w:themeColor="text1"/>
          <w:lang w:val="zh-CN" w:eastAsia="zh-CN"/>
          <w14:textFill>
            <w14:solidFill>
              <w14:schemeClr w14:val="tx1"/>
            </w14:solidFill>
          </w14:textFill>
        </w:rPr>
        <w:t>在单肢纵向的少墙结构，应有可靠的楼面梁板与中心区核心筒连接。</w:t>
      </w:r>
    </w:p>
    <w:p>
      <w:pPr>
        <w:pStyle w:val="119"/>
        <w:rPr>
          <w:color w:val="000000" w:themeColor="text1"/>
          <w:lang w:eastAsia="zh-CN"/>
          <w14:textFill>
            <w14:solidFill>
              <w14:schemeClr w14:val="tx1"/>
            </w14:solidFill>
          </w14:textFill>
        </w:rPr>
      </w:pPr>
      <w:r>
        <w:rPr>
          <w:rFonts w:hint="eastAsia"/>
          <w:color w:val="000000" w:themeColor="text1"/>
          <w:lang w:val="zh-CN" w:eastAsia="zh-CN"/>
          <w14:textFill>
            <w14:solidFill>
              <w14:schemeClr w14:val="tx1"/>
            </w14:solidFill>
          </w14:textFill>
        </w:rPr>
        <w:t>中心区外周应设置围合剪力墙；中心区内部电梯井部位宜布置剪力墙。布置剪力墙时宜尽量减少或避免采用一字墙。</w:t>
      </w:r>
    </w:p>
    <w:p>
      <w:pPr>
        <w:pStyle w:val="119"/>
        <w:rPr>
          <w:color w:val="000000" w:themeColor="text1"/>
          <w:lang w:eastAsia="zh-CN"/>
          <w14:textFill>
            <w14:solidFill>
              <w14:schemeClr w14:val="tx1"/>
            </w14:solidFill>
          </w14:textFill>
        </w:rPr>
      </w:pPr>
      <w:r>
        <w:rPr>
          <w:rFonts w:hint="eastAsia"/>
          <w:color w:val="000000" w:themeColor="text1"/>
          <w:lang w:val="zh-CN" w:eastAsia="zh-CN"/>
          <w14:textFill>
            <w14:solidFill>
              <w14:schemeClr w14:val="tx1"/>
            </w14:solidFill>
          </w14:textFill>
        </w:rPr>
        <w:t>建筑高度为超B级高度时，单肢的长宽比l/b比值不宜大于2.0，不应大于3.0。</w:t>
      </w:r>
    </w:p>
    <w:p>
      <w:pPr>
        <w:pStyle w:val="119"/>
        <w:rPr>
          <w:color w:val="000000" w:themeColor="text1"/>
          <w:lang w:val="zh-CN" w:eastAsia="zh-CN"/>
          <w14:textFill>
            <w14:solidFill>
              <w14:schemeClr w14:val="tx1"/>
            </w14:solidFill>
          </w14:textFill>
        </w:rPr>
      </w:pPr>
      <w:r>
        <w:rPr>
          <w:rFonts w:hint="eastAsia"/>
          <w:color w:val="000000" w:themeColor="text1"/>
          <w:lang w:val="zh-CN" w:eastAsia="zh-CN"/>
          <w14:textFill>
            <w14:solidFill>
              <w14:schemeClr w14:val="tx1"/>
            </w14:solidFill>
          </w14:textFill>
        </w:rPr>
        <w:t>根据中心区和单肢区不同方向剪力墙的布置，平面凹凸不规则剪力墙结构可按框架剪力墙结构体系进行设计；当单肢平面内纵向剪力墙很少时，宜按一向少墙的剪力墙结构进行结构体系论证和验算。</w:t>
      </w:r>
    </w:p>
    <w:p>
      <w:pPr>
        <w:pStyle w:val="119"/>
        <w:rPr>
          <w:color w:val="000000" w:themeColor="text1"/>
          <w:lang w:val="zh-CN" w:eastAsia="zh-CN"/>
          <w14:textFill>
            <w14:solidFill>
              <w14:schemeClr w14:val="tx1"/>
            </w14:solidFill>
          </w14:textFill>
        </w:rPr>
      </w:pPr>
      <w:r>
        <w:rPr>
          <w:color w:val="000000" w:themeColor="text1"/>
          <w:lang w:val="zh-CN" w:eastAsia="zh-CN"/>
          <w14:textFill>
            <w14:solidFill>
              <w14:schemeClr w14:val="tx1"/>
            </w14:solidFill>
          </w14:textFill>
        </w:rPr>
        <w:t>当单肢长宽比小于1.5时，</w:t>
      </w:r>
      <w:r>
        <w:rPr>
          <w:rFonts w:hint="eastAsia"/>
          <w:color w:val="000000" w:themeColor="text1"/>
          <w:lang w:val="zh-CN" w:eastAsia="zh-CN"/>
          <w14:textFill>
            <w14:solidFill>
              <w14:schemeClr w14:val="tx1"/>
            </w14:solidFill>
          </w14:textFill>
        </w:rPr>
        <w:t>可</w:t>
      </w:r>
      <w:r>
        <w:rPr>
          <w:color w:val="000000" w:themeColor="text1"/>
          <w:lang w:val="zh-CN" w:eastAsia="zh-CN"/>
          <w14:textFill>
            <w14:solidFill>
              <w14:schemeClr w14:val="tx1"/>
            </w14:solidFill>
          </w14:textFill>
        </w:rPr>
        <w:t>按楼板为平面内刚性假定计算结构的各项总体指标。</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平面凹凸不规则剪力墙的楼板应按平面内弹性进行有限元计算。单肢内端截面剪力和中心区洞边板截面剪力、弯矩与轴力值沿结构高度变化较大，进行截面抗剪和抗弯承载力验算时，宜沿高分段验算。</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结构弱连接楼盖在结构顶部及底部应设加强区采取加强措施。结构底部加强区高度按高规有关规定执行，顶部加强区高度按顶点向下1/10高度范围。</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加强区由单肢内端起0.25肢长范围内的楼板，当长宽比l/b大于1.5小于2.0时板厚不宜小于130；当长宽比l/b大于2.0小于2.5时板厚不宜小于150。该区域楼板应采取双层双向配筋，且配筋率不小于0.25%。加强区的弱连接楼盖部位的梁应设置腰筋，单侧不宜少于2根，单侧腰筋截面积不应小于腹板截面积的0.2%，且其间距不宜大于150mm。</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加强区内中心区楼板的板厚不宜小于150mm，双层双向配筋，配筋率不小于0.3%。</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弱连接处楼板的板内钢筋应可靠锚入两侧梁与墙体内。</w:t>
      </w:r>
    </w:p>
    <w:p>
      <w:pPr>
        <w:pStyle w:val="61"/>
        <w:rPr>
          <w:color w:val="000000" w:themeColor="text1"/>
          <w14:textFill>
            <w14:solidFill>
              <w14:schemeClr w14:val="tx1"/>
            </w14:solidFill>
          </w14:textFill>
        </w:rPr>
      </w:pPr>
      <w:bookmarkStart w:id="48" w:name="_Toc24714216"/>
      <w:r>
        <w:rPr>
          <w:rFonts w:hint="eastAsia"/>
          <w:color w:val="000000" w:themeColor="text1"/>
          <w14:textFill>
            <w14:solidFill>
              <w14:schemeClr w14:val="tx1"/>
            </w14:solidFill>
          </w14:textFill>
        </w:rPr>
        <w:t>框架-</w:t>
      </w:r>
      <w:r>
        <w:rPr>
          <w:rFonts w:hint="eastAsia"/>
          <w:color w:val="000000" w:themeColor="text1"/>
          <w:lang w:eastAsia="zh-CN"/>
          <w14:textFill>
            <w14:solidFill>
              <w14:schemeClr w14:val="tx1"/>
            </w14:solidFill>
          </w14:textFill>
        </w:rPr>
        <w:t>核心筒</w:t>
      </w:r>
      <w:r>
        <w:rPr>
          <w:rFonts w:hint="eastAsia"/>
          <w:color w:val="000000" w:themeColor="text1"/>
          <w14:textFill>
            <w14:solidFill>
              <w14:schemeClr w14:val="tx1"/>
            </w14:solidFill>
          </w14:textFill>
        </w:rPr>
        <w:t>结构</w:t>
      </w:r>
      <w:bookmarkEnd w:id="48"/>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抗震设计时，框筒结构的框架部分按侧向刚度分配的楼层地震力标准值应符合下列规定：</w:t>
      </w:r>
    </w:p>
    <w:p>
      <w:pPr>
        <w:spacing w:line="240" w:lineRule="auto"/>
        <w:ind w:lef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  当框架部分分配的楼层地震剪力标准值小于结构该层剪力标准值的5%时，该层筒体承担的地震剪力应增大5%；当框架部分分配的楼层地震剪力标准值小于结构该层剪力标准值的10%时，该层筒体承担的地震剪力应增大10%；</w:t>
      </w:r>
    </w:p>
    <w:p>
      <w:pPr>
        <w:spacing w:line="240" w:lineRule="auto"/>
        <w:ind w:lef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  当结构连续较多楼层的楼层地震剪力标准值小于各相应楼层剪力标准值5%时，应验算各楼层框架承担的倾覆力矩比及变化楼层梁的剪力、弯矩及相应的承载能力。</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核心筒宜贯通建筑物全高，核心筒高宽比不宜小于1/16。核心筒中、上部区域刚度可视建筑要求适当减弱。</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无角柱框架核心筒结构外框角部斜梁应按斜向输入地震作用验算。</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核心筒长宽比较大时，宜采取措施使两个方向的结构刚度和周期相接近。</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核心筒外墙在建筑中上部终止形成刚度突变时，应复核突变楼层抗弯抗剪承载力满足要求，并采取适当加强措施。此外尚应考虑剪力墙收进形成构件竖向变形差对结构带来的不利影响。</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框架-核心筒结构顶部2~3层的外框架梁柱按设防烈度不屈服或弹性的抗震性能目标进行设计。</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外框柱为斜柱时，应考虑斜柱引起的水平构件拉力，采取可靠的加强措施。</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核心筒与外框架间采用无梁空芯楼盖结构时，楼盖除考虑竖向荷载作用外，尚应考虑水平风及地震作用，并应根据性能目标要求对不同烈度地震作用下的楼盖抗震性能进行设计验算和配筋构造。楼板钢筋在支座处的锚固应满足相应框架抗震等级的钢筋抗震锚固长度要求和构造要求。</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当楼层框架梁间断时，应进行可行性论证，根据间断框架梁的位置和数量考虑削弱对结构抗侧抗扭等的不利影响，并采取相应的加强措施。</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当外框柱在结构底部或中部部分缺失时，应进行可行性论证，在柱缺失层顶部设置转换桁架承受上部传来的竖向荷载及相应的扭矩、水平荷载作用。</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当结构平面楼板有较大缺失时，应对缺失楼板周边的楼盖结构及相应楼层的核心筒墙体采取适当的加强措施。</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当框架梁垂直支承在核心筒剪力墙时，应复核剪力墙的面外抗弯承载能力，并采取适宜的加强措施。</w:t>
      </w:r>
    </w:p>
    <w:p>
      <w:pPr>
        <w:pStyle w:val="61"/>
        <w:rPr>
          <w:color w:val="000000" w:themeColor="text1"/>
          <w14:textFill>
            <w14:solidFill>
              <w14:schemeClr w14:val="tx1"/>
            </w14:solidFill>
          </w14:textFill>
        </w:rPr>
      </w:pPr>
      <w:bookmarkStart w:id="49" w:name="_Toc24714217"/>
      <w:r>
        <w:rPr>
          <w:rFonts w:hint="eastAsia"/>
          <w:color w:val="000000" w:themeColor="text1"/>
          <w14:textFill>
            <w14:solidFill>
              <w14:schemeClr w14:val="tx1"/>
            </w14:solidFill>
          </w14:textFill>
        </w:rPr>
        <w:t>框架-边筒结构</w:t>
      </w:r>
      <w:bookmarkEnd w:id="49"/>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 xml:space="preserve"> 框架-边筒结构中用于竖向交通及设备、卫生间的筒体位于整个建筑的一侧，其外边缘与建筑外墙重合或紧邻建筑外墙。筒体边置对结构抗扭不利，设计时宜采取措施提高结构的抗扭刚度及承载力。</w:t>
      </w:r>
    </w:p>
    <w:p>
      <w:pPr>
        <w:pStyle w:val="119"/>
        <w:rPr>
          <w:color w:val="000000" w:themeColor="text1"/>
          <w14:textFill>
            <w14:solidFill>
              <w14:schemeClr w14:val="tx1"/>
            </w14:solidFill>
          </w14:textFill>
        </w:rPr>
      </w:pPr>
      <w:bookmarkStart w:id="50" w:name="OLE_LINK23"/>
      <w:r>
        <w:rPr>
          <w:rFonts w:hint="eastAsia"/>
          <w:color w:val="000000" w:themeColor="text1"/>
          <w:lang w:eastAsia="zh-CN"/>
          <w14:textFill>
            <w14:solidFill>
              <w14:schemeClr w14:val="tx1"/>
            </w14:solidFill>
          </w14:textFill>
        </w:rPr>
        <w:t>框架-边筒结构</w:t>
      </w:r>
      <w:bookmarkEnd w:id="50"/>
      <w:r>
        <w:rPr>
          <w:rFonts w:hint="eastAsia"/>
          <w:color w:val="000000" w:themeColor="text1"/>
          <w:lang w:eastAsia="zh-CN"/>
          <w14:textFill>
            <w14:solidFill>
              <w14:schemeClr w14:val="tx1"/>
            </w14:solidFill>
          </w14:textFill>
        </w:rPr>
        <w:t>宜在筒体偏置方向的对侧从上到下通高设置剪力墙或在外框柱之间设置柱间支撑，使得结构两边刚度趋于接近。柱间支撑形式可采用“人”字撑，“V”型撑，“X”型交叉撑，采用单斜撑时应成对布置倾斜方向相反的偶数组单斜撑。</w:t>
      </w:r>
      <w:r>
        <w:rPr>
          <w:rFonts w:hint="eastAsia"/>
          <w:color w:val="000000" w:themeColor="text1"/>
          <w14:textFill>
            <w14:solidFill>
              <w14:schemeClr w14:val="tx1"/>
            </w14:solidFill>
          </w14:textFill>
        </w:rPr>
        <w:t>柱间支撑应向下延伸至嵌固层下一层。</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 xml:space="preserve"> 对没有条件在筒体偏置方向对侧设置剪力墙或柱间支撑的框架-边筒结构，可采用以下方法加强结构整体抗扭刚度：</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 应设置外框角柱，同时适当增加外框柱数量，减小外框柱间距；增加外框梁的高度，外框梁的跨高比宜小于6。</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bookmarkStart w:id="51" w:name="OLE_LINK29"/>
      <w:bookmarkStart w:id="52" w:name="OLE_LINK30"/>
      <w:r>
        <w:rPr>
          <w:rFonts w:hint="eastAsia" w:ascii="宋体" w:hAnsi="宋体"/>
          <w:color w:val="000000" w:themeColor="text1"/>
          <w:sz w:val="24"/>
          <w:szCs w:val="24"/>
          <w14:textFill>
            <w14:solidFill>
              <w14:schemeClr w14:val="tx1"/>
            </w14:solidFill>
          </w14:textFill>
        </w:rPr>
        <w:t xml:space="preserve"> 平行于偏置轴线的筒体外墙宜加厚，减小洞口宽度，增加连梁</w:t>
      </w:r>
      <w:bookmarkEnd w:id="51"/>
      <w:bookmarkEnd w:id="52"/>
      <w:r>
        <w:rPr>
          <w:rFonts w:hint="eastAsia" w:ascii="宋体" w:hAnsi="宋体"/>
          <w:color w:val="000000" w:themeColor="text1"/>
          <w:sz w:val="24"/>
          <w:szCs w:val="24"/>
          <w14:textFill>
            <w14:solidFill>
              <w14:schemeClr w14:val="tx1"/>
            </w14:solidFill>
          </w14:textFill>
        </w:rPr>
        <w:t>高度，必要时可采用型钢混凝土连梁，以增加刚度和满足抗剪承载力要求。且该方向筒体外墙的端部应设置翼墙，筒体内角至该翼墙边缘的距离不应小于1m和该外墙厚度2倍的较大值。</w:t>
      </w:r>
    </w:p>
    <w:p>
      <w:p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 把边置的筒体分拆成双筒，并尽量靠两边布置，可增加结构整体抗扭刚度。</w:t>
      </w:r>
    </w:p>
    <w:p>
      <w:p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 必要时可结合建筑避难层设置环带桁架，以增加外框架的整体抗扭刚度。</w:t>
      </w:r>
    </w:p>
    <w:p>
      <w:pPr>
        <w:pStyle w:val="119"/>
        <w:rPr>
          <w:color w:val="000000" w:themeColor="text1"/>
          <w:lang w:eastAsia="zh-CN"/>
          <w14:textFill>
            <w14:solidFill>
              <w14:schemeClr w14:val="tx1"/>
            </w14:solidFill>
          </w14:textFill>
        </w:rPr>
      </w:pPr>
      <w:bookmarkStart w:id="53" w:name="OLE_LINK25"/>
      <w:bookmarkStart w:id="54" w:name="OLE_LINK26"/>
      <w:r>
        <w:rPr>
          <w:rFonts w:hint="eastAsia"/>
          <w:color w:val="000000" w:themeColor="text1"/>
          <w:lang w:eastAsia="zh-CN"/>
          <w14:textFill>
            <w14:solidFill>
              <w14:schemeClr w14:val="tx1"/>
            </w14:solidFill>
          </w14:textFill>
        </w:rPr>
        <w:t>框架-边筒结构设置伸臂桁架加强层时，其上下弦杆宜全长伸入剪力墙内，必要时增设端承板或将伸入弦杆在端部弯折伸入横墙内一定长度。</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边筒外侧墙肢在水平荷载作用下出现全截面受拉时，应按本规程5.3节规定采取相应措施。</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框架-边筒结构中</w:t>
      </w:r>
      <w:bookmarkEnd w:id="53"/>
      <w:bookmarkEnd w:id="54"/>
      <w:r>
        <w:rPr>
          <w:rFonts w:hint="eastAsia"/>
          <w:color w:val="000000" w:themeColor="text1"/>
          <w:lang w:eastAsia="zh-CN"/>
          <w14:textFill>
            <w14:solidFill>
              <w14:schemeClr w14:val="tx1"/>
            </w14:solidFill>
          </w14:textFill>
        </w:rPr>
        <w:t>筒体内部的楼板宜减小开洞，且厚度不宜小于150mm，应双层双向配筋，每层每方向的贯通钢筋配筋率不应小于0.25%。</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框架-边筒结构中连接筒体和外框柱的楼面宜两端刚接，楼板的厚度不宜小于120mm，筒体周边楼板、外框角部楼板配筋宜适当加强、双层双向配筋，每层每方向的贯通钢筋配筋率不宜小于0.25%。</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平行于偏置轴线的筒体外墙洞口间的连梁，其刚度不宜折减，必要时可内置钢板或型钢增加其抗剪承载力。</w:t>
      </w:r>
    </w:p>
    <w:p>
      <w:pPr>
        <w:pStyle w:val="61"/>
        <w:rPr>
          <w:color w:val="000000" w:themeColor="text1"/>
          <w14:textFill>
            <w14:solidFill>
              <w14:schemeClr w14:val="tx1"/>
            </w14:solidFill>
          </w14:textFill>
        </w:rPr>
      </w:pPr>
      <w:bookmarkStart w:id="55" w:name="_Toc24714218"/>
      <w:r>
        <w:rPr>
          <w:rFonts w:hint="eastAsia"/>
          <w:color w:val="000000" w:themeColor="text1"/>
          <w14:textFill>
            <w14:solidFill>
              <w14:schemeClr w14:val="tx1"/>
            </w14:solidFill>
          </w14:textFill>
        </w:rPr>
        <w:t>斜撑框架-核心筒结构</w:t>
      </w:r>
      <w:bookmarkEnd w:id="55"/>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高层建筑框筒结构在外框架中加入大斜撑增加外框的刚度时，为斜撑框架-核心筒体结构。</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斜撑宜根据结构需要两侧对称布置。当仅一侧刚度较弱时，可仅在弱向设置斜撑。</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斜撑宜通高设置，顶部斜撑可根据结构受力和变形特征适当减弱。</w:t>
      </w:r>
    </w:p>
    <w:p>
      <w:pPr>
        <w:pStyle w:val="61"/>
        <w:rPr>
          <w:color w:val="000000" w:themeColor="text1"/>
          <w14:textFill>
            <w14:solidFill>
              <w14:schemeClr w14:val="tx1"/>
            </w14:solidFill>
          </w14:textFill>
        </w:rPr>
      </w:pPr>
      <w:bookmarkStart w:id="56" w:name="_Toc24714219"/>
      <w:r>
        <w:rPr>
          <w:rFonts w:hint="eastAsia"/>
          <w:color w:val="000000" w:themeColor="text1"/>
          <w14:textFill>
            <w14:solidFill>
              <w14:schemeClr w14:val="tx1"/>
            </w14:solidFill>
          </w14:textFill>
        </w:rPr>
        <w:t>斜交网格-核心筒结构</w:t>
      </w:r>
      <w:bookmarkEnd w:id="56"/>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斜交网格-核心筒结构中的外围斜交网格同时承受竖向和水平荷载。竖向荷载作用下外围斜交网格在楼层下部及多边形平面角部轴力较大，导致楼层梁板产生很大拉力，形成外鼓变形，设计时应采取以下措施：</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 应复核竖向荷载及罕遇地震作用下的楼盖梁板受力及变形情况。</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 核心筒外围楼盖内宜设置水平斜撑，形成平面桁架抗拉体系，可靠约制楼层外鼓变形。</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 楼板在正常使用状态下应满足抗裂要求。</w:t>
      </w:r>
    </w:p>
    <w:p>
      <w:pPr>
        <w:pStyle w:val="61"/>
        <w:rPr>
          <w:color w:val="000000" w:themeColor="text1"/>
          <w14:textFill>
            <w14:solidFill>
              <w14:schemeClr w14:val="tx1"/>
            </w14:solidFill>
          </w14:textFill>
        </w:rPr>
      </w:pPr>
      <w:bookmarkStart w:id="57" w:name="_Toc24714220"/>
      <w:r>
        <w:rPr>
          <w:rFonts w:hint="eastAsia"/>
          <w:color w:val="000000" w:themeColor="text1"/>
          <w14:textFill>
            <w14:solidFill>
              <w14:schemeClr w14:val="tx1"/>
            </w14:solidFill>
          </w14:textFill>
        </w:rPr>
        <w:t>单外筒</w:t>
      </w:r>
      <w:r>
        <w:rPr>
          <w:rFonts w:hint="eastAsia"/>
          <w:color w:val="000000" w:themeColor="text1"/>
          <w:lang w:eastAsia="zh-CN"/>
          <w14:textFill>
            <w14:solidFill>
              <w14:schemeClr w14:val="tx1"/>
            </w14:solidFill>
          </w14:textFill>
        </w:rPr>
        <w:t>结构</w:t>
      </w:r>
      <w:bookmarkEnd w:id="57"/>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 xml:space="preserve"> 单外筒结构是指超高层建筑中，主要由外筒承担水平作用的结构，外筒一般由开孔剪力墙组成。</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单外筒结构平面宜选用长宽比不大于2的矩形、圆形，以及正多边形。</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外筒高宽比不宜大于6，角柱齐全时高宽比不宜大于7，外筒宜贯通全高。</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外筒洞口开洞率，即门窗洞口面积与整体墙面面积之比不宜大于60%。</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立面不宜开大洞，当需开洞时，少数楼层开洞宽度不宜大于立面宽的25%，且角边保留一跨，高度一般不大于宽度，洞口周边需采取加强措施。</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平面内不宜开大洞，少数楼层开洞尺寸不应大于整体楼层层宽度1/3, 周边须保留一跨且须设边梁。</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外筒柱沿柱轴线方向截面尺寸宜取柱轴线距离1/3，外框筒梁的截面高度可取柱净距1/3-1/4。</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外筒柱梁线刚度比宜为3-5。</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外筒优先采用型钢混凝土结构，当外筒梁柱采用钢结构时，钢构件应外包混凝土。</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水平荷载作用下外筒承担全部的剪力及倾覆力矩；内柱及少量混凝土墙分配的剪力标准值不少于本层总剪力的10%。</w:t>
      </w:r>
    </w:p>
    <w:p>
      <w:pPr>
        <w:pStyle w:val="61"/>
        <w:rPr>
          <w:color w:val="000000" w:themeColor="text1"/>
          <w14:textFill>
            <w14:solidFill>
              <w14:schemeClr w14:val="tx1"/>
            </w14:solidFill>
          </w14:textFill>
        </w:rPr>
      </w:pPr>
      <w:bookmarkStart w:id="58" w:name="_Toc24714221"/>
      <w:r>
        <w:rPr>
          <w:rFonts w:hint="eastAsia"/>
          <w:color w:val="000000" w:themeColor="text1"/>
          <w14:textFill>
            <w14:solidFill>
              <w14:schemeClr w14:val="tx1"/>
            </w14:solidFill>
          </w14:textFill>
        </w:rPr>
        <w:t>巨型结构</w:t>
      </w:r>
      <w:bookmarkEnd w:id="58"/>
    </w:p>
    <w:p>
      <w:pPr>
        <w:pStyle w:val="119"/>
        <w:rPr>
          <w:i/>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巨型结构</w:t>
      </w:r>
      <w:r>
        <w:rPr>
          <w:rFonts w:hint="eastAsia"/>
          <w:color w:val="000000" w:themeColor="text1"/>
          <w:lang w:eastAsia="zh-CN"/>
          <w14:textFill>
            <w14:solidFill>
              <w14:schemeClr w14:val="tx1"/>
            </w14:solidFill>
          </w14:textFill>
        </w:rPr>
        <w:t>指</w:t>
      </w:r>
      <w:r>
        <w:rPr>
          <w:color w:val="000000" w:themeColor="text1"/>
          <w:lang w:eastAsia="zh-CN"/>
          <w14:textFill>
            <w14:solidFill>
              <w14:schemeClr w14:val="tx1"/>
            </w14:solidFill>
          </w14:textFill>
        </w:rPr>
        <w:t>由巨型构件组成的</w:t>
      </w:r>
      <w:r>
        <w:rPr>
          <w:rFonts w:hint="eastAsia"/>
          <w:color w:val="000000" w:themeColor="text1"/>
          <w:lang w:eastAsia="zh-CN"/>
          <w14:textFill>
            <w14:solidFill>
              <w14:schemeClr w14:val="tx1"/>
            </w14:solidFill>
          </w14:textFill>
        </w:rPr>
        <w:t>主</w:t>
      </w:r>
      <w:r>
        <w:rPr>
          <w:color w:val="000000" w:themeColor="text1"/>
          <w:lang w:eastAsia="zh-CN"/>
          <w14:textFill>
            <w14:solidFill>
              <w14:schemeClr w14:val="tx1"/>
            </w14:solidFill>
          </w14:textFill>
        </w:rPr>
        <w:t>结构</w:t>
      </w:r>
      <w:r>
        <w:rPr>
          <w:rFonts w:hint="eastAsia"/>
          <w:color w:val="000000" w:themeColor="text1"/>
          <w:lang w:eastAsia="zh-CN"/>
          <w14:textFill>
            <w14:solidFill>
              <w14:schemeClr w14:val="tx1"/>
            </w14:solidFill>
          </w14:textFill>
        </w:rPr>
        <w:t>与常规构件组成的</w:t>
      </w:r>
      <w:r>
        <w:rPr>
          <w:color w:val="000000" w:themeColor="text1"/>
          <w:lang w:eastAsia="zh-CN"/>
          <w14:textFill>
            <w14:solidFill>
              <w14:schemeClr w14:val="tx1"/>
            </w14:solidFill>
          </w14:textFill>
        </w:rPr>
        <w:t>次结构</w:t>
      </w:r>
      <w:r>
        <w:rPr>
          <w:rFonts w:hint="eastAsia"/>
          <w:color w:val="000000" w:themeColor="text1"/>
          <w:lang w:eastAsia="zh-CN"/>
          <w14:textFill>
            <w14:solidFill>
              <w14:schemeClr w14:val="tx1"/>
            </w14:solidFill>
          </w14:textFill>
        </w:rPr>
        <w:t>（楼层结构）共同工作的一种结构体系。本规程适用于主结构层高为3-15个楼层高、巨柱为实腹型、巨梁为1-3个楼层高桁架的巨型结构。</w:t>
      </w:r>
      <w:bookmarkStart w:id="74" w:name="_GoBack"/>
      <w:bookmarkEnd w:id="74"/>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下列情况的高层建筑工程宜采用巨型结构:</w:t>
      </w:r>
    </w:p>
    <w:p>
      <w:pPr>
        <w:pStyle w:val="56"/>
        <w:numPr>
          <w:ilvl w:val="0"/>
          <w:numId w:val="6"/>
        </w:numPr>
        <w:spacing w:line="240" w:lineRule="auto"/>
        <w:ind w:firstLineChars="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高度较大、功能要求外框柱距巨大、空间组合复杂、平立面开大洞；</w:t>
      </w:r>
    </w:p>
    <w:p>
      <w:pPr>
        <w:pStyle w:val="56"/>
        <w:numPr>
          <w:ilvl w:val="0"/>
          <w:numId w:val="6"/>
        </w:numPr>
        <w:spacing w:line="240" w:lineRule="auto"/>
        <w:ind w:firstLineChars="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在风或多遇地震作用下，核心筒翼缘墙受拉。</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巨型结构宜设置核心筒，带核心筒的巨型结构可选择下列形式:</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 巨型框架—核心筒结构；</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带伸臂桁架巨型框架—核心筒结构；</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 带巨撑巨型框架—核心筒结构；</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 带巨撑带伸臂桁架巨型框架—核心筒结构。</w:t>
      </w:r>
    </w:p>
    <w:p>
      <w:pPr>
        <w:pStyle w:val="119"/>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巨型结构布置中，应注重将竖向荷载有效传递给侧向荷载引起拉力的边角柱，并使竖向承重体系兼具较大的抗侧刚度。巨柱、巨梁（环带桁架、伸臂桁架)、巨撑等巨型构件的数量和位置以及截面形式等，应通过主结构性能以及主次结构调谐性等多方面的分析，多方案比选确定。必要时,可对建筑竖向功能分区、避难层或设备层的位置提出合理化建议。</w:t>
      </w:r>
      <w:r>
        <w:rPr>
          <w:rFonts w:hint="eastAsia"/>
          <w:color w:val="000000" w:themeColor="text1"/>
          <w14:textFill>
            <w14:solidFill>
              <w14:schemeClr w14:val="tx1"/>
            </w14:solidFill>
          </w14:textFill>
        </w:rPr>
        <w:t>一般情况下，应符合下列规定：</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 巨柱宜置于角部，可</w:t>
      </w:r>
      <w:r>
        <w:rPr>
          <w:rFonts w:ascii="宋体" w:hAnsi="宋体"/>
          <w:color w:val="000000" w:themeColor="text1"/>
          <w:sz w:val="24"/>
          <w:szCs w:val="24"/>
          <w14:textFill>
            <w14:solidFill>
              <w14:schemeClr w14:val="tx1"/>
            </w14:solidFill>
          </w14:textFill>
        </w:rPr>
        <w:t>采用钢</w:t>
      </w:r>
      <w:r>
        <w:rPr>
          <w:rFonts w:hint="eastAsia" w:ascii="宋体" w:hAnsi="宋体"/>
          <w:color w:val="000000" w:themeColor="text1"/>
          <w:sz w:val="24"/>
          <w:szCs w:val="24"/>
          <w14:textFill>
            <w14:solidFill>
              <w14:schemeClr w14:val="tx1"/>
            </w14:solidFill>
          </w14:textFill>
        </w:rPr>
        <w:t>骨</w:t>
      </w:r>
      <w:r>
        <w:rPr>
          <w:rFonts w:ascii="宋体" w:hAnsi="宋体"/>
          <w:color w:val="000000" w:themeColor="text1"/>
          <w:sz w:val="24"/>
          <w:szCs w:val="24"/>
          <w14:textFill>
            <w14:solidFill>
              <w14:schemeClr w14:val="tx1"/>
            </w14:solidFill>
          </w14:textFill>
        </w:rPr>
        <w:t>混凝土柱</w:t>
      </w:r>
      <w:r>
        <w:rPr>
          <w:rFonts w:hint="eastAsia" w:ascii="宋体" w:hAnsi="宋体"/>
          <w:color w:val="000000" w:themeColor="text1"/>
          <w:sz w:val="24"/>
          <w:szCs w:val="24"/>
          <w14:textFill>
            <w14:solidFill>
              <w14:schemeClr w14:val="tx1"/>
            </w14:solidFill>
          </w14:textFill>
        </w:rPr>
        <w:t>或</w:t>
      </w:r>
      <w:r>
        <w:rPr>
          <w:rFonts w:ascii="宋体" w:hAnsi="宋体"/>
          <w:color w:val="000000" w:themeColor="text1"/>
          <w:sz w:val="24"/>
          <w:szCs w:val="24"/>
          <w14:textFill>
            <w14:solidFill>
              <w14:schemeClr w14:val="tx1"/>
            </w14:solidFill>
          </w14:textFill>
        </w:rPr>
        <w:t>钢管混凝土柱</w:t>
      </w:r>
      <w:r>
        <w:rPr>
          <w:rFonts w:hint="eastAsia" w:ascii="宋体" w:hAnsi="宋体"/>
          <w:color w:val="000000" w:themeColor="text1"/>
          <w:sz w:val="24"/>
          <w:szCs w:val="24"/>
          <w14:textFill>
            <w14:solidFill>
              <w14:schemeClr w14:val="tx1"/>
            </w14:solidFill>
          </w14:textFill>
        </w:rPr>
        <w:t>。</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环带桁架宜沿竖向自上而下均匀布置，宜采用钢桁架或钢骨混凝土桁</w:t>
      </w:r>
      <w:r>
        <w:rPr>
          <w:rFonts w:ascii="宋体" w:hAnsi="宋体"/>
          <w:color w:val="000000" w:themeColor="text1"/>
          <w:sz w:val="24"/>
          <w:szCs w:val="24"/>
          <w14:textFill>
            <w14:solidFill>
              <w14:schemeClr w14:val="tx1"/>
            </w14:solidFill>
          </w14:textFill>
        </w:rPr>
        <w:t>架。桁架上下弦与巨柱宜刚接</w:t>
      </w:r>
      <w:r>
        <w:rPr>
          <w:rFonts w:hint="eastAsia" w:ascii="宋体" w:hAnsi="宋体"/>
          <w:color w:val="000000" w:themeColor="text1"/>
          <w:sz w:val="24"/>
          <w:szCs w:val="24"/>
          <w14:textFill>
            <w14:solidFill>
              <w14:schemeClr w14:val="tx1"/>
            </w14:solidFill>
          </w14:textFill>
        </w:rPr>
        <w:t>。</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3 </w:t>
      </w:r>
      <w:r>
        <w:rPr>
          <w:rFonts w:ascii="宋体" w:hAnsi="宋体"/>
          <w:color w:val="000000" w:themeColor="text1"/>
          <w:sz w:val="24"/>
          <w:szCs w:val="24"/>
          <w14:textFill>
            <w14:solidFill>
              <w14:schemeClr w14:val="tx1"/>
            </w14:solidFill>
          </w14:textFill>
        </w:rPr>
        <w:t>伸臂桁架</w:t>
      </w:r>
      <w:r>
        <w:rPr>
          <w:rFonts w:hint="eastAsia" w:ascii="宋体" w:hAnsi="宋体"/>
          <w:color w:val="000000" w:themeColor="text1"/>
          <w:sz w:val="24"/>
          <w:szCs w:val="24"/>
          <w14:textFill>
            <w14:solidFill>
              <w14:schemeClr w14:val="tx1"/>
            </w14:solidFill>
          </w14:textFill>
        </w:rPr>
        <w:t>宜</w:t>
      </w:r>
      <w:r>
        <w:rPr>
          <w:rFonts w:ascii="宋体" w:hAnsi="宋体"/>
          <w:color w:val="000000" w:themeColor="text1"/>
          <w:sz w:val="24"/>
          <w:szCs w:val="24"/>
          <w14:textFill>
            <w14:solidFill>
              <w14:schemeClr w14:val="tx1"/>
            </w14:solidFill>
          </w14:textFill>
        </w:rPr>
        <w:t>贯</w:t>
      </w:r>
      <w:r>
        <w:rPr>
          <w:rFonts w:hint="eastAsia" w:ascii="宋体" w:hAnsi="宋体"/>
          <w:color w:val="000000" w:themeColor="text1"/>
          <w:sz w:val="24"/>
          <w:szCs w:val="24"/>
          <w14:textFill>
            <w14:solidFill>
              <w14:schemeClr w14:val="tx1"/>
            </w14:solidFill>
          </w14:textFill>
        </w:rPr>
        <w:t>通核心</w:t>
      </w:r>
      <w:r>
        <w:rPr>
          <w:rFonts w:ascii="宋体" w:hAnsi="宋体"/>
          <w:color w:val="000000" w:themeColor="text1"/>
          <w:sz w:val="24"/>
          <w:szCs w:val="24"/>
          <w14:textFill>
            <w14:solidFill>
              <w14:schemeClr w14:val="tx1"/>
            </w14:solidFill>
          </w14:textFill>
        </w:rPr>
        <w:t>筒</w:t>
      </w:r>
      <w:r>
        <w:rPr>
          <w:rFonts w:hint="eastAsia" w:ascii="宋体" w:hAnsi="宋体"/>
          <w:color w:val="000000" w:themeColor="text1"/>
          <w:sz w:val="24"/>
          <w:szCs w:val="24"/>
          <w14:textFill>
            <w14:solidFill>
              <w14:schemeClr w14:val="tx1"/>
            </w14:solidFill>
          </w14:textFill>
        </w:rPr>
        <w:t>，宜</w:t>
      </w:r>
      <w:r>
        <w:rPr>
          <w:rFonts w:ascii="宋体" w:hAnsi="宋体"/>
          <w:color w:val="000000" w:themeColor="text1"/>
          <w:sz w:val="24"/>
          <w:szCs w:val="24"/>
          <w14:textFill>
            <w14:solidFill>
              <w14:schemeClr w14:val="tx1"/>
            </w14:solidFill>
          </w14:textFill>
        </w:rPr>
        <w:t>采用钢</w:t>
      </w:r>
      <w:r>
        <w:rPr>
          <w:rFonts w:hint="eastAsia" w:ascii="宋体" w:hAnsi="宋体"/>
          <w:color w:val="000000" w:themeColor="text1"/>
          <w:sz w:val="24"/>
          <w:szCs w:val="24"/>
          <w14:textFill>
            <w14:solidFill>
              <w14:schemeClr w14:val="tx1"/>
            </w14:solidFill>
          </w14:textFill>
        </w:rPr>
        <w:t>结构或型钢混凝土结构。</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4 </w:t>
      </w:r>
      <w:r>
        <w:rPr>
          <w:rFonts w:ascii="宋体" w:hAnsi="宋体"/>
          <w:color w:val="000000" w:themeColor="text1"/>
          <w:sz w:val="24"/>
          <w:szCs w:val="24"/>
          <w14:textFill>
            <w14:solidFill>
              <w14:schemeClr w14:val="tx1"/>
            </w14:solidFill>
          </w14:textFill>
        </w:rPr>
        <w:t>巨撑</w:t>
      </w:r>
      <w:r>
        <w:rPr>
          <w:rFonts w:hint="eastAsia" w:ascii="宋体" w:hAnsi="宋体"/>
          <w:color w:val="000000" w:themeColor="text1"/>
          <w:sz w:val="24"/>
          <w:szCs w:val="24"/>
          <w14:textFill>
            <w14:solidFill>
              <w14:schemeClr w14:val="tx1"/>
            </w14:solidFill>
          </w14:textFill>
        </w:rPr>
        <w:t>宜</w:t>
      </w:r>
      <w:r>
        <w:rPr>
          <w:rFonts w:ascii="宋体" w:hAnsi="宋体"/>
          <w:color w:val="000000" w:themeColor="text1"/>
          <w:sz w:val="24"/>
          <w:szCs w:val="24"/>
          <w14:textFill>
            <w14:solidFill>
              <w14:schemeClr w14:val="tx1"/>
            </w14:solidFill>
          </w14:textFill>
        </w:rPr>
        <w:t>在</w:t>
      </w:r>
      <w:r>
        <w:rPr>
          <w:rFonts w:hint="eastAsia" w:ascii="宋体" w:hAnsi="宋体"/>
          <w:color w:val="000000" w:themeColor="text1"/>
          <w:sz w:val="24"/>
          <w:szCs w:val="24"/>
          <w14:textFill>
            <w14:solidFill>
              <w14:schemeClr w14:val="tx1"/>
            </w14:solidFill>
          </w14:textFill>
        </w:rPr>
        <w:t>巨型框架平面内</w:t>
      </w:r>
      <w:r>
        <w:rPr>
          <w:rFonts w:ascii="宋体" w:hAnsi="宋体"/>
          <w:color w:val="000000" w:themeColor="text1"/>
          <w:sz w:val="24"/>
          <w:szCs w:val="24"/>
          <w14:textFill>
            <w14:solidFill>
              <w14:schemeClr w14:val="tx1"/>
            </w14:solidFill>
          </w14:textFill>
        </w:rPr>
        <w:t>对称布置，可采用</w:t>
      </w:r>
      <w:r>
        <w:rPr>
          <w:rFonts w:hint="eastAsia" w:ascii="宋体" w:hAnsi="宋体"/>
          <w:color w:val="000000" w:themeColor="text1"/>
          <w:sz w:val="24"/>
          <w:szCs w:val="24"/>
          <w14:textFill>
            <w14:solidFill>
              <w14:schemeClr w14:val="tx1"/>
            </w14:solidFill>
          </w14:textFill>
        </w:rPr>
        <w:t>钢结构</w:t>
      </w:r>
      <w:r>
        <w:rPr>
          <w:rFonts w:ascii="宋体" w:hAnsi="宋体"/>
          <w:color w:val="000000" w:themeColor="text1"/>
          <w:sz w:val="24"/>
          <w:szCs w:val="24"/>
          <w14:textFill>
            <w14:solidFill>
              <w14:schemeClr w14:val="tx1"/>
            </w14:solidFill>
          </w14:textFill>
        </w:rPr>
        <w:t>交叉支撑、人字支撑、单斜杆支撑</w:t>
      </w:r>
      <w:r>
        <w:rPr>
          <w:rFonts w:hint="eastAsia" w:ascii="宋体" w:hAnsi="宋体"/>
          <w:color w:val="000000" w:themeColor="text1"/>
          <w:sz w:val="24"/>
          <w:szCs w:val="24"/>
          <w14:textFill>
            <w14:solidFill>
              <w14:schemeClr w14:val="tx1"/>
            </w14:solidFill>
          </w14:textFill>
        </w:rPr>
        <w:t>等形式。</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 核心</w:t>
      </w:r>
      <w:r>
        <w:rPr>
          <w:rFonts w:ascii="宋体" w:hAnsi="宋体"/>
          <w:color w:val="000000" w:themeColor="text1"/>
          <w:sz w:val="24"/>
          <w:szCs w:val="24"/>
          <w14:textFill>
            <w14:solidFill>
              <w14:schemeClr w14:val="tx1"/>
            </w14:solidFill>
          </w14:textFill>
        </w:rPr>
        <w:t>筒</w:t>
      </w:r>
      <w:r>
        <w:rPr>
          <w:rFonts w:hint="eastAsia" w:ascii="宋体" w:hAnsi="宋体"/>
          <w:color w:val="000000" w:themeColor="text1"/>
          <w:sz w:val="24"/>
          <w:szCs w:val="24"/>
          <w14:textFill>
            <w14:solidFill>
              <w14:schemeClr w14:val="tx1"/>
            </w14:solidFill>
          </w14:textFill>
        </w:rPr>
        <w:t>宜</w:t>
      </w:r>
      <w:r>
        <w:rPr>
          <w:rFonts w:ascii="宋体" w:hAnsi="宋体"/>
          <w:color w:val="000000" w:themeColor="text1"/>
          <w:sz w:val="24"/>
          <w:szCs w:val="24"/>
          <w14:textFill>
            <w14:solidFill>
              <w14:schemeClr w14:val="tx1"/>
            </w14:solidFill>
          </w14:textFill>
        </w:rPr>
        <w:t>采用</w:t>
      </w:r>
      <w:r>
        <w:rPr>
          <w:rFonts w:hint="eastAsia" w:ascii="宋体" w:hAnsi="宋体"/>
          <w:color w:val="000000" w:themeColor="text1"/>
          <w:sz w:val="24"/>
          <w:szCs w:val="24"/>
          <w14:textFill>
            <w14:solidFill>
              <w14:schemeClr w14:val="tx1"/>
            </w14:solidFill>
          </w14:textFill>
        </w:rPr>
        <w:t>型钢</w:t>
      </w:r>
      <w:r>
        <w:rPr>
          <w:rFonts w:ascii="宋体" w:hAnsi="宋体"/>
          <w:color w:val="000000" w:themeColor="text1"/>
          <w:sz w:val="24"/>
          <w:szCs w:val="24"/>
          <w14:textFill>
            <w14:solidFill>
              <w14:schemeClr w14:val="tx1"/>
            </w14:solidFill>
          </w14:textFill>
        </w:rPr>
        <w:t>混凝土筒体，</w:t>
      </w:r>
      <w:r>
        <w:rPr>
          <w:rFonts w:hint="eastAsia" w:ascii="宋体" w:hAnsi="宋体"/>
          <w:color w:val="000000" w:themeColor="text1"/>
          <w:sz w:val="24"/>
          <w:szCs w:val="24"/>
          <w14:textFill>
            <w14:solidFill>
              <w14:schemeClr w14:val="tx1"/>
            </w14:solidFill>
          </w14:textFill>
        </w:rPr>
        <w:t>核心筒墙体应满足抗剪承载力要求，宜在墙体内设置型钢、钢管或</w:t>
      </w:r>
      <w:r>
        <w:rPr>
          <w:rFonts w:ascii="宋体" w:hAnsi="宋体"/>
          <w:color w:val="000000" w:themeColor="text1"/>
          <w:sz w:val="24"/>
          <w:szCs w:val="24"/>
          <w14:textFill>
            <w14:solidFill>
              <w14:schemeClr w14:val="tx1"/>
            </w14:solidFill>
          </w14:textFill>
        </w:rPr>
        <w:t>钢板。</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环</w:t>
      </w:r>
      <w:r>
        <w:rPr>
          <w:color w:val="000000" w:themeColor="text1"/>
          <w:lang w:eastAsia="zh-CN"/>
          <w14:textFill>
            <w14:solidFill>
              <w14:schemeClr w14:val="tx1"/>
            </w14:solidFill>
          </w14:textFill>
        </w:rPr>
        <w:t>带桁架</w:t>
      </w:r>
      <w:r>
        <w:rPr>
          <w:rFonts w:hint="eastAsia"/>
          <w:color w:val="000000" w:themeColor="text1"/>
          <w:lang w:eastAsia="zh-CN"/>
          <w14:textFill>
            <w14:solidFill>
              <w14:schemeClr w14:val="tx1"/>
            </w14:solidFill>
          </w14:textFill>
        </w:rPr>
        <w:t>及</w:t>
      </w:r>
      <w:r>
        <w:rPr>
          <w:color w:val="000000" w:themeColor="text1"/>
          <w:lang w:eastAsia="zh-CN"/>
          <w14:textFill>
            <w14:solidFill>
              <w14:schemeClr w14:val="tx1"/>
            </w14:solidFill>
          </w14:textFill>
        </w:rPr>
        <w:t>伸臂桁架</w:t>
      </w:r>
      <w:r>
        <w:rPr>
          <w:rFonts w:hint="eastAsia"/>
          <w:color w:val="000000" w:themeColor="text1"/>
          <w:lang w:eastAsia="zh-CN"/>
          <w14:textFill>
            <w14:solidFill>
              <w14:schemeClr w14:val="tx1"/>
            </w14:solidFill>
          </w14:textFill>
        </w:rPr>
        <w:t>上下弦</w:t>
      </w:r>
      <w:r>
        <w:rPr>
          <w:color w:val="000000" w:themeColor="text1"/>
          <w:lang w:eastAsia="zh-CN"/>
          <w14:textFill>
            <w14:solidFill>
              <w14:schemeClr w14:val="tx1"/>
            </w14:solidFill>
          </w14:textFill>
        </w:rPr>
        <w:t>应设置水平钢支撑。</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次结构柱受拉控制时，应</w:t>
      </w:r>
      <w:r>
        <w:rPr>
          <w:color w:val="000000" w:themeColor="text1"/>
          <w:lang w:eastAsia="zh-CN"/>
          <w14:textFill>
            <w14:solidFill>
              <w14:schemeClr w14:val="tx1"/>
            </w14:solidFill>
          </w14:textFill>
        </w:rPr>
        <w:t>采用钢</w:t>
      </w:r>
      <w:r>
        <w:rPr>
          <w:rFonts w:hint="eastAsia"/>
          <w:color w:val="000000" w:themeColor="text1"/>
          <w:lang w:eastAsia="zh-CN"/>
          <w14:textFill>
            <w14:solidFill>
              <w14:schemeClr w14:val="tx1"/>
            </w14:solidFill>
          </w14:textFill>
        </w:rPr>
        <w:t>柱或钢骨混凝土柱，相连的楼层梁宜采用钢骨混凝土梁或</w:t>
      </w:r>
      <w:r>
        <w:rPr>
          <w:color w:val="000000" w:themeColor="text1"/>
          <w:lang w:eastAsia="zh-CN"/>
          <w14:textFill>
            <w14:solidFill>
              <w14:schemeClr w14:val="tx1"/>
            </w14:solidFill>
          </w14:textFill>
        </w:rPr>
        <w:t>钢</w:t>
      </w:r>
      <w:r>
        <w:rPr>
          <w:rFonts w:hint="eastAsia"/>
          <w:color w:val="000000" w:themeColor="text1"/>
          <w:lang w:eastAsia="zh-CN"/>
          <w14:textFill>
            <w14:solidFill>
              <w14:schemeClr w14:val="tx1"/>
            </w14:solidFill>
          </w14:textFill>
        </w:rPr>
        <w:t>梁。</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次结构</w:t>
      </w:r>
      <w:r>
        <w:rPr>
          <w:rFonts w:hint="eastAsia"/>
          <w:color w:val="000000" w:themeColor="text1"/>
          <w:lang w:eastAsia="zh-CN"/>
          <w14:textFill>
            <w14:solidFill>
              <w14:schemeClr w14:val="tx1"/>
            </w14:solidFill>
          </w14:textFill>
        </w:rPr>
        <w:t>杆件允许在主结构梁柱处</w:t>
      </w:r>
      <w:r>
        <w:rPr>
          <w:color w:val="000000" w:themeColor="text1"/>
          <w:lang w:eastAsia="zh-CN"/>
          <w14:textFill>
            <w14:solidFill>
              <w14:schemeClr w14:val="tx1"/>
            </w14:solidFill>
          </w14:textFill>
        </w:rPr>
        <w:t>不连续</w:t>
      </w:r>
      <w:r>
        <w:rPr>
          <w:rFonts w:hint="eastAsia"/>
          <w:color w:val="000000" w:themeColor="text1"/>
          <w:lang w:eastAsia="zh-CN"/>
          <w14:textFill>
            <w14:solidFill>
              <w14:schemeClr w14:val="tx1"/>
            </w14:solidFill>
          </w14:textFill>
        </w:rPr>
        <w:t>。</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巨型结构宜进行施工模拟分析，并</w:t>
      </w:r>
      <w:r>
        <w:rPr>
          <w:color w:val="000000" w:themeColor="text1"/>
          <w:lang w:eastAsia="zh-CN"/>
          <w14:textFill>
            <w14:solidFill>
              <w14:schemeClr w14:val="tx1"/>
            </w14:solidFill>
          </w14:textFill>
        </w:rPr>
        <w:t>在施工阶段采用措施</w:t>
      </w:r>
      <w:r>
        <w:rPr>
          <w:rFonts w:hint="eastAsia"/>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释放巨柱</w:t>
      </w:r>
      <w:r>
        <w:rPr>
          <w:rFonts w:hint="eastAsia"/>
          <w:color w:val="000000" w:themeColor="text1"/>
          <w:lang w:eastAsia="zh-CN"/>
          <w14:textFill>
            <w14:solidFill>
              <w14:schemeClr w14:val="tx1"/>
            </w14:solidFill>
          </w14:textFill>
        </w:rPr>
        <w:t>在结构自重作用下的</w:t>
      </w:r>
      <w:r>
        <w:rPr>
          <w:color w:val="000000" w:themeColor="text1"/>
          <w:lang w:eastAsia="zh-CN"/>
          <w14:textFill>
            <w14:solidFill>
              <w14:schemeClr w14:val="tx1"/>
            </w14:solidFill>
          </w14:textFill>
        </w:rPr>
        <w:t>竖向变形差产生的</w:t>
      </w:r>
      <w:r>
        <w:rPr>
          <w:rFonts w:hint="eastAsia"/>
          <w:color w:val="000000" w:themeColor="text1"/>
          <w:lang w:eastAsia="zh-CN"/>
          <w14:textFill>
            <w14:solidFill>
              <w14:schemeClr w14:val="tx1"/>
            </w14:solidFill>
          </w14:textFill>
        </w:rPr>
        <w:t>结构</w:t>
      </w:r>
      <w:r>
        <w:rPr>
          <w:color w:val="000000" w:themeColor="text1"/>
          <w:lang w:eastAsia="zh-CN"/>
          <w14:textFill>
            <w14:solidFill>
              <w14:schemeClr w14:val="tx1"/>
            </w14:solidFill>
          </w14:textFill>
        </w:rPr>
        <w:t>附加内力。</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巨型结构的分析计算模型应符合下列规定：</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 弹性设计分析时，宜考虑次结构以及次结构楼板对结构总体刚度的作用。初步设计、弹塑性验算以及与地基基础协同设计验算分析时，可简化忽略次结构对结构总体刚度的作用。</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次结构设计分析时，次结构楼板可采用刚性楼盖假定；主结构设计分析时，宜采用弹性楼板假定，必要时尚应考虑主结构楼板刚度的折减。</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 采用杆系—有限元模型时，与巨型杆件连接的巨型杆件或次杆件的模型，应考虑节点刚域的影响。有限元的精细化划分应适宜，母体划分应满足自身及相连杆件受力变形分析的精度要求。</w:t>
      </w:r>
    </w:p>
    <w:p>
      <w:pPr>
        <w:pStyle w:val="119"/>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巨型结构</w:t>
      </w:r>
      <w:r>
        <w:rPr>
          <w:rFonts w:hint="eastAsia"/>
          <w:color w:val="000000" w:themeColor="text1"/>
          <w:lang w:eastAsia="zh-CN"/>
          <w14:textFill>
            <w14:solidFill>
              <w14:schemeClr w14:val="tx1"/>
            </w14:solidFill>
          </w14:textFill>
        </w:rPr>
        <w:t>的关键</w:t>
      </w:r>
      <w:r>
        <w:rPr>
          <w:color w:val="000000" w:themeColor="text1"/>
          <w:lang w:eastAsia="zh-CN"/>
          <w14:textFill>
            <w14:solidFill>
              <w14:schemeClr w14:val="tx1"/>
            </w14:solidFill>
          </w14:textFill>
        </w:rPr>
        <w:t>节点应进行有限元</w:t>
      </w:r>
      <w:r>
        <w:rPr>
          <w:rFonts w:hint="eastAsia"/>
          <w:color w:val="000000" w:themeColor="text1"/>
          <w:lang w:eastAsia="zh-CN"/>
          <w14:textFill>
            <w14:solidFill>
              <w14:schemeClr w14:val="tx1"/>
            </w14:solidFill>
          </w14:textFill>
        </w:rPr>
        <w:t>弹塑性</w:t>
      </w:r>
      <w:r>
        <w:rPr>
          <w:color w:val="000000" w:themeColor="text1"/>
          <w:lang w:eastAsia="zh-CN"/>
          <w14:textFill>
            <w14:solidFill>
              <w14:schemeClr w14:val="tx1"/>
            </w14:solidFill>
          </w14:textFill>
        </w:rPr>
        <w:t>分析，</w:t>
      </w:r>
      <w:r>
        <w:rPr>
          <w:rFonts w:hint="eastAsia"/>
          <w:color w:val="000000" w:themeColor="text1"/>
          <w:lang w:eastAsia="zh-CN"/>
          <w14:textFill>
            <w14:solidFill>
              <w14:schemeClr w14:val="tx1"/>
            </w14:solidFill>
          </w14:textFill>
        </w:rPr>
        <w:t>必要时应</w:t>
      </w:r>
      <w:r>
        <w:rPr>
          <w:color w:val="000000" w:themeColor="text1"/>
          <w:lang w:eastAsia="zh-CN"/>
          <w14:textFill>
            <w14:solidFill>
              <w14:schemeClr w14:val="tx1"/>
            </w14:solidFill>
          </w14:textFill>
        </w:rPr>
        <w:t>进行节点</w:t>
      </w:r>
      <w:r>
        <w:rPr>
          <w:rFonts w:hint="eastAsia"/>
          <w:color w:val="000000" w:themeColor="text1"/>
          <w:lang w:eastAsia="zh-CN"/>
          <w14:textFill>
            <w14:solidFill>
              <w14:schemeClr w14:val="tx1"/>
            </w14:solidFill>
          </w14:textFill>
        </w:rPr>
        <w:t>荷载</w:t>
      </w:r>
      <w:r>
        <w:rPr>
          <w:color w:val="000000" w:themeColor="text1"/>
          <w:lang w:eastAsia="zh-CN"/>
          <w14:textFill>
            <w14:solidFill>
              <w14:schemeClr w14:val="tx1"/>
            </w14:solidFill>
          </w14:textFill>
        </w:rPr>
        <w:t>试验。</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巨型结构的抗风设计除应满足其他章节的有关规定外，尚应符合下列规定：</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 巨型结构宜进行</w:t>
      </w:r>
      <w:r>
        <w:rPr>
          <w:rFonts w:ascii="宋体" w:hAnsi="宋体"/>
          <w:color w:val="000000" w:themeColor="text1"/>
          <w:sz w:val="24"/>
          <w:szCs w:val="24"/>
          <w14:textFill>
            <w14:solidFill>
              <w14:schemeClr w14:val="tx1"/>
            </w14:solidFill>
          </w14:textFill>
        </w:rPr>
        <w:t>风洞试验</w:t>
      </w:r>
      <w:r>
        <w:rPr>
          <w:rFonts w:hint="eastAsia" w:ascii="宋体" w:hAnsi="宋体"/>
          <w:color w:val="000000" w:themeColor="text1"/>
          <w:sz w:val="24"/>
          <w:szCs w:val="24"/>
          <w14:textFill>
            <w14:solidFill>
              <w14:schemeClr w14:val="tx1"/>
            </w14:solidFill>
          </w14:textFill>
        </w:rPr>
        <w:t>,风荷载参数宜在荷载规范值的基础上，结合数值风洞分析、风振分析的结果综合确定。有条件时宜采用气弹性模型试验。</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除主结构外，次结构也应</w:t>
      </w:r>
      <w:r>
        <w:rPr>
          <w:rFonts w:ascii="宋体" w:hAnsi="宋体"/>
          <w:color w:val="000000" w:themeColor="text1"/>
          <w:sz w:val="24"/>
          <w:szCs w:val="24"/>
          <w14:textFill>
            <w14:solidFill>
              <w14:schemeClr w14:val="tx1"/>
            </w14:solidFill>
          </w14:textFill>
        </w:rPr>
        <w:t>进行抗风</w:t>
      </w:r>
      <w:r>
        <w:rPr>
          <w:rFonts w:hint="eastAsia" w:ascii="宋体" w:hAnsi="宋体"/>
          <w:color w:val="000000" w:themeColor="text1"/>
          <w:sz w:val="24"/>
          <w:szCs w:val="24"/>
          <w14:textFill>
            <w14:solidFill>
              <w14:schemeClr w14:val="tx1"/>
            </w14:solidFill>
          </w14:textFill>
        </w:rPr>
        <w:t>设计验算。</w:t>
      </w:r>
    </w:p>
    <w:p>
      <w:pPr>
        <w:pStyle w:val="56"/>
        <w:spacing w:line="240" w:lineRule="auto"/>
        <w:ind w:left="0" w:firstLine="480"/>
        <w:rPr>
          <w:rFonts w:ascii="宋体" w:hAnsi="宋体"/>
          <w:i/>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 应进行</w:t>
      </w:r>
      <w:r>
        <w:rPr>
          <w:rFonts w:ascii="宋体" w:hAnsi="宋体"/>
          <w:color w:val="000000" w:themeColor="text1"/>
          <w:sz w:val="24"/>
          <w:szCs w:val="24"/>
          <w14:textFill>
            <w14:solidFill>
              <w14:schemeClr w14:val="tx1"/>
            </w14:solidFill>
          </w14:textFill>
        </w:rPr>
        <w:t>风振舒适度</w:t>
      </w:r>
      <w:r>
        <w:rPr>
          <w:rFonts w:hint="eastAsia" w:ascii="宋体" w:hAnsi="宋体"/>
          <w:color w:val="000000" w:themeColor="text1"/>
          <w:sz w:val="24"/>
          <w:szCs w:val="24"/>
          <w14:textFill>
            <w14:solidFill>
              <w14:schemeClr w14:val="tx1"/>
            </w14:solidFill>
          </w14:textFill>
        </w:rPr>
        <w:t>分析验算</w:t>
      </w:r>
      <w:r>
        <w:rPr>
          <w:rFonts w:ascii="宋体" w:hAnsi="宋体"/>
          <w:color w:val="000000" w:themeColor="text1"/>
          <w:sz w:val="24"/>
          <w:szCs w:val="24"/>
          <w14:textFill>
            <w14:solidFill>
              <w14:schemeClr w14:val="tx1"/>
            </w14:solidFill>
          </w14:textFill>
        </w:rPr>
        <w:t>。</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巨型结构抗震设计除应满足其他章节的有关规定外，尚应符合下列规定：</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 巨型结构应遵循主次结构相对刚度适宜，“强主结构弱次结构”，主次结构均为 “强柱弱梁、强剪弱弯”，主结构着重强度，次结构着重延性的设计原则。</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巨型结构应具有多道抗侧力防线。在设防烈度的地震作用下，次结构可进入塑性。罕遇地震作用下，主结构的水平构件可进入塑性，主结构的竖向构件宜保持弹性或不屈服。</w:t>
      </w:r>
    </w:p>
    <w:p>
      <w:pPr>
        <w:pStyle w:val="56"/>
        <w:spacing w:line="240" w:lineRule="auto"/>
        <w:ind w:left="0"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 巨型结构应进行竖向地震作用组合的承载能力及变形验算。</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巨梁所在楼层的楼板厚度不应小于180mm，双层双向配筋，每层每向配筋率不应小于0.3%。巨梁相邻上下楼层的楼板厚度不应小于150mm，双层双向配筋，每层每向配筋率不应小于0.25%。</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楼层结构设计时应计入大跨边梁挠度对楼盖受力的影响。</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伸臂桁架上下弦之间的核心筒剪力墙可采取加大墙厚、提高剪力墙混凝土强度等级和配筋率、设置斜腹杆等加强措施。</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环带桁架转角处上下弦与核心筒之间宜有楼面梁或平面支撑的杆件拉结。</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巨型框架—核心筒结构抗震设计时，核心筒应具有承担全部地震剪力的能力；巨柱抗剪承载力不应小于巨柱计算地震剪力标准值的3倍，柱端弯矩应进行相应的调整，巨柱轴力及与之相连的水平构件内力可不调整。</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应进行整体稳定性分析。</w:t>
      </w:r>
    </w:p>
    <w:p>
      <w:pPr>
        <w:pStyle w:val="61"/>
        <w:rPr>
          <w:color w:val="000000" w:themeColor="text1"/>
          <w14:textFill>
            <w14:solidFill>
              <w14:schemeClr w14:val="tx1"/>
            </w14:solidFill>
          </w14:textFill>
        </w:rPr>
      </w:pPr>
      <w:bookmarkStart w:id="59" w:name="_Toc24714222"/>
      <w:r>
        <w:rPr>
          <w:rFonts w:hint="eastAsia"/>
          <w:color w:val="000000" w:themeColor="text1"/>
          <w14:textFill>
            <w14:solidFill>
              <w14:schemeClr w14:val="tx1"/>
            </w14:solidFill>
          </w14:textFill>
        </w:rPr>
        <w:t>悬挑结构</w:t>
      </w:r>
      <w:bookmarkEnd w:id="59"/>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悬挑结构应采取措施降低结构自重，悬</w:t>
      </w:r>
      <w:r>
        <w:rPr>
          <w:color w:val="000000" w:themeColor="text1"/>
          <w:lang w:eastAsia="zh-CN"/>
          <w14:textFill>
            <w14:solidFill>
              <w14:schemeClr w14:val="tx1"/>
            </w14:solidFill>
          </w14:textFill>
        </w:rPr>
        <w:t>挑结构</w:t>
      </w:r>
      <w:r>
        <w:rPr>
          <w:rFonts w:hint="eastAsia"/>
          <w:color w:val="000000" w:themeColor="text1"/>
          <w:lang w:eastAsia="zh-CN"/>
          <w14:textFill>
            <w14:solidFill>
              <w14:schemeClr w14:val="tx1"/>
            </w14:solidFill>
          </w14:textFill>
        </w:rPr>
        <w:t>主</w:t>
      </w:r>
      <w:r>
        <w:rPr>
          <w:color w:val="000000" w:themeColor="text1"/>
          <w:lang w:eastAsia="zh-CN"/>
          <w14:textFill>
            <w14:solidFill>
              <w14:schemeClr w14:val="tx1"/>
            </w14:solidFill>
          </w14:textFill>
        </w:rPr>
        <w:t>要</w:t>
      </w:r>
      <w:r>
        <w:rPr>
          <w:rFonts w:hint="eastAsia"/>
          <w:color w:val="000000" w:themeColor="text1"/>
          <w:lang w:eastAsia="zh-CN"/>
          <w14:textFill>
            <w14:solidFill>
              <w14:schemeClr w14:val="tx1"/>
            </w14:solidFill>
          </w14:textFill>
        </w:rPr>
        <w:t>受</w:t>
      </w:r>
      <w:r>
        <w:rPr>
          <w:color w:val="000000" w:themeColor="text1"/>
          <w:lang w:eastAsia="zh-CN"/>
          <w14:textFill>
            <w14:solidFill>
              <w14:schemeClr w14:val="tx1"/>
            </w14:solidFill>
          </w14:textFill>
        </w:rPr>
        <w:t>力构件的</w:t>
      </w:r>
      <w:r>
        <w:rPr>
          <w:rFonts w:hint="eastAsia"/>
          <w:color w:val="000000" w:themeColor="text1"/>
          <w:lang w:eastAsia="zh-CN"/>
          <w14:textFill>
            <w14:solidFill>
              <w14:schemeClr w14:val="tx1"/>
            </w14:solidFill>
          </w14:textFill>
        </w:rPr>
        <w:t>材料宜采用钢结构和型钢混凝土结构，</w:t>
      </w:r>
      <w:r>
        <w:rPr>
          <w:color w:val="000000" w:themeColor="text1"/>
          <w:lang w:eastAsia="zh-CN"/>
          <w14:textFill>
            <w14:solidFill>
              <w14:schemeClr w14:val="tx1"/>
            </w14:solidFill>
          </w14:textFill>
        </w:rPr>
        <w:t>楼面可采用压型钢板或钢筋桁架组合楼板。</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悬挑结构体</w:t>
      </w:r>
      <w:r>
        <w:rPr>
          <w:color w:val="000000" w:themeColor="text1"/>
          <w:lang w:eastAsia="zh-CN"/>
          <w14:textFill>
            <w14:solidFill>
              <w14:schemeClr w14:val="tx1"/>
            </w14:solidFill>
          </w14:textFill>
        </w:rPr>
        <w:t>系</w:t>
      </w:r>
      <w:r>
        <w:rPr>
          <w:rFonts w:hint="eastAsia"/>
          <w:color w:val="000000" w:themeColor="text1"/>
          <w:lang w:eastAsia="zh-CN"/>
          <w14:textFill>
            <w14:solidFill>
              <w14:schemeClr w14:val="tx1"/>
            </w14:solidFill>
          </w14:textFill>
        </w:rPr>
        <w:t>宜采用桁架等刚度和承载力较强的结构形式。在悬挑结构的顶部和底部楼层，宜设置平面内支撑以增加楼层平面内的刚度。</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抗震设计时，悬挑结构的主受力构件以及与之相连的主体结构竖向构件应按关键构件设定性能目标，其抗震等级宜按提高一级采用，</w:t>
      </w:r>
      <w:r>
        <w:rPr>
          <w:color w:val="000000" w:themeColor="text1"/>
          <w:lang w:eastAsia="zh-CN"/>
          <w14:textFill>
            <w14:solidFill>
              <w14:schemeClr w14:val="tx1"/>
            </w14:solidFill>
          </w14:textFill>
        </w:rPr>
        <w:t>特一级时不再提高</w:t>
      </w:r>
      <w:r>
        <w:rPr>
          <w:rFonts w:hint="eastAsia"/>
          <w:color w:val="000000" w:themeColor="text1"/>
          <w:lang w:eastAsia="zh-CN"/>
          <w14:textFill>
            <w14:solidFill>
              <w14:schemeClr w14:val="tx1"/>
            </w14:solidFill>
          </w14:textFill>
        </w:rPr>
        <w:t>。</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在罕遇地震作用下，悬挑结构主要受力构件的截面抗弯和抗剪承载力宜满足不屈服或弹性要求。</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悬</w:t>
      </w:r>
      <w:r>
        <w:rPr>
          <w:color w:val="000000" w:themeColor="text1"/>
          <w:lang w:eastAsia="zh-CN"/>
          <w14:textFill>
            <w14:solidFill>
              <w14:schemeClr w14:val="tx1"/>
            </w14:solidFill>
          </w14:textFill>
        </w:rPr>
        <w:t>挑</w:t>
      </w:r>
      <w:r>
        <w:rPr>
          <w:rFonts w:hint="eastAsia"/>
          <w:color w:val="000000" w:themeColor="text1"/>
          <w:lang w:eastAsia="zh-CN"/>
          <w14:textFill>
            <w14:solidFill>
              <w14:schemeClr w14:val="tx1"/>
            </w14:solidFill>
          </w14:textFill>
        </w:rPr>
        <w:t>结构与</w:t>
      </w:r>
      <w:r>
        <w:rPr>
          <w:color w:val="000000" w:themeColor="text1"/>
          <w:lang w:eastAsia="zh-CN"/>
          <w14:textFill>
            <w14:solidFill>
              <w14:schemeClr w14:val="tx1"/>
            </w14:solidFill>
          </w14:textFill>
        </w:rPr>
        <w:t>主体结构进行整体</w:t>
      </w:r>
      <w:r>
        <w:rPr>
          <w:rFonts w:hint="eastAsia"/>
          <w:color w:val="000000" w:themeColor="text1"/>
          <w:lang w:eastAsia="zh-CN"/>
          <w14:textFill>
            <w14:solidFill>
              <w14:schemeClr w14:val="tx1"/>
            </w14:solidFill>
          </w14:textFill>
        </w:rPr>
        <w:t>计算分析</w:t>
      </w:r>
      <w:r>
        <w:rPr>
          <w:color w:val="000000" w:themeColor="text1"/>
          <w:lang w:eastAsia="zh-CN"/>
          <w14:textFill>
            <w14:solidFill>
              <w14:schemeClr w14:val="tx1"/>
            </w14:solidFill>
          </w14:textFill>
        </w:rPr>
        <w:t>时，应根据</w:t>
      </w:r>
      <w:r>
        <w:rPr>
          <w:rFonts w:hint="eastAsia"/>
          <w:color w:val="000000" w:themeColor="text1"/>
          <w:lang w:eastAsia="zh-CN"/>
          <w14:textFill>
            <w14:solidFill>
              <w14:schemeClr w14:val="tx1"/>
            </w14:solidFill>
          </w14:textFill>
        </w:rPr>
        <w:t>构件</w:t>
      </w:r>
      <w:r>
        <w:rPr>
          <w:color w:val="000000" w:themeColor="text1"/>
          <w:lang w:eastAsia="zh-CN"/>
          <w14:textFill>
            <w14:solidFill>
              <w14:schemeClr w14:val="tx1"/>
            </w14:solidFill>
          </w14:textFill>
        </w:rPr>
        <w:t>材料的不同选用相应</w:t>
      </w:r>
      <w:r>
        <w:rPr>
          <w:rFonts w:hint="eastAsia"/>
          <w:color w:val="000000" w:themeColor="text1"/>
          <w:lang w:eastAsia="zh-CN"/>
          <w14:textFill>
            <w14:solidFill>
              <w14:schemeClr w14:val="tx1"/>
            </w14:solidFill>
          </w14:textFill>
        </w:rPr>
        <w:t>的</w:t>
      </w:r>
      <w:r>
        <w:rPr>
          <w:color w:val="000000" w:themeColor="text1"/>
          <w:lang w:eastAsia="zh-CN"/>
          <w14:textFill>
            <w14:solidFill>
              <w14:schemeClr w14:val="tx1"/>
            </w14:solidFill>
          </w14:textFill>
        </w:rPr>
        <w:t>阻尼比</w:t>
      </w:r>
      <w:r>
        <w:rPr>
          <w:rFonts w:hint="eastAsia"/>
          <w:color w:val="000000" w:themeColor="text1"/>
          <w:lang w:eastAsia="zh-CN"/>
          <w14:textFill>
            <w14:solidFill>
              <w14:schemeClr w14:val="tx1"/>
            </w14:solidFill>
          </w14:textFill>
        </w:rPr>
        <w:t>参</w:t>
      </w:r>
      <w:r>
        <w:rPr>
          <w:color w:val="000000" w:themeColor="text1"/>
          <w:lang w:eastAsia="zh-CN"/>
          <w14:textFill>
            <w14:solidFill>
              <w14:schemeClr w14:val="tx1"/>
            </w14:solidFill>
          </w14:textFill>
        </w:rPr>
        <w:t>数。</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悬挑结构应考虑竖向地震作用，</w:t>
      </w:r>
      <w:r>
        <w:rPr>
          <w:color w:val="000000" w:themeColor="text1"/>
          <w:lang w:eastAsia="zh-CN"/>
          <w14:textFill>
            <w14:solidFill>
              <w14:schemeClr w14:val="tx1"/>
            </w14:solidFill>
          </w14:textFill>
        </w:rPr>
        <w:t>还</w:t>
      </w:r>
      <w:r>
        <w:rPr>
          <w:rFonts w:hint="eastAsia"/>
          <w:color w:val="000000" w:themeColor="text1"/>
          <w:lang w:eastAsia="zh-CN"/>
          <w14:textFill>
            <w14:solidFill>
              <w14:schemeClr w14:val="tx1"/>
            </w14:solidFill>
          </w14:textFill>
        </w:rPr>
        <w:t>应考虑</w:t>
      </w:r>
      <w:r>
        <w:rPr>
          <w:color w:val="000000" w:themeColor="text1"/>
          <w:lang w:eastAsia="zh-CN"/>
          <w14:textFill>
            <w14:solidFill>
              <w14:schemeClr w14:val="tx1"/>
            </w14:solidFill>
          </w14:textFill>
        </w:rPr>
        <w:t>竖直方向</w:t>
      </w:r>
      <w:r>
        <w:rPr>
          <w:rFonts w:hint="eastAsia"/>
          <w:color w:val="000000" w:themeColor="text1"/>
          <w:lang w:eastAsia="zh-CN"/>
          <w14:textFill>
            <w14:solidFill>
              <w14:schemeClr w14:val="tx1"/>
            </w14:solidFill>
          </w14:textFill>
        </w:rPr>
        <w:t>风</w:t>
      </w:r>
      <w:r>
        <w:rPr>
          <w:color w:val="000000" w:themeColor="text1"/>
          <w:lang w:eastAsia="zh-CN"/>
          <w14:textFill>
            <w14:solidFill>
              <w14:schemeClr w14:val="tx1"/>
            </w14:solidFill>
          </w14:textFill>
        </w:rPr>
        <w:t>的不利组合</w:t>
      </w:r>
      <w:r>
        <w:rPr>
          <w:rFonts w:hint="eastAsia"/>
          <w:color w:val="000000" w:themeColor="text1"/>
          <w:lang w:eastAsia="zh-CN"/>
          <w14:textFill>
            <w14:solidFill>
              <w14:schemeClr w14:val="tx1"/>
            </w14:solidFill>
          </w14:textFill>
        </w:rPr>
        <w:t>。对楼面活荷载，应考虑其不利布置对悬</w:t>
      </w:r>
      <w:r>
        <w:rPr>
          <w:color w:val="000000" w:themeColor="text1"/>
          <w:lang w:eastAsia="zh-CN"/>
          <w14:textFill>
            <w14:solidFill>
              <w14:schemeClr w14:val="tx1"/>
            </w14:solidFill>
          </w14:textFill>
        </w:rPr>
        <w:t>挑结构和</w:t>
      </w:r>
      <w:r>
        <w:rPr>
          <w:rFonts w:hint="eastAsia"/>
          <w:color w:val="000000" w:themeColor="text1"/>
          <w:lang w:eastAsia="zh-CN"/>
          <w14:textFill>
            <w14:solidFill>
              <w14:schemeClr w14:val="tx1"/>
            </w14:solidFill>
          </w14:textFill>
        </w:rPr>
        <w:t>相</w:t>
      </w:r>
      <w:r>
        <w:rPr>
          <w:color w:val="000000" w:themeColor="text1"/>
          <w:lang w:eastAsia="zh-CN"/>
          <w14:textFill>
            <w14:solidFill>
              <w14:schemeClr w14:val="tx1"/>
            </w14:solidFill>
          </w14:textFill>
        </w:rPr>
        <w:t>邻主体</w:t>
      </w:r>
      <w:r>
        <w:rPr>
          <w:rFonts w:hint="eastAsia"/>
          <w:color w:val="000000" w:themeColor="text1"/>
          <w:lang w:eastAsia="zh-CN"/>
          <w14:textFill>
            <w14:solidFill>
              <w14:schemeClr w14:val="tx1"/>
            </w14:solidFill>
          </w14:textFill>
        </w:rPr>
        <w:t>结构的影响。</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结构内力和位移计算中，悬挑部位的顶部和底部楼层应考虑楼板平面内的变形，其它中间楼层宜考虑楼板平面内的变形，同时亦应考虑与悬挑结构相连层和相邻两层的主体结构楼盖平面内变形。应分析悬挑层的变形对相邻主体结构</w:t>
      </w:r>
      <w:r>
        <w:rPr>
          <w:color w:val="000000" w:themeColor="text1"/>
          <w:lang w:eastAsia="zh-CN"/>
          <w14:textFill>
            <w14:solidFill>
              <w14:schemeClr w14:val="tx1"/>
            </w14:solidFill>
          </w14:textFill>
        </w:rPr>
        <w:t>竖向构件</w:t>
      </w:r>
      <w:r>
        <w:rPr>
          <w:rFonts w:hint="eastAsia"/>
          <w:color w:val="000000" w:themeColor="text1"/>
          <w:lang w:eastAsia="zh-CN"/>
          <w14:textFill>
            <w14:solidFill>
              <w14:schemeClr w14:val="tx1"/>
            </w14:solidFill>
          </w14:textFill>
        </w:rPr>
        <w:t>抗拉和抗剪承载力</w:t>
      </w:r>
      <w:r>
        <w:rPr>
          <w:color w:val="000000" w:themeColor="text1"/>
          <w:lang w:eastAsia="zh-CN"/>
          <w14:textFill>
            <w14:solidFill>
              <w14:schemeClr w14:val="tx1"/>
            </w14:solidFill>
          </w14:textFill>
        </w:rPr>
        <w:t>的</w:t>
      </w:r>
      <w:r>
        <w:rPr>
          <w:rFonts w:hint="eastAsia"/>
          <w:color w:val="000000" w:themeColor="text1"/>
          <w:lang w:eastAsia="zh-CN"/>
          <w14:textFill>
            <w14:solidFill>
              <w14:schemeClr w14:val="tx1"/>
            </w14:solidFill>
          </w14:textFill>
        </w:rPr>
        <w:t>不</w:t>
      </w:r>
      <w:r>
        <w:rPr>
          <w:color w:val="000000" w:themeColor="text1"/>
          <w:lang w:eastAsia="zh-CN"/>
          <w14:textFill>
            <w14:solidFill>
              <w14:schemeClr w14:val="tx1"/>
            </w14:solidFill>
          </w14:textFill>
        </w:rPr>
        <w:t>利影响</w:t>
      </w:r>
      <w:r>
        <w:rPr>
          <w:rFonts w:hint="eastAsia"/>
          <w:color w:val="000000" w:themeColor="text1"/>
          <w:lang w:eastAsia="zh-CN"/>
          <w14:textFill>
            <w14:solidFill>
              <w14:schemeClr w14:val="tx1"/>
            </w14:solidFill>
          </w14:textFill>
        </w:rPr>
        <w:t xml:space="preserve">， </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悬挑结构跨高比不小于2时，应分析风作用下的悬</w:t>
      </w:r>
      <w:r>
        <w:rPr>
          <w:color w:val="000000" w:themeColor="text1"/>
          <w:lang w:eastAsia="zh-CN"/>
          <w14:textFill>
            <w14:solidFill>
              <w14:schemeClr w14:val="tx1"/>
            </w14:solidFill>
          </w14:textFill>
        </w:rPr>
        <w:t>挑结构悬挑端的</w:t>
      </w:r>
      <w:r>
        <w:rPr>
          <w:rFonts w:hint="eastAsia"/>
          <w:color w:val="000000" w:themeColor="text1"/>
          <w:lang w:eastAsia="zh-CN"/>
          <w14:textFill>
            <w14:solidFill>
              <w14:schemeClr w14:val="tx1"/>
            </w14:solidFill>
          </w14:textFill>
        </w:rPr>
        <w:t>竖向振动频率</w:t>
      </w:r>
      <w:r>
        <w:rPr>
          <w:color w:val="000000" w:themeColor="text1"/>
          <w:lang w:eastAsia="zh-CN"/>
          <w14:textFill>
            <w14:solidFill>
              <w14:schemeClr w14:val="tx1"/>
            </w14:solidFill>
          </w14:textFill>
        </w:rPr>
        <w:t>和加速度</w:t>
      </w:r>
      <w:r>
        <w:rPr>
          <w:rFonts w:hint="eastAsia"/>
          <w:color w:val="000000" w:themeColor="text1"/>
          <w:lang w:eastAsia="zh-CN"/>
          <w14:textFill>
            <w14:solidFill>
              <w14:schemeClr w14:val="tx1"/>
            </w14:solidFill>
          </w14:textFill>
        </w:rPr>
        <w:t>，宜按相关规定进行竖向风振舒适度验算或进行风洞试验提供相应的加速度值。</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悬挑结构大跨度楼盖应采取</w:t>
      </w:r>
      <w:r>
        <w:rPr>
          <w:color w:val="000000" w:themeColor="text1"/>
          <w:lang w:eastAsia="zh-CN"/>
          <w14:textFill>
            <w14:solidFill>
              <w14:schemeClr w14:val="tx1"/>
            </w14:solidFill>
          </w14:textFill>
        </w:rPr>
        <w:t>措施</w:t>
      </w:r>
      <w:r>
        <w:rPr>
          <w:rFonts w:hint="eastAsia"/>
          <w:color w:val="000000" w:themeColor="text1"/>
          <w:lang w:eastAsia="zh-CN"/>
          <w14:textFill>
            <w14:solidFill>
              <w14:schemeClr w14:val="tx1"/>
            </w14:solidFill>
          </w14:textFill>
        </w:rPr>
        <w:t>控制由人员走动导致的楼盖竖向振动，宜按相关规定进行楼盖舒适度验算。</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悬挑结构与主体结构相连接节点应采用有限元程序进行节</w:t>
      </w:r>
      <w:r>
        <w:rPr>
          <w:color w:val="000000" w:themeColor="text1"/>
          <w:lang w:eastAsia="zh-CN"/>
          <w14:textFill>
            <w14:solidFill>
              <w14:schemeClr w14:val="tx1"/>
            </w14:solidFill>
          </w14:textFill>
        </w:rPr>
        <w:t>点</w:t>
      </w:r>
      <w:r>
        <w:rPr>
          <w:rFonts w:hint="eastAsia"/>
          <w:color w:val="000000" w:themeColor="text1"/>
          <w:lang w:eastAsia="zh-CN"/>
          <w14:textFill>
            <w14:solidFill>
              <w14:schemeClr w14:val="tx1"/>
            </w14:solidFill>
          </w14:textFill>
        </w:rPr>
        <w:t>应力分析，并应采取可靠的构造加强措施。</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为减小悬挑结构楼层楼板中拉应力，可</w:t>
      </w:r>
      <w:r>
        <w:rPr>
          <w:color w:val="000000" w:themeColor="text1"/>
          <w:lang w:eastAsia="zh-CN"/>
          <w14:textFill>
            <w14:solidFill>
              <w14:schemeClr w14:val="tx1"/>
            </w14:solidFill>
          </w14:textFill>
        </w:rPr>
        <w:t>采取</w:t>
      </w:r>
      <w:r>
        <w:rPr>
          <w:rFonts w:hint="eastAsia"/>
          <w:color w:val="000000" w:themeColor="text1"/>
          <w:lang w:eastAsia="zh-CN"/>
          <w14:textFill>
            <w14:solidFill>
              <w14:schemeClr w14:val="tx1"/>
            </w14:solidFill>
          </w14:textFill>
        </w:rPr>
        <w:t>在悬</w:t>
      </w:r>
      <w:r>
        <w:rPr>
          <w:color w:val="000000" w:themeColor="text1"/>
          <w:lang w:eastAsia="zh-CN"/>
          <w14:textFill>
            <w14:solidFill>
              <w14:schemeClr w14:val="tx1"/>
            </w14:solidFill>
          </w14:textFill>
        </w:rPr>
        <w:t>挑</w:t>
      </w:r>
      <w:r>
        <w:rPr>
          <w:rFonts w:hint="eastAsia"/>
          <w:color w:val="000000" w:themeColor="text1"/>
          <w:lang w:eastAsia="zh-CN"/>
          <w14:textFill>
            <w14:solidFill>
              <w14:schemeClr w14:val="tx1"/>
            </w14:solidFill>
          </w14:textFill>
        </w:rPr>
        <w:t>结构成形后浇捣楼</w:t>
      </w:r>
      <w:r>
        <w:rPr>
          <w:color w:val="000000" w:themeColor="text1"/>
          <w:lang w:eastAsia="zh-CN"/>
          <w14:textFill>
            <w14:solidFill>
              <w14:schemeClr w14:val="tx1"/>
            </w14:solidFill>
          </w14:textFill>
        </w:rPr>
        <w:t>板混凝土</w:t>
      </w:r>
      <w:r>
        <w:rPr>
          <w:rFonts w:hint="eastAsia"/>
          <w:color w:val="000000" w:themeColor="text1"/>
          <w:lang w:eastAsia="zh-CN"/>
          <w14:textFill>
            <w14:solidFill>
              <w14:schemeClr w14:val="tx1"/>
            </w14:solidFill>
          </w14:textFill>
        </w:rPr>
        <w:t>、混凝土板中设后浇带、橡胶带包裹组合</w:t>
      </w:r>
      <w:r>
        <w:rPr>
          <w:color w:val="000000" w:themeColor="text1"/>
          <w:lang w:eastAsia="zh-CN"/>
          <w14:textFill>
            <w14:solidFill>
              <w14:schemeClr w14:val="tx1"/>
            </w14:solidFill>
          </w14:textFill>
        </w:rPr>
        <w:t>楼板</w:t>
      </w:r>
      <w:r>
        <w:rPr>
          <w:rFonts w:hint="eastAsia"/>
          <w:color w:val="000000" w:themeColor="text1"/>
          <w:lang w:eastAsia="zh-CN"/>
          <w14:textFill>
            <w14:solidFill>
              <w14:schemeClr w14:val="tx1"/>
            </w14:solidFill>
          </w14:textFill>
        </w:rPr>
        <w:t>栓钉等措施。</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悬挑结构应进行施工模拟分析，应考虑主</w:t>
      </w:r>
      <w:r>
        <w:rPr>
          <w:color w:val="000000" w:themeColor="text1"/>
          <w:lang w:eastAsia="zh-CN"/>
          <w14:textFill>
            <w14:solidFill>
              <w14:schemeClr w14:val="tx1"/>
            </w14:solidFill>
          </w14:textFill>
        </w:rPr>
        <w:t>体结构竖向</w:t>
      </w:r>
      <w:r>
        <w:rPr>
          <w:rFonts w:hint="eastAsia"/>
          <w:color w:val="000000" w:themeColor="text1"/>
          <w:lang w:eastAsia="zh-CN"/>
          <w14:textFill>
            <w14:solidFill>
              <w14:schemeClr w14:val="tx1"/>
            </w14:solidFill>
          </w14:textFill>
        </w:rPr>
        <w:t>压</w:t>
      </w:r>
      <w:r>
        <w:rPr>
          <w:color w:val="000000" w:themeColor="text1"/>
          <w:lang w:eastAsia="zh-CN"/>
          <w14:textFill>
            <w14:solidFill>
              <w14:schemeClr w14:val="tx1"/>
            </w14:solidFill>
          </w14:textFill>
        </w:rPr>
        <w:t>缩变形</w:t>
      </w:r>
      <w:r>
        <w:rPr>
          <w:rFonts w:hint="eastAsia"/>
          <w:color w:val="000000" w:themeColor="text1"/>
          <w:lang w:eastAsia="zh-CN"/>
          <w14:textFill>
            <w14:solidFill>
              <w14:schemeClr w14:val="tx1"/>
            </w14:solidFill>
          </w14:textFill>
        </w:rPr>
        <w:t>差对</w:t>
      </w:r>
      <w:r>
        <w:rPr>
          <w:color w:val="000000" w:themeColor="text1"/>
          <w:lang w:eastAsia="zh-CN"/>
          <w14:textFill>
            <w14:solidFill>
              <w14:schemeClr w14:val="tx1"/>
            </w14:solidFill>
          </w14:textFill>
        </w:rPr>
        <w:t>悬挑结构的不利影响</w:t>
      </w:r>
      <w:r>
        <w:rPr>
          <w:rFonts w:hint="eastAsia"/>
          <w:color w:val="000000" w:themeColor="text1"/>
          <w:lang w:eastAsia="zh-CN"/>
          <w14:textFill>
            <w14:solidFill>
              <w14:schemeClr w14:val="tx1"/>
            </w14:solidFill>
          </w14:textFill>
        </w:rPr>
        <w:t>。</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60"/>
        <w:spacing w:beforeLines="0" w:afterLines="0"/>
        <w:rPr>
          <w:color w:val="000000" w:themeColor="text1"/>
          <w14:textFill>
            <w14:solidFill>
              <w14:schemeClr w14:val="tx1"/>
            </w14:solidFill>
          </w14:textFill>
        </w:rPr>
      </w:pPr>
      <w:bookmarkStart w:id="60" w:name="_Toc24714223"/>
      <w:r>
        <w:rPr>
          <w:rFonts w:hint="eastAsia"/>
          <w:color w:val="000000" w:themeColor="text1"/>
          <w:lang w:eastAsia="zh-CN"/>
          <w14:textFill>
            <w14:solidFill>
              <w14:schemeClr w14:val="tx1"/>
            </w14:solidFill>
          </w14:textFill>
        </w:rPr>
        <w:t>混合结构设计</w:t>
      </w:r>
      <w:bookmarkEnd w:id="60"/>
    </w:p>
    <w:p>
      <w:pPr>
        <w:pStyle w:val="61"/>
        <w:rPr>
          <w:color w:val="000000" w:themeColor="text1"/>
          <w14:textFill>
            <w14:solidFill>
              <w14:schemeClr w14:val="tx1"/>
            </w14:solidFill>
          </w14:textFill>
        </w:rPr>
      </w:pPr>
      <w:bookmarkStart w:id="61" w:name="_Toc24714224"/>
      <w:r>
        <w:rPr>
          <w:rFonts w:hint="eastAsia"/>
          <w:color w:val="000000" w:themeColor="text1"/>
          <w14:textFill>
            <w14:solidFill>
              <w14:schemeClr w14:val="tx1"/>
            </w14:solidFill>
          </w14:textFill>
        </w:rPr>
        <w:t>一般规定</w:t>
      </w:r>
      <w:bookmarkEnd w:id="61"/>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章规定的混合结构，系指由外围钢框架或型钢混凝土、钢管混凝土框架与钢筋混凝土核心筒所组成的框架核心筒结构，以及由外围钢框筒或型钢混凝土、钢管混凝土框筒与钢筋混凝土核心筒所组成的筒中筒结构。</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混合结构高层建筑适用的最大高度应符合表8.1.2的规定。</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表8.1.2混合结构高层建筑适用的最大高度(m)</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4874"/>
        <w:gridCol w:w="938"/>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gridSpan w:val="2"/>
            <w:vMerge w:val="restart"/>
            <w:vAlign w:val="center"/>
          </w:tcPr>
          <w:p>
            <w:pPr>
              <w:pStyle w:val="119"/>
              <w:numPr>
                <w:ilvl w:val="0"/>
                <w:numId w:val="0"/>
              </w:numPr>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结构体系</w:t>
            </w:r>
          </w:p>
        </w:tc>
        <w:tc>
          <w:tcPr>
            <w:tcW w:w="2074" w:type="dxa"/>
            <w:gridSpan w:val="2"/>
          </w:tcPr>
          <w:p>
            <w:pPr>
              <w:pStyle w:val="119"/>
              <w:numPr>
                <w:ilvl w:val="0"/>
                <w:numId w:val="0"/>
              </w:numPr>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2" w:type="dxa"/>
            <w:gridSpan w:val="2"/>
            <w:vMerge w:val="continue"/>
          </w:tcPr>
          <w:p>
            <w:pPr>
              <w:pStyle w:val="119"/>
              <w:numPr>
                <w:ilvl w:val="0"/>
                <w:numId w:val="0"/>
              </w:numPr>
              <w:rPr>
                <w:color w:val="000000" w:themeColor="text1"/>
                <w:sz w:val="21"/>
                <w:szCs w:val="21"/>
                <w:lang w:eastAsia="zh-CN"/>
                <w14:textFill>
                  <w14:solidFill>
                    <w14:schemeClr w14:val="tx1"/>
                  </w14:solidFill>
                </w14:textFill>
              </w:rPr>
            </w:pPr>
          </w:p>
        </w:tc>
        <w:tc>
          <w:tcPr>
            <w:tcW w:w="938" w:type="dxa"/>
          </w:tcPr>
          <w:p>
            <w:pPr>
              <w:pStyle w:val="119"/>
              <w:numPr>
                <w:ilvl w:val="0"/>
                <w:numId w:val="0"/>
              </w:numPr>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6度</w:t>
            </w:r>
          </w:p>
        </w:tc>
        <w:tc>
          <w:tcPr>
            <w:tcW w:w="1136" w:type="dxa"/>
          </w:tcPr>
          <w:p>
            <w:pPr>
              <w:pStyle w:val="119"/>
              <w:numPr>
                <w:ilvl w:val="0"/>
                <w:numId w:val="0"/>
              </w:numPr>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7度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8" w:type="dxa"/>
            <w:vMerge w:val="restart"/>
            <w:vAlign w:val="center"/>
          </w:tcPr>
          <w:p>
            <w:pPr>
              <w:pStyle w:val="119"/>
              <w:numPr>
                <w:ilvl w:val="0"/>
                <w:numId w:val="0"/>
              </w:numPr>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框架-核心筒</w:t>
            </w:r>
          </w:p>
        </w:tc>
        <w:tc>
          <w:tcPr>
            <w:tcW w:w="4874" w:type="dxa"/>
          </w:tcPr>
          <w:p>
            <w:pPr>
              <w:pStyle w:val="119"/>
              <w:numPr>
                <w:ilvl w:val="0"/>
                <w:numId w:val="0"/>
              </w:numP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钢框架-钢筋混凝土核心筒</w:t>
            </w:r>
          </w:p>
        </w:tc>
        <w:tc>
          <w:tcPr>
            <w:tcW w:w="938" w:type="dxa"/>
          </w:tcPr>
          <w:p>
            <w:pPr>
              <w:pStyle w:val="119"/>
              <w:numPr>
                <w:ilvl w:val="0"/>
                <w:numId w:val="0"/>
              </w:numPr>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200</w:t>
            </w:r>
          </w:p>
        </w:tc>
        <w:tc>
          <w:tcPr>
            <w:tcW w:w="1136" w:type="dxa"/>
          </w:tcPr>
          <w:p>
            <w:pPr>
              <w:pStyle w:val="119"/>
              <w:numPr>
                <w:ilvl w:val="0"/>
                <w:numId w:val="0"/>
              </w:numPr>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pPr>
              <w:pStyle w:val="119"/>
              <w:numPr>
                <w:ilvl w:val="0"/>
                <w:numId w:val="0"/>
              </w:numPr>
              <w:jc w:val="center"/>
              <w:rPr>
                <w:color w:val="000000" w:themeColor="text1"/>
                <w:sz w:val="21"/>
                <w:szCs w:val="21"/>
                <w:lang w:eastAsia="zh-CN"/>
                <w14:textFill>
                  <w14:solidFill>
                    <w14:schemeClr w14:val="tx1"/>
                  </w14:solidFill>
                </w14:textFill>
              </w:rPr>
            </w:pPr>
          </w:p>
        </w:tc>
        <w:tc>
          <w:tcPr>
            <w:tcW w:w="4874" w:type="dxa"/>
          </w:tcPr>
          <w:p>
            <w:pPr>
              <w:pStyle w:val="119"/>
              <w:numPr>
                <w:ilvl w:val="0"/>
                <w:numId w:val="0"/>
              </w:numP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型钢（钢管）混凝土框架-钢筋混凝土核心筒</w:t>
            </w:r>
          </w:p>
        </w:tc>
        <w:tc>
          <w:tcPr>
            <w:tcW w:w="938" w:type="dxa"/>
          </w:tcPr>
          <w:p>
            <w:pPr>
              <w:pStyle w:val="119"/>
              <w:numPr>
                <w:ilvl w:val="0"/>
                <w:numId w:val="0"/>
              </w:numPr>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220</w:t>
            </w:r>
          </w:p>
        </w:tc>
        <w:tc>
          <w:tcPr>
            <w:tcW w:w="1136" w:type="dxa"/>
          </w:tcPr>
          <w:p>
            <w:pPr>
              <w:pStyle w:val="119"/>
              <w:numPr>
                <w:ilvl w:val="0"/>
                <w:numId w:val="0"/>
              </w:numPr>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restart"/>
            <w:vAlign w:val="center"/>
          </w:tcPr>
          <w:p>
            <w:pPr>
              <w:pStyle w:val="119"/>
              <w:numPr>
                <w:ilvl w:val="0"/>
                <w:numId w:val="0"/>
              </w:numPr>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筒中筒</w:t>
            </w:r>
          </w:p>
        </w:tc>
        <w:tc>
          <w:tcPr>
            <w:tcW w:w="4874" w:type="dxa"/>
          </w:tcPr>
          <w:p>
            <w:pPr>
              <w:pStyle w:val="119"/>
              <w:numPr>
                <w:ilvl w:val="0"/>
                <w:numId w:val="0"/>
              </w:numP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钢框架-钢筋混凝土筒中筒</w:t>
            </w:r>
          </w:p>
        </w:tc>
        <w:tc>
          <w:tcPr>
            <w:tcW w:w="938" w:type="dxa"/>
          </w:tcPr>
          <w:p>
            <w:pPr>
              <w:pStyle w:val="119"/>
              <w:numPr>
                <w:ilvl w:val="0"/>
                <w:numId w:val="0"/>
              </w:numPr>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260</w:t>
            </w:r>
          </w:p>
        </w:tc>
        <w:tc>
          <w:tcPr>
            <w:tcW w:w="1136" w:type="dxa"/>
          </w:tcPr>
          <w:p>
            <w:pPr>
              <w:pStyle w:val="119"/>
              <w:numPr>
                <w:ilvl w:val="0"/>
                <w:numId w:val="0"/>
              </w:numPr>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8" w:type="dxa"/>
            <w:vMerge w:val="continue"/>
          </w:tcPr>
          <w:p>
            <w:pPr>
              <w:pStyle w:val="119"/>
              <w:numPr>
                <w:ilvl w:val="0"/>
                <w:numId w:val="0"/>
              </w:numPr>
              <w:rPr>
                <w:color w:val="000000" w:themeColor="text1"/>
                <w:sz w:val="21"/>
                <w:szCs w:val="21"/>
                <w:lang w:eastAsia="zh-CN"/>
                <w14:textFill>
                  <w14:solidFill>
                    <w14:schemeClr w14:val="tx1"/>
                  </w14:solidFill>
                </w14:textFill>
              </w:rPr>
            </w:pPr>
          </w:p>
        </w:tc>
        <w:tc>
          <w:tcPr>
            <w:tcW w:w="4874" w:type="dxa"/>
          </w:tcPr>
          <w:p>
            <w:pPr>
              <w:pStyle w:val="119"/>
              <w:numPr>
                <w:ilvl w:val="0"/>
                <w:numId w:val="0"/>
              </w:numP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型钢（钢管）混凝土框架-钢筋混凝土筒中筒</w:t>
            </w:r>
          </w:p>
        </w:tc>
        <w:tc>
          <w:tcPr>
            <w:tcW w:w="938" w:type="dxa"/>
          </w:tcPr>
          <w:p>
            <w:pPr>
              <w:pStyle w:val="119"/>
              <w:numPr>
                <w:ilvl w:val="0"/>
                <w:numId w:val="0"/>
              </w:numPr>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280</w:t>
            </w:r>
          </w:p>
        </w:tc>
        <w:tc>
          <w:tcPr>
            <w:tcW w:w="1136" w:type="dxa"/>
          </w:tcPr>
          <w:p>
            <w:pPr>
              <w:pStyle w:val="119"/>
              <w:numPr>
                <w:ilvl w:val="0"/>
                <w:numId w:val="0"/>
              </w:numPr>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230</w:t>
            </w: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注:平面和竖向均不规则的结构，最大适用高度应适当降低。</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抗震设计时，混合结构房屋应根据抗震设防分类、烈度、结构类型和房屋高度采用不同的抗震等级，并应符合相应的计算和构造措施要求。丙类建筑钢筋混凝土结构的抗震等级应按表8.1.3确定。</w:t>
      </w:r>
    </w:p>
    <w:p>
      <w:pPr>
        <w:spacing w:line="24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表8.1.3  钢-混凝土混合结构抗震等级</w:t>
      </w:r>
    </w:p>
    <w:tbl>
      <w:tblPr>
        <w:tblStyle w:val="31"/>
        <w:tblW w:w="8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2"/>
        <w:gridCol w:w="2269"/>
        <w:gridCol w:w="851"/>
        <w:gridCol w:w="851"/>
        <w:gridCol w:w="824"/>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1" w:type="dxa"/>
            <w:gridSpan w:val="2"/>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结构类型</w:t>
            </w:r>
          </w:p>
        </w:tc>
        <w:tc>
          <w:tcPr>
            <w:tcW w:w="3349" w:type="dxa"/>
            <w:gridSpan w:val="4"/>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961" w:type="dxa"/>
            <w:gridSpan w:val="2"/>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1702"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6度</w:t>
            </w:r>
          </w:p>
        </w:tc>
        <w:tc>
          <w:tcPr>
            <w:tcW w:w="1647"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961" w:type="dxa"/>
            <w:gridSpan w:val="2"/>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房屋高度（m）</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≤150</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＞150</w:t>
            </w:r>
          </w:p>
        </w:tc>
        <w:tc>
          <w:tcPr>
            <w:tcW w:w="824"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≤130</w:t>
            </w:r>
          </w:p>
        </w:tc>
        <w:tc>
          <w:tcPr>
            <w:tcW w:w="823"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钢框架-钢筋混凝土核心筒</w:t>
            </w:r>
          </w:p>
        </w:tc>
        <w:tc>
          <w:tcPr>
            <w:tcW w:w="2269"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钢筋混凝土核心筒</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c>
          <w:tcPr>
            <w:tcW w:w="824"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c>
          <w:tcPr>
            <w:tcW w:w="823"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特一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692"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型钢（钢管）混凝土框架-钢筋混凝土核心筒</w:t>
            </w:r>
          </w:p>
        </w:tc>
        <w:tc>
          <w:tcPr>
            <w:tcW w:w="2269"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钢筋混凝土核心筒</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24"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23"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692"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269"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型钢（钢管）混凝土框架</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24"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23"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961" w:type="dxa"/>
            <w:gridSpan w:val="2"/>
            <w:vAlign w:val="center"/>
          </w:tcPr>
          <w:p>
            <w:pPr>
              <w:spacing w:line="240" w:lineRule="auto"/>
              <w:ind w:left="-105" w:leftChars="-50" w:right="-105" w:rightChars="-50"/>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房屋高度（m）</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≤180</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＞180</w:t>
            </w:r>
          </w:p>
        </w:tc>
        <w:tc>
          <w:tcPr>
            <w:tcW w:w="824"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≤150</w:t>
            </w:r>
          </w:p>
        </w:tc>
        <w:tc>
          <w:tcPr>
            <w:tcW w:w="823"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692"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钢框架-钢筋混凝土筒中筒</w:t>
            </w:r>
          </w:p>
        </w:tc>
        <w:tc>
          <w:tcPr>
            <w:tcW w:w="2269" w:type="dxa"/>
            <w:vAlign w:val="center"/>
          </w:tcPr>
          <w:p>
            <w:pPr>
              <w:spacing w:line="240" w:lineRule="auto"/>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钢筋混凝土筒中筒</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c>
          <w:tcPr>
            <w:tcW w:w="824"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c>
          <w:tcPr>
            <w:tcW w:w="823"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特一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92" w:type="dxa"/>
            <w:vMerge w:val="restart"/>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型钢（钢管）混凝土框架-钢筋混凝土筒中筒</w:t>
            </w:r>
          </w:p>
        </w:tc>
        <w:tc>
          <w:tcPr>
            <w:tcW w:w="2269"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钢筋混凝土筒中筒</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24"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23"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92" w:type="dxa"/>
            <w:vMerge w:val="continue"/>
            <w:vAlign w:val="center"/>
          </w:tcPr>
          <w:p>
            <w:pPr>
              <w:spacing w:line="240" w:lineRule="auto"/>
              <w:ind w:left="0"/>
              <w:jc w:val="center"/>
              <w:rPr>
                <w:rFonts w:ascii="宋体" w:hAnsi="宋体"/>
                <w:color w:val="000000" w:themeColor="text1"/>
                <w:szCs w:val="21"/>
                <w14:textFill>
                  <w14:solidFill>
                    <w14:schemeClr w14:val="tx1"/>
                  </w14:solidFill>
                </w14:textFill>
              </w:rPr>
            </w:pPr>
          </w:p>
        </w:tc>
        <w:tc>
          <w:tcPr>
            <w:tcW w:w="2269" w:type="dxa"/>
            <w:vAlign w:val="center"/>
          </w:tcPr>
          <w:p>
            <w:pPr>
              <w:spacing w:line="240" w:lineRule="auto"/>
              <w:ind w:left="-105" w:leftChars="-50" w:right="-105" w:rightChars="-50"/>
              <w:jc w:val="center"/>
              <w:rPr>
                <w:rFonts w:ascii="宋体"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型钢（钢管）混凝土框架</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w:t>
            </w:r>
          </w:p>
        </w:tc>
        <w:tc>
          <w:tcPr>
            <w:tcW w:w="851"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24"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823" w:type="dxa"/>
            <w:vAlign w:val="center"/>
          </w:tcPr>
          <w:p>
            <w:pPr>
              <w:spacing w:line="240" w:lineRule="auto"/>
              <w:ind w:left="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注:钢结构构件抗震等级，抗震设防烈度为6、7度时应分别为四、三级。</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混合结构在风荷载作用下，按弹性方法计算的最大层间位移与层高的比值应符合本规程第3.7.1条的有关规定；混合结构在多遇地震作用下，按弹性方法计算的最大层间位移与层高的比值应符合本规程第3.7.2条的有关规定。</w:t>
      </w:r>
    </w:p>
    <w:p>
      <w:pPr>
        <w:pStyle w:val="61"/>
        <w:rPr>
          <w:color w:val="000000" w:themeColor="text1"/>
          <w14:textFill>
            <w14:solidFill>
              <w14:schemeClr w14:val="tx1"/>
            </w14:solidFill>
          </w14:textFill>
        </w:rPr>
      </w:pPr>
      <w:bookmarkStart w:id="62" w:name="_Toc24714225"/>
      <w:r>
        <w:rPr>
          <w:rFonts w:hint="eastAsia"/>
          <w:color w:val="000000" w:themeColor="text1"/>
          <w14:textFill>
            <w14:solidFill>
              <w14:schemeClr w14:val="tx1"/>
            </w14:solidFill>
          </w14:textFill>
        </w:rPr>
        <w:t>结构布置</w:t>
      </w:r>
      <w:bookmarkEnd w:id="62"/>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混合结构房屋的结构布置除应符合本节的规定外，尚应符合本规程第3.4、3.5节的有关规定。</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混合结构的平面布置应符合下列规定:</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1平面宜简单、规则、对称、具有足够的整体抗扭刚度,平面宜采用方形、矩形、多边形、圆形、椭圆形等规则平面，建筑的开间、进深宜统一；</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 筒中筒结构体系中，当外围钢框架柱采用H形截面柱时，宜将柱截面强轴方向布置在外围筒体平面内;角柱宜采用十字形、方形或圆形截面；</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 楼盖主梁不宜搁置在核心筒或内筒的连梁上。</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混合结构的竖向布置应符合下列规定:</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 结构的侧向刚度和承载力沿竖向宜均匀变化、无突变，构件截面宜由下至上逐渐减小；</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 混合结构的外围框架柱沿高度宜采用同类结构构件；当采用不同类型结构构件时，应设置过程层，且单柱的抗弯刚度变化不宜超过30%；</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3对于刚度建变化较大的楼层，应采取可靠的过渡加强措施；</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4 钢框架部分采用支撑时，宜采用偏心支撑和耗能支撑，支撑宜双向连续布置；框架支支撑宜延伸至基础。</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8、9度抗震设计时，应在楼面钢梁或型钢混凝土梁与混凝土筒体交接处及混凝土筒体四角墙内设置型钢柱。7度抗震设计时，宜在楼面钢梁或型钢混凝土梁与混凝土筒体交接处及混凝土筒体四角墙内设置型钢柱。</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混合结构中，外围框架平面内梁与柱应采用刚性连接；楼面梁与钢筋混凝土筒体及外围框架柱的连接可采用刚接或铰接。</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楼盖体系应具有良好的水平刚度和整体性，其布置应符合下列规定:</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1楼面宜采用压型钢板现浇混凝土组合楼板、现浇混凝土楼板或预应力混凝土叠合楼板，楼板与钢梁应可靠连接；</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2机房设备层、避难层及外伸臂桁架上下弦杆所在楼层的楼板宜采用钢筋混凝楼板，并应采取加强措施；</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3对于建筑物楼面有较大开洞或为转换楼层时，应采用现浇混凝土楼板；对楼板大开洞部位宜采取设置刚性水平支撑等加强措施。</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当侧向刚度不足时，混合结构可设置刚度适宜的加强层。加强层宜采用伸臂桁架，必要时可配合布置周边带状桁架。加强层设计应符合下列规定:</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 伸臂桁架和周边带状桁架宜采用钢桁架；</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2伸臂桁架应与核心筒墙体刚接，上、下弦杆均应延伸至墙体内且贯通，墙体内宜设置斜腹杆或暗撑；外伸臂桁架与外围框架柱宜采用铰接或半刚接，周边带状桁架与外框架柱的连接宜采用刚性连接。</w:t>
      </w:r>
    </w:p>
    <w:p>
      <w:pPr>
        <w:pStyle w:val="119"/>
        <w:numPr>
          <w:ilvl w:val="0"/>
          <w:numId w:val="0"/>
        </w:numPr>
        <w:ind w:firstLine="480" w:firstLineChars="200"/>
        <w:outlineLvl w:val="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3核心筒墙体与伸臂桁架连接处宜设置构造型钢柱，型钢柱宜至少延伸至伸臂桁架高度范围以外上、下各一层。</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当布置有外伸桁架加强层时，应采取有效措施减少由于外框柱与混凝土筒体竖向变形差异引起的桁架杆件内力。</w:t>
      </w:r>
    </w:p>
    <w:p>
      <w:pPr>
        <w:pStyle w:val="61"/>
        <w:rPr>
          <w:color w:val="000000" w:themeColor="text1"/>
          <w14:textFill>
            <w14:solidFill>
              <w14:schemeClr w14:val="tx1"/>
            </w14:solidFill>
          </w14:textFill>
        </w:rPr>
      </w:pPr>
      <w:bookmarkStart w:id="63" w:name="_Toc24714226"/>
      <w:r>
        <w:rPr>
          <w:rFonts w:hint="eastAsia"/>
          <w:color w:val="000000" w:themeColor="text1"/>
          <w14:textFill>
            <w14:solidFill>
              <w14:schemeClr w14:val="tx1"/>
            </w14:solidFill>
          </w14:textFill>
        </w:rPr>
        <w:t>结构计算</w:t>
      </w:r>
      <w:bookmarkEnd w:id="63"/>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弹性分析时，宜考虑钢梁与现浇混凝土楼板的共同作用，梁的刚度可取钢梁刚度的1.5~2.0倍，但应保证钢梁与楼板有可靠连接。弹塑性分析时，可不考虑楼板与梁的共同作用。</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 xml:space="preserve"> 竖向荷载作用计算时，宜考虑钢柱、型钢混凝土(钢管混凝土)柱与钢筋混凝土核心筒竖向变形差异引起的结构附加内力，计算竖向变形差异时宜考虑混凝土收缩、徐变、沉降及施工调整等因素的影响。</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混凝土筒体先于外围框架结构施工时，应考虑施工阶段混凝上筒体在风力及其他荷载作用下的不利受力状态；应验算在浇筑混凝土之前外围型钢结构在施工荷载及可能的风载作用下的承载力、稳定及变形，并据此确定钢结构安装与浇筑楼层混凝土的间隔层数。</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混合结构在多遇地震作用下的阻尼比可取为0.04。风荷载作用下楼层位移验算和构件设计时，阻尼比可取为0.02~0.04。</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结构内力和位移计算时，设置伸臂桁架的楼层以及楼板开大洞的楼层应考虑楼板平面内变形的不利影响。</w:t>
      </w:r>
    </w:p>
    <w:p>
      <w:pPr>
        <w:pStyle w:val="60"/>
        <w:spacing w:beforeLines="0" w:afterLines="0"/>
        <w:rPr>
          <w:color w:val="000000" w:themeColor="text1"/>
          <w14:textFill>
            <w14:solidFill>
              <w14:schemeClr w14:val="tx1"/>
            </w14:solidFill>
          </w14:textFill>
        </w:rPr>
      </w:pPr>
      <w:bookmarkStart w:id="64" w:name="_Toc24714227"/>
      <w:r>
        <w:rPr>
          <w:rFonts w:hint="eastAsia"/>
          <w:color w:val="000000" w:themeColor="text1"/>
          <w14:textFill>
            <w14:solidFill>
              <w14:schemeClr w14:val="tx1"/>
            </w14:solidFill>
          </w14:textFill>
        </w:rPr>
        <w:t>构件设计</w:t>
      </w:r>
      <w:bookmarkEnd w:id="64"/>
    </w:p>
    <w:p>
      <w:pPr>
        <w:pStyle w:val="61"/>
        <w:rPr>
          <w:color w:val="000000" w:themeColor="text1"/>
          <w14:textFill>
            <w14:solidFill>
              <w14:schemeClr w14:val="tx1"/>
            </w14:solidFill>
          </w14:textFill>
        </w:rPr>
      </w:pPr>
      <w:bookmarkStart w:id="65" w:name="_Toc24714228"/>
      <w:r>
        <w:rPr>
          <w:rFonts w:hint="eastAsia"/>
          <w:color w:val="000000" w:themeColor="text1"/>
          <w14:textFill>
            <w14:solidFill>
              <w14:schemeClr w14:val="tx1"/>
            </w14:solidFill>
          </w14:textFill>
        </w:rPr>
        <w:t>楼盖（含梁）</w:t>
      </w:r>
      <w:bookmarkEnd w:id="65"/>
    </w:p>
    <w:p>
      <w:pPr>
        <w:pStyle w:val="119"/>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钢筋混凝土梁计算分析时，如未考虑与其相连的楼板作用，该梁支座截面部分的钢筋可配置在梁侧楼板1.5h</w:t>
      </w:r>
      <w:r>
        <w:rPr>
          <w:rFonts w:hint="eastAsia"/>
          <w:color w:val="000000" w:themeColor="text1"/>
          <w:vertAlign w:val="subscript"/>
          <w:lang w:eastAsia="zh-CN"/>
          <w14:textFill>
            <w14:solidFill>
              <w14:schemeClr w14:val="tx1"/>
            </w14:solidFill>
          </w14:textFill>
        </w:rPr>
        <w:t>b</w:t>
      </w:r>
      <w:r>
        <w:rPr>
          <w:rFonts w:hint="eastAsia"/>
          <w:color w:val="000000" w:themeColor="text1"/>
          <w:lang w:eastAsia="zh-CN"/>
          <w14:textFill>
            <w14:solidFill>
              <w14:schemeClr w14:val="tx1"/>
            </w14:solidFill>
          </w14:textFill>
        </w:rPr>
        <w:t>(h</w:t>
      </w:r>
      <w:r>
        <w:rPr>
          <w:rFonts w:hint="eastAsia"/>
          <w:color w:val="000000" w:themeColor="text1"/>
          <w:vertAlign w:val="subscript"/>
          <w:lang w:eastAsia="zh-CN"/>
          <w14:textFill>
            <w14:solidFill>
              <w14:schemeClr w14:val="tx1"/>
            </w14:solidFill>
          </w14:textFill>
        </w:rPr>
        <w:t>b</w:t>
      </w:r>
      <w:r>
        <w:rPr>
          <w:rFonts w:hint="eastAsia"/>
          <w:color w:val="000000" w:themeColor="text1"/>
          <w:lang w:eastAsia="zh-CN"/>
          <w14:textFill>
            <w14:solidFill>
              <w14:schemeClr w14:val="tx1"/>
            </w14:solidFill>
          </w14:textFill>
        </w:rPr>
        <w:t>为楼板厚度)范围内，并可适当考虑楼板内钢筋的作用。</w:t>
      </w:r>
      <w:r>
        <w:rPr>
          <w:rFonts w:hint="eastAsia"/>
          <w:color w:val="000000" w:themeColor="text1"/>
          <w14:textFill>
            <w14:solidFill>
              <w14:schemeClr w14:val="tx1"/>
            </w14:solidFill>
          </w14:textFill>
        </w:rPr>
        <w:t>配置在板内的钢筋不宜超过梁支座总配筋的</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采用加腋大板楼盖(如图9.1.2所示，有主梁、不设次梁、板底根部加腋)应满足下列要求</w:t>
      </w:r>
      <w:r>
        <w:rPr>
          <w:color w:val="000000" w:themeColor="text1"/>
          <w:lang w:eastAsia="zh-CN"/>
          <w14:textFill>
            <w14:solidFill>
              <w14:schemeClr w14:val="tx1"/>
            </w14:solidFill>
          </w14:textFill>
        </w:rPr>
        <w:t>:</w:t>
      </w:r>
    </w:p>
    <w:p>
      <w:pPr>
        <w:jc w:val="center"/>
        <w:rPr>
          <w:color w:val="000000" w:themeColor="text1"/>
          <w:kern w:val="0"/>
          <w:u w:color="808000"/>
          <w:lang w:val="en-GB"/>
          <w14:textFill>
            <w14:solidFill>
              <w14:schemeClr w14:val="tx1"/>
            </w14:solidFill>
          </w14:textFill>
        </w:rPr>
      </w:pPr>
      <w:r>
        <w:rPr>
          <w:color w:val="000000" w:themeColor="text1"/>
          <w:kern w:val="0"/>
          <w:u w:color="808000"/>
          <w14:textFill>
            <w14:solidFill>
              <w14:schemeClr w14:val="tx1"/>
            </w14:solidFill>
          </w14:textFill>
        </w:rPr>
        <w:drawing>
          <wp:inline distT="0" distB="0" distL="0" distR="0">
            <wp:extent cx="1556385" cy="1556385"/>
            <wp:effectExtent l="0" t="0" r="5715" b="0"/>
            <wp:docPr id="16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5" name="图片 6"/>
                    <pic:cNvPicPr>
                      <a:picLocks noChangeAspect="true" noChangeArrowheads="true"/>
                    </pic:cNvPicPr>
                  </pic:nvPicPr>
                  <pic:blipFill>
                    <a:blip r:embed="rId62"/>
                    <a:srcRect/>
                    <a:stretch>
                      <a:fillRect/>
                    </a:stretch>
                  </pic:blipFill>
                  <pic:spPr>
                    <a:xfrm>
                      <a:off x="0" y="0"/>
                      <a:ext cx="1556385" cy="1556385"/>
                    </a:xfrm>
                    <a:prstGeom prst="rect">
                      <a:avLst/>
                    </a:prstGeom>
                    <a:noFill/>
                    <a:ln w="9525">
                      <a:noFill/>
                      <a:miter lim="800000"/>
                      <a:headEnd/>
                      <a:tailEnd/>
                    </a:ln>
                  </pic:spPr>
                </pic:pic>
              </a:graphicData>
            </a:graphic>
          </wp:inline>
        </w:drawing>
      </w:r>
    </w:p>
    <w:p>
      <w:pPr>
        <w:jc w:val="center"/>
        <w:rPr>
          <w:color w:val="000000" w:themeColor="text1"/>
          <w:kern w:val="0"/>
          <w:u w:color="808000"/>
          <w:lang w:val="en-GB"/>
          <w14:textFill>
            <w14:solidFill>
              <w14:schemeClr w14:val="tx1"/>
            </w14:solidFill>
          </w14:textFill>
        </w:rPr>
      </w:pPr>
      <w:r>
        <w:rPr>
          <w:color w:val="000000" w:themeColor="text1"/>
          <w:kern w:val="0"/>
          <w:u w:color="808000"/>
          <w14:textFill>
            <w14:solidFill>
              <w14:schemeClr w14:val="tx1"/>
            </w14:solidFill>
          </w14:textFill>
        </w:rPr>
        <w:drawing>
          <wp:inline distT="0" distB="0" distL="0" distR="0">
            <wp:extent cx="1542415" cy="474345"/>
            <wp:effectExtent l="19050" t="0" r="635" b="0"/>
            <wp:docPr id="166"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6" name="图片 11"/>
                    <pic:cNvPicPr>
                      <a:picLocks noChangeAspect="true" noChangeArrowheads="true"/>
                    </pic:cNvPicPr>
                  </pic:nvPicPr>
                  <pic:blipFill>
                    <a:blip r:embed="rId63"/>
                    <a:srcRect/>
                    <a:stretch>
                      <a:fillRect/>
                    </a:stretch>
                  </pic:blipFill>
                  <pic:spPr>
                    <a:xfrm>
                      <a:off x="0" y="0"/>
                      <a:ext cx="1542415" cy="474345"/>
                    </a:xfrm>
                    <a:prstGeom prst="rect">
                      <a:avLst/>
                    </a:prstGeom>
                    <a:noFill/>
                    <a:ln w="9525">
                      <a:noFill/>
                      <a:miter lim="800000"/>
                      <a:headEnd/>
                      <a:tailEnd/>
                    </a:ln>
                  </pic:spPr>
                </pic:pic>
              </a:graphicData>
            </a:graphic>
          </wp:inline>
        </w:drawing>
      </w:r>
    </w:p>
    <w:p>
      <w:pPr>
        <w:jc w:val="center"/>
        <w:rPr>
          <w:color w:val="000000" w:themeColor="text1"/>
          <w:kern w:val="0"/>
          <w:u w:color="808000"/>
          <w:lang w:val="en-GB"/>
          <w14:textFill>
            <w14:solidFill>
              <w14:schemeClr w14:val="tx1"/>
            </w14:solidFill>
          </w14:textFill>
        </w:rPr>
      </w:pPr>
      <w:r>
        <w:rPr>
          <w:rFonts w:hint="eastAsia"/>
          <w:color w:val="000000" w:themeColor="text1"/>
          <w:kern w:val="0"/>
          <w:u w:color="808000"/>
          <w:lang w:val="en-GB"/>
          <w14:textFill>
            <w14:solidFill>
              <w14:schemeClr w14:val="tx1"/>
            </w14:solidFill>
          </w14:textFill>
        </w:rPr>
        <w:t>图9.1.2  加腋大板楼盖示意图</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 加腋的长度（Ly</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和高度(hy)比不应小于4。</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加腋大板配筋宜采用整体梁板有限元的计算结果,也可以采用附录B给出的方法进行计算。</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 当板根部配筋实际抗弯承载力不小于该截面计算需要抗弯承载力130%时，其配筋率可不小于0.1%。</w:t>
      </w:r>
    </w:p>
    <w:p>
      <w:pPr>
        <w:adjustRightInd w:val="0"/>
        <w:snapToGrid w:val="0"/>
        <w:spacing w:line="240" w:lineRule="auto"/>
        <w:ind w:left="0"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 作为塔楼嵌固的地下室顶板采用加腋大板方案时，板厚不小于</w:t>
      </w:r>
      <w:r>
        <w:rPr>
          <w:rFonts w:ascii="宋体" w:hAnsi="宋体"/>
          <w:color w:val="000000" w:themeColor="text1"/>
          <w:sz w:val="24"/>
          <w:szCs w:val="24"/>
          <w14:textFill>
            <w14:solidFill>
              <w14:schemeClr w14:val="tx1"/>
            </w14:solidFill>
          </w14:textFill>
        </w:rPr>
        <w:t>180</w:t>
      </w:r>
      <w:r>
        <w:rPr>
          <w:rFonts w:hint="eastAsia" w:ascii="宋体" w:hAnsi="宋体"/>
          <w:color w:val="000000" w:themeColor="text1"/>
          <w:sz w:val="24"/>
          <w:szCs w:val="24"/>
          <w14:textFill>
            <w14:solidFill>
              <w14:schemeClr w14:val="tx1"/>
            </w14:solidFill>
          </w14:textFill>
        </w:rPr>
        <w:t>，板双层双向配筋率不应小于</w:t>
      </w:r>
      <w:r>
        <w:rPr>
          <w:rFonts w:ascii="宋体" w:hAnsi="宋体"/>
          <w:color w:val="000000" w:themeColor="text1"/>
          <w:sz w:val="24"/>
          <w:szCs w:val="24"/>
          <w14:textFill>
            <w14:solidFill>
              <w14:schemeClr w14:val="tx1"/>
            </w14:solidFill>
          </w14:textFill>
        </w:rPr>
        <w:t>0.25%</w:t>
      </w:r>
      <w:r>
        <w:rPr>
          <w:rFonts w:hint="eastAsia" w:ascii="宋体" w:hAnsi="宋体"/>
          <w:color w:val="000000" w:themeColor="text1"/>
          <w:sz w:val="24"/>
          <w:szCs w:val="24"/>
          <w14:textFill>
            <w14:solidFill>
              <w14:schemeClr w14:val="tx1"/>
            </w14:solidFill>
          </w14:textFill>
        </w:rPr>
        <w:t>。</w:t>
      </w:r>
    </w:p>
    <w:p>
      <w:pPr>
        <w:spacing w:line="240" w:lineRule="auto"/>
        <w:ind w:left="0" w:firstLine="420" w:firstLineChars="200"/>
        <w:rPr>
          <w:color w:val="000000" w:themeColor="text1"/>
          <w14:textFill>
            <w14:solidFill>
              <w14:schemeClr w14:val="tx1"/>
            </w14:solidFill>
          </w14:textFill>
        </w:rPr>
      </w:pPr>
    </w:p>
    <w:p>
      <w:pPr>
        <w:pStyle w:val="61"/>
        <w:rPr>
          <w:color w:val="000000" w:themeColor="text1"/>
          <w:lang w:eastAsia="zh-CN"/>
          <w14:textFill>
            <w14:solidFill>
              <w14:schemeClr w14:val="tx1"/>
            </w14:solidFill>
          </w14:textFill>
        </w:rPr>
      </w:pPr>
      <w:bookmarkStart w:id="66" w:name="_Toc24714229"/>
      <w:r>
        <w:rPr>
          <w:rFonts w:hint="eastAsia"/>
          <w:color w:val="000000" w:themeColor="text1"/>
          <w:lang w:eastAsia="zh-CN"/>
          <w14:textFill>
            <w14:solidFill>
              <w14:schemeClr w14:val="tx1"/>
            </w14:solidFill>
          </w14:textFill>
        </w:rPr>
        <w:t>钢筋混凝土柱及梁柱（墙）节点</w:t>
      </w:r>
      <w:bookmarkEnd w:id="66"/>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抗震设计需要时宜采用高强约束混凝土柱，其相关要求按《高强箍筋混凝土结构技术规程》CECS365-2013。</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抗震设计采用混凝土芯柱设计时，应符合如下要求：</w:t>
      </w:r>
    </w:p>
    <w:p>
      <w:pPr>
        <w:adjustRightInd w:val="0"/>
        <w:snapToGrid w:val="0"/>
        <w:spacing w:line="240" w:lineRule="auto"/>
        <w:ind w:left="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 芯柱纵向钢筋的配筋率宜大于0.8%（按柱全截面计算），箍筋不宜小于</w:t>
      </w:r>
      <w:r>
        <w:rPr>
          <w:color w:val="000000" w:themeColor="text1"/>
          <w:sz w:val="24"/>
          <w:szCs w:val="24"/>
          <w14:textFill>
            <w14:solidFill>
              <w14:schemeClr w14:val="tx1"/>
            </w14:solidFill>
          </w14:textFill>
        </w:rPr>
        <w:drawing>
          <wp:inline distT="0" distB="0" distL="0" distR="0">
            <wp:extent cx="174625" cy="104775"/>
            <wp:effectExtent l="19050" t="0" r="0" b="0"/>
            <wp:docPr id="167" name="图片 10587"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7" name="图片 10587" descr="2"/>
                    <pic:cNvPicPr>
                      <a:picLocks noChangeAspect="true" noChangeArrowheads="true"/>
                    </pic:cNvPicPr>
                  </pic:nvPicPr>
                  <pic:blipFill>
                    <a:blip r:embed="rId64"/>
                    <a:srcRect/>
                    <a:stretch>
                      <a:fillRect/>
                    </a:stretch>
                  </pic:blipFill>
                  <pic:spPr>
                    <a:xfrm>
                      <a:off x="0" y="0"/>
                      <a:ext cx="174625" cy="104775"/>
                    </a:xfrm>
                    <a:prstGeom prst="rect">
                      <a:avLst/>
                    </a:prstGeom>
                    <a:noFill/>
                    <a:ln w="9525">
                      <a:noFill/>
                      <a:miter lim="800000"/>
                      <a:headEnd/>
                      <a:tailEnd/>
                    </a:ln>
                  </pic:spPr>
                </pic:pic>
              </a:graphicData>
            </a:graphic>
          </wp:inline>
        </w:drawing>
      </w:r>
      <w:r>
        <w:rPr>
          <w:rFonts w:hint="eastAsia"/>
          <w:color w:val="000000" w:themeColor="text1"/>
          <w:sz w:val="24"/>
          <w:szCs w:val="24"/>
          <w14:textFill>
            <w14:solidFill>
              <w14:schemeClr w14:val="tx1"/>
            </w14:solidFill>
          </w14:textFill>
        </w:rPr>
        <w:t>8@200，应使柱的箍筋和拉筋形成芯柱的箍筋。</w:t>
      </w:r>
    </w:p>
    <w:p>
      <w:pPr>
        <w:adjustRightInd w:val="0"/>
        <w:snapToGrid w:val="0"/>
        <w:spacing w:line="240" w:lineRule="auto"/>
        <w:ind w:left="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 芯柱的截面形式宜与柱的截面形式保持一致，其边长不宜小于柱边长的1/3，</w:t>
      </w:r>
      <w:r>
        <w:rPr>
          <w:color w:val="000000" w:themeColor="text1"/>
          <w:sz w:val="24"/>
          <w:szCs w:val="24"/>
          <w14:textFill>
            <w14:solidFill>
              <w14:schemeClr w14:val="tx1"/>
            </w14:solidFill>
          </w14:textFill>
        </w:rPr>
        <w:t>且不宜小于250mm</w:t>
      </w:r>
      <w:r>
        <w:rPr>
          <w:rFonts w:hint="eastAsia"/>
          <w:color w:val="000000" w:themeColor="text1"/>
          <w:sz w:val="24"/>
          <w:szCs w:val="24"/>
          <w14:textFill>
            <w14:solidFill>
              <w14:schemeClr w14:val="tx1"/>
            </w14:solidFill>
          </w14:textFill>
        </w:rPr>
        <w:t>；也不宜大于柱边长的2/3。</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钢筋混凝土柱与钢梁刚接节点</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 钢筋混凝土柱与钢梁刚接时宜采用钢板箍；钢板箍范围内不需要再设置箍筋。钢板箍厚度</w:t>
      </w:r>
      <w:r>
        <w:rPr>
          <w:rFonts w:ascii="宋体" w:hAnsi="宋体"/>
          <w:color w:val="000000" w:themeColor="text1"/>
          <w:position w:val="-12"/>
          <w:sz w:val="24"/>
          <w:szCs w:val="24"/>
          <w14:textFill>
            <w14:solidFill>
              <w14:schemeClr w14:val="tx1"/>
            </w14:solidFill>
          </w14:textFill>
        </w:rPr>
        <w:drawing>
          <wp:inline distT="0" distB="0" distL="0" distR="0">
            <wp:extent cx="151765" cy="229870"/>
            <wp:effectExtent l="0" t="0" r="635" b="0"/>
            <wp:docPr id="77" name="图片 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true" noChangeArrowheads="true"/>
                    </pic:cNvPicPr>
                  </pic:nvPicPr>
                  <pic:blipFill>
                    <a:blip r:embed="rId65" cstate="print">
                      <a:extLst>
                        <a:ext uri="{28A0092B-C50C-407E-A947-70E740481C1C}">
                          <a14:useLocalDpi xmlns:a14="http://schemas.microsoft.com/office/drawing/2010/main" val="false"/>
                        </a:ext>
                      </a:extLst>
                    </a:blip>
                    <a:srcRect/>
                    <a:stretch>
                      <a:fillRect/>
                    </a:stretch>
                  </pic:blipFill>
                  <pic:spPr>
                    <a:xfrm>
                      <a:off x="0" y="0"/>
                      <a:ext cx="151765"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不宜小于</w:t>
      </w:r>
      <w:r>
        <w:rPr>
          <w:rFonts w:ascii="宋体" w:hAnsi="宋体"/>
          <w:color w:val="000000" w:themeColor="text1"/>
          <w:position w:val="-12"/>
          <w:sz w:val="24"/>
          <w:szCs w:val="24"/>
          <w14:textFill>
            <w14:solidFill>
              <w14:schemeClr w14:val="tx1"/>
            </w14:solidFill>
          </w14:textFill>
        </w:rPr>
        <w:drawing>
          <wp:inline distT="0" distB="0" distL="0" distR="0">
            <wp:extent cx="421005" cy="229870"/>
            <wp:effectExtent l="0" t="0" r="0" b="0"/>
            <wp:docPr id="78" name="图片 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true" noChangeArrowheads="true"/>
                    </pic:cNvPicPr>
                  </pic:nvPicPr>
                  <pic:blipFill>
                    <a:blip r:embed="rId66" cstate="print">
                      <a:extLst>
                        <a:ext uri="{28A0092B-C50C-407E-A947-70E740481C1C}">
                          <a14:useLocalDpi xmlns:a14="http://schemas.microsoft.com/office/drawing/2010/main" val="false"/>
                        </a:ext>
                      </a:extLst>
                    </a:blip>
                    <a:srcRect/>
                    <a:stretch>
                      <a:fillRect/>
                    </a:stretch>
                  </pic:blipFill>
                  <pic:spPr>
                    <a:xfrm>
                      <a:off x="0" y="0"/>
                      <a:ext cx="421005"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 (</w:t>
      </w:r>
      <w:r>
        <w:rPr>
          <w:rFonts w:ascii="宋体" w:hAnsi="宋体"/>
          <w:color w:val="000000" w:themeColor="text1"/>
          <w:position w:val="-12"/>
          <w:sz w:val="24"/>
          <w:szCs w:val="24"/>
          <w14:textFill>
            <w14:solidFill>
              <w14:schemeClr w14:val="tx1"/>
            </w14:solidFill>
          </w14:textFill>
        </w:rPr>
        <w:drawing>
          <wp:inline distT="0" distB="0" distL="0" distR="0">
            <wp:extent cx="151765" cy="229870"/>
            <wp:effectExtent l="0" t="0" r="635" b="0"/>
            <wp:docPr id="79" name="图片 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true" noChangeArrowheads="true"/>
                    </pic:cNvPicPr>
                  </pic:nvPicPr>
                  <pic:blipFill>
                    <a:blip r:embed="rId67" cstate="print">
                      <a:extLst>
                        <a:ext uri="{28A0092B-C50C-407E-A947-70E740481C1C}">
                          <a14:useLocalDpi xmlns:a14="http://schemas.microsoft.com/office/drawing/2010/main" val="false"/>
                        </a:ext>
                      </a:extLst>
                    </a:blip>
                    <a:srcRect/>
                    <a:stretch>
                      <a:fillRect/>
                    </a:stretch>
                  </pic:blipFill>
                  <pic:spPr>
                    <a:xfrm>
                      <a:off x="0" y="0"/>
                      <a:ext cx="151765"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为柱截面宽度), 高</w:t>
      </w:r>
      <w:r>
        <w:rPr>
          <w:rFonts w:hint="eastAsia" w:ascii="宋体" w:hAnsi="宋体"/>
          <w:color w:val="000000" w:themeColor="text1"/>
          <w:kern w:val="0"/>
          <w:sz w:val="24"/>
          <w:szCs w:val="24"/>
          <w:u w:color="808000"/>
          <w:lang w:val="en-GB"/>
          <w14:textFill>
            <w14:solidFill>
              <w14:schemeClr w14:val="tx1"/>
            </w14:solidFill>
          </w14:textFill>
        </w:rPr>
        <w:t>度不小于型钢</w:t>
      </w:r>
      <w:r>
        <w:rPr>
          <w:rFonts w:hint="eastAsia" w:ascii="宋体" w:hAnsi="宋体"/>
          <w:color w:val="000000" w:themeColor="text1"/>
          <w:sz w:val="24"/>
          <w:szCs w:val="24"/>
          <w14:textFill>
            <w14:solidFill>
              <w14:schemeClr w14:val="tx1"/>
            </w14:solidFill>
          </w14:textFill>
        </w:rPr>
        <w:t>梁截面高度；</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采用高强螺栓连接节点时（如图9.2.3-1所示）。端板厚度应不小于型钢梁腹板厚，且不小于16mm。</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 焊接连接节点（如图9.2.3-2所示）。钢板箍内应设置和钢梁上下翼缘对应的加劲板，加劲板的厚度不应小于钢梁翼缘板的厚度。</w:t>
      </w:r>
    </w:p>
    <w:p>
      <w:pPr>
        <w:spacing w:line="240" w:lineRule="auto"/>
        <w:ind w:left="-424" w:leftChars="-202" w:firstLine="118" w:firstLineChars="66"/>
        <w:jc w:val="center"/>
        <w:textAlignment w:val="center"/>
        <w:rPr>
          <w:rFonts w:ascii="Times New Roman" w:hAnsi="Times New Roman"/>
          <w:color w:val="000000" w:themeColor="text1"/>
          <w:sz w:val="18"/>
          <w:szCs w:val="24"/>
          <w14:textFill>
            <w14:solidFill>
              <w14:schemeClr w14:val="tx1"/>
            </w14:solidFill>
          </w14:textFill>
        </w:rPr>
      </w:pPr>
      <w:r>
        <w:rPr>
          <w:rFonts w:ascii="Times New Roman" w:hAnsi="Times New Roman"/>
          <w:color w:val="000000" w:themeColor="text1"/>
          <w:sz w:val="18"/>
          <w:szCs w:val="24"/>
          <w14:textFill>
            <w14:solidFill>
              <w14:schemeClr w14:val="tx1"/>
            </w14:solidFill>
          </w14:textFill>
        </w:rPr>
        <w:drawing>
          <wp:inline distT="0" distB="0" distL="0" distR="0">
            <wp:extent cx="5039360" cy="1661160"/>
            <wp:effectExtent l="0" t="0" r="0" b="0"/>
            <wp:docPr id="171" name="图片 105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1" name="图片 10591"/>
                    <pic:cNvPicPr>
                      <a:picLocks noChangeAspect="true" noChangeArrowheads="true"/>
                    </pic:cNvPicPr>
                  </pic:nvPicPr>
                  <pic:blipFill>
                    <a:blip r:embed="rId68"/>
                    <a:srcRect/>
                    <a:stretch>
                      <a:fillRect/>
                    </a:stretch>
                  </pic:blipFill>
                  <pic:spPr>
                    <a:xfrm>
                      <a:off x="0" y="0"/>
                      <a:ext cx="5039360" cy="1661160"/>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图9.2.3-1    钢筋混凝土柱与钢梁端板螺栓连接节点</w:t>
      </w:r>
    </w:p>
    <w:p>
      <w:pPr>
        <w:widowControl/>
        <w:spacing w:line="240" w:lineRule="auto"/>
        <w:ind w:left="0"/>
        <w:jc w:val="left"/>
        <w:rPr>
          <w:rFonts w:ascii="宋体" w:hAns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drawing>
          <wp:inline distT="0" distB="0" distL="0" distR="0">
            <wp:extent cx="5276850" cy="1137920"/>
            <wp:effectExtent l="0" t="0" r="0" b="0"/>
            <wp:docPr id="172" name="图片 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2" name="图片 94"/>
                    <pic:cNvPicPr>
                      <a:picLocks noChangeAspect="true" noChangeArrowheads="true"/>
                    </pic:cNvPicPr>
                  </pic:nvPicPr>
                  <pic:blipFill>
                    <a:blip r:embed="rId69"/>
                    <a:srcRect/>
                    <a:stretch>
                      <a:fillRect/>
                    </a:stretch>
                  </pic:blipFill>
                  <pic:spPr>
                    <a:xfrm>
                      <a:off x="0" y="0"/>
                      <a:ext cx="5276850" cy="1137920"/>
                    </a:xfrm>
                    <a:prstGeom prst="rect">
                      <a:avLst/>
                    </a:prstGeom>
                    <a:noFill/>
                    <a:ln w="9525">
                      <a:noFill/>
                      <a:miter lim="800000"/>
                      <a:headEnd/>
                      <a:tailEnd/>
                    </a:ln>
                  </pic:spPr>
                </pic:pic>
              </a:graphicData>
            </a:graphic>
          </wp:inline>
        </w:drawing>
      </w:r>
    </w:p>
    <w:p>
      <w:pPr>
        <w:spacing w:line="240" w:lineRule="auto"/>
        <w:ind w:left="0"/>
        <w:textAlignment w:val="center"/>
        <w:rPr>
          <w:color w:val="000000" w:themeColor="text1"/>
          <w14:textFill>
            <w14:solidFill>
              <w14:schemeClr w14:val="tx1"/>
            </w14:solidFill>
          </w14:textFill>
        </w:rPr>
      </w:pP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 xml:space="preserve">图9.2.3-2    钢筋混凝土柱与钢梁刚接节点 </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钢筋混凝土墙与钢梁或型钢混凝土梁的连接节点</w:t>
      </w:r>
    </w:p>
    <w:p>
      <w:pPr>
        <w:numPr>
          <w:ilvl w:val="0"/>
          <w:numId w:val="7"/>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钢梁与钢筋混凝土墙一般采用铰接连接(如图9.2.4)，设计时，应在钢筋混凝土墙内设置埋件；</w:t>
      </w:r>
    </w:p>
    <w:p>
      <w:pPr>
        <w:numPr>
          <w:ilvl w:val="0"/>
          <w:numId w:val="7"/>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当钢梁与钢筋混凝土墙需要刚接连接时，可按9.2.3有关条款执行；</w:t>
      </w:r>
    </w:p>
    <w:p>
      <w:pPr>
        <w:spacing w:line="240" w:lineRule="auto"/>
        <w:ind w:firstLine="240" w:firstLineChars="100"/>
        <w:jc w:val="center"/>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619250" cy="1368425"/>
            <wp:effectExtent l="19050" t="0" r="0" b="0"/>
            <wp:docPr id="173" name="图片 105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3" name="图片 10593"/>
                    <pic:cNvPicPr>
                      <a:picLocks noChangeAspect="true" noChangeArrowheads="true"/>
                    </pic:cNvPicPr>
                  </pic:nvPicPr>
                  <pic:blipFill>
                    <a:blip r:embed="rId70"/>
                    <a:srcRect/>
                    <a:stretch>
                      <a:fillRect/>
                    </a:stretch>
                  </pic:blipFill>
                  <pic:spPr>
                    <a:xfrm>
                      <a:off x="0" y="0"/>
                      <a:ext cx="1619250" cy="1368425"/>
                    </a:xfrm>
                    <a:prstGeom prst="rect">
                      <a:avLst/>
                    </a:prstGeom>
                    <a:noFill/>
                    <a:ln w="9525">
                      <a:noFill/>
                      <a:miter lim="800000"/>
                      <a:headEnd/>
                      <a:tailEnd/>
                    </a:ln>
                  </pic:spPr>
                </pic:pic>
              </a:graphicData>
            </a:graphic>
          </wp:inline>
        </w:drawing>
      </w:r>
      <w:r>
        <w:rPr>
          <w:rFonts w:hint="eastAsia" w:ascii="宋体" w:hAnsi="宋体"/>
          <w:color w:val="000000" w:themeColor="text1"/>
          <w:sz w:val="24"/>
          <w:szCs w:val="24"/>
          <w14:textFill>
            <w14:solidFill>
              <w14:schemeClr w14:val="tx1"/>
            </w14:solidFill>
          </w14:textFill>
        </w:rPr>
        <w:t xml:space="preserve">          </w:t>
      </w:r>
      <w:r>
        <w:rPr>
          <w:rFonts w:ascii="宋体" w:hAnsi="宋体"/>
          <w:color w:val="000000" w:themeColor="text1"/>
          <w:sz w:val="24"/>
          <w:szCs w:val="24"/>
          <w14:textFill>
            <w14:solidFill>
              <w14:schemeClr w14:val="tx1"/>
            </w14:solidFill>
          </w14:textFill>
        </w:rPr>
        <w:drawing>
          <wp:inline distT="0" distB="0" distL="0" distR="0">
            <wp:extent cx="1242695" cy="1381760"/>
            <wp:effectExtent l="0" t="0" r="0" b="0"/>
            <wp:docPr id="174" name="图片 105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4" name="图片 10594"/>
                    <pic:cNvPicPr>
                      <a:picLocks noChangeAspect="true" noChangeArrowheads="true"/>
                    </pic:cNvPicPr>
                  </pic:nvPicPr>
                  <pic:blipFill>
                    <a:blip r:embed="rId71"/>
                    <a:srcRect/>
                    <a:stretch>
                      <a:fillRect/>
                    </a:stretch>
                  </pic:blipFill>
                  <pic:spPr>
                    <a:xfrm>
                      <a:off x="0" y="0"/>
                      <a:ext cx="1242695" cy="1381760"/>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 xml:space="preserve">              图9.2.4 钢梁与钢筋混凝土墙连接节点</w:t>
      </w:r>
    </w:p>
    <w:p>
      <w:pPr>
        <w:numPr>
          <w:ilvl w:val="0"/>
          <w:numId w:val="7"/>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型钢混凝土梁与钢筋混凝土墙刚接时，宜在钢筋混凝土墙中设置型钢柱，型钢梁与墙中型钢柱形成刚性连接，其纵向钢筋应伸入墙中，且满足锚固要求。</w:t>
      </w:r>
    </w:p>
    <w:p>
      <w:pPr>
        <w:spacing w:line="240" w:lineRule="auto"/>
        <w:ind w:left="0" w:firstLine="480" w:firstLineChars="200"/>
        <w:rPr>
          <w:rFonts w:ascii="宋体" w:hAnsi="宋体"/>
          <w:color w:val="000000" w:themeColor="text1"/>
          <w:sz w:val="24"/>
          <w:szCs w:val="24"/>
          <w14:textFill>
            <w14:solidFill>
              <w14:schemeClr w14:val="tx1"/>
            </w14:solidFill>
          </w14:textFill>
        </w:rPr>
      </w:pPr>
    </w:p>
    <w:p>
      <w:pPr>
        <w:pStyle w:val="61"/>
        <w:rPr>
          <w:color w:val="000000" w:themeColor="text1"/>
          <w14:textFill>
            <w14:solidFill>
              <w14:schemeClr w14:val="tx1"/>
            </w14:solidFill>
          </w14:textFill>
        </w:rPr>
      </w:pPr>
      <w:bookmarkStart w:id="67" w:name="_Toc24714230"/>
      <w:r>
        <w:rPr>
          <w:rFonts w:hint="eastAsia"/>
          <w:color w:val="000000" w:themeColor="text1"/>
          <w14:textFill>
            <w14:solidFill>
              <w14:schemeClr w14:val="tx1"/>
            </w14:solidFill>
          </w14:textFill>
        </w:rPr>
        <w:t>型钢混凝土梁、柱</w:t>
      </w:r>
      <w:bookmarkEnd w:id="67"/>
    </w:p>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一般规定</w:t>
      </w:r>
    </w:p>
    <w:p>
      <w:pPr>
        <w:numPr>
          <w:ilvl w:val="0"/>
          <w:numId w:val="8"/>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型钢混凝土构件内置型钢宜选用工字形、十字形等能使混凝土将其所有表面包裹的型钢截面形式；</w:t>
      </w:r>
    </w:p>
    <w:p>
      <w:pPr>
        <w:numPr>
          <w:ilvl w:val="0"/>
          <w:numId w:val="8"/>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当柱为型钢混凝土柱，框架梁采用钢筋混凝土梁时，为便于梁纵筋穿过柱截面或锚入柱内，型钢混凝土内的型钢可按图9.3.1-2所示布置；</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2582545" cy="914400"/>
            <wp:effectExtent l="19050" t="0" r="8255" b="0"/>
            <wp:docPr id="175" name="图片 105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5" name="图片 10595"/>
                    <pic:cNvPicPr>
                      <a:picLocks noChangeAspect="true" noChangeArrowheads="true"/>
                    </pic:cNvPicPr>
                  </pic:nvPicPr>
                  <pic:blipFill>
                    <a:blip r:embed="rId72"/>
                    <a:srcRect/>
                    <a:stretch>
                      <a:fillRect/>
                    </a:stretch>
                  </pic:blipFill>
                  <pic:spPr>
                    <a:xfrm>
                      <a:off x="0" y="0"/>
                      <a:ext cx="2582545" cy="914400"/>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图9.3.1-1 型钢混凝土柱中型钢布置示意图</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2393950" cy="1584325"/>
            <wp:effectExtent l="19050" t="0" r="0" b="0"/>
            <wp:docPr id="176" name="图片 105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6" name="图片 10596"/>
                    <pic:cNvPicPr>
                      <a:picLocks noChangeAspect="true" noChangeArrowheads="true"/>
                    </pic:cNvPicPr>
                  </pic:nvPicPr>
                  <pic:blipFill>
                    <a:blip r:embed="rId73"/>
                    <a:srcRect/>
                    <a:stretch>
                      <a:fillRect/>
                    </a:stretch>
                  </pic:blipFill>
                  <pic:spPr>
                    <a:xfrm>
                      <a:off x="0" y="0"/>
                      <a:ext cx="2393950" cy="1584325"/>
                    </a:xfrm>
                    <a:prstGeom prst="rect">
                      <a:avLst/>
                    </a:prstGeom>
                    <a:noFill/>
                    <a:ln w="9525">
                      <a:noFill/>
                      <a:miter lim="800000"/>
                      <a:headEnd/>
                      <a:tailEnd/>
                    </a:ln>
                  </pic:spPr>
                </pic:pic>
              </a:graphicData>
            </a:graphic>
          </wp:inline>
        </w:drawing>
      </w:r>
      <w:r>
        <w:rPr>
          <w:rFonts w:ascii="Times New Roman" w:hAnsi="Times New Roman"/>
          <w:color w:val="000000" w:themeColor="text1"/>
          <w:szCs w:val="24"/>
          <w14:textFill>
            <w14:solidFill>
              <w14:schemeClr w14:val="tx1"/>
            </w14:solidFill>
          </w14:textFill>
        </w:rPr>
        <w:drawing>
          <wp:inline distT="0" distB="0" distL="0" distR="0">
            <wp:extent cx="2052320" cy="1765935"/>
            <wp:effectExtent l="19050" t="0" r="5080" b="0"/>
            <wp:docPr id="177" name="图片 1059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7" name="图片 10597"/>
                    <pic:cNvPicPr>
                      <a:picLocks noChangeAspect="true" noChangeArrowheads="true"/>
                    </pic:cNvPicPr>
                  </pic:nvPicPr>
                  <pic:blipFill>
                    <a:blip r:embed="rId74"/>
                    <a:srcRect/>
                    <a:stretch>
                      <a:fillRect/>
                    </a:stretch>
                  </pic:blipFill>
                  <pic:spPr>
                    <a:xfrm>
                      <a:off x="0" y="0"/>
                      <a:ext cx="2052320" cy="1765935"/>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图9.3.1-2 梁柱节点处柱中型钢与梁纵筋关系示意图</w:t>
      </w:r>
    </w:p>
    <w:p>
      <w:pPr>
        <w:numPr>
          <w:ilvl w:val="0"/>
          <w:numId w:val="8"/>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贯穿构件的型钢与钢筋的通长截面面积，可不按构件的最大内力确定，而在最大内力处附加钢筋，如图9.3.1-3所示，所附加的钢筋可以成束配置，但钢筋束限用两根，且直径不宜大于25mm。</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2994660" cy="2827020"/>
            <wp:effectExtent l="19050" t="0" r="0" b="0"/>
            <wp:docPr id="178" name="图片 105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8" name="图片 10598"/>
                    <pic:cNvPicPr>
                      <a:picLocks noChangeAspect="true" noChangeArrowheads="true"/>
                    </pic:cNvPicPr>
                  </pic:nvPicPr>
                  <pic:blipFill>
                    <a:blip r:embed="rId75"/>
                    <a:srcRect/>
                    <a:stretch>
                      <a:fillRect/>
                    </a:stretch>
                  </pic:blipFill>
                  <pic:spPr>
                    <a:xfrm>
                      <a:off x="0" y="0"/>
                      <a:ext cx="2994660" cy="2827020"/>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图9.3.1-3   型钢混凝土梁、柱附加纵筋布置示意图</w:t>
      </w:r>
    </w:p>
    <w:p>
      <w:pPr>
        <w:numPr>
          <w:ilvl w:val="0"/>
          <w:numId w:val="8"/>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型钢混凝土梁、柱除按现行有关规范要求配置型钢外，也可根据工程实际情况配置型钢。如图9.3.1-4。其保护层厚度及型钢与钢筋的间距也应按图中所示。</w:t>
      </w:r>
    </w:p>
    <w:p>
      <w:pPr>
        <w:spacing w:line="240" w:lineRule="auto"/>
        <w:ind w:left="900"/>
        <w:rPr>
          <w:rFonts w:ascii="宋体" w:hAnsi="宋体"/>
          <w:color w:val="000000" w:themeColor="text1"/>
          <w:sz w:val="24"/>
          <w:szCs w:val="24"/>
          <w14:textFill>
            <w14:solidFill>
              <w14:schemeClr w14:val="tx1"/>
            </w14:solidFill>
          </w14:textFill>
        </w:rPr>
      </w:pP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1347470" cy="1507490"/>
            <wp:effectExtent l="19050" t="0" r="0" b="0"/>
            <wp:docPr id="179" name="图片 105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9" name="图片 10599"/>
                    <pic:cNvPicPr>
                      <a:picLocks noChangeAspect="true" noChangeArrowheads="true"/>
                    </pic:cNvPicPr>
                  </pic:nvPicPr>
                  <pic:blipFill>
                    <a:blip r:embed="rId76"/>
                    <a:srcRect/>
                    <a:stretch>
                      <a:fillRect/>
                    </a:stretch>
                  </pic:blipFill>
                  <pic:spPr>
                    <a:xfrm>
                      <a:off x="0" y="0"/>
                      <a:ext cx="1347470" cy="1507490"/>
                    </a:xfrm>
                    <a:prstGeom prst="rect">
                      <a:avLst/>
                    </a:prstGeom>
                    <a:noFill/>
                    <a:ln w="9525">
                      <a:noFill/>
                      <a:miter lim="800000"/>
                      <a:headEnd/>
                      <a:tailEnd/>
                    </a:ln>
                  </pic:spPr>
                </pic:pic>
              </a:graphicData>
            </a:graphic>
          </wp:inline>
        </w:drawing>
      </w:r>
      <w:r>
        <w:rPr>
          <w:rFonts w:hint="eastAsia" w:ascii="Times New Roman" w:hAnsi="Times New Roman"/>
          <w:color w:val="000000" w:themeColor="text1"/>
          <w:szCs w:val="24"/>
          <w14:textFill>
            <w14:solidFill>
              <w14:schemeClr w14:val="tx1"/>
            </w14:solidFill>
          </w14:textFill>
        </w:rPr>
        <w:t xml:space="preserve">     </w:t>
      </w:r>
      <w:r>
        <w:rPr>
          <w:rFonts w:ascii="Times New Roman" w:hAnsi="Times New Roman"/>
          <w:color w:val="000000" w:themeColor="text1"/>
          <w:szCs w:val="24"/>
          <w14:textFill>
            <w14:solidFill>
              <w14:schemeClr w14:val="tx1"/>
            </w14:solidFill>
          </w14:textFill>
        </w:rPr>
        <w:drawing>
          <wp:inline distT="0" distB="0" distL="0" distR="0">
            <wp:extent cx="2275840" cy="1256665"/>
            <wp:effectExtent l="0" t="0" r="0" b="0"/>
            <wp:docPr id="180" name="图片 106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0" name="图片 10600"/>
                    <pic:cNvPicPr>
                      <a:picLocks noChangeAspect="true" noChangeArrowheads="true"/>
                    </pic:cNvPicPr>
                  </pic:nvPicPr>
                  <pic:blipFill>
                    <a:blip r:embed="rId77"/>
                    <a:srcRect/>
                    <a:stretch>
                      <a:fillRect/>
                    </a:stretch>
                  </pic:blipFill>
                  <pic:spPr>
                    <a:xfrm>
                      <a:off x="0" y="0"/>
                      <a:ext cx="2275840" cy="1256665"/>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图9.3.1-4  特殊型钢混凝土构件示意图</w:t>
      </w:r>
    </w:p>
    <w:p>
      <w:pPr>
        <w:numPr>
          <w:ilvl w:val="0"/>
          <w:numId w:val="8"/>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型钢混凝土梁、柱中栓钉的布置应按如下要求:</w:t>
      </w:r>
    </w:p>
    <w:p>
      <w:pPr>
        <w:numPr>
          <w:ilvl w:val="0"/>
          <w:numId w:val="9"/>
        </w:numPr>
        <w:spacing w:line="240" w:lineRule="auto"/>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型钢混凝土中型钢构件应在其受拉或受弯区域设置栓钉；</w:t>
      </w:r>
    </w:p>
    <w:p>
      <w:pPr>
        <w:numPr>
          <w:ilvl w:val="0"/>
          <w:numId w:val="9"/>
        </w:numPr>
        <w:spacing w:line="240" w:lineRule="auto"/>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型钢混凝土梁，栓钉应布置在梁内型钢的上翼缘距梁端1/3跨长范围内，以及型钢下翼缘跨中2/3跨长范围内；</w:t>
      </w:r>
    </w:p>
    <w:p>
      <w:pPr>
        <w:numPr>
          <w:ilvl w:val="0"/>
          <w:numId w:val="9"/>
        </w:numPr>
        <w:spacing w:line="240" w:lineRule="auto"/>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型钢混凝土柱，应在柱上下端1/4层高度范围内设置栓钉；</w:t>
      </w:r>
    </w:p>
    <w:p>
      <w:pPr>
        <w:numPr>
          <w:ilvl w:val="0"/>
          <w:numId w:val="9"/>
        </w:numPr>
        <w:spacing w:line="240" w:lineRule="auto"/>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栓钉直径不应小于14，间距不应大于300mm；</w:t>
      </w:r>
    </w:p>
    <w:p>
      <w:pPr>
        <w:numPr>
          <w:ilvl w:val="0"/>
          <w:numId w:val="8"/>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型钢混凝土柱箍筋配置应按现行规范规定的体积配箍率计算。但配箍的取值应取按柱全截面计算的配箍面积的一半和按照扣除型钢约束面积后计算的配箍面积（如图9.3.1-5）之间较大值。</w:t>
      </w:r>
    </w:p>
    <w:p>
      <w:pPr>
        <w:spacing w:line="240" w:lineRule="auto"/>
        <w:ind w:left="420"/>
        <w:jc w:val="center"/>
        <w:rPr>
          <w:rFonts w:ascii="宋体" w:hAnsi="宋体"/>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2289175" cy="1256665"/>
            <wp:effectExtent l="19050" t="0" r="0" b="0"/>
            <wp:docPr id="181" name="图片 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1" name="图片 92"/>
                    <pic:cNvPicPr>
                      <a:picLocks noChangeAspect="true" noChangeArrowheads="true"/>
                    </pic:cNvPicPr>
                  </pic:nvPicPr>
                  <pic:blipFill>
                    <a:blip r:embed="rId78"/>
                    <a:srcRect/>
                    <a:stretch>
                      <a:fillRect/>
                    </a:stretch>
                  </pic:blipFill>
                  <pic:spPr>
                    <a:xfrm>
                      <a:off x="0" y="0"/>
                      <a:ext cx="2289175" cy="1256665"/>
                    </a:xfrm>
                    <a:prstGeom prst="rect">
                      <a:avLst/>
                    </a:prstGeom>
                    <a:noFill/>
                    <a:ln w="9525">
                      <a:noFill/>
                      <a:miter lim="800000"/>
                      <a:headEnd/>
                      <a:tailEnd/>
                    </a:ln>
                  </pic:spPr>
                </pic:pic>
              </a:graphicData>
            </a:graphic>
          </wp:inline>
        </w:drawing>
      </w:r>
    </w:p>
    <w:p>
      <w:pPr>
        <w:spacing w:line="240" w:lineRule="auto"/>
        <w:ind w:left="9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图9.3.1-5  型钢混凝土柱体积配箍率计算范围</w:t>
      </w:r>
    </w:p>
    <w:p>
      <w:pPr>
        <w:spacing w:line="240" w:lineRule="auto"/>
        <w:ind w:left="900"/>
        <w:jc w:val="center"/>
        <w:rPr>
          <w:rFonts w:ascii="宋体" w:hAnsi="宋体"/>
          <w:color w:val="000000" w:themeColor="text1"/>
          <w:kern w:val="0"/>
          <w:sz w:val="24"/>
          <w:szCs w:val="24"/>
          <w:u w:color="808000"/>
          <w:lang w:val="en-GB"/>
          <w14:textFill>
            <w14:solidFill>
              <w14:schemeClr w14:val="tx1"/>
            </w14:solidFill>
          </w14:textFill>
        </w:rPr>
      </w:pP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型钢混凝土梁的特殊构造要求</w:t>
      </w:r>
    </w:p>
    <w:p>
      <w:pPr>
        <w:numPr>
          <w:ilvl w:val="0"/>
          <w:numId w:val="10"/>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当型钢混凝土梁负筋较多，难以穿过柱节点核心区时，可考虑布置在板内、型钢混凝土梁外侧钢筋的作用，此时放置梁外钢筋必须满足（9.3.2</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式的要求，且不宜超过梁支座总配筋的</w:t>
      </w:r>
      <w:r>
        <w:rPr>
          <w:rFonts w:ascii="宋体" w:hAnsi="宋体"/>
          <w:color w:val="000000" w:themeColor="text1"/>
          <w:sz w:val="24"/>
          <w:szCs w:val="24"/>
          <w14:textFill>
            <w14:solidFill>
              <w14:schemeClr w14:val="tx1"/>
            </w14:solidFill>
          </w14:textFill>
        </w:rPr>
        <w:t>20%</w:t>
      </w:r>
      <w:r>
        <w:rPr>
          <w:rFonts w:hint="eastAsia" w:ascii="宋体" w:hAnsi="宋体"/>
          <w:color w:val="000000" w:themeColor="text1"/>
          <w:sz w:val="24"/>
          <w:szCs w:val="24"/>
          <w14:textFill>
            <w14:solidFill>
              <w14:schemeClr w14:val="tx1"/>
            </w14:solidFill>
          </w14:textFill>
        </w:rPr>
        <w:t>。</w:t>
      </w:r>
    </w:p>
    <w:p>
      <w:pPr>
        <w:spacing w:line="240" w:lineRule="auto"/>
        <w:jc w:val="right"/>
        <w:textAlignment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914400" cy="235585"/>
            <wp:effectExtent l="0" t="0" r="0" b="0"/>
            <wp:docPr id="80" name="图片 8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true" noChangeArrowheads="true"/>
                    </pic:cNvPicPr>
                  </pic:nvPicPr>
                  <pic:blipFill>
                    <a:blip r:embed="rId79" cstate="print">
                      <a:extLst>
                        <a:ext uri="{28A0092B-C50C-407E-A947-70E740481C1C}">
                          <a14:useLocalDpi xmlns:a14="http://schemas.microsoft.com/office/drawing/2010/main" val="false"/>
                        </a:ext>
                      </a:extLst>
                    </a:blip>
                    <a:srcRect/>
                    <a:stretch>
                      <a:fillRect/>
                    </a:stretch>
                  </pic:blipFill>
                  <pic:spPr>
                    <a:xfrm>
                      <a:off x="0" y="0"/>
                      <a:ext cx="914400" cy="235585"/>
                    </a:xfrm>
                    <a:prstGeom prst="rect">
                      <a:avLst/>
                    </a:prstGeom>
                    <a:noFill/>
                    <a:ln>
                      <a:noFill/>
                    </a:ln>
                  </pic:spPr>
                </pic:pic>
              </a:graphicData>
            </a:graphic>
          </wp:inline>
        </w:drawing>
      </w:r>
      <w:r>
        <w:rPr>
          <w:rFonts w:hint="eastAsia"/>
          <w:color w:val="000000" w:themeColor="text1"/>
          <w14:textFill>
            <w14:solidFill>
              <w14:schemeClr w14:val="tx1"/>
            </w14:solidFill>
          </w14:textFill>
        </w:rPr>
        <w:t xml:space="preserve">                      （9.3.2</w:t>
      </w:r>
      <w:r>
        <w:rPr>
          <w:color w:val="000000" w:themeColor="text1"/>
          <w14:textFill>
            <w14:solidFill>
              <w14:schemeClr w14:val="tx1"/>
            </w14:solidFill>
          </w14:textFill>
        </w:rPr>
        <w:t>）</w:t>
      </w:r>
    </w:p>
    <w:p>
      <w:pPr>
        <w:spacing w:line="240" w:lineRule="auto"/>
        <w:ind w:left="840" w:leftChars="40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式中，ΣA</w:t>
      </w:r>
      <w:r>
        <w:rPr>
          <w:rFonts w:hint="eastAsia"/>
          <w:color w:val="000000" w:themeColor="text1"/>
          <w:vertAlign w:val="subscript"/>
          <w14:textFill>
            <w14:solidFill>
              <w14:schemeClr w14:val="tx1"/>
            </w14:solidFill>
          </w14:textFill>
        </w:rPr>
        <w:t>s</w:t>
      </w:r>
      <w:r>
        <w:rPr>
          <w:rFonts w:hint="eastAsia"/>
          <w:color w:val="000000" w:themeColor="text1"/>
          <w14:textFill>
            <w14:solidFill>
              <w14:schemeClr w14:val="tx1"/>
            </w14:solidFill>
          </w14:textFill>
        </w:rPr>
        <w:t>——单侧布置在板内的钢筋面积；</w:t>
      </w:r>
    </w:p>
    <w:p>
      <w:pPr>
        <w:spacing w:line="240" w:lineRule="auto"/>
        <w:ind w:left="1470" w:leftChars="70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ƒ</w:t>
      </w:r>
      <w:r>
        <w:rPr>
          <w:rFonts w:hint="eastAsia"/>
          <w:color w:val="000000" w:themeColor="text1"/>
          <w:vertAlign w:val="subscript"/>
          <w14:textFill>
            <w14:solidFill>
              <w14:schemeClr w14:val="tx1"/>
            </w14:solidFill>
          </w14:textFill>
        </w:rPr>
        <w:t>y</w:t>
      </w:r>
      <w:r>
        <w:rPr>
          <w:rFonts w:hint="eastAsia"/>
          <w:color w:val="000000" w:themeColor="text1"/>
          <w14:textFill>
            <w14:solidFill>
              <w14:schemeClr w14:val="tx1"/>
            </w14:solidFill>
          </w14:textFill>
        </w:rPr>
        <w:t>——钢筋受拉强度设计值；</w:t>
      </w:r>
    </w:p>
    <w:p>
      <w:pPr>
        <w:spacing w:line="240" w:lineRule="auto"/>
        <w:ind w:left="1470" w:leftChars="700"/>
        <w:textAlignment w:val="center"/>
        <w:rPr>
          <w:color w:val="000000" w:themeColor="text1"/>
          <w14:textFill>
            <w14:solidFill>
              <w14:schemeClr w14:val="tx1"/>
            </w14:solidFill>
          </w14:textFill>
        </w:rPr>
      </w:pPr>
      <w:r>
        <w:rPr>
          <w:rFonts w:hint="eastAsia"/>
          <w:i/>
          <w:color w:val="000000" w:themeColor="text1"/>
          <w14:textFill>
            <w14:solidFill>
              <w14:schemeClr w14:val="tx1"/>
            </w14:solidFill>
          </w14:textFill>
        </w:rPr>
        <w:t>t</w:t>
      </w:r>
      <w:r>
        <w:rPr>
          <w:rFonts w:hint="eastAsia"/>
          <w:color w:val="000000" w:themeColor="text1"/>
          <w14:textFill>
            <w14:solidFill>
              <w14:schemeClr w14:val="tx1"/>
            </w14:solidFill>
          </w14:textFill>
        </w:rPr>
        <w:t>——板厚；</w:t>
      </w:r>
    </w:p>
    <w:p>
      <w:pPr>
        <w:spacing w:line="240" w:lineRule="auto"/>
        <w:ind w:left="1470" w:leftChars="700"/>
        <w:textAlignment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23190" cy="229870"/>
            <wp:effectExtent l="0" t="0" r="0" b="0"/>
            <wp:docPr id="81" name="图片 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true" noChangeArrowheads="true"/>
                    </pic:cNvPicPr>
                  </pic:nvPicPr>
                  <pic:blipFill>
                    <a:blip r:embed="rId80" cstate="print">
                      <a:extLst>
                        <a:ext uri="{28A0092B-C50C-407E-A947-70E740481C1C}">
                          <a14:useLocalDpi xmlns:a14="http://schemas.microsoft.com/office/drawing/2010/main" val="false"/>
                        </a:ext>
                      </a:extLst>
                    </a:blip>
                    <a:srcRect/>
                    <a:stretch>
                      <a:fillRect/>
                    </a:stretch>
                  </pic:blipFill>
                  <pic:spPr>
                    <a:xfrm>
                      <a:off x="0" y="0"/>
                      <a:ext cx="123190" cy="229870"/>
                    </a:xfrm>
                    <a:prstGeom prst="rect">
                      <a:avLst/>
                    </a:prstGeom>
                    <a:noFill/>
                    <a:ln>
                      <a:noFill/>
                    </a:ln>
                  </pic:spPr>
                </pic:pic>
              </a:graphicData>
            </a:graphic>
          </wp:inline>
        </w:drawing>
      </w:r>
      <w:r>
        <w:rPr>
          <w:rFonts w:hint="eastAsia"/>
          <w:color w:val="000000" w:themeColor="text1"/>
          <w14:textFill>
            <w14:solidFill>
              <w14:schemeClr w14:val="tx1"/>
            </w14:solidFill>
          </w14:textFill>
        </w:rPr>
        <w:t>——由梁反弯点至柱边的距离；</w:t>
      </w:r>
    </w:p>
    <w:p>
      <w:pPr>
        <w:spacing w:line="240" w:lineRule="auto"/>
        <w:ind w:left="1470" w:leftChars="700"/>
        <w:textAlignment w:val="center"/>
        <w:rPr>
          <w:color w:val="000000" w:themeColor="text1"/>
          <w14:textFill>
            <w14:solidFill>
              <w14:schemeClr w14:val="tx1"/>
            </w14:solidFill>
          </w14:textFill>
        </w:rPr>
      </w:pPr>
      <w:r>
        <w:rPr>
          <w:i/>
          <w:color w:val="000000" w:themeColor="text1"/>
          <w14:textFill>
            <w14:solidFill>
              <w14:schemeClr w14:val="tx1"/>
            </w14:solidFill>
          </w14:textFill>
        </w:rPr>
        <w:t>τ</w:t>
      </w:r>
      <w:r>
        <w:rPr>
          <w:rFonts w:hint="eastAsia"/>
          <w:color w:val="000000" w:themeColor="text1"/>
          <w14:textFill>
            <w14:solidFill>
              <w14:schemeClr w14:val="tx1"/>
            </w14:solidFill>
          </w14:textFill>
        </w:rPr>
        <w:t>——板混凝土剪切强度，</w:t>
      </w:r>
      <w:r>
        <w:rPr>
          <w:i/>
          <w:color w:val="000000" w:themeColor="text1"/>
          <w14:textFill>
            <w14:solidFill>
              <w14:schemeClr w14:val="tx1"/>
            </w14:solidFill>
          </w14:textFill>
        </w:rPr>
        <w:t>τ</w:t>
      </w:r>
      <w:r>
        <w:rPr>
          <w:color w:val="000000" w:themeColor="text1"/>
          <w14:textFill>
            <w14:solidFill>
              <w14:schemeClr w14:val="tx1"/>
            </w14:solidFill>
          </w14:textFill>
        </w:rPr>
        <w:t>=0.15</w:t>
      </w:r>
      <w:r>
        <w:rPr>
          <w:i/>
          <w:color w:val="000000" w:themeColor="text1"/>
          <w14:textFill>
            <w14:solidFill>
              <w14:schemeClr w14:val="tx1"/>
            </w14:solidFill>
          </w14:textFill>
        </w:rPr>
        <w:t>f</w:t>
      </w:r>
      <w:r>
        <w:rPr>
          <w:color w:val="000000" w:themeColor="text1"/>
          <w:vertAlign w:val="subscript"/>
          <w14:textFill>
            <w14:solidFill>
              <w14:schemeClr w14:val="tx1"/>
            </w14:solidFill>
          </w14:textFill>
        </w:rPr>
        <w:t>c</w:t>
      </w:r>
    </w:p>
    <w:p>
      <w:pPr>
        <w:numPr>
          <w:ilvl w:val="0"/>
          <w:numId w:val="10"/>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布置在梁外侧的钢筋需满足如下构造要求：</w:t>
      </w:r>
    </w:p>
    <w:p>
      <w:pPr>
        <w:spacing w:line="240" w:lineRule="auto"/>
        <w:ind w:left="0" w:firstLine="480" w:firstLineChars="200"/>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1）梁外每侧钢筋不宜多于两根，直径不宜大于25，如图9.3.2；</w:t>
      </w:r>
    </w:p>
    <w:p>
      <w:pPr>
        <w:spacing w:line="240" w:lineRule="auto"/>
        <w:ind w:left="0" w:firstLine="480" w:firstLineChars="200"/>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2）第一根钢筋应布置在柱纵筋范围内，第二根钢筋布置在离第一根100mm处；</w:t>
      </w:r>
    </w:p>
    <w:p>
      <w:pPr>
        <w:spacing w:line="240" w:lineRule="auto"/>
        <w:ind w:left="0" w:firstLine="480" w:firstLineChars="200"/>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3）中间节点外钢筋应在节点外直通；边节点的钢筋应锚固于直交型钢混凝土梁的外侧，90度弯下到梁底部，且满足钢筋的锚固长度要求。</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1368425" cy="1298575"/>
            <wp:effectExtent l="19050" t="0" r="0" b="0"/>
            <wp:docPr id="184" name="图片 106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4" name="图片 10604"/>
                    <pic:cNvPicPr>
                      <a:picLocks noChangeAspect="true" noChangeArrowheads="true"/>
                    </pic:cNvPicPr>
                  </pic:nvPicPr>
                  <pic:blipFill>
                    <a:blip r:embed="rId81"/>
                    <a:srcRect/>
                    <a:stretch>
                      <a:fillRect/>
                    </a:stretch>
                  </pic:blipFill>
                  <pic:spPr>
                    <a:xfrm>
                      <a:off x="0" y="0"/>
                      <a:ext cx="1368425" cy="1298575"/>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图9.3.2  梁两侧加筋示意图</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型钢混凝土柱与梁连接节点</w:t>
      </w:r>
    </w:p>
    <w:p>
      <w:pPr>
        <w:numPr>
          <w:ilvl w:val="0"/>
          <w:numId w:val="11"/>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型钢混凝土柱与型钢混凝土梁或钢梁的节点</w:t>
      </w:r>
    </w:p>
    <w:p>
      <w:pPr>
        <w:spacing w:line="240" w:lineRule="auto"/>
        <w:ind w:left="0" w:firstLine="480" w:firstLineChars="200"/>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1）型钢混凝土柱、梁的节点应传力直接、构造简单、施工方便。一般应使柱内型钢连续贯通。并在型钢梁上下翼缘处设置加劲板。</w:t>
      </w:r>
    </w:p>
    <w:p>
      <w:pPr>
        <w:spacing w:line="240" w:lineRule="auto"/>
        <w:ind w:left="0" w:firstLine="480" w:firstLineChars="200"/>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2）型钢混凝土柱与钢梁刚接时，宜在梁截面上下边缘位置处的型钢柱上设置钢板条箍（图9.3.3-1所示）。钢板箍的尺寸应满足下列要求：</w:t>
      </w:r>
    </w:p>
    <w:p>
      <w:pPr>
        <w:rPr>
          <w:rFonts w:ascii="宋体" w:hAnsi="宋体" w:cs="宋体"/>
          <w:color w:val="000000" w:themeColor="text1"/>
          <w:kern w:val="0"/>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3399155" cy="1765935"/>
            <wp:effectExtent l="0" t="0" r="0" b="0"/>
            <wp:docPr id="185" name="图片 4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5" name="图片 405"/>
                    <pic:cNvPicPr>
                      <a:picLocks noChangeAspect="true" noChangeArrowheads="true"/>
                    </pic:cNvPicPr>
                  </pic:nvPicPr>
                  <pic:blipFill>
                    <a:blip r:embed="rId82"/>
                    <a:srcRect/>
                    <a:stretch>
                      <a:fillRect/>
                    </a:stretch>
                  </pic:blipFill>
                  <pic:spPr>
                    <a:xfrm>
                      <a:off x="0" y="0"/>
                      <a:ext cx="3399155" cy="1765935"/>
                    </a:xfrm>
                    <a:prstGeom prst="rect">
                      <a:avLst/>
                    </a:prstGeom>
                    <a:noFill/>
                    <a:ln w="9525">
                      <a:noFill/>
                      <a:miter lim="800000"/>
                      <a:headEnd/>
                      <a:tailEnd/>
                    </a:ln>
                  </pic:spPr>
                </pic:pic>
              </a:graphicData>
            </a:graphic>
          </wp:inline>
        </w:drawing>
      </w:r>
      <w:r>
        <w:rPr>
          <w:rFonts w:ascii="宋体" w:hAnsi="宋体" w:cs="宋体"/>
          <w:color w:val="000000" w:themeColor="text1"/>
          <w:kern w:val="0"/>
          <w:sz w:val="24"/>
          <w:szCs w:val="24"/>
          <w14:textFill>
            <w14:solidFill>
              <w14:schemeClr w14:val="tx1"/>
            </w14:solidFill>
          </w14:textFill>
        </w:rPr>
        <w:drawing>
          <wp:inline distT="0" distB="0" distL="0" distR="0">
            <wp:extent cx="1277620" cy="1793875"/>
            <wp:effectExtent l="19050" t="0" r="0" b="0"/>
            <wp:docPr id="186" name="图片 93" descr="C:\Users\liufang\AppData\Roaming\Tencent\Users\12709913\QQ\WinTemp\RichOle\0O2%D6%[A{A983[H}P)HVQ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6" name="图片 93" descr="C:\Users\liufang\AppData\Roaming\Tencent\Users\12709913\QQ\WinTemp\RichOle\0O2%D6%[A{A983[H}P)HVQ5.png"/>
                    <pic:cNvPicPr>
                      <a:picLocks noChangeAspect="true" noChangeArrowheads="true"/>
                    </pic:cNvPicPr>
                  </pic:nvPicPr>
                  <pic:blipFill>
                    <a:blip r:embed="rId83"/>
                    <a:srcRect/>
                    <a:stretch>
                      <a:fillRect/>
                    </a:stretch>
                  </pic:blipFill>
                  <pic:spPr>
                    <a:xfrm>
                      <a:off x="0" y="0"/>
                      <a:ext cx="1277620" cy="1793875"/>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 xml:space="preserve">            图9.3.3-1  型钢混凝土柱与钢梁连接节点（设置钢板箍条）</w:t>
      </w:r>
    </w:p>
    <w:p>
      <w:pPr>
        <w:spacing w:line="240" w:lineRule="auto"/>
        <w:jc w:val="right"/>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drawing>
          <wp:inline distT="0" distB="0" distL="0" distR="0">
            <wp:extent cx="712470" cy="381635"/>
            <wp:effectExtent l="0" t="0" r="0" b="0"/>
            <wp:docPr id="82" name="图片 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true" noChangeArrowheads="true"/>
                    </pic:cNvPicPr>
                  </pic:nvPicPr>
                  <pic:blipFill>
                    <a:blip r:embed="rId84" cstate="print">
                      <a:extLst>
                        <a:ext uri="{28A0092B-C50C-407E-A947-70E740481C1C}">
                          <a14:useLocalDpi xmlns:a14="http://schemas.microsoft.com/office/drawing/2010/main" val="false"/>
                        </a:ext>
                      </a:extLst>
                    </a:blip>
                    <a:srcRect/>
                    <a:stretch>
                      <a:fillRect/>
                    </a:stretch>
                  </pic:blipFill>
                  <pic:spPr>
                    <a:xfrm>
                      <a:off x="0" y="0"/>
                      <a:ext cx="712470" cy="381635"/>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 xml:space="preserve">                       （9.3.3-1）</w:t>
      </w:r>
    </w:p>
    <w:p>
      <w:pPr>
        <w:spacing w:line="240" w:lineRule="auto"/>
        <w:jc w:val="right"/>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684530" cy="381635"/>
            <wp:effectExtent l="0" t="0" r="1270" b="0"/>
            <wp:docPr id="83" name="图片 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true" noChangeArrowheads="true"/>
                    </pic:cNvPicPr>
                  </pic:nvPicPr>
                  <pic:blipFill>
                    <a:blip r:embed="rId85" cstate="print">
                      <a:extLst>
                        <a:ext uri="{28A0092B-C50C-407E-A947-70E740481C1C}">
                          <a14:useLocalDpi xmlns:a14="http://schemas.microsoft.com/office/drawing/2010/main" val="false"/>
                        </a:ext>
                      </a:extLst>
                    </a:blip>
                    <a:srcRect/>
                    <a:stretch>
                      <a:fillRect/>
                    </a:stretch>
                  </pic:blipFill>
                  <pic:spPr>
                    <a:xfrm>
                      <a:off x="0" y="0"/>
                      <a:ext cx="684530" cy="381635"/>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 xml:space="preserve">                       （9.3.3-2）</w:t>
      </w:r>
    </w:p>
    <w:p>
      <w:pPr>
        <w:spacing w:line="240" w:lineRule="auto"/>
        <w:jc w:val="right"/>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712470" cy="381635"/>
            <wp:effectExtent l="0" t="0" r="0" b="0"/>
            <wp:docPr id="84" name="图片 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true" noChangeArrowheads="true"/>
                    </pic:cNvPicPr>
                  </pic:nvPicPr>
                  <pic:blipFill>
                    <a:blip r:embed="rId86" cstate="print">
                      <a:extLst>
                        <a:ext uri="{28A0092B-C50C-407E-A947-70E740481C1C}">
                          <a14:useLocalDpi xmlns:a14="http://schemas.microsoft.com/office/drawing/2010/main" val="false"/>
                        </a:ext>
                      </a:extLst>
                    </a:blip>
                    <a:srcRect/>
                    <a:stretch>
                      <a:fillRect/>
                    </a:stretch>
                  </pic:blipFill>
                  <pic:spPr>
                    <a:xfrm>
                      <a:off x="0" y="0"/>
                      <a:ext cx="712470" cy="381635"/>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 xml:space="preserve">                       （9.3.3-3）</w:t>
      </w:r>
    </w:p>
    <w:p>
      <w:pPr>
        <w:spacing w:line="240" w:lineRule="auto"/>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式中： </w:t>
      </w:r>
      <w:r>
        <w:rPr>
          <w:color w:val="000000" w:themeColor="text1"/>
          <w:sz w:val="24"/>
          <w:szCs w:val="24"/>
          <w14:textFill>
            <w14:solidFill>
              <w14:schemeClr w14:val="tx1"/>
            </w14:solidFill>
          </w14:textFill>
        </w:rPr>
        <w:drawing>
          <wp:inline distT="0" distB="0" distL="0" distR="0">
            <wp:extent cx="162560" cy="229870"/>
            <wp:effectExtent l="0" t="0" r="8890" b="0"/>
            <wp:docPr id="85" name="图片 8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true" noChangeArrowheads="true"/>
                    </pic:cNvPicPr>
                  </pic:nvPicPr>
                  <pic:blipFill>
                    <a:blip r:embed="rId87" cstate="print">
                      <a:extLst>
                        <a:ext uri="{28A0092B-C50C-407E-A947-70E740481C1C}">
                          <a14:useLocalDpi xmlns:a14="http://schemas.microsoft.com/office/drawing/2010/main" val="false"/>
                        </a:ext>
                      </a:extLst>
                    </a:blip>
                    <a:srcRect/>
                    <a:stretch>
                      <a:fillRect/>
                    </a:stretch>
                  </pic:blipFill>
                  <pic:spPr>
                    <a:xfrm>
                      <a:off x="0" y="0"/>
                      <a:ext cx="162560"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drawing>
          <wp:inline distT="0" distB="0" distL="0" distR="0">
            <wp:extent cx="201930" cy="229870"/>
            <wp:effectExtent l="0" t="0" r="7620" b="0"/>
            <wp:docPr id="86" name="图片 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true" noChangeArrowheads="true"/>
                    </pic:cNvPicPr>
                  </pic:nvPicPr>
                  <pic:blipFill>
                    <a:blip r:embed="rId88" cstate="print">
                      <a:extLst>
                        <a:ext uri="{28A0092B-C50C-407E-A947-70E740481C1C}">
                          <a14:useLocalDpi xmlns:a14="http://schemas.microsoft.com/office/drawing/2010/main" val="false"/>
                        </a:ext>
                      </a:extLst>
                    </a:blip>
                    <a:srcRect/>
                    <a:stretch>
                      <a:fillRect/>
                    </a:stretch>
                  </pic:blipFill>
                  <pic:spPr>
                    <a:xfrm>
                      <a:off x="0" y="0"/>
                      <a:ext cx="201930"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分别为钢板箍厚度和高度；</w:t>
      </w:r>
    </w:p>
    <w:p>
      <w:pPr>
        <w:spacing w:line="240" w:lineRule="auto"/>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drawing>
          <wp:inline distT="0" distB="0" distL="0" distR="0">
            <wp:extent cx="179705" cy="229870"/>
            <wp:effectExtent l="0" t="0" r="0" b="0"/>
            <wp:docPr id="87" name="图片 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true" noChangeArrowheads="true"/>
                    </pic:cNvPicPr>
                  </pic:nvPicPr>
                  <pic:blipFill>
                    <a:blip r:embed="rId89" cstate="print">
                      <a:extLst>
                        <a:ext uri="{28A0092B-C50C-407E-A947-70E740481C1C}">
                          <a14:useLocalDpi xmlns:a14="http://schemas.microsoft.com/office/drawing/2010/main" val="false"/>
                        </a:ext>
                      </a:extLst>
                    </a:blip>
                    <a:srcRect/>
                    <a:stretch>
                      <a:fillRect/>
                    </a:stretch>
                  </pic:blipFill>
                  <pic:spPr>
                    <a:xfrm>
                      <a:off x="0" y="0"/>
                      <a:ext cx="179705"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drawing>
          <wp:inline distT="0" distB="0" distL="0" distR="0">
            <wp:extent cx="179705" cy="229870"/>
            <wp:effectExtent l="0" t="0" r="0" b="0"/>
            <wp:docPr id="88" name="图片 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true" noChangeArrowheads="true"/>
                    </pic:cNvPicPr>
                  </pic:nvPicPr>
                  <pic:blipFill>
                    <a:blip r:embed="rId90" cstate="print">
                      <a:extLst>
                        <a:ext uri="{28A0092B-C50C-407E-A947-70E740481C1C}">
                          <a14:useLocalDpi xmlns:a14="http://schemas.microsoft.com/office/drawing/2010/main" val="false"/>
                        </a:ext>
                      </a:extLst>
                    </a:blip>
                    <a:srcRect/>
                    <a:stretch>
                      <a:fillRect/>
                    </a:stretch>
                  </pic:blipFill>
                  <pic:spPr>
                    <a:xfrm>
                      <a:off x="0" y="0"/>
                      <a:ext cx="179705"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分别为框架梁梁高和柱宽；</w:t>
      </w:r>
    </w:p>
    <w:p>
      <w:pPr>
        <w:spacing w:line="240" w:lineRule="auto"/>
        <w:ind w:left="0" w:firstLine="480" w:firstLineChars="200"/>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3）当型钢混凝土节点核心区布置箍筋困难时，可采用焊接钢板箍代替箍筋（如图9.3.3-2</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w:t>
      </w:r>
    </w:p>
    <w:p>
      <w:pPr>
        <w:rPr>
          <w:rFonts w:ascii="宋体" w:hAnsi="宋体" w:cs="宋体"/>
          <w:color w:val="000000" w:themeColor="text1"/>
          <w:kern w:val="0"/>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3441065" cy="1786890"/>
            <wp:effectExtent l="0" t="0" r="6985" b="0"/>
            <wp:docPr id="194" name="图片 4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4" name="图片 402"/>
                    <pic:cNvPicPr>
                      <a:picLocks noChangeAspect="true" noChangeArrowheads="true"/>
                    </pic:cNvPicPr>
                  </pic:nvPicPr>
                  <pic:blipFill>
                    <a:blip r:embed="rId91"/>
                    <a:srcRect/>
                    <a:stretch>
                      <a:fillRect/>
                    </a:stretch>
                  </pic:blipFill>
                  <pic:spPr>
                    <a:xfrm>
                      <a:off x="0" y="0"/>
                      <a:ext cx="3441065" cy="1786890"/>
                    </a:xfrm>
                    <a:prstGeom prst="rect">
                      <a:avLst/>
                    </a:prstGeom>
                    <a:noFill/>
                    <a:ln w="9525">
                      <a:noFill/>
                      <a:miter lim="800000"/>
                      <a:headEnd/>
                      <a:tailEnd/>
                    </a:ln>
                  </pic:spPr>
                </pic:pic>
              </a:graphicData>
            </a:graphic>
          </wp:inline>
        </w:drawing>
      </w:r>
      <w:r>
        <w:rPr>
          <w:rFonts w:ascii="宋体" w:hAnsi="宋体" w:cs="宋体"/>
          <w:color w:val="000000" w:themeColor="text1"/>
          <w:kern w:val="0"/>
          <w:sz w:val="24"/>
          <w:szCs w:val="24"/>
          <w14:textFill>
            <w14:solidFill>
              <w14:schemeClr w14:val="tx1"/>
            </w14:solidFill>
          </w14:textFill>
        </w:rPr>
        <w:drawing>
          <wp:inline distT="0" distB="0" distL="0" distR="0">
            <wp:extent cx="1423670" cy="1786890"/>
            <wp:effectExtent l="19050" t="0" r="5080" b="0"/>
            <wp:docPr id="195" name="图片 89" descr="C:\Users\liufang\AppData\Roaming\Tencent\Users\12709913\QQ\WinTemp\RichOle\KRLVS71UJHM297W%A12DY8U.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5" name="图片 89" descr="C:\Users\liufang\AppData\Roaming\Tencent\Users\12709913\QQ\WinTemp\RichOle\KRLVS71UJHM297W%A12DY8U.png"/>
                    <pic:cNvPicPr>
                      <a:picLocks noChangeAspect="true" noChangeArrowheads="true"/>
                    </pic:cNvPicPr>
                  </pic:nvPicPr>
                  <pic:blipFill>
                    <a:blip r:embed="rId92"/>
                    <a:srcRect/>
                    <a:stretch>
                      <a:fillRect/>
                    </a:stretch>
                  </pic:blipFill>
                  <pic:spPr>
                    <a:xfrm>
                      <a:off x="0" y="0"/>
                      <a:ext cx="1423670" cy="1786890"/>
                    </a:xfrm>
                    <a:prstGeom prst="rect">
                      <a:avLst/>
                    </a:prstGeom>
                    <a:noFill/>
                    <a:ln w="9525">
                      <a:noFill/>
                      <a:miter lim="800000"/>
                      <a:headEnd/>
                      <a:tailEnd/>
                    </a:ln>
                  </pic:spPr>
                </pic:pic>
              </a:graphicData>
            </a:graphic>
          </wp:inline>
        </w:drawing>
      </w:r>
    </w:p>
    <w:p>
      <w:pPr>
        <w:spacing w:line="240" w:lineRule="auto"/>
        <w:jc w:val="center"/>
        <w:textAlignment w:val="center"/>
        <w:rPr>
          <w:color w:val="000000" w:themeColor="text1"/>
          <w14:textFill>
            <w14:solidFill>
              <w14:schemeClr w14:val="tx1"/>
            </w14:solidFill>
          </w14:textFill>
        </w:rPr>
      </w:pP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图9.3.3-2  型钢混凝土柱与钢梁连接节点（钢板箍）</w:t>
      </w:r>
    </w:p>
    <w:p>
      <w:pPr>
        <w:numPr>
          <w:ilvl w:val="0"/>
          <w:numId w:val="11"/>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型钢混凝土柱与钢筋混凝土梁的节点</w:t>
      </w:r>
    </w:p>
    <w:p>
      <w:pPr>
        <w:spacing w:line="240" w:lineRule="auto"/>
        <w:ind w:left="0" w:firstLine="480" w:firstLineChars="200"/>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1）型钢混凝土柱与钢筋混凝土梁宜采用如下节点：</w:t>
      </w:r>
    </w:p>
    <w:p>
      <w:pPr>
        <w:numPr>
          <w:ilvl w:val="0"/>
          <w:numId w:val="12"/>
        </w:numPr>
        <w:spacing w:line="240" w:lineRule="auto"/>
        <w:ind w:left="567" w:firstLine="0"/>
        <w:jc w:val="left"/>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与型钢混凝土柱连接的梁端设置一段钢梁与梁主筋搭接（如图9.3.3-3</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w:t>
      </w:r>
    </w:p>
    <w:p>
      <w:pPr>
        <w:numPr>
          <w:ilvl w:val="0"/>
          <w:numId w:val="12"/>
        </w:numPr>
        <w:spacing w:line="240" w:lineRule="auto"/>
        <w:ind w:left="567" w:firstLine="0"/>
        <w:jc w:val="left"/>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梁内部分主筋焊在型钢牛腿上（如图9.3.3-4</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w:t>
      </w:r>
    </w:p>
    <w:p>
      <w:pPr>
        <w:numPr>
          <w:ilvl w:val="0"/>
          <w:numId w:val="12"/>
        </w:numPr>
        <w:spacing w:line="240" w:lineRule="auto"/>
        <w:ind w:left="567" w:firstLine="0"/>
        <w:jc w:val="left"/>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当梁主筋必须穿过型钢翼缘或腹板时，应将钢筋在工厂采取塞焊的方法焊在型钢上，在工地将预焊钢筋段的一端用连接套筒和梁主筋连接（如图9.3.3-5</w:t>
      </w:r>
      <w:r>
        <w:rPr>
          <w:rFonts w:ascii="宋体" w:hAnsi="宋体"/>
          <w:color w:val="000000" w:themeColor="text1"/>
          <w:sz w:val="24"/>
          <w:szCs w:val="24"/>
          <w14:textFill>
            <w14:solidFill>
              <w14:schemeClr w14:val="tx1"/>
            </w14:solidFill>
          </w14:textFill>
        </w:rPr>
        <w:t>）</w:t>
      </w:r>
    </w:p>
    <w:p>
      <w:pPr>
        <w:spacing w:line="240" w:lineRule="auto"/>
        <w:textAlignment w:val="center"/>
        <w:rPr>
          <w:color w:val="000000" w:themeColor="text1"/>
          <w14:textFill>
            <w14:solidFill>
              <w14:schemeClr w14:val="tx1"/>
            </w14:solidFill>
          </w14:textFill>
        </w:rPr>
      </w:pP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2045335" cy="1710055"/>
            <wp:effectExtent l="19050" t="0" r="0" b="0"/>
            <wp:docPr id="196" name="图片 10614" descr="钢筋焊接在型钢节点上"/>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6" name="图片 10614" descr="钢筋焊接在型钢节点上"/>
                    <pic:cNvPicPr>
                      <a:picLocks noChangeAspect="true" noChangeArrowheads="true"/>
                    </pic:cNvPicPr>
                  </pic:nvPicPr>
                  <pic:blipFill>
                    <a:blip r:embed="rId93"/>
                    <a:srcRect/>
                    <a:stretch>
                      <a:fillRect/>
                    </a:stretch>
                  </pic:blipFill>
                  <pic:spPr>
                    <a:xfrm>
                      <a:off x="0" y="0"/>
                      <a:ext cx="2045335" cy="1710055"/>
                    </a:xfrm>
                    <a:prstGeom prst="rect">
                      <a:avLst/>
                    </a:prstGeom>
                    <a:noFill/>
                    <a:ln w="9525">
                      <a:noFill/>
                      <a:miter lim="800000"/>
                      <a:headEnd/>
                      <a:tailEnd/>
                    </a:ln>
                  </pic:spPr>
                </pic:pic>
              </a:graphicData>
            </a:graphic>
          </wp:inline>
        </w:drawing>
      </w:r>
      <w:r>
        <w:rPr>
          <w:rFonts w:hint="eastAsia" w:ascii="Times New Roman" w:hAnsi="Times New Roman"/>
          <w:color w:val="000000" w:themeColor="text1"/>
          <w:szCs w:val="24"/>
          <w14:textFill>
            <w14:solidFill>
              <w14:schemeClr w14:val="tx1"/>
            </w14:solidFill>
          </w14:textFill>
        </w:rPr>
        <w:t xml:space="preserve">    </w:t>
      </w:r>
      <w:r>
        <w:rPr>
          <w:rFonts w:ascii="Times New Roman" w:hAnsi="Times New Roman"/>
          <w:color w:val="000000" w:themeColor="text1"/>
          <w:szCs w:val="24"/>
          <w14:textFill>
            <w14:solidFill>
              <w14:schemeClr w14:val="tx1"/>
            </w14:solidFill>
          </w14:textFill>
        </w:rPr>
        <w:drawing>
          <wp:inline distT="0" distB="0" distL="0" distR="0">
            <wp:extent cx="2136140" cy="1703070"/>
            <wp:effectExtent l="19050" t="0" r="0" b="0"/>
            <wp:docPr id="197" name="图片 10615" descr="梁的纵筋焊于钢牛腿上"/>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7" name="图片 10615" descr="梁的纵筋焊于钢牛腿上"/>
                    <pic:cNvPicPr>
                      <a:picLocks noChangeAspect="true" noChangeArrowheads="true"/>
                    </pic:cNvPicPr>
                  </pic:nvPicPr>
                  <pic:blipFill>
                    <a:blip r:embed="rId94"/>
                    <a:srcRect/>
                    <a:stretch>
                      <a:fillRect/>
                    </a:stretch>
                  </pic:blipFill>
                  <pic:spPr>
                    <a:xfrm>
                      <a:off x="0" y="0"/>
                      <a:ext cx="2136140" cy="1703070"/>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图9.3.3-3  梁端设置钢梁与柱连接    图9.3.3-4  梁内部分主筋焊在钢牛腿上</w:t>
      </w:r>
      <w:r>
        <w:rPr>
          <w:rFonts w:ascii="Times New Roman" w:hAnsi="Times New Roman"/>
          <w:color w:val="000000" w:themeColor="text1"/>
          <w:szCs w:val="24"/>
          <w14:textFill>
            <w14:solidFill>
              <w14:schemeClr w14:val="tx1"/>
            </w14:solidFill>
          </w14:textFill>
        </w:rPr>
        <w:drawing>
          <wp:inline distT="0" distB="0" distL="0" distR="0">
            <wp:extent cx="2066290" cy="1954530"/>
            <wp:effectExtent l="19050" t="0" r="0" b="0"/>
            <wp:docPr id="198" name="图片 10616"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8" name="图片 10616" descr="2"/>
                    <pic:cNvPicPr>
                      <a:picLocks noChangeAspect="true" noChangeArrowheads="true"/>
                    </pic:cNvPicPr>
                  </pic:nvPicPr>
                  <pic:blipFill>
                    <a:blip r:embed="rId95"/>
                    <a:srcRect/>
                    <a:stretch>
                      <a:fillRect/>
                    </a:stretch>
                  </pic:blipFill>
                  <pic:spPr>
                    <a:xfrm>
                      <a:off x="0" y="0"/>
                      <a:ext cx="2066290" cy="1954530"/>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图9.3.3-5  预焊钢筋与梁主筋套筒连接</w:t>
      </w:r>
    </w:p>
    <w:p>
      <w:pPr>
        <w:spacing w:line="240" w:lineRule="auto"/>
        <w:ind w:left="0" w:firstLine="480" w:firstLineChars="200"/>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2）抗震等级为一、二、三级时，不得将钢筋或钢筋套筒直接和柱型钢焊接。</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抗震设计时，型钢混凝土柱脚应按如下原则进行设计:</w:t>
      </w:r>
    </w:p>
    <w:p>
      <w:pPr>
        <w:numPr>
          <w:ilvl w:val="0"/>
          <w:numId w:val="13"/>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型钢混凝土柱中型钢延伸至嵌固层以下的深度少于一层时，型钢柱脚可采用埋入式柱脚；</w:t>
      </w:r>
    </w:p>
    <w:p>
      <w:pPr>
        <w:numPr>
          <w:ilvl w:val="0"/>
          <w:numId w:val="13"/>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型钢混凝土柱中型钢延伸至嵌固层以下的深度超过一层时，型钢柱脚可采用非埋入式柱脚；</w:t>
      </w:r>
    </w:p>
    <w:p>
      <w:pPr>
        <w:numPr>
          <w:ilvl w:val="0"/>
          <w:numId w:val="13"/>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埋入式柱脚应符合如下要求：</w:t>
      </w:r>
    </w:p>
    <w:p>
      <w:pPr>
        <w:spacing w:line="240" w:lineRule="auto"/>
        <w:ind w:left="0" w:firstLine="480" w:firstLineChars="2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柱脚埋置深度不应小于式（9.3.4-1）计算值</w:t>
      </w:r>
    </w:p>
    <w:p>
      <w:pPr>
        <w:spacing w:line="240" w:lineRule="auto"/>
        <w:ind w:left="850" w:leftChars="405" w:firstLine="960" w:firstLineChars="400"/>
        <w:rPr>
          <w:rFonts w:ascii="宋体" w:hAnsi="宋体"/>
          <w:color w:val="000000" w:themeColor="text1"/>
          <w:sz w:val="24"/>
          <w:szCs w:val="24"/>
          <w14:textFill>
            <w14:solidFill>
              <w14:schemeClr w14:val="tx1"/>
            </w14:solidFill>
          </w14:textFill>
        </w:rPr>
      </w:pPr>
      <w:r>
        <w:rPr>
          <w:rFonts w:ascii="宋体" w:hAnsi="宋体"/>
          <w:color w:val="000000" w:themeColor="text1"/>
          <w:position w:val="-34"/>
          <w:sz w:val="24"/>
          <w:szCs w:val="24"/>
          <w14:textFill>
            <w14:solidFill>
              <w14:schemeClr w14:val="tx1"/>
            </w14:solidFill>
          </w14:textFill>
        </w:rPr>
        <w:drawing>
          <wp:inline distT="0" distB="0" distL="0" distR="0">
            <wp:extent cx="2131695" cy="549910"/>
            <wp:effectExtent l="0" t="0" r="1905" b="2540"/>
            <wp:docPr id="89" name="图片 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true" noChangeArrowheads="true"/>
                    </pic:cNvPicPr>
                  </pic:nvPicPr>
                  <pic:blipFill>
                    <a:blip r:embed="rId96" cstate="print">
                      <a:extLst>
                        <a:ext uri="{28A0092B-C50C-407E-A947-70E740481C1C}">
                          <a14:useLocalDpi xmlns:a14="http://schemas.microsoft.com/office/drawing/2010/main" val="false"/>
                        </a:ext>
                      </a:extLst>
                    </a:blip>
                    <a:srcRect/>
                    <a:stretch>
                      <a:fillRect/>
                    </a:stretch>
                  </pic:blipFill>
                  <pic:spPr>
                    <a:xfrm>
                      <a:off x="0" y="0"/>
                      <a:ext cx="2131695" cy="54991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 xml:space="preserve">                (9.3.4-1)</w:t>
      </w:r>
    </w:p>
    <w:p>
      <w:pPr>
        <w:spacing w:line="240" w:lineRule="auto"/>
        <w:ind w:left="435" w:leftChars="207" w:firstLine="1440" w:firstLineChars="600"/>
        <w:rPr>
          <w:rFonts w:ascii="宋体" w:hAnsi="宋体"/>
          <w:color w:val="000000" w:themeColor="text1"/>
          <w:sz w:val="24"/>
          <w:szCs w:val="24"/>
          <w14:textFill>
            <w14:solidFill>
              <w14:schemeClr w14:val="tx1"/>
            </w14:solidFill>
          </w14:textFill>
        </w:rPr>
      </w:pPr>
      <w:r>
        <w:rPr>
          <w:rFonts w:ascii="宋体" w:hAnsi="宋体"/>
          <w:color w:val="000000" w:themeColor="text1"/>
          <w:position w:val="-32"/>
          <w:sz w:val="24"/>
          <w:szCs w:val="24"/>
          <w14:textFill>
            <w14:solidFill>
              <w14:schemeClr w14:val="tx1"/>
            </w14:solidFill>
          </w14:textFill>
        </w:rPr>
        <w:drawing>
          <wp:inline distT="0" distB="0" distL="0" distR="0">
            <wp:extent cx="678815" cy="476885"/>
            <wp:effectExtent l="0" t="0" r="6985" b="0"/>
            <wp:docPr id="90" name="图片 9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true" noChangeArrowheads="true"/>
                    </pic:cNvPicPr>
                  </pic:nvPicPr>
                  <pic:blipFill>
                    <a:blip r:embed="rId97" cstate="print">
                      <a:extLst>
                        <a:ext uri="{28A0092B-C50C-407E-A947-70E740481C1C}">
                          <a14:useLocalDpi xmlns:a14="http://schemas.microsoft.com/office/drawing/2010/main" val="false"/>
                        </a:ext>
                      </a:extLst>
                    </a:blip>
                    <a:srcRect/>
                    <a:stretch>
                      <a:fillRect/>
                    </a:stretch>
                  </pic:blipFill>
                  <pic:spPr>
                    <a:xfrm>
                      <a:off x="0" y="0"/>
                      <a:ext cx="678815" cy="476885"/>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 xml:space="preserve">                                   (9.3.4-2)</w:t>
      </w:r>
    </w:p>
    <w:p>
      <w:pPr>
        <w:spacing w:line="240" w:lineRule="auto"/>
        <w:ind w:left="859" w:leftChars="409"/>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式中：b</w:t>
      </w:r>
      <w:r>
        <w:rPr>
          <w:rFonts w:hint="eastAsia" w:ascii="宋体" w:hAnsi="宋体"/>
          <w:color w:val="000000" w:themeColor="text1"/>
          <w:sz w:val="24"/>
          <w:szCs w:val="24"/>
          <w:vertAlign w:val="subscript"/>
          <w14:textFill>
            <w14:solidFill>
              <w14:schemeClr w14:val="tx1"/>
            </w14:solidFill>
          </w14:textFill>
        </w:rPr>
        <w:t>e</w:t>
      </w:r>
      <w:r>
        <w:rPr>
          <w:rFonts w:hint="eastAsia" w:ascii="宋体" w:hAnsi="宋体"/>
          <w:color w:val="000000" w:themeColor="text1"/>
          <w:sz w:val="24"/>
          <w:szCs w:val="24"/>
          <w14:textFill>
            <w14:solidFill>
              <w14:schemeClr w14:val="tx1"/>
            </w14:solidFill>
          </w14:textFill>
        </w:rPr>
        <w:t>——埋入式柱脚有效宽度；由型钢的形式及其承压方向确定，一般按图9.3.4和表9.3.4的规定采用。</w:t>
      </w:r>
    </w:p>
    <w:p>
      <w:pPr>
        <w:spacing w:line="240" w:lineRule="auto"/>
        <w:ind w:left="435" w:leftChars="207" w:firstLine="1903" w:firstLineChars="677"/>
        <w:rPr>
          <w:b/>
          <w:bCs/>
          <w:color w:val="000000" w:themeColor="text1"/>
          <w:sz w:val="28"/>
          <w14:textFill>
            <w14:solidFill>
              <w14:schemeClr w14:val="tx1"/>
            </w14:solidFill>
          </w14:textFill>
        </w:rPr>
      </w:pPr>
      <w:r>
        <w:rPr>
          <w:b/>
          <w:color w:val="000000" w:themeColor="text1"/>
          <w:sz w:val="28"/>
          <w14:textFill>
            <w14:solidFill>
              <w14:schemeClr w14:val="tx1"/>
            </w14:solidFill>
          </w14:textFill>
        </w:rPr>
        <w:drawing>
          <wp:inline distT="0" distB="0" distL="0" distR="0">
            <wp:extent cx="3099435" cy="1298575"/>
            <wp:effectExtent l="19050" t="0" r="0" b="0"/>
            <wp:docPr id="201" name="图片 106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1" name="图片 10619"/>
                    <pic:cNvPicPr>
                      <a:picLocks noChangeAspect="true" noChangeArrowheads="true"/>
                    </pic:cNvPicPr>
                  </pic:nvPicPr>
                  <pic:blipFill>
                    <a:blip r:embed="rId98"/>
                    <a:srcRect/>
                    <a:stretch>
                      <a:fillRect/>
                    </a:stretch>
                  </pic:blipFill>
                  <pic:spPr>
                    <a:xfrm>
                      <a:off x="0" y="0"/>
                      <a:ext cx="3099435" cy="1298575"/>
                    </a:xfrm>
                    <a:prstGeom prst="rect">
                      <a:avLst/>
                    </a:prstGeom>
                    <a:noFill/>
                    <a:ln w="9525">
                      <a:noFill/>
                      <a:miter lim="800000"/>
                      <a:headEnd/>
                      <a:tailEnd/>
                    </a:ln>
                  </pic:spPr>
                </pic:pic>
              </a:graphicData>
            </a:graphic>
          </wp:inline>
        </w:drawing>
      </w:r>
    </w:p>
    <w:p>
      <w:pPr>
        <w:spacing w:line="240" w:lineRule="auto"/>
        <w:ind w:left="435" w:leftChars="207" w:firstLine="3360" w:firstLineChars="16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图9.3.4   </w:t>
      </w:r>
    </w:p>
    <w:p>
      <w:pPr>
        <w:spacing w:line="240" w:lineRule="auto"/>
        <w:ind w:left="435" w:leftChars="207" w:firstLine="3360" w:firstLineChars="1600"/>
        <w:rPr>
          <w:rFonts w:ascii="宋体" w:hAnsi="宋体"/>
          <w:color w:val="000000" w:themeColor="text1"/>
          <w14:textFill>
            <w14:solidFill>
              <w14:schemeClr w14:val="tx1"/>
            </w14:solidFill>
          </w14:textFill>
        </w:rPr>
      </w:pPr>
    </w:p>
    <w:p>
      <w:pPr>
        <w:spacing w:line="240" w:lineRule="auto"/>
        <w:ind w:left="1977" w:leftChars="808" w:hanging="280" w:hangingChars="133"/>
        <w:rPr>
          <w:rFonts w:ascii="宋体" w:hAnsi="宋体"/>
          <w:b/>
          <w:color w:val="000000" w:themeColor="text1"/>
          <w:vertAlign w:val="subscript"/>
          <w14:textFill>
            <w14:solidFill>
              <w14:schemeClr w14:val="tx1"/>
            </w14:solidFill>
          </w14:textFill>
        </w:rPr>
      </w:pPr>
      <w:r>
        <w:rPr>
          <w:rFonts w:hint="eastAsia" w:ascii="宋体" w:hAnsi="宋体"/>
          <w:b/>
          <w:color w:val="000000" w:themeColor="text1"/>
          <w14:textFill>
            <w14:solidFill>
              <w14:schemeClr w14:val="tx1"/>
            </w14:solidFill>
          </w14:textFill>
        </w:rPr>
        <w:t>表9.3.4         型钢柱埋入部分的有效宽度b</w:t>
      </w:r>
      <w:r>
        <w:rPr>
          <w:rFonts w:hint="eastAsia" w:ascii="宋体" w:hAnsi="宋体"/>
          <w:b/>
          <w:color w:val="000000" w:themeColor="text1"/>
          <w:vertAlign w:val="subscript"/>
          <w14:textFill>
            <w14:solidFill>
              <w14:schemeClr w14:val="tx1"/>
            </w14:solidFill>
          </w14:textFill>
        </w:rPr>
        <w:t>e</w:t>
      </w:r>
    </w:p>
    <w:tbl>
      <w:tblPr>
        <w:tblStyle w:val="31"/>
        <w:tblW w:w="37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802"/>
        <w:gridCol w:w="1803"/>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930" w:type="pct"/>
          </w:tcPr>
          <w:p>
            <w:pPr>
              <w:spacing w:line="240" w:lineRule="auto"/>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型钢截面形式及承压方向</w:t>
            </w:r>
          </w:p>
        </w:tc>
        <w:tc>
          <w:tcPr>
            <w:tcW w:w="1405" w:type="pct"/>
          </w:tcPr>
          <w:p>
            <w:pPr>
              <w:spacing w:line="240" w:lineRule="auto"/>
              <w:jc w:val="center"/>
              <w:rPr>
                <w:rFonts w:ascii="宋体" w:hAnsi="宋体"/>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54025" cy="732790"/>
                  <wp:effectExtent l="19050" t="0" r="3175" b="0"/>
                  <wp:docPr id="202" name="图片 106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2" name="图片 10620"/>
                          <pic:cNvPicPr>
                            <a:picLocks noChangeAspect="true" noChangeArrowheads="true"/>
                          </pic:cNvPicPr>
                        </pic:nvPicPr>
                        <pic:blipFill>
                          <a:blip r:embed="rId99"/>
                          <a:srcRect/>
                          <a:stretch>
                            <a:fillRect/>
                          </a:stretch>
                        </pic:blipFill>
                        <pic:spPr>
                          <a:xfrm>
                            <a:off x="0" y="0"/>
                            <a:ext cx="454025" cy="732790"/>
                          </a:xfrm>
                          <a:prstGeom prst="rect">
                            <a:avLst/>
                          </a:prstGeom>
                          <a:noFill/>
                          <a:ln w="9525">
                            <a:noFill/>
                            <a:miter lim="800000"/>
                            <a:headEnd/>
                            <a:tailEnd/>
                          </a:ln>
                        </pic:spPr>
                      </pic:pic>
                    </a:graphicData>
                  </a:graphic>
                </wp:inline>
              </w:drawing>
            </w:r>
          </w:p>
        </w:tc>
        <w:tc>
          <w:tcPr>
            <w:tcW w:w="1403" w:type="pct"/>
          </w:tcPr>
          <w:p>
            <w:pPr>
              <w:spacing w:line="240" w:lineRule="auto"/>
              <w:jc w:val="center"/>
              <w:rPr>
                <w:rFonts w:ascii="宋体" w:hAnsi="宋体"/>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53745" cy="614045"/>
                  <wp:effectExtent l="19050" t="0" r="8255" b="0"/>
                  <wp:docPr id="203" name="图片 106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3" name="图片 10621"/>
                          <pic:cNvPicPr>
                            <a:picLocks noChangeAspect="true" noChangeArrowheads="true"/>
                          </pic:cNvPicPr>
                        </pic:nvPicPr>
                        <pic:blipFill>
                          <a:blip r:embed="rId100"/>
                          <a:srcRect/>
                          <a:stretch>
                            <a:fillRect/>
                          </a:stretch>
                        </pic:blipFill>
                        <pic:spPr>
                          <a:xfrm>
                            <a:off x="0" y="0"/>
                            <a:ext cx="753745" cy="614045"/>
                          </a:xfrm>
                          <a:prstGeom prst="rect">
                            <a:avLst/>
                          </a:prstGeom>
                          <a:noFill/>
                          <a:ln w="9525">
                            <a:noFill/>
                            <a:miter lim="800000"/>
                            <a:headEnd/>
                            <a:tailEnd/>
                          </a:ln>
                        </pic:spPr>
                      </pic:pic>
                    </a:graphicData>
                  </a:graphic>
                </wp:inline>
              </w:drawing>
            </w:r>
          </w:p>
        </w:tc>
        <w:tc>
          <w:tcPr>
            <w:tcW w:w="1262" w:type="pct"/>
          </w:tcPr>
          <w:p>
            <w:pPr>
              <w:spacing w:line="240" w:lineRule="auto"/>
              <w:jc w:val="center"/>
              <w:rPr>
                <w:rFonts w:ascii="宋体" w:hAnsi="宋体"/>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86105" cy="697865"/>
                  <wp:effectExtent l="19050" t="0" r="4445" b="0"/>
                  <wp:docPr id="204" name="图片 106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4" name="图片 10622"/>
                          <pic:cNvPicPr>
                            <a:picLocks noChangeAspect="true" noChangeArrowheads="true"/>
                          </pic:cNvPicPr>
                        </pic:nvPicPr>
                        <pic:blipFill>
                          <a:blip r:embed="rId101"/>
                          <a:srcRect/>
                          <a:stretch>
                            <a:fillRect/>
                          </a:stretch>
                        </pic:blipFill>
                        <pic:spPr>
                          <a:xfrm>
                            <a:off x="0" y="0"/>
                            <a:ext cx="586105" cy="69786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tcPr>
          <w:p>
            <w:pPr>
              <w:spacing w:line="240" w:lineRule="auto"/>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b</w:t>
            </w:r>
            <w:r>
              <w:rPr>
                <w:rFonts w:hint="eastAsia" w:ascii="宋体" w:hAnsi="宋体"/>
                <w:color w:val="000000" w:themeColor="text1"/>
                <w:vertAlign w:val="subscript"/>
                <w14:textFill>
                  <w14:solidFill>
                    <w14:schemeClr w14:val="tx1"/>
                  </w14:solidFill>
                </w14:textFill>
              </w:rPr>
              <w:t>e</w:t>
            </w:r>
          </w:p>
        </w:tc>
        <w:tc>
          <w:tcPr>
            <w:tcW w:w="1405" w:type="pct"/>
          </w:tcPr>
          <w:p>
            <w:pPr>
              <w:spacing w:line="240" w:lineRule="auto"/>
              <w:rPr>
                <w:rFonts w:ascii="宋体" w:hAnsi="宋体"/>
                <w:color w:val="000000" w:themeColor="text1"/>
                <w14:textFill>
                  <w14:solidFill>
                    <w14:schemeClr w14:val="tx1"/>
                  </w14:solidFill>
                </w14:textFill>
              </w:rPr>
            </w:pPr>
            <w:r>
              <w:rPr>
                <w:rFonts w:ascii="宋体" w:hAnsi="宋体"/>
                <w:color w:val="000000" w:themeColor="text1"/>
                <w:position w:val="-14"/>
                <w14:textFill>
                  <w14:solidFill>
                    <w14:schemeClr w14:val="tx1"/>
                  </w14:solidFill>
                </w14:textFill>
              </w:rPr>
              <w:drawing>
                <wp:inline distT="0" distB="0" distL="0" distR="0">
                  <wp:extent cx="549910" cy="235585"/>
                  <wp:effectExtent l="0" t="0" r="2540" b="0"/>
                  <wp:docPr id="91" name="图片 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true" noChangeArrowheads="true"/>
                          </pic:cNvPicPr>
                        </pic:nvPicPr>
                        <pic:blipFill>
                          <a:blip r:embed="rId102" cstate="print">
                            <a:extLst>
                              <a:ext uri="{28A0092B-C50C-407E-A947-70E740481C1C}">
                                <a14:useLocalDpi xmlns:a14="http://schemas.microsoft.com/office/drawing/2010/main" val="false"/>
                              </a:ext>
                            </a:extLst>
                          </a:blip>
                          <a:srcRect/>
                          <a:stretch>
                            <a:fillRect/>
                          </a:stretch>
                        </pic:blipFill>
                        <pic:spPr>
                          <a:xfrm>
                            <a:off x="0" y="0"/>
                            <a:ext cx="549910" cy="235585"/>
                          </a:xfrm>
                          <a:prstGeom prst="rect">
                            <a:avLst/>
                          </a:prstGeom>
                          <a:noFill/>
                          <a:ln>
                            <a:noFill/>
                          </a:ln>
                        </pic:spPr>
                      </pic:pic>
                    </a:graphicData>
                  </a:graphic>
                </wp:inline>
              </w:drawing>
            </w:r>
            <w:r>
              <w:rPr>
                <w:rFonts w:hint="eastAsia" w:ascii="宋体" w:hAnsi="宋体"/>
                <w:color w:val="000000" w:themeColor="text1"/>
                <w14:textFill>
                  <w14:solidFill>
                    <w14:schemeClr w14:val="tx1"/>
                  </w14:solidFill>
                </w14:textFill>
              </w:rPr>
              <w:t>；</w:t>
            </w:r>
          </w:p>
        </w:tc>
        <w:tc>
          <w:tcPr>
            <w:tcW w:w="1403" w:type="pct"/>
          </w:tcPr>
          <w:p>
            <w:pPr>
              <w:spacing w:line="240" w:lineRule="auto"/>
              <w:rPr>
                <w:rFonts w:ascii="宋体" w:hAnsi="宋体"/>
                <w:color w:val="000000" w:themeColor="text1"/>
                <w14:textFill>
                  <w14:solidFill>
                    <w14:schemeClr w14:val="tx1"/>
                  </w14:solidFill>
                </w14:textFill>
              </w:rPr>
            </w:pPr>
            <w:r>
              <w:rPr>
                <w:rFonts w:ascii="宋体" w:hAnsi="宋体"/>
                <w:color w:val="000000" w:themeColor="text1"/>
                <w:position w:val="-14"/>
                <w14:textFill>
                  <w14:solidFill>
                    <w14:schemeClr w14:val="tx1"/>
                  </w14:solidFill>
                </w14:textFill>
              </w:rPr>
              <w:drawing>
                <wp:inline distT="0" distB="0" distL="0" distR="0">
                  <wp:extent cx="639445" cy="235585"/>
                  <wp:effectExtent l="0" t="0" r="8255" b="0"/>
                  <wp:docPr id="92" name="图片 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true" noChangeArrowheads="true"/>
                          </pic:cNvPicPr>
                        </pic:nvPicPr>
                        <pic:blipFill>
                          <a:blip r:embed="rId103" cstate="print">
                            <a:extLst>
                              <a:ext uri="{28A0092B-C50C-407E-A947-70E740481C1C}">
                                <a14:useLocalDpi xmlns:a14="http://schemas.microsoft.com/office/drawing/2010/main" val="false"/>
                              </a:ext>
                            </a:extLst>
                          </a:blip>
                          <a:srcRect/>
                          <a:stretch>
                            <a:fillRect/>
                          </a:stretch>
                        </pic:blipFill>
                        <pic:spPr>
                          <a:xfrm>
                            <a:off x="0" y="0"/>
                            <a:ext cx="639445" cy="235585"/>
                          </a:xfrm>
                          <a:prstGeom prst="rect">
                            <a:avLst/>
                          </a:prstGeom>
                          <a:noFill/>
                          <a:ln>
                            <a:noFill/>
                          </a:ln>
                        </pic:spPr>
                      </pic:pic>
                    </a:graphicData>
                  </a:graphic>
                </wp:inline>
              </w:drawing>
            </w:r>
          </w:p>
        </w:tc>
        <w:tc>
          <w:tcPr>
            <w:tcW w:w="1262" w:type="pct"/>
          </w:tcPr>
          <w:p>
            <w:pPr>
              <w:spacing w:line="240" w:lineRule="auto"/>
              <w:rPr>
                <w:rFonts w:ascii="宋体" w:hAnsi="宋体"/>
                <w:color w:val="000000" w:themeColor="text1"/>
                <w14:textFill>
                  <w14:solidFill>
                    <w14:schemeClr w14:val="tx1"/>
                  </w14:solidFill>
                </w14:textFill>
              </w:rPr>
            </w:pPr>
            <w:r>
              <w:rPr>
                <w:rFonts w:ascii="宋体" w:hAnsi="宋体"/>
                <w:color w:val="000000" w:themeColor="text1"/>
                <w:position w:val="-14"/>
                <w14:textFill>
                  <w14:solidFill>
                    <w14:schemeClr w14:val="tx1"/>
                  </w14:solidFill>
                </w14:textFill>
              </w:rPr>
              <w:drawing>
                <wp:inline distT="0" distB="0" distL="0" distR="0">
                  <wp:extent cx="639445" cy="235585"/>
                  <wp:effectExtent l="0" t="0" r="8255" b="0"/>
                  <wp:docPr id="93" name="图片 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true" noChangeArrowheads="true"/>
                          </pic:cNvPicPr>
                        </pic:nvPicPr>
                        <pic:blipFill>
                          <a:blip r:embed="rId104" cstate="print">
                            <a:extLst>
                              <a:ext uri="{28A0092B-C50C-407E-A947-70E740481C1C}">
                                <a14:useLocalDpi xmlns:a14="http://schemas.microsoft.com/office/drawing/2010/main" val="false"/>
                              </a:ext>
                            </a:extLst>
                          </a:blip>
                          <a:srcRect/>
                          <a:stretch>
                            <a:fillRect/>
                          </a:stretch>
                        </pic:blipFill>
                        <pic:spPr>
                          <a:xfrm>
                            <a:off x="0" y="0"/>
                            <a:ext cx="639445" cy="235585"/>
                          </a:xfrm>
                          <a:prstGeom prst="rect">
                            <a:avLst/>
                          </a:prstGeom>
                          <a:noFill/>
                          <a:ln>
                            <a:noFill/>
                          </a:ln>
                        </pic:spPr>
                      </pic:pic>
                    </a:graphicData>
                  </a:graphic>
                </wp:inline>
              </w:drawing>
            </w:r>
          </w:p>
        </w:tc>
      </w:tr>
    </w:tbl>
    <w:p>
      <w:pPr>
        <w:spacing w:line="240" w:lineRule="auto"/>
        <w:ind w:left="1260"/>
        <w:rPr>
          <w:rFonts w:ascii="宋体" w:hAnsi="宋体"/>
          <w:color w:val="000000" w:themeColor="text1"/>
          <w:sz w:val="24"/>
          <w:szCs w:val="24"/>
          <w14:textFill>
            <w14:solidFill>
              <w14:schemeClr w14:val="tx1"/>
            </w14:solidFill>
          </w14:textFill>
        </w:rPr>
      </w:pPr>
      <w:r>
        <w:rPr>
          <w:rFonts w:ascii="宋体" w:hAnsi="宋体"/>
          <w:color w:val="000000" w:themeColor="text1"/>
          <w:position w:val="-12"/>
          <w:sz w:val="24"/>
          <w:szCs w:val="24"/>
          <w:vertAlign w:val="subscript"/>
          <w14:textFill>
            <w14:solidFill>
              <w14:schemeClr w14:val="tx1"/>
            </w14:solidFill>
          </w14:textFill>
        </w:rPr>
        <w:drawing>
          <wp:inline distT="0" distB="0" distL="0" distR="0">
            <wp:extent cx="151765" cy="229870"/>
            <wp:effectExtent l="0" t="0" r="635" b="0"/>
            <wp:docPr id="94" name="图片 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true" noChangeArrowheads="true"/>
                    </pic:cNvPicPr>
                  </pic:nvPicPr>
                  <pic:blipFill>
                    <a:blip r:embed="rId105" cstate="print">
                      <a:extLst>
                        <a:ext uri="{28A0092B-C50C-407E-A947-70E740481C1C}">
                          <a14:useLocalDpi xmlns:a14="http://schemas.microsoft.com/office/drawing/2010/main" val="false"/>
                        </a:ext>
                      </a:extLst>
                    </a:blip>
                    <a:srcRect/>
                    <a:stretch>
                      <a:fillRect/>
                    </a:stretch>
                  </pic:blipFill>
                  <pic:spPr>
                    <a:xfrm>
                      <a:off x="0" y="0"/>
                      <a:ext cx="151765" cy="229870"/>
                    </a:xfrm>
                    <a:prstGeom prst="rect">
                      <a:avLst/>
                    </a:prstGeom>
                    <a:noFill/>
                    <a:ln>
                      <a:noFill/>
                    </a:ln>
                  </pic:spPr>
                </pic:pic>
              </a:graphicData>
            </a:graphic>
          </wp:inline>
        </w:drawing>
      </w:r>
      <w:r>
        <w:rPr>
          <w:rFonts w:hint="eastAsia" w:ascii="宋体" w:hAnsi="宋体"/>
          <w:color w:val="000000" w:themeColor="text1"/>
          <w:sz w:val="24"/>
          <w:szCs w:val="24"/>
          <w:vertAlign w:val="subscript"/>
          <w14:textFill>
            <w14:solidFill>
              <w14:schemeClr w14:val="tx1"/>
            </w14:solidFill>
          </w14:textFill>
        </w:rPr>
        <w:t>w</w:t>
      </w:r>
      <w:r>
        <w:rPr>
          <w:rFonts w:hint="eastAsia" w:ascii="宋体" w:hAnsi="宋体"/>
          <w:color w:val="000000" w:themeColor="text1"/>
          <w:sz w:val="24"/>
          <w:szCs w:val="24"/>
          <w14:textFill>
            <w14:solidFill>
              <w14:schemeClr w14:val="tx1"/>
            </w14:solidFill>
          </w14:textFill>
        </w:rPr>
        <w:t>——腹板厚度；</w:t>
      </w:r>
    </w:p>
    <w:p>
      <w:pPr>
        <w:spacing w:line="240" w:lineRule="auto"/>
        <w:ind w:left="1260"/>
        <w:rPr>
          <w:rFonts w:ascii="宋体" w:hAnsi="宋体"/>
          <w:color w:val="000000" w:themeColor="text1"/>
          <w:sz w:val="24"/>
          <w:szCs w:val="24"/>
          <w14:textFill>
            <w14:solidFill>
              <w14:schemeClr w14:val="tx1"/>
            </w14:solidFill>
          </w14:textFill>
        </w:rPr>
      </w:pPr>
      <w:r>
        <w:rPr>
          <w:rFonts w:ascii="宋体" w:hAnsi="宋体"/>
          <w:color w:val="000000" w:themeColor="text1"/>
          <w:position w:val="-14"/>
          <w:sz w:val="24"/>
          <w:szCs w:val="24"/>
          <w14:textFill>
            <w14:solidFill>
              <w14:schemeClr w14:val="tx1"/>
            </w14:solidFill>
          </w14:textFill>
        </w:rPr>
        <w:drawing>
          <wp:inline distT="0" distB="0" distL="0" distR="0">
            <wp:extent cx="201930" cy="235585"/>
            <wp:effectExtent l="0" t="0" r="7620" b="0"/>
            <wp:docPr id="95" name="图片 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true" noChangeArrowheads="true"/>
                    </pic:cNvPicPr>
                  </pic:nvPicPr>
                  <pic:blipFill>
                    <a:blip r:embed="rId106" cstate="print">
                      <a:extLst>
                        <a:ext uri="{28A0092B-C50C-407E-A947-70E740481C1C}">
                          <a14:useLocalDpi xmlns:a14="http://schemas.microsoft.com/office/drawing/2010/main" val="false"/>
                        </a:ext>
                      </a:extLst>
                    </a:blip>
                    <a:srcRect/>
                    <a:stretch>
                      <a:fillRect/>
                    </a:stretch>
                  </pic:blipFill>
                  <pic:spPr>
                    <a:xfrm>
                      <a:off x="0" y="0"/>
                      <a:ext cx="201930" cy="235585"/>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——腹板外表面至腹板弧端距离；</w:t>
      </w:r>
    </w:p>
    <w:p>
      <w:pPr>
        <w:spacing w:line="240" w:lineRule="auto"/>
        <w:ind w:left="1260"/>
        <w:rPr>
          <w:rFonts w:ascii="宋体" w:hAnsi="宋体"/>
          <w:color w:val="000000" w:themeColor="text1"/>
          <w:sz w:val="24"/>
          <w:szCs w:val="24"/>
          <w14:textFill>
            <w14:solidFill>
              <w14:schemeClr w14:val="tx1"/>
            </w14:solidFill>
          </w14:textFill>
        </w:rPr>
      </w:pPr>
      <w:r>
        <w:rPr>
          <w:rFonts w:ascii="宋体" w:hAnsi="宋体"/>
          <w:color w:val="000000" w:themeColor="text1"/>
          <w:position w:val="-10"/>
          <w:sz w:val="24"/>
          <w:szCs w:val="24"/>
          <w14:textFill>
            <w14:solidFill>
              <w14:schemeClr w14:val="tx1"/>
            </w14:solidFill>
          </w14:textFill>
        </w:rPr>
        <w:drawing>
          <wp:inline distT="0" distB="0" distL="0" distR="0">
            <wp:extent cx="179705" cy="201930"/>
            <wp:effectExtent l="0" t="0" r="0" b="7620"/>
            <wp:docPr id="96" name="图片 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true" noChangeArrowheads="true"/>
                    </pic:cNvPicPr>
                  </pic:nvPicPr>
                  <pic:blipFill>
                    <a:blip r:embed="rId107" cstate="print">
                      <a:extLst>
                        <a:ext uri="{28A0092B-C50C-407E-A947-70E740481C1C}">
                          <a14:useLocalDpi xmlns:a14="http://schemas.microsoft.com/office/drawing/2010/main" val="false"/>
                        </a:ext>
                      </a:extLst>
                    </a:blip>
                    <a:srcRect/>
                    <a:stretch>
                      <a:fillRect/>
                    </a:stretch>
                  </pic:blipFill>
                  <pic:spPr>
                    <a:xfrm>
                      <a:off x="0" y="0"/>
                      <a:ext cx="179705" cy="20193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——柱脚埋入深度；</w:t>
      </w:r>
    </w:p>
    <w:p>
      <w:pPr>
        <w:spacing w:line="240" w:lineRule="auto"/>
        <w:ind w:left="1260"/>
        <w:rPr>
          <w:rFonts w:ascii="宋体" w:hAnsi="宋体"/>
          <w:color w:val="000000" w:themeColor="text1"/>
          <w:sz w:val="24"/>
          <w:szCs w:val="24"/>
          <w14:textFill>
            <w14:solidFill>
              <w14:schemeClr w14:val="tx1"/>
            </w14:solidFill>
          </w14:textFill>
        </w:rPr>
      </w:pPr>
      <w:r>
        <w:rPr>
          <w:rFonts w:ascii="宋体" w:hAnsi="宋体"/>
          <w:color w:val="000000" w:themeColor="text1"/>
          <w:position w:val="-12"/>
          <w:sz w:val="24"/>
          <w:szCs w:val="24"/>
          <w14:textFill>
            <w14:solidFill>
              <w14:schemeClr w14:val="tx1"/>
            </w14:solidFill>
          </w14:textFill>
        </w:rPr>
        <w:drawing>
          <wp:inline distT="0" distB="0" distL="0" distR="0">
            <wp:extent cx="235585" cy="229870"/>
            <wp:effectExtent l="0" t="0" r="0" b="0"/>
            <wp:docPr id="97" name="图片 9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true" noChangeArrowheads="true"/>
                    </pic:cNvPicPr>
                  </pic:nvPicPr>
                  <pic:blipFill>
                    <a:blip r:embed="rId108" cstate="print">
                      <a:extLst>
                        <a:ext uri="{28A0092B-C50C-407E-A947-70E740481C1C}">
                          <a14:useLocalDpi xmlns:a14="http://schemas.microsoft.com/office/drawing/2010/main" val="false"/>
                        </a:ext>
                      </a:extLst>
                    </a:blip>
                    <a:srcRect/>
                    <a:stretch>
                      <a:fillRect/>
                    </a:stretch>
                  </pic:blipFill>
                  <pic:spPr>
                    <a:xfrm>
                      <a:off x="0" y="0"/>
                      <a:ext cx="235585"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——型钢的弯矩（</w:t>
      </w:r>
      <w:r>
        <w:rPr>
          <w:rFonts w:ascii="宋体" w:hAnsi="宋体"/>
          <w:color w:val="000000" w:themeColor="text1"/>
          <w:position w:val="-10"/>
          <w:sz w:val="24"/>
          <w:szCs w:val="24"/>
          <w14:textFill>
            <w14:solidFill>
              <w14:schemeClr w14:val="tx1"/>
            </w14:solidFill>
          </w14:textFill>
        </w:rPr>
        <w:drawing>
          <wp:inline distT="0" distB="0" distL="0" distR="0">
            <wp:extent cx="774065" cy="235585"/>
            <wp:effectExtent l="0" t="0" r="6985" b="0"/>
            <wp:docPr id="98" name="图片 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true" noChangeArrowheads="true"/>
                    </pic:cNvPicPr>
                  </pic:nvPicPr>
                  <pic:blipFill>
                    <a:blip r:embed="rId109" cstate="print">
                      <a:extLst>
                        <a:ext uri="{28A0092B-C50C-407E-A947-70E740481C1C}">
                          <a14:useLocalDpi xmlns:a14="http://schemas.microsoft.com/office/drawing/2010/main" val="false"/>
                        </a:ext>
                      </a:extLst>
                    </a:blip>
                    <a:srcRect/>
                    <a:stretch>
                      <a:fillRect/>
                    </a:stretch>
                  </pic:blipFill>
                  <pic:spPr>
                    <a:xfrm>
                      <a:off x="0" y="0"/>
                      <a:ext cx="774065" cy="235585"/>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position w:val="-10"/>
          <w:sz w:val="24"/>
          <w:szCs w:val="24"/>
          <w14:textFill>
            <w14:solidFill>
              <w14:schemeClr w14:val="tx1"/>
            </w14:solidFill>
          </w14:textFill>
        </w:rPr>
        <w:drawing>
          <wp:inline distT="0" distB="0" distL="0" distR="0">
            <wp:extent cx="342265" cy="235585"/>
            <wp:effectExtent l="0" t="0" r="0" b="0"/>
            <wp:docPr id="99" name="图片 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true" noChangeArrowheads="true"/>
                    </pic:cNvPicPr>
                  </pic:nvPicPr>
                  <pic:blipFill>
                    <a:blip r:embed="rId110" cstate="print">
                      <a:extLst>
                        <a:ext uri="{28A0092B-C50C-407E-A947-70E740481C1C}">
                          <a14:useLocalDpi xmlns:a14="http://schemas.microsoft.com/office/drawing/2010/main" val="false"/>
                        </a:ext>
                      </a:extLst>
                    </a:blip>
                    <a:srcRect/>
                    <a:stretch>
                      <a:fillRect/>
                    </a:stretch>
                  </pic:blipFill>
                  <pic:spPr>
                    <a:xfrm>
                      <a:off x="0" y="0"/>
                      <a:ext cx="342265" cy="235585"/>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为对X轴的净截面塑性抵抗矩；</w:t>
      </w:r>
    </w:p>
    <w:p>
      <w:pPr>
        <w:spacing w:line="240" w:lineRule="auto"/>
        <w:ind w:left="126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ƒ</w:t>
      </w:r>
      <w:r>
        <w:rPr>
          <w:rFonts w:hint="eastAsia" w:ascii="宋体" w:hAnsi="宋体"/>
          <w:color w:val="000000" w:themeColor="text1"/>
          <w:sz w:val="24"/>
          <w:szCs w:val="24"/>
          <w:vertAlign w:val="subscript"/>
          <w14:textFill>
            <w14:solidFill>
              <w14:schemeClr w14:val="tx1"/>
            </w14:solidFill>
          </w14:textFill>
        </w:rPr>
        <w:t>c</w:t>
      </w:r>
      <w:r>
        <w:rPr>
          <w:rFonts w:hint="eastAsia" w:ascii="宋体" w:hAnsi="宋体"/>
          <w:color w:val="000000" w:themeColor="text1"/>
          <w:sz w:val="24"/>
          <w:szCs w:val="24"/>
          <w14:textFill>
            <w14:solidFill>
              <w14:schemeClr w14:val="tx1"/>
            </w14:solidFill>
          </w14:textFill>
        </w:rPr>
        <w:t>——混凝土轴心抗压强度设计值</w:t>
      </w:r>
    </w:p>
    <w:p>
      <w:pPr>
        <w:spacing w:line="240" w:lineRule="auto"/>
        <w:ind w:left="126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A</w:t>
      </w:r>
      <w:r>
        <w:rPr>
          <w:rFonts w:hint="eastAsia" w:ascii="宋体" w:hAnsi="宋体"/>
          <w:color w:val="000000" w:themeColor="text1"/>
          <w:sz w:val="24"/>
          <w:szCs w:val="24"/>
          <w:vertAlign w:val="subscript"/>
          <w14:textFill>
            <w14:solidFill>
              <w14:schemeClr w14:val="tx1"/>
            </w14:solidFill>
          </w14:textFill>
        </w:rPr>
        <w:t>b</w:t>
      </w:r>
      <w:r>
        <w:rPr>
          <w:rFonts w:hint="eastAsia" w:ascii="宋体" w:hAnsi="宋体"/>
          <w:color w:val="000000" w:themeColor="text1"/>
          <w:sz w:val="24"/>
          <w:szCs w:val="24"/>
          <w14:textFill>
            <w14:solidFill>
              <w14:schemeClr w14:val="tx1"/>
            </w14:solidFill>
          </w14:textFill>
        </w:rPr>
        <w:t>——局部受压计算底面积，按GB50010相关规定确定。</w:t>
      </w:r>
    </w:p>
    <w:p>
      <w:pPr>
        <w:spacing w:line="240" w:lineRule="auto"/>
        <w:ind w:left="126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A</w:t>
      </w:r>
      <w:r>
        <w:rPr>
          <w:rFonts w:hint="eastAsia" w:ascii="宋体" w:hAnsi="宋体"/>
          <w:color w:val="000000" w:themeColor="text1"/>
          <w:sz w:val="24"/>
          <w:szCs w:val="24"/>
          <w:vertAlign w:val="subscript"/>
          <w14:textFill>
            <w14:solidFill>
              <w14:schemeClr w14:val="tx1"/>
            </w14:solidFill>
          </w14:textFill>
        </w:rPr>
        <w:t>c</w:t>
      </w:r>
      <w:r>
        <w:rPr>
          <w:rFonts w:hint="eastAsia" w:ascii="宋体" w:hAnsi="宋体"/>
          <w:color w:val="000000" w:themeColor="text1"/>
          <w:sz w:val="24"/>
          <w:szCs w:val="24"/>
          <w14:textFill>
            <w14:solidFill>
              <w14:schemeClr w14:val="tx1"/>
            </w14:solidFill>
          </w14:textFill>
        </w:rPr>
        <w:t>——混凝土局部受压面积。</w:t>
      </w:r>
    </w:p>
    <w:p>
      <w:pPr>
        <w:spacing w:line="240" w:lineRule="auto"/>
        <w:ind w:left="1260"/>
        <w:rPr>
          <w:rFonts w:ascii="宋体" w:hAnsi="宋体"/>
          <w:color w:val="000000" w:themeColor="text1"/>
          <w:sz w:val="24"/>
          <w:szCs w:val="24"/>
          <w14:textFill>
            <w14:solidFill>
              <w14:schemeClr w14:val="tx1"/>
            </w14:solidFill>
          </w14:textFill>
        </w:rPr>
      </w:pPr>
      <w:r>
        <w:rPr>
          <w:rFonts w:ascii="宋体" w:hAnsi="宋体"/>
          <w:color w:val="000000" w:themeColor="text1"/>
          <w:position w:val="-12"/>
          <w:sz w:val="24"/>
          <w:szCs w:val="24"/>
          <w14:textFill>
            <w14:solidFill>
              <w14:schemeClr w14:val="tx1"/>
            </w14:solidFill>
          </w14:textFill>
        </w:rPr>
        <w:drawing>
          <wp:inline distT="0" distB="0" distL="0" distR="0">
            <wp:extent cx="162560" cy="229870"/>
            <wp:effectExtent l="0" t="0" r="8890" b="0"/>
            <wp:docPr id="100" name="图片 1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true" noChangeArrowheads="true"/>
                    </pic:cNvPicPr>
                  </pic:nvPicPr>
                  <pic:blipFill>
                    <a:blip r:embed="rId111" cstate="print">
                      <a:extLst>
                        <a:ext uri="{28A0092B-C50C-407E-A947-70E740481C1C}">
                          <a14:useLocalDpi xmlns:a14="http://schemas.microsoft.com/office/drawing/2010/main" val="false"/>
                        </a:ext>
                      </a:extLst>
                    </a:blip>
                    <a:srcRect/>
                    <a:stretch>
                      <a:fillRect/>
                    </a:stretch>
                  </pic:blipFill>
                  <pic:spPr>
                    <a:xfrm>
                      <a:off x="0" y="0"/>
                      <a:ext cx="162560"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——型钢剪力</w:t>
      </w:r>
      <w:r>
        <w:rPr>
          <w:rFonts w:ascii="宋体" w:hAnsi="宋体"/>
          <w:color w:val="000000" w:themeColor="text1"/>
          <w:position w:val="-24"/>
          <w:sz w:val="24"/>
          <w:szCs w:val="24"/>
          <w14:textFill>
            <w14:solidFill>
              <w14:schemeClr w14:val="tx1"/>
            </w14:solidFill>
          </w14:textFill>
        </w:rPr>
        <w:drawing>
          <wp:inline distT="0" distB="0" distL="0" distR="0">
            <wp:extent cx="678815" cy="421005"/>
            <wp:effectExtent l="0" t="0" r="0" b="0"/>
            <wp:docPr id="101" name="图片 1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true" noChangeArrowheads="true"/>
                    </pic:cNvPicPr>
                  </pic:nvPicPr>
                  <pic:blipFill>
                    <a:blip r:embed="rId112" cstate="print">
                      <a:extLst>
                        <a:ext uri="{28A0092B-C50C-407E-A947-70E740481C1C}">
                          <a14:useLocalDpi xmlns:a14="http://schemas.microsoft.com/office/drawing/2010/main" val="false"/>
                        </a:ext>
                      </a:extLst>
                    </a:blip>
                    <a:srcRect/>
                    <a:stretch>
                      <a:fillRect/>
                    </a:stretch>
                  </pic:blipFill>
                  <pic:spPr>
                    <a:xfrm>
                      <a:off x="0" y="0"/>
                      <a:ext cx="678815" cy="421005"/>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position w:val="-4"/>
          <w:sz w:val="24"/>
          <w:szCs w:val="24"/>
          <w14:textFill>
            <w14:solidFill>
              <w14:schemeClr w14:val="tx1"/>
            </w14:solidFill>
          </w14:textFill>
        </w:rPr>
        <w:drawing>
          <wp:inline distT="0" distB="0" distL="0" distR="0">
            <wp:extent cx="229870" cy="179705"/>
            <wp:effectExtent l="0" t="0" r="0" b="0"/>
            <wp:docPr id="102" name="图片 1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true" noChangeArrowheads="true"/>
                    </pic:cNvPicPr>
                  </pic:nvPicPr>
                  <pic:blipFill>
                    <a:blip r:embed="rId113" cstate="print">
                      <a:extLst>
                        <a:ext uri="{28A0092B-C50C-407E-A947-70E740481C1C}">
                          <a14:useLocalDpi xmlns:a14="http://schemas.microsoft.com/office/drawing/2010/main" val="false"/>
                        </a:ext>
                      </a:extLst>
                    </a:blip>
                    <a:srcRect/>
                    <a:stretch>
                      <a:fillRect/>
                    </a:stretch>
                  </pic:blipFill>
                  <pic:spPr>
                    <a:xfrm>
                      <a:off x="0" y="0"/>
                      <a:ext cx="229870" cy="179705"/>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为柱净高）</w:t>
      </w:r>
    </w:p>
    <w:p>
      <w:pPr>
        <w:spacing w:line="240" w:lineRule="auto"/>
        <w:ind w:left="0" w:firstLine="480" w:firstLineChars="2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当埋置深度大于或等于2.5倍型钢柱截面高度时，可不再按公式（7.3.4-1</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计算型钢埋置深度。</w:t>
      </w:r>
    </w:p>
    <w:p>
      <w:pPr>
        <w:spacing w:line="240" w:lineRule="auto"/>
        <w:ind w:left="0" w:firstLine="480" w:firstLineChars="2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在柱脚部位和柱脚向上延伸一层的范围内宜设置栓钉，其直径不宜小于</w:t>
      </w:r>
      <w:r>
        <w:rPr>
          <w:rFonts w:ascii="宋体" w:hAnsi="宋体"/>
          <w:color w:val="000000" w:themeColor="text1"/>
          <w:sz w:val="24"/>
          <w:szCs w:val="24"/>
          <w14:textFill>
            <w14:solidFill>
              <w14:schemeClr w14:val="tx1"/>
            </w14:solidFill>
          </w14:textFill>
        </w:rPr>
        <w:t>19mm</w:t>
      </w:r>
      <w:r>
        <w:rPr>
          <w:rFonts w:hint="eastAsia" w:ascii="宋体" w:hAnsi="宋体"/>
          <w:color w:val="000000" w:themeColor="text1"/>
          <w:sz w:val="24"/>
          <w:szCs w:val="24"/>
          <w14:textFill>
            <w14:solidFill>
              <w14:schemeClr w14:val="tx1"/>
            </w14:solidFill>
          </w14:textFill>
        </w:rPr>
        <w:t>，其竖向及水平间距不宜大于</w:t>
      </w:r>
      <w:r>
        <w:rPr>
          <w:rFonts w:ascii="宋体" w:hAnsi="宋体"/>
          <w:color w:val="000000" w:themeColor="text1"/>
          <w:sz w:val="24"/>
          <w:szCs w:val="24"/>
          <w14:textFill>
            <w14:solidFill>
              <w14:schemeClr w14:val="tx1"/>
            </w14:solidFill>
          </w14:textFill>
        </w:rPr>
        <w:t>200mm</w:t>
      </w:r>
      <w:r>
        <w:rPr>
          <w:rFonts w:hint="eastAsia" w:ascii="宋体" w:hAnsi="宋体"/>
          <w:color w:val="000000" w:themeColor="text1"/>
          <w:sz w:val="24"/>
          <w:szCs w:val="24"/>
          <w14:textFill>
            <w14:solidFill>
              <w14:schemeClr w14:val="tx1"/>
            </w14:solidFill>
          </w14:textFill>
        </w:rPr>
        <w:t>，且栓钉至型钢钢板边缘距离宜大于50mm。当有可靠依据时，可通过计算确定栓钉数量。</w:t>
      </w:r>
    </w:p>
    <w:p>
      <w:pPr>
        <w:spacing w:line="240" w:lineRule="auto"/>
        <w:ind w:left="0" w:firstLine="480" w:firstLineChars="2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柱脚型钢的混凝土最小保护层厚度：中柱不得小于180mm，边柱和角柱不得小于250mm。</w:t>
      </w:r>
    </w:p>
    <w:p>
      <w:pPr>
        <w:spacing w:line="240" w:lineRule="auto"/>
        <w:ind w:left="0" w:firstLine="480" w:firstLineChars="200"/>
        <w:textAlignment w:val="center"/>
        <w:rPr>
          <w:rFonts w:ascii="宋体" w:hAnsi="宋体"/>
          <w:color w:val="000000" w:themeColor="text1"/>
          <w:sz w:val="24"/>
          <w:szCs w:val="24"/>
          <w14:textFill>
            <w14:solidFill>
              <w14:schemeClr w14:val="tx1"/>
            </w14:solidFill>
          </w14:textFill>
        </w:rPr>
      </w:pPr>
    </w:p>
    <w:p>
      <w:pPr>
        <w:pStyle w:val="61"/>
        <w:rPr>
          <w:color w:val="000000" w:themeColor="text1"/>
          <w14:textFill>
            <w14:solidFill>
              <w14:schemeClr w14:val="tx1"/>
            </w14:solidFill>
          </w14:textFill>
        </w:rPr>
      </w:pPr>
      <w:bookmarkStart w:id="68" w:name="_Toc24714231"/>
      <w:r>
        <w:rPr>
          <w:rFonts w:hint="eastAsia"/>
          <w:color w:val="000000" w:themeColor="text1"/>
          <w14:textFill>
            <w14:solidFill>
              <w14:schemeClr w14:val="tx1"/>
            </w14:solidFill>
          </w14:textFill>
        </w:rPr>
        <w:t>型钢混凝土剪力墙</w:t>
      </w:r>
      <w:bookmarkEnd w:id="68"/>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型钢混凝土剪力墙可采用如下几种类型：</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1 </w:t>
      </w:r>
      <w:r>
        <w:rPr>
          <w:rFonts w:hint="eastAsia" w:ascii="宋体" w:hAnsi="宋体"/>
          <w:color w:val="000000" w:themeColor="text1"/>
          <w:sz w:val="24"/>
          <w:szCs w:val="24"/>
          <w14:textFill>
            <w14:solidFill>
              <w14:schemeClr w14:val="tx1"/>
            </w14:solidFill>
          </w14:textFill>
        </w:rPr>
        <w:t>两端配有型钢的型钢混凝土剪力墙(如图9.4.1-1a 所示)；</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2 </w:t>
      </w:r>
      <w:r>
        <w:rPr>
          <w:rFonts w:hint="eastAsia" w:ascii="宋体" w:hAnsi="宋体"/>
          <w:color w:val="000000" w:themeColor="text1"/>
          <w:sz w:val="24"/>
          <w:szCs w:val="24"/>
          <w14:textFill>
            <w14:solidFill>
              <w14:schemeClr w14:val="tx1"/>
            </w14:solidFill>
          </w14:textFill>
        </w:rPr>
        <w:t>周边配有型钢混凝土梁、柱的型钢混凝土剪力墙，(如图9.4.1-1b 所示)；</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3 </w:t>
      </w:r>
      <w:r>
        <w:rPr>
          <w:rFonts w:hint="eastAsia" w:ascii="宋体" w:hAnsi="宋体"/>
          <w:color w:val="000000" w:themeColor="text1"/>
          <w:sz w:val="24"/>
          <w:szCs w:val="24"/>
          <w14:textFill>
            <w14:solidFill>
              <w14:schemeClr w14:val="tx1"/>
            </w14:solidFill>
          </w14:textFill>
        </w:rPr>
        <w:t>墙内配置实心钢板或钢板撑。钢板撑的布置形式如图9.4.1-2 所示；</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4 </w:t>
      </w:r>
      <w:r>
        <w:rPr>
          <w:rFonts w:hint="eastAsia" w:ascii="宋体" w:hAnsi="宋体"/>
          <w:color w:val="000000" w:themeColor="text1"/>
          <w:sz w:val="24"/>
          <w:szCs w:val="24"/>
          <w14:textFill>
            <w14:solidFill>
              <w14:schemeClr w14:val="tx1"/>
            </w14:solidFill>
          </w14:textFill>
        </w:rPr>
        <w:t>墙内配置型钢。(如图9.4.1-1c 所示)</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1368425" cy="816610"/>
            <wp:effectExtent l="19050" t="0" r="3175" b="0"/>
            <wp:docPr id="217" name="图片 106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7" name="图片 10635"/>
                    <pic:cNvPicPr>
                      <a:picLocks noChangeAspect="true" noChangeArrowheads="true"/>
                    </pic:cNvPicPr>
                  </pic:nvPicPr>
                  <pic:blipFill>
                    <a:blip r:embed="rId114"/>
                    <a:srcRect/>
                    <a:stretch>
                      <a:fillRect/>
                    </a:stretch>
                  </pic:blipFill>
                  <pic:spPr>
                    <a:xfrm>
                      <a:off x="0" y="0"/>
                      <a:ext cx="1368425" cy="816610"/>
                    </a:xfrm>
                    <a:prstGeom prst="rect">
                      <a:avLst/>
                    </a:prstGeom>
                    <a:noFill/>
                    <a:ln w="9525">
                      <a:noFill/>
                      <a:miter lim="800000"/>
                      <a:headEnd/>
                      <a:tailEnd/>
                    </a:ln>
                  </pic:spPr>
                </pic:pic>
              </a:graphicData>
            </a:graphic>
          </wp:inline>
        </w:drawing>
      </w:r>
      <w:r>
        <w:rPr>
          <w:rFonts w:hint="eastAsia" w:ascii="Times New Roman" w:hAnsi="Times New Roman"/>
          <w:color w:val="000000" w:themeColor="text1"/>
          <w:szCs w:val="24"/>
          <w14:textFill>
            <w14:solidFill>
              <w14:schemeClr w14:val="tx1"/>
            </w14:solidFill>
          </w14:textFill>
        </w:rPr>
        <w:t xml:space="preserve">    </w:t>
      </w:r>
      <w:r>
        <w:rPr>
          <w:rFonts w:ascii="Times New Roman" w:hAnsi="Times New Roman"/>
          <w:color w:val="000000" w:themeColor="text1"/>
          <w:szCs w:val="24"/>
          <w14:textFill>
            <w14:solidFill>
              <w14:schemeClr w14:val="tx1"/>
            </w14:solidFill>
          </w14:textFill>
        </w:rPr>
        <w:drawing>
          <wp:inline distT="0" distB="0" distL="0" distR="0">
            <wp:extent cx="1605280" cy="607060"/>
            <wp:effectExtent l="19050" t="0" r="0" b="0"/>
            <wp:docPr id="218" name="图片 106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8" name="图片 10636"/>
                    <pic:cNvPicPr>
                      <a:picLocks noChangeAspect="true" noChangeArrowheads="true"/>
                    </pic:cNvPicPr>
                  </pic:nvPicPr>
                  <pic:blipFill>
                    <a:blip r:embed="rId115"/>
                    <a:srcRect/>
                    <a:stretch>
                      <a:fillRect/>
                    </a:stretch>
                  </pic:blipFill>
                  <pic:spPr>
                    <a:xfrm>
                      <a:off x="0" y="0"/>
                      <a:ext cx="1605280" cy="607060"/>
                    </a:xfrm>
                    <a:prstGeom prst="rect">
                      <a:avLst/>
                    </a:prstGeom>
                    <a:noFill/>
                    <a:ln w="9525">
                      <a:noFill/>
                      <a:miter lim="800000"/>
                      <a:headEnd/>
                      <a:tailEnd/>
                    </a:ln>
                  </pic:spPr>
                </pic:pic>
              </a:graphicData>
            </a:graphic>
          </wp:inline>
        </w:drawing>
      </w:r>
      <w:r>
        <w:rPr>
          <w:rFonts w:hint="eastAsia" w:ascii="Times New Roman" w:hAnsi="Times New Roman"/>
          <w:color w:val="000000" w:themeColor="text1"/>
          <w:szCs w:val="24"/>
          <w14:textFill>
            <w14:solidFill>
              <w14:schemeClr w14:val="tx1"/>
            </w14:solidFill>
          </w14:textFill>
        </w:rPr>
        <w:t xml:space="preserve">     </w:t>
      </w:r>
      <w:r>
        <w:rPr>
          <w:rFonts w:ascii="Times New Roman" w:hAnsi="Times New Roman"/>
          <w:color w:val="000000" w:themeColor="text1"/>
          <w:szCs w:val="24"/>
          <w14:textFill>
            <w14:solidFill>
              <w14:schemeClr w14:val="tx1"/>
            </w14:solidFill>
          </w14:textFill>
        </w:rPr>
        <w:drawing>
          <wp:inline distT="0" distB="0" distL="0" distR="0">
            <wp:extent cx="202565" cy="1444625"/>
            <wp:effectExtent l="19050" t="0" r="6985" b="0"/>
            <wp:docPr id="219" name="图片 106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9" name="图片 10637"/>
                    <pic:cNvPicPr>
                      <a:picLocks noChangeAspect="true" noChangeArrowheads="true"/>
                    </pic:cNvPicPr>
                  </pic:nvPicPr>
                  <pic:blipFill>
                    <a:blip r:embed="rId116"/>
                    <a:srcRect/>
                    <a:stretch>
                      <a:fillRect/>
                    </a:stretch>
                  </pic:blipFill>
                  <pic:spPr>
                    <a:xfrm>
                      <a:off x="0" y="0"/>
                      <a:ext cx="202565" cy="1444625"/>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 xml:space="preserve">(a)                            (b)              </w:t>
      </w:r>
    </w:p>
    <w:p>
      <w:pPr>
        <w:spacing w:line="240" w:lineRule="auto"/>
        <w:ind w:left="-424" w:leftChars="-202" w:firstLine="118" w:firstLineChars="66"/>
        <w:jc w:val="center"/>
        <w:textAlignment w:val="center"/>
        <w:rPr>
          <w:rFonts w:ascii="Times New Roman" w:hAnsi="Times New Roman"/>
          <w:color w:val="000000" w:themeColor="text1"/>
          <w:sz w:val="18"/>
          <w:szCs w:val="24"/>
          <w14:textFill>
            <w14:solidFill>
              <w14:schemeClr w14:val="tx1"/>
            </w14:solidFill>
          </w14:textFill>
        </w:rPr>
      </w:pPr>
      <w:r>
        <w:rPr>
          <w:rFonts w:ascii="Times New Roman" w:hAnsi="Times New Roman"/>
          <w:color w:val="000000" w:themeColor="text1"/>
          <w:sz w:val="18"/>
          <w:szCs w:val="24"/>
          <w14:textFill>
            <w14:solidFill>
              <w14:schemeClr w14:val="tx1"/>
            </w14:solidFill>
          </w14:textFill>
        </w:rPr>
        <w:drawing>
          <wp:inline distT="0" distB="0" distL="0" distR="0">
            <wp:extent cx="2519680" cy="279400"/>
            <wp:effectExtent l="19050" t="0" r="0" b="0"/>
            <wp:docPr id="220" name="图片 106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0" name="图片 10638"/>
                    <pic:cNvPicPr>
                      <a:picLocks noChangeAspect="true" noChangeArrowheads="true"/>
                    </pic:cNvPicPr>
                  </pic:nvPicPr>
                  <pic:blipFill>
                    <a:blip r:embed="rId117"/>
                    <a:srcRect/>
                    <a:stretch>
                      <a:fillRect/>
                    </a:stretch>
                  </pic:blipFill>
                  <pic:spPr>
                    <a:xfrm>
                      <a:off x="0" y="0"/>
                      <a:ext cx="2519680" cy="279400"/>
                    </a:xfrm>
                    <a:prstGeom prst="rect">
                      <a:avLst/>
                    </a:prstGeom>
                    <a:noFill/>
                    <a:ln w="9525">
                      <a:noFill/>
                      <a:miter lim="800000"/>
                      <a:headEnd/>
                      <a:tailEnd/>
                    </a:ln>
                  </pic:spPr>
                </pic:pic>
              </a:graphicData>
            </a:graphic>
          </wp:inline>
        </w:drawing>
      </w:r>
      <w:r>
        <w:rPr>
          <w:rFonts w:hint="eastAsia" w:ascii="Times New Roman" w:hAnsi="Times New Roman"/>
          <w:color w:val="000000" w:themeColor="text1"/>
          <w:sz w:val="18"/>
          <w:szCs w:val="24"/>
          <w14:textFill>
            <w14:solidFill>
              <w14:schemeClr w14:val="tx1"/>
            </w14:solidFill>
          </w14:textFill>
        </w:rPr>
        <w:t xml:space="preserve">   </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 xml:space="preserve">(c)        </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图9.4.1-1  型钢混凝土剪力墙示意图</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5269865" cy="1821815"/>
            <wp:effectExtent l="19050" t="0" r="6985" b="0"/>
            <wp:docPr id="221" name="图片 106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1" name="图片 10640"/>
                    <pic:cNvPicPr>
                      <a:picLocks noChangeAspect="true" noChangeArrowheads="true"/>
                    </pic:cNvPicPr>
                  </pic:nvPicPr>
                  <pic:blipFill>
                    <a:blip r:embed="rId118"/>
                    <a:srcRect/>
                    <a:stretch>
                      <a:fillRect/>
                    </a:stretch>
                  </pic:blipFill>
                  <pic:spPr>
                    <a:xfrm>
                      <a:off x="0" y="0"/>
                      <a:ext cx="5269865" cy="1821815"/>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5276850" cy="1542415"/>
            <wp:effectExtent l="0" t="0" r="0" b="0"/>
            <wp:docPr id="222" name="图片 106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2" name="图片 10641"/>
                    <pic:cNvPicPr>
                      <a:picLocks noChangeAspect="true" noChangeArrowheads="true"/>
                    </pic:cNvPicPr>
                  </pic:nvPicPr>
                  <pic:blipFill>
                    <a:blip r:embed="rId119"/>
                    <a:srcRect t="8989"/>
                    <a:stretch>
                      <a:fillRect/>
                    </a:stretch>
                  </pic:blipFill>
                  <pic:spPr>
                    <a:xfrm>
                      <a:off x="0" y="0"/>
                      <a:ext cx="5276850" cy="1542415"/>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5276850" cy="1703070"/>
            <wp:effectExtent l="19050" t="0" r="0" b="0"/>
            <wp:docPr id="223" name="图片 106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3" name="图片 10642"/>
                    <pic:cNvPicPr>
                      <a:picLocks noChangeAspect="true" noChangeArrowheads="true"/>
                    </pic:cNvPicPr>
                  </pic:nvPicPr>
                  <pic:blipFill>
                    <a:blip r:embed="rId120"/>
                    <a:srcRect/>
                    <a:stretch>
                      <a:fillRect/>
                    </a:stretch>
                  </pic:blipFill>
                  <pic:spPr>
                    <a:xfrm>
                      <a:off x="0" y="0"/>
                      <a:ext cx="5276850" cy="1703070"/>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5276850" cy="1605280"/>
            <wp:effectExtent l="19050" t="0" r="0" b="0"/>
            <wp:docPr id="224" name="图片 106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4" name="图片 10643"/>
                    <pic:cNvPicPr>
                      <a:picLocks noChangeAspect="true" noChangeArrowheads="true"/>
                    </pic:cNvPicPr>
                  </pic:nvPicPr>
                  <pic:blipFill>
                    <a:blip r:embed="rId121"/>
                    <a:srcRect/>
                    <a:stretch>
                      <a:fillRect/>
                    </a:stretch>
                  </pic:blipFill>
                  <pic:spPr>
                    <a:xfrm>
                      <a:off x="0" y="0"/>
                      <a:ext cx="5276850" cy="1605280"/>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图9.4.1-2 型钢混凝土剪力墙示意图</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两端配有型钢和墙内配置型钢的型钢混凝土剪力墙和周边配有型钢混凝土梁、柱的型钢混凝土剪力墙的受剪承载力计算按现行规范要求。墙内一般采用工字型钢或槽钢等截面形式，其惯性矩较大的形心轴（强轴）宜与墙面平行。</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有边框型钢混凝土剪力墙边框柱中的型钢、型钢保护层及钢筋构造要求同型钢混凝土柱相关要求。墙内分布钢筋应锚固于周边梁、柱内。钢筋的锚固构造应按图9.4.3-1及图9.4.3-2所示。</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1947545" cy="1577340"/>
            <wp:effectExtent l="19050" t="0" r="0" b="0"/>
            <wp:docPr id="225" name="图片 106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5" name="图片 10644"/>
                    <pic:cNvPicPr>
                      <a:picLocks noChangeAspect="true" noChangeArrowheads="true"/>
                    </pic:cNvPicPr>
                  </pic:nvPicPr>
                  <pic:blipFill>
                    <a:blip r:embed="rId122"/>
                    <a:srcRect/>
                    <a:stretch>
                      <a:fillRect/>
                    </a:stretch>
                  </pic:blipFill>
                  <pic:spPr>
                    <a:xfrm>
                      <a:off x="0" y="0"/>
                      <a:ext cx="1947545" cy="1577340"/>
                    </a:xfrm>
                    <a:prstGeom prst="rect">
                      <a:avLst/>
                    </a:prstGeom>
                    <a:noFill/>
                    <a:ln w="9525">
                      <a:noFill/>
                      <a:miter lim="800000"/>
                      <a:headEnd/>
                      <a:tailEnd/>
                    </a:ln>
                  </pic:spPr>
                </pic:pic>
              </a:graphicData>
            </a:graphic>
          </wp:inline>
        </w:drawing>
      </w:r>
      <w:r>
        <w:rPr>
          <w:rFonts w:hint="eastAsia" w:ascii="Times New Roman" w:hAnsi="Times New Roman"/>
          <w:color w:val="000000" w:themeColor="text1"/>
          <w:szCs w:val="24"/>
          <w14:textFill>
            <w14:solidFill>
              <w14:schemeClr w14:val="tx1"/>
            </w14:solidFill>
          </w14:textFill>
        </w:rPr>
        <w:t xml:space="preserve">       </w:t>
      </w:r>
      <w:r>
        <w:rPr>
          <w:rFonts w:ascii="Times New Roman" w:hAnsi="Times New Roman"/>
          <w:color w:val="000000" w:themeColor="text1"/>
          <w:szCs w:val="24"/>
          <w14:textFill>
            <w14:solidFill>
              <w14:schemeClr w14:val="tx1"/>
            </w14:solidFill>
          </w14:textFill>
        </w:rPr>
        <w:drawing>
          <wp:inline distT="0" distB="0" distL="0" distR="0">
            <wp:extent cx="1731010" cy="1668145"/>
            <wp:effectExtent l="19050" t="0" r="2540" b="0"/>
            <wp:docPr id="226" name="图片 106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6" name="图片 10645"/>
                    <pic:cNvPicPr>
                      <a:picLocks noChangeAspect="true" noChangeArrowheads="true"/>
                    </pic:cNvPicPr>
                  </pic:nvPicPr>
                  <pic:blipFill>
                    <a:blip r:embed="rId123"/>
                    <a:srcRect/>
                    <a:stretch>
                      <a:fillRect/>
                    </a:stretch>
                  </pic:blipFill>
                  <pic:spPr>
                    <a:xfrm>
                      <a:off x="0" y="0"/>
                      <a:ext cx="1731010" cy="1668145"/>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 xml:space="preserve">  (a)直筋锚入                      (b)钢筋弯折后锚入</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图9.4.3-1　墙内分布钢筋锚固在边框柱内锚固示意图</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1437640" cy="1444625"/>
            <wp:effectExtent l="0" t="0" r="0" b="0"/>
            <wp:docPr id="227" name="图片 106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7" name="图片 10646"/>
                    <pic:cNvPicPr>
                      <a:picLocks noChangeAspect="true" noChangeArrowheads="true"/>
                    </pic:cNvPicPr>
                  </pic:nvPicPr>
                  <pic:blipFill>
                    <a:blip r:embed="rId124"/>
                    <a:srcRect/>
                    <a:stretch>
                      <a:fillRect/>
                    </a:stretch>
                  </pic:blipFill>
                  <pic:spPr>
                    <a:xfrm>
                      <a:off x="0" y="0"/>
                      <a:ext cx="1437640" cy="1444625"/>
                    </a:xfrm>
                    <a:prstGeom prst="rect">
                      <a:avLst/>
                    </a:prstGeom>
                    <a:noFill/>
                    <a:ln w="9525">
                      <a:noFill/>
                      <a:miter lim="800000"/>
                      <a:headEnd/>
                      <a:tailEnd/>
                    </a:ln>
                  </pic:spPr>
                </pic:pic>
              </a:graphicData>
            </a:graphic>
          </wp:inline>
        </w:drawing>
      </w:r>
      <w:r>
        <w:rPr>
          <w:rFonts w:hint="eastAsia" w:ascii="Times New Roman" w:hAnsi="Times New Roman"/>
          <w:color w:val="000000" w:themeColor="text1"/>
          <w:szCs w:val="24"/>
          <w14:textFill>
            <w14:solidFill>
              <w14:schemeClr w14:val="tx1"/>
            </w14:solidFill>
          </w14:textFill>
        </w:rPr>
        <w:t>（a</w:t>
      </w:r>
      <w:r>
        <w:rPr>
          <w:rFonts w:ascii="Times New Roman" w:hAnsi="Times New Roman"/>
          <w:color w:val="000000" w:themeColor="text1"/>
          <w:szCs w:val="24"/>
          <w14:textFill>
            <w14:solidFill>
              <w14:schemeClr w14:val="tx1"/>
            </w14:solidFill>
          </w14:textFill>
        </w:rPr>
        <w:t>）</w:t>
      </w:r>
      <w:r>
        <w:rPr>
          <w:rFonts w:hint="eastAsia" w:ascii="Times New Roman" w:hAnsi="Times New Roman"/>
          <w:color w:val="000000" w:themeColor="text1"/>
          <w:szCs w:val="24"/>
          <w14:textFill>
            <w14:solidFill>
              <w14:schemeClr w14:val="tx1"/>
            </w14:solidFill>
          </w14:textFill>
        </w:rPr>
        <w:t xml:space="preserve">  </w:t>
      </w:r>
      <w:r>
        <w:rPr>
          <w:rFonts w:ascii="Times New Roman" w:hAnsi="Times New Roman"/>
          <w:color w:val="000000" w:themeColor="text1"/>
          <w:szCs w:val="24"/>
          <w14:textFill>
            <w14:solidFill>
              <w14:schemeClr w14:val="tx1"/>
            </w14:solidFill>
          </w14:textFill>
        </w:rPr>
        <w:drawing>
          <wp:inline distT="0" distB="0" distL="0" distR="0">
            <wp:extent cx="1040130" cy="1710055"/>
            <wp:effectExtent l="19050" t="0" r="7620" b="0"/>
            <wp:docPr id="228" name="图片 106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8" name="图片 10647"/>
                    <pic:cNvPicPr>
                      <a:picLocks noChangeAspect="true" noChangeArrowheads="true"/>
                    </pic:cNvPicPr>
                  </pic:nvPicPr>
                  <pic:blipFill>
                    <a:blip r:embed="rId125"/>
                    <a:srcRect/>
                    <a:stretch>
                      <a:fillRect/>
                    </a:stretch>
                  </pic:blipFill>
                  <pic:spPr>
                    <a:xfrm>
                      <a:off x="0" y="0"/>
                      <a:ext cx="1040130" cy="1710055"/>
                    </a:xfrm>
                    <a:prstGeom prst="rect">
                      <a:avLst/>
                    </a:prstGeom>
                    <a:noFill/>
                    <a:ln w="9525">
                      <a:noFill/>
                      <a:miter lim="800000"/>
                      <a:headEnd/>
                      <a:tailEnd/>
                    </a:ln>
                  </pic:spPr>
                </pic:pic>
              </a:graphicData>
            </a:graphic>
          </wp:inline>
        </w:drawing>
      </w:r>
      <w:r>
        <w:rPr>
          <w:rFonts w:hint="eastAsia" w:ascii="Times New Roman" w:hAnsi="Times New Roman"/>
          <w:color w:val="000000" w:themeColor="text1"/>
          <w:szCs w:val="24"/>
          <w14:textFill>
            <w14:solidFill>
              <w14:schemeClr w14:val="tx1"/>
            </w14:solidFill>
          </w14:textFill>
        </w:rPr>
        <w:t xml:space="preserve">(b)   </w:t>
      </w:r>
      <w:r>
        <w:rPr>
          <w:rFonts w:ascii="Times New Roman" w:hAnsi="Times New Roman"/>
          <w:color w:val="000000" w:themeColor="text1"/>
          <w:szCs w:val="24"/>
          <w14:textFill>
            <w14:solidFill>
              <w14:schemeClr w14:val="tx1"/>
            </w14:solidFill>
          </w14:textFill>
        </w:rPr>
        <w:drawing>
          <wp:inline distT="0" distB="0" distL="0" distR="0">
            <wp:extent cx="1179830" cy="1926590"/>
            <wp:effectExtent l="0" t="0" r="1270" b="0"/>
            <wp:docPr id="229" name="图片 106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9" name="图片 10648"/>
                    <pic:cNvPicPr>
                      <a:picLocks noChangeAspect="true" noChangeArrowheads="true"/>
                    </pic:cNvPicPr>
                  </pic:nvPicPr>
                  <pic:blipFill>
                    <a:blip r:embed="rId126"/>
                    <a:srcRect/>
                    <a:stretch>
                      <a:fillRect/>
                    </a:stretch>
                  </pic:blipFill>
                  <pic:spPr>
                    <a:xfrm>
                      <a:off x="0" y="0"/>
                      <a:ext cx="1179830" cy="1926590"/>
                    </a:xfrm>
                    <a:prstGeom prst="rect">
                      <a:avLst/>
                    </a:prstGeom>
                    <a:noFill/>
                    <a:ln w="9525">
                      <a:noFill/>
                      <a:miter lim="800000"/>
                      <a:headEnd/>
                      <a:tailEnd/>
                    </a:ln>
                  </pic:spPr>
                </pic:pic>
              </a:graphicData>
            </a:graphic>
          </wp:inline>
        </w:drawing>
      </w:r>
      <w:r>
        <w:rPr>
          <w:rFonts w:hint="eastAsia" w:ascii="Times New Roman" w:hAnsi="Times New Roman"/>
          <w:color w:val="000000" w:themeColor="text1"/>
          <w:szCs w:val="24"/>
          <w14:textFill>
            <w14:solidFill>
              <w14:schemeClr w14:val="tx1"/>
            </w14:solidFill>
          </w14:textFill>
        </w:rPr>
        <w:t>(c)</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 xml:space="preserve">  </w:t>
      </w:r>
      <w:r>
        <w:rPr>
          <w:rFonts w:ascii="Times New Roman" w:hAnsi="Times New Roman"/>
          <w:color w:val="000000" w:themeColor="text1"/>
          <w:szCs w:val="24"/>
          <w14:textFill>
            <w14:solidFill>
              <w14:schemeClr w14:val="tx1"/>
            </w14:solidFill>
          </w14:textFill>
        </w:rPr>
        <w:drawing>
          <wp:inline distT="0" distB="0" distL="0" distR="0">
            <wp:extent cx="1102995" cy="1793875"/>
            <wp:effectExtent l="19050" t="0" r="1905" b="0"/>
            <wp:docPr id="230" name="图片 106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0" name="图片 10649"/>
                    <pic:cNvPicPr>
                      <a:picLocks noChangeAspect="true" noChangeArrowheads="true"/>
                    </pic:cNvPicPr>
                  </pic:nvPicPr>
                  <pic:blipFill>
                    <a:blip r:embed="rId127"/>
                    <a:srcRect/>
                    <a:stretch>
                      <a:fillRect/>
                    </a:stretch>
                  </pic:blipFill>
                  <pic:spPr>
                    <a:xfrm>
                      <a:off x="0" y="0"/>
                      <a:ext cx="1102995" cy="1793875"/>
                    </a:xfrm>
                    <a:prstGeom prst="rect">
                      <a:avLst/>
                    </a:prstGeom>
                    <a:noFill/>
                    <a:ln w="9525">
                      <a:noFill/>
                      <a:miter lim="800000"/>
                      <a:headEnd/>
                      <a:tailEnd/>
                    </a:ln>
                  </pic:spPr>
                </pic:pic>
              </a:graphicData>
            </a:graphic>
          </wp:inline>
        </w:drawing>
      </w:r>
      <w:r>
        <w:rPr>
          <w:rFonts w:hint="eastAsia" w:ascii="Times New Roman" w:hAnsi="Times New Roman"/>
          <w:color w:val="000000" w:themeColor="text1"/>
          <w:szCs w:val="24"/>
          <w14:textFill>
            <w14:solidFill>
              <w14:schemeClr w14:val="tx1"/>
            </w14:solidFill>
          </w14:textFill>
        </w:rPr>
        <w:t>（d</w:t>
      </w:r>
      <w:r>
        <w:rPr>
          <w:rFonts w:ascii="Times New Roman" w:hAnsi="Times New Roman"/>
          <w:color w:val="000000" w:themeColor="text1"/>
          <w:szCs w:val="24"/>
          <w14:textFill>
            <w14:solidFill>
              <w14:schemeClr w14:val="tx1"/>
            </w14:solidFill>
          </w14:textFill>
        </w:rPr>
        <w:t>）</w:t>
      </w:r>
      <w:r>
        <w:rPr>
          <w:rFonts w:hint="eastAsia" w:ascii="Times New Roman" w:hAnsi="Times New Roman"/>
          <w:color w:val="000000" w:themeColor="text1"/>
          <w:szCs w:val="24"/>
          <w14:textFill>
            <w14:solidFill>
              <w14:schemeClr w14:val="tx1"/>
            </w14:solidFill>
          </w14:textFill>
        </w:rPr>
        <w:t xml:space="preserve">       </w:t>
      </w:r>
      <w:r>
        <w:rPr>
          <w:rFonts w:ascii="Times New Roman" w:hAnsi="Times New Roman"/>
          <w:color w:val="000000" w:themeColor="text1"/>
          <w:szCs w:val="24"/>
          <w14:textFill>
            <w14:solidFill>
              <w14:schemeClr w14:val="tx1"/>
            </w14:solidFill>
          </w14:textFill>
        </w:rPr>
        <w:drawing>
          <wp:inline distT="0" distB="0" distL="0" distR="0">
            <wp:extent cx="1284605" cy="1912620"/>
            <wp:effectExtent l="0" t="0" r="0" b="0"/>
            <wp:docPr id="231" name="图片 106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1" name="图片 10650"/>
                    <pic:cNvPicPr>
                      <a:picLocks noChangeAspect="true" noChangeArrowheads="true"/>
                    </pic:cNvPicPr>
                  </pic:nvPicPr>
                  <pic:blipFill>
                    <a:blip r:embed="rId128"/>
                    <a:srcRect/>
                    <a:stretch>
                      <a:fillRect/>
                    </a:stretch>
                  </pic:blipFill>
                  <pic:spPr>
                    <a:xfrm>
                      <a:off x="0" y="0"/>
                      <a:ext cx="1284605" cy="1912620"/>
                    </a:xfrm>
                    <a:prstGeom prst="rect">
                      <a:avLst/>
                    </a:prstGeom>
                    <a:noFill/>
                    <a:ln w="9525">
                      <a:noFill/>
                      <a:miter lim="800000"/>
                      <a:headEnd/>
                      <a:tailEnd/>
                    </a:ln>
                  </pic:spPr>
                </pic:pic>
              </a:graphicData>
            </a:graphic>
          </wp:inline>
        </w:drawing>
      </w:r>
      <w:r>
        <w:rPr>
          <w:rFonts w:hint="eastAsia" w:ascii="Times New Roman" w:hAnsi="Times New Roman"/>
          <w:color w:val="000000" w:themeColor="text1"/>
          <w:szCs w:val="24"/>
          <w14:textFill>
            <w14:solidFill>
              <w14:schemeClr w14:val="tx1"/>
            </w14:solidFill>
          </w14:textFill>
        </w:rPr>
        <w:t>(e)</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图9.4.3-2墙内分布钢筋锚固在边框梁内锚固示意图</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(a) 直筋锚入式  (b) 墙内钢筋接头式  (c)梁贯通式  （d</w:t>
      </w:r>
      <w:r>
        <w:rPr>
          <w:rFonts w:ascii="Times New Roman" w:hAnsi="Times New Roman"/>
          <w:color w:val="000000" w:themeColor="text1"/>
          <w:szCs w:val="24"/>
          <w14:textFill>
            <w14:solidFill>
              <w14:schemeClr w14:val="tx1"/>
            </w14:solidFill>
          </w14:textFill>
        </w:rPr>
        <w:t>）</w:t>
      </w:r>
      <w:r>
        <w:rPr>
          <w:rFonts w:hint="eastAsia" w:ascii="Times New Roman" w:hAnsi="Times New Roman"/>
          <w:color w:val="000000" w:themeColor="text1"/>
          <w:szCs w:val="24"/>
          <w14:textFill>
            <w14:solidFill>
              <w14:schemeClr w14:val="tx1"/>
            </w14:solidFill>
          </w14:textFill>
        </w:rPr>
        <w:t>绕钢梁锚入式  (e)墙筋弯折900式</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钢板撑混凝土剪力墙的受剪承载力应按下式计算</w:t>
      </w:r>
      <w:r>
        <w:rPr>
          <w:color w:val="000000" w:themeColor="text1"/>
          <w:lang w:val="en-US" w:eastAsia="zh-CN"/>
          <w14:textFill>
            <w14:solidFill>
              <w14:schemeClr w14:val="tx1"/>
            </w14:solidFill>
          </w14:textFill>
        </w:rPr>
        <w:drawing>
          <wp:inline distT="0" distB="0" distL="0" distR="0">
            <wp:extent cx="4106545" cy="342265"/>
            <wp:effectExtent l="0" t="0" r="0" b="635"/>
            <wp:docPr id="103" name="图片 1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true" noChangeArrowheads="true"/>
                    </pic:cNvPicPr>
                  </pic:nvPicPr>
                  <pic:blipFill>
                    <a:blip r:embed="rId129" cstate="print">
                      <a:extLst>
                        <a:ext uri="{28A0092B-C50C-407E-A947-70E740481C1C}">
                          <a14:useLocalDpi xmlns:a14="http://schemas.microsoft.com/office/drawing/2010/main" val="false"/>
                        </a:ext>
                      </a:extLst>
                    </a:blip>
                    <a:srcRect/>
                    <a:stretch>
                      <a:fillRect/>
                    </a:stretch>
                  </pic:blipFill>
                  <pic:spPr>
                    <a:xfrm>
                      <a:off x="0" y="0"/>
                      <a:ext cx="4106545" cy="342265"/>
                    </a:xfrm>
                    <a:prstGeom prst="rect">
                      <a:avLst/>
                    </a:prstGeom>
                    <a:noFill/>
                    <a:ln>
                      <a:noFill/>
                    </a:ln>
                  </pic:spPr>
                </pic:pic>
              </a:graphicData>
            </a:graphic>
          </wp:inline>
        </w:drawing>
      </w:r>
      <w:r>
        <w:rPr>
          <w:rFonts w:hint="eastAsia"/>
          <w:color w:val="000000" w:themeColor="text1"/>
          <w:lang w:eastAsia="zh-CN"/>
          <w14:textFill>
            <w14:solidFill>
              <w14:schemeClr w14:val="tx1"/>
            </w14:solidFill>
          </w14:textFill>
        </w:rPr>
        <w:t xml:space="preserve"> （9.4.4）</w:t>
      </w:r>
    </w:p>
    <w:p>
      <w:pPr>
        <w:spacing w:line="240" w:lineRule="auto"/>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式中：</w:t>
      </w:r>
      <w:r>
        <w:rPr>
          <w:color w:val="000000" w:themeColor="text1"/>
          <w:sz w:val="24"/>
          <w:szCs w:val="24"/>
          <w14:textFill>
            <w14:solidFill>
              <w14:schemeClr w14:val="tx1"/>
            </w14:solidFill>
          </w14:textFill>
        </w:rPr>
        <w:drawing>
          <wp:inline distT="0" distB="0" distL="0" distR="0">
            <wp:extent cx="201930" cy="229870"/>
            <wp:effectExtent l="0" t="0" r="7620" b="0"/>
            <wp:docPr id="104" name="图片 1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true" noChangeArrowheads="true"/>
                    </pic:cNvPicPr>
                  </pic:nvPicPr>
                  <pic:blipFill>
                    <a:blip r:embed="rId130" cstate="print">
                      <a:extLst>
                        <a:ext uri="{28A0092B-C50C-407E-A947-70E740481C1C}">
                          <a14:useLocalDpi xmlns:a14="http://schemas.microsoft.com/office/drawing/2010/main" val="false"/>
                        </a:ext>
                      </a:extLst>
                    </a:blip>
                    <a:srcRect/>
                    <a:stretch>
                      <a:fillRect/>
                    </a:stretch>
                  </pic:blipFill>
                  <pic:spPr>
                    <a:xfrm>
                      <a:off x="0" y="0"/>
                      <a:ext cx="201930"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——钢板撑混凝土剪力墙受剪承载力；</w:t>
      </w:r>
    </w:p>
    <w:p>
      <w:pPr>
        <w:spacing w:line="240" w:lineRule="auto"/>
        <w:ind w:left="630" w:leftChars="300"/>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106680" cy="140335"/>
            <wp:effectExtent l="0" t="0" r="7620" b="0"/>
            <wp:docPr id="105" name="图片 1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true" noChangeArrowheads="true"/>
                    </pic:cNvPicPr>
                  </pic:nvPicPr>
                  <pic:blipFill>
                    <a:blip r:embed="rId131" cstate="print">
                      <a:extLst>
                        <a:ext uri="{28A0092B-C50C-407E-A947-70E740481C1C}">
                          <a14:useLocalDpi xmlns:a14="http://schemas.microsoft.com/office/drawing/2010/main" val="false"/>
                        </a:ext>
                      </a:extLst>
                    </a:blip>
                    <a:srcRect/>
                    <a:stretch>
                      <a:fillRect/>
                    </a:stretch>
                  </pic:blipFill>
                  <pic:spPr>
                    <a:xfrm>
                      <a:off x="0" y="0"/>
                      <a:ext cx="106680" cy="140335"/>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——钢板撑混凝土剪力墙的剪跨比，</w:t>
      </w:r>
      <w:r>
        <w:rPr>
          <w:color w:val="000000" w:themeColor="text1"/>
          <w:sz w:val="24"/>
          <w:szCs w:val="24"/>
          <w14:textFill>
            <w14:solidFill>
              <w14:schemeClr w14:val="tx1"/>
            </w14:solidFill>
          </w14:textFill>
        </w:rPr>
        <w:drawing>
          <wp:inline distT="0" distB="0" distL="0" distR="0">
            <wp:extent cx="437515" cy="342265"/>
            <wp:effectExtent l="0" t="0" r="635" b="635"/>
            <wp:docPr id="106" name="图片 1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true" noChangeArrowheads="true"/>
                    </pic:cNvPicPr>
                  </pic:nvPicPr>
                  <pic:blipFill>
                    <a:blip r:embed="rId132" cstate="print">
                      <a:extLst>
                        <a:ext uri="{28A0092B-C50C-407E-A947-70E740481C1C}">
                          <a14:useLocalDpi xmlns:a14="http://schemas.microsoft.com/office/drawing/2010/main" val="false"/>
                        </a:ext>
                      </a:extLst>
                    </a:blip>
                    <a:srcRect/>
                    <a:stretch>
                      <a:fillRect/>
                    </a:stretch>
                  </pic:blipFill>
                  <pic:spPr>
                    <a:xfrm>
                      <a:off x="0" y="0"/>
                      <a:ext cx="437515" cy="342265"/>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；当</w:t>
      </w:r>
      <w:r>
        <w:rPr>
          <w:color w:val="000000" w:themeColor="text1"/>
          <w:sz w:val="24"/>
          <w:szCs w:val="24"/>
          <w14:textFill>
            <w14:solidFill>
              <w14:schemeClr w14:val="tx1"/>
            </w14:solidFill>
          </w14:textFill>
        </w:rPr>
        <w:drawing>
          <wp:inline distT="0" distB="0" distL="0" distR="0">
            <wp:extent cx="342265" cy="140335"/>
            <wp:effectExtent l="0" t="0" r="635" b="0"/>
            <wp:docPr id="107" name="图片 1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true" noChangeArrowheads="true"/>
                    </pic:cNvPicPr>
                  </pic:nvPicPr>
                  <pic:blipFill>
                    <a:blip r:embed="rId133" cstate="print">
                      <a:extLst>
                        <a:ext uri="{28A0092B-C50C-407E-A947-70E740481C1C}">
                          <a14:useLocalDpi xmlns:a14="http://schemas.microsoft.com/office/drawing/2010/main" val="false"/>
                        </a:ext>
                      </a:extLst>
                    </a:blip>
                    <a:srcRect/>
                    <a:stretch>
                      <a:fillRect/>
                    </a:stretch>
                  </pic:blipFill>
                  <pic:spPr>
                    <a:xfrm>
                      <a:off x="0" y="0"/>
                      <a:ext cx="342265" cy="140335"/>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时，取</w:t>
      </w:r>
      <w:r>
        <w:rPr>
          <w:color w:val="000000" w:themeColor="text1"/>
          <w:sz w:val="24"/>
          <w:szCs w:val="24"/>
          <w14:textFill>
            <w14:solidFill>
              <w14:schemeClr w14:val="tx1"/>
            </w14:solidFill>
          </w14:textFill>
        </w:rPr>
        <w:drawing>
          <wp:inline distT="0" distB="0" distL="0" distR="0">
            <wp:extent cx="342265" cy="140335"/>
            <wp:effectExtent l="0" t="0" r="635" b="0"/>
            <wp:docPr id="108" name="图片 1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true" noChangeArrowheads="true"/>
                    </pic:cNvPicPr>
                  </pic:nvPicPr>
                  <pic:blipFill>
                    <a:blip r:embed="rId134" cstate="print">
                      <a:extLst>
                        <a:ext uri="{28A0092B-C50C-407E-A947-70E740481C1C}">
                          <a14:useLocalDpi xmlns:a14="http://schemas.microsoft.com/office/drawing/2010/main" val="false"/>
                        </a:ext>
                      </a:extLst>
                    </a:blip>
                    <a:srcRect/>
                    <a:stretch>
                      <a:fillRect/>
                    </a:stretch>
                  </pic:blipFill>
                  <pic:spPr>
                    <a:xfrm>
                      <a:off x="0" y="0"/>
                      <a:ext cx="342265" cy="140335"/>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 当</w:t>
      </w:r>
      <w:r>
        <w:rPr>
          <w:color w:val="000000" w:themeColor="text1"/>
          <w:sz w:val="24"/>
          <w:szCs w:val="24"/>
          <w14:textFill>
            <w14:solidFill>
              <w14:schemeClr w14:val="tx1"/>
            </w14:solidFill>
          </w14:textFill>
        </w:rPr>
        <w:drawing>
          <wp:inline distT="0" distB="0" distL="0" distR="0">
            <wp:extent cx="342265" cy="140335"/>
            <wp:effectExtent l="0" t="0" r="635" b="0"/>
            <wp:docPr id="109" name="图片 1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true" noChangeArrowheads="true"/>
                    </pic:cNvPicPr>
                  </pic:nvPicPr>
                  <pic:blipFill>
                    <a:blip r:embed="rId135" cstate="print">
                      <a:extLst>
                        <a:ext uri="{28A0092B-C50C-407E-A947-70E740481C1C}">
                          <a14:useLocalDpi xmlns:a14="http://schemas.microsoft.com/office/drawing/2010/main" val="false"/>
                        </a:ext>
                      </a:extLst>
                    </a:blip>
                    <a:srcRect/>
                    <a:stretch>
                      <a:fillRect/>
                    </a:stretch>
                  </pic:blipFill>
                  <pic:spPr>
                    <a:xfrm>
                      <a:off x="0" y="0"/>
                      <a:ext cx="342265" cy="140335"/>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 xml:space="preserve"> 时,取</w:t>
      </w:r>
      <w:r>
        <w:rPr>
          <w:color w:val="000000" w:themeColor="text1"/>
          <w:sz w:val="24"/>
          <w:szCs w:val="24"/>
          <w14:textFill>
            <w14:solidFill>
              <w14:schemeClr w14:val="tx1"/>
            </w14:solidFill>
          </w14:textFill>
        </w:rPr>
        <w:drawing>
          <wp:inline distT="0" distB="0" distL="0" distR="0">
            <wp:extent cx="398145" cy="140335"/>
            <wp:effectExtent l="0" t="0" r="1905" b="0"/>
            <wp:docPr id="110" name="图片 1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true" noChangeArrowheads="true"/>
                    </pic:cNvPicPr>
                  </pic:nvPicPr>
                  <pic:blipFill>
                    <a:blip r:embed="rId136" cstate="print">
                      <a:extLst>
                        <a:ext uri="{28A0092B-C50C-407E-A947-70E740481C1C}">
                          <a14:useLocalDpi xmlns:a14="http://schemas.microsoft.com/office/drawing/2010/main" val="false"/>
                        </a:ext>
                      </a:extLst>
                    </a:blip>
                    <a:srcRect/>
                    <a:stretch>
                      <a:fillRect/>
                    </a:stretch>
                  </pic:blipFill>
                  <pic:spPr>
                    <a:xfrm>
                      <a:off x="0" y="0"/>
                      <a:ext cx="398145" cy="140335"/>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w:t>
      </w:r>
    </w:p>
    <w:p>
      <w:pPr>
        <w:spacing w:line="240" w:lineRule="auto"/>
        <w:ind w:left="630" w:leftChars="300"/>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179705" cy="201930"/>
            <wp:effectExtent l="0" t="0" r="0" b="7620"/>
            <wp:docPr id="111" name="图片 1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true" noChangeArrowheads="true"/>
                    </pic:cNvPicPr>
                  </pic:nvPicPr>
                  <pic:blipFill>
                    <a:blip r:embed="rId137" cstate="print">
                      <a:extLst>
                        <a:ext uri="{28A0092B-C50C-407E-A947-70E740481C1C}">
                          <a14:useLocalDpi xmlns:a14="http://schemas.microsoft.com/office/drawing/2010/main" val="false"/>
                        </a:ext>
                      </a:extLst>
                    </a:blip>
                    <a:srcRect/>
                    <a:stretch>
                      <a:fillRect/>
                    </a:stretch>
                  </pic:blipFill>
                  <pic:spPr>
                    <a:xfrm>
                      <a:off x="0" y="0"/>
                      <a:ext cx="179705" cy="201930"/>
                    </a:xfrm>
                    <a:prstGeom prst="rect">
                      <a:avLst/>
                    </a:prstGeom>
                    <a:noFill/>
                    <a:ln>
                      <a:noFill/>
                    </a:ln>
                  </pic:spPr>
                </pic:pic>
              </a:graphicData>
            </a:graphic>
          </wp:inline>
        </w:drawing>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周边型钢混凝土柱对混凝土墙体的约束系数，当周边没有连层墙和连续墙时取</w:t>
      </w:r>
      <w:r>
        <w:rPr>
          <w:color w:val="000000" w:themeColor="text1"/>
          <w:sz w:val="24"/>
          <w:szCs w:val="24"/>
          <w14:textFill>
            <w14:solidFill>
              <w14:schemeClr w14:val="tx1"/>
            </w14:solidFill>
          </w14:textFill>
        </w:rPr>
        <w:drawing>
          <wp:inline distT="0" distB="0" distL="0" distR="0">
            <wp:extent cx="179705" cy="201930"/>
            <wp:effectExtent l="0" t="0" r="0" b="7620"/>
            <wp:docPr id="112" name="图片 1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true" noChangeArrowheads="true"/>
                    </pic:cNvPicPr>
                  </pic:nvPicPr>
                  <pic:blipFill>
                    <a:blip r:embed="rId138" cstate="print">
                      <a:extLst>
                        <a:ext uri="{28A0092B-C50C-407E-A947-70E740481C1C}">
                          <a14:useLocalDpi xmlns:a14="http://schemas.microsoft.com/office/drawing/2010/main" val="false"/>
                        </a:ext>
                      </a:extLst>
                    </a:blip>
                    <a:srcRect/>
                    <a:stretch>
                      <a:fillRect/>
                    </a:stretch>
                  </pic:blipFill>
                  <pic:spPr>
                    <a:xfrm>
                      <a:off x="0" y="0"/>
                      <a:ext cx="179705" cy="20193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=1.0；对于单片连层墙取</w:t>
      </w:r>
      <w:r>
        <w:rPr>
          <w:color w:val="000000" w:themeColor="text1"/>
          <w:sz w:val="24"/>
          <w:szCs w:val="24"/>
          <w14:textFill>
            <w14:solidFill>
              <w14:schemeClr w14:val="tx1"/>
            </w14:solidFill>
          </w14:textFill>
        </w:rPr>
        <w:drawing>
          <wp:inline distT="0" distB="0" distL="0" distR="0">
            <wp:extent cx="179705" cy="201930"/>
            <wp:effectExtent l="0" t="0" r="0" b="7620"/>
            <wp:docPr id="113" name="图片 1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true" noChangeArrowheads="true"/>
                    </pic:cNvPicPr>
                  </pic:nvPicPr>
                  <pic:blipFill>
                    <a:blip r:embed="rId138" cstate="print">
                      <a:extLst>
                        <a:ext uri="{28A0092B-C50C-407E-A947-70E740481C1C}">
                          <a14:useLocalDpi xmlns:a14="http://schemas.microsoft.com/office/drawing/2010/main" val="false"/>
                        </a:ext>
                      </a:extLst>
                    </a:blip>
                    <a:srcRect/>
                    <a:stretch>
                      <a:fillRect/>
                    </a:stretch>
                  </pic:blipFill>
                  <pic:spPr>
                    <a:xfrm>
                      <a:off x="0" y="0"/>
                      <a:ext cx="179705" cy="20193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=1.5；当周边都有墙连接时取</w:t>
      </w:r>
      <w:r>
        <w:rPr>
          <w:color w:val="000000" w:themeColor="text1"/>
          <w:sz w:val="24"/>
          <w:szCs w:val="24"/>
          <w14:textFill>
            <w14:solidFill>
              <w14:schemeClr w14:val="tx1"/>
            </w14:solidFill>
          </w14:textFill>
        </w:rPr>
        <w:drawing>
          <wp:inline distT="0" distB="0" distL="0" distR="0">
            <wp:extent cx="179705" cy="201930"/>
            <wp:effectExtent l="0" t="0" r="0" b="7620"/>
            <wp:docPr id="114" name="图片 1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true" noChangeArrowheads="true"/>
                    </pic:cNvPicPr>
                  </pic:nvPicPr>
                  <pic:blipFill>
                    <a:blip r:embed="rId138" cstate="print">
                      <a:extLst>
                        <a:ext uri="{28A0092B-C50C-407E-A947-70E740481C1C}">
                          <a14:useLocalDpi xmlns:a14="http://schemas.microsoft.com/office/drawing/2010/main" val="false"/>
                        </a:ext>
                      </a:extLst>
                    </a:blip>
                    <a:srcRect/>
                    <a:stretch>
                      <a:fillRect/>
                    </a:stretch>
                  </pic:blipFill>
                  <pic:spPr>
                    <a:xfrm>
                      <a:off x="0" y="0"/>
                      <a:ext cx="179705" cy="20193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=2.0；</w:t>
      </w:r>
    </w:p>
    <w:p>
      <w:pPr>
        <w:spacing w:line="240" w:lineRule="auto"/>
        <w:ind w:left="630" w:leftChars="300"/>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151765" cy="229870"/>
            <wp:effectExtent l="0" t="0" r="635" b="0"/>
            <wp:docPr id="115" name="图片 1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true" noChangeArrowheads="true"/>
                    </pic:cNvPicPr>
                  </pic:nvPicPr>
                  <pic:blipFill>
                    <a:blip r:embed="rId139" cstate="print">
                      <a:extLst>
                        <a:ext uri="{28A0092B-C50C-407E-A947-70E740481C1C}">
                          <a14:useLocalDpi xmlns:a14="http://schemas.microsoft.com/office/drawing/2010/main" val="false"/>
                        </a:ext>
                      </a:extLst>
                    </a:blip>
                    <a:srcRect/>
                    <a:stretch>
                      <a:fillRect/>
                    </a:stretch>
                  </pic:blipFill>
                  <pic:spPr>
                    <a:xfrm>
                      <a:off x="0" y="0"/>
                      <a:ext cx="151765"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——混凝土受拉强度设计值；</w:t>
      </w:r>
    </w:p>
    <w:p>
      <w:pPr>
        <w:spacing w:line="240" w:lineRule="auto"/>
        <w:ind w:left="630" w:leftChars="300"/>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151765" cy="229870"/>
            <wp:effectExtent l="0" t="0" r="635" b="0"/>
            <wp:docPr id="116" name="图片 1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true" noChangeArrowheads="true"/>
                    </pic:cNvPicPr>
                  </pic:nvPicPr>
                  <pic:blipFill>
                    <a:blip r:embed="rId140" cstate="print">
                      <a:extLst>
                        <a:ext uri="{28A0092B-C50C-407E-A947-70E740481C1C}">
                          <a14:useLocalDpi xmlns:a14="http://schemas.microsoft.com/office/drawing/2010/main" val="false"/>
                        </a:ext>
                      </a:extLst>
                    </a:blip>
                    <a:srcRect/>
                    <a:stretch>
                      <a:fillRect/>
                    </a:stretch>
                  </pic:blipFill>
                  <pic:spPr>
                    <a:xfrm>
                      <a:off x="0" y="0"/>
                      <a:ext cx="151765"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——墙厚；</w:t>
      </w:r>
    </w:p>
    <w:p>
      <w:pPr>
        <w:spacing w:line="240" w:lineRule="auto"/>
        <w:ind w:left="630" w:leftChars="300"/>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179705" cy="229870"/>
            <wp:effectExtent l="0" t="0" r="0" b="0"/>
            <wp:docPr id="117" name="图片 1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true" noChangeArrowheads="true"/>
                    </pic:cNvPicPr>
                  </pic:nvPicPr>
                  <pic:blipFill>
                    <a:blip r:embed="rId141" cstate="print">
                      <a:extLst>
                        <a:ext uri="{28A0092B-C50C-407E-A947-70E740481C1C}">
                          <a14:useLocalDpi xmlns:a14="http://schemas.microsoft.com/office/drawing/2010/main" val="false"/>
                        </a:ext>
                      </a:extLst>
                    </a:blip>
                    <a:srcRect/>
                    <a:stretch>
                      <a:fillRect/>
                    </a:stretch>
                  </pic:blipFill>
                  <pic:spPr>
                    <a:xfrm>
                      <a:off x="0" y="0"/>
                      <a:ext cx="179705"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——墙截面有效高度；</w:t>
      </w:r>
    </w:p>
    <w:p>
      <w:pPr>
        <w:spacing w:line="240" w:lineRule="auto"/>
        <w:ind w:left="630" w:leftChars="300"/>
        <w:textAlignment w:val="center"/>
        <w:rPr>
          <w:color w:val="000000" w:themeColor="text1"/>
          <w:sz w:val="24"/>
          <w:szCs w:val="24"/>
          <w14:textFill>
            <w14:solidFill>
              <w14:schemeClr w14:val="tx1"/>
            </w14:solidFill>
          </w14:textFill>
        </w:rPr>
      </w:pPr>
      <w:r>
        <w:rPr>
          <w:rFonts w:hint="eastAsia"/>
          <w:i/>
          <w:color w:val="000000" w:themeColor="text1"/>
          <w:sz w:val="24"/>
          <w:szCs w:val="24"/>
          <w14:textFill>
            <w14:solidFill>
              <w14:schemeClr w14:val="tx1"/>
            </w14:solidFill>
          </w14:textFill>
        </w:rPr>
        <w:t>Ｎ</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考虑地震作用组合的剪力墙的轴向压力设计值，当</w:t>
      </w:r>
      <w:r>
        <w:rPr>
          <w:rFonts w:hint="eastAsia"/>
          <w:i/>
          <w:color w:val="000000" w:themeColor="text1"/>
          <w:sz w:val="24"/>
          <w:szCs w:val="24"/>
          <w14:textFill>
            <w14:solidFill>
              <w14:schemeClr w14:val="tx1"/>
            </w14:solidFill>
          </w14:textFill>
        </w:rPr>
        <w:t xml:space="preserve">Ｎ </w:t>
      </w:r>
      <w:r>
        <w:rPr>
          <w:rFonts w:hint="eastAsia"/>
          <w:color w:val="000000" w:themeColor="text1"/>
          <w:sz w:val="24"/>
          <w:szCs w:val="24"/>
          <w14:textFill>
            <w14:solidFill>
              <w14:schemeClr w14:val="tx1"/>
            </w14:solidFill>
          </w14:textFill>
        </w:rPr>
        <w:t>&gt;0.2</w:t>
      </w:r>
      <w:r>
        <w:rPr>
          <w:color w:val="000000" w:themeColor="text1"/>
          <w:sz w:val="24"/>
          <w:szCs w:val="24"/>
          <w14:textFill>
            <w14:solidFill>
              <w14:schemeClr w14:val="tx1"/>
            </w14:solidFill>
          </w14:textFill>
        </w:rPr>
        <w:drawing>
          <wp:inline distT="0" distB="0" distL="0" distR="0">
            <wp:extent cx="381635" cy="229870"/>
            <wp:effectExtent l="0" t="0" r="0" b="0"/>
            <wp:docPr id="118" name="图片 1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true" noChangeArrowheads="true"/>
                    </pic:cNvPicPr>
                  </pic:nvPicPr>
                  <pic:blipFill>
                    <a:blip r:embed="rId142" cstate="print">
                      <a:extLst>
                        <a:ext uri="{28A0092B-C50C-407E-A947-70E740481C1C}">
                          <a14:useLocalDpi xmlns:a14="http://schemas.microsoft.com/office/drawing/2010/main" val="false"/>
                        </a:ext>
                      </a:extLst>
                    </a:blip>
                    <a:srcRect/>
                    <a:stretch>
                      <a:fillRect/>
                    </a:stretch>
                  </pic:blipFill>
                  <pic:spPr>
                    <a:xfrm>
                      <a:off x="0" y="0"/>
                      <a:ext cx="381635"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时，取</w:t>
      </w:r>
      <w:r>
        <w:rPr>
          <w:rFonts w:hint="eastAsia"/>
          <w:i/>
          <w:color w:val="000000" w:themeColor="text1"/>
          <w:sz w:val="24"/>
          <w:szCs w:val="24"/>
          <w14:textFill>
            <w14:solidFill>
              <w14:schemeClr w14:val="tx1"/>
            </w14:solidFill>
          </w14:textFill>
        </w:rPr>
        <w:t>Ｎ</w:t>
      </w:r>
      <w:r>
        <w:rPr>
          <w:rFonts w:hint="eastAsia"/>
          <w:color w:val="000000" w:themeColor="text1"/>
          <w:sz w:val="24"/>
          <w:szCs w:val="24"/>
          <w14:textFill>
            <w14:solidFill>
              <w14:schemeClr w14:val="tx1"/>
            </w14:solidFill>
          </w14:textFill>
        </w:rPr>
        <w:t>＝0.2</w:t>
      </w:r>
      <w:r>
        <w:rPr>
          <w:color w:val="000000" w:themeColor="text1"/>
          <w:sz w:val="24"/>
          <w:szCs w:val="24"/>
          <w14:textFill>
            <w14:solidFill>
              <w14:schemeClr w14:val="tx1"/>
            </w14:solidFill>
          </w14:textFill>
        </w:rPr>
        <w:drawing>
          <wp:inline distT="0" distB="0" distL="0" distR="0">
            <wp:extent cx="381635" cy="229870"/>
            <wp:effectExtent l="0" t="0" r="0" b="0"/>
            <wp:docPr id="119" name="图片 1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true" noChangeArrowheads="true"/>
                    </pic:cNvPicPr>
                  </pic:nvPicPr>
                  <pic:blipFill>
                    <a:blip r:embed="rId143" cstate="print">
                      <a:extLst>
                        <a:ext uri="{28A0092B-C50C-407E-A947-70E740481C1C}">
                          <a14:useLocalDpi xmlns:a14="http://schemas.microsoft.com/office/drawing/2010/main" val="false"/>
                        </a:ext>
                      </a:extLst>
                    </a:blip>
                    <a:srcRect/>
                    <a:stretch>
                      <a:fillRect/>
                    </a:stretch>
                  </pic:blipFill>
                  <pic:spPr>
                    <a:xfrm>
                      <a:off x="0" y="0"/>
                      <a:ext cx="381635"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w:t>
      </w:r>
    </w:p>
    <w:p>
      <w:pPr>
        <w:spacing w:line="240" w:lineRule="auto"/>
        <w:ind w:left="630" w:leftChars="300"/>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201930" cy="179705"/>
            <wp:effectExtent l="0" t="0" r="7620" b="0"/>
            <wp:docPr id="120" name="图片 1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true" noChangeArrowheads="true"/>
                    </pic:cNvPicPr>
                  </pic:nvPicPr>
                  <pic:blipFill>
                    <a:blip r:embed="rId144" cstate="print">
                      <a:extLst>
                        <a:ext uri="{28A0092B-C50C-407E-A947-70E740481C1C}">
                          <a14:useLocalDpi xmlns:a14="http://schemas.microsoft.com/office/drawing/2010/main" val="false"/>
                        </a:ext>
                      </a:extLst>
                    </a:blip>
                    <a:srcRect/>
                    <a:stretch>
                      <a:fillRect/>
                    </a:stretch>
                  </pic:blipFill>
                  <pic:spPr>
                    <a:xfrm>
                      <a:off x="0" y="0"/>
                      <a:ext cx="201930" cy="179705"/>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——混凝土剪力墙截面面积；</w:t>
      </w:r>
    </w:p>
    <w:p>
      <w:pPr>
        <w:spacing w:line="240" w:lineRule="auto"/>
        <w:ind w:left="630" w:leftChars="300"/>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123190" cy="123190"/>
            <wp:effectExtent l="0" t="0" r="0" b="0"/>
            <wp:docPr id="121" name="图片 1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true" noChangeArrowheads="true"/>
                    </pic:cNvPicPr>
                  </pic:nvPicPr>
                  <pic:blipFill>
                    <a:blip r:embed="rId145" cstate="print">
                      <a:extLst>
                        <a:ext uri="{28A0092B-C50C-407E-A947-70E740481C1C}">
                          <a14:useLocalDpi xmlns:a14="http://schemas.microsoft.com/office/drawing/2010/main" val="false"/>
                        </a:ext>
                      </a:extLst>
                    </a:blip>
                    <a:srcRect/>
                    <a:stretch>
                      <a:fillRect/>
                    </a:stretch>
                  </pic:blipFill>
                  <pic:spPr>
                    <a:xfrm>
                      <a:off x="0" y="0"/>
                      <a:ext cx="123190" cy="12319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——边框柱和剪力墙截面面积之和；</w:t>
      </w:r>
    </w:p>
    <w:p>
      <w:pPr>
        <w:spacing w:line="240" w:lineRule="auto"/>
        <w:ind w:left="630" w:leftChars="300"/>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229870" cy="229870"/>
            <wp:effectExtent l="0" t="0" r="0" b="0"/>
            <wp:docPr id="122" name="图片 1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true" noChangeArrowheads="true"/>
                    </pic:cNvPicPr>
                  </pic:nvPicPr>
                  <pic:blipFill>
                    <a:blip r:embed="rId146" cstate="print">
                      <a:extLst>
                        <a:ext uri="{28A0092B-C50C-407E-A947-70E740481C1C}">
                          <a14:useLocalDpi xmlns:a14="http://schemas.microsoft.com/office/drawing/2010/main" val="false"/>
                        </a:ext>
                      </a:extLst>
                    </a:blip>
                    <a:srcRect/>
                    <a:stretch>
                      <a:fillRect/>
                    </a:stretch>
                  </pic:blipFill>
                  <pic:spPr>
                    <a:xfrm>
                      <a:off x="0" y="0"/>
                      <a:ext cx="229870" cy="229870"/>
                    </a:xfrm>
                    <a:prstGeom prst="rect">
                      <a:avLst/>
                    </a:prstGeom>
                    <a:noFill/>
                    <a:ln>
                      <a:noFill/>
                    </a:ln>
                  </pic:spPr>
                </pic:pic>
              </a:graphicData>
            </a:graphic>
          </wp:inline>
        </w:drawing>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配置在同一水平截面内的水平分布钢筋的全部截面积；</w:t>
      </w:r>
    </w:p>
    <w:p>
      <w:pPr>
        <w:spacing w:line="240" w:lineRule="auto"/>
        <w:ind w:left="630" w:leftChars="300"/>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ｓ</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水平钢筋的竖向间距。</w:t>
      </w:r>
    </w:p>
    <w:p>
      <w:pPr>
        <w:spacing w:line="240" w:lineRule="auto"/>
        <w:ind w:left="630" w:leftChars="300"/>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201930" cy="235585"/>
            <wp:effectExtent l="0" t="0" r="7620" b="0"/>
            <wp:docPr id="123" name="图片 1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true" noChangeArrowheads="true"/>
                    </pic:cNvPicPr>
                  </pic:nvPicPr>
                  <pic:blipFill>
                    <a:blip r:embed="rId147" cstate="print">
                      <a:extLst>
                        <a:ext uri="{28A0092B-C50C-407E-A947-70E740481C1C}">
                          <a14:useLocalDpi xmlns:a14="http://schemas.microsoft.com/office/drawing/2010/main" val="false"/>
                        </a:ext>
                      </a:extLst>
                    </a:blip>
                    <a:srcRect/>
                    <a:stretch>
                      <a:fillRect/>
                    </a:stretch>
                  </pic:blipFill>
                  <pic:spPr>
                    <a:xfrm>
                      <a:off x="0" y="0"/>
                      <a:ext cx="201930" cy="235585"/>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——混凝土剪力墙水平分布钢筋受拉强度设计值；</w:t>
      </w:r>
    </w:p>
    <w:p>
      <w:pPr>
        <w:spacing w:line="240" w:lineRule="auto"/>
        <w:ind w:left="630" w:leftChars="300"/>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201930" cy="229870"/>
            <wp:effectExtent l="0" t="0" r="7620" b="0"/>
            <wp:docPr id="124" name="图片 1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true" noChangeArrowheads="true"/>
                    </pic:cNvPicPr>
                  </pic:nvPicPr>
                  <pic:blipFill>
                    <a:blip r:embed="rId148" cstate="print">
                      <a:extLst>
                        <a:ext uri="{28A0092B-C50C-407E-A947-70E740481C1C}">
                          <a14:useLocalDpi xmlns:a14="http://schemas.microsoft.com/office/drawing/2010/main" val="false"/>
                        </a:ext>
                      </a:extLst>
                    </a:blip>
                    <a:srcRect/>
                    <a:stretch>
                      <a:fillRect/>
                    </a:stretch>
                  </pic:blipFill>
                  <pic:spPr>
                    <a:xfrm>
                      <a:off x="0" y="0"/>
                      <a:ext cx="201930"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——边框型钢截面面积</w:t>
      </w:r>
    </w:p>
    <w:p>
      <w:pPr>
        <w:spacing w:line="240" w:lineRule="auto"/>
        <w:ind w:left="630" w:leftChars="300"/>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229870" cy="229870"/>
            <wp:effectExtent l="0" t="0" r="0" b="0"/>
            <wp:docPr id="125" name="图片 1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true" noChangeArrowheads="true"/>
                    </pic:cNvPicPr>
                  </pic:nvPicPr>
                  <pic:blipFill>
                    <a:blip r:embed="rId149" cstate="print">
                      <a:extLst>
                        <a:ext uri="{28A0092B-C50C-407E-A947-70E740481C1C}">
                          <a14:useLocalDpi xmlns:a14="http://schemas.microsoft.com/office/drawing/2010/main" val="false"/>
                        </a:ext>
                      </a:extLst>
                    </a:blip>
                    <a:srcRect/>
                    <a:stretch>
                      <a:fillRect/>
                    </a:stretch>
                  </pic:blipFill>
                  <pic:spPr>
                    <a:xfrm>
                      <a:off x="0" y="0"/>
                      <a:ext cx="229870"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——钢板撑受拉截面面积</w:t>
      </w:r>
    </w:p>
    <w:p>
      <w:pPr>
        <w:spacing w:line="240" w:lineRule="auto"/>
        <w:ind w:left="630" w:leftChars="300"/>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201930" cy="229870"/>
            <wp:effectExtent l="0" t="0" r="7620" b="0"/>
            <wp:docPr id="126" name="图片 1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true" noChangeArrowheads="true"/>
                    </pic:cNvPicPr>
                  </pic:nvPicPr>
                  <pic:blipFill>
                    <a:blip r:embed="rId150" cstate="print">
                      <a:extLst>
                        <a:ext uri="{28A0092B-C50C-407E-A947-70E740481C1C}">
                          <a14:useLocalDpi xmlns:a14="http://schemas.microsoft.com/office/drawing/2010/main" val="false"/>
                        </a:ext>
                      </a:extLst>
                    </a:blip>
                    <a:srcRect/>
                    <a:stretch>
                      <a:fillRect/>
                    </a:stretch>
                  </pic:blipFill>
                  <pic:spPr>
                    <a:xfrm>
                      <a:off x="0" y="0"/>
                      <a:ext cx="201930"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——边框型钢受拉强度设计值</w:t>
      </w:r>
    </w:p>
    <w:p>
      <w:pPr>
        <w:spacing w:line="240" w:lineRule="auto"/>
        <w:ind w:left="630" w:leftChars="300"/>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229870" cy="229870"/>
            <wp:effectExtent l="0" t="0" r="0" b="0"/>
            <wp:docPr id="127" name="图片 1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true" noChangeArrowheads="true"/>
                    </pic:cNvPicPr>
                  </pic:nvPicPr>
                  <pic:blipFill>
                    <a:blip r:embed="rId151" cstate="print">
                      <a:extLst>
                        <a:ext uri="{28A0092B-C50C-407E-A947-70E740481C1C}">
                          <a14:useLocalDpi xmlns:a14="http://schemas.microsoft.com/office/drawing/2010/main" val="false"/>
                        </a:ext>
                      </a:extLst>
                    </a:blip>
                    <a:srcRect/>
                    <a:stretch>
                      <a:fillRect/>
                    </a:stretch>
                  </pic:blipFill>
                  <pic:spPr>
                    <a:xfrm>
                      <a:off x="0" y="0"/>
                      <a:ext cx="229870"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——钢板撑受拉强度设计值</w:t>
      </w:r>
    </w:p>
    <w:p>
      <w:pPr>
        <w:spacing w:line="240" w:lineRule="auto"/>
        <w:ind w:left="630" w:leftChars="300"/>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123190" cy="179705"/>
            <wp:effectExtent l="0" t="0" r="0" b="0"/>
            <wp:docPr id="128" name="图片 1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true" noChangeArrowheads="true"/>
                    </pic:cNvPicPr>
                  </pic:nvPicPr>
                  <pic:blipFill>
                    <a:blip r:embed="rId152" cstate="print">
                      <a:extLst>
                        <a:ext uri="{28A0092B-C50C-407E-A947-70E740481C1C}">
                          <a14:useLocalDpi xmlns:a14="http://schemas.microsoft.com/office/drawing/2010/main" val="false"/>
                        </a:ext>
                      </a:extLst>
                    </a:blip>
                    <a:srcRect/>
                    <a:stretch>
                      <a:fillRect/>
                    </a:stretch>
                  </pic:blipFill>
                  <pic:spPr>
                    <a:xfrm>
                      <a:off x="0" y="0"/>
                      <a:ext cx="123190" cy="179705"/>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 钢板撑的水平夹角</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钢板撑混凝土剪力墙内的钢板设计时符合如下要求：</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1 </w:t>
      </w:r>
      <w:r>
        <w:rPr>
          <w:rFonts w:hint="eastAsia" w:ascii="宋体" w:hAnsi="宋体"/>
          <w:color w:val="000000" w:themeColor="text1"/>
          <w:sz w:val="24"/>
          <w:szCs w:val="24"/>
          <w14:textFill>
            <w14:solidFill>
              <w14:schemeClr w14:val="tx1"/>
            </w14:solidFill>
          </w14:textFill>
        </w:rPr>
        <w:t>钢板撑厚度</w:t>
      </w:r>
      <w:r>
        <w:rPr>
          <w:rFonts w:ascii="宋体" w:hAnsi="宋体"/>
          <w:color w:val="000000" w:themeColor="text1"/>
          <w:position w:val="-12"/>
          <w:sz w:val="24"/>
          <w:szCs w:val="24"/>
          <w14:textFill>
            <w14:solidFill>
              <w14:schemeClr w14:val="tx1"/>
            </w14:solidFill>
          </w14:textFill>
        </w:rPr>
        <w:drawing>
          <wp:inline distT="0" distB="0" distL="0" distR="0">
            <wp:extent cx="179705" cy="229870"/>
            <wp:effectExtent l="0" t="0" r="0" b="0"/>
            <wp:docPr id="129" name="图片 1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true" noChangeArrowheads="true"/>
                    </pic:cNvPicPr>
                  </pic:nvPicPr>
                  <pic:blipFill>
                    <a:blip r:embed="rId153" cstate="print">
                      <a:extLst>
                        <a:ext uri="{28A0092B-C50C-407E-A947-70E740481C1C}">
                          <a14:useLocalDpi xmlns:a14="http://schemas.microsoft.com/office/drawing/2010/main" val="false"/>
                        </a:ext>
                      </a:extLst>
                    </a:blip>
                    <a:srcRect/>
                    <a:stretch>
                      <a:fillRect/>
                    </a:stretch>
                  </pic:blipFill>
                  <pic:spPr>
                    <a:xfrm>
                      <a:off x="0" y="0"/>
                      <a:ext cx="179705"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应满足式（9.4.5-1）计算值</w:t>
      </w:r>
    </w:p>
    <w:p>
      <w:pPr>
        <w:spacing w:line="240" w:lineRule="auto"/>
        <w:ind w:left="420" w:leftChars="200"/>
        <w:jc w:val="right"/>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791210" cy="476885"/>
            <wp:effectExtent l="0" t="0" r="8890" b="0"/>
            <wp:docPr id="130" name="图片 1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true" noChangeArrowheads="true"/>
                    </pic:cNvPicPr>
                  </pic:nvPicPr>
                  <pic:blipFill>
                    <a:blip r:embed="rId154" cstate="print">
                      <a:extLst>
                        <a:ext uri="{28A0092B-C50C-407E-A947-70E740481C1C}">
                          <a14:useLocalDpi xmlns:a14="http://schemas.microsoft.com/office/drawing/2010/main" val="false"/>
                        </a:ext>
                      </a:extLst>
                    </a:blip>
                    <a:srcRect/>
                    <a:stretch>
                      <a:fillRect/>
                    </a:stretch>
                  </pic:blipFill>
                  <pic:spPr>
                    <a:xfrm>
                      <a:off x="0" y="0"/>
                      <a:ext cx="791210" cy="476885"/>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 xml:space="preserve">                         （9.4.5-1）</w:t>
      </w:r>
    </w:p>
    <w:p>
      <w:pPr>
        <w:spacing w:line="240" w:lineRule="auto"/>
        <w:ind w:left="630" w:leftChars="300"/>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式中：</w:t>
      </w:r>
      <w:r>
        <w:rPr>
          <w:rFonts w:ascii="宋体" w:hAnsi="宋体"/>
          <w:color w:val="000000" w:themeColor="text1"/>
          <w:sz w:val="24"/>
          <w:szCs w:val="24"/>
          <w14:textFill>
            <w14:solidFill>
              <w14:schemeClr w14:val="tx1"/>
            </w14:solidFill>
          </w14:textFill>
        </w:rPr>
        <w:drawing>
          <wp:inline distT="0" distB="0" distL="0" distR="0">
            <wp:extent cx="123190" cy="201930"/>
            <wp:effectExtent l="0" t="0" r="0" b="7620"/>
            <wp:docPr id="131" name="图片 1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true" noChangeArrowheads="true"/>
                    </pic:cNvPicPr>
                  </pic:nvPicPr>
                  <pic:blipFill>
                    <a:blip r:embed="rId155" cstate="print">
                      <a:extLst>
                        <a:ext uri="{28A0092B-C50C-407E-A947-70E740481C1C}">
                          <a14:useLocalDpi xmlns:a14="http://schemas.microsoft.com/office/drawing/2010/main" val="false"/>
                        </a:ext>
                      </a:extLst>
                    </a:blip>
                    <a:srcRect/>
                    <a:stretch>
                      <a:fillRect/>
                    </a:stretch>
                  </pic:blipFill>
                  <pic:spPr>
                    <a:xfrm>
                      <a:off x="0" y="0"/>
                      <a:ext cx="123190" cy="20193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——钢板撑长度；</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2 </w:t>
      </w:r>
      <w:r>
        <w:rPr>
          <w:rFonts w:hint="eastAsia" w:ascii="宋体" w:hAnsi="宋体"/>
          <w:color w:val="000000" w:themeColor="text1"/>
          <w:sz w:val="24"/>
          <w:szCs w:val="24"/>
          <w14:textFill>
            <w14:solidFill>
              <w14:schemeClr w14:val="tx1"/>
            </w14:solidFill>
          </w14:textFill>
        </w:rPr>
        <w:t>约束钢板撑钢筋面积（受剪承载力需要的钢筋之外）应不小于式（9.4.5-2）计算值</w:t>
      </w:r>
    </w:p>
    <w:p>
      <w:pPr>
        <w:spacing w:line="240" w:lineRule="auto"/>
        <w:ind w:left="420" w:leftChars="200"/>
        <w:jc w:val="right"/>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598930" cy="476885"/>
            <wp:effectExtent l="0" t="0" r="1270" b="0"/>
            <wp:docPr id="132" name="图片 1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true" noChangeArrowheads="true"/>
                    </pic:cNvPicPr>
                  </pic:nvPicPr>
                  <pic:blipFill>
                    <a:blip r:embed="rId156" cstate="print">
                      <a:extLst>
                        <a:ext uri="{28A0092B-C50C-407E-A947-70E740481C1C}">
                          <a14:useLocalDpi xmlns:a14="http://schemas.microsoft.com/office/drawing/2010/main" val="false"/>
                        </a:ext>
                      </a:extLst>
                    </a:blip>
                    <a:srcRect/>
                    <a:stretch>
                      <a:fillRect/>
                    </a:stretch>
                  </pic:blipFill>
                  <pic:spPr>
                    <a:xfrm>
                      <a:off x="0" y="0"/>
                      <a:ext cx="1598930" cy="476885"/>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 xml:space="preserve">                （9.4.5-2）</w:t>
      </w:r>
    </w:p>
    <w:p>
      <w:pPr>
        <w:spacing w:line="240" w:lineRule="auto"/>
        <w:ind w:left="840" w:leftChars="400"/>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式中：</w:t>
      </w:r>
    </w:p>
    <w:p>
      <w:pPr>
        <w:spacing w:line="240" w:lineRule="auto"/>
        <w:ind w:left="1050" w:leftChars="5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79705" cy="229870"/>
            <wp:effectExtent l="0" t="0" r="0" b="0"/>
            <wp:docPr id="133" name="图片 1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true" noChangeArrowheads="true"/>
                    </pic:cNvPicPr>
                  </pic:nvPicPr>
                  <pic:blipFill>
                    <a:blip r:embed="rId157" cstate="print">
                      <a:extLst>
                        <a:ext uri="{28A0092B-C50C-407E-A947-70E740481C1C}">
                          <a14:useLocalDpi xmlns:a14="http://schemas.microsoft.com/office/drawing/2010/main" val="false"/>
                        </a:ext>
                      </a:extLst>
                    </a:blip>
                    <a:srcRect/>
                    <a:stretch>
                      <a:fillRect/>
                    </a:stretch>
                  </pic:blipFill>
                  <pic:spPr>
                    <a:xfrm>
                      <a:off x="0" y="0"/>
                      <a:ext cx="179705"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——钢板撑厚度；</w:t>
      </w:r>
    </w:p>
    <w:p>
      <w:pPr>
        <w:spacing w:line="240" w:lineRule="auto"/>
        <w:ind w:left="1050" w:leftChars="5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62560" cy="201930"/>
            <wp:effectExtent l="0" t="0" r="8890" b="7620"/>
            <wp:docPr id="134" name="图片 1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true" noChangeArrowheads="true"/>
                    </pic:cNvPicPr>
                  </pic:nvPicPr>
                  <pic:blipFill>
                    <a:blip r:embed="rId158" cstate="print">
                      <a:extLst>
                        <a:ext uri="{28A0092B-C50C-407E-A947-70E740481C1C}">
                          <a14:useLocalDpi xmlns:a14="http://schemas.microsoft.com/office/drawing/2010/main" val="false"/>
                        </a:ext>
                      </a:extLst>
                    </a:blip>
                    <a:srcRect/>
                    <a:stretch>
                      <a:fillRect/>
                    </a:stretch>
                  </pic:blipFill>
                  <pic:spPr>
                    <a:xfrm>
                      <a:off x="0" y="0"/>
                      <a:ext cx="162560" cy="20193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——钢板撑宽度</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3 </w:t>
      </w:r>
      <w:r>
        <w:rPr>
          <w:rFonts w:hint="eastAsia" w:ascii="宋体" w:hAnsi="宋体"/>
          <w:color w:val="000000" w:themeColor="text1"/>
          <w:sz w:val="24"/>
          <w:szCs w:val="24"/>
          <w14:textFill>
            <w14:solidFill>
              <w14:schemeClr w14:val="tx1"/>
            </w14:solidFill>
          </w14:textFill>
        </w:rPr>
        <w:t>钢板撑端部剪切计算应满足式（9.4.5-3）要求</w:t>
      </w:r>
    </w:p>
    <w:p>
      <w:pPr>
        <w:spacing w:line="240" w:lineRule="auto"/>
        <w:jc w:val="right"/>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379855" cy="381635"/>
            <wp:effectExtent l="0" t="0" r="0" b="0"/>
            <wp:docPr id="135" name="图片 1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true" noChangeArrowheads="true"/>
                    </pic:cNvPicPr>
                  </pic:nvPicPr>
                  <pic:blipFill>
                    <a:blip r:embed="rId159" cstate="print">
                      <a:extLst>
                        <a:ext uri="{28A0092B-C50C-407E-A947-70E740481C1C}">
                          <a14:useLocalDpi xmlns:a14="http://schemas.microsoft.com/office/drawing/2010/main" val="false"/>
                        </a:ext>
                      </a:extLst>
                    </a:blip>
                    <a:srcRect/>
                    <a:stretch>
                      <a:fillRect/>
                    </a:stretch>
                  </pic:blipFill>
                  <pic:spPr>
                    <a:xfrm>
                      <a:off x="0" y="0"/>
                      <a:ext cx="1379855" cy="381635"/>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 xml:space="preserve">                   （9.4.5-3）</w:t>
      </w:r>
    </w:p>
    <w:p>
      <w:pPr>
        <w:spacing w:line="240" w:lineRule="auto"/>
        <w:ind w:left="630" w:leftChars="300"/>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式中：</w:t>
      </w:r>
    </w:p>
    <w:p>
      <w:pPr>
        <w:spacing w:line="240" w:lineRule="auto"/>
        <w:ind w:left="1050" w:leftChars="5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79705" cy="229870"/>
            <wp:effectExtent l="0" t="0" r="0" b="0"/>
            <wp:docPr id="136" name="图片 1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true" noChangeArrowheads="true"/>
                    </pic:cNvPicPr>
                  </pic:nvPicPr>
                  <pic:blipFill>
                    <a:blip r:embed="rId160" cstate="print">
                      <a:extLst>
                        <a:ext uri="{28A0092B-C50C-407E-A947-70E740481C1C}">
                          <a14:useLocalDpi xmlns:a14="http://schemas.microsoft.com/office/drawing/2010/main" val="false"/>
                        </a:ext>
                      </a:extLst>
                    </a:blip>
                    <a:srcRect/>
                    <a:stretch>
                      <a:fillRect/>
                    </a:stretch>
                  </pic:blipFill>
                  <pic:spPr>
                    <a:xfrm>
                      <a:off x="0" y="0"/>
                      <a:ext cx="179705"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——钢板撑的屈服强度；</w:t>
      </w:r>
    </w:p>
    <w:p>
      <w:pPr>
        <w:spacing w:line="240" w:lineRule="auto"/>
        <w:ind w:left="1050" w:leftChars="5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62560" cy="229870"/>
            <wp:effectExtent l="0" t="0" r="8890" b="0"/>
            <wp:docPr id="137" name="图片 1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true" noChangeArrowheads="true"/>
                    </pic:cNvPicPr>
                  </pic:nvPicPr>
                  <pic:blipFill>
                    <a:blip r:embed="rId161" cstate="print">
                      <a:extLst>
                        <a:ext uri="{28A0092B-C50C-407E-A947-70E740481C1C}">
                          <a14:useLocalDpi xmlns:a14="http://schemas.microsoft.com/office/drawing/2010/main" val="false"/>
                        </a:ext>
                      </a:extLst>
                    </a:blip>
                    <a:srcRect/>
                    <a:stretch>
                      <a:fillRect/>
                    </a:stretch>
                  </pic:blipFill>
                  <pic:spPr>
                    <a:xfrm>
                      <a:off x="0" y="0"/>
                      <a:ext cx="162560"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——混凝土受拉强度；</w:t>
      </w:r>
    </w:p>
    <w:p>
      <w:pPr>
        <w:spacing w:line="240" w:lineRule="auto"/>
        <w:ind w:left="1050" w:leftChars="5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79705" cy="201930"/>
            <wp:effectExtent l="0" t="0" r="0" b="7620"/>
            <wp:docPr id="138" name="图片 1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true" noChangeArrowheads="true"/>
                    </pic:cNvPicPr>
                  </pic:nvPicPr>
                  <pic:blipFill>
                    <a:blip r:embed="rId162" cstate="print">
                      <a:extLst>
                        <a:ext uri="{28A0092B-C50C-407E-A947-70E740481C1C}">
                          <a14:useLocalDpi xmlns:a14="http://schemas.microsoft.com/office/drawing/2010/main" val="false"/>
                        </a:ext>
                      </a:extLst>
                    </a:blip>
                    <a:srcRect/>
                    <a:stretch>
                      <a:fillRect/>
                    </a:stretch>
                  </pic:blipFill>
                  <pic:spPr>
                    <a:xfrm>
                      <a:off x="0" y="0"/>
                      <a:ext cx="179705" cy="20193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——抗冲切面积，</w:t>
      </w:r>
      <w:r>
        <w:rPr>
          <w:rFonts w:ascii="宋体" w:hAnsi="宋体"/>
          <w:color w:val="000000" w:themeColor="text1"/>
          <w:sz w:val="24"/>
          <w:szCs w:val="24"/>
          <w14:textFill>
            <w14:solidFill>
              <w14:schemeClr w14:val="tx1"/>
            </w14:solidFill>
          </w14:textFill>
        </w:rPr>
        <w:drawing>
          <wp:inline distT="0" distB="0" distL="0" distR="0">
            <wp:extent cx="1991360" cy="459740"/>
            <wp:effectExtent l="0" t="0" r="8890" b="0"/>
            <wp:docPr id="139" name="图片 1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true" noChangeArrowheads="true"/>
                    </pic:cNvPicPr>
                  </pic:nvPicPr>
                  <pic:blipFill>
                    <a:blip r:embed="rId163" cstate="print">
                      <a:extLst>
                        <a:ext uri="{28A0092B-C50C-407E-A947-70E740481C1C}">
                          <a14:useLocalDpi xmlns:a14="http://schemas.microsoft.com/office/drawing/2010/main" val="false"/>
                        </a:ext>
                      </a:extLst>
                    </a:blip>
                    <a:srcRect/>
                    <a:stretch>
                      <a:fillRect/>
                    </a:stretch>
                  </pic:blipFill>
                  <pic:spPr>
                    <a:xfrm>
                      <a:off x="0" y="0"/>
                      <a:ext cx="1991360" cy="459740"/>
                    </a:xfrm>
                    <a:prstGeom prst="rect">
                      <a:avLst/>
                    </a:prstGeom>
                    <a:noFill/>
                    <a:ln>
                      <a:noFill/>
                    </a:ln>
                  </pic:spPr>
                </pic:pic>
              </a:graphicData>
            </a:graphic>
          </wp:inline>
        </w:drawing>
      </w:r>
    </w:p>
    <w:p>
      <w:pPr>
        <w:spacing w:line="240" w:lineRule="auto"/>
        <w:ind w:left="1050" w:leftChars="5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62560" cy="201930"/>
            <wp:effectExtent l="0" t="0" r="8890" b="7620"/>
            <wp:docPr id="140" name="图片 1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true" noChangeArrowheads="true"/>
                    </pic:cNvPicPr>
                  </pic:nvPicPr>
                  <pic:blipFill>
                    <a:blip r:embed="rId164" cstate="print">
                      <a:extLst>
                        <a:ext uri="{28A0092B-C50C-407E-A947-70E740481C1C}">
                          <a14:useLocalDpi xmlns:a14="http://schemas.microsoft.com/office/drawing/2010/main" val="false"/>
                        </a:ext>
                      </a:extLst>
                    </a:blip>
                    <a:srcRect/>
                    <a:stretch>
                      <a:fillRect/>
                    </a:stretch>
                  </pic:blipFill>
                  <pic:spPr>
                    <a:xfrm>
                      <a:off x="0" y="0"/>
                      <a:ext cx="162560" cy="20193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——斜钢板宽度；</w:t>
      </w:r>
    </w:p>
    <w:p>
      <w:pPr>
        <w:spacing w:line="240" w:lineRule="auto"/>
        <w:ind w:left="1050" w:leftChars="5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79705" cy="229870"/>
            <wp:effectExtent l="0" t="0" r="0" b="0"/>
            <wp:docPr id="141" name="图片 1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true" noChangeArrowheads="true"/>
                    </pic:cNvPicPr>
                  </pic:nvPicPr>
                  <pic:blipFill>
                    <a:blip r:embed="rId165" cstate="print">
                      <a:extLst>
                        <a:ext uri="{28A0092B-C50C-407E-A947-70E740481C1C}">
                          <a14:useLocalDpi xmlns:a14="http://schemas.microsoft.com/office/drawing/2010/main" val="false"/>
                        </a:ext>
                      </a:extLst>
                    </a:blip>
                    <a:srcRect/>
                    <a:stretch>
                      <a:fillRect/>
                    </a:stretch>
                  </pic:blipFill>
                  <pic:spPr>
                    <a:xfrm>
                      <a:off x="0" y="0"/>
                      <a:ext cx="179705"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drawing>
          <wp:inline distT="0" distB="0" distL="0" distR="0">
            <wp:extent cx="179705" cy="229870"/>
            <wp:effectExtent l="0" t="0" r="0" b="0"/>
            <wp:docPr id="142" name="图片 1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true" noChangeArrowheads="true"/>
                    </pic:cNvPicPr>
                  </pic:nvPicPr>
                  <pic:blipFill>
                    <a:blip r:embed="rId166" cstate="print">
                      <a:extLst>
                        <a:ext uri="{28A0092B-C50C-407E-A947-70E740481C1C}">
                          <a14:useLocalDpi xmlns:a14="http://schemas.microsoft.com/office/drawing/2010/main" val="false"/>
                        </a:ext>
                      </a:extLst>
                    </a:blip>
                    <a:srcRect/>
                    <a:stretch>
                      <a:fillRect/>
                    </a:stretch>
                  </pic:blipFill>
                  <pic:spPr>
                    <a:xfrm>
                      <a:off x="0" y="0"/>
                      <a:ext cx="179705"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——墙厚及斜钢板厚。</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4 </w:t>
      </w:r>
      <w:r>
        <w:rPr>
          <w:rFonts w:hint="eastAsia" w:ascii="宋体" w:hAnsi="宋体"/>
          <w:color w:val="000000" w:themeColor="text1"/>
          <w:sz w:val="24"/>
          <w:szCs w:val="24"/>
          <w14:textFill>
            <w14:solidFill>
              <w14:schemeClr w14:val="tx1"/>
            </w14:solidFill>
          </w14:textFill>
        </w:rPr>
        <w:t>钢板端部栓钉计算</w:t>
      </w:r>
    </w:p>
    <w:p>
      <w:pPr>
        <w:spacing w:line="240" w:lineRule="auto"/>
        <w:ind w:left="630" w:leftChars="300"/>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钢板撑端部所需栓钉的数量应不少于式（9.4.5-4）计算值</w:t>
      </w:r>
    </w:p>
    <w:p>
      <w:pPr>
        <w:spacing w:line="240" w:lineRule="auto"/>
        <w:jc w:val="right"/>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549910" cy="421005"/>
            <wp:effectExtent l="0" t="0" r="2540" b="0"/>
            <wp:docPr id="143" name="图片 1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true" noChangeArrowheads="true"/>
                    </pic:cNvPicPr>
                  </pic:nvPicPr>
                  <pic:blipFill>
                    <a:blip r:embed="rId167" cstate="print">
                      <a:extLst>
                        <a:ext uri="{28A0092B-C50C-407E-A947-70E740481C1C}">
                          <a14:useLocalDpi xmlns:a14="http://schemas.microsoft.com/office/drawing/2010/main" val="false"/>
                        </a:ext>
                      </a:extLst>
                    </a:blip>
                    <a:srcRect/>
                    <a:stretch>
                      <a:fillRect/>
                    </a:stretch>
                  </pic:blipFill>
                  <pic:spPr>
                    <a:xfrm>
                      <a:off x="0" y="0"/>
                      <a:ext cx="549910" cy="421005"/>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 xml:space="preserve">                                    （9.4.5-4）</w:t>
      </w:r>
    </w:p>
    <w:p>
      <w:pPr>
        <w:spacing w:line="240" w:lineRule="auto"/>
        <w:jc w:val="right"/>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其中   </w:t>
      </w:r>
      <w:r>
        <w:rPr>
          <w:rFonts w:ascii="宋体" w:hAnsi="宋体"/>
          <w:color w:val="000000" w:themeColor="text1"/>
          <w:sz w:val="24"/>
          <w:szCs w:val="24"/>
          <w14:textFill>
            <w14:solidFill>
              <w14:schemeClr w14:val="tx1"/>
            </w14:solidFill>
          </w14:textFill>
        </w:rPr>
        <w:drawing>
          <wp:inline distT="0" distB="0" distL="0" distR="0">
            <wp:extent cx="1144270" cy="235585"/>
            <wp:effectExtent l="0" t="0" r="0" b="0"/>
            <wp:docPr id="144" name="图片 1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true" noChangeArrowheads="true"/>
                    </pic:cNvPicPr>
                  </pic:nvPicPr>
                  <pic:blipFill>
                    <a:blip r:embed="rId168" cstate="print">
                      <a:extLst>
                        <a:ext uri="{28A0092B-C50C-407E-A947-70E740481C1C}">
                          <a14:useLocalDpi xmlns:a14="http://schemas.microsoft.com/office/drawing/2010/main" val="false"/>
                        </a:ext>
                      </a:extLst>
                    </a:blip>
                    <a:srcRect/>
                    <a:stretch>
                      <a:fillRect/>
                    </a:stretch>
                  </pic:blipFill>
                  <pic:spPr>
                    <a:xfrm>
                      <a:off x="0" y="0"/>
                      <a:ext cx="1144270" cy="235585"/>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 xml:space="preserve">                              （9.4.5-5）</w:t>
      </w:r>
    </w:p>
    <w:p>
      <w:pPr>
        <w:spacing w:line="240" w:lineRule="auto"/>
        <w:jc w:val="right"/>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076960" cy="437515"/>
            <wp:effectExtent l="0" t="0" r="8890" b="635"/>
            <wp:docPr id="145" name="图片 1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true" noChangeArrowheads="true"/>
                    </pic:cNvPicPr>
                  </pic:nvPicPr>
                  <pic:blipFill>
                    <a:blip r:embed="rId169" cstate="print">
                      <a:extLst>
                        <a:ext uri="{28A0092B-C50C-407E-A947-70E740481C1C}">
                          <a14:useLocalDpi xmlns:a14="http://schemas.microsoft.com/office/drawing/2010/main" val="false"/>
                        </a:ext>
                      </a:extLst>
                    </a:blip>
                    <a:srcRect/>
                    <a:stretch>
                      <a:fillRect/>
                    </a:stretch>
                  </pic:blipFill>
                  <pic:spPr>
                    <a:xfrm>
                      <a:off x="0" y="0"/>
                      <a:ext cx="1076960" cy="437515"/>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 xml:space="preserve">                               （9.4.5-6） </w:t>
      </w:r>
    </w:p>
    <w:p>
      <w:pPr>
        <w:spacing w:line="240" w:lineRule="auto"/>
        <w:ind w:left="630" w:leftChars="300"/>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式中：</w:t>
      </w:r>
    </w:p>
    <w:p>
      <w:pPr>
        <w:spacing w:line="240" w:lineRule="auto"/>
        <w:ind w:left="1050" w:leftChars="5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23190" cy="123190"/>
            <wp:effectExtent l="0" t="0" r="0" b="0"/>
            <wp:docPr id="146" name="图片 1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true" noChangeArrowheads="true"/>
                    </pic:cNvPicPr>
                  </pic:nvPicPr>
                  <pic:blipFill>
                    <a:blip r:embed="rId170" cstate="print">
                      <a:extLst>
                        <a:ext uri="{28A0092B-C50C-407E-A947-70E740481C1C}">
                          <a14:useLocalDpi xmlns:a14="http://schemas.microsoft.com/office/drawing/2010/main" val="false"/>
                        </a:ext>
                      </a:extLst>
                    </a:blip>
                    <a:srcRect/>
                    <a:stretch>
                      <a:fillRect/>
                    </a:stretch>
                  </pic:blipFill>
                  <pic:spPr>
                    <a:xfrm>
                      <a:off x="0" y="0"/>
                      <a:ext cx="123190" cy="12319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——栓钉根数；</w:t>
      </w:r>
    </w:p>
    <w:p>
      <w:pPr>
        <w:spacing w:line="240" w:lineRule="auto"/>
        <w:ind w:left="1050" w:leftChars="5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23190" cy="140335"/>
            <wp:effectExtent l="0" t="0" r="0" b="0"/>
            <wp:docPr id="147" name="图片 1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true" noChangeArrowheads="true"/>
                    </pic:cNvPicPr>
                  </pic:nvPicPr>
                  <pic:blipFill>
                    <a:blip r:embed="rId171" cstate="print">
                      <a:extLst>
                        <a:ext uri="{28A0092B-C50C-407E-A947-70E740481C1C}">
                          <a14:useLocalDpi xmlns:a14="http://schemas.microsoft.com/office/drawing/2010/main" val="false"/>
                        </a:ext>
                      </a:extLst>
                    </a:blip>
                    <a:srcRect/>
                    <a:stretch>
                      <a:fillRect/>
                    </a:stretch>
                  </pic:blipFill>
                  <pic:spPr>
                    <a:xfrm>
                      <a:off x="0" y="0"/>
                      <a:ext cx="123190" cy="140335"/>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——每根栓钉所承担的粘结力；</w:t>
      </w:r>
    </w:p>
    <w:p>
      <w:pPr>
        <w:spacing w:line="240" w:lineRule="auto"/>
        <w:ind w:left="1050" w:leftChars="5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62560" cy="229870"/>
            <wp:effectExtent l="0" t="0" r="8890" b="0"/>
            <wp:docPr id="148" name="图片 1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true" noChangeArrowheads="true"/>
                    </pic:cNvPicPr>
                  </pic:nvPicPr>
                  <pic:blipFill>
                    <a:blip r:embed="rId172" cstate="print">
                      <a:extLst>
                        <a:ext uri="{28A0092B-C50C-407E-A947-70E740481C1C}">
                          <a14:useLocalDpi xmlns:a14="http://schemas.microsoft.com/office/drawing/2010/main" val="false"/>
                        </a:ext>
                      </a:extLst>
                    </a:blip>
                    <a:srcRect/>
                    <a:stretch>
                      <a:fillRect/>
                    </a:stretch>
                  </pic:blipFill>
                  <pic:spPr>
                    <a:xfrm>
                      <a:off x="0" y="0"/>
                      <a:ext cx="162560"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——平均粘结应力；</w:t>
      </w:r>
    </w:p>
    <w:p>
      <w:pPr>
        <w:spacing w:line="240" w:lineRule="auto"/>
        <w:ind w:left="1050" w:leftChars="5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79705" cy="229870"/>
            <wp:effectExtent l="0" t="0" r="0" b="0"/>
            <wp:docPr id="149" name="图片 1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true" noChangeArrowheads="true"/>
                    </pic:cNvPicPr>
                  </pic:nvPicPr>
                  <pic:blipFill>
                    <a:blip r:embed="rId173" cstate="print">
                      <a:extLst>
                        <a:ext uri="{28A0092B-C50C-407E-A947-70E740481C1C}">
                          <a14:useLocalDpi xmlns:a14="http://schemas.microsoft.com/office/drawing/2010/main" val="false"/>
                        </a:ext>
                      </a:extLst>
                    </a:blip>
                    <a:srcRect/>
                    <a:stretch>
                      <a:fillRect/>
                    </a:stretch>
                  </pic:blipFill>
                  <pic:spPr>
                    <a:xfrm>
                      <a:off x="0" y="0"/>
                      <a:ext cx="179705"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——粘结破坏面积，取等于</w:t>
      </w:r>
      <w:r>
        <w:rPr>
          <w:rFonts w:ascii="宋体" w:hAnsi="宋体"/>
          <w:color w:val="000000" w:themeColor="text1"/>
          <w:sz w:val="24"/>
          <w:szCs w:val="24"/>
          <w14:textFill>
            <w14:solidFill>
              <w14:schemeClr w14:val="tx1"/>
            </w14:solidFill>
          </w14:textFill>
        </w:rPr>
        <w:drawing>
          <wp:inline distT="0" distB="0" distL="0" distR="0">
            <wp:extent cx="381635" cy="235585"/>
            <wp:effectExtent l="0" t="0" r="0" b="0"/>
            <wp:docPr id="150" name="图片 1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true" noChangeArrowheads="true"/>
                    </pic:cNvPicPr>
                  </pic:nvPicPr>
                  <pic:blipFill>
                    <a:blip r:embed="rId174" cstate="print">
                      <a:extLst>
                        <a:ext uri="{28A0092B-C50C-407E-A947-70E740481C1C}">
                          <a14:useLocalDpi xmlns:a14="http://schemas.microsoft.com/office/drawing/2010/main" val="false"/>
                        </a:ext>
                      </a:extLst>
                    </a:blip>
                    <a:srcRect/>
                    <a:stretch>
                      <a:fillRect/>
                    </a:stretch>
                  </pic:blipFill>
                  <pic:spPr>
                    <a:xfrm>
                      <a:off x="0" y="0"/>
                      <a:ext cx="381635" cy="235585"/>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w:t>
      </w:r>
    </w:p>
    <w:p>
      <w:pPr>
        <w:spacing w:line="240" w:lineRule="auto"/>
        <w:ind w:left="1050" w:leftChars="5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235585" cy="229870"/>
            <wp:effectExtent l="0" t="0" r="0" b="0"/>
            <wp:docPr id="151" name="图片 1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true" noChangeArrowheads="true"/>
                    </pic:cNvPicPr>
                  </pic:nvPicPr>
                  <pic:blipFill>
                    <a:blip r:embed="rId175" cstate="print">
                      <a:extLst>
                        <a:ext uri="{28A0092B-C50C-407E-A947-70E740481C1C}">
                          <a14:useLocalDpi xmlns:a14="http://schemas.microsoft.com/office/drawing/2010/main" val="false"/>
                        </a:ext>
                      </a:extLst>
                    </a:blip>
                    <a:srcRect/>
                    <a:stretch>
                      <a:fillRect/>
                    </a:stretch>
                  </pic:blipFill>
                  <pic:spPr>
                    <a:xfrm>
                      <a:off x="0" y="0"/>
                      <a:ext cx="235585"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——圆柱头栓钉杆截面积；</w:t>
      </w:r>
    </w:p>
    <w:p>
      <w:pPr>
        <w:spacing w:line="240" w:lineRule="auto"/>
        <w:ind w:left="1050" w:leftChars="5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62560" cy="229870"/>
            <wp:effectExtent l="0" t="0" r="8890" b="0"/>
            <wp:docPr id="152" name="图片 1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true" noChangeArrowheads="true"/>
                    </pic:cNvPicPr>
                  </pic:nvPicPr>
                  <pic:blipFill>
                    <a:blip r:embed="rId176" cstate="print">
                      <a:extLst>
                        <a:ext uri="{28A0092B-C50C-407E-A947-70E740481C1C}">
                          <a14:useLocalDpi xmlns:a14="http://schemas.microsoft.com/office/drawing/2010/main" val="false"/>
                        </a:ext>
                      </a:extLst>
                    </a:blip>
                    <a:srcRect/>
                    <a:stretch>
                      <a:fillRect/>
                    </a:stretch>
                  </pic:blipFill>
                  <pic:spPr>
                    <a:xfrm>
                      <a:off x="0" y="0"/>
                      <a:ext cx="162560"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——混凝土强度设计值；</w:t>
      </w:r>
    </w:p>
    <w:p>
      <w:pPr>
        <w:spacing w:line="240" w:lineRule="auto"/>
        <w:ind w:left="1050" w:leftChars="500"/>
        <w:textAlignment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0" distR="0">
            <wp:extent cx="179705" cy="229870"/>
            <wp:effectExtent l="0" t="0" r="0" b="0"/>
            <wp:docPr id="153" name="图片 1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true" noChangeArrowheads="true"/>
                    </pic:cNvPicPr>
                  </pic:nvPicPr>
                  <pic:blipFill>
                    <a:blip r:embed="rId177" cstate="print">
                      <a:extLst>
                        <a:ext uri="{28A0092B-C50C-407E-A947-70E740481C1C}">
                          <a14:useLocalDpi xmlns:a14="http://schemas.microsoft.com/office/drawing/2010/main" val="false"/>
                        </a:ext>
                      </a:extLst>
                    </a:blip>
                    <a:srcRect/>
                    <a:stretch>
                      <a:fillRect/>
                    </a:stretch>
                  </pic:blipFill>
                  <pic:spPr>
                    <a:xfrm>
                      <a:off x="0" y="0"/>
                      <a:ext cx="179705" cy="22987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——混凝土弹性模量。</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配置钢板撑的混凝土剪力墙的构造要求：</w:t>
      </w:r>
    </w:p>
    <w:p>
      <w:pPr>
        <w:numPr>
          <w:ilvl w:val="0"/>
          <w:numId w:val="14"/>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钢板支撑的宽厚比以15为宜。钢板的厚度不应小于16mm；</w:t>
      </w:r>
    </w:p>
    <w:p>
      <w:pPr>
        <w:numPr>
          <w:ilvl w:val="0"/>
          <w:numId w:val="14"/>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钢板撑上应设置不小于φ14的栓钉，栓钉的间距应不大于300mm；</w:t>
      </w:r>
    </w:p>
    <w:p>
      <w:pPr>
        <w:numPr>
          <w:ilvl w:val="0"/>
          <w:numId w:val="14"/>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钢板撑剪力墙的配筋率应不小于0.3%；钢板支撑端部应设不少于</w:t>
      </w:r>
      <w:r>
        <w:rPr>
          <w:rFonts w:ascii="宋体" w:hAnsi="宋体"/>
          <w:color w:val="000000" w:themeColor="text1"/>
          <w:sz w:val="24"/>
          <w:szCs w:val="24"/>
          <w14:textFill>
            <w14:solidFill>
              <w14:schemeClr w14:val="tx1"/>
            </w14:solidFill>
          </w14:textFill>
        </w:rPr>
        <w:drawing>
          <wp:inline distT="0" distB="0" distL="0" distR="0">
            <wp:extent cx="174625" cy="104775"/>
            <wp:effectExtent l="19050" t="0" r="0" b="0"/>
            <wp:docPr id="283" name="图片 10703"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3" name="图片 10703" descr="2"/>
                    <pic:cNvPicPr>
                      <a:picLocks noChangeAspect="true" noChangeArrowheads="true"/>
                    </pic:cNvPicPr>
                  </pic:nvPicPr>
                  <pic:blipFill>
                    <a:blip r:embed="rId64"/>
                    <a:srcRect/>
                    <a:stretch>
                      <a:fillRect/>
                    </a:stretch>
                  </pic:blipFill>
                  <pic:spPr>
                    <a:xfrm>
                      <a:off x="0" y="0"/>
                      <a:ext cx="174625" cy="104775"/>
                    </a:xfrm>
                    <a:prstGeom prst="rect">
                      <a:avLst/>
                    </a:prstGeom>
                    <a:noFill/>
                    <a:ln w="9525">
                      <a:noFill/>
                      <a:miter lim="800000"/>
                      <a:headEnd/>
                      <a:tailEnd/>
                    </a:ln>
                  </pic:spPr>
                </pic:pic>
              </a:graphicData>
            </a:graphic>
          </wp:inline>
        </w:drawing>
      </w:r>
      <w:r>
        <w:rPr>
          <w:rFonts w:hint="eastAsia" w:ascii="宋体" w:hAnsi="宋体"/>
          <w:color w:val="000000" w:themeColor="text1"/>
          <w:sz w:val="24"/>
          <w:szCs w:val="24"/>
          <w14:textFill>
            <w14:solidFill>
              <w14:schemeClr w14:val="tx1"/>
            </w14:solidFill>
          </w14:textFill>
        </w:rPr>
        <w:t>14@100加强钢筋网；</w:t>
      </w:r>
    </w:p>
    <w:p>
      <w:pPr>
        <w:numPr>
          <w:ilvl w:val="0"/>
          <w:numId w:val="14"/>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钢板撑端部应焊接不少于6φ16的栓钉，栓钉应布置在距梁、柱边缘150mm范围内。(如图9.4.6)</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5759450" cy="2074545"/>
            <wp:effectExtent l="19050" t="0" r="0" b="0"/>
            <wp:docPr id="284" name="图片 10704" descr="钢板撑构造"/>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4" name="图片 10704" descr="钢板撑构造"/>
                    <pic:cNvPicPr>
                      <a:picLocks noChangeAspect="true" noChangeArrowheads="true"/>
                    </pic:cNvPicPr>
                  </pic:nvPicPr>
                  <pic:blipFill>
                    <a:blip r:embed="rId178"/>
                    <a:srcRect l="7667" r="6796" b="11490"/>
                    <a:stretch>
                      <a:fillRect/>
                    </a:stretch>
                  </pic:blipFill>
                  <pic:spPr>
                    <a:xfrm>
                      <a:off x="0" y="0"/>
                      <a:ext cx="5760000" cy="2075014"/>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(a)柱侧　　　　　　　　　　　(b)梁侧</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图9.4.6  钢板支撑墙端部加强示意图</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p>
    <w:p>
      <w:pPr>
        <w:pStyle w:val="61"/>
        <w:rPr>
          <w:color w:val="000000" w:themeColor="text1"/>
          <w14:textFill>
            <w14:solidFill>
              <w14:schemeClr w14:val="tx1"/>
            </w14:solidFill>
          </w14:textFill>
        </w:rPr>
      </w:pPr>
      <w:bookmarkStart w:id="69" w:name="_Toc24714232"/>
      <w:r>
        <w:rPr>
          <w:rFonts w:hint="eastAsia"/>
          <w:color w:val="000000" w:themeColor="text1"/>
          <w14:textFill>
            <w14:solidFill>
              <w14:schemeClr w14:val="tx1"/>
            </w14:solidFill>
          </w14:textFill>
        </w:rPr>
        <w:t>钢管混凝土柱</w:t>
      </w:r>
      <w:bookmarkEnd w:id="69"/>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钢管混凝土柱与梁的连接</w:t>
      </w:r>
    </w:p>
    <w:p>
      <w:pPr>
        <w:numPr>
          <w:ilvl w:val="0"/>
          <w:numId w:val="15"/>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钢管混凝土柱与钢梁采用刚接时，应设置内或外加强环（如图9.5.1-1）。</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4250690" cy="2533650"/>
            <wp:effectExtent l="0" t="0" r="0" b="0"/>
            <wp:docPr id="285" name="图片 3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5" name="图片 394"/>
                    <pic:cNvPicPr>
                      <a:picLocks noChangeAspect="true" noChangeArrowheads="true"/>
                    </pic:cNvPicPr>
                  </pic:nvPicPr>
                  <pic:blipFill>
                    <a:blip r:embed="rId179"/>
                    <a:srcRect/>
                    <a:stretch>
                      <a:fillRect/>
                    </a:stretch>
                  </pic:blipFill>
                  <pic:spPr>
                    <a:xfrm>
                      <a:off x="0" y="0"/>
                      <a:ext cx="4250690" cy="2533650"/>
                    </a:xfrm>
                    <a:prstGeom prst="rect">
                      <a:avLst/>
                    </a:prstGeom>
                    <a:noFill/>
                    <a:ln w="9525">
                      <a:noFill/>
                      <a:miter lim="800000"/>
                      <a:headEnd/>
                      <a:tailEnd/>
                    </a:ln>
                  </pic:spPr>
                </pic:pic>
              </a:graphicData>
            </a:graphic>
          </wp:inline>
        </w:drawing>
      </w:r>
    </w:p>
    <w:p>
      <w:pPr>
        <w:spacing w:line="240" w:lineRule="auto"/>
        <w:ind w:left="-286" w:leftChars="-136" w:firstLine="2520" w:firstLineChars="1200"/>
        <w:jc w:val="left"/>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(a)                               (b)</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图9.5.1-1   钢梁与管柱刚接节点连接示意图</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p>
    <w:p>
      <w:pPr>
        <w:numPr>
          <w:ilvl w:val="0"/>
          <w:numId w:val="15"/>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钢管混凝土柱与混凝土梁采用刚接时，应确保梁端弯矩和剪力的传递。其节点设计可采用如下两种：</w:t>
      </w:r>
    </w:p>
    <w:p>
      <w:pPr>
        <w:numPr>
          <w:ilvl w:val="0"/>
          <w:numId w:val="16"/>
        </w:numPr>
        <w:spacing w:line="240" w:lineRule="auto"/>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在管内设置内衬钢管（图9.5.1-1），内衬管的厚度以补充因梁钢筋穿管开洞所损失的钢管截面面积为宜，也不应小于8mm；在梁方向位置还应设置钢框托，钢框托伸出柱边的长度不应小于1/2h(梁高)</w:t>
      </w:r>
    </w:p>
    <w:p>
      <w:pPr>
        <w:spacing w:line="240" w:lineRule="auto"/>
        <w:ind w:left="0" w:firstLine="420" w:firstLineChars="200"/>
        <w:textAlignment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320540" cy="1926590"/>
            <wp:effectExtent l="0" t="0" r="3810" b="0"/>
            <wp:docPr id="286" name="图片 107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6" name="图片 10706"/>
                    <pic:cNvPicPr>
                      <a:picLocks noChangeAspect="true" noChangeArrowheads="true"/>
                    </pic:cNvPicPr>
                  </pic:nvPicPr>
                  <pic:blipFill>
                    <a:blip r:embed="rId180"/>
                    <a:srcRect/>
                    <a:stretch>
                      <a:fillRect/>
                    </a:stretch>
                  </pic:blipFill>
                  <pic:spPr>
                    <a:xfrm>
                      <a:off x="0" y="0"/>
                      <a:ext cx="4320540" cy="1926590"/>
                    </a:xfrm>
                    <a:prstGeom prst="rect">
                      <a:avLst/>
                    </a:prstGeom>
                    <a:noFill/>
                    <a:ln w="9525">
                      <a:noFill/>
                      <a:miter lim="800000"/>
                      <a:headEnd/>
                      <a:tailEnd/>
                    </a:ln>
                  </pic:spPr>
                </pic:pic>
              </a:graphicData>
            </a:graphic>
          </wp:inline>
        </w:drawing>
      </w:r>
    </w:p>
    <w:p>
      <w:pPr>
        <w:spacing w:line="240" w:lineRule="auto"/>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图9.5.1-2 钢管混凝土柱与混凝土梁刚接节点衬管连接示意图</w:t>
      </w:r>
    </w:p>
    <w:p>
      <w:pPr>
        <w:numPr>
          <w:ilvl w:val="0"/>
          <w:numId w:val="16"/>
        </w:numPr>
        <w:spacing w:line="240" w:lineRule="auto"/>
        <w:textAlignment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在管内设置加强插筋（图9.5.1-2），插筋的配筋率不宜小于0.6%。并伸出梁上下面不小于1000mm或梁高h。</w:t>
      </w:r>
    </w:p>
    <w:p>
      <w:pPr>
        <w:spacing w:line="240" w:lineRule="auto"/>
        <w:ind w:left="-424" w:leftChars="-202" w:firstLine="118" w:firstLineChars="66"/>
        <w:jc w:val="center"/>
        <w:textAlignment w:val="center"/>
        <w:rPr>
          <w:rFonts w:ascii="Times New Roman" w:hAnsi="Times New Roman"/>
          <w:color w:val="000000" w:themeColor="text1"/>
          <w:sz w:val="18"/>
          <w:szCs w:val="24"/>
          <w14:textFill>
            <w14:solidFill>
              <w14:schemeClr w14:val="tx1"/>
            </w14:solidFill>
          </w14:textFill>
        </w:rPr>
      </w:pPr>
      <w:r>
        <w:rPr>
          <w:rFonts w:ascii="Times New Roman" w:hAnsi="Times New Roman"/>
          <w:color w:val="000000" w:themeColor="text1"/>
          <w:sz w:val="18"/>
          <w:szCs w:val="24"/>
          <w14:textFill>
            <w14:solidFill>
              <w14:schemeClr w14:val="tx1"/>
            </w14:solidFill>
          </w14:textFill>
        </w:rPr>
        <w:drawing>
          <wp:inline distT="0" distB="0" distL="0" distR="0">
            <wp:extent cx="4320540" cy="1912620"/>
            <wp:effectExtent l="0" t="0" r="3810" b="0"/>
            <wp:docPr id="287" name="图片 107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7" name="图片 10707"/>
                    <pic:cNvPicPr>
                      <a:picLocks noChangeAspect="true" noChangeArrowheads="true"/>
                    </pic:cNvPicPr>
                  </pic:nvPicPr>
                  <pic:blipFill>
                    <a:blip r:embed="rId181"/>
                    <a:srcRect/>
                    <a:stretch>
                      <a:fillRect/>
                    </a:stretch>
                  </pic:blipFill>
                  <pic:spPr>
                    <a:xfrm>
                      <a:off x="0" y="0"/>
                      <a:ext cx="4320540" cy="1912620"/>
                    </a:xfrm>
                    <a:prstGeom prst="rect">
                      <a:avLst/>
                    </a:prstGeom>
                    <a:noFill/>
                    <a:ln w="9525">
                      <a:noFill/>
                      <a:miter lim="800000"/>
                      <a:headEnd/>
                      <a:tailEnd/>
                    </a:ln>
                  </pic:spPr>
                </pic:pic>
              </a:graphicData>
            </a:graphic>
          </wp:inline>
        </w:drawing>
      </w:r>
    </w:p>
    <w:p>
      <w:pPr>
        <w:spacing w:line="240" w:lineRule="auto"/>
        <w:ind w:left="987"/>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图9.5.1-3 钢管混凝土柱与混凝土梁刚接节点插筋连接示意图</w:t>
      </w:r>
    </w:p>
    <w:p>
      <w:pPr>
        <w:spacing w:line="240" w:lineRule="auto"/>
        <w:ind w:left="987"/>
        <w:textAlignment w:val="center"/>
        <w:rPr>
          <w:color w:val="000000" w:themeColor="text1"/>
          <w14:textFill>
            <w14:solidFill>
              <w14:schemeClr w14:val="tx1"/>
            </w14:solidFill>
          </w14:textFill>
        </w:rPr>
      </w:pP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钢管混凝土柱和钢筋混凝土柱交变处梁柱节点应符合如下要求：</w:t>
      </w:r>
    </w:p>
    <w:p>
      <w:pPr>
        <w:numPr>
          <w:ilvl w:val="0"/>
          <w:numId w:val="17"/>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在钢管混凝土柱和钢筋混凝土柱两种结构体系交变处，应设转换层。转换层应采用钢筋混凝土转换梁。</w:t>
      </w:r>
    </w:p>
    <w:p>
      <w:pPr>
        <w:numPr>
          <w:ilvl w:val="0"/>
          <w:numId w:val="17"/>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下部采用钢管混凝土柱，上部改用钢筋混凝土结构时（如图9.5.2－1） 应在钢管混凝土柱上端焊一厚度不小于14mm环形顶板，并在钢管中设置连接插筋。</w:t>
      </w:r>
    </w:p>
    <w:p>
      <w:pPr>
        <w:numPr>
          <w:ilvl w:val="0"/>
          <w:numId w:val="18"/>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环形顶板的面积不小于按式（9.5.2－1）计算值：</w:t>
      </w:r>
    </w:p>
    <w:p>
      <w:pPr>
        <w:spacing w:line="240" w:lineRule="auto"/>
        <w:jc w:val="right"/>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drawing>
          <wp:inline distT="0" distB="0" distL="0" distR="0">
            <wp:extent cx="791210" cy="229870"/>
            <wp:effectExtent l="0" t="0" r="8890" b="0"/>
            <wp:docPr id="154" name="图片 1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true" noChangeArrowheads="true"/>
                    </pic:cNvPicPr>
                  </pic:nvPicPr>
                  <pic:blipFill>
                    <a:blip r:embed="rId182" cstate="print">
                      <a:extLst>
                        <a:ext uri="{28A0092B-C50C-407E-A947-70E740481C1C}">
                          <a14:useLocalDpi xmlns:a14="http://schemas.microsoft.com/office/drawing/2010/main" val="false"/>
                        </a:ext>
                      </a:extLst>
                    </a:blip>
                    <a:srcRect/>
                    <a:stretch>
                      <a:fillRect/>
                    </a:stretch>
                  </pic:blipFill>
                  <pic:spPr>
                    <a:xfrm>
                      <a:off x="0" y="0"/>
                      <a:ext cx="791210"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 xml:space="preserve">                       （9.5.2－1）</w:t>
      </w:r>
    </w:p>
    <w:p>
      <w:pPr>
        <w:spacing w:line="240" w:lineRule="auto"/>
        <w:ind w:left="420" w:leftChars="200" w:firstLine="429" w:firstLineChars="179"/>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式中：</w:t>
      </w:r>
      <w:r>
        <w:rPr>
          <w:rFonts w:hint="eastAsia"/>
          <w:i/>
          <w:color w:val="000000" w:themeColor="text1"/>
          <w:sz w:val="24"/>
          <w:szCs w:val="24"/>
          <w14:textFill>
            <w14:solidFill>
              <w14:schemeClr w14:val="tx1"/>
            </w14:solidFill>
          </w14:textFill>
        </w:rPr>
        <w:t>A</w:t>
      </w:r>
      <w:r>
        <w:rPr>
          <w:rFonts w:hint="eastAsia"/>
          <w:color w:val="000000" w:themeColor="text1"/>
          <w:sz w:val="24"/>
          <w:szCs w:val="24"/>
          <w:vertAlign w:val="subscript"/>
          <w14:textFill>
            <w14:solidFill>
              <w14:schemeClr w14:val="tx1"/>
            </w14:solidFill>
          </w14:textFill>
        </w:rPr>
        <w:t>s</w:t>
      </w:r>
      <w:r>
        <w:rPr>
          <w:rFonts w:hint="eastAsia"/>
          <w:color w:val="000000" w:themeColor="text1"/>
          <w:sz w:val="24"/>
          <w:szCs w:val="24"/>
          <w14:textFill>
            <w14:solidFill>
              <w14:schemeClr w14:val="tx1"/>
            </w14:solidFill>
          </w14:textFill>
        </w:rPr>
        <w:t>——钢管柱的钢管截面面积；</w:t>
      </w:r>
    </w:p>
    <w:p>
      <w:pPr>
        <w:spacing w:line="240" w:lineRule="auto"/>
        <w:ind w:left="0" w:leftChars="-67" w:hanging="141" w:hangingChars="59"/>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rFonts w:hint="eastAsia"/>
          <w:i/>
          <w:color w:val="000000" w:themeColor="text1"/>
          <w:sz w:val="24"/>
          <w:szCs w:val="24"/>
          <w14:textFill>
            <w14:solidFill>
              <w14:schemeClr w14:val="tx1"/>
            </w14:solidFill>
          </w14:textFill>
        </w:rPr>
        <w:t>f</w:t>
      </w:r>
      <w:r>
        <w:rPr>
          <w:rFonts w:hint="eastAsia"/>
          <w:color w:val="000000" w:themeColor="text1"/>
          <w:sz w:val="24"/>
          <w:szCs w:val="24"/>
          <w14:textFill>
            <w14:solidFill>
              <w14:schemeClr w14:val="tx1"/>
            </w14:solidFill>
          </w14:textFill>
        </w:rPr>
        <w:t>——钢管的钢材抗压强度设计值；</w:t>
      </w:r>
    </w:p>
    <w:p>
      <w:pPr>
        <w:spacing w:line="240" w:lineRule="auto"/>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rFonts w:hint="eastAsia"/>
          <w:i/>
          <w:color w:val="000000" w:themeColor="text1"/>
          <w:sz w:val="24"/>
          <w:szCs w:val="24"/>
          <w14:textFill>
            <w14:solidFill>
              <w14:schemeClr w14:val="tx1"/>
            </w14:solidFill>
          </w14:textFill>
        </w:rPr>
        <w:t>f</w:t>
      </w:r>
      <w:r>
        <w:rPr>
          <w:rFonts w:hint="eastAsia"/>
          <w:color w:val="000000" w:themeColor="text1"/>
          <w:sz w:val="24"/>
          <w:szCs w:val="24"/>
          <w:vertAlign w:val="subscript"/>
          <w14:textFill>
            <w14:solidFill>
              <w14:schemeClr w14:val="tx1"/>
            </w14:solidFill>
          </w14:textFill>
        </w:rPr>
        <w:t>c</w:t>
      </w:r>
      <w:r>
        <w:rPr>
          <w:rFonts w:hint="eastAsia"/>
          <w:color w:val="000000" w:themeColor="text1"/>
          <w:sz w:val="24"/>
          <w:szCs w:val="24"/>
          <w14:textFill>
            <w14:solidFill>
              <w14:schemeClr w14:val="tx1"/>
            </w14:solidFill>
          </w14:textFill>
        </w:rPr>
        <w:t>——转换大梁混凝土的抗压强度设计值。</w:t>
      </w:r>
    </w:p>
    <w:p>
      <w:pPr>
        <w:numPr>
          <w:ilvl w:val="0"/>
          <w:numId w:val="18"/>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在钢管中设置连接插筋的面积可按式（9.5.2－2）计算：</w:t>
      </w:r>
    </w:p>
    <w:p>
      <w:pPr>
        <w:spacing w:line="240" w:lineRule="auto"/>
        <w:jc w:val="right"/>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drawing>
          <wp:inline distT="0" distB="0" distL="0" distR="0">
            <wp:extent cx="847090" cy="229870"/>
            <wp:effectExtent l="0" t="0" r="0" b="0"/>
            <wp:docPr id="155" name="图片 1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true" noChangeArrowheads="true"/>
                    </pic:cNvPicPr>
                  </pic:nvPicPr>
                  <pic:blipFill>
                    <a:blip r:embed="rId183" cstate="print">
                      <a:extLst>
                        <a:ext uri="{28A0092B-C50C-407E-A947-70E740481C1C}">
                          <a14:useLocalDpi xmlns:a14="http://schemas.microsoft.com/office/drawing/2010/main" val="false"/>
                        </a:ext>
                      </a:extLst>
                    </a:blip>
                    <a:srcRect/>
                    <a:stretch>
                      <a:fillRect/>
                    </a:stretch>
                  </pic:blipFill>
                  <pic:spPr>
                    <a:xfrm>
                      <a:off x="0" y="0"/>
                      <a:ext cx="847090"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 xml:space="preserve">                       （9.5.2－2）</w:t>
      </w:r>
    </w:p>
    <w:p>
      <w:pPr>
        <w:spacing w:line="240" w:lineRule="auto"/>
        <w:ind w:left="420" w:leftChars="200" w:firstLine="429" w:firstLineChars="179"/>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式中：</w:t>
      </w:r>
    </w:p>
    <w:p>
      <w:pPr>
        <w:spacing w:line="240" w:lineRule="auto"/>
        <w:ind w:left="420" w:leftChars="200" w:firstLine="1140" w:firstLineChars="475"/>
        <w:textAlignment w:val="center"/>
        <w:rPr>
          <w:color w:val="000000" w:themeColor="text1"/>
          <w:sz w:val="24"/>
          <w:szCs w:val="24"/>
          <w14:textFill>
            <w14:solidFill>
              <w14:schemeClr w14:val="tx1"/>
            </w14:solidFill>
          </w14:textFill>
        </w:rPr>
      </w:pPr>
      <w:r>
        <w:rPr>
          <w:rFonts w:hint="eastAsia"/>
          <w:i/>
          <w:color w:val="000000" w:themeColor="text1"/>
          <w:sz w:val="24"/>
          <w:szCs w:val="24"/>
          <w14:textFill>
            <w14:solidFill>
              <w14:schemeClr w14:val="tx1"/>
            </w14:solidFill>
          </w14:textFill>
        </w:rPr>
        <w:t>A</w:t>
      </w:r>
      <w:r>
        <w:rPr>
          <w:rFonts w:hint="eastAsia"/>
          <w:color w:val="000000" w:themeColor="text1"/>
          <w:sz w:val="24"/>
          <w:szCs w:val="24"/>
          <w:vertAlign w:val="subscript"/>
          <w14:textFill>
            <w14:solidFill>
              <w14:schemeClr w14:val="tx1"/>
            </w14:solidFill>
          </w14:textFill>
        </w:rPr>
        <w:t>c</w:t>
      </w:r>
      <w:r>
        <w:rPr>
          <w:rFonts w:hint="eastAsia"/>
          <w:color w:val="000000" w:themeColor="text1"/>
          <w:sz w:val="24"/>
          <w:szCs w:val="24"/>
          <w14:textFill>
            <w14:solidFill>
              <w14:schemeClr w14:val="tx1"/>
            </w14:solidFill>
          </w14:textFill>
        </w:rPr>
        <w:t>——管柱内混凝土截面面积；</w:t>
      </w:r>
    </w:p>
    <w:p>
      <w:pPr>
        <w:spacing w:line="240" w:lineRule="auto"/>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rFonts w:hint="eastAsia"/>
          <w:i/>
          <w:color w:val="000000" w:themeColor="text1"/>
          <w:sz w:val="24"/>
          <w:szCs w:val="24"/>
          <w14:textFill>
            <w14:solidFill>
              <w14:schemeClr w14:val="tx1"/>
            </w14:solidFill>
          </w14:textFill>
        </w:rPr>
        <w:t>f</w:t>
      </w:r>
      <w:r>
        <w:rPr>
          <w:rFonts w:hint="eastAsia"/>
          <w:color w:val="000000" w:themeColor="text1"/>
          <w:sz w:val="24"/>
          <w:szCs w:val="24"/>
          <w:vertAlign w:val="subscript"/>
          <w14:textFill>
            <w14:solidFill>
              <w14:schemeClr w14:val="tx1"/>
            </w14:solidFill>
          </w14:textFill>
        </w:rPr>
        <w:t>c</w:t>
      </w:r>
      <w:r>
        <w:rPr>
          <w:rFonts w:hint="eastAsia"/>
          <w:color w:val="000000" w:themeColor="text1"/>
          <w:sz w:val="24"/>
          <w:szCs w:val="24"/>
          <w14:textFill>
            <w14:solidFill>
              <w14:schemeClr w14:val="tx1"/>
            </w14:solidFill>
          </w14:textFill>
        </w:rPr>
        <w:t>——管柱内混凝土的抗压强度设计值；</w:t>
      </w:r>
    </w:p>
    <w:p>
      <w:pPr>
        <w:spacing w:line="240" w:lineRule="auto"/>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rFonts w:hint="eastAsia"/>
          <w:i/>
          <w:color w:val="000000" w:themeColor="text1"/>
          <w:sz w:val="24"/>
          <w:szCs w:val="24"/>
          <w14:textFill>
            <w14:solidFill>
              <w14:schemeClr w14:val="tx1"/>
            </w14:solidFill>
          </w14:textFill>
        </w:rPr>
        <w:t>f</w:t>
      </w:r>
      <w:r>
        <w:rPr>
          <w:rFonts w:hint="eastAsia"/>
          <w:color w:val="000000" w:themeColor="text1"/>
          <w:sz w:val="24"/>
          <w:szCs w:val="24"/>
          <w:vertAlign w:val="subscript"/>
          <w14:textFill>
            <w14:solidFill>
              <w14:schemeClr w14:val="tx1"/>
            </w14:solidFill>
          </w14:textFill>
        </w:rPr>
        <w:t>a</w:t>
      </w:r>
      <w:r>
        <w:rPr>
          <w:rFonts w:hint="eastAsia"/>
          <w:color w:val="000000" w:themeColor="text1"/>
          <w:sz w:val="24"/>
          <w:szCs w:val="24"/>
          <w14:textFill>
            <w14:solidFill>
              <w14:schemeClr w14:val="tx1"/>
            </w14:solidFill>
          </w14:textFill>
        </w:rPr>
        <w:t>——插入钢筋的抗压强度设计值。</w:t>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drawing>
          <wp:inline distT="0" distB="0" distL="0" distR="0">
            <wp:extent cx="4027805" cy="1521460"/>
            <wp:effectExtent l="19050" t="0" r="0" b="0"/>
            <wp:docPr id="290" name="图片 107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0" name="图片 10710"/>
                    <pic:cNvPicPr>
                      <a:picLocks noChangeAspect="true" noChangeArrowheads="true"/>
                    </pic:cNvPicPr>
                  </pic:nvPicPr>
                  <pic:blipFill>
                    <a:blip r:embed="rId184"/>
                    <a:srcRect l="11031" t="19418" r="12477" b="8325"/>
                    <a:stretch>
                      <a:fillRect/>
                    </a:stretch>
                  </pic:blipFill>
                  <pic:spPr>
                    <a:xfrm>
                      <a:off x="0" y="0"/>
                      <a:ext cx="4027805" cy="1521460"/>
                    </a:xfrm>
                    <a:prstGeom prst="rect">
                      <a:avLst/>
                    </a:prstGeom>
                    <a:noFill/>
                    <a:ln w="9525">
                      <a:noFill/>
                      <a:miter lim="800000"/>
                      <a:headEnd/>
                      <a:tailEnd/>
                    </a:ln>
                  </pic:spPr>
                </pic:pic>
              </a:graphicData>
            </a:graphic>
          </wp:inline>
        </w:drawing>
      </w:r>
    </w:p>
    <w:p>
      <w:pPr>
        <w:spacing w:line="240" w:lineRule="auto"/>
        <w:ind w:left="-424" w:leftChars="-202" w:firstLine="138" w:firstLineChars="66"/>
        <w:jc w:val="center"/>
        <w:textAlignment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图9.5.2－1 管柱转混凝土柱节点示意图    图9.5.2－2 混凝土柱转管柱节点示意图</w:t>
      </w:r>
    </w:p>
    <w:p>
      <w:pPr>
        <w:numPr>
          <w:ilvl w:val="0"/>
          <w:numId w:val="17"/>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下部为钢筋混凝土柱，上部为钢管混凝土柱时（如图9.5.2－2）。应在转换大梁上预留杯口，钢管混凝土的下端与柱脚构造相同，插入杯口，并采取二次灌浆固定。同时还应在钢管柱与下部钢筋混凝土柱的中加连接插筋。</w:t>
      </w:r>
    </w:p>
    <w:p>
      <w:pPr>
        <w:numPr>
          <w:ilvl w:val="0"/>
          <w:numId w:val="19"/>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连接插筋需要的截面积应按下式计算：</w:t>
      </w:r>
    </w:p>
    <w:p>
      <w:pPr>
        <w:spacing w:line="240" w:lineRule="auto"/>
        <w:jc w:val="right"/>
        <w:textAlignment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835660" cy="235585"/>
            <wp:effectExtent l="0" t="0" r="2540" b="0"/>
            <wp:docPr id="156" name="图片 1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true" noChangeArrowheads="true"/>
                    </pic:cNvPicPr>
                  </pic:nvPicPr>
                  <pic:blipFill>
                    <a:blip r:embed="rId185" cstate="print">
                      <a:extLst>
                        <a:ext uri="{28A0092B-C50C-407E-A947-70E740481C1C}">
                          <a14:useLocalDpi xmlns:a14="http://schemas.microsoft.com/office/drawing/2010/main" val="false"/>
                        </a:ext>
                      </a:extLst>
                    </a:blip>
                    <a:srcRect/>
                    <a:stretch>
                      <a:fillRect/>
                    </a:stretch>
                  </pic:blipFill>
                  <pic:spPr>
                    <a:xfrm>
                      <a:off x="0" y="0"/>
                      <a:ext cx="835660" cy="235585"/>
                    </a:xfrm>
                    <a:prstGeom prst="rect">
                      <a:avLst/>
                    </a:prstGeom>
                    <a:noFill/>
                    <a:ln>
                      <a:noFill/>
                    </a:ln>
                  </pic:spPr>
                </pic:pic>
              </a:graphicData>
            </a:graphic>
          </wp:inline>
        </w:drawing>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（9.5.2－3）</w:t>
      </w:r>
    </w:p>
    <w:p>
      <w:pPr>
        <w:spacing w:line="240" w:lineRule="auto"/>
        <w:ind w:left="420" w:leftChars="200" w:firstLine="429" w:firstLineChars="179"/>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式中：</w:t>
      </w:r>
    </w:p>
    <w:p>
      <w:pPr>
        <w:spacing w:line="240" w:lineRule="auto"/>
        <w:ind w:left="840" w:leftChars="400"/>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drawing>
          <wp:inline distT="0" distB="0" distL="0" distR="0">
            <wp:extent cx="179705" cy="229870"/>
            <wp:effectExtent l="0" t="0" r="0" b="0"/>
            <wp:docPr id="157" name="图片 1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true" noChangeArrowheads="true"/>
                    </pic:cNvPicPr>
                  </pic:nvPicPr>
                  <pic:blipFill>
                    <a:blip r:embed="rId186" cstate="print">
                      <a:extLst>
                        <a:ext uri="{28A0092B-C50C-407E-A947-70E740481C1C}">
                          <a14:useLocalDpi xmlns:a14="http://schemas.microsoft.com/office/drawing/2010/main" val="false"/>
                        </a:ext>
                      </a:extLst>
                    </a:blip>
                    <a:srcRect/>
                    <a:stretch>
                      <a:fillRect/>
                    </a:stretch>
                  </pic:blipFill>
                  <pic:spPr>
                    <a:xfrm>
                      <a:off x="0" y="0"/>
                      <a:ext cx="179705"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——钢管混凝土柱的钢管截面面积；</w:t>
      </w:r>
    </w:p>
    <w:p>
      <w:pPr>
        <w:spacing w:line="240" w:lineRule="auto"/>
        <w:ind w:left="840" w:leftChars="400"/>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drawing>
          <wp:inline distT="0" distB="0" distL="0" distR="0">
            <wp:extent cx="151765" cy="201930"/>
            <wp:effectExtent l="0" t="0" r="635" b="7620"/>
            <wp:docPr id="158" name="图片 1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true" noChangeArrowheads="true"/>
                    </pic:cNvPicPr>
                  </pic:nvPicPr>
                  <pic:blipFill>
                    <a:blip r:embed="rId187" cstate="print">
                      <a:extLst>
                        <a:ext uri="{28A0092B-C50C-407E-A947-70E740481C1C}">
                          <a14:useLocalDpi xmlns:a14="http://schemas.microsoft.com/office/drawing/2010/main" val="false"/>
                        </a:ext>
                      </a:extLst>
                    </a:blip>
                    <a:srcRect/>
                    <a:stretch>
                      <a:fillRect/>
                    </a:stretch>
                  </pic:blipFill>
                  <pic:spPr>
                    <a:xfrm>
                      <a:off x="0" y="0"/>
                      <a:ext cx="151765" cy="20193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——钢管钢材的抗压强度设计值。</w:t>
      </w:r>
    </w:p>
    <w:p>
      <w:pPr>
        <w:spacing w:line="240" w:lineRule="auto"/>
        <w:ind w:left="840" w:leftChars="400"/>
        <w:textAlignment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drawing>
          <wp:inline distT="0" distB="0" distL="0" distR="0">
            <wp:extent cx="179705" cy="229870"/>
            <wp:effectExtent l="0" t="0" r="0" b="0"/>
            <wp:docPr id="159" name="图片 1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true" noChangeArrowheads="true"/>
                    </pic:cNvPicPr>
                  </pic:nvPicPr>
                  <pic:blipFill>
                    <a:blip r:embed="rId188" cstate="print">
                      <a:extLst>
                        <a:ext uri="{28A0092B-C50C-407E-A947-70E740481C1C}">
                          <a14:useLocalDpi xmlns:a14="http://schemas.microsoft.com/office/drawing/2010/main" val="false"/>
                        </a:ext>
                      </a:extLst>
                    </a:blip>
                    <a:srcRect/>
                    <a:stretch>
                      <a:fillRect/>
                    </a:stretch>
                  </pic:blipFill>
                  <pic:spPr>
                    <a:xfrm>
                      <a:off x="0" y="0"/>
                      <a:ext cx="179705" cy="229870"/>
                    </a:xfrm>
                    <a:prstGeom prst="rect">
                      <a:avLst/>
                    </a:prstGeom>
                    <a:noFill/>
                    <a:ln>
                      <a:noFill/>
                    </a:ln>
                  </pic:spPr>
                </pic:pic>
              </a:graphicData>
            </a:graphic>
          </wp:inline>
        </w:drawing>
      </w:r>
      <w:r>
        <w:rPr>
          <w:rFonts w:hint="eastAsia"/>
          <w:color w:val="000000" w:themeColor="text1"/>
          <w:sz w:val="24"/>
          <w:szCs w:val="24"/>
          <w14:textFill>
            <w14:solidFill>
              <w14:schemeClr w14:val="tx1"/>
            </w14:solidFill>
          </w14:textFill>
        </w:rPr>
        <w:t>——插筋的抗压强度设计值。</w:t>
      </w:r>
    </w:p>
    <w:p>
      <w:pPr>
        <w:numPr>
          <w:ilvl w:val="0"/>
          <w:numId w:val="19"/>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连接插筋在钢管混凝土的长度取钢管直径的1～2倍，D</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600mm时，取2D；600mm&lt;D</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1500mm时，取1.5D；D&gt;1000</w:t>
      </w:r>
      <w:r>
        <w:rPr>
          <w:rFonts w:ascii="宋体" w:hAnsi="宋体"/>
          <w:color w:val="000000" w:themeColor="text1"/>
          <w:sz w:val="24"/>
          <w:szCs w:val="24"/>
          <w14:textFill>
            <w14:solidFill>
              <w14:schemeClr w14:val="tx1"/>
            </w14:solidFill>
          </w14:textFill>
        </w:rPr>
        <w:t xml:space="preserve"> mm</w:t>
      </w:r>
      <w:r>
        <w:rPr>
          <w:rFonts w:hint="eastAsia" w:ascii="宋体" w:hAnsi="宋体"/>
          <w:color w:val="000000" w:themeColor="text1"/>
          <w:sz w:val="24"/>
          <w:szCs w:val="24"/>
          <w14:textFill>
            <w14:solidFill>
              <w14:schemeClr w14:val="tx1"/>
            </w14:solidFill>
          </w14:textFill>
        </w:rPr>
        <w:t>时，取1D。插筋在钢筋混凝土柱内的锚固长度同插入钢管混凝土的长度。</w:t>
      </w:r>
    </w:p>
    <w:p>
      <w:pPr>
        <w:spacing w:line="240" w:lineRule="auto"/>
        <w:ind w:left="0" w:firstLine="480" w:firstLineChars="200"/>
        <w:rPr>
          <w:rFonts w:ascii="宋体" w:hAnsi="宋体"/>
          <w:color w:val="000000" w:themeColor="text1"/>
          <w:sz w:val="24"/>
          <w:szCs w:val="24"/>
          <w14:textFill>
            <w14:solidFill>
              <w14:schemeClr w14:val="tx1"/>
            </w14:solidFill>
          </w14:textFill>
        </w:rPr>
      </w:pPr>
    </w:p>
    <w:p>
      <w:pPr>
        <w:pStyle w:val="119"/>
        <w:rPr>
          <w:rFonts w:cs="TimesNewRomanPSMT"/>
          <w:color w:val="000000" w:themeColor="text1"/>
          <w:lang w:eastAsia="zh-CN"/>
          <w14:textFill>
            <w14:solidFill>
              <w14:schemeClr w14:val="tx1"/>
            </w14:solidFill>
          </w14:textFill>
        </w:rPr>
      </w:pPr>
      <w:r>
        <w:rPr>
          <w:rFonts w:hint="eastAsia" w:cs="TimesNewRomanPS-BoldMT"/>
          <w:b/>
          <w:bCs/>
          <w:color w:val="000000" w:themeColor="text1"/>
          <w:lang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巨型钢管混凝土柱应符合下列构造要求</w:t>
      </w:r>
      <w:r>
        <w:rPr>
          <w:rFonts w:cs="TimesNewRomanPSMT"/>
          <w:color w:val="000000" w:themeColor="text1"/>
          <w:lang w:eastAsia="zh-CN"/>
          <w14:textFill>
            <w14:solidFill>
              <w14:schemeClr w14:val="tx1"/>
            </w14:solidFill>
          </w14:textFill>
        </w:rPr>
        <w:t>:</w:t>
      </w:r>
    </w:p>
    <w:p>
      <w:pPr>
        <w:numPr>
          <w:ilvl w:val="0"/>
          <w:numId w:val="20"/>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巨型钢管混凝土柱截面过大时可以采用分仓方式，但要考虑尽量减少或避免现场竖向焊接。</w:t>
      </w:r>
    </w:p>
    <w:p>
      <w:pPr>
        <w:numPr>
          <w:ilvl w:val="0"/>
          <w:numId w:val="20"/>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巨形钢管混凝土柱含钢率不宜小于4%。</w:t>
      </w:r>
    </w:p>
    <w:p>
      <w:pPr>
        <w:numPr>
          <w:ilvl w:val="0"/>
          <w:numId w:val="20"/>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巨型钢管混凝土柱截面短边大于2400时，管中宜配置纵筋和箍筋。纵向配筋率不宜超过0.8%；体积最小配箍率不宜小于0.4%。纵向钢筋与钢管内壁之间的距离宜为150mm～250mm。</w:t>
      </w:r>
    </w:p>
    <w:p>
      <w:pPr>
        <w:numPr>
          <w:ilvl w:val="0"/>
          <w:numId w:val="20"/>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巨型钢管柱在与环桁架、斜撑、伸臂桁架等连接处应设置水平、竖向加劲板和栓钉，栓钉的直径不小于19mm，栓钉的间距在节点区上下一倍巨柱短边范围内不宜大于200mm，其他区域不应大于300mm。</w:t>
      </w:r>
    </w:p>
    <w:p>
      <w:pPr>
        <w:numPr>
          <w:ilvl w:val="0"/>
          <w:numId w:val="20"/>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巨型钢管管壁板件的边长与其厚度的比值不应大于</w:t>
      </w:r>
      <w:r>
        <w:rPr>
          <w:rFonts w:ascii="宋体" w:hAnsi="宋体"/>
          <w:color w:val="000000" w:themeColor="text1"/>
          <w:sz w:val="24"/>
          <w:szCs w:val="24"/>
          <w14:textFill>
            <w14:solidFill>
              <w14:schemeClr w14:val="tx1"/>
            </w14:solidFill>
          </w14:textFill>
        </w:rPr>
        <w:t xml:space="preserve">60 </w:t>
      </w:r>
      <w:r>
        <w:rPr>
          <w:rFonts w:ascii="宋体" w:hAnsi="宋体"/>
          <w:color w:val="000000" w:themeColor="text1"/>
          <w:position w:val="-16"/>
          <w:sz w:val="24"/>
          <w:szCs w:val="24"/>
          <w14:textFill>
            <w14:solidFill>
              <w14:schemeClr w14:val="tx1"/>
            </w14:solidFill>
          </w14:textFill>
        </w:rPr>
        <w:drawing>
          <wp:inline distT="0" distB="0" distL="0" distR="0">
            <wp:extent cx="639445" cy="274955"/>
            <wp:effectExtent l="0" t="0" r="8255" b="0"/>
            <wp:docPr id="160" name="图片 1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true" noChangeArrowheads="true"/>
                    </pic:cNvPicPr>
                  </pic:nvPicPr>
                  <pic:blipFill>
                    <a:blip r:embed="rId189" cstate="print">
                      <a:extLst>
                        <a:ext uri="{28A0092B-C50C-407E-A947-70E740481C1C}">
                          <a14:useLocalDpi xmlns:a14="http://schemas.microsoft.com/office/drawing/2010/main" val="false"/>
                        </a:ext>
                      </a:extLst>
                    </a:blip>
                    <a:srcRect/>
                    <a:stretch>
                      <a:fillRect/>
                    </a:stretch>
                  </pic:blipFill>
                  <pic:spPr>
                    <a:xfrm>
                      <a:off x="0" y="0"/>
                      <a:ext cx="639445" cy="274955"/>
                    </a:xfrm>
                    <a:prstGeom prst="rect">
                      <a:avLst/>
                    </a:prstGeom>
                    <a:noFill/>
                    <a:ln>
                      <a:noFill/>
                    </a:ln>
                  </pic:spPr>
                </pic:pic>
              </a:graphicData>
            </a:graphic>
          </wp:inline>
        </w:drawing>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不满足该限值时，可增加纵向加劲肋和横向加劲肋，或增加纵向加劲肋和水平拉筋，将管壁分为多个区域，确保巨型钢管管壁平面外的稳定。竖向加劲肋高厚比应满足钢结构规范要求，厚度不宜小于钢管壁的厚度。</w:t>
      </w:r>
    </w:p>
    <w:p>
      <w:pPr>
        <w:numPr>
          <w:ilvl w:val="0"/>
          <w:numId w:val="20"/>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应验算巨型钢管柱施工时浇注混凝土引起的钢管侧壁的拉应力及变形，最大拉应力值不宜大于0.20</w:t>
      </w:r>
      <w:r>
        <w:rPr>
          <w:rFonts w:ascii="宋体" w:hAnsi="宋体"/>
          <w:color w:val="000000" w:themeColor="text1"/>
          <w:sz w:val="24"/>
          <w:szCs w:val="24"/>
          <w14:textFill>
            <w14:solidFill>
              <w14:schemeClr w14:val="tx1"/>
            </w14:solidFill>
          </w14:textFill>
        </w:rPr>
        <w:drawing>
          <wp:inline distT="0" distB="0" distL="0" distR="0">
            <wp:extent cx="151765" cy="162560"/>
            <wp:effectExtent l="0" t="0" r="635" b="8890"/>
            <wp:docPr id="161" name="图片 1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true" noChangeArrowheads="true"/>
                    </pic:cNvPicPr>
                  </pic:nvPicPr>
                  <pic:blipFill>
                    <a:blip r:embed="rId190" cstate="print">
                      <a:extLst>
                        <a:ext uri="{28A0092B-C50C-407E-A947-70E740481C1C}">
                          <a14:useLocalDpi xmlns:a14="http://schemas.microsoft.com/office/drawing/2010/main" val="false"/>
                        </a:ext>
                      </a:extLst>
                    </a:blip>
                    <a:srcRect/>
                    <a:stretch>
                      <a:fillRect/>
                    </a:stretch>
                  </pic:blipFill>
                  <pic:spPr>
                    <a:xfrm>
                      <a:off x="0" y="0"/>
                      <a:ext cx="151765" cy="16256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、不应大于0.30</w:t>
      </w:r>
      <w:r>
        <w:rPr>
          <w:rFonts w:ascii="宋体" w:hAnsi="宋体"/>
          <w:color w:val="000000" w:themeColor="text1"/>
          <w:sz w:val="24"/>
          <w:szCs w:val="24"/>
          <w14:textFill>
            <w14:solidFill>
              <w14:schemeClr w14:val="tx1"/>
            </w14:solidFill>
          </w14:textFill>
        </w:rPr>
        <w:drawing>
          <wp:inline distT="0" distB="0" distL="0" distR="0">
            <wp:extent cx="151765" cy="162560"/>
            <wp:effectExtent l="0" t="0" r="635" b="8890"/>
            <wp:docPr id="162" name="图片 1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true" noChangeArrowheads="true"/>
                    </pic:cNvPicPr>
                  </pic:nvPicPr>
                  <pic:blipFill>
                    <a:blip r:embed="rId190" cstate="print">
                      <a:extLst>
                        <a:ext uri="{28A0092B-C50C-407E-A947-70E740481C1C}">
                          <a14:useLocalDpi xmlns:a14="http://schemas.microsoft.com/office/drawing/2010/main" val="false"/>
                        </a:ext>
                      </a:extLst>
                    </a:blip>
                    <a:srcRect/>
                    <a:stretch>
                      <a:fillRect/>
                    </a:stretch>
                  </pic:blipFill>
                  <pic:spPr>
                    <a:xfrm>
                      <a:off x="0" y="0"/>
                      <a:ext cx="151765" cy="162560"/>
                    </a:xfrm>
                    <a:prstGeom prst="rect">
                      <a:avLst/>
                    </a:prstGeom>
                    <a:noFill/>
                    <a:ln>
                      <a:noFill/>
                    </a:ln>
                  </pic:spPr>
                </pic:pic>
              </a:graphicData>
            </a:graphic>
          </wp:inline>
        </w:drawing>
      </w:r>
      <w:r>
        <w:rPr>
          <w:rFonts w:hint="eastAsia" w:ascii="宋体" w:hAnsi="宋体"/>
          <w:color w:val="000000" w:themeColor="text1"/>
          <w:sz w:val="24"/>
          <w:szCs w:val="24"/>
          <w14:textFill>
            <w14:solidFill>
              <w14:schemeClr w14:val="tx1"/>
            </w14:solidFill>
          </w14:textFill>
        </w:rPr>
        <w:t>，侧壁板的变形不大于板短跨的1/1000。</w:t>
      </w:r>
    </w:p>
    <w:p>
      <w:pPr>
        <w:numPr>
          <w:ilvl w:val="0"/>
          <w:numId w:val="20"/>
        </w:numPr>
        <w:spacing w:line="24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应确保巨型钢管内的混凝土的密实性，可采用自密实高性能混凝土，但应制定恰当的混凝土配合、浇筑流程及养护措施。混凝土的施工缝位置应设置泄水孔，以方便养护和排水。</w:t>
      </w:r>
    </w:p>
    <w:p>
      <w:pPr>
        <w:spacing w:line="240" w:lineRule="auto"/>
        <w:ind w:left="0" w:firstLine="480" w:firstLineChars="200"/>
        <w:rPr>
          <w:rFonts w:ascii="宋体" w:hAnsi="宋体"/>
          <w:color w:val="000000" w:themeColor="text1"/>
          <w:sz w:val="24"/>
          <w:szCs w:val="24"/>
          <w14:textFill>
            <w14:solidFill>
              <w14:schemeClr w14:val="tx1"/>
            </w14:solidFill>
          </w14:textFill>
        </w:rPr>
      </w:pPr>
    </w:p>
    <w:p>
      <w:pPr>
        <w:pStyle w:val="60"/>
        <w:spacing w:beforeLines="0" w:afterLines="0" w:line="240" w:lineRule="auto"/>
        <w:rPr>
          <w:color w:val="000000" w:themeColor="text1"/>
          <w14:textFill>
            <w14:solidFill>
              <w14:schemeClr w14:val="tx1"/>
            </w14:solidFill>
          </w14:textFill>
        </w:rPr>
      </w:pPr>
      <w:bookmarkStart w:id="70" w:name="_Toc24714233"/>
      <w:r>
        <w:rPr>
          <w:rFonts w:hint="eastAsia"/>
          <w:color w:val="000000" w:themeColor="text1"/>
          <w14:textFill>
            <w14:solidFill>
              <w14:schemeClr w14:val="tx1"/>
            </w14:solidFill>
          </w14:textFill>
        </w:rPr>
        <w:t>基础设计</w:t>
      </w:r>
      <w:bookmarkEnd w:id="70"/>
    </w:p>
    <w:p>
      <w:pPr>
        <w:pStyle w:val="61"/>
        <w:rPr>
          <w:color w:val="000000" w:themeColor="text1"/>
          <w14:textFill>
            <w14:solidFill>
              <w14:schemeClr w14:val="tx1"/>
            </w14:solidFill>
          </w14:textFill>
        </w:rPr>
      </w:pPr>
      <w:bookmarkStart w:id="71" w:name="_Toc24714234"/>
      <w:r>
        <w:rPr>
          <w:rFonts w:hint="eastAsia"/>
          <w:color w:val="000000" w:themeColor="text1"/>
          <w14:textFill>
            <w14:solidFill>
              <w14:schemeClr w14:val="tx1"/>
            </w14:solidFill>
          </w14:textFill>
        </w:rPr>
        <w:t>一般规定</w:t>
      </w:r>
      <w:bookmarkEnd w:id="71"/>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高层建筑的基础设计，应综合考虑建筑场地的工程地质和水文地质状况、上部结构的类型与基础荷载水平等因素；还应了解邻近建（构）筑物的基础形式，减小与相邻建（构）筑物的相互影响。</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高层建筑的基础设计采用新技术与新工艺时，应通过现场试验来检验其可靠性。</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的基础应能满足地基承载力和建筑物允许变形的要求。当基础处于花岗岩残积土、强风化层等坚硬地基上且能满足地基承载力和变形要求时，可以采用天然地基，如筏形基础或箱型基础等；当地基承载力或变形不满足要求时，宜采用桩基础或复合地基。</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基础开挖形成深基坑时,深基坑施工期间应加强基坑支护体系和周边环境的监测工作;需要降低地下水位时,应采取措施避免影响周边环境的正常使用,同时还应注意施工降水的时间要求,避免停止降水后水位过早上升而引起建(构)筑物上浮等问题。</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在重力荷载与水平荷载标准值或重力荷载代表值与多遇水平地震标准值共同作用下，高宽比大于</w:t>
      </w:r>
      <w:r>
        <w:rPr>
          <w:color w:val="000000" w:themeColor="text1"/>
          <w:lang w:eastAsia="zh-CN"/>
          <w14:textFill>
            <w14:solidFill>
              <w14:schemeClr w14:val="tx1"/>
            </w14:solidFill>
          </w14:textFill>
        </w:rPr>
        <w:t>4</w:t>
      </w:r>
      <w:r>
        <w:rPr>
          <w:rFonts w:hint="eastAsia"/>
          <w:color w:val="000000" w:themeColor="text1"/>
          <w:lang w:eastAsia="zh-CN"/>
          <w14:textFill>
            <w14:solidFill>
              <w14:schemeClr w14:val="tx1"/>
            </w14:solidFill>
          </w14:textFill>
        </w:rPr>
        <w:t>的高层建筑，基础底面不宜出现零应力区；高宽比不大于</w:t>
      </w:r>
      <w:r>
        <w:rPr>
          <w:color w:val="000000" w:themeColor="text1"/>
          <w:lang w:eastAsia="zh-CN"/>
          <w14:textFill>
            <w14:solidFill>
              <w14:schemeClr w14:val="tx1"/>
            </w14:solidFill>
          </w14:textFill>
        </w:rPr>
        <w:t>4</w:t>
      </w:r>
      <w:r>
        <w:rPr>
          <w:rFonts w:hint="eastAsia"/>
          <w:color w:val="000000" w:themeColor="text1"/>
          <w:lang w:eastAsia="zh-CN"/>
          <w14:textFill>
            <w14:solidFill>
              <w14:schemeClr w14:val="tx1"/>
            </w14:solidFill>
          </w14:textFill>
        </w:rPr>
        <w:t>的高层建筑，基础底面与地基之间零应力区面积不应超过基础底面面积的</w:t>
      </w:r>
      <w:r>
        <w:rPr>
          <w:color w:val="000000" w:themeColor="text1"/>
          <w:lang w:eastAsia="zh-CN"/>
          <w14:textFill>
            <w14:solidFill>
              <w14:schemeClr w14:val="tx1"/>
            </w14:solidFill>
          </w14:textFill>
        </w:rPr>
        <w:t>15%</w:t>
      </w:r>
      <w:r>
        <w:rPr>
          <w:rFonts w:hint="eastAsia"/>
          <w:color w:val="000000" w:themeColor="text1"/>
          <w:lang w:eastAsia="zh-CN"/>
          <w14:textFill>
            <w14:solidFill>
              <w14:schemeClr w14:val="tx1"/>
            </w14:solidFill>
          </w14:textFill>
        </w:rPr>
        <w:t>。质量偏心较大的裙楼与主楼可分别计算基底应力。</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基础计算地基变形时，传至基础底面的荷载效应采用正常使用极限状态下荷载效应的准永久组合，不计入风荷载和地震作用；按地基承载力确定基础底面积及埋深或按桩基承载力确定桩数时，传至基础或承台底面的荷载效应采用正常使用状态下荷载效应的标准组合，相应的抗力采用地基承载力特征值或桩基承载力特征值；风荷载组合效应下，最大基底反力不应大于地基承载力特征值的</w:t>
      </w:r>
      <w:r>
        <w:rPr>
          <w:color w:val="000000" w:themeColor="text1"/>
          <w:lang w:eastAsia="zh-CN"/>
          <w14:textFill>
            <w14:solidFill>
              <w14:schemeClr w14:val="tx1"/>
            </w14:solidFill>
          </w14:textFill>
        </w:rPr>
        <w:t>1.2</w:t>
      </w:r>
      <w:r>
        <w:rPr>
          <w:rFonts w:hint="eastAsia"/>
          <w:color w:val="000000" w:themeColor="text1"/>
          <w:lang w:eastAsia="zh-CN"/>
          <w14:textFill>
            <w14:solidFill>
              <w14:schemeClr w14:val="tx1"/>
            </w14:solidFill>
          </w14:textFill>
        </w:rPr>
        <w:t>倍，平均基底反力不应大于地基承载力特征值；地震作用组合效应下，地基承载力验算应按现行国家标准《建筑抗震设计规范》</w:t>
      </w:r>
      <w:r>
        <w:rPr>
          <w:color w:val="000000" w:themeColor="text1"/>
          <w:lang w:eastAsia="zh-CN"/>
          <w14:textFill>
            <w14:solidFill>
              <w14:schemeClr w14:val="tx1"/>
            </w14:solidFill>
          </w14:textFill>
        </w:rPr>
        <w:t>GB 50011</w:t>
      </w:r>
      <w:r>
        <w:rPr>
          <w:rFonts w:hint="eastAsia"/>
          <w:color w:val="000000" w:themeColor="text1"/>
          <w:lang w:eastAsia="zh-CN"/>
          <w14:textFill>
            <w14:solidFill>
              <w14:schemeClr w14:val="tx1"/>
            </w14:solidFill>
          </w14:textFill>
        </w:rPr>
        <w:t>的规定执行。</w:t>
      </w:r>
    </w:p>
    <w:p>
      <w:pPr>
        <w:pStyle w:val="119"/>
        <w:rPr>
          <w:color w:val="000000" w:themeColor="text1"/>
          <w:szCs w:val="28"/>
          <w:lang w:eastAsia="zh-CN"/>
          <w14:textFill>
            <w14:solidFill>
              <w14:schemeClr w14:val="tx1"/>
            </w14:solidFill>
          </w14:textFill>
        </w:rPr>
      </w:pPr>
      <w:r>
        <w:rPr>
          <w:rFonts w:hint="eastAsia"/>
          <w:color w:val="000000" w:themeColor="text1"/>
          <w:lang w:eastAsia="zh-CN"/>
          <w14:textFill>
            <w14:solidFill>
              <w14:schemeClr w14:val="tx1"/>
            </w14:solidFill>
          </w14:textFill>
        </w:rPr>
        <w:t>基础应有一定的埋置深度。在确定埋置深度时，应综合考虑建筑物的高度、体型、地基土质、抗震设防烈度等因素。基础埋置深度可从室外地坪算至基础底面，并宜符合下列规定：</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1  </w:t>
      </w:r>
      <w:r>
        <w:rPr>
          <w:rFonts w:hint="eastAsia" w:ascii="宋体" w:hAnsi="宋体"/>
          <w:color w:val="000000" w:themeColor="text1"/>
          <w:sz w:val="24"/>
          <w:szCs w:val="24"/>
          <w14:textFill>
            <w14:solidFill>
              <w14:schemeClr w14:val="tx1"/>
            </w14:solidFill>
          </w14:textFill>
        </w:rPr>
        <w:t>天然地基或复合地基，不宜小于房屋高度的</w:t>
      </w:r>
      <w:r>
        <w:rPr>
          <w:rFonts w:ascii="宋体" w:hAnsi="宋体"/>
          <w:color w:val="000000" w:themeColor="text1"/>
          <w:sz w:val="24"/>
          <w:szCs w:val="24"/>
          <w14:textFill>
            <w14:solidFill>
              <w14:schemeClr w14:val="tx1"/>
            </w14:solidFill>
          </w14:textFill>
        </w:rPr>
        <w:t>1/15</w:t>
      </w:r>
      <w:r>
        <w:rPr>
          <w:rFonts w:hint="eastAsia" w:ascii="宋体" w:hAnsi="宋体"/>
          <w:color w:val="000000" w:themeColor="text1"/>
          <w:sz w:val="24"/>
          <w:szCs w:val="24"/>
          <w14:textFill>
            <w14:solidFill>
              <w14:schemeClr w14:val="tx1"/>
            </w14:solidFill>
          </w14:textFill>
        </w:rPr>
        <w:t>；</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2  </w:t>
      </w:r>
      <w:r>
        <w:rPr>
          <w:rFonts w:hint="eastAsia" w:ascii="宋体" w:hAnsi="宋体"/>
          <w:color w:val="000000" w:themeColor="text1"/>
          <w:sz w:val="24"/>
          <w:szCs w:val="24"/>
          <w14:textFill>
            <w14:solidFill>
              <w14:schemeClr w14:val="tx1"/>
            </w14:solidFill>
          </w14:textFill>
        </w:rPr>
        <w:t>桩基础，不计桩长，不宜小于房屋高度的</w:t>
      </w:r>
      <w:r>
        <w:rPr>
          <w:rFonts w:ascii="宋体" w:hAnsi="宋体"/>
          <w:color w:val="000000" w:themeColor="text1"/>
          <w:sz w:val="24"/>
          <w:szCs w:val="24"/>
          <w14:textFill>
            <w14:solidFill>
              <w14:schemeClr w14:val="tx1"/>
            </w14:solidFill>
          </w14:textFill>
        </w:rPr>
        <w:t>1/18</w:t>
      </w:r>
      <w:r>
        <w:rPr>
          <w:rFonts w:hint="eastAsia" w:ascii="宋体" w:hAnsi="宋体"/>
          <w:color w:val="000000" w:themeColor="text1"/>
          <w:sz w:val="24"/>
          <w:szCs w:val="24"/>
          <w14:textFill>
            <w14:solidFill>
              <w14:schemeClr w14:val="tx1"/>
            </w14:solidFill>
          </w14:textFill>
        </w:rPr>
        <w:t>。</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当建筑物采用岩石地基或采取有效措施时，在满足地基承载力、稳定性要求及本规程第10</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5条规定的前提下，基础埋深可比本条第</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两款的规定适当放松。</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当建筑物处于斜坡地带,地基可能产生滑移时，应采取有效的抗滑移措施,必要时还应验算建筑物的抗倾覆稳定性。</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高层建筑的基础和与其相连的裙房的基础不设沉降缝时，应采取有效措施减少差异沉降及其影响；</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高层建筑基础的混凝土强度等级不宜低于</w:t>
      </w:r>
      <w:r>
        <w:rPr>
          <w:color w:val="000000" w:themeColor="text1"/>
          <w:lang w:eastAsia="zh-CN"/>
          <w14:textFill>
            <w14:solidFill>
              <w14:schemeClr w14:val="tx1"/>
            </w14:solidFill>
          </w14:textFill>
        </w:rPr>
        <w:t>C</w:t>
      </w:r>
      <w:r>
        <w:rPr>
          <w:rFonts w:hint="eastAsia"/>
          <w:color w:val="000000" w:themeColor="text1"/>
          <w:lang w:eastAsia="zh-CN"/>
          <w14:textFill>
            <w14:solidFill>
              <w14:schemeClr w14:val="tx1"/>
            </w14:solidFill>
          </w14:textFill>
        </w:rPr>
        <w:t>30。当有防水要求时，混凝土抗渗等级应根据基础埋置深度按表10</w:t>
      </w:r>
      <w:r>
        <w:rPr>
          <w:color w:val="000000" w:themeColor="text1"/>
          <w:lang w:eastAsia="zh-CN"/>
          <w14:textFill>
            <w14:solidFill>
              <w14:schemeClr w14:val="tx1"/>
            </w14:solidFill>
          </w14:textFill>
        </w:rPr>
        <w:t>.1.</w:t>
      </w:r>
      <w:r>
        <w:rPr>
          <w:rFonts w:hint="eastAsia"/>
          <w:color w:val="000000" w:themeColor="text1"/>
          <w:lang w:eastAsia="zh-CN"/>
          <w14:textFill>
            <w14:solidFill>
              <w14:schemeClr w14:val="tx1"/>
            </w14:solidFill>
          </w14:textFill>
        </w:rPr>
        <w:t>9采用，必要时可设置架空排水层。</w:t>
      </w:r>
    </w:p>
    <w:p>
      <w:pPr>
        <w:spacing w:line="240" w:lineRule="auto"/>
        <w:ind w:left="0" w:firstLine="1308" w:firstLineChars="543"/>
        <w:jc w:val="center"/>
        <w:rPr>
          <w:rFonts w:ascii="Times New Roman" w:hAnsi="宋体"/>
          <w:b/>
          <w:color w:val="000000" w:themeColor="text1"/>
          <w:sz w:val="24"/>
          <w:szCs w:val="24"/>
          <w14:textFill>
            <w14:solidFill>
              <w14:schemeClr w14:val="tx1"/>
            </w14:solidFill>
          </w14:textFill>
        </w:rPr>
      </w:pPr>
    </w:p>
    <w:p>
      <w:pPr>
        <w:spacing w:line="240" w:lineRule="auto"/>
        <w:ind w:left="0" w:firstLine="1308" w:firstLineChars="543"/>
        <w:jc w:val="center"/>
        <w:rPr>
          <w:rFonts w:ascii="Times New Roman" w:hAnsi="宋体"/>
          <w:b/>
          <w:color w:val="000000" w:themeColor="text1"/>
          <w:sz w:val="24"/>
          <w:szCs w:val="24"/>
          <w14:textFill>
            <w14:solidFill>
              <w14:schemeClr w14:val="tx1"/>
            </w14:solidFill>
          </w14:textFill>
        </w:rPr>
      </w:pPr>
    </w:p>
    <w:p>
      <w:pPr>
        <w:spacing w:line="240" w:lineRule="auto"/>
        <w:ind w:left="0" w:firstLine="1308" w:firstLineChars="543"/>
        <w:jc w:val="center"/>
        <w:rPr>
          <w:rFonts w:ascii="Times New Roman" w:hAnsi="宋体"/>
          <w:b/>
          <w:color w:val="000000" w:themeColor="text1"/>
          <w:sz w:val="24"/>
          <w:szCs w:val="24"/>
          <w14:textFill>
            <w14:solidFill>
              <w14:schemeClr w14:val="tx1"/>
            </w14:solidFill>
          </w14:textFill>
        </w:rPr>
      </w:pPr>
      <w:r>
        <w:rPr>
          <w:rFonts w:hint="eastAsia" w:ascii="Times New Roman" w:hAnsi="宋体"/>
          <w:b/>
          <w:color w:val="000000" w:themeColor="text1"/>
          <w:sz w:val="24"/>
          <w:szCs w:val="24"/>
          <w14:textFill>
            <w14:solidFill>
              <w14:schemeClr w14:val="tx1"/>
            </w14:solidFill>
          </w14:textFill>
        </w:rPr>
        <w:t>表10</w:t>
      </w:r>
      <w:r>
        <w:rPr>
          <w:rFonts w:ascii="Times New Roman" w:hAnsi="宋体"/>
          <w:b/>
          <w:color w:val="000000" w:themeColor="text1"/>
          <w:sz w:val="24"/>
          <w:szCs w:val="24"/>
          <w14:textFill>
            <w14:solidFill>
              <w14:schemeClr w14:val="tx1"/>
            </w14:solidFill>
          </w14:textFill>
        </w:rPr>
        <w:t>.1.</w:t>
      </w:r>
      <w:r>
        <w:rPr>
          <w:rFonts w:hint="eastAsia" w:ascii="Times New Roman" w:hAnsi="宋体"/>
          <w:b/>
          <w:color w:val="000000" w:themeColor="text1"/>
          <w:sz w:val="24"/>
          <w:szCs w:val="24"/>
          <w14:textFill>
            <w14:solidFill>
              <w14:schemeClr w14:val="tx1"/>
            </w14:solidFill>
          </w14:textFill>
        </w:rPr>
        <w:t>9</w:t>
      </w:r>
      <w:r>
        <w:rPr>
          <w:rFonts w:ascii="Times New Roman" w:hAnsi="宋体"/>
          <w:b/>
          <w:color w:val="000000" w:themeColor="text1"/>
          <w:sz w:val="24"/>
          <w:szCs w:val="24"/>
          <w14:textFill>
            <w14:solidFill>
              <w14:schemeClr w14:val="tx1"/>
            </w14:solidFill>
          </w14:textFill>
        </w:rPr>
        <w:t xml:space="preserve">  </w:t>
      </w:r>
      <w:r>
        <w:rPr>
          <w:rFonts w:hint="eastAsia" w:ascii="Times New Roman" w:hAnsi="宋体"/>
          <w:b/>
          <w:color w:val="000000" w:themeColor="text1"/>
          <w:sz w:val="24"/>
          <w:szCs w:val="24"/>
          <w14:textFill>
            <w14:solidFill>
              <w14:schemeClr w14:val="tx1"/>
            </w14:solidFill>
          </w14:textFill>
        </w:rPr>
        <w:t>基础防水混凝土的抗渗等级</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uto"/>
              <w:jc w:val="center"/>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基础埋置深度</w:t>
            </w:r>
            <w:r>
              <w:rPr>
                <w:rFonts w:ascii="宋体" w:hAnsi="宋体"/>
                <w:color w:val="000000" w:themeColor="text1"/>
                <w:szCs w:val="21"/>
                <w14:textFill>
                  <w14:solidFill>
                    <w14:schemeClr w14:val="tx1"/>
                  </w14:solidFill>
                </w14:textFill>
              </w:rPr>
              <w:t>H</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m</w:t>
            </w:r>
            <w:r>
              <w:rPr>
                <w:rFonts w:hint="eastAsia" w:ascii="宋体" w:hAnsi="宋体"/>
                <w:color w:val="000000" w:themeColor="text1"/>
                <w:szCs w:val="21"/>
                <w14:textFill>
                  <w14:solidFill>
                    <w14:schemeClr w14:val="tx1"/>
                  </w14:solidFill>
                </w14:textFill>
              </w:rPr>
              <w:t>）</w:t>
            </w:r>
          </w:p>
        </w:tc>
        <w:tc>
          <w:tcPr>
            <w:tcW w:w="4261" w:type="dxa"/>
            <w:vAlign w:val="center"/>
          </w:tcPr>
          <w:p>
            <w:pPr>
              <w:spacing w:line="240" w:lineRule="auto"/>
              <w:jc w:val="center"/>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抗渗等级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uto"/>
              <w:jc w:val="center"/>
              <w:rPr>
                <w:rFonts w:asci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H</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10</w:t>
            </w:r>
          </w:p>
        </w:tc>
        <w:tc>
          <w:tcPr>
            <w:tcW w:w="4261" w:type="dxa"/>
            <w:vAlign w:val="center"/>
          </w:tcPr>
          <w:p>
            <w:pPr>
              <w:spacing w:line="240" w:lineRule="auto"/>
              <w:jc w:val="center"/>
              <w:rPr>
                <w:rFonts w:asci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P6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261" w:type="dxa"/>
            <w:vAlign w:val="center"/>
          </w:tcPr>
          <w:p>
            <w:pPr>
              <w:spacing w:line="240" w:lineRule="auto"/>
              <w:jc w:val="center"/>
              <w:rPr>
                <w:rFonts w:asci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H</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20</w:t>
            </w:r>
          </w:p>
        </w:tc>
        <w:tc>
          <w:tcPr>
            <w:tcW w:w="4261" w:type="dxa"/>
            <w:vAlign w:val="center"/>
          </w:tcPr>
          <w:p>
            <w:pPr>
              <w:spacing w:line="240" w:lineRule="auto"/>
              <w:jc w:val="center"/>
              <w:rPr>
                <w:rFonts w:asci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P8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uto"/>
              <w:jc w:val="center"/>
              <w:rPr>
                <w:rFonts w:asci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H</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30</w:t>
            </w:r>
          </w:p>
        </w:tc>
        <w:tc>
          <w:tcPr>
            <w:tcW w:w="4261" w:type="dxa"/>
            <w:vAlign w:val="center"/>
          </w:tcPr>
          <w:p>
            <w:pPr>
              <w:spacing w:line="240" w:lineRule="auto"/>
              <w:jc w:val="center"/>
              <w:rPr>
                <w:rFonts w:asci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P10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uto"/>
              <w:jc w:val="center"/>
              <w:rPr>
                <w:rFonts w:asci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H</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30</w:t>
            </w:r>
          </w:p>
        </w:tc>
        <w:tc>
          <w:tcPr>
            <w:tcW w:w="4261" w:type="dxa"/>
            <w:vAlign w:val="center"/>
          </w:tcPr>
          <w:p>
            <w:pPr>
              <w:spacing w:line="240" w:lineRule="auto"/>
              <w:jc w:val="center"/>
              <w:rPr>
                <w:rFonts w:asci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P12</w:t>
            </w:r>
          </w:p>
        </w:tc>
      </w:tr>
    </w:tbl>
    <w:p>
      <w:pPr>
        <w:pStyle w:val="61"/>
        <w:rPr>
          <w:color w:val="000000" w:themeColor="text1"/>
          <w14:textFill>
            <w14:solidFill>
              <w14:schemeClr w14:val="tx1"/>
            </w14:solidFill>
          </w14:textFill>
        </w:rPr>
      </w:pPr>
      <w:bookmarkStart w:id="72" w:name="_Toc24714235"/>
      <w:r>
        <w:rPr>
          <w:rFonts w:hint="eastAsia"/>
          <w:color w:val="000000" w:themeColor="text1"/>
          <w14:textFill>
            <w14:solidFill>
              <w14:schemeClr w14:val="tx1"/>
            </w14:solidFill>
          </w14:textFill>
        </w:rPr>
        <w:t>桩基础</w:t>
      </w:r>
      <w:bookmarkEnd w:id="72"/>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本地区高层建筑常用的桩基础主要有预压力管桩和大直径灌注桩两种，后者可采用旋挖桩、钻（冲）孔灌注桩和人工挖孔灌注桩等。</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桩基础的设计和施工应符合现行行业标准《建筑桩基技术规范》JGJ94和现行深圳市标准《地基基础勘察设计规范》</w:t>
      </w:r>
      <w:r>
        <w:rPr>
          <w:color w:val="000000" w:themeColor="text1"/>
          <w:lang w:eastAsia="zh-CN"/>
          <w14:textFill>
            <w14:solidFill>
              <w14:schemeClr w14:val="tx1"/>
            </w14:solidFill>
          </w14:textFill>
        </w:rPr>
        <w:t>SJG01</w:t>
      </w:r>
      <w:r>
        <w:rPr>
          <w:rFonts w:hint="eastAsia"/>
          <w:color w:val="000000" w:themeColor="text1"/>
          <w:lang w:eastAsia="zh-CN"/>
          <w14:textFill>
            <w14:solidFill>
              <w14:schemeClr w14:val="tx1"/>
            </w14:solidFill>
          </w14:textFill>
        </w:rPr>
        <w:t>的有关规定。</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桩的布置应符合下列规定：</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   桩的最小中心距应满足表10.2.3的要求；</w:t>
      </w:r>
    </w:p>
    <w:p>
      <w:pPr>
        <w:spacing w:line="240" w:lineRule="auto"/>
        <w:ind w:left="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表 10.2.3 桩的最小中心距</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947"/>
        <w:gridCol w:w="2314"/>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7" w:type="dxa"/>
            <w:gridSpan w:val="2"/>
            <w:vAlign w:val="center"/>
          </w:tcPr>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桩的类型</w:t>
            </w:r>
          </w:p>
        </w:tc>
        <w:tc>
          <w:tcPr>
            <w:tcW w:w="2314" w:type="dxa"/>
            <w:vAlign w:val="center"/>
          </w:tcPr>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排数不少于2排或桩数不少于9根的摩擦桩</w:t>
            </w:r>
          </w:p>
        </w:tc>
        <w:tc>
          <w:tcPr>
            <w:tcW w:w="2131" w:type="dxa"/>
            <w:vAlign w:val="center"/>
          </w:tcPr>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其他情况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7" w:type="dxa"/>
            <w:gridSpan w:val="2"/>
            <w:vAlign w:val="center"/>
          </w:tcPr>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预应力混凝土管桩、预制混凝土方桩、钢桩</w:t>
            </w:r>
          </w:p>
        </w:tc>
        <w:tc>
          <w:tcPr>
            <w:tcW w:w="2314" w:type="dxa"/>
            <w:vAlign w:val="center"/>
          </w:tcPr>
          <w:p>
            <w:pPr>
              <w:spacing w:line="240" w:lineRule="auto"/>
              <w:ind w:left="0"/>
              <w:jc w:val="center"/>
              <w:rPr>
                <w:rFonts w:asciiTheme="minorEastAsia" w:hAnsiTheme="minorEastAsia" w:eastAsiaTheme="minorEastAsia"/>
                <w:i/>
                <w:iCs/>
                <w:color w:val="000000" w:themeColor="text1"/>
                <w:szCs w:val="21"/>
                <w14:textFill>
                  <w14:solidFill>
                    <w14:schemeClr w14:val="tx1"/>
                  </w14:solidFill>
                </w14:textFill>
              </w:rPr>
            </w:pPr>
            <w:r>
              <w:rPr>
                <w:rFonts w:hint="eastAsia" w:asciiTheme="minorEastAsia" w:hAnsiTheme="minorEastAsia" w:eastAsiaTheme="minorEastAsia"/>
                <w:i/>
                <w:iCs/>
                <w:color w:val="000000" w:themeColor="text1"/>
                <w:szCs w:val="21"/>
                <w14:textFill>
                  <w14:solidFill>
                    <w14:schemeClr w14:val="tx1"/>
                  </w14:solidFill>
                </w14:textFill>
              </w:rPr>
              <w:t>4.0d</w:t>
            </w:r>
          </w:p>
        </w:tc>
        <w:tc>
          <w:tcPr>
            <w:tcW w:w="2131" w:type="dxa"/>
            <w:vAlign w:val="center"/>
          </w:tcPr>
          <w:p>
            <w:pPr>
              <w:spacing w:line="240" w:lineRule="auto"/>
              <w:ind w:left="0"/>
              <w:jc w:val="center"/>
              <w:rPr>
                <w:rFonts w:asciiTheme="minorEastAsia" w:hAnsiTheme="minorEastAsia" w:eastAsiaTheme="minorEastAsia"/>
                <w:i/>
                <w:iCs/>
                <w:color w:val="000000" w:themeColor="text1"/>
                <w:szCs w:val="21"/>
                <w14:textFill>
                  <w14:solidFill>
                    <w14:schemeClr w14:val="tx1"/>
                  </w14:solidFill>
                </w14:textFill>
              </w:rPr>
            </w:pPr>
            <w:r>
              <w:rPr>
                <w:rFonts w:hint="eastAsia" w:asciiTheme="minorEastAsia" w:hAnsiTheme="minorEastAsia" w:eastAsiaTheme="minorEastAsia"/>
                <w:i/>
                <w:iCs/>
                <w:color w:val="000000" w:themeColor="text1"/>
                <w:szCs w:val="21"/>
                <w14:textFill>
                  <w14:solidFill>
                    <w14:schemeClr w14:val="tx1"/>
                  </w14:solidFill>
                </w14:textFill>
              </w:rPr>
              <w:t>3.5d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vAlign w:val="center"/>
          </w:tcPr>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人工挖孔桩</w:t>
            </w:r>
          </w:p>
        </w:tc>
        <w:tc>
          <w:tcPr>
            <w:tcW w:w="1947" w:type="dxa"/>
            <w:vAlign w:val="center"/>
          </w:tcPr>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不扩底</w:t>
            </w:r>
          </w:p>
        </w:tc>
        <w:tc>
          <w:tcPr>
            <w:tcW w:w="2314" w:type="dxa"/>
            <w:vAlign w:val="center"/>
          </w:tcPr>
          <w:p>
            <w:pPr>
              <w:spacing w:line="240" w:lineRule="auto"/>
              <w:ind w:left="0"/>
              <w:jc w:val="center"/>
              <w:rPr>
                <w:rFonts w:asciiTheme="minorEastAsia" w:hAnsiTheme="minorEastAsia" w:eastAsiaTheme="minorEastAsia"/>
                <w:i/>
                <w:iCs/>
                <w:color w:val="000000" w:themeColor="text1"/>
                <w:szCs w:val="21"/>
                <w14:textFill>
                  <w14:solidFill>
                    <w14:schemeClr w14:val="tx1"/>
                  </w14:solidFill>
                </w14:textFill>
              </w:rPr>
            </w:pPr>
            <w:r>
              <w:rPr>
                <w:rFonts w:hint="eastAsia" w:asciiTheme="minorEastAsia" w:hAnsiTheme="minorEastAsia" w:eastAsiaTheme="minorEastAsia"/>
                <w:i/>
                <w:iCs/>
                <w:color w:val="000000" w:themeColor="text1"/>
                <w:szCs w:val="21"/>
                <w14:textFill>
                  <w14:solidFill>
                    <w14:schemeClr w14:val="tx1"/>
                  </w14:solidFill>
                </w14:textFill>
              </w:rPr>
              <w:t>3.0d</w:t>
            </w:r>
          </w:p>
        </w:tc>
        <w:tc>
          <w:tcPr>
            <w:tcW w:w="2131" w:type="dxa"/>
            <w:vAlign w:val="center"/>
          </w:tcPr>
          <w:p>
            <w:pPr>
              <w:spacing w:line="240" w:lineRule="auto"/>
              <w:ind w:left="0"/>
              <w:jc w:val="center"/>
              <w:rPr>
                <w:rFonts w:asciiTheme="minorEastAsia" w:hAnsiTheme="minorEastAsia" w:eastAsiaTheme="minorEastAsia"/>
                <w:i/>
                <w:iCs/>
                <w:color w:val="000000" w:themeColor="text1"/>
                <w:szCs w:val="21"/>
                <w14:textFill>
                  <w14:solidFill>
                    <w14:schemeClr w14:val="tx1"/>
                  </w14:solidFill>
                </w14:textFill>
              </w:rPr>
            </w:pPr>
            <w:r>
              <w:rPr>
                <w:rFonts w:hint="eastAsia" w:asciiTheme="minorEastAsia" w:hAnsiTheme="minorEastAsia" w:eastAsiaTheme="minorEastAsia"/>
                <w:i/>
                <w:iCs/>
                <w:color w:val="000000" w:themeColor="text1"/>
                <w:szCs w:val="21"/>
                <w14:textFill>
                  <w14:solidFill>
                    <w14:schemeClr w14:val="tx1"/>
                  </w14:solidFill>
                </w14:textFill>
              </w:rPr>
              <w:t>2.5d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p>
        </w:tc>
        <w:tc>
          <w:tcPr>
            <w:tcW w:w="1947" w:type="dxa"/>
            <w:vAlign w:val="center"/>
          </w:tcPr>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扩底</w:t>
            </w:r>
          </w:p>
        </w:tc>
        <w:tc>
          <w:tcPr>
            <w:tcW w:w="4445" w:type="dxa"/>
            <w:gridSpan w:val="2"/>
            <w:vAlign w:val="center"/>
          </w:tcPr>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 xml:space="preserve">   持力层为强风化以上土层时，扩大头净距宜不小于1.5m；</w:t>
            </w:r>
          </w:p>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 xml:space="preserve">   持力层为中、微风化基岩时，扩大头净距宜不小于1.0m。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7" w:type="dxa"/>
            <w:gridSpan w:val="2"/>
            <w:vAlign w:val="center"/>
          </w:tcPr>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钻（冲）孔灌注桩、旋挖桩</w:t>
            </w:r>
          </w:p>
        </w:tc>
        <w:tc>
          <w:tcPr>
            <w:tcW w:w="2314" w:type="dxa"/>
            <w:vAlign w:val="center"/>
          </w:tcPr>
          <w:p>
            <w:pPr>
              <w:spacing w:line="240" w:lineRule="auto"/>
              <w:ind w:left="0"/>
              <w:jc w:val="center"/>
              <w:rPr>
                <w:rFonts w:asciiTheme="minorEastAsia" w:hAnsiTheme="minorEastAsia" w:eastAsiaTheme="minorEastAsia"/>
                <w:i/>
                <w:iCs/>
                <w:color w:val="000000" w:themeColor="text1"/>
                <w:szCs w:val="21"/>
                <w14:textFill>
                  <w14:solidFill>
                    <w14:schemeClr w14:val="tx1"/>
                  </w14:solidFill>
                </w14:textFill>
              </w:rPr>
            </w:pPr>
            <w:r>
              <w:rPr>
                <w:rFonts w:hint="eastAsia" w:asciiTheme="minorEastAsia" w:hAnsiTheme="minorEastAsia" w:eastAsiaTheme="minorEastAsia"/>
                <w:i/>
                <w:iCs/>
                <w:color w:val="000000" w:themeColor="text1"/>
                <w:szCs w:val="21"/>
                <w14:textFill>
                  <w14:solidFill>
                    <w14:schemeClr w14:val="tx1"/>
                  </w14:solidFill>
                </w14:textFill>
              </w:rPr>
              <w:t>3.0d</w:t>
            </w:r>
          </w:p>
        </w:tc>
        <w:tc>
          <w:tcPr>
            <w:tcW w:w="2131" w:type="dxa"/>
            <w:vAlign w:val="center"/>
          </w:tcPr>
          <w:p>
            <w:pPr>
              <w:spacing w:line="240" w:lineRule="auto"/>
              <w:ind w:left="0"/>
              <w:jc w:val="center"/>
              <w:rPr>
                <w:rFonts w:asciiTheme="minorEastAsia" w:hAnsiTheme="minorEastAsia" w:eastAsiaTheme="minorEastAsia"/>
                <w:i/>
                <w:iCs/>
                <w:color w:val="000000" w:themeColor="text1"/>
                <w:szCs w:val="21"/>
                <w14:textFill>
                  <w14:solidFill>
                    <w14:schemeClr w14:val="tx1"/>
                  </w14:solidFill>
                </w14:textFill>
              </w:rPr>
            </w:pPr>
            <w:r>
              <w:rPr>
                <w:rFonts w:hint="eastAsia" w:asciiTheme="minorEastAsia" w:hAnsiTheme="minorEastAsia" w:eastAsiaTheme="minorEastAsia"/>
                <w:i/>
                <w:iCs/>
                <w:color w:val="000000" w:themeColor="text1"/>
                <w:szCs w:val="21"/>
                <w14:textFill>
                  <w14:solidFill>
                    <w14:schemeClr w14:val="tx1"/>
                  </w14:solidFill>
                </w14:textFill>
              </w:rPr>
              <w:t>2.5d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vAlign w:val="center"/>
          </w:tcPr>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钻孔扩底灌注桩</w:t>
            </w:r>
          </w:p>
        </w:tc>
        <w:tc>
          <w:tcPr>
            <w:tcW w:w="1947" w:type="dxa"/>
            <w:vAlign w:val="center"/>
          </w:tcPr>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D≤2.5 m</w:t>
            </w:r>
          </w:p>
        </w:tc>
        <w:tc>
          <w:tcPr>
            <w:tcW w:w="4445" w:type="dxa"/>
            <w:gridSpan w:val="2"/>
            <w:vAlign w:val="center"/>
          </w:tcPr>
          <w:p>
            <w:pPr>
              <w:spacing w:line="240" w:lineRule="auto"/>
              <w:ind w:left="0"/>
              <w:jc w:val="center"/>
              <w:rPr>
                <w:rFonts w:asciiTheme="minorEastAsia" w:hAnsiTheme="minorEastAsia" w:eastAsiaTheme="minorEastAsia"/>
                <w:i/>
                <w:iCs/>
                <w:color w:val="000000" w:themeColor="text1"/>
                <w:szCs w:val="21"/>
                <w14:textFill>
                  <w14:solidFill>
                    <w14:schemeClr w14:val="tx1"/>
                  </w14:solidFill>
                </w14:textFill>
              </w:rPr>
            </w:pPr>
            <w:r>
              <w:rPr>
                <w:rFonts w:hint="eastAsia" w:asciiTheme="minorEastAsia" w:hAnsiTheme="minorEastAsia" w:eastAsiaTheme="minorEastAsia"/>
                <w:i/>
                <w:iCs/>
                <w:color w:val="000000" w:themeColor="text1"/>
                <w:szCs w:val="21"/>
                <w14:textFill>
                  <w14:solidFill>
                    <w14:schemeClr w14:val="tx1"/>
                  </w14:solidFill>
                </w14:textFill>
              </w:rPr>
              <w:t>D+1.0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vMerge w:val="continue"/>
            <w:vAlign w:val="center"/>
          </w:tcPr>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p>
        </w:tc>
        <w:tc>
          <w:tcPr>
            <w:tcW w:w="1947" w:type="dxa"/>
            <w:vAlign w:val="center"/>
          </w:tcPr>
          <w:p>
            <w:pPr>
              <w:spacing w:line="240" w:lineRule="auto"/>
              <w:ind w:left="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D＞2.5 m</w:t>
            </w:r>
          </w:p>
        </w:tc>
        <w:tc>
          <w:tcPr>
            <w:tcW w:w="4445" w:type="dxa"/>
            <w:gridSpan w:val="2"/>
            <w:vAlign w:val="center"/>
          </w:tcPr>
          <w:p>
            <w:pPr>
              <w:spacing w:line="240" w:lineRule="auto"/>
              <w:ind w:left="0"/>
              <w:jc w:val="center"/>
              <w:rPr>
                <w:rFonts w:asciiTheme="minorEastAsia" w:hAnsiTheme="minorEastAsia" w:eastAsiaTheme="minorEastAsia"/>
                <w:i/>
                <w:iCs/>
                <w:color w:val="000000" w:themeColor="text1"/>
                <w:szCs w:val="21"/>
                <w14:textFill>
                  <w14:solidFill>
                    <w14:schemeClr w14:val="tx1"/>
                  </w14:solidFill>
                </w14:textFill>
              </w:rPr>
            </w:pPr>
            <w:r>
              <w:rPr>
                <w:rFonts w:hint="eastAsia" w:asciiTheme="minorEastAsia" w:hAnsiTheme="minorEastAsia" w:eastAsiaTheme="minorEastAsia"/>
                <w:i/>
                <w:iCs/>
                <w:color w:val="000000" w:themeColor="text1"/>
                <w:szCs w:val="21"/>
                <w14:textFill>
                  <w14:solidFill>
                    <w14:schemeClr w14:val="tx1"/>
                  </w14:solidFill>
                </w14:textFill>
              </w:rPr>
              <w:t>D+1.5 m</w:t>
            </w:r>
          </w:p>
        </w:tc>
      </w:tr>
    </w:tbl>
    <w:p>
      <w:pPr>
        <w:spacing w:line="240" w:lineRule="auto"/>
        <w:ind w:left="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注：1   表中d为桩身直径，D为扩底直径（扩大头）；</w:t>
      </w:r>
    </w:p>
    <w:p>
      <w:pPr>
        <w:spacing w:line="240" w:lineRule="auto"/>
        <w:ind w:left="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2   人工挖孔桩、钻孔扩底灌注桩采用表中最小中心距时，应间隔施工。</w:t>
      </w:r>
    </w:p>
    <w:p>
      <w:pPr>
        <w:spacing w:line="240" w:lineRule="auto"/>
        <w:ind w:left="0"/>
        <w:rPr>
          <w:rFonts w:ascii="宋体" w:hAnsi="宋体"/>
          <w:color w:val="000000" w:themeColor="text1"/>
          <w:szCs w:val="21"/>
          <w14:textFill>
            <w14:solidFill>
              <w14:schemeClr w14:val="tx1"/>
            </w14:solidFill>
          </w14:textFill>
        </w:rPr>
      </w:pP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桩的布置应与上部结构形式、荷载类型、大小与分布一致，且宜布置在柱墙等竖向结构之下；大直径桩或扩底桩宜采用一柱一桩；多桩或群桩结构宜使多桩或群桩承载力的合力点与其上部结构长期荷载作用点重合；同一结构单元不宜同时采用不同受力类型的桩；</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   断桩补桩时，桩间距宜满足最小桩间距和群桩形心位置偏差的要求。</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采用人工挖孔灌注桩时，应评估施工降水对周边环境的影响。周边建（物）筑物或道路、地下管线对沉降有明确要求时，应设置截水帷幕和水位观测井及回灌井，确保周边地下水位不会产生过大下降，必要时尚应进行基岩裂隙灌浆。如果周边存在地铁、重要建（构）筑物等对沉降有严格限制时，不宜采用人工挖孔桩，必须采用时应经过专门论证并采取可靠的截水措施和预防措施。</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灌注桩基础宜以中、微风化岩层作为持力层，当以花岗岩强风化、全风化或残积土作为桩端持力层时，应注意花岗岩残积土和全风化、强风化岩遇水易软化、强度下降等问题，并采取桩底后注浆等措施保证桩端阻力能达到设计要求。</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花岗岩残积土或风化岩层中，采用泥浆护壁的冲（钻）孔桩或旋挖桩，应注意桩周土层扰动、软化、崩解等现象，护壁泥皮也会使桩侧摩阻力下降。当这类桩兼作抗拔桩时，应通过试桩确定其单桩承载力或抗拉力, 在初步设计估算单桩抗拔力时，抗拔摩阻力折减系数宜取0.3</w:t>
      </w:r>
      <w:r>
        <w:rPr>
          <w:color w:val="000000" w:themeColor="text1"/>
          <w:lang w:eastAsia="zh-CN"/>
          <w14:textFill>
            <w14:solidFill>
              <w14:schemeClr w14:val="tx1"/>
            </w14:solidFill>
          </w14:textFill>
        </w:rPr>
        <w:t>0～</w:t>
      </w:r>
      <w:r>
        <w:rPr>
          <w:rFonts w:hint="eastAsia"/>
          <w:color w:val="000000" w:themeColor="text1"/>
          <w:lang w:eastAsia="zh-CN"/>
          <w14:textFill>
            <w14:solidFill>
              <w14:schemeClr w14:val="tx1"/>
            </w14:solidFill>
          </w14:textFill>
        </w:rPr>
        <w:t>0.50。</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如果采用先挖基坑后施工桩基，应注意基坑外侧高水位对桩基成孔时孔壁稳定性的影响，并采取有效措施防止孔壁塌孔和桩身冒水现象。</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岩溶发育或花岗岩风化球发育地区采用桩基础时，应每桩进行超前钻孔，确定桩端岩层状态，保证桩端处于设计持力层中。必要时，应对溶洞进行填充和注浆加固，如果检测发现桩端岩层下有溶洞且岩层厚度不满足要求，应采取补救或补桩处理。</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在滨海软土地基施工桩基础时，宜采用钢管护壁并控制拔管速度；宜先挖基坑后施工桩基，如果先施工桩基后开挖基坑，应分层均衡开挖，每层开挖厚度不大于</w:t>
      </w:r>
      <w:r>
        <w:rPr>
          <w:color w:val="000000" w:themeColor="text1"/>
          <w:lang w:eastAsia="zh-CN"/>
          <w14:textFill>
            <w14:solidFill>
              <w14:schemeClr w14:val="tx1"/>
            </w14:solidFill>
          </w14:textFill>
        </w:rPr>
        <w:t>1.5m</w:t>
      </w:r>
      <w:r>
        <w:rPr>
          <w:rFonts w:hint="eastAsia"/>
          <w:color w:val="000000" w:themeColor="text1"/>
          <w:lang w:eastAsia="zh-CN"/>
          <w14:textFill>
            <w14:solidFill>
              <w14:schemeClr w14:val="tx1"/>
            </w14:solidFill>
          </w14:textFill>
        </w:rPr>
        <w:t>，避免已经做好的工程桩发生倾斜现象。</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对于超高层建筑采用超大直径桩基础时，应考虑桩身大体积混凝土温度应力的不利影响，并采用调整混凝土配比、控制入模温度等措施通过现场试验和检测保证混凝土的质量。如果采用人工挖孔桩，对超大直径桩孔护壁厚度和配筋应专门论证。</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下列地质条件下不宜采用预应力管桩基础：</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岩溶发育地区；</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花岗岩风化球发育地区；</w:t>
      </w:r>
    </w:p>
    <w:p>
      <w:pPr>
        <w:spacing w:line="240" w:lineRule="auto"/>
        <w:ind w:left="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 深厚杂填土地区。</w:t>
      </w:r>
    </w:p>
    <w:p>
      <w:pPr>
        <w:spacing w:line="240" w:lineRule="auto"/>
        <w:ind w:left="0" w:firstLine="480" w:firstLineChars="200"/>
        <w:rPr>
          <w:rFonts w:ascii="宋体" w:hAnsi="宋体"/>
          <w:color w:val="000000" w:themeColor="text1"/>
          <w:sz w:val="24"/>
          <w:szCs w:val="24"/>
          <w14:textFill>
            <w14:solidFill>
              <w14:schemeClr w14:val="tx1"/>
            </w14:solidFill>
          </w14:textFill>
        </w:rPr>
      </w:pPr>
    </w:p>
    <w:p>
      <w:pPr>
        <w:pStyle w:val="61"/>
        <w:rPr>
          <w:color w:val="000000" w:themeColor="text1"/>
          <w:lang w:eastAsia="zh-CN"/>
          <w14:textFill>
            <w14:solidFill>
              <w14:schemeClr w14:val="tx1"/>
            </w14:solidFill>
          </w14:textFill>
        </w:rPr>
      </w:pPr>
      <w:bookmarkStart w:id="73" w:name="_Toc24714236"/>
      <w:r>
        <w:rPr>
          <w:rFonts w:hint="eastAsia"/>
          <w:color w:val="000000" w:themeColor="text1"/>
          <w:lang w:eastAsia="zh-CN"/>
          <w14:textFill>
            <w14:solidFill>
              <w14:schemeClr w14:val="tx1"/>
            </w14:solidFill>
          </w14:textFill>
        </w:rPr>
        <w:t>天然地基基础和复合地基基础</w:t>
      </w:r>
      <w:bookmarkEnd w:id="73"/>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场地地质条件较好且可以采用天然地基时，高层建筑塔楼的基础宜采用筏形基础或箱形基础；对于裙房或纯地下室可采用柱下独立基础加防水板的做法，防水板应验算在水浮力作用下的承载力，必要时可设置抗浮锚杆或抗浮桩。</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筏形基础可采用平板式筏基或梁板式筏基。平板式筏基的板厚宜根据受冲切承载力计算确定，板厚不宜小于</w:t>
      </w:r>
      <w:r>
        <w:rPr>
          <w:color w:val="000000" w:themeColor="text1"/>
          <w:lang w:eastAsia="zh-CN"/>
          <w14:textFill>
            <w14:solidFill>
              <w14:schemeClr w14:val="tx1"/>
            </w14:solidFill>
          </w14:textFill>
        </w:rPr>
        <w:t>400mm</w:t>
      </w:r>
      <w:r>
        <w:rPr>
          <w:rFonts w:hint="eastAsia"/>
          <w:color w:val="000000" w:themeColor="text1"/>
          <w:lang w:eastAsia="zh-CN"/>
          <w14:textFill>
            <w14:solidFill>
              <w14:schemeClr w14:val="tx1"/>
            </w14:solidFill>
          </w14:textFill>
        </w:rPr>
        <w:t>。冲切计算时，应考虑作用在冲切临界截面重心上的不平衡弯矩所产生的附加剪力。当筏板在个别桩位不满足受冲切承载力要求时，可将该柱下的筏板局部加厚或配置抗冲切钢筋。</w:t>
      </w:r>
    </w:p>
    <w:p>
      <w:pPr>
        <w:pStyle w:val="119"/>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当地基土比较均匀、上部结构刚度较好、上部结构柱间距及柱荷载的变化不超过</w:t>
      </w:r>
      <w:r>
        <w:rPr>
          <w:color w:val="000000" w:themeColor="text1"/>
          <w:lang w:eastAsia="zh-CN"/>
          <w14:textFill>
            <w14:solidFill>
              <w14:schemeClr w14:val="tx1"/>
            </w14:solidFill>
          </w14:textFill>
        </w:rPr>
        <w:t>20%</w:t>
      </w:r>
      <w:r>
        <w:rPr>
          <w:rFonts w:hint="eastAsia"/>
          <w:color w:val="000000" w:themeColor="text1"/>
          <w:lang w:eastAsia="zh-CN"/>
          <w14:textFill>
            <w14:solidFill>
              <w14:schemeClr w14:val="tx1"/>
            </w14:solidFill>
          </w14:textFill>
        </w:rPr>
        <w:t>时，高层建筑的筏形基础可仅考虑局部弯曲作用，按倒楼盖法计算。</w:t>
      </w:r>
      <w:r>
        <w:rPr>
          <w:rFonts w:hint="eastAsia"/>
          <w:color w:val="000000" w:themeColor="text1"/>
          <w14:textFill>
            <w14:solidFill>
              <w14:schemeClr w14:val="tx1"/>
            </w14:solidFill>
          </w14:textFill>
        </w:rPr>
        <w:t>当不符合上述条件时，宜按弹性地基板计算。</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箱形基础的平面尺寸应根据地基土承载力和上部结构布置以及荷载大小等因素确定。外墙宜沿建筑物周边布置，内墙应沿上部结构的柱网或剪力墙位置纵横均匀布置，墙体水平截面总面积不宜小于箱形基础外墙外包尺寸的水平投影面积的</w:t>
      </w:r>
      <w:r>
        <w:rPr>
          <w:color w:val="000000" w:themeColor="text1"/>
          <w:lang w:eastAsia="zh-CN"/>
          <w14:textFill>
            <w14:solidFill>
              <w14:schemeClr w14:val="tx1"/>
            </w14:solidFill>
          </w14:textFill>
        </w:rPr>
        <w:t>1/10</w:t>
      </w:r>
      <w:r>
        <w:rPr>
          <w:rFonts w:hint="eastAsia"/>
          <w:color w:val="000000" w:themeColor="text1"/>
          <w:lang w:eastAsia="zh-CN"/>
          <w14:textFill>
            <w14:solidFill>
              <w14:schemeClr w14:val="tx1"/>
            </w14:solidFill>
          </w14:textFill>
        </w:rPr>
        <w:t>。对基础平面长宽比大于</w:t>
      </w:r>
      <w:r>
        <w:rPr>
          <w:color w:val="000000" w:themeColor="text1"/>
          <w:lang w:eastAsia="zh-CN"/>
          <w14:textFill>
            <w14:solidFill>
              <w14:schemeClr w14:val="tx1"/>
            </w14:solidFill>
          </w14:textFill>
        </w:rPr>
        <w:t>4</w:t>
      </w:r>
      <w:r>
        <w:rPr>
          <w:rFonts w:hint="eastAsia"/>
          <w:color w:val="000000" w:themeColor="text1"/>
          <w:lang w:eastAsia="zh-CN"/>
          <w14:textFill>
            <w14:solidFill>
              <w14:schemeClr w14:val="tx1"/>
            </w14:solidFill>
          </w14:textFill>
        </w:rPr>
        <w:t>的箱形基础，其纵墙水平截面面积不应小于箱基外墙外包尺寸水平投影面积的</w:t>
      </w:r>
      <w:r>
        <w:rPr>
          <w:color w:val="000000" w:themeColor="text1"/>
          <w:lang w:eastAsia="zh-CN"/>
          <w14:textFill>
            <w14:solidFill>
              <w14:schemeClr w14:val="tx1"/>
            </w14:solidFill>
          </w14:textFill>
        </w:rPr>
        <w:t>1/18</w:t>
      </w:r>
      <w:r>
        <w:rPr>
          <w:rFonts w:hint="eastAsia"/>
          <w:color w:val="000000" w:themeColor="text1"/>
          <w:lang w:eastAsia="zh-CN"/>
          <w14:textFill>
            <w14:solidFill>
              <w14:schemeClr w14:val="tx1"/>
            </w14:solidFill>
          </w14:textFill>
        </w:rPr>
        <w:t>。</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当地基压缩层深度范围内的土层在竖向和水平方向皆较均匀，且上部结构为平立面布置较规则的框架、剪力墙、框架</w:t>
      </w:r>
      <w:r>
        <w:rPr>
          <w:color w:val="000000" w:themeColor="text1"/>
          <w:lang w:eastAsia="zh-CN"/>
          <w14:textFill>
            <w14:solidFill>
              <w14:schemeClr w14:val="tx1"/>
            </w14:solidFill>
          </w14:textFill>
        </w:rPr>
        <w:t>-</w:t>
      </w:r>
      <w:r>
        <w:rPr>
          <w:rFonts w:hint="eastAsia"/>
          <w:color w:val="000000" w:themeColor="text1"/>
          <w:lang w:eastAsia="zh-CN"/>
          <w14:textFill>
            <w14:solidFill>
              <w14:schemeClr w14:val="tx1"/>
            </w14:solidFill>
          </w14:textFill>
        </w:rPr>
        <w:t>剪力墙结构时，箱形基础的顶、底板可仅考虑局部弯曲进行计算；计算时，底板反力应扣除板的自重及其上面层和填土的自重，顶板荷载应按实际情况考虑。整体弯曲的影响可在构造上加以考虑。箱形基础的顶板和底板钢筋配置除符合计算要求外，纵横方向支座钢筋尚应有</w:t>
      </w:r>
      <w:r>
        <w:rPr>
          <w:color w:val="000000" w:themeColor="text1"/>
          <w:lang w:eastAsia="zh-CN"/>
          <w14:textFill>
            <w14:solidFill>
              <w14:schemeClr w14:val="tx1"/>
            </w14:solidFill>
          </w14:textFill>
        </w:rPr>
        <w:t>1/3～1/2</w:t>
      </w:r>
      <w:r>
        <w:rPr>
          <w:rFonts w:hint="eastAsia"/>
          <w:color w:val="000000" w:themeColor="text1"/>
          <w:lang w:eastAsia="zh-CN"/>
          <w14:textFill>
            <w14:solidFill>
              <w14:schemeClr w14:val="tx1"/>
            </w14:solidFill>
          </w14:textFill>
        </w:rPr>
        <w:t>贯通配置，跨中钢筋应按实际计算的配筋全部贯通。钢筋宜采用机械连接；采用搭接时，搭接长度应按受拉钢筋考虑。</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高层建筑在地质条件允许时也可采用复合地基。在龙岗中心区等岩溶发育地区，或者花岗岩风化球发育地区，如果覆盖层厚度满足要求，宜优先采用筏板基础、箱型基础或复合地基。</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复合地基的设计和施工要求应符合深圳市、广东省和现行行业标准《建筑地基处理技术规范》中相关规定；复合地基应进行现场载荷板实验确定其承载力，并对建筑物进行沉降观测，直至沉降达到基本稳定为止。</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高层建筑的复合地基宜采用管桩、水泥粉煤灰碎石桩（</w:t>
      </w:r>
      <w:r>
        <w:rPr>
          <w:color w:val="000000" w:themeColor="text1"/>
          <w:lang w:eastAsia="zh-CN"/>
          <w14:textFill>
            <w14:solidFill>
              <w14:schemeClr w14:val="tx1"/>
            </w14:solidFill>
          </w14:textFill>
        </w:rPr>
        <w:t>CFG</w:t>
      </w:r>
      <w:r>
        <w:rPr>
          <w:rFonts w:hint="eastAsia"/>
          <w:color w:val="000000" w:themeColor="text1"/>
          <w:lang w:eastAsia="zh-CN"/>
          <w14:textFill>
            <w14:solidFill>
              <w14:schemeClr w14:val="tx1"/>
            </w14:solidFill>
          </w14:textFill>
        </w:rPr>
        <w:t>桩）或低标号素混凝土桩（</w:t>
      </w:r>
      <w:r>
        <w:rPr>
          <w:color w:val="000000" w:themeColor="text1"/>
          <w:lang w:eastAsia="zh-CN"/>
          <w14:textFill>
            <w14:solidFill>
              <w14:schemeClr w14:val="tx1"/>
            </w14:solidFill>
          </w14:textFill>
        </w:rPr>
        <w:t>LC</w:t>
      </w:r>
      <w:r>
        <w:rPr>
          <w:rFonts w:hint="eastAsia"/>
          <w:color w:val="000000" w:themeColor="text1"/>
          <w:lang w:eastAsia="zh-CN"/>
          <w14:textFill>
            <w14:solidFill>
              <w14:schemeClr w14:val="tx1"/>
            </w14:solidFill>
          </w14:textFill>
        </w:rPr>
        <w:t>桩）等刚性桩复合地基，如采用搅拌桩等非刚性桩复合地基，应通过现场试验确定其适用性。</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当底板直接支承于岩层时，宜采用独立基础或条形基础。</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对浅部存在软土或松散填土时，应先采用预压、强夯或挤密等方法进行地基预处理，再进行复合地基施工。也可按现行行业标准《建筑地基处理技术规范》JGJ79-2002进行多桩型复合地基处理，采用刚性桩长桩为主，搅拌桩、旋喷桩或挤密砂石桩等对浅层软弱土层进行加固处理。</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水泥粉煤灰碎石桩（</w:t>
      </w:r>
      <w:r>
        <w:rPr>
          <w:color w:val="000000" w:themeColor="text1"/>
          <w:lang w:eastAsia="zh-CN"/>
          <w14:textFill>
            <w14:solidFill>
              <w14:schemeClr w14:val="tx1"/>
            </w14:solidFill>
          </w14:textFill>
        </w:rPr>
        <w:t>CFG</w:t>
      </w:r>
      <w:r>
        <w:rPr>
          <w:rFonts w:hint="eastAsia"/>
          <w:color w:val="000000" w:themeColor="text1"/>
          <w:lang w:eastAsia="zh-CN"/>
          <w14:textFill>
            <w14:solidFill>
              <w14:schemeClr w14:val="tx1"/>
            </w14:solidFill>
          </w14:textFill>
        </w:rPr>
        <w:t>桩）或低标号素混凝土桩（</w:t>
      </w:r>
      <w:r>
        <w:rPr>
          <w:color w:val="000000" w:themeColor="text1"/>
          <w:lang w:eastAsia="zh-CN"/>
          <w14:textFill>
            <w14:solidFill>
              <w14:schemeClr w14:val="tx1"/>
            </w14:solidFill>
          </w14:textFill>
        </w:rPr>
        <w:t>LC</w:t>
      </w:r>
      <w:r>
        <w:rPr>
          <w:rFonts w:hint="eastAsia"/>
          <w:color w:val="000000" w:themeColor="text1"/>
          <w:lang w:eastAsia="zh-CN"/>
          <w14:textFill>
            <w14:solidFill>
              <w14:schemeClr w14:val="tx1"/>
            </w14:solidFill>
          </w14:textFill>
        </w:rPr>
        <w:t>）桩可以采用长螺旋钻孔管内泵压灌注成桩、振动沉管灌注成桩和钻孔灌注成桩等施工工艺方法；桩径宜取</w:t>
      </w:r>
      <w:r>
        <w:rPr>
          <w:color w:val="000000" w:themeColor="text1"/>
          <w:lang w:eastAsia="zh-CN"/>
          <w14:textFill>
            <w14:solidFill>
              <w14:schemeClr w14:val="tx1"/>
            </w14:solidFill>
          </w14:textFill>
        </w:rPr>
        <w:t>400</w:t>
      </w:r>
      <w:r>
        <w:rPr>
          <w:rFonts w:ascii="Times New Roman" w:hAnsi="Times New Roman"/>
          <w:color w:val="000000" w:themeColor="text1"/>
          <w:sz w:val="18"/>
          <w:szCs w:val="18"/>
          <w:lang w:eastAsia="zh-CN"/>
          <w14:textFill>
            <w14:solidFill>
              <w14:schemeClr w14:val="tx1"/>
            </w14:solidFill>
          </w14:textFill>
        </w:rPr>
        <w:t>～</w:t>
      </w:r>
      <w:r>
        <w:rPr>
          <w:color w:val="000000" w:themeColor="text1"/>
          <w:lang w:eastAsia="zh-CN"/>
          <w14:textFill>
            <w14:solidFill>
              <w14:schemeClr w14:val="tx1"/>
            </w14:solidFill>
          </w14:textFill>
        </w:rPr>
        <w:t>600mm</w:t>
      </w:r>
      <w:r>
        <w:rPr>
          <w:rFonts w:hint="eastAsia"/>
          <w:color w:val="000000" w:themeColor="text1"/>
          <w:lang w:eastAsia="zh-CN"/>
          <w14:textFill>
            <w14:solidFill>
              <w14:schemeClr w14:val="tx1"/>
            </w14:solidFill>
          </w14:textFill>
        </w:rPr>
        <w:t>，桩间距宜取</w:t>
      </w:r>
      <w:r>
        <w:rPr>
          <w:color w:val="000000" w:themeColor="text1"/>
          <w:lang w:eastAsia="zh-CN"/>
          <w14:textFill>
            <w14:solidFill>
              <w14:schemeClr w14:val="tx1"/>
            </w14:solidFill>
          </w14:textFill>
        </w:rPr>
        <w:t>3</w:t>
      </w:r>
      <w:r>
        <w:rPr>
          <w:rFonts w:ascii="Times New Roman" w:hAnsi="Times New Roman"/>
          <w:color w:val="000000" w:themeColor="text1"/>
          <w:sz w:val="18"/>
          <w:szCs w:val="18"/>
          <w:lang w:eastAsia="zh-CN"/>
          <w14:textFill>
            <w14:solidFill>
              <w14:schemeClr w14:val="tx1"/>
            </w14:solidFill>
          </w14:textFill>
        </w:rPr>
        <w:t>～</w:t>
      </w:r>
      <w:r>
        <w:rPr>
          <w:color w:val="000000" w:themeColor="text1"/>
          <w:lang w:eastAsia="zh-CN"/>
          <w14:textFill>
            <w14:solidFill>
              <w14:schemeClr w14:val="tx1"/>
            </w14:solidFill>
          </w14:textFill>
        </w:rPr>
        <w:t>5</w:t>
      </w:r>
      <w:r>
        <w:rPr>
          <w:rFonts w:hint="eastAsia"/>
          <w:color w:val="000000" w:themeColor="text1"/>
          <w:lang w:eastAsia="zh-CN"/>
          <w14:textFill>
            <w14:solidFill>
              <w14:schemeClr w14:val="tx1"/>
            </w14:solidFill>
          </w14:textFill>
        </w:rPr>
        <w:t>倍桩径；桩顶和基础间应设置褥垫层，厚度宜取</w:t>
      </w:r>
      <w:r>
        <w:rPr>
          <w:color w:val="000000" w:themeColor="text1"/>
          <w:lang w:eastAsia="zh-CN"/>
          <w14:textFill>
            <w14:solidFill>
              <w14:schemeClr w14:val="tx1"/>
            </w14:solidFill>
          </w14:textFill>
        </w:rPr>
        <w:t>200</w:t>
      </w:r>
      <w:r>
        <w:rPr>
          <w:rFonts w:ascii="Times New Roman" w:hAnsi="Times New Roman"/>
          <w:color w:val="000000" w:themeColor="text1"/>
          <w:sz w:val="18"/>
          <w:szCs w:val="18"/>
          <w:lang w:eastAsia="zh-CN"/>
          <w14:textFill>
            <w14:solidFill>
              <w14:schemeClr w14:val="tx1"/>
            </w14:solidFill>
          </w14:textFill>
        </w:rPr>
        <w:t>～</w:t>
      </w:r>
      <w:r>
        <w:rPr>
          <w:color w:val="000000" w:themeColor="text1"/>
          <w:lang w:eastAsia="zh-CN"/>
          <w14:textFill>
            <w14:solidFill>
              <w14:schemeClr w14:val="tx1"/>
            </w14:solidFill>
          </w14:textFill>
        </w:rPr>
        <w:t>300mm</w:t>
      </w:r>
      <w:r>
        <w:rPr>
          <w:rFonts w:hint="eastAsia"/>
          <w:color w:val="000000" w:themeColor="text1"/>
          <w:lang w:eastAsia="zh-CN"/>
          <w14:textFill>
            <w14:solidFill>
              <w14:schemeClr w14:val="tx1"/>
            </w14:solidFill>
          </w14:textFill>
        </w:rPr>
        <w:t>。</w:t>
      </w:r>
    </w:p>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管桩复合地基可采用</w:t>
      </w:r>
      <w:r>
        <w:rPr>
          <w:color w:val="000000" w:themeColor="text1"/>
          <w:lang w:eastAsia="zh-CN"/>
          <w14:textFill>
            <w14:solidFill>
              <w14:schemeClr w14:val="tx1"/>
            </w14:solidFill>
          </w14:textFill>
        </w:rPr>
        <w:t>PHC</w:t>
      </w:r>
      <w:r>
        <w:rPr>
          <w:rFonts w:hint="eastAsia"/>
          <w:color w:val="000000" w:themeColor="text1"/>
          <w:lang w:eastAsia="zh-CN"/>
          <w14:textFill>
            <w14:solidFill>
              <w14:schemeClr w14:val="tx1"/>
            </w14:solidFill>
          </w14:textFill>
        </w:rPr>
        <w:t>桩，桩径宜取4</w:t>
      </w:r>
      <w:r>
        <w:rPr>
          <w:color w:val="000000" w:themeColor="text1"/>
          <w:lang w:eastAsia="zh-CN"/>
          <w14:textFill>
            <w14:solidFill>
              <w14:schemeClr w14:val="tx1"/>
            </w14:solidFill>
          </w14:textFill>
        </w:rPr>
        <w:t>00</w:t>
      </w:r>
      <w:r>
        <w:rPr>
          <w:rFonts w:ascii="Times New Roman" w:hAnsi="Times New Roman"/>
          <w:color w:val="000000" w:themeColor="text1"/>
          <w:sz w:val="18"/>
          <w:szCs w:val="18"/>
          <w:lang w:eastAsia="zh-CN"/>
          <w14:textFill>
            <w14:solidFill>
              <w14:schemeClr w14:val="tx1"/>
            </w14:solidFill>
          </w14:textFill>
        </w:rPr>
        <w:t>～</w:t>
      </w:r>
      <w:r>
        <w:rPr>
          <w:rFonts w:hint="eastAsia"/>
          <w:color w:val="000000" w:themeColor="text1"/>
          <w:lang w:eastAsia="zh-CN"/>
          <w14:textFill>
            <w14:solidFill>
              <w14:schemeClr w14:val="tx1"/>
            </w14:solidFill>
          </w14:textFill>
        </w:rPr>
        <w:t>5</w:t>
      </w:r>
      <w:r>
        <w:rPr>
          <w:color w:val="000000" w:themeColor="text1"/>
          <w:lang w:eastAsia="zh-CN"/>
          <w14:textFill>
            <w14:solidFill>
              <w14:schemeClr w14:val="tx1"/>
            </w14:solidFill>
          </w14:textFill>
        </w:rPr>
        <w:t>00mm</w:t>
      </w:r>
      <w:r>
        <w:rPr>
          <w:rFonts w:hint="eastAsia"/>
          <w:color w:val="000000" w:themeColor="text1"/>
          <w:lang w:eastAsia="zh-CN"/>
          <w14:textFill>
            <w14:solidFill>
              <w14:schemeClr w14:val="tx1"/>
            </w14:solidFill>
          </w14:textFill>
        </w:rPr>
        <w:t>，桩间距宜取</w:t>
      </w:r>
      <w:r>
        <w:rPr>
          <w:color w:val="000000" w:themeColor="text1"/>
          <w:lang w:eastAsia="zh-CN"/>
          <w14:textFill>
            <w14:solidFill>
              <w14:schemeClr w14:val="tx1"/>
            </w14:solidFill>
          </w14:textFill>
        </w:rPr>
        <w:t>3</w:t>
      </w:r>
      <w:r>
        <w:rPr>
          <w:rFonts w:ascii="Times New Roman" w:hAnsi="Times New Roman"/>
          <w:color w:val="000000" w:themeColor="text1"/>
          <w:sz w:val="18"/>
          <w:szCs w:val="18"/>
          <w:lang w:eastAsia="zh-CN"/>
          <w14:textFill>
            <w14:solidFill>
              <w14:schemeClr w14:val="tx1"/>
            </w14:solidFill>
          </w14:textFill>
        </w:rPr>
        <w:t>～</w:t>
      </w:r>
      <w:r>
        <w:rPr>
          <w:color w:val="000000" w:themeColor="text1"/>
          <w:lang w:eastAsia="zh-CN"/>
          <w14:textFill>
            <w14:solidFill>
              <w14:schemeClr w14:val="tx1"/>
            </w14:solidFill>
          </w14:textFill>
        </w:rPr>
        <w:t>5</w:t>
      </w:r>
      <w:r>
        <w:rPr>
          <w:rFonts w:hint="eastAsia"/>
          <w:color w:val="000000" w:themeColor="text1"/>
          <w:lang w:eastAsia="zh-CN"/>
          <w14:textFill>
            <w14:solidFill>
              <w14:schemeClr w14:val="tx1"/>
            </w14:solidFill>
          </w14:textFill>
        </w:rPr>
        <w:t>倍桩径。作为复合地基增强体的管桩应按摩擦桩设计，允许管桩有一定变形，桩顶与基础间应设置褥垫层，厚度宜取</w:t>
      </w:r>
      <w:r>
        <w:rPr>
          <w:color w:val="000000" w:themeColor="text1"/>
          <w:lang w:eastAsia="zh-CN"/>
          <w14:textFill>
            <w14:solidFill>
              <w14:schemeClr w14:val="tx1"/>
            </w14:solidFill>
          </w14:textFill>
        </w:rPr>
        <w:t>300mm</w:t>
      </w:r>
      <w:r>
        <w:rPr>
          <w:rFonts w:hint="eastAsia"/>
          <w:color w:val="000000" w:themeColor="text1"/>
          <w:lang w:eastAsia="zh-CN"/>
          <w14:textFill>
            <w14:solidFill>
              <w14:schemeClr w14:val="tx1"/>
            </w14:solidFill>
          </w14:textFill>
        </w:rPr>
        <w:t>。</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tabs>
          <w:tab w:val="left"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14:textFill>
            <w14:solidFill>
              <w14:schemeClr w14:val="tx1"/>
            </w14:solidFill>
          </w14:textFill>
        </w:rPr>
      </w:pPr>
    </w:p>
    <w:p>
      <w:pPr>
        <w:tabs>
          <w:tab w:val="left"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14:textFill>
            <w14:solidFill>
              <w14:schemeClr w14:val="tx1"/>
            </w14:solidFill>
          </w14:textFill>
        </w:rPr>
      </w:pPr>
    </w:p>
    <w:p>
      <w:pPr>
        <w:tabs>
          <w:tab w:val="left"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14:textFill>
            <w14:solidFill>
              <w14:schemeClr w14:val="tx1"/>
            </w14:solidFill>
          </w14:textFill>
        </w:rPr>
      </w:pPr>
    </w:p>
    <w:p>
      <w:pPr>
        <w:tabs>
          <w:tab w:val="left"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14:textFill>
            <w14:solidFill>
              <w14:schemeClr w14:val="tx1"/>
            </w14:solidFill>
          </w14:textFill>
        </w:rPr>
      </w:pPr>
    </w:p>
    <w:p>
      <w:pPr>
        <w:tabs>
          <w:tab w:val="left"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14:textFill>
            <w14:solidFill>
              <w14:schemeClr w14:val="tx1"/>
            </w14:solidFill>
          </w14:textFill>
        </w:rPr>
      </w:pPr>
    </w:p>
    <w:p>
      <w:pPr>
        <w:tabs>
          <w:tab w:val="left"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14:textFill>
            <w14:solidFill>
              <w14:schemeClr w14:val="tx1"/>
            </w14:solidFill>
          </w14:textFill>
        </w:rPr>
      </w:pPr>
    </w:p>
    <w:p>
      <w:pPr>
        <w:tabs>
          <w:tab w:val="left"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14:textFill>
            <w14:solidFill>
              <w14:schemeClr w14:val="tx1"/>
            </w14:solidFill>
          </w14:textFill>
        </w:rPr>
      </w:pPr>
    </w:p>
    <w:p>
      <w:pPr>
        <w:tabs>
          <w:tab w:val="left"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14:textFill>
            <w14:solidFill>
              <w14:schemeClr w14:val="tx1"/>
            </w14:solidFill>
          </w14:textFill>
        </w:rPr>
      </w:pPr>
    </w:p>
    <w:p>
      <w:pPr>
        <w:adjustRightInd w:val="0"/>
        <w:snapToGrid w:val="0"/>
        <w:spacing w:line="240" w:lineRule="auto"/>
        <w:ind w:left="0"/>
        <w:jc w:val="center"/>
        <w:outlineLvl w:val="2"/>
        <w:rPr>
          <w:b/>
          <w:color w:val="000000" w:themeColor="text1"/>
          <w:sz w:val="28"/>
          <w:szCs w:val="28"/>
          <w14:textFill>
            <w14:solidFill>
              <w14:schemeClr w14:val="tx1"/>
            </w14:solidFill>
          </w14:textFill>
        </w:rPr>
      </w:pPr>
      <w:r>
        <w:rPr>
          <w:rFonts w:ascii="宋体" w:hAnsi="宋体"/>
          <w:color w:val="000000" w:themeColor="text1"/>
          <w:kern w:val="0"/>
          <w:sz w:val="24"/>
          <w:szCs w:val="24"/>
          <w:u w:color="808000"/>
          <w:lang w:val="en-GB"/>
          <w14:textFill>
            <w14:solidFill>
              <w14:schemeClr w14:val="tx1"/>
            </w14:solidFill>
          </w14:textFill>
        </w:rPr>
        <w:br w:type="page"/>
      </w:r>
      <w:r>
        <w:rPr>
          <w:rFonts w:hint="eastAsia"/>
          <w:b/>
          <w:color w:val="000000" w:themeColor="text1"/>
          <w:sz w:val="28"/>
          <w:szCs w:val="28"/>
          <w14:textFill>
            <w14:solidFill>
              <w14:schemeClr w14:val="tx1"/>
            </w14:solidFill>
          </w14:textFill>
        </w:rPr>
        <w:t>附录A  楼层侧刚计算方法</w:t>
      </w:r>
    </w:p>
    <w:p>
      <w:pPr>
        <w:adjustRightInd w:val="0"/>
        <w:snapToGrid w:val="0"/>
        <w:spacing w:line="240" w:lineRule="auto"/>
        <w:ind w:left="0"/>
        <w:jc w:val="center"/>
        <w:outlineLvl w:val="2"/>
        <w:rPr>
          <w:rFonts w:ascii="宋体" w:hAnsi="宋体"/>
          <w:color w:val="000000" w:themeColor="text1"/>
          <w:kern w:val="0"/>
          <w:sz w:val="24"/>
          <w:szCs w:val="24"/>
          <w:u w:color="808000"/>
          <w:lang w:val="en-GB"/>
          <w14:textFill>
            <w14:solidFill>
              <w14:schemeClr w14:val="tx1"/>
            </w14:solidFill>
          </w14:textFill>
        </w:rPr>
      </w:pPr>
    </w:p>
    <w:p>
      <w:pPr>
        <w:rPr>
          <w:color w:val="000000" w:themeColor="text1"/>
          <w:sz w:val="24"/>
          <w:szCs w:val="24"/>
          <w:lang w:val="en-GB"/>
          <w14:textFill>
            <w14:solidFill>
              <w14:schemeClr w14:val="tx1"/>
            </w14:solidFill>
          </w14:textFill>
        </w:rPr>
      </w:pPr>
      <w:r>
        <w:rPr>
          <w:rFonts w:hint="eastAsia"/>
          <w:color w:val="000000" w:themeColor="text1"/>
          <w:sz w:val="24"/>
          <w:szCs w:val="24"/>
          <w:lang w:val="en-GB"/>
          <w14:textFill>
            <w14:solidFill>
              <w14:schemeClr w14:val="tx1"/>
            </w14:solidFill>
          </w14:textFill>
        </w:rPr>
        <w:t>楼层的侧向刚度计算时，可采用图A.1的模型进行计算。</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800860" cy="2484755"/>
            <wp:effectExtent l="0" t="0" r="0" b="0"/>
            <wp:docPr id="298" name="图片 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8" name="图片 94"/>
                    <pic:cNvPicPr>
                      <a:picLocks noChangeAspect="true" noChangeArrowheads="true"/>
                    </pic:cNvPicPr>
                  </pic:nvPicPr>
                  <pic:blipFill>
                    <a:blip r:embed="rId191"/>
                    <a:srcRect l="24971" t="8009" r="39259" b="9790"/>
                    <a:stretch>
                      <a:fillRect/>
                    </a:stretch>
                  </pic:blipFill>
                  <pic:spPr>
                    <a:xfrm>
                      <a:off x="0" y="0"/>
                      <a:ext cx="1800860" cy="2484755"/>
                    </a:xfrm>
                    <a:prstGeom prst="rect">
                      <a:avLst/>
                    </a:prstGeom>
                    <a:noFill/>
                    <a:ln w="9525">
                      <a:noFill/>
                      <a:miter lim="800000"/>
                      <a:headEnd/>
                      <a:tailEnd/>
                    </a:ln>
                  </pic:spPr>
                </pic:pic>
              </a:graphicData>
            </a:graphic>
          </wp:inline>
        </w:drawing>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图A.1  楼层侧向刚度计算模型</w:t>
      </w: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adjustRightInd w:val="0"/>
        <w:snapToGrid w:val="0"/>
        <w:spacing w:line="240" w:lineRule="auto"/>
        <w:ind w:left="0"/>
        <w:jc w:val="center"/>
        <w:outlineLvl w:val="2"/>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r>
        <w:rPr>
          <w:rFonts w:ascii="宋体" w:hAnsi="宋体"/>
          <w:color w:val="000000" w:themeColor="text1"/>
          <w:kern w:val="0"/>
          <w:sz w:val="24"/>
          <w:szCs w:val="24"/>
          <w:u w:color="808000"/>
          <w:lang w:val="en-GB"/>
          <w14:textFill>
            <w14:solidFill>
              <w14:schemeClr w14:val="tx1"/>
            </w14:solidFill>
          </w14:textFill>
        </w:rPr>
        <w:br w:type="page"/>
      </w:r>
      <w:r>
        <w:rPr>
          <w:rFonts w:hint="eastAsia"/>
          <w:b/>
          <w:color w:val="000000" w:themeColor="text1"/>
          <w:sz w:val="28"/>
          <w:szCs w:val="28"/>
          <w14:textFill>
            <w14:solidFill>
              <w14:schemeClr w14:val="tx1"/>
            </w14:solidFill>
          </w14:textFill>
        </w:rPr>
        <w:t>附录B  加腋板简化计算方法</w:t>
      </w:r>
    </w:p>
    <w:p>
      <w:pPr>
        <w:rPr>
          <w:color w:val="000000" w:themeColor="text1"/>
          <w:lang w:val="en-GB"/>
          <w14:textFill>
            <w14:solidFill>
              <w14:schemeClr w14:val="tx1"/>
            </w14:solidFill>
          </w14:textFill>
        </w:rPr>
      </w:pPr>
    </w:p>
    <w:p>
      <w:pPr>
        <w:adjustRightInd w:val="0"/>
        <w:snapToGrid w:val="0"/>
        <w:spacing w:line="240" w:lineRule="auto"/>
        <w:ind w:left="851"/>
        <w:jc w:val="left"/>
        <w:outlineLvl w:val="2"/>
        <w:rPr>
          <w:color w:val="000000" w:themeColor="text1"/>
          <w14:textFill>
            <w14:solidFill>
              <w14:schemeClr w14:val="tx1"/>
            </w14:solidFill>
          </w14:textFill>
        </w:rPr>
      </w:pPr>
      <w:r>
        <w:rPr>
          <w:rFonts w:hint="eastAsia" w:ascii="宋体" w:hAnsi="宋体"/>
          <w:color w:val="000000" w:themeColor="text1"/>
          <w:kern w:val="0"/>
          <w:sz w:val="24"/>
          <w:szCs w:val="24"/>
          <w:u w:color="808000"/>
          <w:lang w:val="en-GB"/>
          <w14:textFill>
            <w14:solidFill>
              <w14:schemeClr w14:val="tx1"/>
            </w14:solidFill>
          </w14:textFill>
        </w:rPr>
        <w:t>加腋板简化计算（加腋大板楼盖示意图详见图9.1.2），</w:t>
      </w:r>
      <w:r>
        <w:rPr>
          <w:rFonts w:hint="eastAsia"/>
          <w:color w:val="000000" w:themeColor="text1"/>
          <w14:textFill>
            <w14:solidFill>
              <w14:schemeClr w14:val="tx1"/>
            </w14:solidFill>
          </w14:textFill>
        </w:rPr>
        <w:t>加腋板跨中弯矩可按式（FL1-1）计算：</w:t>
      </w:r>
    </w:p>
    <w:p>
      <w:pPr>
        <w:rPr>
          <w:color w:val="000000" w:themeColor="text1"/>
          <w14:textFill>
            <w14:solidFill>
              <w14:schemeClr w14:val="tx1"/>
            </w14:solidFill>
          </w14:textFill>
        </w:rPr>
      </w:pPr>
      <m:oMath>
        <m:r>
          <m:rPr>
            <m:sty m:val="p"/>
          </m:rPr>
          <w:rPr>
            <w:rFonts w:ascii="Cambria Math" w:hAnsi="Cambria Math"/>
            <w:color w:val="000000" w:themeColor="text1"/>
            <w14:textFill>
              <w14:solidFill>
                <w14:schemeClr w14:val="tx1"/>
              </w14:solidFill>
            </w14:textFill>
          </w:rPr>
          <m:t>M=</m:t>
        </m:r>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2.937</m:t>
            </m:r>
            <m:rad>
              <m:radPr>
                <m:degHide m:val="true"/>
                <m:ctrlPr>
                  <w:rPr>
                    <w:rFonts w:ascii="Cambria Math" w:hAnsi="Cambria Math"/>
                    <w:color w:val="000000" w:themeColor="text1"/>
                    <w14:textFill>
                      <w14:solidFill>
                        <w14:schemeClr w14:val="tx1"/>
                      </w14:solidFill>
                    </w14:textFill>
                  </w:rPr>
                </m:ctrlPr>
              </m:radPr>
              <m:deg>
                <m:ctrlPr>
                  <w:rPr>
                    <w:rFonts w:ascii="Cambria Math" w:hAnsi="Cambria Math"/>
                    <w:color w:val="000000" w:themeColor="text1"/>
                    <w14:textFill>
                      <w14:solidFill>
                        <w14:schemeClr w14:val="tx1"/>
                      </w14:solidFill>
                    </w14:textFill>
                  </w:rPr>
                </m:ctrlPr>
              </m:deg>
              <m:e>
                <m:r>
                  <m:rPr>
                    <m:sty m:val="p"/>
                  </m:rPr>
                  <w:rPr>
                    <w:rFonts w:ascii="Cambria Math" w:hAnsi="Cambria Math"/>
                    <w:color w:val="000000" w:themeColor="text1"/>
                    <w14:textFill>
                      <w14:solidFill>
                        <w14:schemeClr w14:val="tx1"/>
                      </w14:solidFill>
                    </w14:textFill>
                  </w:rPr>
                  <m:t>k</m:t>
                </m:r>
                <m:ctrlPr>
                  <w:rPr>
                    <w:rFonts w:ascii="Cambria Math" w:hAnsi="Cambria Math"/>
                    <w:color w:val="000000" w:themeColor="text1"/>
                    <w14:textFill>
                      <w14:solidFill>
                        <w14:schemeClr w14:val="tx1"/>
                      </w14:solidFill>
                    </w14:textFill>
                  </w:rPr>
                </m:ctrlPr>
              </m:e>
            </m:rad>
            <m:r>
              <m:rPr>
                <m:sty m:val="p"/>
              </m:rPr>
              <w:rPr>
                <w:rFonts w:ascii="Cambria Math" w:hAnsi="Cambria Math"/>
                <w:color w:val="000000" w:themeColor="text1"/>
                <w14:textFill>
                  <w14:solidFill>
                    <w14:schemeClr w14:val="tx1"/>
                  </w14:solidFill>
                </w14:textFill>
              </w:rPr>
              <m:t>+2.150</m:t>
            </m:r>
            <m:func>
              <m:funcPr>
                <m:ctrlPr>
                  <w:rPr>
                    <w:rFonts w:ascii="Cambria Math" w:hAnsi="Cambria Math"/>
                    <w:color w:val="000000" w:themeColor="text1"/>
                    <w14:textFill>
                      <w14:solidFill>
                        <w14:schemeClr w14:val="tx1"/>
                      </w14:solidFill>
                    </w14:textFill>
                  </w:rPr>
                </m:ctrlPr>
              </m:funcPr>
              <m:fName>
                <m:r>
                  <m:rPr>
                    <m:sty m:val="p"/>
                  </m:rPr>
                  <w:rPr>
                    <w:rFonts w:ascii="Cambria Math" w:hAnsi="Cambria Math"/>
                    <w:color w:val="000000" w:themeColor="text1"/>
                    <w14:textFill>
                      <w14:solidFill>
                        <w14:schemeClr w14:val="tx1"/>
                      </w14:solidFill>
                    </w14:textFill>
                  </w:rPr>
                  <m:t>ln</m:t>
                </m:r>
                <m:ctrlPr>
                  <w:rPr>
                    <w:rFonts w:ascii="Cambria Math" w:hAnsi="Cambria Math"/>
                    <w:color w:val="000000" w:themeColor="text1"/>
                    <w14:textFill>
                      <w14:solidFill>
                        <w14:schemeClr w14:val="tx1"/>
                      </w14:solidFill>
                    </w14:textFill>
                  </w:rPr>
                </m:ctrlPr>
              </m:fName>
              <m:e>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h</m:t>
                    </m:r>
                    <m:ctrlPr>
                      <w:rPr>
                        <w:rFonts w:ascii="Cambria Math" w:hAnsi="Cambria Math"/>
                        <w:color w:val="000000" w:themeColor="text1"/>
                        <w14:textFill>
                          <w14:solidFill>
                            <w14:schemeClr w14:val="tx1"/>
                          </w14:solidFill>
                        </w14:textFill>
                      </w:rPr>
                    </m:ctrlPr>
                  </m:e>
                </m:d>
                <m:ctrlPr>
                  <w:rPr>
                    <w:rFonts w:ascii="Cambria Math" w:hAnsi="Cambria Math"/>
                    <w:color w:val="000000" w:themeColor="text1"/>
                    <w14:textFill>
                      <w14:solidFill>
                        <w14:schemeClr w14:val="tx1"/>
                      </w14:solidFill>
                    </w14:textFill>
                  </w:rPr>
                </m:ctrlPr>
              </m:e>
            </m:func>
            <m:r>
              <m:rPr>
                <m:sty m:val="p"/>
              </m:rPr>
              <w:rPr>
                <w:rFonts w:ascii="Cambria Math" w:hAnsi="Cambria Math"/>
                <w:color w:val="000000" w:themeColor="text1"/>
                <w14:textFill>
                  <w14:solidFill>
                    <w14:schemeClr w14:val="tx1"/>
                  </w14:solidFill>
                </w14:textFill>
              </w:rPr>
              <m:t>+1.588</m:t>
            </m:r>
            <m:func>
              <m:funcPr>
                <m:ctrlPr>
                  <w:rPr>
                    <w:rFonts w:ascii="Cambria Math" w:hAnsi="Cambria Math"/>
                    <w:color w:val="000000" w:themeColor="text1"/>
                    <w14:textFill>
                      <w14:solidFill>
                        <w14:schemeClr w14:val="tx1"/>
                      </w14:solidFill>
                    </w14:textFill>
                  </w:rPr>
                </m:ctrlPr>
              </m:funcPr>
              <m:fName>
                <m:r>
                  <m:rPr>
                    <m:sty m:val="p"/>
                  </m:rPr>
                  <w:rPr>
                    <w:rFonts w:ascii="Cambria Math" w:hAnsi="Cambria Math"/>
                    <w:color w:val="000000" w:themeColor="text1"/>
                    <w14:textFill>
                      <w14:solidFill>
                        <w14:schemeClr w14:val="tx1"/>
                      </w14:solidFill>
                    </w14:textFill>
                  </w:rPr>
                  <m:t>ln</m:t>
                </m:r>
                <m:ctrlPr>
                  <w:rPr>
                    <w:rFonts w:ascii="Cambria Math" w:hAnsi="Cambria Math"/>
                    <w:color w:val="000000" w:themeColor="text1"/>
                    <w14:textFill>
                      <w14:solidFill>
                        <w14:schemeClr w14:val="tx1"/>
                      </w14:solidFill>
                    </w14:textFill>
                  </w:rPr>
                </m:ctrlPr>
              </m:fName>
              <m:e>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d>
                <m:ctrlPr>
                  <w:rPr>
                    <w:rFonts w:ascii="Cambria Math" w:hAnsi="Cambria Math"/>
                    <w:color w:val="000000" w:themeColor="text1"/>
                    <w14:textFill>
                      <w14:solidFill>
                        <w14:schemeClr w14:val="tx1"/>
                      </w14:solidFill>
                    </w14:textFill>
                  </w:rPr>
                </m:ctrlPr>
              </m:e>
            </m:func>
            <m:ctrlPr>
              <w:rPr>
                <w:rFonts w:ascii="Cambria Math" w:hAnsi="Cambria Math"/>
                <w:color w:val="000000" w:themeColor="text1"/>
                <w14:textFill>
                  <w14:solidFill>
                    <w14:schemeClr w14:val="tx1"/>
                  </w14:solidFill>
                </w14:textFill>
              </w:rPr>
            </m:ctrlPr>
          </m:e>
        </m:d>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q+110.925h</m:t>
            </m:r>
            <m:ctrlPr>
              <w:rPr>
                <w:rFonts w:ascii="Cambria Math" w:hAnsi="Cambria Math"/>
                <w:color w:val="000000" w:themeColor="text1"/>
                <w14:textFill>
                  <w14:solidFill>
                    <w14:schemeClr w14:val="tx1"/>
                  </w14:solidFill>
                </w14:textFill>
              </w:rPr>
            </m:ctrlPr>
          </m:e>
        </m:d>
        <m:sSup>
          <m:sSupPr>
            <m:ctrlPr>
              <w:rPr>
                <w:rFonts w:ascii="Cambria Math" w:hAnsi="Cambria Math"/>
                <w:color w:val="000000" w:themeColor="text1"/>
                <w14:textFill>
                  <w14:solidFill>
                    <w14:schemeClr w14:val="tx1"/>
                  </w14:solidFill>
                </w14:textFill>
              </w:rPr>
            </m:ctrlPr>
          </m:sSupPr>
          <m:e>
            <m:r>
              <m:rPr>
                <m:sty m:val="p"/>
              </m:rPr>
              <w:rPr>
                <w:rFonts w:ascii="Cambria Math" w:hAnsi="Cambria Math"/>
                <w:color w:val="000000" w:themeColor="text1"/>
                <w14:textFill>
                  <w14:solidFill>
                    <w14:schemeClr w14:val="tx1"/>
                  </w14:solidFill>
                </w14:textFill>
              </w:rPr>
              <m:t>L</m:t>
            </m:r>
            <m:ctrlPr>
              <w:rPr>
                <w:rFonts w:ascii="Cambria Math" w:hAnsi="Cambria Math"/>
                <w:color w:val="000000" w:themeColor="text1"/>
                <w14:textFill>
                  <w14:solidFill>
                    <w14:schemeClr w14:val="tx1"/>
                  </w14:solidFill>
                </w14:textFill>
              </w:rPr>
            </m:ctrlPr>
          </m:e>
          <m:sup>
            <m:r>
              <m:rPr>
                <m:sty m:val="p"/>
              </m:rPr>
              <w:rPr>
                <w:rFonts w:ascii="Cambria Math" w:hAnsi="Cambria Math"/>
                <w:color w:val="000000" w:themeColor="text1"/>
                <w14:textFill>
                  <w14:solidFill>
                    <w14:schemeClr w14:val="tx1"/>
                  </w14:solidFill>
                </w14:textFill>
              </w:rPr>
              <m:t>2</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/1000</m:t>
        </m:r>
      </m:oMath>
      <w:r>
        <w:rPr>
          <w:rFonts w:hint="eastAsia"/>
          <w:color w:val="000000" w:themeColor="text1"/>
          <w14:textFill>
            <w14:solidFill>
              <w14:schemeClr w14:val="tx1"/>
            </w14:solidFill>
          </w14:textFill>
        </w:rPr>
        <w:t xml:space="preserve">          （C.0.1）</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加腋板支座弯矩可按式（FL1-2）计算：</w:t>
      </w:r>
    </w:p>
    <w:p>
      <w:pPr>
        <w:ind w:left="7497" w:leftChars="170" w:hanging="7140" w:hangingChars="3400"/>
        <w:rPr>
          <w:color w:val="000000" w:themeColor="text1"/>
          <w14:textFill>
            <w14:solidFill>
              <w14:schemeClr w14:val="tx1"/>
            </w14:solidFill>
          </w14:textFill>
        </w:rPr>
      </w:pPr>
      <m:oMath>
        <m:r>
          <m:rPr>
            <m:sty m:val="p"/>
          </m:rPr>
          <w:rPr>
            <w:rFonts w:ascii="Cambria Math" w:hAnsi="Cambria Math"/>
            <w:color w:val="000000" w:themeColor="text1"/>
            <w14:textFill>
              <w14:solidFill>
                <w14:schemeClr w14:val="tx1"/>
              </w14:solidFill>
            </w14:textFill>
          </w:rPr>
          <m:t>M=</m:t>
        </m:r>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2.748ln⁡(k)+54.864</m:t>
            </m:r>
            <m:rad>
              <m:radPr>
                <m:degHide m:val="true"/>
                <m:ctrlPr>
                  <w:rPr>
                    <w:rFonts w:ascii="Cambria Math" w:hAnsi="Cambria Math"/>
                    <w:color w:val="000000" w:themeColor="text1"/>
                    <w14:textFill>
                      <w14:solidFill>
                        <w14:schemeClr w14:val="tx1"/>
                      </w14:solidFill>
                    </w14:textFill>
                  </w:rPr>
                </m:ctrlPr>
              </m:radPr>
              <m:deg>
                <m:ctrlPr>
                  <w:rPr>
                    <w:rFonts w:ascii="Cambria Math" w:hAnsi="Cambria Math"/>
                    <w:color w:val="000000" w:themeColor="text1"/>
                    <w14:textFill>
                      <w14:solidFill>
                        <w14:schemeClr w14:val="tx1"/>
                      </w14:solidFill>
                    </w14:textFill>
                  </w:rPr>
                </m:ctrlPr>
              </m:deg>
              <m:e>
                <m:r>
                  <m:rPr>
                    <m:sty m:val="p"/>
                  </m:rPr>
                  <w:rPr>
                    <w:rFonts w:ascii="Cambria Math" w:hAnsi="Cambria Math"/>
                    <w:color w:val="000000" w:themeColor="text1"/>
                    <w14:textFill>
                      <w14:solidFill>
                        <w14:schemeClr w14:val="tx1"/>
                      </w14:solidFill>
                    </w14:textFill>
                  </w:rPr>
                  <m:t>0.902−</m:t>
                </m:r>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h+</m:t>
                    </m:r>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h</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y</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e>
                </m:d>
                <m:ctrlPr>
                  <w:rPr>
                    <w:rFonts w:ascii="Cambria Math" w:hAnsi="Cambria Math"/>
                    <w:color w:val="000000" w:themeColor="text1"/>
                    <w14:textFill>
                      <w14:solidFill>
                        <w14:schemeClr w14:val="tx1"/>
                      </w14:solidFill>
                    </w14:textFill>
                  </w:rPr>
                </m:ctrlPr>
              </m:e>
            </m:rad>
            <m:r>
              <m:rPr>
                <m:sty m:val="p"/>
              </m:rPr>
              <w:rPr>
                <w:rFonts w:ascii="Cambria Math" w:hAnsi="Cambria Math"/>
                <w:color w:val="000000" w:themeColor="text1"/>
                <w14:textFill>
                  <w14:solidFill>
                    <w14:schemeClr w14:val="tx1"/>
                  </w14:solidFill>
                </w14:textFill>
              </w:rPr>
              <m:t>−0.124q</m:t>
            </m:r>
            <m:ctrlPr>
              <w:rPr>
                <w:rFonts w:ascii="Cambria Math" w:hAnsi="Cambria Math"/>
                <w:color w:val="000000" w:themeColor="text1"/>
                <w14:textFill>
                  <w14:solidFill>
                    <w14:schemeClr w14:val="tx1"/>
                  </w14:solidFill>
                </w14:textFill>
              </w:rPr>
            </m:ctrlPr>
          </m:e>
        </m:d>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q+6.015(h+</m:t>
            </m:r>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h</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y</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e>
        </m:d>
        <m:sSup>
          <m:sSupPr>
            <m:ctrlPr>
              <w:rPr>
                <w:rFonts w:ascii="Cambria Math" w:hAnsi="Cambria Math"/>
                <w:color w:val="000000" w:themeColor="text1"/>
                <w14:textFill>
                  <w14:solidFill>
                    <w14:schemeClr w14:val="tx1"/>
                  </w14:solidFill>
                </w14:textFill>
              </w:rPr>
            </m:ctrlPr>
          </m:sSupPr>
          <m:e>
            <m:r>
              <m:rPr>
                <m:sty m:val="p"/>
              </m:rPr>
              <w:rPr>
                <w:rFonts w:ascii="Cambria Math" w:hAnsi="Cambria Math"/>
                <w:color w:val="000000" w:themeColor="text1"/>
                <w14:textFill>
                  <w14:solidFill>
                    <w14:schemeClr w14:val="tx1"/>
                  </w14:solidFill>
                </w14:textFill>
              </w:rPr>
              <m:t>L</m:t>
            </m:r>
            <m:ctrlPr>
              <w:rPr>
                <w:rFonts w:ascii="Cambria Math" w:hAnsi="Cambria Math"/>
                <w:color w:val="000000" w:themeColor="text1"/>
                <w14:textFill>
                  <w14:solidFill>
                    <w14:schemeClr w14:val="tx1"/>
                  </w14:solidFill>
                </w14:textFill>
              </w:rPr>
            </m:ctrlPr>
          </m:e>
          <m:sup>
            <m:r>
              <m:rPr>
                <m:sty m:val="p"/>
              </m:rPr>
              <w:rPr>
                <w:rFonts w:ascii="Cambria Math" w:hAnsi="Cambria Math"/>
                <w:color w:val="000000" w:themeColor="text1"/>
                <w14:textFill>
                  <w14:solidFill>
                    <w14:schemeClr w14:val="tx1"/>
                  </w14:solidFill>
                </w14:textFill>
              </w:rPr>
              <m:t>2</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/1000</m:t>
        </m:r>
      </m:oMath>
      <w:r>
        <w:rPr>
          <w:rFonts w:hint="eastAsia"/>
          <w:color w:val="000000" w:themeColor="text1"/>
          <w14:textFill>
            <w14:solidFill>
              <w14:schemeClr w14:val="tx1"/>
            </w14:solidFill>
          </w14:textFill>
        </w:rPr>
        <w:t xml:space="preserve">  （C.0.2）</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p>
      <w:pPr>
        <w:rPr>
          <w:color w:val="000000" w:themeColor="text1"/>
          <w14:textFill>
            <w14:solidFill>
              <w14:schemeClr w14:val="tx1"/>
            </w14:solidFill>
          </w14:textFill>
        </w:rPr>
      </w:pPr>
      <w:r>
        <w:rPr>
          <w:color w:val="000000" w:themeColor="text1"/>
          <w:position w:val="-5"/>
          <w14:textFill>
            <w14:solidFill>
              <w14:schemeClr w14:val="tx1"/>
            </w14:solidFill>
          </w14:textFill>
        </w:rPr>
        <w:pict>
          <v:shape id="_x0000_i1052" o:spt="75" type="#_x0000_t75" style="height:18pt;width:5pt;" filled="f" coordsize="21600,21600" equationxml="&lt;">
            <v:path/>
            <v:fill on="f" focussize="0,0"/>
            <v:stroke/>
            <v:imagedata r:id="rId192" chromakey="#FFFFFF" o:title=""/>
            <o:lock v:ext="edit" aspectratio="t"/>
            <w10:wrap type="none"/>
            <w10:anchorlock/>
          </v:shape>
        </w:pict>
      </w:r>
      <w:r>
        <w:rPr>
          <w:rFonts w:hint="eastAsia"/>
          <w:color w:val="000000" w:themeColor="text1"/>
          <w14:textFill>
            <w14:solidFill>
              <w14:schemeClr w14:val="tx1"/>
            </w14:solidFill>
          </w14:textFill>
        </w:rPr>
        <w:t>——加腋宽度系数，</w:t>
      </w:r>
      <m:oMath>
        <m:r>
          <m:rPr>
            <m:sty m:val="p"/>
          </m:rPr>
          <w:rPr>
            <w:rFonts w:ascii="Cambria Math" w:hAnsi="Cambria Math"/>
            <w:color w:val="000000" w:themeColor="text1"/>
            <w14:textFill>
              <w14:solidFill>
                <w14:schemeClr w14:val="tx1"/>
              </w14:solidFill>
            </w14:textFill>
          </w:rPr>
          <m:t>k=L/</m:t>
        </m:r>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L</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y</m:t>
            </m:r>
            <m:ctrlPr>
              <w:rPr>
                <w:rFonts w:ascii="Cambria Math" w:hAnsi="Cambria Math"/>
                <w:color w:val="000000" w:themeColor="text1"/>
                <w14:textFill>
                  <w14:solidFill>
                    <w14:schemeClr w14:val="tx1"/>
                  </w14:solidFill>
                </w14:textFill>
              </w:rPr>
            </m:ctrlPr>
          </m:sub>
        </m:sSub>
      </m:oMath>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position w:val="-5"/>
          <w14:textFill>
            <w14:solidFill>
              <w14:schemeClr w14:val="tx1"/>
            </w14:solidFill>
          </w14:textFill>
        </w:rPr>
        <w:pict>
          <v:shape id="_x0000_i1053" o:spt="75" type="#_x0000_t75" style="height:18pt;width:6pt;" filled="f" coordsize="21600,21600" equationxml="&lt;">
            <v:path/>
            <v:fill on="f" focussize="0,0"/>
            <v:stroke/>
            <v:imagedata r:id="rId193" chromakey="#FFFFFF" o:title=""/>
            <o:lock v:ext="edit" aspectratio="t"/>
            <w10:wrap type="none"/>
            <w10:anchorlock/>
          </v:shape>
        </w:pict>
      </w:r>
      <w:r>
        <w:rPr>
          <w:rFonts w:hint="eastAsia"/>
          <w:color w:val="000000" w:themeColor="text1"/>
          <w14:textFill>
            <w14:solidFill>
              <w14:schemeClr w14:val="tx1"/>
            </w14:solidFill>
          </w14:textFill>
        </w:rPr>
        <w:t>——非加腋区楼板厚度(m)；</w:t>
      </w:r>
    </w:p>
    <w:p>
      <w:pPr>
        <w:rPr>
          <w:color w:val="000000" w:themeColor="text1"/>
          <w14:textFill>
            <w14:solidFill>
              <w14:schemeClr w14:val="tx1"/>
            </w14:solidFill>
          </w14:textFill>
        </w:rPr>
      </w:pPr>
      <w:r>
        <w:rPr>
          <w:color w:val="000000" w:themeColor="text1"/>
          <w:position w:val="-5"/>
          <w14:textFill>
            <w14:solidFill>
              <w14:schemeClr w14:val="tx1"/>
            </w14:solidFill>
          </w14:textFill>
        </w:rPr>
        <w:pict>
          <v:shape id="_x0000_i1054" o:spt="75" type="#_x0000_t75" style="height:18pt;width:6pt;" filled="f" coordsize="21600,21600" equationxml="&lt;">
            <v:path/>
            <v:fill on="f" focussize="0,0"/>
            <v:stroke/>
            <v:imagedata r:id="rId194" chromakey="#FFFFFF" o:title=""/>
            <o:lock v:ext="edit" aspectratio="t"/>
            <w10:wrap type="none"/>
            <w10:anchorlock/>
          </v:shape>
        </w:pict>
      </w:r>
      <w:r>
        <w:rPr>
          <w:rFonts w:hint="eastAsia"/>
          <w:color w:val="000000" w:themeColor="text1"/>
          <w14:textFill>
            <w14:solidFill>
              <w14:schemeClr w14:val="tx1"/>
            </w14:solidFill>
          </w14:textFill>
        </w:rPr>
        <w:t>——计算荷载设计值，不含板自重(kN/</w:t>
      </w:r>
      <m:oMath>
        <m:sSup>
          <m:sSupPr>
            <m:ctrlPr>
              <w:rPr>
                <w:rFonts w:ascii="Cambria Math" w:hAnsi="Cambria Math"/>
                <w:color w:val="000000" w:themeColor="text1"/>
                <w14:textFill>
                  <w14:solidFill>
                    <w14:schemeClr w14:val="tx1"/>
                  </w14:solidFill>
                </w14:textFill>
              </w:rPr>
            </m:ctrlPr>
          </m:sSupPr>
          <m:e>
            <m:r>
              <m:rPr>
                <m:sty m:val="p"/>
              </m:rPr>
              <w:rPr>
                <w:rFonts w:hint="eastAsia"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2</m:t>
            </m:r>
            <m:ctrlPr>
              <w:rPr>
                <w:rFonts w:ascii="Cambria Math" w:hAnsi="Cambria Math"/>
                <w:color w:val="000000" w:themeColor="text1"/>
                <w14:textFill>
                  <w14:solidFill>
                    <w14:schemeClr w14:val="tx1"/>
                  </w14:solidFill>
                </w14:textFill>
              </w:rPr>
            </m:ctrlPr>
          </m:sup>
        </m:sSup>
      </m:oMath>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position w:val="-5"/>
          <w14:textFill>
            <w14:solidFill>
              <w14:schemeClr w14:val="tx1"/>
            </w14:solidFill>
          </w14:textFill>
        </w:rPr>
        <w:pict>
          <v:shape id="_x0000_i1055" o:spt="75" type="#_x0000_t75" style="height:18pt;width:5pt;" filled="f" coordsize="21600,21600" equationxml="&lt;">
            <v:path/>
            <v:fill on="f" focussize="0,0"/>
            <v:stroke/>
            <v:imagedata r:id="rId195" chromakey="#FFFFFF" o:title=""/>
            <o:lock v:ext="edit" aspectratio="t"/>
            <w10:wrap type="none"/>
            <w10:anchorlock/>
          </v:shape>
        </w:pict>
      </w:r>
      <w:r>
        <w:rPr>
          <w:rFonts w:hint="eastAsia"/>
          <w:color w:val="000000" w:themeColor="text1"/>
          <w14:textFill>
            <w14:solidFill>
              <w14:schemeClr w14:val="tx1"/>
            </w14:solidFill>
          </w14:textFill>
        </w:rPr>
        <w:t>——加腋板跨度(m)；</w:t>
      </w:r>
    </w:p>
    <w:p>
      <w:pPr>
        <w:rPr>
          <w:color w:val="000000" w:themeColor="text1"/>
          <w14:textFill>
            <w14:solidFill>
              <w14:schemeClr w14:val="tx1"/>
            </w14:solidFill>
          </w14:textFill>
        </w:rPr>
      </w:pP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L</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y</m:t>
            </m:r>
            <m:ctrlPr>
              <w:rPr>
                <w:rFonts w:ascii="Cambria Math" w:hAnsi="Cambria Math"/>
                <w:color w:val="000000" w:themeColor="text1"/>
                <w14:textFill>
                  <w14:solidFill>
                    <w14:schemeClr w14:val="tx1"/>
                  </w14:solidFill>
                </w14:textFill>
              </w:rPr>
            </m:ctrlPr>
          </m:sub>
        </m:sSub>
      </m:oMath>
      <w:r>
        <w:rPr>
          <w:rFonts w:hint="eastAsia"/>
          <w:color w:val="000000" w:themeColor="text1"/>
          <w14:textFill>
            <w14:solidFill>
              <w14:schemeClr w14:val="tx1"/>
            </w14:solidFill>
          </w14:textFill>
        </w:rPr>
        <w:t>——加腋长度(m)；</w:t>
      </w:r>
    </w:p>
    <w:p>
      <w:pPr>
        <w:rPr>
          <w:color w:val="000000" w:themeColor="text1"/>
          <w14:textFill>
            <w14:solidFill>
              <w14:schemeClr w14:val="tx1"/>
            </w14:solidFill>
          </w14:textFill>
        </w:rPr>
      </w:pP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h</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y</m:t>
            </m:r>
            <m:ctrlPr>
              <w:rPr>
                <w:rFonts w:ascii="Cambria Math" w:hAnsi="Cambria Math"/>
                <w:color w:val="000000" w:themeColor="text1"/>
                <w14:textFill>
                  <w14:solidFill>
                    <w14:schemeClr w14:val="tx1"/>
                  </w14:solidFill>
                </w14:textFill>
              </w:rPr>
            </m:ctrlPr>
          </m:sub>
        </m:sSub>
      </m:oMath>
      <w:r>
        <w:rPr>
          <w:rFonts w:hint="eastAsia"/>
          <w:color w:val="000000" w:themeColor="text1"/>
          <w14:textFill>
            <w14:solidFill>
              <w14:schemeClr w14:val="tx1"/>
            </w14:solidFill>
          </w14:textFill>
        </w:rPr>
        <w:t>——加腋板根部厚度(m)。</w:t>
      </w:r>
    </w:p>
    <w:p>
      <w:pPr>
        <w:rPr>
          <w:color w:val="000000" w:themeColor="text1"/>
          <w14:textFill>
            <w14:solidFill>
              <w14:schemeClr w14:val="tx1"/>
            </w14:solidFill>
          </w14:textFill>
        </w:rPr>
      </w:pPr>
    </w:p>
    <w:sectPr>
      <w:pgSz w:w="11906" w:h="16838"/>
      <w:pgMar w:top="1440" w:right="1797" w:bottom="1440" w:left="1797" w:header="851" w:footer="992" w:gutter="0"/>
      <w:pgNumType w:start="1"/>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rial Bold">
    <w:altName w:val="DejaVu Sans"/>
    <w:panose1 w:val="00000000000000000000"/>
    <w:charset w:val="00"/>
    <w:family w:val="roman"/>
    <w:pitch w:val="default"/>
    <w:sig w:usb0="00000000" w:usb1="00000000" w:usb2="00000000" w:usb3="00000000" w:csb0="00000000" w:csb1="00000000"/>
  </w:font>
  <w:font w:name="MS Mincho">
    <w:altName w:val="方正书宋_GBK"/>
    <w:panose1 w:val="02020609040205080304"/>
    <w:charset w:val="80"/>
    <w:family w:val="roman"/>
    <w:pitch w:val="default"/>
    <w:sig w:usb0="00000000" w:usb1="00000000" w:usb2="00000010" w:usb3="00000000" w:csb0="00020000" w:csb1="00000000"/>
  </w:font>
  <w:font w:name="Cambria">
    <w:altName w:val="FreeSerif"/>
    <w:panose1 w:val="02040503050406030204"/>
    <w:charset w:val="00"/>
    <w:family w:val="roman"/>
    <w:pitch w:val="default"/>
    <w:sig w:usb0="00000000" w:usb1="00000000" w:usb2="02000000" w:usb3="00000000" w:csb0="0000019F" w:csb1="00000000"/>
  </w:font>
  <w:font w:name="Arial Black">
    <w:altName w:val="DejaVu Sans"/>
    <w:panose1 w:val="020B0A04020102020204"/>
    <w:charset w:val="00"/>
    <w:family w:val="swiss"/>
    <w:pitch w:val="default"/>
    <w:sig w:usb0="00000000" w:usb1="00000000" w:usb2="00000000" w:usb3="00000000" w:csb0="0000009F" w:csb1="00000000"/>
  </w:font>
  <w:font w:name="黑体e眠副浡渀.">
    <w:altName w:val="黑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Cambria Math">
    <w:altName w:val="DejaVu Math TeX Gyre"/>
    <w:panose1 w:val="02040503050406030204"/>
    <w:charset w:val="00"/>
    <w:family w:val="roman"/>
    <w:pitch w:val="default"/>
    <w:sig w:usb0="00000000" w:usb1="00000000" w:usb2="02000000" w:usb3="00000000" w:csb0="0000019F" w:csb1="00000000"/>
  </w:font>
  <w:font w:name="MS Gothic">
    <w:altName w:val="方正书宋_GBK"/>
    <w:panose1 w:val="020B0609070205080204"/>
    <w:charset w:val="80"/>
    <w:family w:val="modern"/>
    <w:pitch w:val="default"/>
    <w:sig w:usb0="00000000" w:usb1="00000000" w:usb2="08000012" w:usb3="00000000" w:csb0="0002009F" w:csb1="00000000"/>
  </w:font>
  <w:font w:name="微软雅黑">
    <w:altName w:val="黑体"/>
    <w:panose1 w:val="020B0503020204020204"/>
    <w:charset w:val="86"/>
    <w:family w:val="swiss"/>
    <w:pitch w:val="default"/>
    <w:sig w:usb0="00000000" w:usb1="00000000" w:usb2="00000016" w:usb3="00000000" w:csb0="0004001F" w:csb1="00000000"/>
  </w:font>
  <w:font w:name="TimesNewRomanPSMT">
    <w:altName w:val="DejaVu Sans"/>
    <w:panose1 w:val="00000000000000000000"/>
    <w:charset w:val="00"/>
    <w:family w:val="roman"/>
    <w:pitch w:val="default"/>
    <w:sig w:usb0="00000000" w:usb1="00000000" w:usb2="00000000" w:usb3="00000000" w:csb0="00000001" w:csb1="00000000"/>
  </w:font>
  <w:font w:name="TimesNewRomanPS-BoldMT">
    <w:altName w:val="DejaVu Sans"/>
    <w:panose1 w:val="00000000000000000000"/>
    <w:charset w:val="00"/>
    <w:family w:val="roman"/>
    <w:pitch w:val="default"/>
    <w:sig w:usb0="00000000" w:usb1="00000000" w:usb2="00000000" w:usb3="00000000" w:csb0="0000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FreeSerif">
    <w:panose1 w:val="02020603050405020304"/>
    <w:charset w:val="00"/>
    <w:family w:val="auto"/>
    <w:pitch w:val="default"/>
    <w:sig w:usb0="E59FAFFF" w:usb1="C200FDFF" w:usb2="43501B29" w:usb3="04000043" w:csb0="600101FF" w:csb1="FFFF0000"/>
  </w:font>
  <w:font w:name="DejaVu Math TeX Gyre">
    <w:panose1 w:val="02000503000000000000"/>
    <w:charset w:val="00"/>
    <w:family w:val="auto"/>
    <w:pitch w:val="default"/>
    <w:sig w:usb0="A10000EF" w:usb1="4201F9EE" w:usb2="02000000" w:usb3="00000000" w:csb0="60000193" w:csb1="0DD4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260436"/>
      <w:docPartObj>
        <w:docPartGallery w:val="autotext"/>
      </w:docPartObj>
    </w:sdtPr>
    <w:sdtContent>
      <w:p>
        <w:pPr>
          <w:pStyle w:val="23"/>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35"/>
      </w:rPr>
    </w:pPr>
    <w:r>
      <w:rPr>
        <w:rStyle w:val="35"/>
      </w:rPr>
      <w:fldChar w:fldCharType="begin"/>
    </w:r>
    <w:r>
      <w:rPr>
        <w:rStyle w:val="35"/>
      </w:rPr>
      <w:instrText xml:space="preserve">PAGE  </w:instrText>
    </w:r>
    <w:r>
      <w:rPr>
        <w:rStyle w:val="3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4A2EF2"/>
    <w:multiLevelType w:val="multilevel"/>
    <w:tmpl w:val="0C4A2EF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DD7363D"/>
    <w:multiLevelType w:val="multilevel"/>
    <w:tmpl w:val="0DD7363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07D3969"/>
    <w:multiLevelType w:val="multilevel"/>
    <w:tmpl w:val="107D396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279580F"/>
    <w:multiLevelType w:val="multilevel"/>
    <w:tmpl w:val="1279580F"/>
    <w:lvl w:ilvl="0" w:tentative="0">
      <w:start w:val="1"/>
      <w:numFmt w:val="bullet"/>
      <w:pStyle w:val="64"/>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1850"/>
        </w:tabs>
        <w:ind w:left="1850" w:hanging="420"/>
      </w:pPr>
      <w:rPr>
        <w:rFonts w:hint="default" w:ascii="Wingdings" w:hAnsi="Wingdings"/>
      </w:rPr>
    </w:lvl>
    <w:lvl w:ilvl="2" w:tentative="0">
      <w:start w:val="1"/>
      <w:numFmt w:val="bullet"/>
      <w:lvlText w:val=""/>
      <w:lvlJc w:val="left"/>
      <w:pPr>
        <w:tabs>
          <w:tab w:val="left" w:pos="2270"/>
        </w:tabs>
        <w:ind w:left="2270" w:hanging="420"/>
      </w:pPr>
      <w:rPr>
        <w:rFonts w:hint="default" w:ascii="Wingdings" w:hAnsi="Wingdings"/>
      </w:rPr>
    </w:lvl>
    <w:lvl w:ilvl="3" w:tentative="0">
      <w:start w:val="1"/>
      <w:numFmt w:val="bullet"/>
      <w:lvlText w:val=""/>
      <w:lvlJc w:val="left"/>
      <w:pPr>
        <w:tabs>
          <w:tab w:val="left" w:pos="2690"/>
        </w:tabs>
        <w:ind w:left="2690" w:hanging="420"/>
      </w:pPr>
      <w:rPr>
        <w:rFonts w:hint="default" w:ascii="Wingdings" w:hAnsi="Wingdings"/>
      </w:rPr>
    </w:lvl>
    <w:lvl w:ilvl="4" w:tentative="0">
      <w:start w:val="1"/>
      <w:numFmt w:val="bullet"/>
      <w:lvlText w:val=""/>
      <w:lvlJc w:val="left"/>
      <w:pPr>
        <w:tabs>
          <w:tab w:val="left" w:pos="3110"/>
        </w:tabs>
        <w:ind w:left="3110" w:hanging="420"/>
      </w:pPr>
      <w:rPr>
        <w:rFonts w:hint="default" w:ascii="Wingdings" w:hAnsi="Wingdings"/>
      </w:rPr>
    </w:lvl>
    <w:lvl w:ilvl="5" w:tentative="0">
      <w:start w:val="1"/>
      <w:numFmt w:val="bullet"/>
      <w:lvlText w:val=""/>
      <w:lvlJc w:val="left"/>
      <w:pPr>
        <w:tabs>
          <w:tab w:val="left" w:pos="3530"/>
        </w:tabs>
        <w:ind w:left="3530" w:hanging="420"/>
      </w:pPr>
      <w:rPr>
        <w:rFonts w:hint="default" w:ascii="Wingdings" w:hAnsi="Wingdings"/>
      </w:rPr>
    </w:lvl>
    <w:lvl w:ilvl="6" w:tentative="0">
      <w:start w:val="1"/>
      <w:numFmt w:val="bullet"/>
      <w:lvlText w:val=""/>
      <w:lvlJc w:val="left"/>
      <w:pPr>
        <w:tabs>
          <w:tab w:val="left" w:pos="3950"/>
        </w:tabs>
        <w:ind w:left="3950" w:hanging="420"/>
      </w:pPr>
      <w:rPr>
        <w:rFonts w:hint="default" w:ascii="Wingdings" w:hAnsi="Wingdings"/>
      </w:rPr>
    </w:lvl>
    <w:lvl w:ilvl="7" w:tentative="0">
      <w:start w:val="1"/>
      <w:numFmt w:val="bullet"/>
      <w:lvlText w:val=""/>
      <w:lvlJc w:val="left"/>
      <w:pPr>
        <w:tabs>
          <w:tab w:val="left" w:pos="4370"/>
        </w:tabs>
        <w:ind w:left="4370" w:hanging="420"/>
      </w:pPr>
      <w:rPr>
        <w:rFonts w:hint="default" w:ascii="Wingdings" w:hAnsi="Wingdings"/>
      </w:rPr>
    </w:lvl>
    <w:lvl w:ilvl="8" w:tentative="0">
      <w:start w:val="1"/>
      <w:numFmt w:val="bullet"/>
      <w:lvlText w:val=""/>
      <w:lvlJc w:val="left"/>
      <w:pPr>
        <w:tabs>
          <w:tab w:val="left" w:pos="4790"/>
        </w:tabs>
        <w:ind w:left="4790" w:hanging="420"/>
      </w:pPr>
      <w:rPr>
        <w:rFonts w:hint="default" w:ascii="Wingdings" w:hAnsi="Wingdings"/>
      </w:rPr>
    </w:lvl>
  </w:abstractNum>
  <w:abstractNum w:abstractNumId="4">
    <w:nsid w:val="2822660F"/>
    <w:multiLevelType w:val="multilevel"/>
    <w:tmpl w:val="282266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2BB322BC"/>
    <w:multiLevelType w:val="multilevel"/>
    <w:tmpl w:val="2BB322BC"/>
    <w:lvl w:ilvl="0" w:tentative="0">
      <w:start w:val="1"/>
      <w:numFmt w:val="low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2F7A1831"/>
    <w:multiLevelType w:val="multilevel"/>
    <w:tmpl w:val="2F7A1831"/>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7">
    <w:nsid w:val="407C18CC"/>
    <w:multiLevelType w:val="multilevel"/>
    <w:tmpl w:val="407C18C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47CC1907"/>
    <w:multiLevelType w:val="multilevel"/>
    <w:tmpl w:val="47CC1907"/>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48AE031E"/>
    <w:multiLevelType w:val="multilevel"/>
    <w:tmpl w:val="48AE031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4E1A7F12"/>
    <w:multiLevelType w:val="multilevel"/>
    <w:tmpl w:val="4E1A7F12"/>
    <w:lvl w:ilvl="0" w:tentative="0">
      <w:start w:val="1"/>
      <w:numFmt w:val="decimal"/>
      <w:lvlText w:val="%1）"/>
      <w:lvlJc w:val="left"/>
      <w:pPr>
        <w:ind w:left="510" w:hanging="420"/>
      </w:pPr>
      <w:rPr>
        <w:rFonts w:hint="default"/>
      </w:rPr>
    </w:lvl>
    <w:lvl w:ilvl="1" w:tentative="0">
      <w:start w:val="1"/>
      <w:numFmt w:val="lowerLetter"/>
      <w:lvlText w:val="%2)"/>
      <w:lvlJc w:val="left"/>
      <w:pPr>
        <w:ind w:left="930" w:hanging="420"/>
      </w:pPr>
    </w:lvl>
    <w:lvl w:ilvl="2" w:tentative="0">
      <w:start w:val="1"/>
      <w:numFmt w:val="lowerRoman"/>
      <w:lvlText w:val="%3."/>
      <w:lvlJc w:val="right"/>
      <w:pPr>
        <w:ind w:left="1350" w:hanging="420"/>
      </w:pPr>
    </w:lvl>
    <w:lvl w:ilvl="3" w:tentative="0">
      <w:start w:val="1"/>
      <w:numFmt w:val="decimal"/>
      <w:lvlText w:val="%4."/>
      <w:lvlJc w:val="left"/>
      <w:pPr>
        <w:ind w:left="1770" w:hanging="420"/>
      </w:pPr>
    </w:lvl>
    <w:lvl w:ilvl="4" w:tentative="0">
      <w:start w:val="1"/>
      <w:numFmt w:val="lowerLetter"/>
      <w:lvlText w:val="%5)"/>
      <w:lvlJc w:val="left"/>
      <w:pPr>
        <w:ind w:left="2190" w:hanging="420"/>
      </w:pPr>
    </w:lvl>
    <w:lvl w:ilvl="5" w:tentative="0">
      <w:start w:val="1"/>
      <w:numFmt w:val="lowerRoman"/>
      <w:lvlText w:val="%6."/>
      <w:lvlJc w:val="right"/>
      <w:pPr>
        <w:ind w:left="2610" w:hanging="420"/>
      </w:pPr>
    </w:lvl>
    <w:lvl w:ilvl="6" w:tentative="0">
      <w:start w:val="1"/>
      <w:numFmt w:val="decimal"/>
      <w:lvlText w:val="%7."/>
      <w:lvlJc w:val="left"/>
      <w:pPr>
        <w:ind w:left="3030" w:hanging="420"/>
      </w:pPr>
    </w:lvl>
    <w:lvl w:ilvl="7" w:tentative="0">
      <w:start w:val="1"/>
      <w:numFmt w:val="lowerLetter"/>
      <w:lvlText w:val="%8)"/>
      <w:lvlJc w:val="left"/>
      <w:pPr>
        <w:ind w:left="3450" w:hanging="420"/>
      </w:pPr>
    </w:lvl>
    <w:lvl w:ilvl="8" w:tentative="0">
      <w:start w:val="1"/>
      <w:numFmt w:val="lowerRoman"/>
      <w:lvlText w:val="%9."/>
      <w:lvlJc w:val="right"/>
      <w:pPr>
        <w:ind w:left="3870" w:hanging="420"/>
      </w:pPr>
    </w:lvl>
  </w:abstractNum>
  <w:abstractNum w:abstractNumId="11">
    <w:nsid w:val="4FE411EC"/>
    <w:multiLevelType w:val="multilevel"/>
    <w:tmpl w:val="4FE411E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572154CC"/>
    <w:multiLevelType w:val="multilevel"/>
    <w:tmpl w:val="572154C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59DE5BA4"/>
    <w:multiLevelType w:val="multilevel"/>
    <w:tmpl w:val="59DE5BA4"/>
    <w:lvl w:ilvl="0" w:tentative="0">
      <w:start w:val="1"/>
      <w:numFmt w:val="decimal"/>
      <w:lvlText w:val="%1"/>
      <w:lvlJc w:val="left"/>
      <w:pPr>
        <w:ind w:left="704" w:hanging="420"/>
      </w:pPr>
      <w:rPr>
        <w:rFonts w:hint="eastAsia"/>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14">
    <w:nsid w:val="648A543E"/>
    <w:multiLevelType w:val="multilevel"/>
    <w:tmpl w:val="648A543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6A161F3B"/>
    <w:multiLevelType w:val="multilevel"/>
    <w:tmpl w:val="6A161F3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6CC17AC6"/>
    <w:multiLevelType w:val="multilevel"/>
    <w:tmpl w:val="6CC17AC6"/>
    <w:lvl w:ilvl="0" w:tentative="0">
      <w:start w:val="1"/>
      <w:numFmt w:val="decimal"/>
      <w:lvlText w:val="%1）"/>
      <w:lvlJc w:val="left"/>
      <w:pPr>
        <w:ind w:left="510" w:hanging="420"/>
      </w:pPr>
      <w:rPr>
        <w:rFonts w:hint="default"/>
      </w:rPr>
    </w:lvl>
    <w:lvl w:ilvl="1" w:tentative="0">
      <w:start w:val="1"/>
      <w:numFmt w:val="lowerLetter"/>
      <w:lvlText w:val="%2)"/>
      <w:lvlJc w:val="left"/>
      <w:pPr>
        <w:ind w:left="930" w:hanging="420"/>
      </w:pPr>
    </w:lvl>
    <w:lvl w:ilvl="2" w:tentative="0">
      <w:start w:val="1"/>
      <w:numFmt w:val="lowerRoman"/>
      <w:lvlText w:val="%3."/>
      <w:lvlJc w:val="right"/>
      <w:pPr>
        <w:ind w:left="1350" w:hanging="420"/>
      </w:pPr>
    </w:lvl>
    <w:lvl w:ilvl="3" w:tentative="0">
      <w:start w:val="1"/>
      <w:numFmt w:val="decimal"/>
      <w:lvlText w:val="%4."/>
      <w:lvlJc w:val="left"/>
      <w:pPr>
        <w:ind w:left="1770" w:hanging="420"/>
      </w:pPr>
    </w:lvl>
    <w:lvl w:ilvl="4" w:tentative="0">
      <w:start w:val="1"/>
      <w:numFmt w:val="lowerLetter"/>
      <w:lvlText w:val="%5)"/>
      <w:lvlJc w:val="left"/>
      <w:pPr>
        <w:ind w:left="2190" w:hanging="420"/>
      </w:pPr>
    </w:lvl>
    <w:lvl w:ilvl="5" w:tentative="0">
      <w:start w:val="1"/>
      <w:numFmt w:val="lowerRoman"/>
      <w:lvlText w:val="%6."/>
      <w:lvlJc w:val="right"/>
      <w:pPr>
        <w:ind w:left="2610" w:hanging="420"/>
      </w:pPr>
    </w:lvl>
    <w:lvl w:ilvl="6" w:tentative="0">
      <w:start w:val="1"/>
      <w:numFmt w:val="decimal"/>
      <w:lvlText w:val="%7."/>
      <w:lvlJc w:val="left"/>
      <w:pPr>
        <w:ind w:left="3030" w:hanging="420"/>
      </w:pPr>
    </w:lvl>
    <w:lvl w:ilvl="7" w:tentative="0">
      <w:start w:val="1"/>
      <w:numFmt w:val="lowerLetter"/>
      <w:lvlText w:val="%8)"/>
      <w:lvlJc w:val="left"/>
      <w:pPr>
        <w:ind w:left="3450" w:hanging="420"/>
      </w:pPr>
    </w:lvl>
    <w:lvl w:ilvl="8" w:tentative="0">
      <w:start w:val="1"/>
      <w:numFmt w:val="lowerRoman"/>
      <w:lvlText w:val="%9."/>
      <w:lvlJc w:val="right"/>
      <w:pPr>
        <w:ind w:left="3870" w:hanging="420"/>
      </w:pPr>
    </w:lvl>
  </w:abstractNum>
  <w:abstractNum w:abstractNumId="17">
    <w:nsid w:val="6D2441E6"/>
    <w:multiLevelType w:val="multilevel"/>
    <w:tmpl w:val="6D2441E6"/>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8">
    <w:nsid w:val="711D2BD6"/>
    <w:multiLevelType w:val="multilevel"/>
    <w:tmpl w:val="711D2BD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73084CF0"/>
    <w:multiLevelType w:val="multilevel"/>
    <w:tmpl w:val="73084CF0"/>
    <w:lvl w:ilvl="0" w:tentative="0">
      <w:start w:val="1"/>
      <w:numFmt w:val="decimal"/>
      <w:pStyle w:val="60"/>
      <w:lvlText w:val="%1"/>
      <w:lvlJc w:val="left"/>
      <w:pPr>
        <w:tabs>
          <w:tab w:val="left" w:pos="9083"/>
        </w:tabs>
        <w:ind w:left="9083" w:hanging="720"/>
      </w:pPr>
      <w:rPr>
        <w:rFonts w:hint="default" w:ascii="Times New Roman" w:hAnsi="Times New Roman" w:eastAsia="宋体"/>
        <w:b/>
        <w:i w:val="0"/>
        <w:color w:val="0000FF"/>
        <w:sz w:val="36"/>
        <w:szCs w:val="36"/>
        <w:u w:val="none"/>
      </w:rPr>
    </w:lvl>
    <w:lvl w:ilvl="1" w:tentative="0">
      <w:start w:val="1"/>
      <w:numFmt w:val="decimal"/>
      <w:pStyle w:val="61"/>
      <w:lvlText w:val="%1.%2"/>
      <w:lvlJc w:val="left"/>
      <w:pPr>
        <w:tabs>
          <w:tab w:val="left" w:pos="3828"/>
        </w:tabs>
        <w:ind w:left="3828" w:hanging="851"/>
      </w:pPr>
      <w:rPr>
        <w:rFonts w:hint="default" w:ascii="Times New Roman" w:hAnsi="Times New Roman" w:eastAsia="宋体"/>
        <w:b/>
        <w:i w:val="0"/>
        <w:color w:val="0000FF"/>
        <w:sz w:val="32"/>
        <w:szCs w:val="32"/>
        <w:u w:val="none"/>
      </w:rPr>
    </w:lvl>
    <w:lvl w:ilvl="2" w:tentative="0">
      <w:start w:val="1"/>
      <w:numFmt w:val="decimal"/>
      <w:pStyle w:val="119"/>
      <w:lvlText w:val="%1.%2.%3"/>
      <w:lvlJc w:val="left"/>
      <w:pPr>
        <w:tabs>
          <w:tab w:val="left" w:pos="851"/>
        </w:tabs>
        <w:ind w:left="851" w:hanging="851"/>
      </w:pPr>
      <w:rPr>
        <w:rFonts w:hint="default" w:ascii="Times New Roman" w:hAnsi="Times New Roman" w:eastAsia="宋体" w:cs="Times New Roman"/>
        <w:b/>
        <w:i w:val="0"/>
        <w:color w:val="0000FF"/>
        <w:sz w:val="28"/>
        <w:szCs w:val="28"/>
        <w:u w:val="none"/>
      </w:rPr>
    </w:lvl>
    <w:lvl w:ilvl="3" w:tentative="0">
      <w:start w:val="1"/>
      <w:numFmt w:val="decimal"/>
      <w:lvlText w:val="%1.%2.%3.%4"/>
      <w:lvlJc w:val="left"/>
      <w:pPr>
        <w:tabs>
          <w:tab w:val="left" w:pos="1049"/>
        </w:tabs>
        <w:ind w:left="1049" w:hanging="1049"/>
      </w:pPr>
      <w:rPr>
        <w:rFonts w:hint="default" w:ascii="Times New Roman" w:hAnsi="Times New Roman" w:cs="Times New Roman"/>
        <w:b/>
        <w:bCs w:val="0"/>
        <w:i w:val="0"/>
        <w:iCs w:val="0"/>
        <w:caps w:val="0"/>
        <w:smallCaps w:val="0"/>
        <w:strike w:val="0"/>
        <w:dstrike w:val="0"/>
        <w:vanish w:val="0"/>
        <w:color w:val="0000FF"/>
        <w:spacing w:val="0"/>
        <w:kern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tabs>
          <w:tab w:val="left" w:pos="2238"/>
        </w:tabs>
        <w:ind w:left="2238" w:hanging="1008"/>
      </w:pPr>
      <w:rPr>
        <w:rFonts w:hint="default"/>
        <w:color w:val="0000FF"/>
        <w:sz w:val="24"/>
        <w:szCs w:val="24"/>
      </w:rPr>
    </w:lvl>
    <w:lvl w:ilvl="5" w:tentative="0">
      <w:start w:val="1"/>
      <w:numFmt w:val="decimal"/>
      <w:pStyle w:val="7"/>
      <w:lvlText w:val="%1.%2.%3.%4.%5.%6"/>
      <w:lvlJc w:val="left"/>
      <w:pPr>
        <w:tabs>
          <w:tab w:val="left" w:pos="2382"/>
        </w:tabs>
        <w:ind w:left="2382" w:hanging="1152"/>
      </w:pPr>
      <w:rPr>
        <w:rFonts w:hint="default"/>
      </w:rPr>
    </w:lvl>
    <w:lvl w:ilvl="6" w:tentative="0">
      <w:start w:val="1"/>
      <w:numFmt w:val="decimal"/>
      <w:pStyle w:val="8"/>
      <w:lvlText w:val="%1.%2.%3.%4.%5.%6.%7"/>
      <w:lvlJc w:val="left"/>
      <w:pPr>
        <w:tabs>
          <w:tab w:val="left" w:pos="2526"/>
        </w:tabs>
        <w:ind w:left="2526" w:hanging="1296"/>
      </w:pPr>
      <w:rPr>
        <w:rFonts w:hint="default"/>
      </w:rPr>
    </w:lvl>
    <w:lvl w:ilvl="7" w:tentative="0">
      <w:start w:val="1"/>
      <w:numFmt w:val="decimal"/>
      <w:pStyle w:val="9"/>
      <w:lvlText w:val="%1.%2.%3.%4.%5.%6.%7.%8"/>
      <w:lvlJc w:val="left"/>
      <w:pPr>
        <w:tabs>
          <w:tab w:val="left" w:pos="2670"/>
        </w:tabs>
        <w:ind w:left="2670" w:hanging="1440"/>
      </w:pPr>
      <w:rPr>
        <w:rFonts w:hint="default"/>
      </w:rPr>
    </w:lvl>
    <w:lvl w:ilvl="8" w:tentative="0">
      <w:start w:val="1"/>
      <w:numFmt w:val="decimal"/>
      <w:pStyle w:val="10"/>
      <w:lvlText w:val="%1.%2.%3.%4.%5.%6.%7.%8.%9"/>
      <w:lvlJc w:val="left"/>
      <w:pPr>
        <w:tabs>
          <w:tab w:val="left" w:pos="2814"/>
        </w:tabs>
        <w:ind w:left="2814" w:hanging="1584"/>
      </w:pPr>
      <w:rPr>
        <w:rFonts w:hint="default"/>
      </w:rPr>
    </w:lvl>
  </w:abstractNum>
  <w:num w:numId="1">
    <w:abstractNumId w:val="19"/>
  </w:num>
  <w:num w:numId="2">
    <w:abstractNumId w:val="3"/>
  </w:num>
  <w:num w:numId="3">
    <w:abstractNumId w:val="6"/>
  </w:num>
  <w:num w:numId="4">
    <w:abstractNumId w:val="16"/>
  </w:num>
  <w:num w:numId="5">
    <w:abstractNumId w:val="10"/>
  </w:num>
  <w:num w:numId="6">
    <w:abstractNumId w:val="13"/>
  </w:num>
  <w:num w:numId="7">
    <w:abstractNumId w:val="0"/>
  </w:num>
  <w:num w:numId="8">
    <w:abstractNumId w:val="9"/>
  </w:num>
  <w:num w:numId="9">
    <w:abstractNumId w:val="17"/>
  </w:num>
  <w:num w:numId="10">
    <w:abstractNumId w:val="11"/>
  </w:num>
  <w:num w:numId="11">
    <w:abstractNumId w:val="7"/>
  </w:num>
  <w:num w:numId="12">
    <w:abstractNumId w:val="5"/>
  </w:num>
  <w:num w:numId="13">
    <w:abstractNumId w:val="18"/>
  </w:num>
  <w:num w:numId="14">
    <w:abstractNumId w:val="14"/>
  </w:num>
  <w:num w:numId="15">
    <w:abstractNumId w:val="1"/>
  </w:num>
  <w:num w:numId="16">
    <w:abstractNumId w:val="2"/>
  </w:num>
  <w:num w:numId="17">
    <w:abstractNumId w:val="15"/>
  </w:num>
  <w:num w:numId="18">
    <w:abstractNumId w:val="4"/>
  </w:num>
  <w:num w:numId="19">
    <w:abstractNumId w:val="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true"/>
  <w:bordersDoNotSurroundFooter w:val="true"/>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A24"/>
    <w:rsid w:val="0000170E"/>
    <w:rsid w:val="00002031"/>
    <w:rsid w:val="00002B65"/>
    <w:rsid w:val="000103F6"/>
    <w:rsid w:val="00011D3D"/>
    <w:rsid w:val="000149DB"/>
    <w:rsid w:val="00017E48"/>
    <w:rsid w:val="00026093"/>
    <w:rsid w:val="00026A07"/>
    <w:rsid w:val="00027381"/>
    <w:rsid w:val="00031451"/>
    <w:rsid w:val="00032F0B"/>
    <w:rsid w:val="00034CA5"/>
    <w:rsid w:val="00035444"/>
    <w:rsid w:val="000358DC"/>
    <w:rsid w:val="00036E53"/>
    <w:rsid w:val="000414CB"/>
    <w:rsid w:val="0004161F"/>
    <w:rsid w:val="00043D80"/>
    <w:rsid w:val="000447F8"/>
    <w:rsid w:val="00046673"/>
    <w:rsid w:val="00046E64"/>
    <w:rsid w:val="00053F6B"/>
    <w:rsid w:val="00055CD5"/>
    <w:rsid w:val="00055D27"/>
    <w:rsid w:val="00057981"/>
    <w:rsid w:val="00062D2E"/>
    <w:rsid w:val="00073790"/>
    <w:rsid w:val="000742AC"/>
    <w:rsid w:val="00076034"/>
    <w:rsid w:val="00077EF7"/>
    <w:rsid w:val="00080983"/>
    <w:rsid w:val="00082D40"/>
    <w:rsid w:val="00084026"/>
    <w:rsid w:val="00084B64"/>
    <w:rsid w:val="00086A4D"/>
    <w:rsid w:val="00087F43"/>
    <w:rsid w:val="00090D54"/>
    <w:rsid w:val="00090DD8"/>
    <w:rsid w:val="00094987"/>
    <w:rsid w:val="000A0281"/>
    <w:rsid w:val="000A22EA"/>
    <w:rsid w:val="000A3FB8"/>
    <w:rsid w:val="000A5914"/>
    <w:rsid w:val="000B0AE8"/>
    <w:rsid w:val="000B2994"/>
    <w:rsid w:val="000B3A98"/>
    <w:rsid w:val="000B4491"/>
    <w:rsid w:val="000B6583"/>
    <w:rsid w:val="000B6A7F"/>
    <w:rsid w:val="000C1918"/>
    <w:rsid w:val="000C3A2D"/>
    <w:rsid w:val="000C447D"/>
    <w:rsid w:val="000C5D71"/>
    <w:rsid w:val="000D1879"/>
    <w:rsid w:val="000D3195"/>
    <w:rsid w:val="000E0D2E"/>
    <w:rsid w:val="000E373C"/>
    <w:rsid w:val="000E5723"/>
    <w:rsid w:val="000E57F5"/>
    <w:rsid w:val="000E5D75"/>
    <w:rsid w:val="000E788D"/>
    <w:rsid w:val="000F0CF5"/>
    <w:rsid w:val="000F302A"/>
    <w:rsid w:val="000F3D9E"/>
    <w:rsid w:val="000F5143"/>
    <w:rsid w:val="000F57ED"/>
    <w:rsid w:val="000F683A"/>
    <w:rsid w:val="000F77CD"/>
    <w:rsid w:val="000F7F54"/>
    <w:rsid w:val="00100256"/>
    <w:rsid w:val="00102839"/>
    <w:rsid w:val="001031DE"/>
    <w:rsid w:val="00103BEF"/>
    <w:rsid w:val="001053EE"/>
    <w:rsid w:val="0010687E"/>
    <w:rsid w:val="00106C38"/>
    <w:rsid w:val="001118F7"/>
    <w:rsid w:val="00112C29"/>
    <w:rsid w:val="00113C34"/>
    <w:rsid w:val="00117C63"/>
    <w:rsid w:val="00121C72"/>
    <w:rsid w:val="001223FB"/>
    <w:rsid w:val="00122BA7"/>
    <w:rsid w:val="00123056"/>
    <w:rsid w:val="0012507C"/>
    <w:rsid w:val="001260E1"/>
    <w:rsid w:val="00126C6B"/>
    <w:rsid w:val="001303D1"/>
    <w:rsid w:val="001306E4"/>
    <w:rsid w:val="001322D3"/>
    <w:rsid w:val="001340D9"/>
    <w:rsid w:val="00134942"/>
    <w:rsid w:val="001358E1"/>
    <w:rsid w:val="00137324"/>
    <w:rsid w:val="00140A8F"/>
    <w:rsid w:val="00140BBA"/>
    <w:rsid w:val="00141078"/>
    <w:rsid w:val="0014164D"/>
    <w:rsid w:val="00141AC3"/>
    <w:rsid w:val="00142AB9"/>
    <w:rsid w:val="00143780"/>
    <w:rsid w:val="0014503A"/>
    <w:rsid w:val="00146FB0"/>
    <w:rsid w:val="001472D2"/>
    <w:rsid w:val="00147398"/>
    <w:rsid w:val="001502B8"/>
    <w:rsid w:val="001502F0"/>
    <w:rsid w:val="00153981"/>
    <w:rsid w:val="00153D12"/>
    <w:rsid w:val="00156639"/>
    <w:rsid w:val="00156653"/>
    <w:rsid w:val="00156978"/>
    <w:rsid w:val="00160213"/>
    <w:rsid w:val="00161238"/>
    <w:rsid w:val="00161F69"/>
    <w:rsid w:val="00162294"/>
    <w:rsid w:val="0016257C"/>
    <w:rsid w:val="0016470C"/>
    <w:rsid w:val="00171792"/>
    <w:rsid w:val="00171F1D"/>
    <w:rsid w:val="001734B5"/>
    <w:rsid w:val="0017363E"/>
    <w:rsid w:val="0017382F"/>
    <w:rsid w:val="00175161"/>
    <w:rsid w:val="001759D3"/>
    <w:rsid w:val="0017639A"/>
    <w:rsid w:val="0018026D"/>
    <w:rsid w:val="001840C0"/>
    <w:rsid w:val="0018459F"/>
    <w:rsid w:val="001851BC"/>
    <w:rsid w:val="00185F87"/>
    <w:rsid w:val="0018603F"/>
    <w:rsid w:val="00186551"/>
    <w:rsid w:val="00192449"/>
    <w:rsid w:val="001924D1"/>
    <w:rsid w:val="00192DE3"/>
    <w:rsid w:val="001939F1"/>
    <w:rsid w:val="001944E1"/>
    <w:rsid w:val="00195E7B"/>
    <w:rsid w:val="00195FB0"/>
    <w:rsid w:val="00197F42"/>
    <w:rsid w:val="001A0539"/>
    <w:rsid w:val="001A1815"/>
    <w:rsid w:val="001A24BE"/>
    <w:rsid w:val="001A2DF6"/>
    <w:rsid w:val="001A5D50"/>
    <w:rsid w:val="001A62F3"/>
    <w:rsid w:val="001B31AE"/>
    <w:rsid w:val="001B5EF5"/>
    <w:rsid w:val="001C031D"/>
    <w:rsid w:val="001C07C5"/>
    <w:rsid w:val="001C145C"/>
    <w:rsid w:val="001C15E6"/>
    <w:rsid w:val="001C4F3C"/>
    <w:rsid w:val="001C50F7"/>
    <w:rsid w:val="001D3412"/>
    <w:rsid w:val="001E17DE"/>
    <w:rsid w:val="001E2111"/>
    <w:rsid w:val="001E2578"/>
    <w:rsid w:val="001E2967"/>
    <w:rsid w:val="001E48F4"/>
    <w:rsid w:val="001E4966"/>
    <w:rsid w:val="001F097B"/>
    <w:rsid w:val="001F7898"/>
    <w:rsid w:val="00200497"/>
    <w:rsid w:val="002019B9"/>
    <w:rsid w:val="00203467"/>
    <w:rsid w:val="00204CAD"/>
    <w:rsid w:val="00206FB9"/>
    <w:rsid w:val="002072F9"/>
    <w:rsid w:val="00207CA2"/>
    <w:rsid w:val="00211948"/>
    <w:rsid w:val="00212F0F"/>
    <w:rsid w:val="002161B2"/>
    <w:rsid w:val="00217957"/>
    <w:rsid w:val="00220AEC"/>
    <w:rsid w:val="0022135F"/>
    <w:rsid w:val="00221E76"/>
    <w:rsid w:val="00221EF0"/>
    <w:rsid w:val="002225A0"/>
    <w:rsid w:val="0022326B"/>
    <w:rsid w:val="0022509D"/>
    <w:rsid w:val="00225D48"/>
    <w:rsid w:val="00231DAE"/>
    <w:rsid w:val="00233463"/>
    <w:rsid w:val="00234AAD"/>
    <w:rsid w:val="00234EC6"/>
    <w:rsid w:val="0023557B"/>
    <w:rsid w:val="00236C7C"/>
    <w:rsid w:val="002407E0"/>
    <w:rsid w:val="00240FE0"/>
    <w:rsid w:val="00242958"/>
    <w:rsid w:val="00243AE0"/>
    <w:rsid w:val="00245339"/>
    <w:rsid w:val="0024707C"/>
    <w:rsid w:val="0025103E"/>
    <w:rsid w:val="002523FD"/>
    <w:rsid w:val="0025272E"/>
    <w:rsid w:val="002548B6"/>
    <w:rsid w:val="00254F09"/>
    <w:rsid w:val="00255530"/>
    <w:rsid w:val="002559C8"/>
    <w:rsid w:val="00257AC0"/>
    <w:rsid w:val="00262B76"/>
    <w:rsid w:val="002648DF"/>
    <w:rsid w:val="0026561A"/>
    <w:rsid w:val="00265674"/>
    <w:rsid w:val="00265CA7"/>
    <w:rsid w:val="00270162"/>
    <w:rsid w:val="00271175"/>
    <w:rsid w:val="00271AFF"/>
    <w:rsid w:val="002723C8"/>
    <w:rsid w:val="00273B45"/>
    <w:rsid w:val="002742B9"/>
    <w:rsid w:val="00275437"/>
    <w:rsid w:val="00276087"/>
    <w:rsid w:val="002810ED"/>
    <w:rsid w:val="00281A3E"/>
    <w:rsid w:val="002821A8"/>
    <w:rsid w:val="00284460"/>
    <w:rsid w:val="0028466F"/>
    <w:rsid w:val="002855DC"/>
    <w:rsid w:val="00285A08"/>
    <w:rsid w:val="00286EF3"/>
    <w:rsid w:val="002877CD"/>
    <w:rsid w:val="00287A49"/>
    <w:rsid w:val="0029301D"/>
    <w:rsid w:val="00294052"/>
    <w:rsid w:val="00295ECF"/>
    <w:rsid w:val="00296970"/>
    <w:rsid w:val="002A0E73"/>
    <w:rsid w:val="002A101C"/>
    <w:rsid w:val="002A397D"/>
    <w:rsid w:val="002A39DE"/>
    <w:rsid w:val="002A4034"/>
    <w:rsid w:val="002A4155"/>
    <w:rsid w:val="002A6830"/>
    <w:rsid w:val="002A6B77"/>
    <w:rsid w:val="002A6E56"/>
    <w:rsid w:val="002A7B69"/>
    <w:rsid w:val="002B4246"/>
    <w:rsid w:val="002B72B2"/>
    <w:rsid w:val="002B7636"/>
    <w:rsid w:val="002C2D95"/>
    <w:rsid w:val="002C3940"/>
    <w:rsid w:val="002C56C0"/>
    <w:rsid w:val="002D0619"/>
    <w:rsid w:val="002D0A07"/>
    <w:rsid w:val="002D1716"/>
    <w:rsid w:val="002D37C7"/>
    <w:rsid w:val="002D5E98"/>
    <w:rsid w:val="002D6665"/>
    <w:rsid w:val="002D6CE8"/>
    <w:rsid w:val="002E338B"/>
    <w:rsid w:val="002E356C"/>
    <w:rsid w:val="002E64D6"/>
    <w:rsid w:val="002F1465"/>
    <w:rsid w:val="002F1E3A"/>
    <w:rsid w:val="002F2DC1"/>
    <w:rsid w:val="002F46C8"/>
    <w:rsid w:val="002F5777"/>
    <w:rsid w:val="002F59C7"/>
    <w:rsid w:val="002F6493"/>
    <w:rsid w:val="002F7E58"/>
    <w:rsid w:val="00304E10"/>
    <w:rsid w:val="00305729"/>
    <w:rsid w:val="0030765A"/>
    <w:rsid w:val="00307C2F"/>
    <w:rsid w:val="00307E13"/>
    <w:rsid w:val="003104B9"/>
    <w:rsid w:val="0031142D"/>
    <w:rsid w:val="0031170C"/>
    <w:rsid w:val="00312D4F"/>
    <w:rsid w:val="00315BC7"/>
    <w:rsid w:val="0031710C"/>
    <w:rsid w:val="00317479"/>
    <w:rsid w:val="00317D01"/>
    <w:rsid w:val="00320F62"/>
    <w:rsid w:val="00321291"/>
    <w:rsid w:val="00321F4C"/>
    <w:rsid w:val="00323449"/>
    <w:rsid w:val="0032353D"/>
    <w:rsid w:val="003238D7"/>
    <w:rsid w:val="003262AE"/>
    <w:rsid w:val="003270B0"/>
    <w:rsid w:val="003279DD"/>
    <w:rsid w:val="0033050A"/>
    <w:rsid w:val="00330AA7"/>
    <w:rsid w:val="00332CEC"/>
    <w:rsid w:val="00334D83"/>
    <w:rsid w:val="00336686"/>
    <w:rsid w:val="003369BD"/>
    <w:rsid w:val="00337360"/>
    <w:rsid w:val="003378D2"/>
    <w:rsid w:val="00341944"/>
    <w:rsid w:val="00343106"/>
    <w:rsid w:val="00343DDC"/>
    <w:rsid w:val="00344790"/>
    <w:rsid w:val="00344930"/>
    <w:rsid w:val="00345398"/>
    <w:rsid w:val="003478BA"/>
    <w:rsid w:val="00351E5E"/>
    <w:rsid w:val="00351EE4"/>
    <w:rsid w:val="00352224"/>
    <w:rsid w:val="003526F8"/>
    <w:rsid w:val="00354A56"/>
    <w:rsid w:val="00356F60"/>
    <w:rsid w:val="003616FC"/>
    <w:rsid w:val="00361D5E"/>
    <w:rsid w:val="00362537"/>
    <w:rsid w:val="00363047"/>
    <w:rsid w:val="00363528"/>
    <w:rsid w:val="00363743"/>
    <w:rsid w:val="00366B1C"/>
    <w:rsid w:val="00366B34"/>
    <w:rsid w:val="00367F93"/>
    <w:rsid w:val="00370A84"/>
    <w:rsid w:val="003717F4"/>
    <w:rsid w:val="003717F9"/>
    <w:rsid w:val="00376179"/>
    <w:rsid w:val="00383762"/>
    <w:rsid w:val="00385471"/>
    <w:rsid w:val="00385ED9"/>
    <w:rsid w:val="00386843"/>
    <w:rsid w:val="003905F8"/>
    <w:rsid w:val="00391F3E"/>
    <w:rsid w:val="00395A50"/>
    <w:rsid w:val="00395C59"/>
    <w:rsid w:val="003960C4"/>
    <w:rsid w:val="00396326"/>
    <w:rsid w:val="00396FF5"/>
    <w:rsid w:val="003A0797"/>
    <w:rsid w:val="003A0CE8"/>
    <w:rsid w:val="003A1BBC"/>
    <w:rsid w:val="003A1CA0"/>
    <w:rsid w:val="003A38F6"/>
    <w:rsid w:val="003A39F5"/>
    <w:rsid w:val="003A4594"/>
    <w:rsid w:val="003A508C"/>
    <w:rsid w:val="003A536C"/>
    <w:rsid w:val="003A54C1"/>
    <w:rsid w:val="003A7347"/>
    <w:rsid w:val="003B44E7"/>
    <w:rsid w:val="003B4E78"/>
    <w:rsid w:val="003B5148"/>
    <w:rsid w:val="003B7EE3"/>
    <w:rsid w:val="003C40E7"/>
    <w:rsid w:val="003C42FE"/>
    <w:rsid w:val="003C50D3"/>
    <w:rsid w:val="003C576B"/>
    <w:rsid w:val="003D3424"/>
    <w:rsid w:val="003D35A2"/>
    <w:rsid w:val="003D4DEE"/>
    <w:rsid w:val="003D5A5C"/>
    <w:rsid w:val="003E2C63"/>
    <w:rsid w:val="003E4778"/>
    <w:rsid w:val="003E4834"/>
    <w:rsid w:val="003E68B3"/>
    <w:rsid w:val="003F5D69"/>
    <w:rsid w:val="003F6CB7"/>
    <w:rsid w:val="003F7C8F"/>
    <w:rsid w:val="00400A7B"/>
    <w:rsid w:val="00401743"/>
    <w:rsid w:val="00405DBC"/>
    <w:rsid w:val="00406EC7"/>
    <w:rsid w:val="00416257"/>
    <w:rsid w:val="004167AB"/>
    <w:rsid w:val="00417C4F"/>
    <w:rsid w:val="004238C8"/>
    <w:rsid w:val="004266D1"/>
    <w:rsid w:val="0043077E"/>
    <w:rsid w:val="0043130F"/>
    <w:rsid w:val="00433521"/>
    <w:rsid w:val="00435081"/>
    <w:rsid w:val="004375A6"/>
    <w:rsid w:val="00441EDF"/>
    <w:rsid w:val="004420B6"/>
    <w:rsid w:val="00443B87"/>
    <w:rsid w:val="004444E7"/>
    <w:rsid w:val="00444920"/>
    <w:rsid w:val="00444CF4"/>
    <w:rsid w:val="00444DB4"/>
    <w:rsid w:val="0044757D"/>
    <w:rsid w:val="00451BEE"/>
    <w:rsid w:val="00451DAD"/>
    <w:rsid w:val="00454E40"/>
    <w:rsid w:val="00455288"/>
    <w:rsid w:val="00456261"/>
    <w:rsid w:val="00457BB5"/>
    <w:rsid w:val="0046002D"/>
    <w:rsid w:val="00461E9F"/>
    <w:rsid w:val="0046326D"/>
    <w:rsid w:val="00467CC0"/>
    <w:rsid w:val="00470F12"/>
    <w:rsid w:val="00471E66"/>
    <w:rsid w:val="00472C30"/>
    <w:rsid w:val="0047384C"/>
    <w:rsid w:val="00474469"/>
    <w:rsid w:val="004823FA"/>
    <w:rsid w:val="00484DC2"/>
    <w:rsid w:val="00493AA6"/>
    <w:rsid w:val="00494AD2"/>
    <w:rsid w:val="004A15B6"/>
    <w:rsid w:val="004A2C83"/>
    <w:rsid w:val="004A3276"/>
    <w:rsid w:val="004A3E66"/>
    <w:rsid w:val="004A3F7B"/>
    <w:rsid w:val="004A415A"/>
    <w:rsid w:val="004A546D"/>
    <w:rsid w:val="004B0290"/>
    <w:rsid w:val="004B02E5"/>
    <w:rsid w:val="004B3499"/>
    <w:rsid w:val="004B3AE9"/>
    <w:rsid w:val="004B420C"/>
    <w:rsid w:val="004B46B0"/>
    <w:rsid w:val="004B614B"/>
    <w:rsid w:val="004B7E71"/>
    <w:rsid w:val="004C1052"/>
    <w:rsid w:val="004C3A0C"/>
    <w:rsid w:val="004C4591"/>
    <w:rsid w:val="004C5BA6"/>
    <w:rsid w:val="004C5D03"/>
    <w:rsid w:val="004C61FE"/>
    <w:rsid w:val="004C7D30"/>
    <w:rsid w:val="004D175E"/>
    <w:rsid w:val="004D3FAF"/>
    <w:rsid w:val="004D47E8"/>
    <w:rsid w:val="004D5018"/>
    <w:rsid w:val="004D7096"/>
    <w:rsid w:val="004E0D35"/>
    <w:rsid w:val="004E2566"/>
    <w:rsid w:val="004E2669"/>
    <w:rsid w:val="004E51B1"/>
    <w:rsid w:val="004E5B29"/>
    <w:rsid w:val="004F3A3D"/>
    <w:rsid w:val="004F46DC"/>
    <w:rsid w:val="004F5689"/>
    <w:rsid w:val="004F5FB9"/>
    <w:rsid w:val="004F6673"/>
    <w:rsid w:val="004F6C87"/>
    <w:rsid w:val="004F763A"/>
    <w:rsid w:val="004F7AAE"/>
    <w:rsid w:val="00500532"/>
    <w:rsid w:val="00501981"/>
    <w:rsid w:val="00501DE2"/>
    <w:rsid w:val="005022BE"/>
    <w:rsid w:val="005053FB"/>
    <w:rsid w:val="0050579C"/>
    <w:rsid w:val="00507DCD"/>
    <w:rsid w:val="005119D1"/>
    <w:rsid w:val="00514A28"/>
    <w:rsid w:val="00515FAD"/>
    <w:rsid w:val="00516B1B"/>
    <w:rsid w:val="00520AD9"/>
    <w:rsid w:val="005228A9"/>
    <w:rsid w:val="0052335E"/>
    <w:rsid w:val="00524DD3"/>
    <w:rsid w:val="00524ED9"/>
    <w:rsid w:val="00530210"/>
    <w:rsid w:val="00532B32"/>
    <w:rsid w:val="00535A2C"/>
    <w:rsid w:val="005400FE"/>
    <w:rsid w:val="00541577"/>
    <w:rsid w:val="00541641"/>
    <w:rsid w:val="00542D0B"/>
    <w:rsid w:val="00544C23"/>
    <w:rsid w:val="00546690"/>
    <w:rsid w:val="00551C0A"/>
    <w:rsid w:val="00552E54"/>
    <w:rsid w:val="0055424D"/>
    <w:rsid w:val="00554298"/>
    <w:rsid w:val="0056207B"/>
    <w:rsid w:val="00562E9F"/>
    <w:rsid w:val="00565523"/>
    <w:rsid w:val="005657F0"/>
    <w:rsid w:val="00566766"/>
    <w:rsid w:val="0056784E"/>
    <w:rsid w:val="00570A3B"/>
    <w:rsid w:val="005724ED"/>
    <w:rsid w:val="005832EE"/>
    <w:rsid w:val="00583F82"/>
    <w:rsid w:val="005867F4"/>
    <w:rsid w:val="00587474"/>
    <w:rsid w:val="00590520"/>
    <w:rsid w:val="00591D4B"/>
    <w:rsid w:val="0059328A"/>
    <w:rsid w:val="00594AE8"/>
    <w:rsid w:val="00595018"/>
    <w:rsid w:val="00596DD0"/>
    <w:rsid w:val="00596FD2"/>
    <w:rsid w:val="005A327E"/>
    <w:rsid w:val="005A7434"/>
    <w:rsid w:val="005B1863"/>
    <w:rsid w:val="005B1D3E"/>
    <w:rsid w:val="005B33AE"/>
    <w:rsid w:val="005B3FB0"/>
    <w:rsid w:val="005B4D8C"/>
    <w:rsid w:val="005B4FE1"/>
    <w:rsid w:val="005B5C77"/>
    <w:rsid w:val="005B6EFA"/>
    <w:rsid w:val="005C11FB"/>
    <w:rsid w:val="005C3132"/>
    <w:rsid w:val="005C3570"/>
    <w:rsid w:val="005C39C8"/>
    <w:rsid w:val="005C3A32"/>
    <w:rsid w:val="005C3BE3"/>
    <w:rsid w:val="005C71CD"/>
    <w:rsid w:val="005C7664"/>
    <w:rsid w:val="005D03E4"/>
    <w:rsid w:val="005D1018"/>
    <w:rsid w:val="005D1ADD"/>
    <w:rsid w:val="005D3D93"/>
    <w:rsid w:val="005D4369"/>
    <w:rsid w:val="005D4E06"/>
    <w:rsid w:val="005E44B7"/>
    <w:rsid w:val="005F10E4"/>
    <w:rsid w:val="005F6E5C"/>
    <w:rsid w:val="0060015E"/>
    <w:rsid w:val="00600705"/>
    <w:rsid w:val="0060174F"/>
    <w:rsid w:val="00602285"/>
    <w:rsid w:val="00606337"/>
    <w:rsid w:val="00607469"/>
    <w:rsid w:val="00614ACD"/>
    <w:rsid w:val="006158DC"/>
    <w:rsid w:val="00617677"/>
    <w:rsid w:val="006176F5"/>
    <w:rsid w:val="00621896"/>
    <w:rsid w:val="006220A4"/>
    <w:rsid w:val="006221C9"/>
    <w:rsid w:val="006231C3"/>
    <w:rsid w:val="00626F8C"/>
    <w:rsid w:val="0062775D"/>
    <w:rsid w:val="00630075"/>
    <w:rsid w:val="006312C0"/>
    <w:rsid w:val="0063135D"/>
    <w:rsid w:val="006317BE"/>
    <w:rsid w:val="00634A5A"/>
    <w:rsid w:val="00634ED4"/>
    <w:rsid w:val="00637C6F"/>
    <w:rsid w:val="00640811"/>
    <w:rsid w:val="00640A38"/>
    <w:rsid w:val="00645866"/>
    <w:rsid w:val="006467F9"/>
    <w:rsid w:val="00650C72"/>
    <w:rsid w:val="00651299"/>
    <w:rsid w:val="00651E11"/>
    <w:rsid w:val="00652C0C"/>
    <w:rsid w:val="00652F8F"/>
    <w:rsid w:val="00653654"/>
    <w:rsid w:val="006538DC"/>
    <w:rsid w:val="00653B45"/>
    <w:rsid w:val="006548C5"/>
    <w:rsid w:val="006551C5"/>
    <w:rsid w:val="00655679"/>
    <w:rsid w:val="00655824"/>
    <w:rsid w:val="006559F7"/>
    <w:rsid w:val="006561C7"/>
    <w:rsid w:val="00662400"/>
    <w:rsid w:val="00662B93"/>
    <w:rsid w:val="00663A4B"/>
    <w:rsid w:val="0066523F"/>
    <w:rsid w:val="00666836"/>
    <w:rsid w:val="006672BC"/>
    <w:rsid w:val="00667BC8"/>
    <w:rsid w:val="00670565"/>
    <w:rsid w:val="00673B45"/>
    <w:rsid w:val="006741EE"/>
    <w:rsid w:val="0067577D"/>
    <w:rsid w:val="00675FDD"/>
    <w:rsid w:val="00676CEA"/>
    <w:rsid w:val="00680DE0"/>
    <w:rsid w:val="006812BE"/>
    <w:rsid w:val="00681F5B"/>
    <w:rsid w:val="006820B0"/>
    <w:rsid w:val="006821CE"/>
    <w:rsid w:val="006858A0"/>
    <w:rsid w:val="00686B4C"/>
    <w:rsid w:val="00686F1A"/>
    <w:rsid w:val="00690436"/>
    <w:rsid w:val="0069355F"/>
    <w:rsid w:val="0069450E"/>
    <w:rsid w:val="00695D71"/>
    <w:rsid w:val="0069622A"/>
    <w:rsid w:val="0069691E"/>
    <w:rsid w:val="00697426"/>
    <w:rsid w:val="006A1DF6"/>
    <w:rsid w:val="006B0B85"/>
    <w:rsid w:val="006B156C"/>
    <w:rsid w:val="006B2726"/>
    <w:rsid w:val="006B308A"/>
    <w:rsid w:val="006B7ACF"/>
    <w:rsid w:val="006C33BE"/>
    <w:rsid w:val="006C35F8"/>
    <w:rsid w:val="006C55B3"/>
    <w:rsid w:val="006C6A41"/>
    <w:rsid w:val="006D145E"/>
    <w:rsid w:val="006D2F70"/>
    <w:rsid w:val="006E2EDF"/>
    <w:rsid w:val="006E4269"/>
    <w:rsid w:val="006E52E7"/>
    <w:rsid w:val="006E68A1"/>
    <w:rsid w:val="006F13F0"/>
    <w:rsid w:val="006F1818"/>
    <w:rsid w:val="006F1FD3"/>
    <w:rsid w:val="006F7587"/>
    <w:rsid w:val="00700A7A"/>
    <w:rsid w:val="00701F01"/>
    <w:rsid w:val="007041A8"/>
    <w:rsid w:val="00704E02"/>
    <w:rsid w:val="00706E0C"/>
    <w:rsid w:val="0071017B"/>
    <w:rsid w:val="007111E9"/>
    <w:rsid w:val="00712C56"/>
    <w:rsid w:val="00713466"/>
    <w:rsid w:val="00716FFB"/>
    <w:rsid w:val="00720F64"/>
    <w:rsid w:val="00721686"/>
    <w:rsid w:val="0072182E"/>
    <w:rsid w:val="00724AE7"/>
    <w:rsid w:val="007262B2"/>
    <w:rsid w:val="00727AC6"/>
    <w:rsid w:val="0073044E"/>
    <w:rsid w:val="00731682"/>
    <w:rsid w:val="00731ACE"/>
    <w:rsid w:val="00734BCB"/>
    <w:rsid w:val="00734D4C"/>
    <w:rsid w:val="007370F1"/>
    <w:rsid w:val="007413EF"/>
    <w:rsid w:val="0074227C"/>
    <w:rsid w:val="007431F9"/>
    <w:rsid w:val="0074460F"/>
    <w:rsid w:val="007446D0"/>
    <w:rsid w:val="007449BA"/>
    <w:rsid w:val="00744BBB"/>
    <w:rsid w:val="00745420"/>
    <w:rsid w:val="007458DD"/>
    <w:rsid w:val="00746701"/>
    <w:rsid w:val="0075403E"/>
    <w:rsid w:val="00754ADB"/>
    <w:rsid w:val="00755C4D"/>
    <w:rsid w:val="0076201C"/>
    <w:rsid w:val="00764DAD"/>
    <w:rsid w:val="00765A24"/>
    <w:rsid w:val="0076681B"/>
    <w:rsid w:val="00770291"/>
    <w:rsid w:val="00770C9E"/>
    <w:rsid w:val="007724DF"/>
    <w:rsid w:val="00773E22"/>
    <w:rsid w:val="00774A74"/>
    <w:rsid w:val="007753EC"/>
    <w:rsid w:val="00776215"/>
    <w:rsid w:val="00780D5C"/>
    <w:rsid w:val="007814B2"/>
    <w:rsid w:val="00782018"/>
    <w:rsid w:val="0078271B"/>
    <w:rsid w:val="00784E00"/>
    <w:rsid w:val="0078616F"/>
    <w:rsid w:val="00786CAC"/>
    <w:rsid w:val="00786F1E"/>
    <w:rsid w:val="00787530"/>
    <w:rsid w:val="00793616"/>
    <w:rsid w:val="00796A80"/>
    <w:rsid w:val="007A0375"/>
    <w:rsid w:val="007A4498"/>
    <w:rsid w:val="007A658C"/>
    <w:rsid w:val="007A7D1C"/>
    <w:rsid w:val="007B132A"/>
    <w:rsid w:val="007B3852"/>
    <w:rsid w:val="007B43A2"/>
    <w:rsid w:val="007B5E16"/>
    <w:rsid w:val="007B6C98"/>
    <w:rsid w:val="007C20A3"/>
    <w:rsid w:val="007C28AC"/>
    <w:rsid w:val="007C2B76"/>
    <w:rsid w:val="007C404E"/>
    <w:rsid w:val="007C4901"/>
    <w:rsid w:val="007C7A11"/>
    <w:rsid w:val="007D00B0"/>
    <w:rsid w:val="007D04A7"/>
    <w:rsid w:val="007D07B0"/>
    <w:rsid w:val="007D2129"/>
    <w:rsid w:val="007D23CB"/>
    <w:rsid w:val="007D2CB0"/>
    <w:rsid w:val="007D4337"/>
    <w:rsid w:val="007D4929"/>
    <w:rsid w:val="007D59D3"/>
    <w:rsid w:val="007E2F50"/>
    <w:rsid w:val="007E6865"/>
    <w:rsid w:val="007E790A"/>
    <w:rsid w:val="007F1A2F"/>
    <w:rsid w:val="007F1E69"/>
    <w:rsid w:val="007F24EF"/>
    <w:rsid w:val="007F74BB"/>
    <w:rsid w:val="007F7652"/>
    <w:rsid w:val="008005B4"/>
    <w:rsid w:val="00803007"/>
    <w:rsid w:val="0080308B"/>
    <w:rsid w:val="00803B13"/>
    <w:rsid w:val="0080496C"/>
    <w:rsid w:val="00811C9B"/>
    <w:rsid w:val="008132E3"/>
    <w:rsid w:val="00813B82"/>
    <w:rsid w:val="00817A98"/>
    <w:rsid w:val="0082023C"/>
    <w:rsid w:val="00821C6F"/>
    <w:rsid w:val="00827F07"/>
    <w:rsid w:val="00831C25"/>
    <w:rsid w:val="00833121"/>
    <w:rsid w:val="008364BD"/>
    <w:rsid w:val="0083654C"/>
    <w:rsid w:val="00837C02"/>
    <w:rsid w:val="0084150A"/>
    <w:rsid w:val="008421CB"/>
    <w:rsid w:val="00842953"/>
    <w:rsid w:val="008453C0"/>
    <w:rsid w:val="00845EC0"/>
    <w:rsid w:val="008468BC"/>
    <w:rsid w:val="0084705C"/>
    <w:rsid w:val="00850228"/>
    <w:rsid w:val="00853020"/>
    <w:rsid w:val="0085489C"/>
    <w:rsid w:val="00854D51"/>
    <w:rsid w:val="00855D8E"/>
    <w:rsid w:val="00856C43"/>
    <w:rsid w:val="00860E17"/>
    <w:rsid w:val="00864DE7"/>
    <w:rsid w:val="00865D0E"/>
    <w:rsid w:val="0086706D"/>
    <w:rsid w:val="00867E84"/>
    <w:rsid w:val="00870E8B"/>
    <w:rsid w:val="00872A41"/>
    <w:rsid w:val="00872BB1"/>
    <w:rsid w:val="008772A9"/>
    <w:rsid w:val="008772B2"/>
    <w:rsid w:val="0087752F"/>
    <w:rsid w:val="00880336"/>
    <w:rsid w:val="008820F1"/>
    <w:rsid w:val="008820FF"/>
    <w:rsid w:val="008826AE"/>
    <w:rsid w:val="00884AEF"/>
    <w:rsid w:val="00885B03"/>
    <w:rsid w:val="008860FB"/>
    <w:rsid w:val="00887E48"/>
    <w:rsid w:val="00891E5B"/>
    <w:rsid w:val="00892C0D"/>
    <w:rsid w:val="00895AEC"/>
    <w:rsid w:val="008A17B2"/>
    <w:rsid w:val="008A6234"/>
    <w:rsid w:val="008A66C8"/>
    <w:rsid w:val="008A6A7B"/>
    <w:rsid w:val="008A7942"/>
    <w:rsid w:val="008A7C50"/>
    <w:rsid w:val="008B023F"/>
    <w:rsid w:val="008B14F1"/>
    <w:rsid w:val="008B15DC"/>
    <w:rsid w:val="008B2015"/>
    <w:rsid w:val="008B40F6"/>
    <w:rsid w:val="008B5615"/>
    <w:rsid w:val="008B5DCD"/>
    <w:rsid w:val="008B7919"/>
    <w:rsid w:val="008C02D8"/>
    <w:rsid w:val="008C0CED"/>
    <w:rsid w:val="008C0F41"/>
    <w:rsid w:val="008C2B30"/>
    <w:rsid w:val="008C57FA"/>
    <w:rsid w:val="008C6E93"/>
    <w:rsid w:val="008C7854"/>
    <w:rsid w:val="008C7BDD"/>
    <w:rsid w:val="008D0099"/>
    <w:rsid w:val="008D15EF"/>
    <w:rsid w:val="008D414F"/>
    <w:rsid w:val="008D4E84"/>
    <w:rsid w:val="008D5E4A"/>
    <w:rsid w:val="008D7C44"/>
    <w:rsid w:val="008D7FC7"/>
    <w:rsid w:val="008E44ED"/>
    <w:rsid w:val="008E5C77"/>
    <w:rsid w:val="008E61D6"/>
    <w:rsid w:val="008E70C3"/>
    <w:rsid w:val="008F27E8"/>
    <w:rsid w:val="008F2A4A"/>
    <w:rsid w:val="008F3C28"/>
    <w:rsid w:val="008F3EA7"/>
    <w:rsid w:val="008F583F"/>
    <w:rsid w:val="008F6085"/>
    <w:rsid w:val="009016DD"/>
    <w:rsid w:val="00901CB9"/>
    <w:rsid w:val="0090450F"/>
    <w:rsid w:val="00905D95"/>
    <w:rsid w:val="00905EFF"/>
    <w:rsid w:val="00912579"/>
    <w:rsid w:val="009146CC"/>
    <w:rsid w:val="009153B6"/>
    <w:rsid w:val="00916521"/>
    <w:rsid w:val="0091750E"/>
    <w:rsid w:val="00921794"/>
    <w:rsid w:val="0092186A"/>
    <w:rsid w:val="0092324F"/>
    <w:rsid w:val="00925513"/>
    <w:rsid w:val="0092583B"/>
    <w:rsid w:val="00925AF4"/>
    <w:rsid w:val="00930A08"/>
    <w:rsid w:val="0093158B"/>
    <w:rsid w:val="00931A9E"/>
    <w:rsid w:val="00932A51"/>
    <w:rsid w:val="00936D1D"/>
    <w:rsid w:val="009374B7"/>
    <w:rsid w:val="00937841"/>
    <w:rsid w:val="00942E53"/>
    <w:rsid w:val="00944575"/>
    <w:rsid w:val="0094507A"/>
    <w:rsid w:val="009453EA"/>
    <w:rsid w:val="0094653D"/>
    <w:rsid w:val="009479FF"/>
    <w:rsid w:val="009539EE"/>
    <w:rsid w:val="00954F94"/>
    <w:rsid w:val="00957141"/>
    <w:rsid w:val="009641C6"/>
    <w:rsid w:val="009658A0"/>
    <w:rsid w:val="00965E57"/>
    <w:rsid w:val="0096725B"/>
    <w:rsid w:val="009673BB"/>
    <w:rsid w:val="0097177B"/>
    <w:rsid w:val="00971F0B"/>
    <w:rsid w:val="00973703"/>
    <w:rsid w:val="009753B2"/>
    <w:rsid w:val="00976822"/>
    <w:rsid w:val="00977612"/>
    <w:rsid w:val="0097771B"/>
    <w:rsid w:val="00985247"/>
    <w:rsid w:val="009857DB"/>
    <w:rsid w:val="00987CE0"/>
    <w:rsid w:val="00990CBE"/>
    <w:rsid w:val="0099537A"/>
    <w:rsid w:val="00995B00"/>
    <w:rsid w:val="009A0974"/>
    <w:rsid w:val="009A1583"/>
    <w:rsid w:val="009A671E"/>
    <w:rsid w:val="009A7D70"/>
    <w:rsid w:val="009B1983"/>
    <w:rsid w:val="009B22CA"/>
    <w:rsid w:val="009B4B1D"/>
    <w:rsid w:val="009B6C2A"/>
    <w:rsid w:val="009C0560"/>
    <w:rsid w:val="009C1045"/>
    <w:rsid w:val="009C2076"/>
    <w:rsid w:val="009C6827"/>
    <w:rsid w:val="009D0171"/>
    <w:rsid w:val="009D0592"/>
    <w:rsid w:val="009D2C27"/>
    <w:rsid w:val="009D394A"/>
    <w:rsid w:val="009D3DBA"/>
    <w:rsid w:val="009D583B"/>
    <w:rsid w:val="009D6590"/>
    <w:rsid w:val="009D666D"/>
    <w:rsid w:val="009D6897"/>
    <w:rsid w:val="009D6CDB"/>
    <w:rsid w:val="009E20A2"/>
    <w:rsid w:val="009E27E3"/>
    <w:rsid w:val="009E4AC6"/>
    <w:rsid w:val="009E6724"/>
    <w:rsid w:val="009E6E0B"/>
    <w:rsid w:val="009F083C"/>
    <w:rsid w:val="009F0FAC"/>
    <w:rsid w:val="009F1051"/>
    <w:rsid w:val="009F1686"/>
    <w:rsid w:val="009F1828"/>
    <w:rsid w:val="009F2011"/>
    <w:rsid w:val="009F2261"/>
    <w:rsid w:val="009F37DD"/>
    <w:rsid w:val="009F4D59"/>
    <w:rsid w:val="009F6204"/>
    <w:rsid w:val="009F64DE"/>
    <w:rsid w:val="009F7265"/>
    <w:rsid w:val="009F7914"/>
    <w:rsid w:val="00A01722"/>
    <w:rsid w:val="00A0309D"/>
    <w:rsid w:val="00A03209"/>
    <w:rsid w:val="00A032A4"/>
    <w:rsid w:val="00A036F7"/>
    <w:rsid w:val="00A04BFB"/>
    <w:rsid w:val="00A052B6"/>
    <w:rsid w:val="00A0683E"/>
    <w:rsid w:val="00A07345"/>
    <w:rsid w:val="00A112E7"/>
    <w:rsid w:val="00A1202B"/>
    <w:rsid w:val="00A14656"/>
    <w:rsid w:val="00A15F41"/>
    <w:rsid w:val="00A2179E"/>
    <w:rsid w:val="00A22CD6"/>
    <w:rsid w:val="00A233A7"/>
    <w:rsid w:val="00A23CCD"/>
    <w:rsid w:val="00A24D99"/>
    <w:rsid w:val="00A26CFD"/>
    <w:rsid w:val="00A272FD"/>
    <w:rsid w:val="00A278D1"/>
    <w:rsid w:val="00A32ACA"/>
    <w:rsid w:val="00A3385B"/>
    <w:rsid w:val="00A33B4A"/>
    <w:rsid w:val="00A34EF2"/>
    <w:rsid w:val="00A350B8"/>
    <w:rsid w:val="00A41BF3"/>
    <w:rsid w:val="00A4238F"/>
    <w:rsid w:val="00A431C0"/>
    <w:rsid w:val="00A47C37"/>
    <w:rsid w:val="00A50180"/>
    <w:rsid w:val="00A539C8"/>
    <w:rsid w:val="00A53C66"/>
    <w:rsid w:val="00A541F0"/>
    <w:rsid w:val="00A5470C"/>
    <w:rsid w:val="00A55368"/>
    <w:rsid w:val="00A60724"/>
    <w:rsid w:val="00A64197"/>
    <w:rsid w:val="00A65E1F"/>
    <w:rsid w:val="00A66553"/>
    <w:rsid w:val="00A66DF3"/>
    <w:rsid w:val="00A72B54"/>
    <w:rsid w:val="00A73EFA"/>
    <w:rsid w:val="00A77BCA"/>
    <w:rsid w:val="00A80111"/>
    <w:rsid w:val="00A84B63"/>
    <w:rsid w:val="00A9233C"/>
    <w:rsid w:val="00A944D8"/>
    <w:rsid w:val="00A956F3"/>
    <w:rsid w:val="00A962FF"/>
    <w:rsid w:val="00A97AB6"/>
    <w:rsid w:val="00AA1E1A"/>
    <w:rsid w:val="00AA36F4"/>
    <w:rsid w:val="00AA4208"/>
    <w:rsid w:val="00AA550E"/>
    <w:rsid w:val="00AA683D"/>
    <w:rsid w:val="00AB1495"/>
    <w:rsid w:val="00AB18B8"/>
    <w:rsid w:val="00AB2E40"/>
    <w:rsid w:val="00AB45CA"/>
    <w:rsid w:val="00AB4E26"/>
    <w:rsid w:val="00AB5EB2"/>
    <w:rsid w:val="00AB6713"/>
    <w:rsid w:val="00AB7F52"/>
    <w:rsid w:val="00AC0438"/>
    <w:rsid w:val="00AC1B9B"/>
    <w:rsid w:val="00AC38FD"/>
    <w:rsid w:val="00AC4EE1"/>
    <w:rsid w:val="00AC6108"/>
    <w:rsid w:val="00AC7849"/>
    <w:rsid w:val="00AD27B1"/>
    <w:rsid w:val="00AD67B7"/>
    <w:rsid w:val="00AD7A9D"/>
    <w:rsid w:val="00AE0C1D"/>
    <w:rsid w:val="00AE12FB"/>
    <w:rsid w:val="00AE192C"/>
    <w:rsid w:val="00AE4E9E"/>
    <w:rsid w:val="00AE7D0C"/>
    <w:rsid w:val="00AF0F65"/>
    <w:rsid w:val="00AF2311"/>
    <w:rsid w:val="00AF491B"/>
    <w:rsid w:val="00AF5A1F"/>
    <w:rsid w:val="00AF678E"/>
    <w:rsid w:val="00AF6D9A"/>
    <w:rsid w:val="00B00F1B"/>
    <w:rsid w:val="00B07F30"/>
    <w:rsid w:val="00B11215"/>
    <w:rsid w:val="00B1131A"/>
    <w:rsid w:val="00B126E0"/>
    <w:rsid w:val="00B137B7"/>
    <w:rsid w:val="00B1545A"/>
    <w:rsid w:val="00B20CF2"/>
    <w:rsid w:val="00B22BDC"/>
    <w:rsid w:val="00B23B59"/>
    <w:rsid w:val="00B2432C"/>
    <w:rsid w:val="00B252D6"/>
    <w:rsid w:val="00B31719"/>
    <w:rsid w:val="00B359BF"/>
    <w:rsid w:val="00B35FB5"/>
    <w:rsid w:val="00B3630C"/>
    <w:rsid w:val="00B363D5"/>
    <w:rsid w:val="00B40008"/>
    <w:rsid w:val="00B40D5E"/>
    <w:rsid w:val="00B4103D"/>
    <w:rsid w:val="00B425EA"/>
    <w:rsid w:val="00B42AD9"/>
    <w:rsid w:val="00B43050"/>
    <w:rsid w:val="00B43402"/>
    <w:rsid w:val="00B4762B"/>
    <w:rsid w:val="00B4798B"/>
    <w:rsid w:val="00B50E2E"/>
    <w:rsid w:val="00B5755E"/>
    <w:rsid w:val="00B576DB"/>
    <w:rsid w:val="00B618E5"/>
    <w:rsid w:val="00B62931"/>
    <w:rsid w:val="00B629F5"/>
    <w:rsid w:val="00B6386F"/>
    <w:rsid w:val="00B65254"/>
    <w:rsid w:val="00B658EC"/>
    <w:rsid w:val="00B67865"/>
    <w:rsid w:val="00B6792F"/>
    <w:rsid w:val="00B73F05"/>
    <w:rsid w:val="00B76A1C"/>
    <w:rsid w:val="00B835B9"/>
    <w:rsid w:val="00B90AFB"/>
    <w:rsid w:val="00B92680"/>
    <w:rsid w:val="00B9340B"/>
    <w:rsid w:val="00B9422F"/>
    <w:rsid w:val="00B945CB"/>
    <w:rsid w:val="00B95052"/>
    <w:rsid w:val="00B9549C"/>
    <w:rsid w:val="00B95962"/>
    <w:rsid w:val="00B9667D"/>
    <w:rsid w:val="00BA7B80"/>
    <w:rsid w:val="00BB135B"/>
    <w:rsid w:val="00BB180F"/>
    <w:rsid w:val="00BB3283"/>
    <w:rsid w:val="00BB7A40"/>
    <w:rsid w:val="00BB7CE3"/>
    <w:rsid w:val="00BC10F7"/>
    <w:rsid w:val="00BC1746"/>
    <w:rsid w:val="00BC1BE9"/>
    <w:rsid w:val="00BC2A1A"/>
    <w:rsid w:val="00BC583E"/>
    <w:rsid w:val="00BD0452"/>
    <w:rsid w:val="00BD0ADA"/>
    <w:rsid w:val="00BD1BD2"/>
    <w:rsid w:val="00BD2B09"/>
    <w:rsid w:val="00BD6324"/>
    <w:rsid w:val="00BD6A9D"/>
    <w:rsid w:val="00BE2A8B"/>
    <w:rsid w:val="00BE352C"/>
    <w:rsid w:val="00BE3E42"/>
    <w:rsid w:val="00BE4C48"/>
    <w:rsid w:val="00BE6F84"/>
    <w:rsid w:val="00BF077A"/>
    <w:rsid w:val="00BF0CA8"/>
    <w:rsid w:val="00BF36E3"/>
    <w:rsid w:val="00BF6D5B"/>
    <w:rsid w:val="00C00630"/>
    <w:rsid w:val="00C01219"/>
    <w:rsid w:val="00C01FCC"/>
    <w:rsid w:val="00C04903"/>
    <w:rsid w:val="00C04A0F"/>
    <w:rsid w:val="00C06E4F"/>
    <w:rsid w:val="00C114CB"/>
    <w:rsid w:val="00C12DE4"/>
    <w:rsid w:val="00C158EB"/>
    <w:rsid w:val="00C16054"/>
    <w:rsid w:val="00C161EF"/>
    <w:rsid w:val="00C17CBD"/>
    <w:rsid w:val="00C17CCD"/>
    <w:rsid w:val="00C20CED"/>
    <w:rsid w:val="00C20F54"/>
    <w:rsid w:val="00C261E9"/>
    <w:rsid w:val="00C27D58"/>
    <w:rsid w:val="00C3144A"/>
    <w:rsid w:val="00C334F8"/>
    <w:rsid w:val="00C33747"/>
    <w:rsid w:val="00C33C73"/>
    <w:rsid w:val="00C34BBF"/>
    <w:rsid w:val="00C367EE"/>
    <w:rsid w:val="00C37F6F"/>
    <w:rsid w:val="00C40812"/>
    <w:rsid w:val="00C40E74"/>
    <w:rsid w:val="00C44761"/>
    <w:rsid w:val="00C45B4C"/>
    <w:rsid w:val="00C45B85"/>
    <w:rsid w:val="00C474F4"/>
    <w:rsid w:val="00C479F7"/>
    <w:rsid w:val="00C53FC2"/>
    <w:rsid w:val="00C552C1"/>
    <w:rsid w:val="00C55DEE"/>
    <w:rsid w:val="00C6061B"/>
    <w:rsid w:val="00C611F6"/>
    <w:rsid w:val="00C66910"/>
    <w:rsid w:val="00C7005C"/>
    <w:rsid w:val="00C70906"/>
    <w:rsid w:val="00C70F17"/>
    <w:rsid w:val="00C7236C"/>
    <w:rsid w:val="00C72442"/>
    <w:rsid w:val="00C73C0F"/>
    <w:rsid w:val="00C7535E"/>
    <w:rsid w:val="00C75E5A"/>
    <w:rsid w:val="00C77831"/>
    <w:rsid w:val="00C81381"/>
    <w:rsid w:val="00C843FB"/>
    <w:rsid w:val="00C87435"/>
    <w:rsid w:val="00C91959"/>
    <w:rsid w:val="00C920E5"/>
    <w:rsid w:val="00C932E0"/>
    <w:rsid w:val="00C94174"/>
    <w:rsid w:val="00C96D23"/>
    <w:rsid w:val="00CA05D6"/>
    <w:rsid w:val="00CA365C"/>
    <w:rsid w:val="00CA394A"/>
    <w:rsid w:val="00CA3EE1"/>
    <w:rsid w:val="00CA69AA"/>
    <w:rsid w:val="00CA6A14"/>
    <w:rsid w:val="00CA6A5A"/>
    <w:rsid w:val="00CA6D80"/>
    <w:rsid w:val="00CB0592"/>
    <w:rsid w:val="00CB0C36"/>
    <w:rsid w:val="00CB7BD8"/>
    <w:rsid w:val="00CC1D9D"/>
    <w:rsid w:val="00CC391E"/>
    <w:rsid w:val="00CC46F9"/>
    <w:rsid w:val="00CC5FCE"/>
    <w:rsid w:val="00CC6148"/>
    <w:rsid w:val="00CC632E"/>
    <w:rsid w:val="00CD0076"/>
    <w:rsid w:val="00CD1479"/>
    <w:rsid w:val="00CD1B53"/>
    <w:rsid w:val="00CD260A"/>
    <w:rsid w:val="00CD304C"/>
    <w:rsid w:val="00CE0CB3"/>
    <w:rsid w:val="00CE2680"/>
    <w:rsid w:val="00CE2A13"/>
    <w:rsid w:val="00CE36ED"/>
    <w:rsid w:val="00CE3B70"/>
    <w:rsid w:val="00CE4935"/>
    <w:rsid w:val="00CE5754"/>
    <w:rsid w:val="00CE5D3E"/>
    <w:rsid w:val="00CE7F30"/>
    <w:rsid w:val="00CF3B63"/>
    <w:rsid w:val="00CF4EE3"/>
    <w:rsid w:val="00CF61FD"/>
    <w:rsid w:val="00CF6439"/>
    <w:rsid w:val="00CF7619"/>
    <w:rsid w:val="00D00677"/>
    <w:rsid w:val="00D01818"/>
    <w:rsid w:val="00D0364D"/>
    <w:rsid w:val="00D03876"/>
    <w:rsid w:val="00D03BB8"/>
    <w:rsid w:val="00D0408B"/>
    <w:rsid w:val="00D11CCD"/>
    <w:rsid w:val="00D15832"/>
    <w:rsid w:val="00D172EB"/>
    <w:rsid w:val="00D20CC0"/>
    <w:rsid w:val="00D2218F"/>
    <w:rsid w:val="00D22A9E"/>
    <w:rsid w:val="00D230F4"/>
    <w:rsid w:val="00D231F0"/>
    <w:rsid w:val="00D2358E"/>
    <w:rsid w:val="00D26607"/>
    <w:rsid w:val="00D32152"/>
    <w:rsid w:val="00D3480A"/>
    <w:rsid w:val="00D35F8E"/>
    <w:rsid w:val="00D3675C"/>
    <w:rsid w:val="00D37E85"/>
    <w:rsid w:val="00D4098D"/>
    <w:rsid w:val="00D430A8"/>
    <w:rsid w:val="00D4621D"/>
    <w:rsid w:val="00D46DD8"/>
    <w:rsid w:val="00D47D73"/>
    <w:rsid w:val="00D500C6"/>
    <w:rsid w:val="00D52A37"/>
    <w:rsid w:val="00D53A24"/>
    <w:rsid w:val="00D55889"/>
    <w:rsid w:val="00D6045C"/>
    <w:rsid w:val="00D6178E"/>
    <w:rsid w:val="00D630B8"/>
    <w:rsid w:val="00D64693"/>
    <w:rsid w:val="00D6728F"/>
    <w:rsid w:val="00D6796C"/>
    <w:rsid w:val="00D71D90"/>
    <w:rsid w:val="00D74C7E"/>
    <w:rsid w:val="00D76BC9"/>
    <w:rsid w:val="00D772BD"/>
    <w:rsid w:val="00D776C8"/>
    <w:rsid w:val="00D81573"/>
    <w:rsid w:val="00D82878"/>
    <w:rsid w:val="00D84AFC"/>
    <w:rsid w:val="00D87BCC"/>
    <w:rsid w:val="00D929CC"/>
    <w:rsid w:val="00D92B3D"/>
    <w:rsid w:val="00D936E3"/>
    <w:rsid w:val="00D9572D"/>
    <w:rsid w:val="00D95918"/>
    <w:rsid w:val="00D95B11"/>
    <w:rsid w:val="00D97727"/>
    <w:rsid w:val="00DA0563"/>
    <w:rsid w:val="00DA084D"/>
    <w:rsid w:val="00DA4E97"/>
    <w:rsid w:val="00DA5339"/>
    <w:rsid w:val="00DA614A"/>
    <w:rsid w:val="00DB1004"/>
    <w:rsid w:val="00DB1D62"/>
    <w:rsid w:val="00DB3065"/>
    <w:rsid w:val="00DB4909"/>
    <w:rsid w:val="00DB62B7"/>
    <w:rsid w:val="00DB79F1"/>
    <w:rsid w:val="00DB7C8E"/>
    <w:rsid w:val="00DC14B0"/>
    <w:rsid w:val="00DC28A9"/>
    <w:rsid w:val="00DC5107"/>
    <w:rsid w:val="00DC5F3E"/>
    <w:rsid w:val="00DD0AFA"/>
    <w:rsid w:val="00DD0E15"/>
    <w:rsid w:val="00DD4B0A"/>
    <w:rsid w:val="00DD573E"/>
    <w:rsid w:val="00DD589D"/>
    <w:rsid w:val="00DD6B33"/>
    <w:rsid w:val="00DD7D6B"/>
    <w:rsid w:val="00DE0387"/>
    <w:rsid w:val="00DE0D98"/>
    <w:rsid w:val="00DE2965"/>
    <w:rsid w:val="00DE550D"/>
    <w:rsid w:val="00DF014E"/>
    <w:rsid w:val="00DF0616"/>
    <w:rsid w:val="00DF3C9A"/>
    <w:rsid w:val="00DF7687"/>
    <w:rsid w:val="00DF7DCB"/>
    <w:rsid w:val="00E03984"/>
    <w:rsid w:val="00E0639E"/>
    <w:rsid w:val="00E07545"/>
    <w:rsid w:val="00E12A83"/>
    <w:rsid w:val="00E12AB7"/>
    <w:rsid w:val="00E13B12"/>
    <w:rsid w:val="00E14296"/>
    <w:rsid w:val="00E16CBA"/>
    <w:rsid w:val="00E20BC3"/>
    <w:rsid w:val="00E22A84"/>
    <w:rsid w:val="00E33283"/>
    <w:rsid w:val="00E34146"/>
    <w:rsid w:val="00E3657D"/>
    <w:rsid w:val="00E3778B"/>
    <w:rsid w:val="00E37D6B"/>
    <w:rsid w:val="00E403B2"/>
    <w:rsid w:val="00E4434C"/>
    <w:rsid w:val="00E46F56"/>
    <w:rsid w:val="00E47CEE"/>
    <w:rsid w:val="00E57725"/>
    <w:rsid w:val="00E57B70"/>
    <w:rsid w:val="00E60CA5"/>
    <w:rsid w:val="00E62C54"/>
    <w:rsid w:val="00E643E6"/>
    <w:rsid w:val="00E65AA4"/>
    <w:rsid w:val="00E67ABE"/>
    <w:rsid w:val="00E7148F"/>
    <w:rsid w:val="00E726DD"/>
    <w:rsid w:val="00E7557E"/>
    <w:rsid w:val="00E758B4"/>
    <w:rsid w:val="00E7649B"/>
    <w:rsid w:val="00E76E16"/>
    <w:rsid w:val="00E82413"/>
    <w:rsid w:val="00E85806"/>
    <w:rsid w:val="00E91D45"/>
    <w:rsid w:val="00E94F3A"/>
    <w:rsid w:val="00E9558F"/>
    <w:rsid w:val="00E9692E"/>
    <w:rsid w:val="00E978D3"/>
    <w:rsid w:val="00EA185E"/>
    <w:rsid w:val="00EA3C2A"/>
    <w:rsid w:val="00EA491D"/>
    <w:rsid w:val="00EA5137"/>
    <w:rsid w:val="00EA659A"/>
    <w:rsid w:val="00EB1CB9"/>
    <w:rsid w:val="00EB392B"/>
    <w:rsid w:val="00EB4026"/>
    <w:rsid w:val="00EB5440"/>
    <w:rsid w:val="00EB7059"/>
    <w:rsid w:val="00EB73C8"/>
    <w:rsid w:val="00EB7641"/>
    <w:rsid w:val="00EC01A4"/>
    <w:rsid w:val="00EC035A"/>
    <w:rsid w:val="00EC4FCB"/>
    <w:rsid w:val="00EC60E1"/>
    <w:rsid w:val="00ED133D"/>
    <w:rsid w:val="00ED4489"/>
    <w:rsid w:val="00ED6634"/>
    <w:rsid w:val="00ED6911"/>
    <w:rsid w:val="00EE459C"/>
    <w:rsid w:val="00EE4ED4"/>
    <w:rsid w:val="00EE5E21"/>
    <w:rsid w:val="00EE705A"/>
    <w:rsid w:val="00EF0875"/>
    <w:rsid w:val="00EF18BA"/>
    <w:rsid w:val="00EF462C"/>
    <w:rsid w:val="00EF4C96"/>
    <w:rsid w:val="00EF54A3"/>
    <w:rsid w:val="00EF7D55"/>
    <w:rsid w:val="00EF7ECD"/>
    <w:rsid w:val="00EF7F41"/>
    <w:rsid w:val="00F001F4"/>
    <w:rsid w:val="00F00C6A"/>
    <w:rsid w:val="00F013E1"/>
    <w:rsid w:val="00F01E11"/>
    <w:rsid w:val="00F028D8"/>
    <w:rsid w:val="00F02CAD"/>
    <w:rsid w:val="00F033BB"/>
    <w:rsid w:val="00F04410"/>
    <w:rsid w:val="00F05654"/>
    <w:rsid w:val="00F05B5F"/>
    <w:rsid w:val="00F12A70"/>
    <w:rsid w:val="00F12D20"/>
    <w:rsid w:val="00F14830"/>
    <w:rsid w:val="00F15950"/>
    <w:rsid w:val="00F1641C"/>
    <w:rsid w:val="00F262FA"/>
    <w:rsid w:val="00F26B58"/>
    <w:rsid w:val="00F26D30"/>
    <w:rsid w:val="00F27D57"/>
    <w:rsid w:val="00F30608"/>
    <w:rsid w:val="00F33867"/>
    <w:rsid w:val="00F34E89"/>
    <w:rsid w:val="00F3718A"/>
    <w:rsid w:val="00F37435"/>
    <w:rsid w:val="00F37701"/>
    <w:rsid w:val="00F42132"/>
    <w:rsid w:val="00F43B4C"/>
    <w:rsid w:val="00F43CCA"/>
    <w:rsid w:val="00F452D6"/>
    <w:rsid w:val="00F464F7"/>
    <w:rsid w:val="00F46C52"/>
    <w:rsid w:val="00F54A04"/>
    <w:rsid w:val="00F54ACF"/>
    <w:rsid w:val="00F54C24"/>
    <w:rsid w:val="00F56345"/>
    <w:rsid w:val="00F57849"/>
    <w:rsid w:val="00F60B2D"/>
    <w:rsid w:val="00F6115A"/>
    <w:rsid w:val="00F616E9"/>
    <w:rsid w:val="00F61D82"/>
    <w:rsid w:val="00F6233D"/>
    <w:rsid w:val="00F6451D"/>
    <w:rsid w:val="00F64DC4"/>
    <w:rsid w:val="00F70097"/>
    <w:rsid w:val="00F70CF4"/>
    <w:rsid w:val="00F720EA"/>
    <w:rsid w:val="00F72242"/>
    <w:rsid w:val="00F72543"/>
    <w:rsid w:val="00F7283A"/>
    <w:rsid w:val="00F72A23"/>
    <w:rsid w:val="00F72C67"/>
    <w:rsid w:val="00F75F79"/>
    <w:rsid w:val="00F802FE"/>
    <w:rsid w:val="00F81CA1"/>
    <w:rsid w:val="00F83CBB"/>
    <w:rsid w:val="00F84788"/>
    <w:rsid w:val="00F868D2"/>
    <w:rsid w:val="00F87C11"/>
    <w:rsid w:val="00F902E4"/>
    <w:rsid w:val="00F903A2"/>
    <w:rsid w:val="00F90E19"/>
    <w:rsid w:val="00F92759"/>
    <w:rsid w:val="00F95269"/>
    <w:rsid w:val="00F95546"/>
    <w:rsid w:val="00F9644B"/>
    <w:rsid w:val="00F97C9E"/>
    <w:rsid w:val="00FA31B7"/>
    <w:rsid w:val="00FA4D0E"/>
    <w:rsid w:val="00FA5664"/>
    <w:rsid w:val="00FA7E68"/>
    <w:rsid w:val="00FB0BD6"/>
    <w:rsid w:val="00FB1780"/>
    <w:rsid w:val="00FB2A3A"/>
    <w:rsid w:val="00FB2D10"/>
    <w:rsid w:val="00FB450D"/>
    <w:rsid w:val="00FC0E96"/>
    <w:rsid w:val="00FC130D"/>
    <w:rsid w:val="00FC255D"/>
    <w:rsid w:val="00FC6FE9"/>
    <w:rsid w:val="00FC7117"/>
    <w:rsid w:val="00FC73FA"/>
    <w:rsid w:val="00FC7A8C"/>
    <w:rsid w:val="00FD23E2"/>
    <w:rsid w:val="00FD2AA6"/>
    <w:rsid w:val="00FD6AE7"/>
    <w:rsid w:val="00FD7359"/>
    <w:rsid w:val="00FE0D9B"/>
    <w:rsid w:val="00FE0DDA"/>
    <w:rsid w:val="00FE14B9"/>
    <w:rsid w:val="00FE15C4"/>
    <w:rsid w:val="00FE1755"/>
    <w:rsid w:val="00FE17DA"/>
    <w:rsid w:val="00FE1F03"/>
    <w:rsid w:val="00FE54A1"/>
    <w:rsid w:val="00FE65EF"/>
    <w:rsid w:val="00FF029B"/>
    <w:rsid w:val="00FF22AC"/>
    <w:rsid w:val="00FF261A"/>
    <w:rsid w:val="00FF5E97"/>
    <w:rsid w:val="00FF7086"/>
    <w:rsid w:val="00FF7A91"/>
    <w:rsid w:val="6B2E3460"/>
    <w:rsid w:val="B6FF48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tLeast"/>
      <w:ind w:left="357"/>
      <w:jc w:val="both"/>
    </w:pPr>
    <w:rPr>
      <w:rFonts w:ascii="Calibri" w:hAnsi="Calibri" w:eastAsia="宋体" w:cs="Times New Roman"/>
      <w:kern w:val="2"/>
      <w:sz w:val="21"/>
      <w:szCs w:val="22"/>
      <w:lang w:val="en-US" w:eastAsia="zh-CN" w:bidi="ar-SA"/>
    </w:rPr>
  </w:style>
  <w:style w:type="paragraph" w:styleId="2">
    <w:name w:val="heading 1"/>
    <w:basedOn w:val="1"/>
    <w:next w:val="1"/>
    <w:link w:val="39"/>
    <w:qFormat/>
    <w:uiPriority w:val="9"/>
    <w:pPr>
      <w:keepNext/>
      <w:spacing w:before="240" w:after="60"/>
      <w:outlineLvl w:val="0"/>
    </w:pPr>
    <w:rPr>
      <w:rFonts w:ascii="Arial" w:hAnsi="Arial"/>
      <w:b/>
      <w:kern w:val="28"/>
      <w:sz w:val="24"/>
      <w:szCs w:val="20"/>
      <w:lang w:val="en-GB" w:eastAsia="en-US"/>
    </w:rPr>
  </w:style>
  <w:style w:type="paragraph" w:styleId="3">
    <w:name w:val="heading 2"/>
    <w:basedOn w:val="2"/>
    <w:next w:val="1"/>
    <w:link w:val="40"/>
    <w:qFormat/>
    <w:uiPriority w:val="9"/>
    <w:pPr>
      <w:spacing w:before="120"/>
      <w:outlineLvl w:val="1"/>
    </w:pPr>
    <w:rPr>
      <w:sz w:val="20"/>
    </w:rPr>
  </w:style>
  <w:style w:type="paragraph" w:styleId="4">
    <w:name w:val="heading 3"/>
    <w:basedOn w:val="3"/>
    <w:next w:val="1"/>
    <w:link w:val="41"/>
    <w:qFormat/>
    <w:uiPriority w:val="9"/>
    <w:pPr>
      <w:spacing w:before="60"/>
      <w:outlineLvl w:val="2"/>
    </w:pPr>
    <w:rPr>
      <w:rFonts w:ascii="Arial Bold" w:hAnsi="Arial Bold"/>
      <w:sz w:val="18"/>
      <w:szCs w:val="18"/>
    </w:rPr>
  </w:style>
  <w:style w:type="paragraph" w:styleId="5">
    <w:name w:val="heading 4"/>
    <w:basedOn w:val="4"/>
    <w:next w:val="1"/>
    <w:link w:val="42"/>
    <w:qFormat/>
    <w:uiPriority w:val="9"/>
    <w:pPr>
      <w:outlineLvl w:val="3"/>
    </w:pPr>
  </w:style>
  <w:style w:type="paragraph" w:styleId="6">
    <w:name w:val="heading 5"/>
    <w:basedOn w:val="1"/>
    <w:next w:val="1"/>
    <w:link w:val="43"/>
    <w:qFormat/>
    <w:uiPriority w:val="0"/>
    <w:pPr>
      <w:keepNext/>
      <w:numPr>
        <w:ilvl w:val="4"/>
        <w:numId w:val="1"/>
      </w:numPr>
      <w:outlineLvl w:val="4"/>
    </w:pPr>
    <w:rPr>
      <w:rFonts w:ascii="Arial" w:hAnsi="Arial"/>
      <w:kern w:val="0"/>
      <w:sz w:val="36"/>
      <w:szCs w:val="20"/>
      <w:lang w:val="en-GB" w:eastAsia="en-US"/>
    </w:rPr>
  </w:style>
  <w:style w:type="paragraph" w:styleId="7">
    <w:name w:val="heading 6"/>
    <w:basedOn w:val="1"/>
    <w:next w:val="1"/>
    <w:link w:val="44"/>
    <w:qFormat/>
    <w:uiPriority w:val="0"/>
    <w:pPr>
      <w:numPr>
        <w:ilvl w:val="5"/>
        <w:numId w:val="1"/>
      </w:numPr>
      <w:outlineLvl w:val="5"/>
    </w:pPr>
    <w:rPr>
      <w:rFonts w:ascii="Arial" w:hAnsi="Arial"/>
      <w:i/>
      <w:kern w:val="0"/>
      <w:sz w:val="22"/>
      <w:szCs w:val="20"/>
      <w:lang w:val="en-GB" w:eastAsia="en-US"/>
    </w:rPr>
  </w:style>
  <w:style w:type="paragraph" w:styleId="8">
    <w:name w:val="heading 7"/>
    <w:basedOn w:val="1"/>
    <w:next w:val="1"/>
    <w:link w:val="45"/>
    <w:qFormat/>
    <w:uiPriority w:val="0"/>
    <w:pPr>
      <w:numPr>
        <w:ilvl w:val="6"/>
        <w:numId w:val="1"/>
      </w:numPr>
      <w:outlineLvl w:val="6"/>
    </w:pPr>
    <w:rPr>
      <w:rFonts w:ascii="Arial" w:hAnsi="Arial"/>
      <w:kern w:val="0"/>
      <w:sz w:val="18"/>
      <w:szCs w:val="20"/>
      <w:lang w:val="en-GB" w:eastAsia="en-US"/>
    </w:rPr>
  </w:style>
  <w:style w:type="paragraph" w:styleId="9">
    <w:name w:val="heading 8"/>
    <w:basedOn w:val="1"/>
    <w:next w:val="1"/>
    <w:link w:val="46"/>
    <w:qFormat/>
    <w:uiPriority w:val="0"/>
    <w:pPr>
      <w:numPr>
        <w:ilvl w:val="7"/>
        <w:numId w:val="1"/>
      </w:numPr>
      <w:outlineLvl w:val="7"/>
    </w:pPr>
    <w:rPr>
      <w:rFonts w:ascii="Arial" w:hAnsi="Arial"/>
      <w:i/>
      <w:kern w:val="0"/>
      <w:sz w:val="18"/>
      <w:szCs w:val="20"/>
      <w:lang w:val="en-GB" w:eastAsia="en-US"/>
    </w:rPr>
  </w:style>
  <w:style w:type="paragraph" w:styleId="10">
    <w:name w:val="heading 9"/>
    <w:basedOn w:val="1"/>
    <w:next w:val="1"/>
    <w:link w:val="47"/>
    <w:qFormat/>
    <w:uiPriority w:val="0"/>
    <w:pPr>
      <w:numPr>
        <w:ilvl w:val="8"/>
        <w:numId w:val="1"/>
      </w:numPr>
      <w:outlineLvl w:val="8"/>
    </w:pPr>
    <w:rPr>
      <w:rFonts w:ascii="Arial" w:hAnsi="Arial"/>
      <w:b/>
      <w:i/>
      <w:kern w:val="0"/>
      <w:sz w:val="18"/>
      <w:szCs w:val="20"/>
      <w:lang w:val="en-GB" w:eastAsia="en-US"/>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pPr>
  </w:style>
  <w:style w:type="paragraph" w:styleId="12">
    <w:name w:val="caption"/>
    <w:basedOn w:val="1"/>
    <w:next w:val="1"/>
    <w:link w:val="51"/>
    <w:qFormat/>
    <w:uiPriority w:val="0"/>
    <w:pPr>
      <w:tabs>
        <w:tab w:val="left" w:pos="1080"/>
      </w:tabs>
      <w:spacing w:before="120"/>
      <w:jc w:val="center"/>
    </w:pPr>
    <w:rPr>
      <w:rFonts w:ascii="Arial" w:hAnsi="Arial"/>
      <w:kern w:val="0"/>
      <w:szCs w:val="20"/>
      <w:lang w:val="en-GB" w:eastAsia="en-US"/>
    </w:rPr>
  </w:style>
  <w:style w:type="paragraph" w:styleId="13">
    <w:name w:val="Document Map"/>
    <w:basedOn w:val="1"/>
    <w:link w:val="108"/>
    <w:semiHidden/>
    <w:qFormat/>
    <w:uiPriority w:val="99"/>
    <w:pPr>
      <w:shd w:val="clear" w:color="auto" w:fill="000080"/>
    </w:pPr>
  </w:style>
  <w:style w:type="paragraph" w:styleId="14">
    <w:name w:val="annotation text"/>
    <w:basedOn w:val="1"/>
    <w:link w:val="122"/>
    <w:qFormat/>
    <w:uiPriority w:val="99"/>
    <w:pPr>
      <w:spacing w:line="360" w:lineRule="auto"/>
      <w:ind w:left="0"/>
      <w:jc w:val="left"/>
    </w:pPr>
    <w:rPr>
      <w:rFonts w:ascii="Times New Roman" w:hAnsi="Times New Roman"/>
      <w:sz w:val="24"/>
      <w:szCs w:val="24"/>
    </w:rPr>
  </w:style>
  <w:style w:type="paragraph" w:styleId="15">
    <w:name w:val="toc 5"/>
    <w:basedOn w:val="1"/>
    <w:next w:val="1"/>
    <w:unhideWhenUsed/>
    <w:qFormat/>
    <w:uiPriority w:val="39"/>
    <w:pPr>
      <w:spacing w:line="240" w:lineRule="auto"/>
      <w:ind w:left="1680" w:leftChars="800"/>
    </w:pPr>
  </w:style>
  <w:style w:type="paragraph" w:styleId="16">
    <w:name w:val="toc 3"/>
    <w:basedOn w:val="17"/>
    <w:next w:val="1"/>
    <w:qFormat/>
    <w:uiPriority w:val="39"/>
    <w:pPr>
      <w:ind w:left="360"/>
    </w:pPr>
    <w:rPr>
      <w:i/>
      <w:iCs/>
      <w:smallCaps w:val="0"/>
    </w:rPr>
  </w:style>
  <w:style w:type="paragraph" w:styleId="17">
    <w:name w:val="toc 2"/>
    <w:basedOn w:val="18"/>
    <w:next w:val="1"/>
    <w:qFormat/>
    <w:uiPriority w:val="39"/>
    <w:pPr>
      <w:spacing w:before="0" w:after="0"/>
      <w:ind w:left="180"/>
    </w:pPr>
    <w:rPr>
      <w:b w:val="0"/>
      <w:bCs w:val="0"/>
      <w:caps w:val="0"/>
      <w:smallCaps/>
    </w:rPr>
  </w:style>
  <w:style w:type="paragraph" w:styleId="18">
    <w:name w:val="toc 1"/>
    <w:basedOn w:val="1"/>
    <w:next w:val="1"/>
    <w:qFormat/>
    <w:uiPriority w:val="39"/>
    <w:pPr>
      <w:spacing w:before="120" w:after="120"/>
    </w:pPr>
    <w:rPr>
      <w:b/>
      <w:bCs/>
      <w:caps/>
      <w:sz w:val="20"/>
    </w:rPr>
  </w:style>
  <w:style w:type="paragraph" w:styleId="19">
    <w:name w:val="Plain Text"/>
    <w:basedOn w:val="1"/>
    <w:link w:val="110"/>
    <w:qFormat/>
    <w:uiPriority w:val="0"/>
    <w:pPr>
      <w:spacing w:line="240" w:lineRule="auto"/>
      <w:ind w:left="0"/>
    </w:pPr>
    <w:rPr>
      <w:rFonts w:ascii="宋体" w:hAnsi="Courier New"/>
      <w:szCs w:val="21"/>
    </w:rPr>
  </w:style>
  <w:style w:type="paragraph" w:styleId="20">
    <w:name w:val="toc 8"/>
    <w:basedOn w:val="1"/>
    <w:next w:val="1"/>
    <w:unhideWhenUsed/>
    <w:qFormat/>
    <w:uiPriority w:val="39"/>
    <w:pPr>
      <w:spacing w:line="240" w:lineRule="auto"/>
      <w:ind w:left="2940" w:leftChars="1400"/>
    </w:pPr>
  </w:style>
  <w:style w:type="paragraph" w:styleId="21">
    <w:name w:val="Date"/>
    <w:basedOn w:val="1"/>
    <w:next w:val="1"/>
    <w:link w:val="111"/>
    <w:qFormat/>
    <w:uiPriority w:val="0"/>
    <w:pPr>
      <w:ind w:left="100" w:leftChars="2500"/>
    </w:pPr>
  </w:style>
  <w:style w:type="paragraph" w:styleId="22">
    <w:name w:val="Balloon Text"/>
    <w:basedOn w:val="1"/>
    <w:link w:val="113"/>
    <w:qFormat/>
    <w:uiPriority w:val="99"/>
    <w:pPr>
      <w:spacing w:line="240" w:lineRule="auto"/>
    </w:pPr>
    <w:rPr>
      <w:sz w:val="18"/>
      <w:szCs w:val="18"/>
    </w:rPr>
  </w:style>
  <w:style w:type="paragraph" w:styleId="23">
    <w:name w:val="footer"/>
    <w:basedOn w:val="1"/>
    <w:link w:val="109"/>
    <w:qFormat/>
    <w:uiPriority w:val="99"/>
    <w:pPr>
      <w:tabs>
        <w:tab w:val="center" w:pos="4153"/>
        <w:tab w:val="right" w:pos="8306"/>
      </w:tabs>
      <w:snapToGrid w:val="0"/>
      <w:spacing w:line="240" w:lineRule="atLeast"/>
      <w:jc w:val="left"/>
    </w:pPr>
    <w:rPr>
      <w:sz w:val="18"/>
      <w:szCs w:val="18"/>
    </w:rPr>
  </w:style>
  <w:style w:type="paragraph" w:styleId="24">
    <w:name w:val="header"/>
    <w:basedOn w:val="1"/>
    <w:link w:val="112"/>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5">
    <w:name w:val="toc 4"/>
    <w:basedOn w:val="1"/>
    <w:next w:val="1"/>
    <w:unhideWhenUsed/>
    <w:qFormat/>
    <w:uiPriority w:val="39"/>
    <w:pPr>
      <w:spacing w:line="240" w:lineRule="auto"/>
      <w:ind w:left="1260" w:leftChars="600"/>
    </w:pPr>
  </w:style>
  <w:style w:type="paragraph" w:styleId="26">
    <w:name w:val="Subtitle"/>
    <w:basedOn w:val="1"/>
    <w:link w:val="53"/>
    <w:qFormat/>
    <w:uiPriority w:val="0"/>
    <w:pPr>
      <w:spacing w:after="60"/>
      <w:jc w:val="center"/>
      <w:outlineLvl w:val="1"/>
    </w:pPr>
    <w:rPr>
      <w:rFonts w:ascii="Arial" w:hAnsi="Arial" w:eastAsia="MS Mincho"/>
      <w:kern w:val="0"/>
      <w:sz w:val="24"/>
      <w:szCs w:val="24"/>
      <w:lang w:val="en-GB" w:eastAsia="en-US"/>
    </w:rPr>
  </w:style>
  <w:style w:type="paragraph" w:styleId="27">
    <w:name w:val="toc 6"/>
    <w:basedOn w:val="1"/>
    <w:next w:val="1"/>
    <w:unhideWhenUsed/>
    <w:qFormat/>
    <w:uiPriority w:val="39"/>
    <w:pPr>
      <w:spacing w:line="240" w:lineRule="auto"/>
      <w:ind w:left="2100" w:leftChars="1000"/>
    </w:pPr>
  </w:style>
  <w:style w:type="paragraph" w:styleId="28">
    <w:name w:val="toc 9"/>
    <w:basedOn w:val="1"/>
    <w:next w:val="1"/>
    <w:unhideWhenUsed/>
    <w:qFormat/>
    <w:uiPriority w:val="39"/>
    <w:pPr>
      <w:spacing w:line="240" w:lineRule="auto"/>
      <w:ind w:left="3360" w:leftChars="1600"/>
    </w:pPr>
  </w:style>
  <w:style w:type="paragraph" w:styleId="29">
    <w:name w:val="Title"/>
    <w:basedOn w:val="1"/>
    <w:link w:val="52"/>
    <w:qFormat/>
    <w:uiPriority w:val="10"/>
    <w:pPr>
      <w:spacing w:before="240" w:after="60"/>
      <w:jc w:val="center"/>
      <w:outlineLvl w:val="0"/>
    </w:pPr>
    <w:rPr>
      <w:rFonts w:ascii="Arial" w:hAnsi="Arial"/>
      <w:b/>
      <w:bCs/>
      <w:kern w:val="28"/>
      <w:sz w:val="44"/>
      <w:szCs w:val="32"/>
      <w:lang w:val="en-GB" w:eastAsia="en-US"/>
    </w:rPr>
  </w:style>
  <w:style w:type="paragraph" w:styleId="30">
    <w:name w:val="annotation subject"/>
    <w:basedOn w:val="14"/>
    <w:next w:val="14"/>
    <w:link w:val="123"/>
    <w:semiHidden/>
    <w:qFormat/>
    <w:uiPriority w:val="99"/>
    <w:rPr>
      <w:b/>
      <w:bCs/>
    </w:rPr>
  </w:style>
  <w:style w:type="table" w:styleId="32">
    <w:name w:val="Table Grid"/>
    <w:basedOn w:val="3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22"/>
    <w:rPr>
      <w:b/>
      <w:bCs/>
    </w:rPr>
  </w:style>
  <w:style w:type="character" w:styleId="35">
    <w:name w:val="page number"/>
    <w:basedOn w:val="33"/>
    <w:qFormat/>
    <w:uiPriority w:val="0"/>
  </w:style>
  <w:style w:type="character" w:styleId="36">
    <w:name w:val="Emphasis"/>
    <w:qFormat/>
    <w:uiPriority w:val="0"/>
    <w:rPr>
      <w:color w:val="CC0033"/>
    </w:rPr>
  </w:style>
  <w:style w:type="character" w:styleId="37">
    <w:name w:val="Hyperlink"/>
    <w:unhideWhenUsed/>
    <w:qFormat/>
    <w:uiPriority w:val="99"/>
    <w:rPr>
      <w:color w:val="0000FF"/>
      <w:u w:val="single"/>
    </w:rPr>
  </w:style>
  <w:style w:type="character" w:styleId="38">
    <w:name w:val="annotation reference"/>
    <w:semiHidden/>
    <w:qFormat/>
    <w:uiPriority w:val="99"/>
    <w:rPr>
      <w:sz w:val="21"/>
      <w:szCs w:val="21"/>
    </w:rPr>
  </w:style>
  <w:style w:type="character" w:customStyle="1" w:styleId="39">
    <w:name w:val="标题 1 Char"/>
    <w:link w:val="2"/>
    <w:qFormat/>
    <w:uiPriority w:val="9"/>
    <w:rPr>
      <w:rFonts w:ascii="Arial" w:hAnsi="Arial"/>
      <w:b/>
      <w:kern w:val="28"/>
      <w:sz w:val="24"/>
      <w:lang w:val="en-GB" w:eastAsia="en-US"/>
    </w:rPr>
  </w:style>
  <w:style w:type="character" w:customStyle="1" w:styleId="40">
    <w:name w:val="标题 2 Char"/>
    <w:link w:val="3"/>
    <w:qFormat/>
    <w:uiPriority w:val="9"/>
    <w:rPr>
      <w:rFonts w:ascii="Arial" w:hAnsi="Arial"/>
      <w:b/>
      <w:kern w:val="28"/>
      <w:lang w:val="en-GB" w:eastAsia="en-US"/>
    </w:rPr>
  </w:style>
  <w:style w:type="character" w:customStyle="1" w:styleId="41">
    <w:name w:val="标题 3 Char"/>
    <w:link w:val="4"/>
    <w:qFormat/>
    <w:uiPriority w:val="9"/>
    <w:rPr>
      <w:rFonts w:ascii="Arial Bold" w:hAnsi="Arial Bold"/>
      <w:b/>
      <w:kern w:val="28"/>
      <w:sz w:val="18"/>
      <w:szCs w:val="18"/>
      <w:lang w:val="en-GB" w:eastAsia="en-US"/>
    </w:rPr>
  </w:style>
  <w:style w:type="character" w:customStyle="1" w:styleId="42">
    <w:name w:val="标题 4 Char"/>
    <w:link w:val="5"/>
    <w:qFormat/>
    <w:uiPriority w:val="9"/>
    <w:rPr>
      <w:rFonts w:ascii="Arial Bold" w:hAnsi="Arial Bold"/>
      <w:b/>
      <w:kern w:val="28"/>
      <w:sz w:val="18"/>
      <w:szCs w:val="18"/>
      <w:lang w:val="en-GB" w:eastAsia="en-US"/>
    </w:rPr>
  </w:style>
  <w:style w:type="character" w:customStyle="1" w:styleId="43">
    <w:name w:val="标题 5 Char"/>
    <w:link w:val="6"/>
    <w:qFormat/>
    <w:uiPriority w:val="0"/>
    <w:rPr>
      <w:rFonts w:ascii="Arial" w:hAnsi="Arial"/>
      <w:sz w:val="36"/>
      <w:lang w:val="en-GB" w:eastAsia="en-US"/>
    </w:rPr>
  </w:style>
  <w:style w:type="character" w:customStyle="1" w:styleId="44">
    <w:name w:val="标题 6 Char"/>
    <w:link w:val="7"/>
    <w:qFormat/>
    <w:uiPriority w:val="0"/>
    <w:rPr>
      <w:rFonts w:ascii="Arial" w:hAnsi="Arial"/>
      <w:i/>
      <w:sz w:val="22"/>
      <w:lang w:val="en-GB" w:eastAsia="en-US"/>
    </w:rPr>
  </w:style>
  <w:style w:type="character" w:customStyle="1" w:styleId="45">
    <w:name w:val="标题 7 Char"/>
    <w:link w:val="8"/>
    <w:qFormat/>
    <w:uiPriority w:val="0"/>
    <w:rPr>
      <w:rFonts w:ascii="Arial" w:hAnsi="Arial"/>
      <w:sz w:val="18"/>
      <w:lang w:val="en-GB" w:eastAsia="en-US"/>
    </w:rPr>
  </w:style>
  <w:style w:type="character" w:customStyle="1" w:styleId="46">
    <w:name w:val="标题 8 Char"/>
    <w:link w:val="9"/>
    <w:qFormat/>
    <w:uiPriority w:val="0"/>
    <w:rPr>
      <w:rFonts w:ascii="Arial" w:hAnsi="Arial"/>
      <w:i/>
      <w:sz w:val="18"/>
      <w:lang w:val="en-GB" w:eastAsia="en-US"/>
    </w:rPr>
  </w:style>
  <w:style w:type="character" w:customStyle="1" w:styleId="47">
    <w:name w:val="标题 9 Char"/>
    <w:link w:val="10"/>
    <w:qFormat/>
    <w:uiPriority w:val="0"/>
    <w:rPr>
      <w:rFonts w:ascii="Arial" w:hAnsi="Arial"/>
      <w:b/>
      <w:i/>
      <w:sz w:val="18"/>
      <w:lang w:val="en-GB" w:eastAsia="en-US"/>
    </w:rPr>
  </w:style>
  <w:style w:type="paragraph" w:customStyle="1" w:styleId="48">
    <w:name w:val="三级标题"/>
    <w:basedOn w:val="1"/>
    <w:link w:val="49"/>
    <w:qFormat/>
    <w:uiPriority w:val="0"/>
    <w:pPr>
      <w:keepNext/>
      <w:spacing w:beforeLines="50" w:afterLines="50" w:line="360" w:lineRule="auto"/>
      <w:jc w:val="center"/>
      <w:outlineLvl w:val="2"/>
    </w:pPr>
    <w:rPr>
      <w:rFonts w:ascii="宋体" w:hAnsi="宋体"/>
      <w:b/>
      <w:color w:val="000000"/>
      <w:kern w:val="0"/>
      <w:sz w:val="24"/>
      <w:szCs w:val="18"/>
      <w:u w:color="808000"/>
      <w:lang w:val="en-GB"/>
    </w:rPr>
  </w:style>
  <w:style w:type="character" w:customStyle="1" w:styleId="49">
    <w:name w:val="三级标题 Char"/>
    <w:link w:val="48"/>
    <w:qFormat/>
    <w:uiPriority w:val="0"/>
    <w:rPr>
      <w:rFonts w:ascii="宋体" w:hAnsi="宋体"/>
      <w:b/>
      <w:color w:val="000000"/>
      <w:sz w:val="24"/>
      <w:szCs w:val="18"/>
      <w:u w:color="808000"/>
      <w:lang w:val="en-GB"/>
    </w:rPr>
  </w:style>
  <w:style w:type="character" w:customStyle="1" w:styleId="50">
    <w:name w:val="标题 4 Char1"/>
    <w:qFormat/>
    <w:uiPriority w:val="0"/>
    <w:rPr>
      <w:rFonts w:ascii="Arial Bold" w:hAnsi="Arial Bold"/>
      <w:b/>
      <w:kern w:val="28"/>
      <w:sz w:val="18"/>
      <w:szCs w:val="18"/>
      <w:lang w:val="en-GB" w:eastAsia="en-US"/>
    </w:rPr>
  </w:style>
  <w:style w:type="character" w:customStyle="1" w:styleId="51">
    <w:name w:val="题注 Char"/>
    <w:link w:val="12"/>
    <w:qFormat/>
    <w:uiPriority w:val="0"/>
    <w:rPr>
      <w:rFonts w:ascii="Arial" w:hAnsi="Arial"/>
      <w:sz w:val="21"/>
      <w:lang w:val="en-GB" w:eastAsia="en-US"/>
    </w:rPr>
  </w:style>
  <w:style w:type="character" w:customStyle="1" w:styleId="52">
    <w:name w:val="标题 Char"/>
    <w:link w:val="29"/>
    <w:qFormat/>
    <w:uiPriority w:val="10"/>
    <w:rPr>
      <w:rFonts w:ascii="Arial" w:hAnsi="Arial" w:eastAsia="宋体" w:cs="Arial"/>
      <w:b/>
      <w:bCs/>
      <w:kern w:val="28"/>
      <w:sz w:val="44"/>
      <w:szCs w:val="32"/>
      <w:lang w:val="en-GB" w:eastAsia="en-US"/>
    </w:rPr>
  </w:style>
  <w:style w:type="character" w:customStyle="1" w:styleId="53">
    <w:name w:val="副标题 Char"/>
    <w:link w:val="26"/>
    <w:qFormat/>
    <w:uiPriority w:val="0"/>
    <w:rPr>
      <w:rFonts w:ascii="Arial" w:hAnsi="Arial" w:eastAsia="MS Mincho" w:cs="Arial"/>
      <w:sz w:val="24"/>
      <w:szCs w:val="24"/>
      <w:lang w:val="en-GB" w:eastAsia="en-US"/>
    </w:rPr>
  </w:style>
  <w:style w:type="paragraph" w:styleId="54">
    <w:name w:val="No Spacing"/>
    <w:link w:val="55"/>
    <w:qFormat/>
    <w:uiPriority w:val="1"/>
    <w:rPr>
      <w:rFonts w:ascii="Calibri" w:hAnsi="Calibri" w:eastAsia="宋体" w:cs="Times New Roman"/>
      <w:sz w:val="22"/>
      <w:szCs w:val="22"/>
      <w:lang w:val="en-US" w:eastAsia="zh-CN" w:bidi="ar-SA"/>
    </w:rPr>
  </w:style>
  <w:style w:type="character" w:customStyle="1" w:styleId="55">
    <w:name w:val="无间隔 Char"/>
    <w:link w:val="54"/>
    <w:qFormat/>
    <w:uiPriority w:val="1"/>
    <w:rPr>
      <w:rFonts w:ascii="Calibri" w:hAnsi="Calibri"/>
      <w:sz w:val="22"/>
      <w:szCs w:val="22"/>
      <w:lang w:bidi="ar-SA"/>
    </w:rPr>
  </w:style>
  <w:style w:type="paragraph" w:styleId="56">
    <w:name w:val="List Paragraph"/>
    <w:basedOn w:val="1"/>
    <w:qFormat/>
    <w:uiPriority w:val="34"/>
    <w:pPr>
      <w:ind w:firstLine="420" w:firstLineChars="200"/>
    </w:pPr>
  </w:style>
  <w:style w:type="paragraph" w:customStyle="1" w:styleId="57">
    <w:name w:val="TOC Heading"/>
    <w:basedOn w:val="2"/>
    <w:next w:val="1"/>
    <w:qFormat/>
    <w:uiPriority w:val="39"/>
    <w:pPr>
      <w:keepLines/>
      <w:spacing w:before="480" w:after="0" w:line="276" w:lineRule="auto"/>
      <w:outlineLvl w:val="9"/>
    </w:pPr>
    <w:rPr>
      <w:rFonts w:ascii="Cambria" w:hAnsi="Cambria"/>
      <w:bCs/>
      <w:color w:val="365F91"/>
      <w:kern w:val="0"/>
      <w:sz w:val="28"/>
      <w:szCs w:val="28"/>
      <w:lang w:val="en-US" w:eastAsia="zh-CN"/>
    </w:rPr>
  </w:style>
  <w:style w:type="paragraph" w:customStyle="1" w:styleId="58">
    <w:name w:val="报告标题2"/>
    <w:basedOn w:val="1"/>
    <w:link w:val="59"/>
    <w:qFormat/>
    <w:uiPriority w:val="0"/>
    <w:pPr>
      <w:keepNext/>
      <w:pBdr>
        <w:bottom w:val="single" w:color="808000" w:sz="18" w:space="2"/>
      </w:pBdr>
      <w:tabs>
        <w:tab w:val="left" w:pos="851"/>
      </w:tabs>
      <w:spacing w:before="140" w:after="80"/>
      <w:ind w:left="851" w:hanging="851"/>
      <w:outlineLvl w:val="1"/>
    </w:pPr>
    <w:rPr>
      <w:rFonts w:ascii="Arial Black" w:hAnsi="Arial Black"/>
      <w:b/>
      <w:kern w:val="0"/>
      <w:sz w:val="20"/>
      <w:szCs w:val="20"/>
      <w:u w:color="808000"/>
      <w:lang w:val="en-GB"/>
    </w:rPr>
  </w:style>
  <w:style w:type="character" w:customStyle="1" w:styleId="59">
    <w:name w:val="报告标题2 Char"/>
    <w:link w:val="58"/>
    <w:qFormat/>
    <w:uiPriority w:val="0"/>
    <w:rPr>
      <w:rFonts w:ascii="Arial Black" w:hAnsi="Arial Black"/>
      <w:b/>
      <w:u w:color="808000"/>
      <w:lang w:val="en-GB"/>
    </w:rPr>
  </w:style>
  <w:style w:type="paragraph" w:customStyle="1" w:styleId="60">
    <w:name w:val="一级标题"/>
    <w:basedOn w:val="2"/>
    <w:next w:val="61"/>
    <w:link w:val="63"/>
    <w:qFormat/>
    <w:uiPriority w:val="0"/>
    <w:pPr>
      <w:keepLines/>
      <w:pageBreakBefore/>
      <w:widowControl/>
      <w:numPr>
        <w:ilvl w:val="0"/>
        <w:numId w:val="1"/>
      </w:numPr>
      <w:tabs>
        <w:tab w:val="left" w:pos="360"/>
      </w:tabs>
      <w:snapToGrid w:val="0"/>
      <w:spacing w:beforeLines="100" w:afterLines="200" w:line="240" w:lineRule="atLeast"/>
      <w:ind w:left="720"/>
      <w:jc w:val="center"/>
    </w:pPr>
    <w:rPr>
      <w:rFonts w:ascii="Arial Black" w:hAnsi="Arial Black"/>
      <w:kern w:val="0"/>
      <w:sz w:val="32"/>
      <w:szCs w:val="21"/>
    </w:rPr>
  </w:style>
  <w:style w:type="paragraph" w:customStyle="1" w:styleId="61">
    <w:name w:val="二级标题"/>
    <w:basedOn w:val="29"/>
    <w:link w:val="62"/>
    <w:qFormat/>
    <w:uiPriority w:val="0"/>
    <w:pPr>
      <w:keepNext/>
      <w:keepLines/>
      <w:widowControl/>
      <w:numPr>
        <w:ilvl w:val="1"/>
        <w:numId w:val="1"/>
      </w:numPr>
      <w:tabs>
        <w:tab w:val="clear" w:pos="3828"/>
      </w:tabs>
      <w:spacing w:before="0" w:after="0" w:line="240" w:lineRule="auto"/>
      <w:ind w:left="0" w:firstLine="0"/>
      <w:outlineLvl w:val="1"/>
    </w:pPr>
    <w:rPr>
      <w:sz w:val="24"/>
      <w:szCs w:val="24"/>
    </w:rPr>
  </w:style>
  <w:style w:type="character" w:customStyle="1" w:styleId="62">
    <w:name w:val="二级标题 Char"/>
    <w:link w:val="61"/>
    <w:qFormat/>
    <w:uiPriority w:val="0"/>
    <w:rPr>
      <w:rFonts w:ascii="Arial" w:hAnsi="Arial"/>
      <w:b/>
      <w:bCs/>
      <w:kern w:val="28"/>
      <w:sz w:val="24"/>
      <w:szCs w:val="24"/>
      <w:lang w:val="en-GB" w:eastAsia="en-US"/>
    </w:rPr>
  </w:style>
  <w:style w:type="character" w:customStyle="1" w:styleId="63">
    <w:name w:val="一级标题 Char"/>
    <w:link w:val="60"/>
    <w:qFormat/>
    <w:uiPriority w:val="0"/>
    <w:rPr>
      <w:rFonts w:ascii="Arial Black" w:hAnsi="Arial Black"/>
      <w:b/>
      <w:sz w:val="32"/>
      <w:szCs w:val="21"/>
      <w:lang w:val="en-GB"/>
    </w:rPr>
  </w:style>
  <w:style w:type="paragraph" w:customStyle="1" w:styleId="64">
    <w:name w:val="样式4"/>
    <w:basedOn w:val="1"/>
    <w:link w:val="65"/>
    <w:qFormat/>
    <w:uiPriority w:val="0"/>
    <w:pPr>
      <w:numPr>
        <w:ilvl w:val="0"/>
        <w:numId w:val="2"/>
      </w:numPr>
      <w:tabs>
        <w:tab w:val="left" w:pos="540"/>
      </w:tabs>
    </w:pPr>
    <w:rPr>
      <w:rFonts w:ascii="宋体" w:hAnsi="宋体"/>
      <w:kern w:val="0"/>
      <w:szCs w:val="21"/>
      <w:lang w:val="en-GB" w:eastAsia="en-US"/>
    </w:rPr>
  </w:style>
  <w:style w:type="character" w:customStyle="1" w:styleId="65">
    <w:name w:val="样式4 Char"/>
    <w:link w:val="64"/>
    <w:qFormat/>
    <w:uiPriority w:val="0"/>
    <w:rPr>
      <w:rFonts w:ascii="宋体" w:hAnsi="宋体"/>
      <w:sz w:val="21"/>
      <w:szCs w:val="21"/>
      <w:lang w:val="en-GB" w:eastAsia="en-US"/>
    </w:rPr>
  </w:style>
  <w:style w:type="paragraph" w:customStyle="1" w:styleId="66">
    <w:name w:val="witto三级标题"/>
    <w:basedOn w:val="1"/>
    <w:link w:val="67"/>
    <w:qFormat/>
    <w:uiPriority w:val="0"/>
    <w:pPr>
      <w:adjustRightInd w:val="0"/>
      <w:snapToGrid w:val="0"/>
      <w:spacing w:afterLines="50"/>
      <w:outlineLvl w:val="2"/>
    </w:pPr>
    <w:rPr>
      <w:rFonts w:ascii="Arial" w:hAnsi="Arial"/>
      <w:b/>
      <w:kern w:val="0"/>
      <w:sz w:val="18"/>
      <w:szCs w:val="20"/>
      <w:lang w:val="en-GB" w:eastAsia="en-US"/>
    </w:rPr>
  </w:style>
  <w:style w:type="character" w:customStyle="1" w:styleId="67">
    <w:name w:val="witto三级标题 Char"/>
    <w:link w:val="66"/>
    <w:qFormat/>
    <w:uiPriority w:val="0"/>
    <w:rPr>
      <w:rFonts w:ascii="Arial" w:hAnsi="Arial"/>
      <w:b/>
      <w:sz w:val="18"/>
      <w:lang w:val="en-GB" w:eastAsia="en-US"/>
    </w:rPr>
  </w:style>
  <w:style w:type="paragraph" w:customStyle="1" w:styleId="68">
    <w:name w:val="样式1"/>
    <w:basedOn w:val="1"/>
    <w:link w:val="69"/>
    <w:qFormat/>
    <w:uiPriority w:val="0"/>
    <w:pPr>
      <w:keepNext/>
      <w:spacing w:after="80"/>
      <w:contextualSpacing/>
      <w:outlineLvl w:val="0"/>
    </w:pPr>
    <w:rPr>
      <w:rFonts w:ascii="Arial Black" w:hAnsi="Arial Black"/>
      <w:b/>
      <w:color w:val="808000"/>
      <w:kern w:val="0"/>
      <w:szCs w:val="21"/>
      <w:lang w:val="en-GB" w:eastAsia="en-US"/>
    </w:rPr>
  </w:style>
  <w:style w:type="character" w:customStyle="1" w:styleId="69">
    <w:name w:val="样式1 Char"/>
    <w:link w:val="68"/>
    <w:qFormat/>
    <w:uiPriority w:val="0"/>
    <w:rPr>
      <w:rFonts w:ascii="Arial Black" w:hAnsi="Arial Black"/>
      <w:b/>
      <w:color w:val="808000"/>
      <w:sz w:val="21"/>
      <w:szCs w:val="21"/>
      <w:lang w:val="en-GB" w:eastAsia="en-US"/>
    </w:rPr>
  </w:style>
  <w:style w:type="paragraph" w:customStyle="1" w:styleId="70">
    <w:name w:val="样式2"/>
    <w:basedOn w:val="58"/>
    <w:link w:val="71"/>
    <w:qFormat/>
    <w:uiPriority w:val="0"/>
    <w:pPr>
      <w:tabs>
        <w:tab w:val="clear" w:pos="851"/>
      </w:tabs>
      <w:ind w:left="0" w:firstLine="0"/>
    </w:pPr>
    <w:rPr>
      <w:color w:val="808000"/>
      <w:sz w:val="21"/>
      <w:szCs w:val="21"/>
      <w:lang w:eastAsia="en-US"/>
    </w:rPr>
  </w:style>
  <w:style w:type="character" w:customStyle="1" w:styleId="71">
    <w:name w:val="样式2 Char"/>
    <w:link w:val="70"/>
    <w:qFormat/>
    <w:uiPriority w:val="0"/>
    <w:rPr>
      <w:rFonts w:ascii="Arial Black" w:hAnsi="Arial Black"/>
      <w:b/>
      <w:color w:val="808000"/>
      <w:sz w:val="21"/>
      <w:szCs w:val="21"/>
      <w:u w:color="808000"/>
      <w:lang w:val="en-GB" w:eastAsia="en-US"/>
    </w:rPr>
  </w:style>
  <w:style w:type="paragraph" w:customStyle="1" w:styleId="72">
    <w:name w:val="样式3"/>
    <w:basedOn w:val="1"/>
    <w:link w:val="73"/>
    <w:qFormat/>
    <w:uiPriority w:val="0"/>
    <w:pPr>
      <w:ind w:firstLine="420" w:firstLineChars="200"/>
    </w:pPr>
    <w:rPr>
      <w:rFonts w:ascii="宋体" w:hAnsi="宋体"/>
      <w:kern w:val="0"/>
      <w:szCs w:val="21"/>
      <w:lang w:val="en-GB" w:eastAsia="en-US"/>
    </w:rPr>
  </w:style>
  <w:style w:type="character" w:customStyle="1" w:styleId="73">
    <w:name w:val="样式3 Char"/>
    <w:link w:val="72"/>
    <w:qFormat/>
    <w:uiPriority w:val="0"/>
    <w:rPr>
      <w:rFonts w:ascii="宋体" w:hAnsi="宋体"/>
      <w:sz w:val="21"/>
      <w:szCs w:val="21"/>
      <w:lang w:val="en-GB" w:eastAsia="en-US"/>
    </w:rPr>
  </w:style>
  <w:style w:type="paragraph" w:customStyle="1" w:styleId="74">
    <w:name w:val="四级标题"/>
    <w:basedOn w:val="1"/>
    <w:link w:val="75"/>
    <w:qFormat/>
    <w:uiPriority w:val="0"/>
    <w:pPr>
      <w:keepNext/>
      <w:tabs>
        <w:tab w:val="left" w:pos="993"/>
      </w:tabs>
      <w:spacing w:line="360" w:lineRule="auto"/>
      <w:ind w:left="0"/>
      <w:jc w:val="left"/>
      <w:outlineLvl w:val="3"/>
    </w:pPr>
    <w:rPr>
      <w:rFonts w:ascii="宋体" w:hAnsi="宋体"/>
      <w:kern w:val="0"/>
      <w:sz w:val="24"/>
      <w:szCs w:val="21"/>
      <w:u w:color="808000"/>
      <w:lang w:val="en-GB"/>
    </w:rPr>
  </w:style>
  <w:style w:type="character" w:customStyle="1" w:styleId="75">
    <w:name w:val="四级标题 Char"/>
    <w:link w:val="74"/>
    <w:qFormat/>
    <w:uiPriority w:val="0"/>
    <w:rPr>
      <w:rFonts w:ascii="宋体" w:hAnsi="宋体"/>
      <w:sz w:val="24"/>
      <w:szCs w:val="21"/>
      <w:u w:color="808000"/>
      <w:lang w:val="en-GB"/>
    </w:rPr>
  </w:style>
  <w:style w:type="paragraph" w:customStyle="1" w:styleId="76">
    <w:name w:val="五级标题"/>
    <w:basedOn w:val="6"/>
    <w:link w:val="77"/>
    <w:qFormat/>
    <w:uiPriority w:val="0"/>
    <w:pPr>
      <w:numPr>
        <w:ilvl w:val="0"/>
        <w:numId w:val="0"/>
      </w:numPr>
      <w:tabs>
        <w:tab w:val="left" w:pos="360"/>
      </w:tabs>
    </w:pPr>
    <w:rPr>
      <w:rFonts w:eastAsia="黑体"/>
      <w:b/>
      <w:sz w:val="24"/>
      <w:szCs w:val="21"/>
    </w:rPr>
  </w:style>
  <w:style w:type="character" w:customStyle="1" w:styleId="77">
    <w:name w:val="五级标题 Char"/>
    <w:link w:val="76"/>
    <w:qFormat/>
    <w:uiPriority w:val="0"/>
    <w:rPr>
      <w:rFonts w:ascii="Arial" w:hAnsi="Arial" w:eastAsia="黑体"/>
      <w:b/>
      <w:sz w:val="24"/>
      <w:szCs w:val="21"/>
      <w:lang w:val="en-GB"/>
    </w:rPr>
  </w:style>
  <w:style w:type="paragraph" w:customStyle="1" w:styleId="78">
    <w:name w:val="表格"/>
    <w:basedOn w:val="1"/>
    <w:link w:val="79"/>
    <w:qFormat/>
    <w:uiPriority w:val="0"/>
    <w:pPr>
      <w:jc w:val="center"/>
    </w:pPr>
    <w:rPr>
      <w:rFonts w:ascii="宋体" w:hAnsi="宋体"/>
      <w:kern w:val="0"/>
      <w:sz w:val="24"/>
      <w:szCs w:val="24"/>
      <w:lang w:val="en-GB" w:eastAsia="en-US"/>
    </w:rPr>
  </w:style>
  <w:style w:type="character" w:customStyle="1" w:styleId="79">
    <w:name w:val="表格 Char"/>
    <w:link w:val="78"/>
    <w:qFormat/>
    <w:uiPriority w:val="0"/>
    <w:rPr>
      <w:rFonts w:ascii="宋体" w:hAnsi="宋体"/>
      <w:sz w:val="24"/>
      <w:szCs w:val="24"/>
      <w:lang w:val="en-GB" w:eastAsia="en-US"/>
    </w:rPr>
  </w:style>
  <w:style w:type="paragraph" w:customStyle="1" w:styleId="80">
    <w:name w:val="宋体小四正文"/>
    <w:basedOn w:val="1"/>
    <w:link w:val="81"/>
    <w:qFormat/>
    <w:uiPriority w:val="0"/>
    <w:pPr>
      <w:adjustRightInd w:val="0"/>
      <w:snapToGrid w:val="0"/>
      <w:spacing w:line="360" w:lineRule="auto"/>
      <w:ind w:firstLine="480" w:firstLineChars="200"/>
    </w:pPr>
    <w:rPr>
      <w:rFonts w:ascii="宋体" w:hAnsi="宋体"/>
      <w:color w:val="000000"/>
      <w:kern w:val="0"/>
      <w:sz w:val="24"/>
      <w:szCs w:val="21"/>
      <w:lang w:val="en-GB"/>
    </w:rPr>
  </w:style>
  <w:style w:type="character" w:customStyle="1" w:styleId="81">
    <w:name w:val="宋体小四正文 Char"/>
    <w:link w:val="80"/>
    <w:qFormat/>
    <w:uiPriority w:val="0"/>
    <w:rPr>
      <w:rFonts w:ascii="宋体" w:hAnsi="宋体"/>
      <w:color w:val="000000"/>
      <w:sz w:val="24"/>
      <w:szCs w:val="21"/>
      <w:lang w:val="en-GB"/>
    </w:rPr>
  </w:style>
  <w:style w:type="paragraph" w:customStyle="1" w:styleId="82">
    <w:name w:val="正文2"/>
    <w:basedOn w:val="1"/>
    <w:link w:val="83"/>
    <w:qFormat/>
    <w:uiPriority w:val="0"/>
    <w:pPr>
      <w:ind w:firstLine="200" w:firstLineChars="200"/>
    </w:pPr>
    <w:rPr>
      <w:rFonts w:ascii="宋体" w:hAnsi="宋体"/>
      <w:kern w:val="0"/>
      <w:sz w:val="24"/>
      <w:szCs w:val="21"/>
      <w:lang w:val="en-GB"/>
    </w:rPr>
  </w:style>
  <w:style w:type="character" w:customStyle="1" w:styleId="83">
    <w:name w:val="正文2 Char"/>
    <w:link w:val="82"/>
    <w:qFormat/>
    <w:uiPriority w:val="0"/>
    <w:rPr>
      <w:rFonts w:ascii="宋体" w:hAnsi="宋体"/>
      <w:sz w:val="24"/>
      <w:szCs w:val="21"/>
      <w:lang w:val="en-GB"/>
    </w:rPr>
  </w:style>
  <w:style w:type="paragraph" w:customStyle="1" w:styleId="84">
    <w:name w:val="witto一级标题"/>
    <w:basedOn w:val="1"/>
    <w:next w:val="1"/>
    <w:link w:val="85"/>
    <w:qFormat/>
    <w:uiPriority w:val="0"/>
    <w:pPr>
      <w:keepNext/>
      <w:tabs>
        <w:tab w:val="left" w:pos="426"/>
        <w:tab w:val="left" w:pos="1440"/>
      </w:tabs>
      <w:spacing w:beforeLines="100" w:after="80" w:line="360" w:lineRule="auto"/>
      <w:contextualSpacing/>
      <w:outlineLvl w:val="0"/>
    </w:pPr>
    <w:rPr>
      <w:rFonts w:ascii="Arial Black" w:hAnsi="Arial Black"/>
      <w:b/>
      <w:kern w:val="0"/>
      <w:sz w:val="28"/>
      <w:szCs w:val="28"/>
      <w:lang w:val="en-GB"/>
    </w:rPr>
  </w:style>
  <w:style w:type="character" w:customStyle="1" w:styleId="85">
    <w:name w:val="witto一级标题 Char"/>
    <w:link w:val="84"/>
    <w:qFormat/>
    <w:uiPriority w:val="0"/>
    <w:rPr>
      <w:rFonts w:ascii="Arial Black" w:hAnsi="Arial Black"/>
      <w:b/>
      <w:sz w:val="28"/>
      <w:szCs w:val="28"/>
      <w:lang w:val="en-GB"/>
    </w:rPr>
  </w:style>
  <w:style w:type="paragraph" w:customStyle="1" w:styleId="86">
    <w:name w:val="witto二级标题"/>
    <w:basedOn w:val="58"/>
    <w:link w:val="87"/>
    <w:qFormat/>
    <w:uiPriority w:val="0"/>
    <w:pPr>
      <w:keepLines/>
      <w:tabs>
        <w:tab w:val="clear" w:pos="851"/>
      </w:tabs>
      <w:spacing w:before="240" w:after="120" w:line="360" w:lineRule="auto"/>
      <w:ind w:left="0" w:firstLine="0"/>
    </w:pPr>
    <w:rPr>
      <w:rFonts w:ascii="Times New Roman" w:hAnsi="Times New Roman"/>
      <w:sz w:val="24"/>
      <w:szCs w:val="24"/>
    </w:rPr>
  </w:style>
  <w:style w:type="character" w:customStyle="1" w:styleId="87">
    <w:name w:val="witto二级标题 Char"/>
    <w:link w:val="86"/>
    <w:qFormat/>
    <w:uiPriority w:val="0"/>
    <w:rPr>
      <w:b/>
      <w:sz w:val="24"/>
      <w:szCs w:val="24"/>
      <w:u w:color="808000"/>
      <w:lang w:val="en-GB"/>
    </w:rPr>
  </w:style>
  <w:style w:type="paragraph" w:customStyle="1" w:styleId="88">
    <w:name w:val="witto正文"/>
    <w:basedOn w:val="1"/>
    <w:link w:val="89"/>
    <w:qFormat/>
    <w:uiPriority w:val="0"/>
    <w:pPr>
      <w:spacing w:line="360" w:lineRule="auto"/>
      <w:ind w:firstLine="480" w:firstLineChars="200"/>
    </w:pPr>
    <w:rPr>
      <w:rFonts w:ascii="宋体" w:hAnsi="宋体"/>
      <w:kern w:val="0"/>
      <w:sz w:val="24"/>
      <w:szCs w:val="24"/>
      <w:lang w:val="en-GB"/>
    </w:rPr>
  </w:style>
  <w:style w:type="character" w:customStyle="1" w:styleId="89">
    <w:name w:val="witto正文 Char"/>
    <w:link w:val="88"/>
    <w:qFormat/>
    <w:uiPriority w:val="0"/>
    <w:rPr>
      <w:rFonts w:ascii="宋体" w:hAnsi="宋体"/>
      <w:sz w:val="24"/>
      <w:szCs w:val="24"/>
      <w:lang w:val="en-GB"/>
    </w:rPr>
  </w:style>
  <w:style w:type="paragraph" w:customStyle="1" w:styleId="90">
    <w:name w:val="witto三级标题2"/>
    <w:basedOn w:val="1"/>
    <w:link w:val="91"/>
    <w:qFormat/>
    <w:uiPriority w:val="0"/>
    <w:pPr>
      <w:keepNext/>
      <w:tabs>
        <w:tab w:val="left" w:pos="630"/>
      </w:tabs>
      <w:spacing w:beforeLines="50" w:afterLines="50"/>
      <w:ind w:left="357"/>
      <w:outlineLvl w:val="2"/>
    </w:pPr>
    <w:rPr>
      <w:rFonts w:ascii="宋体" w:hAnsi="宋体"/>
      <w:b/>
      <w:kern w:val="0"/>
      <w:sz w:val="28"/>
      <w:szCs w:val="28"/>
      <w:u w:color="808000"/>
      <w:lang w:val="en-GB"/>
    </w:rPr>
  </w:style>
  <w:style w:type="character" w:customStyle="1" w:styleId="91">
    <w:name w:val="witto三级标题2 Char"/>
    <w:link w:val="90"/>
    <w:qFormat/>
    <w:uiPriority w:val="0"/>
    <w:rPr>
      <w:rFonts w:ascii="宋体" w:hAnsi="宋体"/>
      <w:b/>
      <w:sz w:val="28"/>
      <w:szCs w:val="28"/>
      <w:u w:color="808000"/>
      <w:lang w:val="en-GB"/>
    </w:rPr>
  </w:style>
  <w:style w:type="paragraph" w:customStyle="1" w:styleId="92">
    <w:name w:val="witto四级标题"/>
    <w:basedOn w:val="1"/>
    <w:link w:val="93"/>
    <w:qFormat/>
    <w:uiPriority w:val="0"/>
    <w:pPr>
      <w:keepNext/>
      <w:tabs>
        <w:tab w:val="left" w:pos="846"/>
      </w:tabs>
      <w:spacing w:beforeLines="50"/>
      <w:outlineLvl w:val="3"/>
    </w:pPr>
    <w:rPr>
      <w:rFonts w:ascii="宋体" w:hAnsi="宋体"/>
      <w:b/>
      <w:kern w:val="0"/>
      <w:szCs w:val="21"/>
      <w:u w:color="808000"/>
      <w:lang w:val="en-GB" w:eastAsia="en-US"/>
    </w:rPr>
  </w:style>
  <w:style w:type="character" w:customStyle="1" w:styleId="93">
    <w:name w:val="witto四级标题 Char"/>
    <w:link w:val="92"/>
    <w:qFormat/>
    <w:locked/>
    <w:uiPriority w:val="0"/>
    <w:rPr>
      <w:rFonts w:ascii="宋体" w:hAnsi="宋体"/>
      <w:b/>
      <w:sz w:val="21"/>
      <w:szCs w:val="21"/>
      <w:u w:color="808000"/>
      <w:lang w:val="en-GB" w:eastAsia="en-US"/>
    </w:rPr>
  </w:style>
  <w:style w:type="paragraph" w:customStyle="1" w:styleId="94">
    <w:name w:val="样式5表格"/>
    <w:basedOn w:val="1"/>
    <w:link w:val="95"/>
    <w:qFormat/>
    <w:uiPriority w:val="0"/>
    <w:pPr>
      <w:jc w:val="center"/>
    </w:pPr>
    <w:rPr>
      <w:rFonts w:ascii="宋体" w:hAnsi="宋体"/>
      <w:kern w:val="0"/>
      <w:szCs w:val="21"/>
    </w:rPr>
  </w:style>
  <w:style w:type="character" w:customStyle="1" w:styleId="95">
    <w:name w:val="样式5表格 Char"/>
    <w:link w:val="94"/>
    <w:qFormat/>
    <w:uiPriority w:val="0"/>
    <w:rPr>
      <w:rFonts w:ascii="宋体" w:hAnsi="宋体"/>
      <w:sz w:val="21"/>
      <w:szCs w:val="21"/>
    </w:rPr>
  </w:style>
  <w:style w:type="paragraph" w:customStyle="1" w:styleId="96">
    <w:name w:val="witto五级标题"/>
    <w:basedOn w:val="6"/>
    <w:link w:val="97"/>
    <w:qFormat/>
    <w:uiPriority w:val="0"/>
    <w:pPr>
      <w:numPr>
        <w:ilvl w:val="0"/>
        <w:numId w:val="0"/>
      </w:numPr>
    </w:pPr>
    <w:rPr>
      <w:rFonts w:eastAsia="黑体"/>
      <w:sz w:val="24"/>
      <w:szCs w:val="21"/>
    </w:rPr>
  </w:style>
  <w:style w:type="character" w:customStyle="1" w:styleId="97">
    <w:name w:val="witto五级标题 Char"/>
    <w:link w:val="96"/>
    <w:qFormat/>
    <w:uiPriority w:val="0"/>
    <w:rPr>
      <w:rFonts w:ascii="Arial" w:hAnsi="Arial" w:eastAsia="黑体"/>
      <w:sz w:val="24"/>
      <w:szCs w:val="21"/>
      <w:lang w:val="en-GB"/>
    </w:rPr>
  </w:style>
  <w:style w:type="paragraph" w:customStyle="1" w:styleId="98">
    <w:name w:val="witto表格"/>
    <w:basedOn w:val="1"/>
    <w:link w:val="99"/>
    <w:qFormat/>
    <w:uiPriority w:val="0"/>
    <w:pPr>
      <w:jc w:val="center"/>
    </w:pPr>
    <w:rPr>
      <w:rFonts w:ascii="Times New Roman" w:hAnsi="Times New Roman"/>
      <w:kern w:val="0"/>
      <w:sz w:val="24"/>
      <w:szCs w:val="21"/>
    </w:rPr>
  </w:style>
  <w:style w:type="character" w:customStyle="1" w:styleId="99">
    <w:name w:val="witto表格 Char"/>
    <w:link w:val="98"/>
    <w:qFormat/>
    <w:uiPriority w:val="0"/>
    <w:rPr>
      <w:sz w:val="24"/>
      <w:szCs w:val="21"/>
    </w:rPr>
  </w:style>
  <w:style w:type="paragraph" w:customStyle="1" w:styleId="100">
    <w:name w:val="witto表题注"/>
    <w:basedOn w:val="12"/>
    <w:link w:val="101"/>
    <w:qFormat/>
    <w:uiPriority w:val="0"/>
    <w:rPr>
      <w:rFonts w:hAnsi="宋体" w:eastAsia="黑体"/>
      <w:sz w:val="24"/>
      <w:szCs w:val="24"/>
    </w:rPr>
  </w:style>
  <w:style w:type="character" w:customStyle="1" w:styleId="101">
    <w:name w:val="witto表题注 Char"/>
    <w:link w:val="100"/>
    <w:qFormat/>
    <w:uiPriority w:val="0"/>
    <w:rPr>
      <w:rFonts w:ascii="Arial" w:hAnsi="宋体" w:eastAsia="黑体"/>
      <w:sz w:val="24"/>
      <w:szCs w:val="24"/>
      <w:lang w:val="en-GB" w:eastAsia="en-US"/>
    </w:rPr>
  </w:style>
  <w:style w:type="paragraph" w:customStyle="1" w:styleId="102">
    <w:name w:val="witto图题注"/>
    <w:basedOn w:val="88"/>
    <w:link w:val="103"/>
    <w:qFormat/>
    <w:uiPriority w:val="0"/>
    <w:pPr>
      <w:ind w:firstLine="0" w:firstLineChars="0"/>
      <w:jc w:val="center"/>
    </w:pPr>
    <w:rPr>
      <w:rFonts w:ascii="黑体" w:eastAsia="黑体"/>
    </w:rPr>
  </w:style>
  <w:style w:type="character" w:customStyle="1" w:styleId="103">
    <w:name w:val="witto图题注 Char"/>
    <w:link w:val="102"/>
    <w:qFormat/>
    <w:uiPriority w:val="0"/>
    <w:rPr>
      <w:rFonts w:ascii="黑体" w:hAnsi="宋体" w:eastAsia="黑体"/>
      <w:sz w:val="24"/>
      <w:szCs w:val="24"/>
      <w:lang w:val="en-GB"/>
    </w:rPr>
  </w:style>
  <w:style w:type="paragraph" w:customStyle="1" w:styleId="104">
    <w:name w:val="witto图片"/>
    <w:basedOn w:val="88"/>
    <w:next w:val="102"/>
    <w:link w:val="105"/>
    <w:qFormat/>
    <w:uiPriority w:val="0"/>
    <w:pPr>
      <w:ind w:firstLine="0" w:firstLineChars="0"/>
      <w:jc w:val="center"/>
    </w:pPr>
    <w:rPr>
      <w:lang w:eastAsia="en-US"/>
    </w:rPr>
  </w:style>
  <w:style w:type="character" w:customStyle="1" w:styleId="105">
    <w:name w:val="witto图片 Char"/>
    <w:link w:val="104"/>
    <w:qFormat/>
    <w:uiPriority w:val="0"/>
    <w:rPr>
      <w:rFonts w:ascii="宋体" w:hAnsi="宋体"/>
      <w:sz w:val="24"/>
      <w:szCs w:val="24"/>
      <w:lang w:val="en-GB" w:eastAsia="en-US"/>
    </w:rPr>
  </w:style>
  <w:style w:type="paragraph" w:customStyle="1" w:styleId="106">
    <w:name w:val="样式 首行缩进:  0.85 厘米 段前: 7.8 磅 段后: 7.8 磅 行距: 最小值 15 磅 Char"/>
    <w:basedOn w:val="1"/>
    <w:link w:val="107"/>
    <w:qFormat/>
    <w:uiPriority w:val="0"/>
    <w:pPr>
      <w:spacing w:before="120" w:after="120" w:line="360" w:lineRule="auto"/>
      <w:ind w:left="0" w:firstLine="482"/>
    </w:pPr>
    <w:rPr>
      <w:sz w:val="24"/>
    </w:rPr>
  </w:style>
  <w:style w:type="character" w:customStyle="1" w:styleId="107">
    <w:name w:val="样式 首行缩进:  0.85 厘米 段前: 7.8 磅 段后: 7.8 磅 行距: 最小值 15 磅 Char Char"/>
    <w:link w:val="106"/>
    <w:qFormat/>
    <w:uiPriority w:val="0"/>
    <w:rPr>
      <w:rFonts w:ascii="Calibri" w:hAnsi="Calibri" w:cs="宋体"/>
      <w:kern w:val="2"/>
      <w:sz w:val="24"/>
      <w:szCs w:val="22"/>
    </w:rPr>
  </w:style>
  <w:style w:type="character" w:customStyle="1" w:styleId="108">
    <w:name w:val="文档结构图 Char"/>
    <w:link w:val="13"/>
    <w:semiHidden/>
    <w:qFormat/>
    <w:uiPriority w:val="99"/>
    <w:rPr>
      <w:rFonts w:ascii="Calibri" w:hAnsi="Calibri"/>
      <w:kern w:val="2"/>
      <w:sz w:val="21"/>
      <w:szCs w:val="22"/>
      <w:shd w:val="clear" w:color="auto" w:fill="000080"/>
    </w:rPr>
  </w:style>
  <w:style w:type="character" w:customStyle="1" w:styleId="109">
    <w:name w:val="页脚 Char"/>
    <w:link w:val="23"/>
    <w:qFormat/>
    <w:uiPriority w:val="99"/>
    <w:rPr>
      <w:rFonts w:ascii="Calibri" w:hAnsi="Calibri"/>
      <w:kern w:val="2"/>
      <w:sz w:val="18"/>
      <w:szCs w:val="18"/>
    </w:rPr>
  </w:style>
  <w:style w:type="character" w:customStyle="1" w:styleId="110">
    <w:name w:val="纯文本 Char"/>
    <w:link w:val="19"/>
    <w:qFormat/>
    <w:uiPriority w:val="0"/>
    <w:rPr>
      <w:rFonts w:ascii="宋体" w:hAnsi="Courier New" w:cs="Courier New"/>
      <w:kern w:val="2"/>
      <w:sz w:val="21"/>
      <w:szCs w:val="21"/>
    </w:rPr>
  </w:style>
  <w:style w:type="character" w:customStyle="1" w:styleId="111">
    <w:name w:val="日期 Char"/>
    <w:link w:val="21"/>
    <w:qFormat/>
    <w:uiPriority w:val="0"/>
    <w:rPr>
      <w:rFonts w:ascii="Calibri" w:hAnsi="Calibri"/>
      <w:kern w:val="2"/>
      <w:sz w:val="21"/>
      <w:szCs w:val="22"/>
    </w:rPr>
  </w:style>
  <w:style w:type="character" w:customStyle="1" w:styleId="112">
    <w:name w:val="页眉 Char"/>
    <w:link w:val="24"/>
    <w:qFormat/>
    <w:uiPriority w:val="99"/>
    <w:rPr>
      <w:rFonts w:ascii="Calibri" w:hAnsi="Calibri"/>
      <w:kern w:val="2"/>
      <w:sz w:val="18"/>
      <w:szCs w:val="18"/>
    </w:rPr>
  </w:style>
  <w:style w:type="character" w:customStyle="1" w:styleId="113">
    <w:name w:val="批注框文本 Char"/>
    <w:link w:val="22"/>
    <w:qFormat/>
    <w:uiPriority w:val="99"/>
    <w:rPr>
      <w:rFonts w:ascii="Calibri" w:hAnsi="Calibri"/>
      <w:kern w:val="2"/>
      <w:sz w:val="18"/>
      <w:szCs w:val="18"/>
    </w:rPr>
  </w:style>
  <w:style w:type="paragraph" w:customStyle="1" w:styleId="114">
    <w:name w:val="Report Level 3"/>
    <w:basedOn w:val="1"/>
    <w:next w:val="1"/>
    <w:qFormat/>
    <w:uiPriority w:val="0"/>
    <w:pPr>
      <w:keepNext/>
      <w:widowControl/>
      <w:tabs>
        <w:tab w:val="left" w:pos="851"/>
      </w:tabs>
      <w:spacing w:before="140" w:line="240" w:lineRule="auto"/>
      <w:ind w:left="851" w:hanging="851"/>
      <w:jc w:val="left"/>
      <w:outlineLvl w:val="2"/>
    </w:pPr>
    <w:rPr>
      <w:rFonts w:ascii="Arial Black" w:hAnsi="Arial Black"/>
      <w:kern w:val="0"/>
      <w:sz w:val="18"/>
      <w:szCs w:val="18"/>
      <w:u w:color="808000"/>
      <w:lang w:val="en-GB" w:eastAsia="en-US"/>
    </w:rPr>
  </w:style>
  <w:style w:type="paragraph" w:customStyle="1" w:styleId="115">
    <w:name w:val="Report Level 4"/>
    <w:basedOn w:val="114"/>
    <w:next w:val="1"/>
    <w:qFormat/>
    <w:uiPriority w:val="0"/>
    <w:pPr>
      <w:tabs>
        <w:tab w:val="left" w:pos="1049"/>
        <w:tab w:val="clear" w:pos="851"/>
      </w:tabs>
      <w:ind w:left="1049" w:hanging="1049"/>
      <w:outlineLvl w:val="3"/>
    </w:pPr>
  </w:style>
  <w:style w:type="paragraph" w:customStyle="1" w:styleId="116">
    <w:name w:val="报告标题1"/>
    <w:basedOn w:val="1"/>
    <w:qFormat/>
    <w:uiPriority w:val="0"/>
    <w:pPr>
      <w:keepNext/>
      <w:widowControl/>
      <w:tabs>
        <w:tab w:val="left" w:pos="720"/>
      </w:tabs>
      <w:spacing w:after="80" w:line="240" w:lineRule="auto"/>
      <w:ind w:left="720" w:hanging="720"/>
      <w:contextualSpacing/>
      <w:jc w:val="left"/>
      <w:outlineLvl w:val="0"/>
    </w:pPr>
    <w:rPr>
      <w:rFonts w:ascii="Arial Black" w:hAnsi="Arial Black"/>
      <w:b/>
      <w:color w:val="808000"/>
      <w:kern w:val="0"/>
      <w:sz w:val="28"/>
      <w:szCs w:val="20"/>
      <w:lang w:val="en-GB" w:eastAsia="en-US"/>
    </w:rPr>
  </w:style>
  <w:style w:type="paragraph" w:customStyle="1" w:styleId="117">
    <w:name w:val="样式6"/>
    <w:basedOn w:val="1"/>
    <w:link w:val="118"/>
    <w:qFormat/>
    <w:uiPriority w:val="0"/>
    <w:pPr>
      <w:keepNext/>
      <w:widowControl/>
      <w:tabs>
        <w:tab w:val="left" w:pos="2127"/>
      </w:tabs>
      <w:spacing w:line="360" w:lineRule="auto"/>
      <w:ind w:left="2127" w:hanging="851"/>
      <w:jc w:val="left"/>
      <w:outlineLvl w:val="2"/>
    </w:pPr>
    <w:rPr>
      <w:rFonts w:ascii="宋体" w:hAnsi="宋体"/>
      <w:color w:val="000000"/>
      <w:kern w:val="0"/>
      <w:sz w:val="24"/>
      <w:szCs w:val="24"/>
      <w:u w:color="808000"/>
      <w:lang w:val="en-GB"/>
    </w:rPr>
  </w:style>
  <w:style w:type="character" w:customStyle="1" w:styleId="118">
    <w:name w:val="样式6 Char"/>
    <w:link w:val="117"/>
    <w:qFormat/>
    <w:uiPriority w:val="0"/>
    <w:rPr>
      <w:rFonts w:ascii="宋体" w:hAnsi="宋体"/>
      <w:color w:val="000000"/>
      <w:sz w:val="24"/>
      <w:szCs w:val="24"/>
      <w:u w:color="808000"/>
      <w:lang w:val="en-GB"/>
    </w:rPr>
  </w:style>
  <w:style w:type="paragraph" w:customStyle="1" w:styleId="119">
    <w:name w:val="三级标题2"/>
    <w:basedOn w:val="114"/>
    <w:link w:val="120"/>
    <w:qFormat/>
    <w:uiPriority w:val="0"/>
    <w:pPr>
      <w:keepNext w:val="0"/>
      <w:widowControl w:val="0"/>
      <w:numPr>
        <w:ilvl w:val="2"/>
        <w:numId w:val="1"/>
      </w:numPr>
      <w:tabs>
        <w:tab w:val="clear" w:pos="851"/>
      </w:tabs>
      <w:adjustRightInd w:val="0"/>
      <w:snapToGrid w:val="0"/>
      <w:spacing w:before="0"/>
    </w:pPr>
    <w:rPr>
      <w:rFonts w:ascii="宋体" w:hAnsi="宋体"/>
      <w:color w:val="000000"/>
      <w:sz w:val="24"/>
      <w:szCs w:val="24"/>
    </w:rPr>
  </w:style>
  <w:style w:type="character" w:customStyle="1" w:styleId="120">
    <w:name w:val="三级标题2 Char"/>
    <w:link w:val="119"/>
    <w:qFormat/>
    <w:uiPriority w:val="0"/>
    <w:rPr>
      <w:rFonts w:ascii="宋体" w:hAnsi="宋体"/>
      <w:color w:val="000000"/>
      <w:sz w:val="24"/>
      <w:szCs w:val="24"/>
      <w:u w:color="808000"/>
      <w:lang w:val="en-GB" w:eastAsia="en-US"/>
    </w:rPr>
  </w:style>
  <w:style w:type="paragraph" w:customStyle="1" w:styleId="12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122">
    <w:name w:val="批注文字 Char"/>
    <w:link w:val="14"/>
    <w:qFormat/>
    <w:uiPriority w:val="99"/>
    <w:rPr>
      <w:kern w:val="2"/>
      <w:sz w:val="24"/>
      <w:szCs w:val="24"/>
    </w:rPr>
  </w:style>
  <w:style w:type="character" w:customStyle="1" w:styleId="123">
    <w:name w:val="批注主题 Char"/>
    <w:link w:val="30"/>
    <w:semiHidden/>
    <w:qFormat/>
    <w:uiPriority w:val="99"/>
    <w:rPr>
      <w:b/>
      <w:bCs/>
      <w:kern w:val="2"/>
      <w:sz w:val="24"/>
      <w:szCs w:val="24"/>
    </w:rPr>
  </w:style>
  <w:style w:type="paragraph" w:customStyle="1" w:styleId="124">
    <w:name w:val="样式 行距: 固定值 28 磅"/>
    <w:basedOn w:val="1"/>
    <w:qFormat/>
    <w:uiPriority w:val="0"/>
    <w:pPr>
      <w:spacing w:line="360" w:lineRule="exact"/>
      <w:ind w:left="0" w:firstLine="855" w:firstLineChars="407"/>
    </w:pPr>
    <w:rPr>
      <w:rFonts w:ascii="Times New Roman" w:hAnsi="Times New Roman" w:cs="宋体"/>
      <w:sz w:val="24"/>
      <w:szCs w:val="20"/>
    </w:rPr>
  </w:style>
  <w:style w:type="paragraph" w:customStyle="1" w:styleId="125">
    <w:name w:val="图表标题"/>
    <w:basedOn w:val="1"/>
    <w:qFormat/>
    <w:uiPriority w:val="0"/>
    <w:pPr>
      <w:spacing w:line="360" w:lineRule="auto"/>
      <w:ind w:left="0"/>
      <w:jc w:val="center"/>
      <w:textAlignment w:val="center"/>
    </w:pPr>
    <w:rPr>
      <w:rFonts w:ascii="Times New Roman" w:hAnsi="Times New Roman"/>
      <w:szCs w:val="24"/>
    </w:rPr>
  </w:style>
  <w:style w:type="paragraph" w:customStyle="1" w:styleId="126">
    <w:name w:val="注解"/>
    <w:basedOn w:val="1"/>
    <w:qFormat/>
    <w:uiPriority w:val="0"/>
    <w:pPr>
      <w:spacing w:line="240" w:lineRule="auto"/>
      <w:ind w:left="987"/>
    </w:pPr>
    <w:rPr>
      <w:rFonts w:ascii="Times New Roman" w:hAnsi="Times New Roman"/>
      <w:szCs w:val="24"/>
    </w:rPr>
  </w:style>
  <w:style w:type="paragraph" w:customStyle="1" w:styleId="127">
    <w:name w:val="表格文字"/>
    <w:basedOn w:val="125"/>
    <w:qFormat/>
    <w:uiPriority w:val="0"/>
    <w:rPr>
      <w:sz w:val="18"/>
    </w:rPr>
  </w:style>
  <w:style w:type="paragraph" w:customStyle="1" w:styleId="128">
    <w:name w:val="007公式"/>
    <w:basedOn w:val="1"/>
    <w:qFormat/>
    <w:uiPriority w:val="0"/>
    <w:pPr>
      <w:adjustRightInd w:val="0"/>
      <w:snapToGrid w:val="0"/>
      <w:spacing w:line="300" w:lineRule="auto"/>
      <w:ind w:left="0"/>
      <w:jc w:val="center"/>
      <w:textAlignment w:val="center"/>
    </w:pPr>
    <w:rPr>
      <w:rFonts w:ascii="Times New Roman" w:hAnsi="Times New Roman" w:cs="宋体"/>
      <w:sz w:val="24"/>
      <w:szCs w:val="20"/>
    </w:rPr>
  </w:style>
  <w:style w:type="table" w:customStyle="1" w:styleId="129">
    <w:name w:val="网格型1"/>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
    <w:name w:val="网格型2"/>
    <w:basedOn w:val="3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1">
    <w:name w:val="表中字 Char"/>
    <w:link w:val="132"/>
    <w:qFormat/>
    <w:uiPriority w:val="0"/>
    <w:rPr>
      <w:sz w:val="18"/>
      <w:szCs w:val="21"/>
    </w:rPr>
  </w:style>
  <w:style w:type="paragraph" w:customStyle="1" w:styleId="132">
    <w:name w:val="表中字"/>
    <w:basedOn w:val="1"/>
    <w:link w:val="131"/>
    <w:qFormat/>
    <w:uiPriority w:val="0"/>
    <w:pPr>
      <w:snapToGrid w:val="0"/>
      <w:spacing w:line="240" w:lineRule="auto"/>
      <w:ind w:left="0"/>
      <w:jc w:val="center"/>
    </w:pPr>
    <w:rPr>
      <w:rFonts w:ascii="Times New Roman" w:hAnsi="Times New Roman"/>
      <w:kern w:val="0"/>
      <w:sz w:val="18"/>
      <w:szCs w:val="21"/>
    </w:rPr>
  </w:style>
  <w:style w:type="character" w:customStyle="1" w:styleId="133">
    <w:name w:val="表头 Char"/>
    <w:link w:val="134"/>
    <w:qFormat/>
    <w:uiPriority w:val="0"/>
    <w:rPr>
      <w:rFonts w:eastAsia="黑体"/>
      <w:sz w:val="18"/>
      <w:lang w:val="en-US" w:eastAsia="zh-CN" w:bidi="ar-SA"/>
    </w:rPr>
  </w:style>
  <w:style w:type="paragraph" w:customStyle="1" w:styleId="134">
    <w:name w:val="表头"/>
    <w:next w:val="1"/>
    <w:link w:val="133"/>
    <w:qFormat/>
    <w:uiPriority w:val="0"/>
    <w:pPr>
      <w:spacing w:beforeLines="100"/>
      <w:jc w:val="center"/>
    </w:pPr>
    <w:rPr>
      <w:rFonts w:ascii="Times New Roman" w:hAnsi="Times New Roman" w:eastAsia="黑体" w:cs="Times New Roman"/>
      <w:sz w:val="18"/>
      <w:lang w:val="en-US" w:eastAsia="zh-CN" w:bidi="ar-SA"/>
    </w:rPr>
  </w:style>
  <w:style w:type="paragraph" w:customStyle="1" w:styleId="135">
    <w:name w:val="表注"/>
    <w:qFormat/>
    <w:uiPriority w:val="0"/>
    <w:pPr>
      <w:ind w:firstLine="420"/>
    </w:pPr>
    <w:rPr>
      <w:rFonts w:ascii="Times New Roman" w:hAnsi="Times New Roman" w:eastAsia="宋体" w:cs="Times New Roman"/>
      <w:kern w:val="2"/>
      <w:sz w:val="18"/>
      <w:szCs w:val="22"/>
      <w:lang w:val="en-US" w:eastAsia="zh-CN" w:bidi="ar-SA"/>
    </w:rPr>
  </w:style>
  <w:style w:type="character" w:customStyle="1" w:styleId="136">
    <w:name w:val="标准正文 Char"/>
    <w:link w:val="137"/>
    <w:qFormat/>
    <w:locked/>
    <w:uiPriority w:val="0"/>
    <w:rPr>
      <w:rFonts w:ascii="宋体" w:hAnsi="宋体"/>
      <w:color w:val="000000"/>
      <w:kern w:val="2"/>
      <w:sz w:val="21"/>
      <w:szCs w:val="21"/>
    </w:rPr>
  </w:style>
  <w:style w:type="paragraph" w:customStyle="1" w:styleId="137">
    <w:name w:val="标准正文"/>
    <w:basedOn w:val="1"/>
    <w:link w:val="136"/>
    <w:qFormat/>
    <w:uiPriority w:val="0"/>
    <w:pPr>
      <w:tabs>
        <w:tab w:val="left" w:pos="540"/>
        <w:tab w:val="left" w:pos="720"/>
        <w:tab w:val="left" w:pos="900"/>
        <w:tab w:val="left" w:pos="1080"/>
      </w:tabs>
      <w:snapToGrid w:val="0"/>
      <w:spacing w:line="288" w:lineRule="auto"/>
      <w:ind w:left="0"/>
    </w:pPr>
    <w:rPr>
      <w:rFonts w:ascii="宋体" w:hAnsi="宋体"/>
      <w:color w:val="000000"/>
      <w:szCs w:val="21"/>
    </w:rPr>
  </w:style>
  <w:style w:type="paragraph" w:customStyle="1" w:styleId="138">
    <w:name w:val="Revision"/>
    <w:hidden/>
    <w:semiHidden/>
    <w:qFormat/>
    <w:uiPriority w:val="99"/>
    <w:rPr>
      <w:rFonts w:ascii="Calibri" w:hAnsi="Calibri" w:eastAsia="宋体" w:cs="Times New Roman"/>
      <w:kern w:val="2"/>
      <w:sz w:val="21"/>
      <w:szCs w:val="22"/>
      <w:lang w:val="en-US" w:eastAsia="zh-CN" w:bidi="ar-SA"/>
    </w:rPr>
  </w:style>
  <w:style w:type="paragraph" w:customStyle="1" w:styleId="139">
    <w:name w:val="其他标准称谓"/>
    <w:qFormat/>
    <w:uiPriority w:val="99"/>
    <w:pPr>
      <w:spacing w:line="240" w:lineRule="atLeast"/>
      <w:jc w:val="distribute"/>
    </w:pPr>
    <w:rPr>
      <w:rFonts w:ascii="黑体" w:hAnsi="宋体" w:eastAsia="黑体" w:cs="Times New Roman"/>
      <w:sz w:val="52"/>
      <w:szCs w:val="52"/>
      <w:lang w:val="en-US" w:eastAsia="zh-CN" w:bidi="ar-SA"/>
    </w:rPr>
  </w:style>
  <w:style w:type="paragraph" w:customStyle="1" w:styleId="140">
    <w:name w:val="标准标志"/>
    <w:basedOn w:val="121"/>
    <w:next w:val="121"/>
    <w:qFormat/>
    <w:uiPriority w:val="99"/>
    <w:rPr>
      <w:rFonts w:ascii="Times New Roman" w:eastAsia="宋体" w:cs="Times New Roman"/>
      <w:color w:val="auto"/>
    </w:rPr>
  </w:style>
  <w:style w:type="paragraph" w:customStyle="1" w:styleId="141">
    <w:name w:val="发布日期"/>
    <w:basedOn w:val="121"/>
    <w:next w:val="121"/>
    <w:qFormat/>
    <w:uiPriority w:val="99"/>
    <w:rPr>
      <w:rFonts w:ascii="Times New Roman" w:eastAsia="宋体" w:cs="Times New Roman"/>
      <w:color w:val="auto"/>
    </w:rPr>
  </w:style>
  <w:style w:type="paragraph" w:customStyle="1" w:styleId="142">
    <w:name w:val="实施日期"/>
    <w:basedOn w:val="121"/>
    <w:next w:val="121"/>
    <w:qFormat/>
    <w:uiPriority w:val="99"/>
    <w:rPr>
      <w:rFonts w:ascii="Times New Roman" w:eastAsia="宋体" w:cs="Times New Roman"/>
      <w:color w:val="auto"/>
    </w:rPr>
  </w:style>
</w:styles>
</file>

<file path=word/_rels/document.xml.rels><?xml version="1.0" encoding="UTF-8" standalone="yes"?>
<Relationships xmlns="http://schemas.openxmlformats.org/package/2006/relationships"><Relationship Id="rId99" Type="http://schemas.openxmlformats.org/officeDocument/2006/relationships/image" Target="media/image67.wmf"/><Relationship Id="rId98" Type="http://schemas.openxmlformats.org/officeDocument/2006/relationships/image" Target="media/image66.emf"/><Relationship Id="rId97" Type="http://schemas.openxmlformats.org/officeDocument/2006/relationships/image" Target="media/image65.wmf"/><Relationship Id="rId96" Type="http://schemas.openxmlformats.org/officeDocument/2006/relationships/image" Target="media/image64.wmf"/><Relationship Id="rId95" Type="http://schemas.openxmlformats.org/officeDocument/2006/relationships/image" Target="media/image63.jpeg"/><Relationship Id="rId94" Type="http://schemas.openxmlformats.org/officeDocument/2006/relationships/image" Target="media/image62.jpeg"/><Relationship Id="rId93" Type="http://schemas.openxmlformats.org/officeDocument/2006/relationships/image" Target="media/image61.jpeg"/><Relationship Id="rId92" Type="http://schemas.openxmlformats.org/officeDocument/2006/relationships/image" Target="media/image60.png"/><Relationship Id="rId91" Type="http://schemas.openxmlformats.org/officeDocument/2006/relationships/image" Target="media/image59.emf"/><Relationship Id="rId90" Type="http://schemas.openxmlformats.org/officeDocument/2006/relationships/image" Target="media/image58.wmf"/><Relationship Id="rId9" Type="http://schemas.openxmlformats.org/officeDocument/2006/relationships/image" Target="media/image2.png"/><Relationship Id="rId89" Type="http://schemas.openxmlformats.org/officeDocument/2006/relationships/image" Target="media/image57.wmf"/><Relationship Id="rId88" Type="http://schemas.openxmlformats.org/officeDocument/2006/relationships/image" Target="media/image56.wmf"/><Relationship Id="rId87" Type="http://schemas.openxmlformats.org/officeDocument/2006/relationships/image" Target="media/image55.wmf"/><Relationship Id="rId86" Type="http://schemas.openxmlformats.org/officeDocument/2006/relationships/image" Target="media/image54.wmf"/><Relationship Id="rId85" Type="http://schemas.openxmlformats.org/officeDocument/2006/relationships/image" Target="media/image53.wmf"/><Relationship Id="rId84" Type="http://schemas.openxmlformats.org/officeDocument/2006/relationships/image" Target="media/image52.wmf"/><Relationship Id="rId83" Type="http://schemas.openxmlformats.org/officeDocument/2006/relationships/image" Target="media/image51.png"/><Relationship Id="rId82" Type="http://schemas.openxmlformats.org/officeDocument/2006/relationships/image" Target="media/image50.emf"/><Relationship Id="rId81" Type="http://schemas.openxmlformats.org/officeDocument/2006/relationships/image" Target="media/image49.emf"/><Relationship Id="rId80" Type="http://schemas.openxmlformats.org/officeDocument/2006/relationships/image" Target="media/image48.wmf"/><Relationship Id="rId8" Type="http://schemas.openxmlformats.org/officeDocument/2006/relationships/image" Target="media/image1.jpeg"/><Relationship Id="rId79" Type="http://schemas.openxmlformats.org/officeDocument/2006/relationships/image" Target="media/image47.wmf"/><Relationship Id="rId78" Type="http://schemas.openxmlformats.org/officeDocument/2006/relationships/image" Target="media/image46.emf"/><Relationship Id="rId77" Type="http://schemas.openxmlformats.org/officeDocument/2006/relationships/image" Target="media/image45.emf"/><Relationship Id="rId76" Type="http://schemas.openxmlformats.org/officeDocument/2006/relationships/image" Target="media/image44.emf"/><Relationship Id="rId75" Type="http://schemas.openxmlformats.org/officeDocument/2006/relationships/image" Target="media/image43.emf"/><Relationship Id="rId74" Type="http://schemas.openxmlformats.org/officeDocument/2006/relationships/image" Target="media/image42.emf"/><Relationship Id="rId73" Type="http://schemas.openxmlformats.org/officeDocument/2006/relationships/image" Target="media/image41.emf"/><Relationship Id="rId72" Type="http://schemas.openxmlformats.org/officeDocument/2006/relationships/image" Target="media/image40.emf"/><Relationship Id="rId71" Type="http://schemas.openxmlformats.org/officeDocument/2006/relationships/image" Target="media/image39.wmf"/><Relationship Id="rId70" Type="http://schemas.openxmlformats.org/officeDocument/2006/relationships/image" Target="media/image38.wmf"/><Relationship Id="rId7" Type="http://schemas.openxmlformats.org/officeDocument/2006/relationships/theme" Target="theme/theme1.xml"/><Relationship Id="rId69" Type="http://schemas.openxmlformats.org/officeDocument/2006/relationships/image" Target="media/image37.emf"/><Relationship Id="rId68" Type="http://schemas.openxmlformats.org/officeDocument/2006/relationships/image" Target="media/image36.emf"/><Relationship Id="rId67" Type="http://schemas.openxmlformats.org/officeDocument/2006/relationships/image" Target="media/image35.wmf"/><Relationship Id="rId66" Type="http://schemas.openxmlformats.org/officeDocument/2006/relationships/image" Target="media/image34.wmf"/><Relationship Id="rId65" Type="http://schemas.openxmlformats.org/officeDocument/2006/relationships/image" Target="media/image33.wmf"/><Relationship Id="rId64" Type="http://schemas.openxmlformats.org/officeDocument/2006/relationships/image" Target="media/image32.wmf"/><Relationship Id="rId63" Type="http://schemas.openxmlformats.org/officeDocument/2006/relationships/image" Target="media/image31.emf"/><Relationship Id="rId62" Type="http://schemas.openxmlformats.org/officeDocument/2006/relationships/image" Target="media/image30.emf"/><Relationship Id="rId61" Type="http://schemas.openxmlformats.org/officeDocument/2006/relationships/image" Target="media/image29.wmf"/><Relationship Id="rId60" Type="http://schemas.openxmlformats.org/officeDocument/2006/relationships/oleObject" Target="embeddings/oleObject25.bin"/><Relationship Id="rId6" Type="http://schemas.openxmlformats.org/officeDocument/2006/relationships/footer" Target="footer2.xml"/><Relationship Id="rId59" Type="http://schemas.openxmlformats.org/officeDocument/2006/relationships/image" Target="media/image28.png"/><Relationship Id="rId58" Type="http://schemas.openxmlformats.org/officeDocument/2006/relationships/image" Target="media/image27.wmf"/><Relationship Id="rId57" Type="http://schemas.openxmlformats.org/officeDocument/2006/relationships/oleObject" Target="embeddings/oleObject24.bin"/><Relationship Id="rId56" Type="http://schemas.openxmlformats.org/officeDocument/2006/relationships/image" Target="media/image26.wmf"/><Relationship Id="rId55" Type="http://schemas.openxmlformats.org/officeDocument/2006/relationships/oleObject" Target="embeddings/oleObject23.bin"/><Relationship Id="rId54" Type="http://schemas.openxmlformats.org/officeDocument/2006/relationships/image" Target="media/image25.wmf"/><Relationship Id="rId53" Type="http://schemas.openxmlformats.org/officeDocument/2006/relationships/oleObject" Target="embeddings/oleObject22.bin"/><Relationship Id="rId52" Type="http://schemas.openxmlformats.org/officeDocument/2006/relationships/image" Target="media/image24.wmf"/><Relationship Id="rId51" Type="http://schemas.openxmlformats.org/officeDocument/2006/relationships/oleObject" Target="embeddings/oleObject21.bin"/><Relationship Id="rId50" Type="http://schemas.openxmlformats.org/officeDocument/2006/relationships/image" Target="media/image23.wmf"/><Relationship Id="rId5" Type="http://schemas.openxmlformats.org/officeDocument/2006/relationships/footer" Target="footer1.xml"/><Relationship Id="rId49" Type="http://schemas.openxmlformats.org/officeDocument/2006/relationships/oleObject" Target="embeddings/oleObject20.bin"/><Relationship Id="rId48" Type="http://schemas.openxmlformats.org/officeDocument/2006/relationships/image" Target="media/image22.wmf"/><Relationship Id="rId47" Type="http://schemas.openxmlformats.org/officeDocument/2006/relationships/oleObject" Target="embeddings/oleObject19.bin"/><Relationship Id="rId46" Type="http://schemas.openxmlformats.org/officeDocument/2006/relationships/image" Target="media/image21.png"/><Relationship Id="rId45" Type="http://schemas.openxmlformats.org/officeDocument/2006/relationships/image" Target="media/image20.wmf"/><Relationship Id="rId44" Type="http://schemas.openxmlformats.org/officeDocument/2006/relationships/oleObject" Target="embeddings/oleObject18.bin"/><Relationship Id="rId43" Type="http://schemas.openxmlformats.org/officeDocument/2006/relationships/image" Target="media/image19.wmf"/><Relationship Id="rId42" Type="http://schemas.openxmlformats.org/officeDocument/2006/relationships/oleObject" Target="embeddings/oleObject17.bin"/><Relationship Id="rId41" Type="http://schemas.openxmlformats.org/officeDocument/2006/relationships/image" Target="media/image18.wmf"/><Relationship Id="rId40" Type="http://schemas.openxmlformats.org/officeDocument/2006/relationships/oleObject" Target="embeddings/oleObject16.bin"/><Relationship Id="rId4" Type="http://schemas.openxmlformats.org/officeDocument/2006/relationships/endnotes" Target="endnotes.xml"/><Relationship Id="rId39" Type="http://schemas.openxmlformats.org/officeDocument/2006/relationships/oleObject" Target="embeddings/oleObject15.bin"/><Relationship Id="rId38" Type="http://schemas.openxmlformats.org/officeDocument/2006/relationships/image" Target="media/image17.wmf"/><Relationship Id="rId37" Type="http://schemas.openxmlformats.org/officeDocument/2006/relationships/oleObject" Target="embeddings/oleObject14.bin"/><Relationship Id="rId36" Type="http://schemas.openxmlformats.org/officeDocument/2006/relationships/image" Target="media/image16.wmf"/><Relationship Id="rId35" Type="http://schemas.openxmlformats.org/officeDocument/2006/relationships/oleObject" Target="embeddings/oleObject13.bin"/><Relationship Id="rId34" Type="http://schemas.openxmlformats.org/officeDocument/2006/relationships/oleObject" Target="embeddings/oleObject12.bin"/><Relationship Id="rId33" Type="http://schemas.openxmlformats.org/officeDocument/2006/relationships/image" Target="media/image15.wmf"/><Relationship Id="rId32" Type="http://schemas.openxmlformats.org/officeDocument/2006/relationships/oleObject" Target="embeddings/oleObject11.bin"/><Relationship Id="rId31" Type="http://schemas.openxmlformats.org/officeDocument/2006/relationships/image" Target="media/image14.wmf"/><Relationship Id="rId30" Type="http://schemas.openxmlformats.org/officeDocument/2006/relationships/oleObject" Target="embeddings/oleObject10.bin"/><Relationship Id="rId3" Type="http://schemas.openxmlformats.org/officeDocument/2006/relationships/footnotes" Target="footnotes.xml"/><Relationship Id="rId29" Type="http://schemas.openxmlformats.org/officeDocument/2006/relationships/image" Target="media/image13.wmf"/><Relationship Id="rId28" Type="http://schemas.openxmlformats.org/officeDocument/2006/relationships/oleObject" Target="embeddings/oleObject9.bin"/><Relationship Id="rId27" Type="http://schemas.openxmlformats.org/officeDocument/2006/relationships/image" Target="media/image12.wmf"/><Relationship Id="rId26" Type="http://schemas.openxmlformats.org/officeDocument/2006/relationships/oleObject" Target="embeddings/oleObject8.bin"/><Relationship Id="rId25" Type="http://schemas.openxmlformats.org/officeDocument/2006/relationships/image" Target="media/image11.wmf"/><Relationship Id="rId24" Type="http://schemas.openxmlformats.org/officeDocument/2006/relationships/oleObject" Target="embeddings/oleObject7.bin"/><Relationship Id="rId23" Type="http://schemas.openxmlformats.org/officeDocument/2006/relationships/image" Target="media/image10.wmf"/><Relationship Id="rId22" Type="http://schemas.openxmlformats.org/officeDocument/2006/relationships/oleObject" Target="embeddings/oleObject6.bin"/><Relationship Id="rId21" Type="http://schemas.openxmlformats.org/officeDocument/2006/relationships/image" Target="media/image9.jpeg"/><Relationship Id="rId20" Type="http://schemas.openxmlformats.org/officeDocument/2006/relationships/image" Target="media/image8.wmf"/><Relationship Id="rId2" Type="http://schemas.openxmlformats.org/officeDocument/2006/relationships/settings" Target="settings.xml"/><Relationship Id="rId198" Type="http://schemas.openxmlformats.org/officeDocument/2006/relationships/fontTable" Target="fontTable.xml"/><Relationship Id="rId197" Type="http://schemas.openxmlformats.org/officeDocument/2006/relationships/numbering" Target="numbering.xml"/><Relationship Id="rId196" Type="http://schemas.openxmlformats.org/officeDocument/2006/relationships/customXml" Target="../customXml/item1.xml"/><Relationship Id="rId195" Type="http://schemas.openxmlformats.org/officeDocument/2006/relationships/image" Target="media/image163.png"/><Relationship Id="rId194" Type="http://schemas.openxmlformats.org/officeDocument/2006/relationships/image" Target="media/image162.png"/><Relationship Id="rId193" Type="http://schemas.openxmlformats.org/officeDocument/2006/relationships/image" Target="media/image161.png"/><Relationship Id="rId192" Type="http://schemas.openxmlformats.org/officeDocument/2006/relationships/image" Target="media/image160.png"/><Relationship Id="rId191" Type="http://schemas.openxmlformats.org/officeDocument/2006/relationships/image" Target="media/image159.wmf"/><Relationship Id="rId190" Type="http://schemas.openxmlformats.org/officeDocument/2006/relationships/image" Target="media/image158.wmf"/><Relationship Id="rId19" Type="http://schemas.openxmlformats.org/officeDocument/2006/relationships/oleObject" Target="embeddings/oleObject5.bin"/><Relationship Id="rId189" Type="http://schemas.openxmlformats.org/officeDocument/2006/relationships/image" Target="media/image157.wmf"/><Relationship Id="rId188" Type="http://schemas.openxmlformats.org/officeDocument/2006/relationships/image" Target="media/image156.wmf"/><Relationship Id="rId187" Type="http://schemas.openxmlformats.org/officeDocument/2006/relationships/image" Target="media/image155.wmf"/><Relationship Id="rId186" Type="http://schemas.openxmlformats.org/officeDocument/2006/relationships/image" Target="media/image154.wmf"/><Relationship Id="rId185" Type="http://schemas.openxmlformats.org/officeDocument/2006/relationships/image" Target="media/image153.wmf"/><Relationship Id="rId184" Type="http://schemas.openxmlformats.org/officeDocument/2006/relationships/image" Target="media/image152.png"/><Relationship Id="rId183" Type="http://schemas.openxmlformats.org/officeDocument/2006/relationships/image" Target="media/image151.wmf"/><Relationship Id="rId182" Type="http://schemas.openxmlformats.org/officeDocument/2006/relationships/image" Target="media/image150.wmf"/><Relationship Id="rId181" Type="http://schemas.openxmlformats.org/officeDocument/2006/relationships/image" Target="media/image149.emf"/><Relationship Id="rId180" Type="http://schemas.openxmlformats.org/officeDocument/2006/relationships/image" Target="media/image148.emf"/><Relationship Id="rId18" Type="http://schemas.openxmlformats.org/officeDocument/2006/relationships/image" Target="media/image7.wmf"/><Relationship Id="rId179" Type="http://schemas.openxmlformats.org/officeDocument/2006/relationships/image" Target="media/image147.emf"/><Relationship Id="rId178" Type="http://schemas.openxmlformats.org/officeDocument/2006/relationships/image" Target="media/image146.png"/><Relationship Id="rId177" Type="http://schemas.openxmlformats.org/officeDocument/2006/relationships/image" Target="media/image145.wmf"/><Relationship Id="rId176" Type="http://schemas.openxmlformats.org/officeDocument/2006/relationships/image" Target="media/image144.wmf"/><Relationship Id="rId175" Type="http://schemas.openxmlformats.org/officeDocument/2006/relationships/image" Target="media/image143.wmf"/><Relationship Id="rId174" Type="http://schemas.openxmlformats.org/officeDocument/2006/relationships/image" Target="media/image142.wmf"/><Relationship Id="rId173" Type="http://schemas.openxmlformats.org/officeDocument/2006/relationships/image" Target="media/image141.wmf"/><Relationship Id="rId172" Type="http://schemas.openxmlformats.org/officeDocument/2006/relationships/image" Target="media/image140.wmf"/><Relationship Id="rId171" Type="http://schemas.openxmlformats.org/officeDocument/2006/relationships/image" Target="media/image139.wmf"/><Relationship Id="rId170" Type="http://schemas.openxmlformats.org/officeDocument/2006/relationships/image" Target="media/image138.wmf"/><Relationship Id="rId17" Type="http://schemas.openxmlformats.org/officeDocument/2006/relationships/oleObject" Target="embeddings/oleObject4.bin"/><Relationship Id="rId169" Type="http://schemas.openxmlformats.org/officeDocument/2006/relationships/image" Target="media/image137.wmf"/><Relationship Id="rId168" Type="http://schemas.openxmlformats.org/officeDocument/2006/relationships/image" Target="media/image136.wmf"/><Relationship Id="rId167" Type="http://schemas.openxmlformats.org/officeDocument/2006/relationships/image" Target="media/image135.wmf"/><Relationship Id="rId166" Type="http://schemas.openxmlformats.org/officeDocument/2006/relationships/image" Target="media/image134.wmf"/><Relationship Id="rId165" Type="http://schemas.openxmlformats.org/officeDocument/2006/relationships/image" Target="media/image133.wmf"/><Relationship Id="rId164" Type="http://schemas.openxmlformats.org/officeDocument/2006/relationships/image" Target="media/image132.wmf"/><Relationship Id="rId163" Type="http://schemas.openxmlformats.org/officeDocument/2006/relationships/image" Target="media/image131.wmf"/><Relationship Id="rId162" Type="http://schemas.openxmlformats.org/officeDocument/2006/relationships/image" Target="media/image130.wmf"/><Relationship Id="rId161" Type="http://schemas.openxmlformats.org/officeDocument/2006/relationships/image" Target="media/image129.wmf"/><Relationship Id="rId160" Type="http://schemas.openxmlformats.org/officeDocument/2006/relationships/image" Target="media/image128.wmf"/><Relationship Id="rId16" Type="http://schemas.openxmlformats.org/officeDocument/2006/relationships/image" Target="media/image6.wmf"/><Relationship Id="rId159" Type="http://schemas.openxmlformats.org/officeDocument/2006/relationships/image" Target="media/image127.wmf"/><Relationship Id="rId158" Type="http://schemas.openxmlformats.org/officeDocument/2006/relationships/image" Target="media/image126.wmf"/><Relationship Id="rId157" Type="http://schemas.openxmlformats.org/officeDocument/2006/relationships/image" Target="media/image125.wmf"/><Relationship Id="rId156" Type="http://schemas.openxmlformats.org/officeDocument/2006/relationships/image" Target="media/image124.wmf"/><Relationship Id="rId155" Type="http://schemas.openxmlformats.org/officeDocument/2006/relationships/image" Target="media/image123.wmf"/><Relationship Id="rId154" Type="http://schemas.openxmlformats.org/officeDocument/2006/relationships/image" Target="media/image122.wmf"/><Relationship Id="rId153" Type="http://schemas.openxmlformats.org/officeDocument/2006/relationships/image" Target="media/image121.wmf"/><Relationship Id="rId152" Type="http://schemas.openxmlformats.org/officeDocument/2006/relationships/image" Target="media/image120.wmf"/><Relationship Id="rId151" Type="http://schemas.openxmlformats.org/officeDocument/2006/relationships/image" Target="media/image119.wmf"/><Relationship Id="rId150" Type="http://schemas.openxmlformats.org/officeDocument/2006/relationships/image" Target="media/image118.wmf"/><Relationship Id="rId15" Type="http://schemas.openxmlformats.org/officeDocument/2006/relationships/oleObject" Target="embeddings/oleObject3.bin"/><Relationship Id="rId149" Type="http://schemas.openxmlformats.org/officeDocument/2006/relationships/image" Target="media/image117.wmf"/><Relationship Id="rId148" Type="http://schemas.openxmlformats.org/officeDocument/2006/relationships/image" Target="media/image116.wmf"/><Relationship Id="rId147" Type="http://schemas.openxmlformats.org/officeDocument/2006/relationships/image" Target="media/image115.wmf"/><Relationship Id="rId146" Type="http://schemas.openxmlformats.org/officeDocument/2006/relationships/image" Target="media/image114.wmf"/><Relationship Id="rId145" Type="http://schemas.openxmlformats.org/officeDocument/2006/relationships/image" Target="media/image113.wmf"/><Relationship Id="rId144" Type="http://schemas.openxmlformats.org/officeDocument/2006/relationships/image" Target="media/image112.wmf"/><Relationship Id="rId143" Type="http://schemas.openxmlformats.org/officeDocument/2006/relationships/image" Target="media/image111.wmf"/><Relationship Id="rId142" Type="http://schemas.openxmlformats.org/officeDocument/2006/relationships/image" Target="media/image110.wmf"/><Relationship Id="rId141" Type="http://schemas.openxmlformats.org/officeDocument/2006/relationships/image" Target="media/image109.wmf"/><Relationship Id="rId140" Type="http://schemas.openxmlformats.org/officeDocument/2006/relationships/image" Target="media/image108.wmf"/><Relationship Id="rId14" Type="http://schemas.openxmlformats.org/officeDocument/2006/relationships/image" Target="media/image5.wmf"/><Relationship Id="rId139" Type="http://schemas.openxmlformats.org/officeDocument/2006/relationships/image" Target="media/image107.wmf"/><Relationship Id="rId138" Type="http://schemas.openxmlformats.org/officeDocument/2006/relationships/image" Target="media/image106.wmf"/><Relationship Id="rId137" Type="http://schemas.openxmlformats.org/officeDocument/2006/relationships/image" Target="media/image105.wmf"/><Relationship Id="rId136" Type="http://schemas.openxmlformats.org/officeDocument/2006/relationships/image" Target="media/image104.wmf"/><Relationship Id="rId135" Type="http://schemas.openxmlformats.org/officeDocument/2006/relationships/image" Target="media/image103.wmf"/><Relationship Id="rId134" Type="http://schemas.openxmlformats.org/officeDocument/2006/relationships/image" Target="media/image102.wmf"/><Relationship Id="rId133" Type="http://schemas.openxmlformats.org/officeDocument/2006/relationships/image" Target="media/image101.wmf"/><Relationship Id="rId132" Type="http://schemas.openxmlformats.org/officeDocument/2006/relationships/image" Target="media/image100.wmf"/><Relationship Id="rId131" Type="http://schemas.openxmlformats.org/officeDocument/2006/relationships/image" Target="media/image99.wmf"/><Relationship Id="rId130" Type="http://schemas.openxmlformats.org/officeDocument/2006/relationships/image" Target="media/image98.wmf"/><Relationship Id="rId13" Type="http://schemas.openxmlformats.org/officeDocument/2006/relationships/oleObject" Target="embeddings/oleObject2.bin"/><Relationship Id="rId129" Type="http://schemas.openxmlformats.org/officeDocument/2006/relationships/image" Target="media/image97.wmf"/><Relationship Id="rId128" Type="http://schemas.openxmlformats.org/officeDocument/2006/relationships/image" Target="media/image96.wmf"/><Relationship Id="rId127" Type="http://schemas.openxmlformats.org/officeDocument/2006/relationships/image" Target="media/image95.emf"/><Relationship Id="rId126" Type="http://schemas.openxmlformats.org/officeDocument/2006/relationships/image" Target="media/image94.emf"/><Relationship Id="rId125" Type="http://schemas.openxmlformats.org/officeDocument/2006/relationships/image" Target="media/image93.emf"/><Relationship Id="rId124" Type="http://schemas.openxmlformats.org/officeDocument/2006/relationships/image" Target="media/image92.emf"/><Relationship Id="rId123" Type="http://schemas.openxmlformats.org/officeDocument/2006/relationships/image" Target="media/image91.wmf"/><Relationship Id="rId122" Type="http://schemas.openxmlformats.org/officeDocument/2006/relationships/image" Target="media/image90.emf"/><Relationship Id="rId121" Type="http://schemas.openxmlformats.org/officeDocument/2006/relationships/image" Target="media/image89.emf"/><Relationship Id="rId120" Type="http://schemas.openxmlformats.org/officeDocument/2006/relationships/image" Target="media/image88.emf"/><Relationship Id="rId12" Type="http://schemas.openxmlformats.org/officeDocument/2006/relationships/image" Target="media/image4.wmf"/><Relationship Id="rId119" Type="http://schemas.openxmlformats.org/officeDocument/2006/relationships/image" Target="media/image87.emf"/><Relationship Id="rId118" Type="http://schemas.openxmlformats.org/officeDocument/2006/relationships/image" Target="media/image86.emf"/><Relationship Id="rId117" Type="http://schemas.openxmlformats.org/officeDocument/2006/relationships/image" Target="media/image85.emf"/><Relationship Id="rId116" Type="http://schemas.openxmlformats.org/officeDocument/2006/relationships/image" Target="media/image84.emf"/><Relationship Id="rId115" Type="http://schemas.openxmlformats.org/officeDocument/2006/relationships/image" Target="media/image83.emf"/><Relationship Id="rId114" Type="http://schemas.openxmlformats.org/officeDocument/2006/relationships/image" Target="media/image82.emf"/><Relationship Id="rId113" Type="http://schemas.openxmlformats.org/officeDocument/2006/relationships/image" Target="media/image81.wmf"/><Relationship Id="rId112" Type="http://schemas.openxmlformats.org/officeDocument/2006/relationships/image" Target="media/image80.wmf"/><Relationship Id="rId111" Type="http://schemas.openxmlformats.org/officeDocument/2006/relationships/image" Target="media/image79.wmf"/><Relationship Id="rId110" Type="http://schemas.openxmlformats.org/officeDocument/2006/relationships/image" Target="media/image78.wmf"/><Relationship Id="rId11" Type="http://schemas.openxmlformats.org/officeDocument/2006/relationships/oleObject" Target="embeddings/oleObject1.bin"/><Relationship Id="rId109" Type="http://schemas.openxmlformats.org/officeDocument/2006/relationships/image" Target="media/image77.wmf"/><Relationship Id="rId108" Type="http://schemas.openxmlformats.org/officeDocument/2006/relationships/image" Target="media/image76.wmf"/><Relationship Id="rId107" Type="http://schemas.openxmlformats.org/officeDocument/2006/relationships/image" Target="media/image75.wmf"/><Relationship Id="rId106" Type="http://schemas.openxmlformats.org/officeDocument/2006/relationships/image" Target="media/image74.wmf"/><Relationship Id="rId105" Type="http://schemas.openxmlformats.org/officeDocument/2006/relationships/image" Target="media/image73.wmf"/><Relationship Id="rId104" Type="http://schemas.openxmlformats.org/officeDocument/2006/relationships/image" Target="media/image72.wmf"/><Relationship Id="rId103" Type="http://schemas.openxmlformats.org/officeDocument/2006/relationships/image" Target="media/image71.wmf"/><Relationship Id="rId102" Type="http://schemas.openxmlformats.org/officeDocument/2006/relationships/image" Target="media/image70.wmf"/><Relationship Id="rId101" Type="http://schemas.openxmlformats.org/officeDocument/2006/relationships/image" Target="media/image69.wmf"/><Relationship Id="rId100" Type="http://schemas.openxmlformats.org/officeDocument/2006/relationships/image" Target="media/image68.wmf"/><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66</Pages>
  <Words>8111</Words>
  <Characters>46239</Characters>
  <Lines>385</Lines>
  <Paragraphs>108</Paragraphs>
  <TotalTime>9</TotalTime>
  <ScaleCrop>false</ScaleCrop>
  <LinksUpToDate>false</LinksUpToDate>
  <CharactersWithSpaces>54242</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2020-02-20T07:00:00Z</dcterms:created>
  <dc:creator>jhuy</dc:creator>
  <cp:lastModifiedBy>L.Jie</cp:lastModifiedBy>
  <cp:lastPrinted>2020-01-07T18:52:00Z</cp:lastPrinted>
  <dcterms:modified xsi:type="dcterms:W3CDTF">2025-07-04T15:54:26Z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ies>
</file>