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line="360" w:lineRule="auto"/>
        <w:rPr>
          <w:rFonts w:ascii="Times New Roman" w:hAnsi="Times New Roman"/>
        </w:rPr>
      </w:pPr>
      <w:r>
        <w:rPr>
          <w:rFonts w:ascii="Times New Roman" w:hAnsi="Times New Roman"/>
        </w:rPr>
        <w:t>深圳</w:t>
      </w:r>
      <w:r>
        <w:rPr>
          <w:rFonts w:hint="eastAsia" w:ascii="Times New Roman" w:hAnsi="Times New Roman"/>
        </w:rPr>
        <w:t>市工程建设标准</w:t>
      </w:r>
    </w:p>
    <w:p>
      <w:pPr>
        <w:pStyle w:val="40"/>
        <w:spacing w:after="240" w:line="360" w:lineRule="auto"/>
        <w:jc w:val="right"/>
        <w:rPr>
          <w:rFonts w:eastAsia="黑体e眠副浡渀."/>
          <w:color w:val="auto"/>
          <w:sz w:val="28"/>
          <w:szCs w:val="28"/>
        </w:rPr>
      </w:pPr>
      <w:r>
        <w:rPr>
          <w:rFonts w:eastAsia="黑体e眠副浡渀."/>
          <w:color w:val="auto"/>
          <w:sz w:val="28"/>
          <w:szCs w:val="28"/>
          <w:lang w:bidi="mn-Mong-CN"/>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502285</wp:posOffset>
                </wp:positionV>
                <wp:extent cx="535114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35114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15pt;margin-top:39.55pt;height:0.05pt;width:421.35pt;z-index:251660288;mso-width-relative:page;mso-height-relative:page;" filled="f" stroked="t" coordsize="21600,21600" o:gfxdata="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3ZInWAAAABgEAAA8AAAAAAAAAAQAgAAAAOAAAAGRycy9kb3ducmV2&#10;LnhtbFBLAQIUABQAAAAIAIdO4kBlrOC+6AEAAK4DAAAOAAAAAAAAAAEAIAAAADsBAABkcnMvZTJv&#10;RG9jLnhtbFBLBQYAAAAABgAGAFkBAACVBQAAAAA=&#10;">
                <v:fill on="f" focussize="0,0"/>
                <v:stroke color="#000000" joinstyle="round"/>
                <v:imagedata o:title=""/>
                <o:lock v:ext="edit" aspectratio="f"/>
              </v:shape>
            </w:pict>
          </mc:Fallback>
        </mc:AlternateContent>
      </w:r>
      <w:r>
        <w:rPr>
          <w:rFonts w:eastAsia="黑体e眠副浡渀."/>
          <w:color w:val="auto"/>
          <w:sz w:val="28"/>
          <w:szCs w:val="28"/>
        </w:rPr>
        <w:t xml:space="preserve">SJG </w:t>
      </w:r>
      <w:r>
        <w:rPr>
          <w:rFonts w:hint="eastAsia" w:eastAsia="黑体e眠副浡渀."/>
          <w:color w:val="auto"/>
          <w:sz w:val="28"/>
          <w:szCs w:val="28"/>
        </w:rPr>
        <w:t>xx</w:t>
      </w:r>
      <w:r>
        <w:rPr>
          <w:rFonts w:eastAsia="黑体e眠副浡渀."/>
          <w:color w:val="auto"/>
          <w:sz w:val="28"/>
          <w:szCs w:val="28"/>
        </w:rPr>
        <w:t>—</w:t>
      </w:r>
      <w:r>
        <w:rPr>
          <w:rFonts w:hint="eastAsia" w:eastAsia="黑体e眠副浡渀."/>
          <w:color w:val="auto"/>
          <w:sz w:val="28"/>
          <w:szCs w:val="28"/>
        </w:rPr>
        <w:t>2019</w:t>
      </w:r>
    </w:p>
    <w:p>
      <w:pPr>
        <w:pStyle w:val="40"/>
        <w:spacing w:before="240" w:after="240" w:line="360" w:lineRule="auto"/>
        <w:jc w:val="right"/>
        <w:rPr>
          <w:rFonts w:eastAsia="黑体e眠副浡渀."/>
          <w:color w:val="auto"/>
          <w:sz w:val="28"/>
          <w:szCs w:val="28"/>
        </w:rPr>
      </w:pPr>
    </w:p>
    <w:p>
      <w:pPr>
        <w:pStyle w:val="41"/>
        <w:spacing w:line="360" w:lineRule="auto"/>
        <w:jc w:val="right"/>
        <w:rPr>
          <w:rFonts w:eastAsia="黑体e眠副浡渀."/>
          <w:sz w:val="96"/>
          <w:szCs w:val="96"/>
        </w:rPr>
      </w:pPr>
    </w:p>
    <w:p>
      <w:pPr>
        <w:pStyle w:val="40"/>
        <w:rPr>
          <w:color w:val="auto"/>
        </w:rPr>
      </w:pPr>
    </w:p>
    <w:p>
      <w:pPr>
        <w:pStyle w:val="40"/>
        <w:rPr>
          <w:color w:val="auto"/>
        </w:rPr>
      </w:pPr>
    </w:p>
    <w:p>
      <w:pPr>
        <w:pStyle w:val="40"/>
        <w:rPr>
          <w:color w:val="auto"/>
        </w:rPr>
      </w:pPr>
    </w:p>
    <w:p>
      <w:pPr>
        <w:pStyle w:val="40"/>
        <w:spacing w:line="360" w:lineRule="auto"/>
        <w:jc w:val="center"/>
        <w:rPr>
          <w:rFonts w:eastAsia="黑体"/>
          <w:color w:val="auto"/>
          <w:sz w:val="44"/>
          <w:szCs w:val="52"/>
        </w:rPr>
      </w:pPr>
      <w:r>
        <w:rPr>
          <w:rFonts w:hint="eastAsia" w:eastAsia="黑体"/>
          <w:color w:val="auto"/>
          <w:sz w:val="44"/>
          <w:szCs w:val="52"/>
        </w:rPr>
        <w:t>深圳市无障碍设计标准</w:t>
      </w:r>
    </w:p>
    <w:p>
      <w:pPr>
        <w:pStyle w:val="40"/>
        <w:spacing w:line="360" w:lineRule="auto"/>
        <w:jc w:val="center"/>
        <w:rPr>
          <w:rFonts w:eastAsia="黑体e眠副浡渀."/>
          <w:color w:val="auto"/>
          <w:sz w:val="21"/>
          <w:szCs w:val="28"/>
        </w:rPr>
      </w:pPr>
      <w:r>
        <w:rPr>
          <w:rFonts w:hint="eastAsia" w:eastAsia="黑体"/>
          <w:color w:val="auto"/>
          <w:sz w:val="40"/>
          <w:szCs w:val="52"/>
        </w:rPr>
        <w:t>（</w:t>
      </w:r>
      <w:r>
        <w:rPr>
          <w:rFonts w:eastAsia="黑体"/>
          <w:color w:val="auto"/>
          <w:sz w:val="40"/>
          <w:szCs w:val="52"/>
        </w:rPr>
        <w:t>Accessible design standard for Shenzhen</w:t>
      </w:r>
      <w:r>
        <w:rPr>
          <w:rFonts w:hint="eastAsia" w:eastAsia="黑体"/>
          <w:color w:val="auto"/>
          <w:sz w:val="40"/>
          <w:szCs w:val="52"/>
        </w:rPr>
        <w:t>）</w:t>
      </w:r>
      <w:r>
        <w:rPr>
          <w:rFonts w:hint="eastAsia" w:eastAsia="黑体"/>
          <w:color w:val="auto"/>
          <w:sz w:val="40"/>
          <w:szCs w:val="52"/>
        </w:rPr>
        <w:tab/>
      </w:r>
      <w:r>
        <w:rPr>
          <w:rFonts w:hint="eastAsia" w:eastAsia="黑体"/>
          <w:color w:val="auto"/>
          <w:sz w:val="40"/>
          <w:szCs w:val="52"/>
        </w:rPr>
        <w:t xml:space="preserve"> </w:t>
      </w:r>
    </w:p>
    <w:p>
      <w:pPr>
        <w:pStyle w:val="43"/>
        <w:spacing w:line="360" w:lineRule="auto"/>
        <w:ind w:right="560"/>
        <w:rPr>
          <w:rFonts w:eastAsia="黑体e眠副浡渀."/>
          <w:sz w:val="28"/>
          <w:szCs w:val="28"/>
        </w:rPr>
      </w:pPr>
    </w:p>
    <w:p>
      <w:pPr>
        <w:pStyle w:val="40"/>
        <w:spacing w:line="360" w:lineRule="auto"/>
        <w:rPr>
          <w:color w:val="auto"/>
        </w:rPr>
      </w:pPr>
    </w:p>
    <w:p>
      <w:pPr>
        <w:pStyle w:val="40"/>
        <w:spacing w:line="360" w:lineRule="auto"/>
        <w:rPr>
          <w:color w:val="auto"/>
        </w:rPr>
      </w:pPr>
    </w:p>
    <w:p>
      <w:pPr>
        <w:pStyle w:val="40"/>
        <w:spacing w:line="360" w:lineRule="auto"/>
        <w:rPr>
          <w:color w:val="auto"/>
        </w:rPr>
      </w:pPr>
    </w:p>
    <w:p>
      <w:pPr>
        <w:pStyle w:val="40"/>
        <w:spacing w:line="360" w:lineRule="auto"/>
        <w:rPr>
          <w:color w:val="auto"/>
        </w:rPr>
      </w:pPr>
    </w:p>
    <w:p>
      <w:pPr>
        <w:pStyle w:val="40"/>
        <w:spacing w:line="360" w:lineRule="auto"/>
        <w:rPr>
          <w:rFonts w:eastAsia="黑体e眠副浡渀."/>
          <w:color w:val="auto"/>
          <w:sz w:val="28"/>
          <w:szCs w:val="28"/>
        </w:rPr>
      </w:pPr>
    </w:p>
    <w:p>
      <w:pPr>
        <w:pStyle w:val="42"/>
        <w:spacing w:line="360" w:lineRule="auto"/>
        <w:rPr>
          <w:rFonts w:eastAsia="黑体e眠副浡渀."/>
          <w:sz w:val="28"/>
          <w:szCs w:val="28"/>
        </w:rPr>
      </w:pPr>
    </w:p>
    <w:p>
      <w:pPr>
        <w:pStyle w:val="42"/>
        <w:spacing w:line="360" w:lineRule="auto"/>
        <w:rPr>
          <w:rFonts w:eastAsia="黑体"/>
          <w:sz w:val="28"/>
          <w:szCs w:val="28"/>
        </w:rPr>
      </w:pPr>
    </w:p>
    <w:p>
      <w:pPr>
        <w:pStyle w:val="40"/>
        <w:spacing w:line="360" w:lineRule="auto"/>
        <w:rPr>
          <w:color w:val="auto"/>
        </w:rPr>
      </w:pPr>
    </w:p>
    <w:p>
      <w:pPr>
        <w:pStyle w:val="40"/>
        <w:spacing w:line="360" w:lineRule="auto"/>
        <w:rPr>
          <w:color w:val="auto"/>
        </w:rPr>
      </w:pPr>
    </w:p>
    <w:p>
      <w:pPr>
        <w:pStyle w:val="40"/>
        <w:spacing w:line="360" w:lineRule="auto"/>
        <w:rPr>
          <w:color w:val="auto"/>
        </w:rPr>
      </w:pPr>
      <w:r>
        <w:rPr>
          <w:rFonts w:eastAsia="黑体e眠副浡渀."/>
          <w:color w:val="auto"/>
          <w:sz w:val="28"/>
          <w:szCs w:val="28"/>
          <w:lang w:bidi="mn-Mong-CN"/>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328930</wp:posOffset>
                </wp:positionV>
                <wp:extent cx="5351145"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5114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15pt;margin-top:25.9pt;height:0.05pt;width:421.35pt;z-index:251661312;mso-width-relative:page;mso-height-relative:page;" filled="f" stroked="t" coordsize="21600,21600" o:gfxdata="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86ao9UAAAAGAQAADwAAAAAAAAABACAAAAA4AAAAZHJzL2Rvd25yZXYu&#10;eG1sUEsBAhQAFAAAAAgAh07iQHpm9/voAQAArgMAAA4AAAAAAAAAAQAgAAAAOgEAAGRycy9lMm9E&#10;b2MueG1sUEsFBgAAAAAGAAYAWQEAAJQFAAAAAA==&#10;">
                <v:fill on="f" focussize="0,0"/>
                <v:stroke color="#000000" joinstyle="round"/>
                <v:imagedata o:title=""/>
                <o:lock v:ext="edit" aspectratio="f"/>
              </v:shape>
            </w:pict>
          </mc:Fallback>
        </mc:AlternateContent>
      </w:r>
      <w:r>
        <w:rPr>
          <w:rFonts w:hint="eastAsia" w:eastAsia="黑体e眠副浡渀."/>
          <w:color w:val="auto"/>
          <w:sz w:val="28"/>
          <w:szCs w:val="28"/>
        </w:rPr>
        <w:t>2019</w:t>
      </w:r>
      <w:r>
        <w:rPr>
          <w:rFonts w:eastAsia="黑体"/>
          <w:color w:val="auto"/>
          <w:sz w:val="28"/>
          <w:szCs w:val="28"/>
        </w:rPr>
        <w:t>-</w:t>
      </w:r>
      <w:r>
        <w:rPr>
          <w:rFonts w:hint="eastAsia" w:eastAsia="黑体"/>
          <w:color w:val="auto"/>
          <w:sz w:val="28"/>
          <w:szCs w:val="28"/>
        </w:rPr>
        <w:t>xx</w:t>
      </w:r>
      <w:r>
        <w:rPr>
          <w:rFonts w:eastAsia="黑体"/>
          <w:color w:val="auto"/>
          <w:sz w:val="28"/>
          <w:szCs w:val="28"/>
        </w:rPr>
        <w:t>-</w:t>
      </w:r>
      <w:r>
        <w:rPr>
          <w:rFonts w:hint="eastAsia" w:eastAsia="黑体"/>
          <w:color w:val="auto"/>
          <w:sz w:val="28"/>
          <w:szCs w:val="28"/>
        </w:rPr>
        <w:t>xx</w:t>
      </w:r>
      <w:r>
        <w:rPr>
          <w:rFonts w:eastAsia="黑体"/>
          <w:color w:val="auto"/>
          <w:sz w:val="28"/>
          <w:szCs w:val="28"/>
        </w:rPr>
        <w:t xml:space="preserve">发布                               </w:t>
      </w:r>
      <w:r>
        <w:rPr>
          <w:rFonts w:hint="eastAsia" w:eastAsia="黑体"/>
          <w:color w:val="auto"/>
          <w:sz w:val="28"/>
          <w:szCs w:val="28"/>
        </w:rPr>
        <w:t>2019</w:t>
      </w:r>
      <w:r>
        <w:rPr>
          <w:rFonts w:eastAsia="黑体"/>
          <w:color w:val="auto"/>
          <w:sz w:val="28"/>
          <w:szCs w:val="28"/>
        </w:rPr>
        <w:t>-</w:t>
      </w:r>
      <w:r>
        <w:rPr>
          <w:rFonts w:hint="eastAsia" w:eastAsia="黑体"/>
          <w:color w:val="auto"/>
          <w:sz w:val="28"/>
          <w:szCs w:val="28"/>
        </w:rPr>
        <w:t xml:space="preserve"> xx</w:t>
      </w:r>
      <w:r>
        <w:rPr>
          <w:rFonts w:eastAsia="黑体"/>
          <w:color w:val="auto"/>
          <w:sz w:val="28"/>
          <w:szCs w:val="28"/>
        </w:rPr>
        <w:t>-</w:t>
      </w:r>
      <w:r>
        <w:rPr>
          <w:rFonts w:hint="eastAsia" w:eastAsia="黑体"/>
          <w:color w:val="auto"/>
          <w:sz w:val="28"/>
          <w:szCs w:val="28"/>
        </w:rPr>
        <w:t>xx</w:t>
      </w:r>
      <w:r>
        <w:rPr>
          <w:rFonts w:eastAsia="黑体"/>
          <w:color w:val="auto"/>
          <w:sz w:val="28"/>
          <w:szCs w:val="28"/>
        </w:rPr>
        <w:t>实施</w:t>
      </w:r>
    </w:p>
    <w:p>
      <w:pPr>
        <w:spacing w:line="360" w:lineRule="auto"/>
        <w:jc w:val="center"/>
        <w:rPr>
          <w:rFonts w:eastAsia="黑体"/>
          <w:sz w:val="36"/>
          <w:szCs w:val="36"/>
        </w:rPr>
      </w:pPr>
      <w:r>
        <w:rPr>
          <w:rFonts w:hint="eastAsia" w:eastAsia="黑体"/>
          <w:sz w:val="36"/>
          <w:szCs w:val="36"/>
        </w:rPr>
        <w:t>深圳市住房和建设局发布</w:t>
      </w:r>
    </w:p>
    <w:p>
      <w:pPr>
        <w:widowControl/>
        <w:jc w:val="left"/>
        <w:rPr>
          <w:rFonts w:eastAsia="黑体"/>
          <w:sz w:val="36"/>
          <w:szCs w:val="36"/>
        </w:rPr>
      </w:pPr>
      <w:r>
        <w:rPr>
          <w:rFonts w:eastAsia="黑体"/>
          <w:sz w:val="36"/>
          <w:szCs w:val="36"/>
        </w:rPr>
        <w:br w:type="page"/>
      </w:r>
    </w:p>
    <w:p>
      <w:pPr>
        <w:jc w:val="center"/>
        <w:rPr>
          <w:rFonts w:ascii="黑体" w:hAnsi="黑体" w:eastAsia="黑体"/>
          <w:b/>
          <w:sz w:val="32"/>
        </w:rPr>
      </w:pPr>
    </w:p>
    <w:p>
      <w:pPr>
        <w:jc w:val="center"/>
        <w:rPr>
          <w:rFonts w:ascii="黑体" w:hAnsi="黑体" w:eastAsia="黑体"/>
          <w:b/>
          <w:sz w:val="32"/>
        </w:rPr>
      </w:pPr>
    </w:p>
    <w:p>
      <w:pPr>
        <w:jc w:val="center"/>
        <w:rPr>
          <w:rFonts w:ascii="黑体" w:hAnsi="黑体" w:eastAsia="黑体"/>
          <w:b/>
          <w:sz w:val="32"/>
        </w:rPr>
      </w:pPr>
      <w:r>
        <w:rPr>
          <w:rFonts w:hint="eastAsia" w:ascii="黑体" w:hAnsi="黑体" w:eastAsia="黑体"/>
          <w:b/>
          <w:sz w:val="32"/>
        </w:rPr>
        <w:t>深圳市工程建设标准</w:t>
      </w:r>
    </w:p>
    <w:p>
      <w:pPr>
        <w:jc w:val="center"/>
        <w:rPr>
          <w:sz w:val="30"/>
        </w:rPr>
      </w:pPr>
    </w:p>
    <w:p>
      <w:pPr>
        <w:spacing w:line="480" w:lineRule="auto"/>
        <w:jc w:val="center"/>
        <w:rPr>
          <w:rFonts w:hAnsi="宋体"/>
          <w:b/>
          <w:bCs/>
          <w:sz w:val="48"/>
          <w:szCs w:val="48"/>
        </w:rPr>
      </w:pPr>
      <w:r>
        <w:rPr>
          <w:rFonts w:hint="eastAsia" w:hAnsi="宋体"/>
          <w:b/>
          <w:bCs/>
          <w:sz w:val="48"/>
          <w:szCs w:val="48"/>
        </w:rPr>
        <w:t>深圳市无障碍设计标准</w:t>
      </w:r>
    </w:p>
    <w:p>
      <w:pPr>
        <w:spacing w:line="480" w:lineRule="auto"/>
        <w:jc w:val="center"/>
        <w:rPr>
          <w:b/>
          <w:spacing w:val="-20"/>
          <w:sz w:val="28"/>
          <w:szCs w:val="28"/>
        </w:rPr>
      </w:pPr>
      <w:r>
        <w:rPr>
          <w:rFonts w:hint="eastAsia" w:eastAsia="黑体"/>
          <w:sz w:val="28"/>
          <w:szCs w:val="28"/>
        </w:rPr>
        <w:t>（</w:t>
      </w:r>
      <w:r>
        <w:rPr>
          <w:rFonts w:eastAsia="黑体"/>
          <w:sz w:val="28"/>
          <w:szCs w:val="28"/>
        </w:rPr>
        <w:t>Accessible design standard for Shenzhen</w:t>
      </w:r>
      <w:r>
        <w:rPr>
          <w:rFonts w:hint="eastAsia" w:eastAsia="黑体"/>
          <w:sz w:val="28"/>
          <w:szCs w:val="28"/>
        </w:rPr>
        <w:t>）</w:t>
      </w:r>
    </w:p>
    <w:p>
      <w:pPr>
        <w:jc w:val="center"/>
        <w:rPr>
          <w:sz w:val="30"/>
        </w:rPr>
      </w:pPr>
    </w:p>
    <w:p>
      <w:pPr>
        <w:jc w:val="center"/>
        <w:rPr>
          <w:b/>
          <w:sz w:val="30"/>
        </w:rPr>
      </w:pPr>
      <w:r>
        <w:rPr>
          <w:b/>
          <w:sz w:val="30"/>
        </w:rPr>
        <w:t xml:space="preserve">SJG </w:t>
      </w:r>
      <w:r>
        <w:rPr>
          <w:rFonts w:hint="eastAsia" w:eastAsia="黑体"/>
          <w:sz w:val="28"/>
          <w:szCs w:val="28"/>
        </w:rPr>
        <w:t>xx</w:t>
      </w:r>
      <w:r>
        <w:rPr>
          <w:b/>
          <w:sz w:val="30"/>
        </w:rPr>
        <w:t>—</w:t>
      </w:r>
      <w:r>
        <w:rPr>
          <w:rFonts w:hint="eastAsia"/>
          <w:b/>
          <w:sz w:val="30"/>
        </w:rPr>
        <w:t>2019</w:t>
      </w:r>
    </w:p>
    <w:p>
      <w:pPr>
        <w:jc w:val="center"/>
        <w:rPr>
          <w:sz w:val="30"/>
        </w:rPr>
      </w:pPr>
    </w:p>
    <w:p>
      <w:pPr>
        <w:ind w:firstLine="1486" w:firstLineChars="708"/>
        <w:rPr>
          <w:rFonts w:ascii="宋体" w:hAnsi="宋体"/>
          <w:szCs w:val="28"/>
        </w:rPr>
      </w:pPr>
    </w:p>
    <w:p>
      <w:pPr>
        <w:ind w:firstLine="1486" w:firstLineChars="708"/>
        <w:rPr>
          <w:rFonts w:ascii="宋体" w:hAnsi="宋体"/>
          <w:szCs w:val="28"/>
        </w:rPr>
      </w:pPr>
    </w:p>
    <w:p>
      <w:pPr>
        <w:ind w:firstLine="1486" w:firstLineChars="708"/>
        <w:rPr>
          <w:rFonts w:ascii="宋体" w:hAnsi="宋体"/>
          <w:szCs w:val="28"/>
        </w:rPr>
      </w:pPr>
    </w:p>
    <w:p>
      <w:pPr>
        <w:ind w:firstLine="1486" w:firstLineChars="708"/>
        <w:rPr>
          <w:rFonts w:ascii="宋体" w:hAnsi="宋体"/>
          <w:szCs w:val="28"/>
        </w:rPr>
      </w:pPr>
    </w:p>
    <w:p>
      <w:pPr>
        <w:ind w:firstLine="1486" w:firstLineChars="708"/>
        <w:rPr>
          <w:rFonts w:ascii="宋体" w:hAnsi="宋体"/>
          <w:szCs w:val="28"/>
        </w:rPr>
      </w:pPr>
    </w:p>
    <w:p>
      <w:pPr>
        <w:ind w:firstLine="1486" w:firstLineChars="708"/>
        <w:rPr>
          <w:rFonts w:ascii="宋体" w:hAnsi="宋体"/>
          <w:szCs w:val="28"/>
        </w:rPr>
      </w:pPr>
    </w:p>
    <w:p>
      <w:pPr>
        <w:jc w:val="center"/>
        <w:rPr>
          <w:sz w:val="30"/>
        </w:rPr>
      </w:pPr>
    </w:p>
    <w:p>
      <w:pPr>
        <w:jc w:val="center"/>
        <w:rPr>
          <w:sz w:val="30"/>
        </w:rPr>
      </w:pPr>
    </w:p>
    <w:p>
      <w:pPr>
        <w:pStyle w:val="12"/>
        <w:rPr>
          <w:sz w:val="30"/>
        </w:rPr>
      </w:pPr>
    </w:p>
    <w:p>
      <w:pPr>
        <w:rPr>
          <w:sz w:val="24"/>
        </w:rPr>
      </w:pPr>
    </w:p>
    <w:p/>
    <w:p/>
    <w:p>
      <w:pPr>
        <w:jc w:val="center"/>
        <w:rPr>
          <w:rFonts w:hAnsi="宋体"/>
          <w:sz w:val="28"/>
          <w:szCs w:val="28"/>
        </w:rPr>
      </w:pPr>
    </w:p>
    <w:p>
      <w:pPr>
        <w:jc w:val="center"/>
        <w:rPr>
          <w:rFonts w:hAnsi="宋体"/>
          <w:sz w:val="28"/>
          <w:szCs w:val="28"/>
        </w:rPr>
      </w:pPr>
    </w:p>
    <w:p>
      <w:pPr>
        <w:jc w:val="center"/>
        <w:rPr>
          <w:sz w:val="28"/>
          <w:szCs w:val="28"/>
        </w:rPr>
      </w:pPr>
    </w:p>
    <w:p>
      <w:pPr>
        <w:jc w:val="center"/>
        <w:rPr>
          <w:rFonts w:hAnsi="宋体"/>
          <w:b/>
          <w:sz w:val="24"/>
          <w:szCs w:val="28"/>
        </w:rPr>
      </w:pPr>
      <w:r>
        <w:rPr>
          <w:b/>
          <w:szCs w:val="28"/>
        </w:rPr>
        <w:t>20</w:t>
      </w:r>
      <w:r>
        <w:rPr>
          <w:rFonts w:hint="eastAsia"/>
          <w:b/>
          <w:szCs w:val="28"/>
        </w:rPr>
        <w:t>19</w:t>
      </w:r>
      <w:r>
        <w:rPr>
          <w:rFonts w:hint="eastAsia" w:hAnsi="宋体"/>
          <w:b/>
          <w:szCs w:val="28"/>
        </w:rPr>
        <w:t>深圳</w:t>
      </w:r>
    </w:p>
    <w:p>
      <w:pPr>
        <w:spacing w:line="360" w:lineRule="auto"/>
        <w:jc w:val="center"/>
        <w:rPr>
          <w:rFonts w:eastAsia="黑体"/>
          <w:sz w:val="36"/>
          <w:szCs w:val="36"/>
        </w:rPr>
      </w:pPr>
    </w:p>
    <w:p>
      <w:pPr>
        <w:spacing w:line="360" w:lineRule="auto"/>
        <w:jc w:val="center"/>
        <w:rPr>
          <w:rFonts w:eastAsia="黑体"/>
          <w:sz w:val="36"/>
          <w:szCs w:val="36"/>
        </w:rPr>
        <w:sectPr>
          <w:footerReference r:id="rId3" w:type="even"/>
          <w:pgSz w:w="11906" w:h="16838"/>
          <w:pgMar w:top="1440" w:right="1800" w:bottom="1440" w:left="1800" w:header="851" w:footer="992" w:gutter="0"/>
          <w:pgNumType w:start="1"/>
          <w:cols w:space="720" w:num="1"/>
          <w:docGrid w:type="lines" w:linePitch="312" w:charSpace="0"/>
        </w:sectPr>
      </w:pPr>
    </w:p>
    <w:p>
      <w:pPr>
        <w:pStyle w:val="40"/>
        <w:rPr>
          <w:color w:val="auto"/>
        </w:rPr>
      </w:pPr>
    </w:p>
    <w:p>
      <w:pPr>
        <w:pStyle w:val="40"/>
        <w:rPr>
          <w:color w:val="auto"/>
        </w:rPr>
      </w:pPr>
    </w:p>
    <w:p>
      <w:pPr>
        <w:jc w:val="center"/>
        <w:rPr>
          <w:rFonts w:eastAsia="黑体"/>
          <w:b/>
          <w:bCs/>
          <w:kern w:val="0"/>
          <w:sz w:val="28"/>
          <w:szCs w:val="28"/>
        </w:rPr>
      </w:pPr>
      <w:r>
        <w:rPr>
          <w:rFonts w:eastAsia="黑体"/>
          <w:b/>
          <w:bCs/>
          <w:kern w:val="0"/>
          <w:sz w:val="28"/>
          <w:szCs w:val="28"/>
          <w:lang w:val="zh-CN"/>
        </w:rPr>
        <w:t>前言</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jc w:val="left"/>
        <w:rPr>
          <w:sz w:val="24"/>
        </w:rPr>
      </w:pPr>
      <w:r>
        <w:rPr>
          <w:rFonts w:hint="eastAsia"/>
          <w:sz w:val="24"/>
        </w:rPr>
        <w:t>本标准是根据《深圳市人民政府办公厅关于印发深圳市创建无障碍城市行动方案的通知》（深府办函〔2018〕345号）的要求编制本标准。</w:t>
      </w:r>
    </w:p>
    <w:p>
      <w:pPr>
        <w:spacing w:line="360" w:lineRule="auto"/>
        <w:ind w:firstLine="480" w:firstLineChars="200"/>
        <w:rPr>
          <w:sz w:val="24"/>
          <w:highlight w:val="yellow"/>
        </w:rPr>
      </w:pPr>
      <w:r>
        <w:rPr>
          <w:rFonts w:hint="eastAsia"/>
          <w:sz w:val="24"/>
        </w:rPr>
        <w:t>本标准由深圳市住房</w:t>
      </w:r>
      <w:r>
        <w:rPr>
          <w:rFonts w:hint="eastAsia"/>
          <w:sz w:val="24"/>
          <w:lang w:eastAsia="zh-CN"/>
        </w:rPr>
        <w:t>和</w:t>
      </w:r>
      <w:r>
        <w:rPr>
          <w:rFonts w:hint="eastAsia"/>
          <w:sz w:val="24"/>
        </w:rPr>
        <w:t>建设局提出并业务归口，深圳市住房和建设局批准发布。XXXXXXXXXXXX负责具体技术内容的解释。</w:t>
      </w:r>
      <w:r>
        <w:rPr>
          <w:sz w:val="24"/>
        </w:rPr>
        <w:t>本</w:t>
      </w:r>
      <w:r>
        <w:rPr>
          <w:rFonts w:hint="eastAsia"/>
          <w:sz w:val="24"/>
        </w:rPr>
        <w:t>标准</w:t>
      </w:r>
      <w:r>
        <w:rPr>
          <w:sz w:val="24"/>
        </w:rPr>
        <w:t>在执行过程中如发现需要修改和补充之处，请将意见和有关资料寄送</w:t>
      </w:r>
      <w:r>
        <w:rPr>
          <w:rFonts w:hint="eastAsia"/>
          <w:sz w:val="24"/>
        </w:rPr>
        <w:t>XXXXXXXXXXXXX</w:t>
      </w:r>
      <w:r>
        <w:rPr>
          <w:sz w:val="24"/>
        </w:rPr>
        <w:t>（</w:t>
      </w:r>
      <w:r>
        <w:rPr>
          <w:rFonts w:hint="eastAsia"/>
          <w:sz w:val="24"/>
        </w:rPr>
        <w:t>地址XXXXXXXXXXXXXXXXXXX，邮编：XXXXXXX，联系方式：XXXXXX等</w:t>
      </w:r>
      <w:r>
        <w:rPr>
          <w:sz w:val="24"/>
        </w:rPr>
        <w:t>），以供今后修订时参考。</w:t>
      </w:r>
    </w:p>
    <w:p>
      <w:pPr>
        <w:spacing w:line="360" w:lineRule="auto"/>
        <w:ind w:firstLine="480" w:firstLineChars="200"/>
        <w:rPr>
          <w:sz w:val="24"/>
        </w:rPr>
      </w:pPr>
      <w:r>
        <w:rPr>
          <w:sz w:val="24"/>
        </w:rPr>
        <w:t>本</w:t>
      </w:r>
      <w:r>
        <w:rPr>
          <w:rFonts w:hint="eastAsia"/>
          <w:sz w:val="24"/>
        </w:rPr>
        <w:t>标准</w:t>
      </w:r>
      <w:r>
        <w:rPr>
          <w:sz w:val="24"/>
        </w:rPr>
        <w:t>主编单位：</w:t>
      </w:r>
      <w:r>
        <w:rPr>
          <w:rFonts w:hint="eastAsia"/>
          <w:sz w:val="24"/>
        </w:rPr>
        <w:t>XXXXXXXXXXXXXXX</w:t>
      </w:r>
    </w:p>
    <w:p>
      <w:pPr>
        <w:spacing w:line="360" w:lineRule="auto"/>
        <w:ind w:firstLine="480" w:firstLineChars="200"/>
        <w:rPr>
          <w:sz w:val="24"/>
        </w:rPr>
      </w:pPr>
      <w:r>
        <w:rPr>
          <w:sz w:val="24"/>
        </w:rPr>
        <w:t>本</w:t>
      </w:r>
      <w:r>
        <w:rPr>
          <w:rFonts w:hint="eastAsia"/>
          <w:sz w:val="24"/>
        </w:rPr>
        <w:t>标准</w:t>
      </w:r>
      <w:r>
        <w:rPr>
          <w:sz w:val="24"/>
        </w:rPr>
        <w:t>参编单位：</w:t>
      </w:r>
      <w:r>
        <w:rPr>
          <w:rFonts w:hint="eastAsia"/>
          <w:sz w:val="24"/>
        </w:rPr>
        <w:t>XXXXXXXXXXXXXXX</w:t>
      </w:r>
    </w:p>
    <w:p>
      <w:pPr>
        <w:spacing w:line="360" w:lineRule="auto"/>
        <w:ind w:firstLine="2400" w:firstLineChars="1000"/>
        <w:rPr>
          <w:sz w:val="24"/>
        </w:rPr>
      </w:pPr>
      <w:r>
        <w:rPr>
          <w:rFonts w:hint="eastAsia"/>
          <w:sz w:val="24"/>
        </w:rPr>
        <w:t>XXXXXXXXXXXXXXX</w:t>
      </w:r>
    </w:p>
    <w:p>
      <w:pPr>
        <w:spacing w:line="360" w:lineRule="auto"/>
        <w:ind w:firstLine="2400" w:firstLineChars="1000"/>
        <w:rPr>
          <w:sz w:val="24"/>
        </w:rPr>
      </w:pPr>
      <w:r>
        <w:rPr>
          <w:rFonts w:hint="eastAsia"/>
          <w:sz w:val="24"/>
        </w:rPr>
        <w:t>XXXXXXXXXXXXXXX</w:t>
      </w:r>
    </w:p>
    <w:p>
      <w:pPr>
        <w:spacing w:line="360" w:lineRule="auto"/>
        <w:ind w:firstLine="2400" w:firstLineChars="1000"/>
        <w:rPr>
          <w:sz w:val="24"/>
        </w:rPr>
      </w:pPr>
      <w:r>
        <w:rPr>
          <w:rFonts w:hint="eastAsia"/>
          <w:sz w:val="24"/>
        </w:rPr>
        <w:t>............................................</w:t>
      </w:r>
    </w:p>
    <w:p>
      <w:pPr>
        <w:spacing w:line="360" w:lineRule="auto"/>
        <w:jc w:val="left"/>
        <w:rPr>
          <w:sz w:val="24"/>
        </w:rPr>
      </w:pPr>
    </w:p>
    <w:p>
      <w:pPr>
        <w:spacing w:line="360" w:lineRule="auto"/>
        <w:ind w:firstLine="480" w:firstLineChars="200"/>
        <w:jc w:val="left"/>
        <w:rPr>
          <w:sz w:val="24"/>
        </w:rPr>
      </w:pPr>
      <w:r>
        <w:rPr>
          <w:sz w:val="24"/>
        </w:rPr>
        <w:t>本标准主要起草</w:t>
      </w:r>
      <w:r>
        <w:rPr>
          <w:rFonts w:hint="eastAsia"/>
          <w:sz w:val="24"/>
        </w:rPr>
        <w:t>人员</w:t>
      </w:r>
      <w:r>
        <w:rPr>
          <w:sz w:val="24"/>
        </w:rPr>
        <w:t>：</w:t>
      </w:r>
      <w:r>
        <w:rPr>
          <w:rFonts w:hint="eastAsia"/>
          <w:sz w:val="24"/>
        </w:rPr>
        <w:t>.........</w:t>
      </w:r>
    </w:p>
    <w:p>
      <w:pPr>
        <w:spacing w:line="360" w:lineRule="auto"/>
        <w:ind w:firstLine="480" w:firstLineChars="200"/>
        <w:rPr>
          <w:sz w:val="24"/>
        </w:rPr>
      </w:pPr>
      <w:r>
        <w:rPr>
          <w:rFonts w:hint="eastAsia"/>
          <w:sz w:val="24"/>
        </w:rPr>
        <w:t>本标准主要审查人员：.............</w:t>
      </w:r>
    </w:p>
    <w:p>
      <w:pPr>
        <w:spacing w:line="360" w:lineRule="auto"/>
        <w:ind w:firstLine="480" w:firstLineChars="200"/>
        <w:rPr>
          <w:sz w:val="24"/>
        </w:rPr>
      </w:pPr>
      <w:r>
        <w:rPr>
          <w:rFonts w:hint="eastAsia"/>
          <w:sz w:val="24"/>
        </w:rPr>
        <w:t>本标准业务归口单位主要指导人员：..........................</w:t>
      </w:r>
    </w:p>
    <w:p>
      <w:pPr>
        <w:jc w:val="center"/>
        <w:rPr>
          <w:rFonts w:ascii="Times New Roman" w:hAnsi="Times New Roman" w:cs="Times New Roman"/>
          <w:bCs/>
          <w:sz w:val="24"/>
          <w:szCs w:val="24"/>
        </w:rPr>
      </w:pPr>
      <w:r>
        <w:rPr>
          <w:rFonts w:ascii="Times New Roman" w:hAnsi="Times New Roman" w:cs="Times New Roman"/>
          <w:bCs/>
          <w:sz w:val="24"/>
          <w:szCs w:val="24"/>
        </w:rPr>
        <w:br w:type="page"/>
      </w:r>
    </w:p>
    <w:p>
      <w:pPr>
        <w:pStyle w:val="27"/>
        <w:spacing w:before="480" w:line="276" w:lineRule="auto"/>
        <w:jc w:val="center"/>
        <w:rPr>
          <w:rFonts w:ascii="Times New Roman" w:hAnsi="Times New Roman" w:eastAsia="黑体" w:cs="Times New Roman"/>
          <w:b/>
          <w:bCs/>
          <w:color w:val="auto"/>
          <w:sz w:val="28"/>
          <w:szCs w:val="28"/>
          <w:lang w:val="zh-CN"/>
        </w:rPr>
      </w:pPr>
      <w:r>
        <w:rPr>
          <w:rFonts w:ascii="Times New Roman" w:hAnsi="Times New Roman" w:eastAsia="黑体" w:cs="Times New Roman"/>
          <w:b/>
          <w:bCs/>
          <w:color w:val="auto"/>
          <w:sz w:val="28"/>
          <w:szCs w:val="28"/>
          <w:lang w:val="zh-CN"/>
        </w:rPr>
        <w:t>目</w:t>
      </w:r>
      <w:r>
        <w:rPr>
          <w:rFonts w:hint="eastAsia" w:ascii="Times New Roman" w:hAnsi="Times New Roman" w:eastAsia="黑体" w:cs="Times New Roman"/>
          <w:b/>
          <w:bCs/>
          <w:color w:val="auto"/>
          <w:sz w:val="28"/>
          <w:szCs w:val="28"/>
          <w:lang w:val="zh-CN"/>
        </w:rPr>
        <w:t>次</w:t>
      </w:r>
    </w:p>
    <w:p>
      <w:pPr>
        <w:pStyle w:val="12"/>
        <w:tabs>
          <w:tab w:val="left" w:pos="420"/>
          <w:tab w:val="right" w:leader="dot" w:pos="9628"/>
        </w:tabs>
        <w:rPr>
          <w:rFonts w:ascii="Times New Roman" w:hAnsi="Times New Roman" w:cs="Times New Roman"/>
          <w:caps w:val="0"/>
          <w:sz w:val="24"/>
          <w:szCs w:val="24"/>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"_Toc23437762" </w:instrText>
      </w:r>
      <w:r>
        <w:fldChar w:fldCharType="separate"/>
      </w:r>
      <w:r>
        <w:rPr>
          <w:rFonts w:ascii="Times New Roman" w:hAnsi="Times New Roman" w:cs="Times New Roman"/>
          <w:caps w:val="0"/>
          <w:sz w:val="24"/>
          <w:szCs w:val="24"/>
        </w:rPr>
        <w:t>1</w:t>
      </w:r>
      <w:r>
        <w:rPr>
          <w:rFonts w:ascii="Times New Roman" w:hAnsi="Times New Roman" w:cs="Times New Roman"/>
          <w:caps w:val="0"/>
          <w:sz w:val="24"/>
          <w:szCs w:val="24"/>
        </w:rPr>
        <w:tab/>
      </w:r>
      <w:r>
        <w:rPr>
          <w:rFonts w:hint="eastAsia" w:ascii="Times New Roman" w:hAnsi="Times New Roman" w:cs="Times New Roman"/>
          <w:caps w:val="0"/>
          <w:sz w:val="24"/>
          <w:szCs w:val="24"/>
        </w:rPr>
        <w:t>总则</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_Toc23437762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6</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2"/>
        <w:tabs>
          <w:tab w:val="left" w:pos="420"/>
          <w:tab w:val="right" w:leader="dot" w:pos="9628"/>
        </w:tabs>
        <w:rPr>
          <w:rFonts w:ascii="Times New Roman" w:hAnsi="Times New Roman" w:cs="Times New Roman"/>
          <w:caps w:val="0"/>
          <w:sz w:val="24"/>
          <w:szCs w:val="24"/>
        </w:rPr>
      </w:pPr>
      <w:r>
        <w:fldChar w:fldCharType="begin"/>
      </w:r>
      <w:r>
        <w:instrText xml:space="preserve"> HYPERLINK \l "_Toc23437763" </w:instrText>
      </w:r>
      <w:r>
        <w:fldChar w:fldCharType="separate"/>
      </w:r>
      <w:r>
        <w:rPr>
          <w:caps w:val="0"/>
          <w:sz w:val="24"/>
          <w:szCs w:val="24"/>
        </w:rPr>
        <w:t>2</w:t>
      </w:r>
      <w:r>
        <w:rPr>
          <w:rFonts w:ascii="Times New Roman" w:hAnsi="Times New Roman" w:cs="Times New Roman"/>
          <w:caps w:val="0"/>
          <w:sz w:val="24"/>
          <w:szCs w:val="24"/>
        </w:rPr>
        <w:tab/>
      </w:r>
      <w:r>
        <w:rPr>
          <w:rFonts w:hint="eastAsia" w:ascii="Times New Roman" w:hAnsi="Times New Roman" w:cs="Times New Roman"/>
          <w:caps w:val="0"/>
          <w:sz w:val="24"/>
          <w:szCs w:val="24"/>
        </w:rPr>
        <w:t>术语</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_Toc23437763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7</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2"/>
        <w:tabs>
          <w:tab w:val="left" w:pos="420"/>
          <w:tab w:val="right" w:leader="dot" w:pos="9628"/>
        </w:tabs>
        <w:rPr>
          <w:rFonts w:ascii="Times New Roman" w:hAnsi="Times New Roman" w:cs="Times New Roman"/>
          <w:caps w:val="0"/>
          <w:sz w:val="24"/>
          <w:szCs w:val="24"/>
        </w:rPr>
      </w:pPr>
      <w:r>
        <w:fldChar w:fldCharType="begin"/>
      </w:r>
      <w:r>
        <w:instrText xml:space="preserve"> HYPERLINK \l "_Toc23437764" </w:instrText>
      </w:r>
      <w:r>
        <w:fldChar w:fldCharType="separate"/>
      </w:r>
      <w:r>
        <w:rPr>
          <w:caps w:val="0"/>
          <w:sz w:val="24"/>
          <w:szCs w:val="24"/>
        </w:rPr>
        <w:t>3</w:t>
      </w:r>
      <w:r>
        <w:rPr>
          <w:rFonts w:ascii="Times New Roman" w:hAnsi="Times New Roman" w:cs="Times New Roman"/>
          <w:caps w:val="0"/>
          <w:sz w:val="24"/>
          <w:szCs w:val="24"/>
        </w:rPr>
        <w:tab/>
      </w:r>
      <w:r>
        <w:rPr>
          <w:rFonts w:hint="eastAsia"/>
          <w:caps w:val="0"/>
          <w:sz w:val="24"/>
          <w:szCs w:val="24"/>
        </w:rPr>
        <w:t>基本规定</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_Toc23437764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10</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2"/>
        <w:tabs>
          <w:tab w:val="left" w:pos="420"/>
          <w:tab w:val="right" w:leader="dot" w:pos="9628"/>
        </w:tabs>
        <w:rPr>
          <w:rFonts w:ascii="Times New Roman" w:hAnsi="Times New Roman" w:cs="Times New Roman"/>
          <w:caps w:val="0"/>
          <w:sz w:val="24"/>
          <w:szCs w:val="24"/>
        </w:rPr>
      </w:pPr>
      <w:r>
        <w:fldChar w:fldCharType="begin"/>
      </w:r>
      <w:r>
        <w:instrText xml:space="preserve"> HYPERLINK \l "_Toc23437765" </w:instrText>
      </w:r>
      <w:r>
        <w:fldChar w:fldCharType="separate"/>
      </w:r>
      <w:r>
        <w:rPr>
          <w:caps w:val="0"/>
          <w:sz w:val="24"/>
          <w:szCs w:val="24"/>
        </w:rPr>
        <w:t>4</w:t>
      </w:r>
      <w:r>
        <w:rPr>
          <w:rFonts w:ascii="Times New Roman" w:hAnsi="Times New Roman" w:cs="Times New Roman"/>
          <w:caps w:val="0"/>
          <w:sz w:val="24"/>
          <w:szCs w:val="24"/>
        </w:rPr>
        <w:tab/>
      </w:r>
      <w:r>
        <w:rPr>
          <w:rFonts w:hint="eastAsia"/>
          <w:caps w:val="0"/>
          <w:sz w:val="24"/>
          <w:szCs w:val="24"/>
        </w:rPr>
        <w:t>无障碍设施要求</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_Toc23437765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11</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"_Toc23437766" </w:instrText>
      </w:r>
      <w:r>
        <w:fldChar w:fldCharType="separate"/>
      </w:r>
      <w:r>
        <w:rPr>
          <w:rStyle w:val="24"/>
          <w:rFonts w:ascii="宋体" w:hAnsi="宋体" w:cs="宋体"/>
          <w:b/>
        </w:rPr>
        <w:t>4.1</w:t>
      </w:r>
      <w:r>
        <w:rPr>
          <w:rFonts w:eastAsiaTheme="minorEastAsia" w:cstheme="minorBidi"/>
          <w:smallCaps w:val="0"/>
          <w:sz w:val="21"/>
          <w:szCs w:val="28"/>
          <w:lang w:bidi="mn-Mong-CN"/>
        </w:rPr>
        <w:tab/>
      </w:r>
      <w:r>
        <w:rPr>
          <w:rStyle w:val="24"/>
          <w:rFonts w:hint="eastAsia" w:ascii="宋体" w:hAnsi="宋体"/>
        </w:rPr>
        <w:t>通行类设施</w:t>
      </w:r>
      <w:r>
        <w:tab/>
      </w:r>
      <w:r>
        <w:fldChar w:fldCharType="begin"/>
      </w:r>
      <w:r>
        <w:instrText xml:space="preserve"> PAGEREF _Toc23437766 \h </w:instrText>
      </w:r>
      <w:r>
        <w:fldChar w:fldCharType="separate"/>
      </w:r>
      <w:r>
        <w:t>11</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"_Toc23437767" </w:instrText>
      </w:r>
      <w:r>
        <w:fldChar w:fldCharType="separate"/>
      </w:r>
      <w:r>
        <w:rPr>
          <w:rStyle w:val="24"/>
          <w:rFonts w:ascii="宋体" w:hAnsi="宋体" w:cs="宋体"/>
          <w:b/>
        </w:rPr>
        <w:t>4.2</w:t>
      </w:r>
      <w:r>
        <w:rPr>
          <w:rFonts w:eastAsiaTheme="minorEastAsia" w:cstheme="minorBidi"/>
          <w:smallCaps w:val="0"/>
          <w:sz w:val="21"/>
          <w:szCs w:val="28"/>
          <w:lang w:bidi="mn-Mong-CN"/>
        </w:rPr>
        <w:tab/>
      </w:r>
      <w:r>
        <w:rPr>
          <w:rStyle w:val="24"/>
          <w:rFonts w:hint="eastAsia" w:ascii="宋体" w:hAnsi="宋体"/>
        </w:rPr>
        <w:t>空间类设施</w:t>
      </w:r>
      <w:r>
        <w:tab/>
      </w:r>
      <w:r>
        <w:fldChar w:fldCharType="begin"/>
      </w:r>
      <w:r>
        <w:instrText xml:space="preserve"> PAGEREF _Toc23437767 \h </w:instrText>
      </w:r>
      <w:r>
        <w:fldChar w:fldCharType="separate"/>
      </w:r>
      <w:r>
        <w:t>17</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"_Toc23437768" </w:instrText>
      </w:r>
      <w:r>
        <w:fldChar w:fldCharType="separate"/>
      </w:r>
      <w:r>
        <w:rPr>
          <w:rStyle w:val="24"/>
          <w:rFonts w:ascii="宋体" w:hAnsi="宋体" w:cs="宋体"/>
          <w:b/>
        </w:rPr>
        <w:t>4.3</w:t>
      </w:r>
      <w:r>
        <w:rPr>
          <w:rFonts w:eastAsiaTheme="minorEastAsia" w:cstheme="minorBidi"/>
          <w:smallCaps w:val="0"/>
          <w:sz w:val="21"/>
          <w:szCs w:val="28"/>
          <w:lang w:bidi="mn-Mong-CN"/>
        </w:rPr>
        <w:tab/>
      </w:r>
      <w:r>
        <w:rPr>
          <w:rStyle w:val="24"/>
          <w:rFonts w:hint="eastAsia" w:ascii="宋体" w:hAnsi="宋体"/>
        </w:rPr>
        <w:t>导识类设施</w:t>
      </w:r>
      <w:r>
        <w:tab/>
      </w:r>
      <w:r>
        <w:fldChar w:fldCharType="begin"/>
      </w:r>
      <w:r>
        <w:instrText xml:space="preserve"> PAGEREF _Toc23437768 \h </w:instrText>
      </w:r>
      <w:r>
        <w:fldChar w:fldCharType="separate"/>
      </w:r>
      <w:r>
        <w:t>21</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"_Toc23437769" </w:instrText>
      </w:r>
      <w:r>
        <w:fldChar w:fldCharType="separate"/>
      </w:r>
      <w:r>
        <w:rPr>
          <w:rStyle w:val="24"/>
          <w:rFonts w:ascii="宋体" w:hAnsi="宋体" w:cs="宋体"/>
          <w:b/>
        </w:rPr>
        <w:t>4.4</w:t>
      </w:r>
      <w:r>
        <w:rPr>
          <w:rFonts w:eastAsiaTheme="minorEastAsia" w:cstheme="minorBidi"/>
          <w:smallCaps w:val="0"/>
          <w:sz w:val="21"/>
          <w:szCs w:val="28"/>
          <w:lang w:bidi="mn-Mong-CN"/>
        </w:rPr>
        <w:tab/>
      </w:r>
      <w:r>
        <w:rPr>
          <w:rStyle w:val="24"/>
          <w:rFonts w:hint="eastAsia" w:ascii="宋体" w:hAnsi="宋体"/>
        </w:rPr>
        <w:t>其他类设施</w:t>
      </w:r>
      <w:r>
        <w:tab/>
      </w:r>
      <w:r>
        <w:fldChar w:fldCharType="begin"/>
      </w:r>
      <w:r>
        <w:instrText xml:space="preserve"> PAGEREF _Toc23437769 \h </w:instrText>
      </w:r>
      <w:r>
        <w:fldChar w:fldCharType="separate"/>
      </w:r>
      <w:r>
        <w:t>23</w:t>
      </w:r>
      <w:r>
        <w:fldChar w:fldCharType="end"/>
      </w:r>
      <w:r>
        <w:fldChar w:fldCharType="end"/>
      </w:r>
    </w:p>
    <w:p>
      <w:pPr>
        <w:pStyle w:val="12"/>
        <w:tabs>
          <w:tab w:val="left" w:pos="420"/>
          <w:tab w:val="right" w:leader="dot" w:pos="9628"/>
        </w:tabs>
        <w:rPr>
          <w:rFonts w:ascii="Times New Roman" w:hAnsi="Times New Roman" w:cs="Times New Roman"/>
          <w:caps w:val="0"/>
          <w:sz w:val="24"/>
          <w:szCs w:val="24"/>
        </w:rPr>
      </w:pPr>
      <w:r>
        <w:fldChar w:fldCharType="begin"/>
      </w:r>
      <w:r>
        <w:instrText xml:space="preserve"> HYPERLINK \l "_Toc23437770" </w:instrText>
      </w:r>
      <w:r>
        <w:fldChar w:fldCharType="separate"/>
      </w:r>
      <w:r>
        <w:rPr>
          <w:rFonts w:ascii="Times New Roman" w:hAnsi="Times New Roman" w:cs="Times New Roman"/>
          <w:caps w:val="0"/>
          <w:sz w:val="24"/>
          <w:szCs w:val="24"/>
        </w:rPr>
        <w:t>5</w:t>
      </w:r>
      <w:r>
        <w:rPr>
          <w:rFonts w:ascii="Times New Roman" w:hAnsi="Times New Roman" w:cs="Times New Roman"/>
          <w:caps w:val="0"/>
          <w:sz w:val="24"/>
          <w:szCs w:val="24"/>
        </w:rPr>
        <w:tab/>
      </w:r>
      <w:r>
        <w:rPr>
          <w:rFonts w:hint="eastAsia"/>
          <w:caps w:val="0"/>
          <w:sz w:val="24"/>
          <w:szCs w:val="24"/>
        </w:rPr>
        <w:t>城市道路</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_Toc23437770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27</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"_Toc23437773" </w:instrText>
      </w:r>
      <w:r>
        <w:fldChar w:fldCharType="separate"/>
      </w:r>
      <w:r>
        <w:rPr>
          <w:rStyle w:val="24"/>
          <w:rFonts w:ascii="宋体" w:hAnsi="宋体" w:cs="宋体"/>
          <w:b/>
        </w:rPr>
        <w:t>5.1</w:t>
      </w:r>
      <w:r>
        <w:rPr>
          <w:rFonts w:eastAsiaTheme="minorEastAsia" w:cstheme="minorBidi"/>
          <w:smallCaps w:val="0"/>
          <w:sz w:val="21"/>
          <w:szCs w:val="28"/>
          <w:lang w:bidi="mn-Mong-CN"/>
        </w:rPr>
        <w:tab/>
      </w:r>
      <w:r>
        <w:rPr>
          <w:rStyle w:val="24"/>
          <w:rFonts w:hint="eastAsia" w:ascii="宋体" w:hAnsi="宋体"/>
        </w:rPr>
        <w:t>一般规定</w:t>
      </w:r>
      <w:r>
        <w:tab/>
      </w:r>
      <w:r>
        <w:fldChar w:fldCharType="begin"/>
      </w:r>
      <w:r>
        <w:instrText xml:space="preserve"> PAGEREF _Toc23437773 \h </w:instrText>
      </w:r>
      <w:r>
        <w:fldChar w:fldCharType="separate"/>
      </w:r>
      <w:r>
        <w:t>27</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"_Toc23437774" </w:instrText>
      </w:r>
      <w:r>
        <w:fldChar w:fldCharType="separate"/>
      </w:r>
      <w:r>
        <w:rPr>
          <w:rStyle w:val="24"/>
          <w:rFonts w:ascii="宋体" w:hAnsi="宋体" w:cs="宋体"/>
          <w:b/>
        </w:rPr>
        <w:t>5.2</w:t>
      </w:r>
      <w:r>
        <w:rPr>
          <w:rFonts w:eastAsiaTheme="minorEastAsia" w:cstheme="minorBidi"/>
          <w:smallCaps w:val="0"/>
          <w:sz w:val="21"/>
          <w:szCs w:val="28"/>
          <w:lang w:bidi="mn-Mong-CN"/>
        </w:rPr>
        <w:tab/>
      </w:r>
      <w:r>
        <w:rPr>
          <w:rStyle w:val="24"/>
          <w:rFonts w:hint="eastAsia" w:ascii="宋体" w:hAnsi="宋体"/>
        </w:rPr>
        <w:t>人行道</w:t>
      </w:r>
      <w:r>
        <w:tab/>
      </w:r>
      <w:r>
        <w:fldChar w:fldCharType="begin"/>
      </w:r>
      <w:r>
        <w:instrText xml:space="preserve"> PAGEREF _Toc23437774 \h </w:instrText>
      </w:r>
      <w:r>
        <w:fldChar w:fldCharType="separate"/>
      </w:r>
      <w:r>
        <w:t>27</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"_Toc23437775" </w:instrText>
      </w:r>
      <w:r>
        <w:fldChar w:fldCharType="separate"/>
      </w:r>
      <w:r>
        <w:rPr>
          <w:rStyle w:val="24"/>
          <w:rFonts w:ascii="宋体" w:hAnsi="宋体"/>
          <w:b/>
        </w:rPr>
        <w:t>5.3</w:t>
      </w:r>
      <w:r>
        <w:rPr>
          <w:rFonts w:eastAsiaTheme="minorEastAsia" w:cstheme="minorBidi"/>
          <w:smallCaps w:val="0"/>
          <w:sz w:val="21"/>
          <w:szCs w:val="28"/>
          <w:lang w:bidi="mn-Mong-CN"/>
        </w:rPr>
        <w:tab/>
      </w:r>
      <w:r>
        <w:rPr>
          <w:rStyle w:val="24"/>
          <w:rFonts w:hint="eastAsia" w:ascii="宋体" w:hAnsi="宋体"/>
        </w:rPr>
        <w:t>人行横道</w:t>
      </w:r>
      <w:r>
        <w:tab/>
      </w:r>
      <w:r>
        <w:fldChar w:fldCharType="begin"/>
      </w:r>
      <w:r>
        <w:instrText xml:space="preserve"> PAGEREF _Toc23437775 \h </w:instrText>
      </w:r>
      <w:r>
        <w:fldChar w:fldCharType="separate"/>
      </w:r>
      <w:r>
        <w:t>28</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"_Toc23437776" </w:instrText>
      </w:r>
      <w:r>
        <w:fldChar w:fldCharType="separate"/>
      </w:r>
      <w:r>
        <w:rPr>
          <w:rStyle w:val="24"/>
          <w:rFonts w:ascii="宋体" w:hAnsi="宋体"/>
          <w:b/>
        </w:rPr>
        <w:t>5.4</w:t>
      </w:r>
      <w:r>
        <w:rPr>
          <w:rFonts w:eastAsiaTheme="minorEastAsia" w:cstheme="minorBidi"/>
          <w:smallCaps w:val="0"/>
          <w:sz w:val="21"/>
          <w:szCs w:val="28"/>
          <w:lang w:bidi="mn-Mong-CN"/>
        </w:rPr>
        <w:tab/>
      </w:r>
      <w:r>
        <w:rPr>
          <w:rStyle w:val="24"/>
          <w:rFonts w:hint="eastAsia" w:ascii="宋体" w:hAnsi="宋体"/>
        </w:rPr>
        <w:t>人行天桥及地道</w:t>
      </w:r>
      <w:r>
        <w:tab/>
      </w:r>
      <w:r>
        <w:fldChar w:fldCharType="begin"/>
      </w:r>
      <w:r>
        <w:instrText xml:space="preserve"> PAGEREF _Toc23437776 \h </w:instrText>
      </w:r>
      <w:r>
        <w:fldChar w:fldCharType="separate"/>
      </w:r>
      <w:r>
        <w:t>29</w:t>
      </w:r>
      <w:r>
        <w:fldChar w:fldCharType="end"/>
      </w:r>
      <w:r>
        <w:fldChar w:fldCharType="end"/>
      </w:r>
    </w:p>
    <w:p>
      <w:pPr>
        <w:pStyle w:val="12"/>
        <w:tabs>
          <w:tab w:val="left" w:pos="420"/>
          <w:tab w:val="right" w:leader="dot" w:pos="9628"/>
        </w:tabs>
        <w:rPr>
          <w:rFonts w:ascii="Times New Roman" w:hAnsi="Times New Roman" w:cs="Times New Roman"/>
          <w:caps w:val="0"/>
          <w:sz w:val="24"/>
          <w:szCs w:val="24"/>
        </w:rPr>
      </w:pPr>
      <w:r>
        <w:fldChar w:fldCharType="begin"/>
      </w:r>
      <w:r>
        <w:instrText xml:space="preserve"> HYPERLINK \l "_Toc23437777" </w:instrText>
      </w:r>
      <w:r>
        <w:fldChar w:fldCharType="separate"/>
      </w:r>
      <w:r>
        <w:rPr>
          <w:rFonts w:ascii="Times New Roman" w:hAnsi="Times New Roman" w:cs="Times New Roman"/>
          <w:caps w:val="0"/>
          <w:sz w:val="24"/>
          <w:szCs w:val="24"/>
        </w:rPr>
        <w:t>6</w:t>
      </w:r>
      <w:r>
        <w:rPr>
          <w:rFonts w:ascii="Times New Roman" w:hAnsi="Times New Roman" w:cs="Times New Roman"/>
          <w:caps w:val="0"/>
          <w:sz w:val="24"/>
          <w:szCs w:val="24"/>
        </w:rPr>
        <w:tab/>
      </w:r>
      <w:r>
        <w:rPr>
          <w:rFonts w:hint="eastAsia"/>
          <w:caps w:val="0"/>
          <w:sz w:val="24"/>
          <w:szCs w:val="24"/>
        </w:rPr>
        <w:t>城市广场</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_Toc23437777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30</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"_Toc23437779" </w:instrText>
      </w:r>
      <w:r>
        <w:fldChar w:fldCharType="separate"/>
      </w:r>
      <w:r>
        <w:rPr>
          <w:rStyle w:val="24"/>
          <w:rFonts w:ascii="宋体" w:hAnsi="宋体"/>
          <w:b/>
        </w:rPr>
        <w:t>6.1</w:t>
      </w:r>
      <w:r>
        <w:rPr>
          <w:rFonts w:eastAsiaTheme="minorEastAsia" w:cstheme="minorBidi"/>
          <w:smallCaps w:val="0"/>
          <w:sz w:val="21"/>
          <w:szCs w:val="28"/>
          <w:lang w:bidi="mn-Mong-CN"/>
        </w:rPr>
        <w:tab/>
      </w:r>
      <w:r>
        <w:rPr>
          <w:rStyle w:val="24"/>
          <w:rFonts w:hint="eastAsia" w:ascii="宋体" w:hAnsi="宋体"/>
        </w:rPr>
        <w:t>一般规定</w:t>
      </w:r>
      <w:r>
        <w:tab/>
      </w:r>
      <w:r>
        <w:fldChar w:fldCharType="begin"/>
      </w:r>
      <w:r>
        <w:instrText xml:space="preserve"> PAGEREF _Toc23437779 \h </w:instrText>
      </w:r>
      <w:r>
        <w:fldChar w:fldCharType="separate"/>
      </w:r>
      <w:r>
        <w:t>30</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"_Toc23437780" </w:instrText>
      </w:r>
      <w:r>
        <w:fldChar w:fldCharType="separate"/>
      </w:r>
      <w:r>
        <w:rPr>
          <w:rStyle w:val="24"/>
          <w:rFonts w:ascii="宋体" w:hAnsi="宋体"/>
          <w:b/>
        </w:rPr>
        <w:t>6.2</w:t>
      </w:r>
      <w:r>
        <w:rPr>
          <w:rFonts w:eastAsiaTheme="minorEastAsia" w:cstheme="minorBidi"/>
          <w:smallCaps w:val="0"/>
          <w:sz w:val="21"/>
          <w:szCs w:val="28"/>
          <w:lang w:bidi="mn-Mong-CN"/>
        </w:rPr>
        <w:tab/>
      </w:r>
      <w:r>
        <w:rPr>
          <w:rStyle w:val="24"/>
          <w:rFonts w:hint="eastAsia" w:ascii="宋体" w:hAnsi="宋体"/>
        </w:rPr>
        <w:t>技术要求</w:t>
      </w:r>
      <w:r>
        <w:tab/>
      </w:r>
      <w:r>
        <w:fldChar w:fldCharType="begin"/>
      </w:r>
      <w:r>
        <w:instrText xml:space="preserve"> PAGEREF _Toc23437780 \h </w:instrText>
      </w:r>
      <w:r>
        <w:fldChar w:fldCharType="separate"/>
      </w:r>
      <w:r>
        <w:t>30</w:t>
      </w:r>
      <w:r>
        <w:fldChar w:fldCharType="end"/>
      </w:r>
      <w:r>
        <w:fldChar w:fldCharType="end"/>
      </w:r>
    </w:p>
    <w:p>
      <w:pPr>
        <w:pStyle w:val="12"/>
        <w:tabs>
          <w:tab w:val="left" w:pos="420"/>
          <w:tab w:val="right" w:leader="dot" w:pos="9628"/>
        </w:tabs>
        <w:rPr>
          <w:rFonts w:ascii="Times New Roman" w:hAnsi="Times New Roman" w:cs="Times New Roman"/>
          <w:caps w:val="0"/>
          <w:sz w:val="24"/>
          <w:szCs w:val="24"/>
        </w:rPr>
      </w:pPr>
      <w:r>
        <w:fldChar w:fldCharType="begin"/>
      </w:r>
      <w:r>
        <w:instrText xml:space="preserve"> HYPERLINK \l "_Toc23437781" </w:instrText>
      </w:r>
      <w:r>
        <w:fldChar w:fldCharType="separate"/>
      </w:r>
      <w:r>
        <w:rPr>
          <w:rFonts w:ascii="Times New Roman" w:hAnsi="Times New Roman" w:cs="Times New Roman"/>
          <w:caps w:val="0"/>
          <w:sz w:val="24"/>
          <w:szCs w:val="24"/>
        </w:rPr>
        <w:t>7</w:t>
      </w:r>
      <w:r>
        <w:rPr>
          <w:rFonts w:ascii="Times New Roman" w:hAnsi="Times New Roman" w:cs="Times New Roman"/>
          <w:caps w:val="0"/>
          <w:sz w:val="24"/>
          <w:szCs w:val="24"/>
        </w:rPr>
        <w:tab/>
      </w:r>
      <w:r>
        <w:rPr>
          <w:rFonts w:hint="eastAsia"/>
          <w:caps w:val="0"/>
          <w:sz w:val="24"/>
          <w:szCs w:val="24"/>
        </w:rPr>
        <w:t>城市绿地</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_Toc23437781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33</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"_Toc23437783" </w:instrText>
      </w:r>
      <w:r>
        <w:fldChar w:fldCharType="separate"/>
      </w:r>
      <w:r>
        <w:rPr>
          <w:rStyle w:val="24"/>
          <w:rFonts w:ascii="宋体" w:hAnsi="宋体"/>
          <w:b/>
        </w:rPr>
        <w:t>7.1</w:t>
      </w:r>
      <w:r>
        <w:rPr>
          <w:rFonts w:eastAsiaTheme="minorEastAsia" w:cstheme="minorBidi"/>
          <w:smallCaps w:val="0"/>
          <w:sz w:val="21"/>
          <w:szCs w:val="28"/>
          <w:lang w:bidi="mn-Mong-CN"/>
        </w:rPr>
        <w:tab/>
      </w:r>
      <w:r>
        <w:rPr>
          <w:rStyle w:val="24"/>
          <w:rFonts w:hint="eastAsia" w:ascii="宋体" w:hAnsi="宋体"/>
        </w:rPr>
        <w:t>一般规定</w:t>
      </w:r>
      <w:r>
        <w:tab/>
      </w:r>
      <w:r>
        <w:fldChar w:fldCharType="begin"/>
      </w:r>
      <w:r>
        <w:instrText xml:space="preserve"> PAGEREF _Toc23437783 \h </w:instrText>
      </w:r>
      <w:r>
        <w:fldChar w:fldCharType="separate"/>
      </w:r>
      <w:r>
        <w:t>33</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"_Toc23437784" </w:instrText>
      </w:r>
      <w:r>
        <w:fldChar w:fldCharType="separate"/>
      </w:r>
      <w:r>
        <w:rPr>
          <w:rStyle w:val="24"/>
          <w:rFonts w:ascii="宋体" w:hAnsi="宋体"/>
          <w:b/>
        </w:rPr>
        <w:t>7.2</w:t>
      </w:r>
      <w:r>
        <w:rPr>
          <w:rFonts w:eastAsiaTheme="minorEastAsia" w:cstheme="minorBidi"/>
          <w:smallCaps w:val="0"/>
          <w:sz w:val="21"/>
          <w:szCs w:val="28"/>
          <w:lang w:bidi="mn-Mong-CN"/>
        </w:rPr>
        <w:tab/>
      </w:r>
      <w:r>
        <w:rPr>
          <w:rStyle w:val="24"/>
          <w:rFonts w:hint="eastAsia" w:ascii="宋体" w:hAnsi="宋体"/>
        </w:rPr>
        <w:t>技术要求</w:t>
      </w:r>
      <w:r>
        <w:tab/>
      </w:r>
      <w:r>
        <w:fldChar w:fldCharType="begin"/>
      </w:r>
      <w:r>
        <w:instrText xml:space="preserve"> PAGEREF _Toc23437784 \h </w:instrText>
      </w:r>
      <w:r>
        <w:fldChar w:fldCharType="separate"/>
      </w:r>
      <w:r>
        <w:t>33</w:t>
      </w:r>
      <w:r>
        <w:fldChar w:fldCharType="end"/>
      </w:r>
      <w:r>
        <w:fldChar w:fldCharType="end"/>
      </w:r>
    </w:p>
    <w:p>
      <w:pPr>
        <w:pStyle w:val="12"/>
        <w:tabs>
          <w:tab w:val="left" w:pos="420"/>
          <w:tab w:val="right" w:leader="dot" w:pos="9628"/>
        </w:tabs>
        <w:rPr>
          <w:rFonts w:ascii="Times New Roman" w:hAnsi="Times New Roman" w:cs="Times New Roman"/>
          <w:caps w:val="0"/>
          <w:sz w:val="24"/>
          <w:szCs w:val="24"/>
        </w:rPr>
      </w:pPr>
      <w:r>
        <w:fldChar w:fldCharType="begin"/>
      </w:r>
      <w:r>
        <w:instrText xml:space="preserve"> HYPERLINK \l "_Toc23437785" </w:instrText>
      </w:r>
      <w:r>
        <w:fldChar w:fldCharType="separate"/>
      </w:r>
      <w:r>
        <w:rPr>
          <w:rFonts w:ascii="Times New Roman" w:hAnsi="Times New Roman" w:cs="Times New Roman"/>
          <w:caps w:val="0"/>
          <w:sz w:val="24"/>
          <w:szCs w:val="24"/>
        </w:rPr>
        <w:t>8</w:t>
      </w:r>
      <w:r>
        <w:rPr>
          <w:rFonts w:ascii="Times New Roman" w:hAnsi="Times New Roman" w:cs="Times New Roman"/>
          <w:caps w:val="0"/>
          <w:sz w:val="24"/>
          <w:szCs w:val="24"/>
        </w:rPr>
        <w:tab/>
      </w:r>
      <w:r>
        <w:rPr>
          <w:rFonts w:hint="eastAsia"/>
          <w:caps w:val="0"/>
          <w:sz w:val="24"/>
          <w:szCs w:val="24"/>
        </w:rPr>
        <w:t>建筑工程</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_Toc23437785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40</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"_Toc23437787" </w:instrText>
      </w:r>
      <w:r>
        <w:fldChar w:fldCharType="separate"/>
      </w:r>
      <w:r>
        <w:rPr>
          <w:rStyle w:val="24"/>
          <w:rFonts w:ascii="宋体" w:hAnsi="宋体"/>
          <w:b/>
        </w:rPr>
        <w:t>8.1</w:t>
      </w:r>
      <w:r>
        <w:rPr>
          <w:rFonts w:eastAsiaTheme="minorEastAsia" w:cstheme="minorBidi"/>
          <w:smallCaps w:val="0"/>
          <w:sz w:val="21"/>
          <w:szCs w:val="28"/>
          <w:lang w:bidi="mn-Mong-CN"/>
        </w:rPr>
        <w:tab/>
      </w:r>
      <w:r>
        <w:rPr>
          <w:rStyle w:val="24"/>
          <w:rFonts w:hint="eastAsia" w:ascii="宋体" w:hAnsi="宋体"/>
        </w:rPr>
        <w:t>一般规定</w:t>
      </w:r>
      <w:r>
        <w:tab/>
      </w:r>
      <w:r>
        <w:fldChar w:fldCharType="begin"/>
      </w:r>
      <w:r>
        <w:instrText xml:space="preserve"> PAGEREF _Toc23437787 \h </w:instrText>
      </w:r>
      <w:r>
        <w:fldChar w:fldCharType="separate"/>
      </w:r>
      <w:r>
        <w:t>40</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"_Toc23437788" </w:instrText>
      </w:r>
      <w:r>
        <w:fldChar w:fldCharType="separate"/>
      </w:r>
      <w:r>
        <w:rPr>
          <w:rStyle w:val="24"/>
          <w:rFonts w:asciiTheme="majorEastAsia" w:hAnsiTheme="majorEastAsia" w:eastAsiaTheme="majorEastAsia"/>
          <w:b/>
        </w:rPr>
        <w:t>8.2</w:t>
      </w:r>
      <w:r>
        <w:rPr>
          <w:rFonts w:eastAsiaTheme="minorEastAsia" w:cstheme="minorBidi"/>
          <w:smallCaps w:val="0"/>
          <w:sz w:val="21"/>
          <w:szCs w:val="28"/>
          <w:lang w:bidi="mn-Mong-CN"/>
        </w:rPr>
        <w:tab/>
      </w:r>
      <w:r>
        <w:rPr>
          <w:rStyle w:val="24"/>
          <w:rFonts w:hint="eastAsia" w:asciiTheme="majorEastAsia" w:hAnsiTheme="majorEastAsia" w:eastAsiaTheme="majorEastAsia"/>
        </w:rPr>
        <w:t>居住建筑</w:t>
      </w:r>
      <w:r>
        <w:tab/>
      </w:r>
      <w:r>
        <w:fldChar w:fldCharType="begin"/>
      </w:r>
      <w:r>
        <w:instrText xml:space="preserve"> PAGEREF _Toc23437788 \h </w:instrText>
      </w:r>
      <w:r>
        <w:fldChar w:fldCharType="separate"/>
      </w:r>
      <w:r>
        <w:t>40</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"_Toc23437789" </w:instrText>
      </w:r>
      <w:r>
        <w:fldChar w:fldCharType="separate"/>
      </w:r>
      <w:r>
        <w:rPr>
          <w:rStyle w:val="24"/>
          <w:rFonts w:ascii="宋体" w:hAnsi="宋体" w:cs="宋体"/>
          <w:b/>
        </w:rPr>
        <w:t>8.3</w:t>
      </w:r>
      <w:r>
        <w:rPr>
          <w:rFonts w:eastAsiaTheme="minorEastAsia" w:cstheme="minorBidi"/>
          <w:smallCaps w:val="0"/>
          <w:sz w:val="21"/>
          <w:szCs w:val="28"/>
          <w:lang w:bidi="mn-Mong-CN"/>
        </w:rPr>
        <w:tab/>
      </w:r>
      <w:r>
        <w:rPr>
          <w:rStyle w:val="24"/>
          <w:rFonts w:hint="eastAsia" w:ascii="宋体" w:hAnsi="宋体" w:cs="宋体"/>
        </w:rPr>
        <w:t>公共建筑</w:t>
      </w:r>
      <w:r>
        <w:tab/>
      </w:r>
      <w:r>
        <w:fldChar w:fldCharType="begin"/>
      </w:r>
      <w:r>
        <w:instrText xml:space="preserve"> PAGEREF _Toc23437789 \h </w:instrText>
      </w:r>
      <w:r>
        <w:fldChar w:fldCharType="separate"/>
      </w:r>
      <w:r>
        <w:t>42</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"_Toc23437790" </w:instrText>
      </w:r>
      <w:r>
        <w:fldChar w:fldCharType="separate"/>
      </w:r>
      <w:r>
        <w:rPr>
          <w:rStyle w:val="24"/>
          <w:rFonts w:ascii="宋体" w:hAnsi="宋体" w:cs="宋体"/>
          <w:b/>
        </w:rPr>
        <w:t>8.4</w:t>
      </w:r>
      <w:r>
        <w:rPr>
          <w:rFonts w:eastAsiaTheme="minorEastAsia" w:cstheme="minorBidi"/>
          <w:smallCaps w:val="0"/>
          <w:sz w:val="21"/>
          <w:szCs w:val="28"/>
          <w:lang w:bidi="mn-Mong-CN"/>
        </w:rPr>
        <w:tab/>
      </w:r>
      <w:r>
        <w:rPr>
          <w:rStyle w:val="24"/>
          <w:rFonts w:hint="eastAsia" w:ascii="宋体" w:hAnsi="宋体" w:cs="宋体"/>
        </w:rPr>
        <w:t>工业建筑</w:t>
      </w:r>
      <w:r>
        <w:tab/>
      </w:r>
      <w:r>
        <w:fldChar w:fldCharType="begin"/>
      </w:r>
      <w:r>
        <w:instrText xml:space="preserve"> PAGEREF _Toc23437790 \h </w:instrText>
      </w:r>
      <w:r>
        <w:fldChar w:fldCharType="separate"/>
      </w:r>
      <w:r>
        <w:t>50</w:t>
      </w:r>
      <w:r>
        <w:fldChar w:fldCharType="end"/>
      </w:r>
      <w:r>
        <w:fldChar w:fldCharType="end"/>
      </w:r>
    </w:p>
    <w:p>
      <w:pPr>
        <w:pStyle w:val="15"/>
        <w:tabs>
          <w:tab w:val="left" w:pos="840"/>
          <w:tab w:val="right" w:leader="dot" w:pos="9628"/>
        </w:tabs>
        <w:rPr>
          <w:rFonts w:eastAsiaTheme="minorEastAsia" w:cstheme="minorBidi"/>
          <w:smallCaps w:val="0"/>
          <w:sz w:val="21"/>
          <w:szCs w:val="28"/>
          <w:lang w:bidi="mn-Mong-CN"/>
        </w:rPr>
      </w:pPr>
      <w:r>
        <w:fldChar w:fldCharType="begin"/>
      </w:r>
      <w:r>
        <w:instrText xml:space="preserve"> HYPERLINK \l "_Toc23437791" </w:instrText>
      </w:r>
      <w:r>
        <w:fldChar w:fldCharType="separate"/>
      </w:r>
      <w:r>
        <w:rPr>
          <w:rStyle w:val="24"/>
          <w:rFonts w:ascii="宋体" w:hAnsi="宋体" w:cs="宋体"/>
          <w:b/>
        </w:rPr>
        <w:t>8.5</w:t>
      </w:r>
      <w:r>
        <w:rPr>
          <w:rFonts w:eastAsiaTheme="minorEastAsia" w:cstheme="minorBidi"/>
          <w:smallCaps w:val="0"/>
          <w:sz w:val="21"/>
          <w:szCs w:val="28"/>
          <w:lang w:bidi="mn-Mong-CN"/>
        </w:rPr>
        <w:tab/>
      </w:r>
      <w:r>
        <w:rPr>
          <w:rStyle w:val="24"/>
          <w:rFonts w:hint="eastAsia" w:ascii="宋体" w:hAnsi="宋体" w:cs="宋体"/>
        </w:rPr>
        <w:t>其他建筑及工程</w:t>
      </w:r>
      <w:r>
        <w:tab/>
      </w:r>
      <w:r>
        <w:fldChar w:fldCharType="begin"/>
      </w:r>
      <w:r>
        <w:instrText xml:space="preserve"> PAGEREF _Toc23437791 \h </w:instrText>
      </w:r>
      <w:r>
        <w:fldChar w:fldCharType="separate"/>
      </w:r>
      <w:r>
        <w:t>52</w:t>
      </w:r>
      <w:r>
        <w:fldChar w:fldCharType="end"/>
      </w:r>
      <w:r>
        <w:fldChar w:fldCharType="end"/>
      </w:r>
    </w:p>
    <w:p>
      <w:pPr>
        <w:pStyle w:val="12"/>
        <w:tabs>
          <w:tab w:val="right" w:leader="dot" w:pos="9628"/>
        </w:tabs>
        <w:rPr>
          <w:rFonts w:ascii="Times New Roman" w:hAnsi="Times New Roman" w:cs="Times New Roman"/>
          <w:caps w:val="0"/>
          <w:sz w:val="24"/>
          <w:szCs w:val="24"/>
        </w:rPr>
      </w:pPr>
      <w:r>
        <w:fldChar w:fldCharType="begin"/>
      </w:r>
      <w:r>
        <w:instrText xml:space="preserve"> HYPERLINK \l "_Toc23437792" </w:instrText>
      </w:r>
      <w:r>
        <w:fldChar w:fldCharType="separate"/>
      </w:r>
      <w:r>
        <w:rPr>
          <w:rFonts w:hint="eastAsia"/>
          <w:caps w:val="0"/>
          <w:sz w:val="24"/>
          <w:szCs w:val="24"/>
        </w:rPr>
        <w:t>本标准用词说明</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_Toc23437792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56</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pStyle w:val="12"/>
        <w:tabs>
          <w:tab w:val="right" w:leader="dot" w:pos="9628"/>
        </w:tabs>
        <w:rPr>
          <w:rFonts w:ascii="Times New Roman" w:hAnsi="Times New Roman" w:cs="Times New Roman"/>
          <w:caps w:val="0"/>
          <w:sz w:val="24"/>
          <w:szCs w:val="24"/>
        </w:rPr>
      </w:pPr>
      <w:r>
        <w:fldChar w:fldCharType="begin"/>
      </w:r>
      <w:r>
        <w:instrText xml:space="preserve"> HYPERLINK \l "_Toc23437793" </w:instrText>
      </w:r>
      <w:r>
        <w:fldChar w:fldCharType="separate"/>
      </w:r>
      <w:r>
        <w:rPr>
          <w:rFonts w:hint="eastAsia"/>
          <w:caps w:val="0"/>
          <w:sz w:val="24"/>
          <w:szCs w:val="24"/>
        </w:rPr>
        <w:t>引用标准名录</w:t>
      </w:r>
      <w:r>
        <w:rPr>
          <w:rFonts w:ascii="Times New Roman" w:hAnsi="Times New Roman" w:cs="Times New Roman"/>
          <w:caps w:val="0"/>
          <w:sz w:val="24"/>
          <w:szCs w:val="24"/>
        </w:rPr>
        <w:tab/>
      </w: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PAGEREF _Toc23437793 \h </w:instrText>
      </w:r>
      <w:r>
        <w:rPr>
          <w:rFonts w:ascii="Times New Roman" w:hAnsi="Times New Roman" w:cs="Times New Roman"/>
          <w:caps w:val="0"/>
          <w:sz w:val="24"/>
          <w:szCs w:val="24"/>
        </w:rPr>
        <w:fldChar w:fldCharType="separate"/>
      </w:r>
      <w:r>
        <w:rPr>
          <w:rFonts w:ascii="Times New Roman" w:hAnsi="Times New Roman" w:cs="Times New Roman"/>
          <w:caps w:val="0"/>
          <w:sz w:val="24"/>
          <w:szCs w:val="24"/>
        </w:rPr>
        <w:t>57</w:t>
      </w:r>
      <w:r>
        <w:rPr>
          <w:rFonts w:ascii="Times New Roman" w:hAnsi="Times New Roman" w:cs="Times New Roman"/>
          <w:caps w:val="0"/>
          <w:sz w:val="24"/>
          <w:szCs w:val="24"/>
        </w:rPr>
        <w:fldChar w:fldCharType="end"/>
      </w:r>
      <w:r>
        <w:rPr>
          <w:rFonts w:ascii="Times New Roman" w:hAnsi="Times New Roman" w:cs="Times New Roman"/>
          <w:caps w:val="0"/>
          <w:sz w:val="24"/>
          <w:szCs w:val="24"/>
        </w:rPr>
        <w:fldChar w:fldCharType="end"/>
      </w:r>
    </w:p>
    <w:p>
      <w:pPr>
        <w:rPr>
          <w:rFonts w:hint="eastAsia"/>
        </w:rPr>
      </w:pPr>
      <w:r>
        <w:fldChar w:fldCharType="end"/>
      </w:r>
    </w:p>
    <w:p>
      <w:pPr>
        <w:pStyle w:val="27"/>
        <w:spacing w:before="480" w:line="276" w:lineRule="auto"/>
        <w:jc w:val="center"/>
        <w:rPr>
          <w:rFonts w:ascii="Times New Roman" w:hAnsi="Times New Roman" w:cs="Times New Roman"/>
          <w:b/>
        </w:rPr>
      </w:pPr>
      <w:r>
        <w:rPr>
          <w:rFonts w:ascii="Times New Roman" w:hAnsi="Times New Roman" w:cs="Times New Roman"/>
          <w:b/>
        </w:rPr>
        <w:br w:type="page"/>
      </w:r>
      <w:r>
        <w:rPr>
          <w:rFonts w:ascii="Times New Roman" w:hAnsi="Times New Roman" w:eastAsia="黑体" w:cs="Times New Roman"/>
          <w:b/>
          <w:bCs/>
          <w:color w:val="auto"/>
          <w:sz w:val="28"/>
          <w:szCs w:val="28"/>
        </w:rPr>
        <w:t>Contents</w:t>
      </w:r>
    </w:p>
    <w:p>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pPr>
        <w:pStyle w:val="32"/>
        <w:numPr>
          <w:ilvl w:val="0"/>
          <w:numId w:val="1"/>
        </w:numPr>
        <w:spacing w:line="360" w:lineRule="auto"/>
        <w:ind w:firstLineChars="0"/>
        <w:jc w:val="center"/>
        <w:outlineLvl w:val="0"/>
        <w:rPr>
          <w:rFonts w:ascii="Times New Roman" w:hAnsi="Times New Roman" w:cs="Times New Roman"/>
          <w:b/>
          <w:bCs/>
          <w:sz w:val="32"/>
          <w:szCs w:val="32"/>
        </w:rPr>
      </w:pPr>
      <w:bookmarkStart w:id="0" w:name="_Toc16013393"/>
      <w:bookmarkStart w:id="1" w:name="_Toc9963939"/>
      <w:bookmarkStart w:id="2" w:name="_Toc16013263"/>
      <w:bookmarkStart w:id="3" w:name="_Toc13423443"/>
      <w:bookmarkStart w:id="4" w:name="_Toc15592493"/>
      <w:bookmarkStart w:id="5" w:name="_Toc17739937"/>
      <w:bookmarkStart w:id="6" w:name="_Toc15577121"/>
      <w:bookmarkStart w:id="7" w:name="_Toc23437762"/>
      <w:bookmarkStart w:id="8" w:name="_Toc20420174"/>
      <w:bookmarkStart w:id="9" w:name="_Toc533506222"/>
      <w:bookmarkStart w:id="10" w:name="_Toc533441650"/>
      <w:bookmarkStart w:id="11" w:name="_Toc15479095"/>
      <w:bookmarkStart w:id="12" w:name="_Toc15478887"/>
      <w:bookmarkStart w:id="13" w:name="_Toc9935221"/>
      <w:r>
        <w:rPr>
          <w:rFonts w:ascii="Times New Roman" w:hAnsi="Times New Roman" w:cs="Times New Roman"/>
          <w:b/>
          <w:bCs/>
          <w:sz w:val="32"/>
          <w:szCs w:val="32"/>
        </w:rPr>
        <w:t>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32"/>
        <w:numPr>
          <w:ilvl w:val="2"/>
          <w:numId w:val="2"/>
        </w:numPr>
        <w:spacing w:line="360" w:lineRule="auto"/>
        <w:ind w:firstLineChars="0"/>
        <w:jc w:val="left"/>
        <w:outlineLvl w:val="2"/>
        <w:rPr>
          <w:rFonts w:ascii="Times New Roman" w:hAnsi="Times New Roman" w:cs="Times New Roman"/>
          <w:b/>
          <w:bCs/>
          <w:sz w:val="32"/>
          <w:szCs w:val="32"/>
        </w:rPr>
      </w:pPr>
      <w:bookmarkStart w:id="14" w:name="_Toc530690309"/>
      <w:bookmarkStart w:id="15" w:name="_Toc529639410"/>
      <w:bookmarkStart w:id="16" w:name="_Toc531009086"/>
      <w:bookmarkStart w:id="17" w:name="_Toc531008962"/>
      <w:bookmarkStart w:id="18" w:name="_Toc15478888"/>
      <w:bookmarkStart w:id="19" w:name="_Toc523765090"/>
      <w:bookmarkStart w:id="20" w:name="_Toc531013865"/>
      <w:bookmarkStart w:id="21" w:name="_Toc528865503"/>
      <w:bookmarkStart w:id="22" w:name="_Toc523823951"/>
      <w:bookmarkStart w:id="23" w:name="_Toc524207716"/>
      <w:bookmarkStart w:id="24" w:name="_Toc524708378"/>
      <w:bookmarkStart w:id="25" w:name="_Toc524946496"/>
      <w:bookmarkStart w:id="26" w:name="_Toc13423444"/>
      <w:bookmarkStart w:id="27" w:name="_Toc15577122"/>
      <w:bookmarkStart w:id="28" w:name="_Toc9935222"/>
      <w:bookmarkStart w:id="29" w:name="_Toc16013394"/>
      <w:bookmarkStart w:id="30" w:name="_Toc15592494"/>
      <w:bookmarkStart w:id="31" w:name="_Toc16013264"/>
      <w:bookmarkStart w:id="32" w:name="_Toc15479096"/>
      <w:bookmarkStart w:id="33" w:name="_Toc533441651"/>
      <w:bookmarkStart w:id="34" w:name="_Toc378354190"/>
      <w:bookmarkStart w:id="35" w:name="_Toc533506223"/>
      <w:bookmarkStart w:id="36" w:name="_Toc520364026"/>
      <w:bookmarkStart w:id="37" w:name="_Toc17739938"/>
      <w:bookmarkStart w:id="38" w:name="_Toc349912313"/>
      <w:bookmarkStart w:id="39" w:name="_Toc15478892"/>
      <w:bookmarkStart w:id="40" w:name="_Toc9963940"/>
      <w:r>
        <w:rPr>
          <w:rFonts w:hint="eastAsia"/>
        </w:rPr>
        <w:t>为</w:t>
      </w:r>
      <w:r>
        <w:t>建设及规范</w:t>
      </w:r>
      <w:r>
        <w:rPr>
          <w:rFonts w:hint="eastAsia"/>
        </w:rPr>
        <w:t>深圳市</w:t>
      </w:r>
      <w:r>
        <w:t>无障碍环境，提高深圳人民的</w:t>
      </w:r>
      <w:r>
        <w:rPr>
          <w:rFonts w:hint="eastAsia"/>
        </w:rPr>
        <w:t>社会</w:t>
      </w:r>
      <w:r>
        <w:t>生活质量，</w:t>
      </w:r>
      <w:r>
        <w:rPr>
          <w:rFonts w:hint="eastAsia"/>
        </w:rPr>
        <w:t>营造公平、友好的社会</w:t>
      </w:r>
      <w:r>
        <w:t>环境，</w:t>
      </w:r>
      <w:r>
        <w:rPr>
          <w:rFonts w:hint="eastAsia"/>
        </w:rPr>
        <w:t>保障</w:t>
      </w:r>
      <w:r>
        <w:t>安全适用、技术</w:t>
      </w:r>
      <w:r>
        <w:rPr>
          <w:rFonts w:hint="eastAsia"/>
        </w:rPr>
        <w:t>先进</w:t>
      </w:r>
      <w:r>
        <w:t>、经济合理</w:t>
      </w:r>
      <w:r>
        <w:rPr>
          <w:rFonts w:hint="eastAsia"/>
        </w:rPr>
        <w:t>，制定</w:t>
      </w:r>
      <w:r>
        <w:t>本标准。</w:t>
      </w:r>
      <w:bookmarkEnd w:id="14"/>
      <w:bookmarkEnd w:id="15"/>
      <w:bookmarkEnd w:id="16"/>
      <w:bookmarkEnd w:id="17"/>
      <w:bookmarkEnd w:id="18"/>
      <w:bookmarkEnd w:id="19"/>
      <w:bookmarkEnd w:id="20"/>
      <w:bookmarkEnd w:id="21"/>
      <w:bookmarkEnd w:id="22"/>
      <w:bookmarkEnd w:id="23"/>
      <w:bookmarkEnd w:id="24"/>
      <w:bookmarkEnd w:id="25"/>
      <w:bookmarkStart w:id="41" w:name="_Toc523823952"/>
      <w:bookmarkStart w:id="42" w:name="_Toc522463542"/>
      <w:bookmarkStart w:id="43" w:name="_Toc524946497"/>
      <w:bookmarkStart w:id="44" w:name="_Toc524708379"/>
      <w:bookmarkStart w:id="45" w:name="_Toc520298843"/>
      <w:bookmarkStart w:id="46" w:name="_Toc522877812"/>
      <w:bookmarkStart w:id="47" w:name="_Toc528865504"/>
      <w:bookmarkStart w:id="48" w:name="_Toc531009087"/>
      <w:bookmarkStart w:id="49" w:name="_Toc530690310"/>
      <w:bookmarkStart w:id="50" w:name="_Toc15478889"/>
      <w:bookmarkStart w:id="51" w:name="_Toc522463727"/>
      <w:bookmarkStart w:id="52" w:name="_Toc519714988"/>
      <w:bookmarkStart w:id="53" w:name="_Toc523765091"/>
      <w:bookmarkStart w:id="54" w:name="_Toc524207717"/>
      <w:bookmarkStart w:id="55" w:name="_Toc531008963"/>
      <w:bookmarkStart w:id="56" w:name="_Toc531013866"/>
      <w:bookmarkStart w:id="57" w:name="_Toc520364023"/>
      <w:bookmarkStart w:id="58" w:name="_Toc529639411"/>
    </w:p>
    <w:p>
      <w:pPr>
        <w:pStyle w:val="32"/>
        <w:numPr>
          <w:ilvl w:val="2"/>
          <w:numId w:val="2"/>
        </w:numPr>
        <w:spacing w:line="360" w:lineRule="auto"/>
        <w:ind w:firstLineChars="0"/>
        <w:jc w:val="left"/>
        <w:outlineLvl w:val="2"/>
        <w:rPr>
          <w:rFonts w:ascii="Times New Roman" w:hAnsi="Times New Roman" w:cs="Times New Roman"/>
          <w:b/>
          <w:bCs/>
          <w:sz w:val="32"/>
          <w:szCs w:val="32"/>
        </w:rPr>
      </w:pPr>
      <w:r>
        <w:rPr>
          <w:rFonts w:hint="eastAsia"/>
        </w:rPr>
        <w:t>本标准</w:t>
      </w:r>
      <w:r>
        <w:t>适用于深圳市各行政区域新建、改建</w:t>
      </w:r>
      <w:r>
        <w:rPr>
          <w:rFonts w:hint="eastAsia"/>
        </w:rPr>
        <w:t>、</w:t>
      </w:r>
      <w:r>
        <w:t>扩建的</w:t>
      </w:r>
      <w:r>
        <w:rPr>
          <w:rFonts w:hint="eastAsia"/>
        </w:rPr>
        <w:t>城市</w:t>
      </w:r>
      <w:r>
        <w:t>道路、城市广场、公园绿地、</w:t>
      </w:r>
      <w:r>
        <w:rPr>
          <w:rFonts w:hint="eastAsia"/>
        </w:rPr>
        <w:t>建筑工程的无障碍</w:t>
      </w:r>
      <w:r>
        <w:t>设施设计。</w:t>
      </w:r>
      <w:r>
        <w:rPr>
          <w:rFonts w:hint="eastAsia"/>
        </w:rPr>
        <w:t>本标准</w:t>
      </w:r>
      <w:r>
        <w:t>中</w:t>
      </w:r>
      <w:r>
        <w:rPr>
          <w:rFonts w:hint="eastAsia"/>
        </w:rPr>
        <w:t>未</w:t>
      </w:r>
      <w:r>
        <w:t>涉及的有无障碍</w:t>
      </w:r>
      <w:r>
        <w:rPr>
          <w:rFonts w:hint="eastAsia"/>
        </w:rPr>
        <w:t>设计</w:t>
      </w:r>
      <w:r>
        <w:t>需求的</w:t>
      </w:r>
      <w:r>
        <w:rPr>
          <w:rFonts w:hint="eastAsia"/>
        </w:rPr>
        <w:t>建筑工程类型，</w:t>
      </w:r>
      <w:r>
        <w:t>宜</w:t>
      </w:r>
      <w:r>
        <w:rPr>
          <w:rFonts w:hint="eastAsia"/>
        </w:rPr>
        <w:t>按</w:t>
      </w:r>
      <w:r>
        <w:t>本标准中相似类型的</w:t>
      </w:r>
      <w:r>
        <w:rPr>
          <w:rFonts w:hint="eastAsia"/>
        </w:rPr>
        <w:t>设计</w:t>
      </w:r>
      <w:r>
        <w:t>要求执行。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32"/>
        <w:numPr>
          <w:ilvl w:val="2"/>
          <w:numId w:val="2"/>
        </w:numPr>
        <w:spacing w:line="360" w:lineRule="auto"/>
        <w:ind w:firstLineChars="0"/>
        <w:jc w:val="left"/>
        <w:outlineLvl w:val="2"/>
        <w:rPr>
          <w:rFonts w:ascii="Times New Roman" w:hAnsi="Times New Roman" w:cs="Times New Roman"/>
          <w:b/>
          <w:bCs/>
          <w:sz w:val="32"/>
          <w:szCs w:val="32"/>
        </w:rPr>
      </w:pPr>
      <w:r>
        <w:rPr>
          <w:rFonts w:hint="eastAsia"/>
        </w:rPr>
        <w:t>深圳</w:t>
      </w:r>
      <w:r>
        <w:t>市无障碍设计应符合本标准</w:t>
      </w:r>
      <w:r>
        <w:rPr>
          <w:rFonts w:hint="eastAsia"/>
        </w:rPr>
        <w:t>外</w:t>
      </w:r>
      <w:r>
        <w:t>，尚应符合</w:t>
      </w:r>
      <w:r>
        <w:rPr>
          <w:rFonts w:hint="eastAsia"/>
        </w:rPr>
        <w:t>国家、</w:t>
      </w:r>
      <w:r>
        <w:t>行业及本</w:t>
      </w:r>
      <w:r>
        <w:rPr>
          <w:rFonts w:hint="eastAsia"/>
        </w:rPr>
        <w:t>省</w:t>
      </w:r>
      <w:r>
        <w:t>市现行有关</w:t>
      </w:r>
      <w:r>
        <w:rPr>
          <w:rFonts w:hint="eastAsia"/>
        </w:rPr>
        <w:t>技术</w:t>
      </w:r>
      <w:r>
        <w:t>标准的规定</w:t>
      </w:r>
      <w:r>
        <w:rPr>
          <w:rFonts w:hint="eastAsia"/>
        </w:rPr>
        <w:t>。</w:t>
      </w:r>
    </w:p>
    <w:p>
      <w:pPr>
        <w:widowControl/>
        <w:jc w:val="left"/>
      </w:pPr>
      <w:r>
        <w:br w:type="page"/>
      </w:r>
    </w:p>
    <w:p>
      <w:pPr>
        <w:pStyle w:val="32"/>
        <w:numPr>
          <w:ilvl w:val="0"/>
          <w:numId w:val="2"/>
        </w:numPr>
        <w:spacing w:line="360" w:lineRule="auto"/>
        <w:ind w:firstLineChars="0"/>
        <w:jc w:val="center"/>
        <w:outlineLvl w:val="0"/>
        <w:rPr>
          <w:rFonts w:ascii="Times New Roman" w:hAnsi="Times New Roman" w:cs="Times New Roman"/>
          <w:b/>
          <w:bCs/>
          <w:sz w:val="32"/>
          <w:szCs w:val="32"/>
        </w:rPr>
      </w:pPr>
      <w:bookmarkStart w:id="59" w:name="_Toc23437763"/>
      <w:bookmarkStart w:id="60" w:name="_Toc20420175"/>
      <w:r>
        <w:rPr>
          <w:rFonts w:ascii="Times New Roman" w:hAnsi="Times New Roman" w:cs="Times New Roman"/>
          <w:b/>
          <w:bCs/>
          <w:sz w:val="32"/>
          <w:szCs w:val="32"/>
        </w:rPr>
        <w:t>术语</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59"/>
      <w:bookmarkEnd w:id="60"/>
    </w:p>
    <w:p>
      <w:pPr>
        <w:pStyle w:val="32"/>
        <w:numPr>
          <w:ilvl w:val="2"/>
          <w:numId w:val="3"/>
        </w:numPr>
        <w:spacing w:line="360" w:lineRule="auto"/>
        <w:ind w:firstLineChars="0"/>
        <w:rPr>
          <w:rFonts w:ascii="宋体" w:hAnsi="宋体"/>
        </w:rPr>
      </w:pPr>
      <w:r>
        <w:rPr>
          <w:rFonts w:hint="eastAsia"/>
        </w:rPr>
        <w:t>缘石坡道</w:t>
      </w:r>
      <w:r>
        <w:t>Curb ra</w:t>
      </w:r>
      <w:r>
        <w:rPr>
          <w:rFonts w:hint="eastAsia"/>
        </w:rPr>
        <w:t>m</w:t>
      </w:r>
      <w:r>
        <w:t>p</w:t>
      </w:r>
    </w:p>
    <w:p>
      <w:pPr>
        <w:pStyle w:val="32"/>
        <w:spacing w:line="360" w:lineRule="auto"/>
        <w:ind w:firstLine="0" w:firstLineChars="0"/>
        <w:rPr>
          <w:rFonts w:ascii="宋体" w:hAnsi="宋体"/>
        </w:rPr>
      </w:pPr>
      <w:r>
        <w:rPr>
          <w:rFonts w:hint="eastAsia"/>
        </w:rPr>
        <w:t>位于人行道口或人行横道两端，为了避免人行道路缘石带来的通行障碍，方便行人进入人行道的一种坡道。</w:t>
      </w:r>
    </w:p>
    <w:p>
      <w:pPr>
        <w:pStyle w:val="32"/>
        <w:numPr>
          <w:ilvl w:val="2"/>
          <w:numId w:val="3"/>
        </w:numPr>
        <w:spacing w:line="360" w:lineRule="auto"/>
        <w:ind w:firstLineChars="0"/>
        <w:rPr>
          <w:rFonts w:ascii="宋体" w:hAnsi="宋体"/>
        </w:rPr>
      </w:pPr>
      <w:r>
        <w:rPr>
          <w:rFonts w:hint="eastAsia"/>
        </w:rPr>
        <w:t>盲道</w:t>
      </w:r>
      <w:r>
        <w:t>T</w:t>
      </w:r>
      <w:r>
        <w:rPr>
          <w:rFonts w:hint="eastAsia"/>
        </w:rPr>
        <w:t>actile ground surface indicator</w:t>
      </w:r>
    </w:p>
    <w:p>
      <w:pPr>
        <w:pStyle w:val="32"/>
        <w:spacing w:line="360" w:lineRule="auto"/>
        <w:ind w:firstLine="0" w:firstLineChars="0"/>
      </w:pPr>
      <w:r>
        <w:rPr>
          <w:rFonts w:hint="eastAsia"/>
        </w:rPr>
        <w:t>在人行道上或其他场所铺设的一种固定形态的地面砖，使视觉障碍者产生盲杖触觉及脚感，引导视觉障碍者向前行走和辨别方向以到达目的地的通道。</w:t>
      </w:r>
    </w:p>
    <w:p>
      <w:pPr>
        <w:pStyle w:val="32"/>
        <w:numPr>
          <w:ilvl w:val="2"/>
          <w:numId w:val="3"/>
        </w:numPr>
        <w:spacing w:line="360" w:lineRule="auto"/>
        <w:ind w:firstLineChars="0"/>
        <w:rPr>
          <w:rFonts w:ascii="宋体" w:hAnsi="宋体"/>
        </w:rPr>
      </w:pPr>
      <w:r>
        <w:rPr>
          <w:rFonts w:hint="eastAsia" w:ascii="宋体" w:hAnsi="宋体"/>
        </w:rPr>
        <w:t>出入口</w:t>
      </w:r>
      <w:r>
        <w:rPr>
          <w:rFonts w:hint="eastAsia"/>
        </w:rPr>
        <w:t>Entrance and exit</w:t>
      </w:r>
    </w:p>
    <w:p>
      <w:pPr>
        <w:pStyle w:val="32"/>
        <w:spacing w:line="360" w:lineRule="auto"/>
        <w:ind w:firstLine="0" w:firstLineChars="0"/>
        <w:rPr>
          <w:rFonts w:ascii="宋体" w:hAnsi="宋体"/>
        </w:rPr>
      </w:pPr>
      <w:r>
        <w:rPr>
          <w:rFonts w:hint="eastAsia"/>
        </w:rPr>
        <w:t>进出</w:t>
      </w:r>
      <w:r>
        <w:t>建筑</w:t>
      </w:r>
      <w:r>
        <w:rPr>
          <w:rFonts w:hint="eastAsia"/>
        </w:rPr>
        <w:t>、</w:t>
      </w:r>
      <w:r>
        <w:t>场所的门、门洞这一点状或</w:t>
      </w:r>
      <w:r>
        <w:rPr>
          <w:rFonts w:hint="eastAsia"/>
        </w:rPr>
        <w:t>线状</w:t>
      </w:r>
      <w:r>
        <w:t>的空间及相关空间元素组成的</w:t>
      </w:r>
      <w:r>
        <w:rPr>
          <w:rFonts w:hint="eastAsia"/>
        </w:rPr>
        <w:t>场所。</w:t>
      </w:r>
    </w:p>
    <w:p>
      <w:pPr>
        <w:pStyle w:val="32"/>
        <w:numPr>
          <w:ilvl w:val="2"/>
          <w:numId w:val="3"/>
        </w:numPr>
        <w:spacing w:line="360" w:lineRule="auto"/>
        <w:ind w:firstLineChars="0"/>
        <w:rPr>
          <w:rFonts w:ascii="宋体" w:hAnsi="宋体"/>
        </w:rPr>
      </w:pPr>
      <w:r>
        <w:rPr>
          <w:rFonts w:hint="eastAsia"/>
        </w:rPr>
        <w:t>轮椅坡道</w:t>
      </w:r>
      <w:r>
        <w:t>W</w:t>
      </w:r>
      <w:r>
        <w:rPr>
          <w:rFonts w:hint="eastAsia"/>
        </w:rPr>
        <w:t>heel chair ramp</w:t>
      </w:r>
    </w:p>
    <w:p>
      <w:pPr>
        <w:pStyle w:val="32"/>
        <w:spacing w:line="360" w:lineRule="auto"/>
        <w:ind w:firstLine="0" w:firstLineChars="0"/>
      </w:pPr>
      <w:r>
        <w:rPr>
          <w:rFonts w:hint="eastAsia"/>
        </w:rPr>
        <w:t>在坡度、宽度、高度、地面材质、扶手形式等方面方便乘轮椅者通行的坡道。</w:t>
      </w:r>
    </w:p>
    <w:p>
      <w:pPr>
        <w:pStyle w:val="32"/>
        <w:numPr>
          <w:ilvl w:val="2"/>
          <w:numId w:val="3"/>
        </w:numPr>
        <w:spacing w:line="360" w:lineRule="auto"/>
        <w:ind w:firstLineChars="0"/>
        <w:rPr>
          <w:rFonts w:ascii="宋体" w:hAnsi="宋体"/>
        </w:rPr>
      </w:pPr>
      <w:r>
        <w:rPr>
          <w:rFonts w:hint="eastAsia"/>
        </w:rPr>
        <w:t>无障碍通道</w:t>
      </w:r>
      <w:r>
        <w:t>A</w:t>
      </w:r>
      <w:r>
        <w:rPr>
          <w:rFonts w:hint="eastAsia"/>
        </w:rPr>
        <w:t>ccessible route</w:t>
      </w:r>
    </w:p>
    <w:p>
      <w:pPr>
        <w:pStyle w:val="32"/>
        <w:spacing w:line="360" w:lineRule="auto"/>
        <w:ind w:firstLine="0" w:firstLineChars="0"/>
      </w:pPr>
      <w:r>
        <w:rPr>
          <w:rFonts w:hint="eastAsia"/>
        </w:rPr>
        <w:t>在坡度、宽度、高度、地面材质、扶手形式等方面方便行动障碍者通行的通道。</w:t>
      </w:r>
    </w:p>
    <w:p>
      <w:pPr>
        <w:pStyle w:val="32"/>
        <w:numPr>
          <w:ilvl w:val="2"/>
          <w:numId w:val="3"/>
        </w:numPr>
        <w:spacing w:line="360" w:lineRule="auto"/>
        <w:ind w:firstLineChars="0"/>
        <w:rPr>
          <w:rFonts w:ascii="宋体" w:hAnsi="宋体"/>
        </w:rPr>
      </w:pPr>
      <w:r>
        <w:rPr>
          <w:rFonts w:hint="eastAsia"/>
        </w:rPr>
        <w:t>无障碍</w:t>
      </w:r>
      <w:r>
        <w:t>楼梯</w:t>
      </w:r>
      <w:r>
        <w:rPr>
          <w:rFonts w:hint="eastAsia"/>
        </w:rPr>
        <w:t xml:space="preserve"> Accessible</w:t>
      </w:r>
      <w:r>
        <w:t xml:space="preserve"> stairway</w:t>
      </w:r>
    </w:p>
    <w:p>
      <w:pPr>
        <w:pStyle w:val="32"/>
        <w:spacing w:line="360" w:lineRule="auto"/>
        <w:ind w:firstLine="0" w:firstLineChars="0"/>
      </w:pPr>
      <w:r>
        <w:rPr>
          <w:rFonts w:hint="eastAsia"/>
        </w:rPr>
        <w:t>在楼梯</w:t>
      </w:r>
      <w:r>
        <w:t>形式、卷度、踏步、地面材质、扶手形式等方面方便行动及视觉障碍者使用的楼梯。</w:t>
      </w:r>
    </w:p>
    <w:p>
      <w:pPr>
        <w:pStyle w:val="32"/>
        <w:numPr>
          <w:ilvl w:val="2"/>
          <w:numId w:val="3"/>
        </w:numPr>
        <w:spacing w:line="360" w:lineRule="auto"/>
        <w:ind w:firstLineChars="0"/>
        <w:rPr>
          <w:rFonts w:ascii="宋体" w:hAnsi="宋体"/>
        </w:rPr>
      </w:pPr>
      <w:r>
        <w:rPr>
          <w:rFonts w:hint="eastAsia"/>
        </w:rPr>
        <w:t>安全阻挡措施</w:t>
      </w:r>
      <w:r>
        <w:t>E</w:t>
      </w:r>
      <w:r>
        <w:rPr>
          <w:rFonts w:hint="eastAsia"/>
        </w:rPr>
        <w:t>dge protection</w:t>
      </w:r>
    </w:p>
    <w:p>
      <w:pPr>
        <w:pStyle w:val="32"/>
        <w:spacing w:line="360" w:lineRule="auto"/>
        <w:ind w:firstLine="0" w:firstLineChars="0"/>
        <w:rPr>
          <w:rFonts w:ascii="宋体" w:hAnsi="宋体"/>
        </w:rPr>
      </w:pPr>
      <w:r>
        <w:rPr>
          <w:rFonts w:hint="eastAsia"/>
        </w:rPr>
        <w:t>控制轮椅小轮和拐杖不会侧向滑出坡道、踏步以及平台边界的设施。</w:t>
      </w:r>
    </w:p>
    <w:p>
      <w:pPr>
        <w:pStyle w:val="32"/>
        <w:numPr>
          <w:ilvl w:val="2"/>
          <w:numId w:val="3"/>
        </w:numPr>
        <w:spacing w:line="360" w:lineRule="auto"/>
        <w:ind w:firstLineChars="0"/>
        <w:rPr>
          <w:rFonts w:ascii="宋体" w:hAnsi="宋体"/>
        </w:rPr>
      </w:pPr>
      <w:r>
        <w:rPr>
          <w:rFonts w:hint="eastAsia" w:ascii="宋体" w:hAnsi="宋体"/>
        </w:rPr>
        <w:t>无障碍</w:t>
      </w:r>
      <w:r>
        <w:rPr>
          <w:rFonts w:hint="eastAsia"/>
        </w:rPr>
        <w:t>电梯</w:t>
      </w:r>
      <w:r>
        <w:t>W</w:t>
      </w:r>
      <w:r>
        <w:rPr>
          <w:rFonts w:hint="eastAsia"/>
        </w:rPr>
        <w:t>heel chair accessible elevator</w:t>
      </w:r>
    </w:p>
    <w:p>
      <w:pPr>
        <w:pStyle w:val="32"/>
        <w:spacing w:line="360" w:lineRule="auto"/>
        <w:ind w:firstLine="0" w:firstLineChars="0"/>
      </w:pPr>
      <w:r>
        <w:rPr>
          <w:rFonts w:hint="eastAsia"/>
        </w:rPr>
        <w:t>适合行动障碍者和视觉障碍者进出和使用的电梯。</w:t>
      </w:r>
    </w:p>
    <w:p>
      <w:pPr>
        <w:pStyle w:val="32"/>
        <w:numPr>
          <w:ilvl w:val="2"/>
          <w:numId w:val="3"/>
        </w:numPr>
        <w:spacing w:line="360" w:lineRule="auto"/>
        <w:ind w:firstLineChars="0"/>
        <w:rPr>
          <w:rFonts w:ascii="宋体" w:hAnsi="宋体"/>
        </w:rPr>
      </w:pPr>
      <w:r>
        <w:rPr>
          <w:rFonts w:hint="eastAsia" w:ascii="宋体" w:hAnsi="宋体"/>
        </w:rPr>
        <w:t xml:space="preserve">扶梯 </w:t>
      </w:r>
      <w:r>
        <w:t>Escalator</w:t>
      </w:r>
    </w:p>
    <w:p>
      <w:pPr>
        <w:pStyle w:val="32"/>
        <w:spacing w:line="360" w:lineRule="auto"/>
        <w:ind w:firstLine="0" w:firstLineChars="0"/>
      </w:pPr>
      <w:r>
        <w:rPr>
          <w:rFonts w:hint="eastAsia"/>
        </w:rPr>
        <w:t>带有</w:t>
      </w:r>
      <w:r>
        <w:t>循环运行</w:t>
      </w:r>
      <w:r>
        <w:rPr>
          <w:rFonts w:hint="eastAsia"/>
        </w:rPr>
        <w:t>梯级、</w:t>
      </w:r>
      <w:r>
        <w:t>扶手</w:t>
      </w:r>
      <w:r>
        <w:rPr>
          <w:rFonts w:hint="eastAsia"/>
        </w:rPr>
        <w:t>护栏</w:t>
      </w:r>
      <w:r>
        <w:t>，</w:t>
      </w:r>
      <w:r>
        <w:rPr>
          <w:rFonts w:hint="eastAsia"/>
        </w:rPr>
        <w:t>用于</w:t>
      </w:r>
      <w:r>
        <w:t>向上或向下倾斜输送乘客的固定电力运输设备</w:t>
      </w:r>
      <w:r>
        <w:rPr>
          <w:rFonts w:hint="eastAsia"/>
        </w:rPr>
        <w:t>。</w:t>
      </w:r>
    </w:p>
    <w:p>
      <w:pPr>
        <w:pStyle w:val="32"/>
        <w:numPr>
          <w:ilvl w:val="2"/>
          <w:numId w:val="3"/>
        </w:numPr>
        <w:spacing w:line="360" w:lineRule="auto"/>
        <w:ind w:firstLineChars="0"/>
        <w:rPr>
          <w:rFonts w:ascii="宋体" w:hAnsi="宋体"/>
        </w:rPr>
      </w:pPr>
      <w:r>
        <w:rPr>
          <w:rFonts w:hint="eastAsia"/>
        </w:rPr>
        <w:t xml:space="preserve">传送带 </w:t>
      </w:r>
      <w:r>
        <w:t>Automatic Sidewalk</w:t>
      </w:r>
    </w:p>
    <w:p>
      <w:pPr>
        <w:pStyle w:val="32"/>
        <w:spacing w:line="360" w:lineRule="auto"/>
        <w:ind w:firstLine="0" w:firstLineChars="0"/>
      </w:pPr>
      <w:r>
        <w:rPr>
          <w:rFonts w:hint="eastAsia"/>
        </w:rPr>
        <w:t>带有</w:t>
      </w:r>
      <w:r>
        <w:t>扶手</w:t>
      </w:r>
      <w:r>
        <w:rPr>
          <w:rFonts w:hint="eastAsia"/>
        </w:rPr>
        <w:t>护栏，</w:t>
      </w:r>
      <w:r>
        <w:t>水平或倾斜角度不大于</w:t>
      </w:r>
      <w:r>
        <w:rPr>
          <w:rFonts w:hint="eastAsia"/>
        </w:rPr>
        <w:t>12°，</w:t>
      </w:r>
      <w:r>
        <w:t>循环运行的板式或带式</w:t>
      </w:r>
      <w:r>
        <w:rPr>
          <w:rFonts w:hint="eastAsia"/>
        </w:rPr>
        <w:t>输送</w:t>
      </w:r>
      <w:r>
        <w:t>乘客的固定电力运输设备。</w:t>
      </w:r>
    </w:p>
    <w:p>
      <w:pPr>
        <w:pStyle w:val="32"/>
        <w:numPr>
          <w:ilvl w:val="2"/>
          <w:numId w:val="3"/>
        </w:numPr>
        <w:spacing w:line="360" w:lineRule="auto"/>
        <w:ind w:firstLineChars="0"/>
        <w:rPr>
          <w:rFonts w:ascii="宋体" w:hAnsi="宋体"/>
        </w:rPr>
      </w:pPr>
      <w:r>
        <w:rPr>
          <w:rFonts w:hint="eastAsia"/>
        </w:rPr>
        <w:t>母婴</w:t>
      </w:r>
      <w:r>
        <w:t>室</w:t>
      </w:r>
      <w:r>
        <w:rPr>
          <w:rFonts w:hint="eastAsia"/>
        </w:rPr>
        <w:t xml:space="preserve"> m</w:t>
      </w:r>
      <w:r>
        <w:t>other and baby roo</w:t>
      </w:r>
      <w:r>
        <w:rPr>
          <w:rFonts w:hint="eastAsia"/>
        </w:rPr>
        <w:t>m</w:t>
      </w:r>
    </w:p>
    <w:p>
      <w:pPr>
        <w:pStyle w:val="32"/>
        <w:spacing w:line="360" w:lineRule="auto"/>
        <w:ind w:firstLine="0" w:firstLineChars="0"/>
      </w:pPr>
      <w:r>
        <w:rPr>
          <w:rFonts w:hint="eastAsia"/>
        </w:rPr>
        <w:t>设有</w:t>
      </w:r>
      <w:r>
        <w:t>婴儿搭理</w:t>
      </w:r>
      <w:r>
        <w:rPr>
          <w:rFonts w:hint="eastAsia"/>
        </w:rPr>
        <w:t>台</w:t>
      </w:r>
      <w:r>
        <w:t>、水池、座椅等设施，为母亲提供的给婴儿换尿布、喂奶或临时休息使用的房间</w:t>
      </w:r>
      <w:r>
        <w:rPr>
          <w:rFonts w:hint="eastAsia"/>
        </w:rPr>
        <w:t>。</w:t>
      </w:r>
    </w:p>
    <w:p>
      <w:pPr>
        <w:pStyle w:val="32"/>
        <w:numPr>
          <w:ilvl w:val="2"/>
          <w:numId w:val="3"/>
        </w:numPr>
        <w:spacing w:line="360" w:lineRule="auto"/>
        <w:ind w:firstLineChars="0"/>
        <w:rPr>
          <w:rFonts w:ascii="宋体" w:hAnsi="宋体"/>
        </w:rPr>
      </w:pPr>
      <w:r>
        <w:rPr>
          <w:rFonts w:hint="eastAsia"/>
        </w:rPr>
        <w:t>无障碍厕所</w:t>
      </w:r>
      <w:r>
        <w:t>I</w:t>
      </w:r>
      <w:r>
        <w:rPr>
          <w:rFonts w:hint="eastAsia"/>
        </w:rPr>
        <w:t>ndividual washroom for wheelchair users</w:t>
      </w:r>
    </w:p>
    <w:p>
      <w:pPr>
        <w:pStyle w:val="32"/>
        <w:spacing w:line="360" w:lineRule="auto"/>
        <w:ind w:firstLine="0" w:firstLineChars="0"/>
      </w:pPr>
      <w:r>
        <w:rPr>
          <w:rFonts w:hint="eastAsia"/>
        </w:rPr>
        <w:t>出入口、室内空间及地面材质等方面方便行动障碍者使用且无障碍设施齐全的小型无性别卫生间。</w:t>
      </w:r>
    </w:p>
    <w:p>
      <w:pPr>
        <w:pStyle w:val="32"/>
        <w:numPr>
          <w:ilvl w:val="2"/>
          <w:numId w:val="3"/>
        </w:numPr>
        <w:spacing w:line="360" w:lineRule="auto"/>
        <w:ind w:firstLineChars="0"/>
        <w:rPr>
          <w:rFonts w:ascii="宋体" w:hAnsi="宋体"/>
        </w:rPr>
      </w:pPr>
      <w:r>
        <w:rPr>
          <w:rFonts w:hint="eastAsia"/>
        </w:rPr>
        <w:t>无障碍厕位</w:t>
      </w:r>
      <w:r>
        <w:t>W</w:t>
      </w:r>
      <w:r>
        <w:rPr>
          <w:rFonts w:hint="eastAsia"/>
        </w:rPr>
        <w:t>ater closet compartment for wheelchair users</w:t>
      </w:r>
    </w:p>
    <w:p>
      <w:pPr>
        <w:pStyle w:val="32"/>
        <w:spacing w:line="360" w:lineRule="auto"/>
        <w:ind w:firstLine="0" w:firstLineChars="0"/>
        <w:rPr>
          <w:rFonts w:ascii="宋体" w:hAnsi="宋体"/>
        </w:rPr>
      </w:pPr>
      <w:r>
        <w:rPr>
          <w:rFonts w:hint="eastAsia"/>
        </w:rPr>
        <w:t>公共厕所内设置的带坐便器及安全抓杆且方便行动障碍者进出和使用的带隔间的厕位。</w:t>
      </w:r>
    </w:p>
    <w:p>
      <w:pPr>
        <w:pStyle w:val="32"/>
        <w:numPr>
          <w:ilvl w:val="2"/>
          <w:numId w:val="3"/>
        </w:numPr>
        <w:spacing w:line="360" w:lineRule="auto"/>
        <w:ind w:firstLineChars="0"/>
        <w:rPr>
          <w:rFonts w:ascii="宋体" w:hAnsi="宋体"/>
        </w:rPr>
      </w:pPr>
      <w:r>
        <w:rPr>
          <w:rFonts w:hint="eastAsia"/>
        </w:rPr>
        <w:t>无障碍</w:t>
      </w:r>
      <w:r>
        <w:t>客房</w:t>
      </w:r>
      <w:r>
        <w:rPr>
          <w:rFonts w:hint="eastAsia"/>
        </w:rPr>
        <w:t xml:space="preserve"> </w:t>
      </w:r>
      <w:r>
        <w:t>A</w:t>
      </w:r>
      <w:r>
        <w:rPr>
          <w:rFonts w:hint="eastAsia"/>
        </w:rPr>
        <w:t>ccessible</w:t>
      </w:r>
      <w:r>
        <w:t xml:space="preserve"> guestroom</w:t>
      </w:r>
    </w:p>
    <w:p>
      <w:pPr>
        <w:pStyle w:val="32"/>
        <w:spacing w:line="360" w:lineRule="auto"/>
        <w:ind w:firstLine="0" w:firstLineChars="0"/>
        <w:rPr>
          <w:rFonts w:ascii="宋体" w:hAnsi="宋体"/>
        </w:rPr>
      </w:pPr>
      <w:r>
        <w:rPr>
          <w:rFonts w:hint="eastAsia" w:ascii="宋体" w:hAnsi="宋体"/>
        </w:rPr>
        <w:t>出入口、通道、通讯、家具和卫生间等均方便行动障碍</w:t>
      </w:r>
      <w:r>
        <w:rPr>
          <w:rFonts w:ascii="宋体" w:hAnsi="宋体"/>
        </w:rPr>
        <w:t>者</w:t>
      </w:r>
      <w:r>
        <w:rPr>
          <w:rFonts w:hint="eastAsia" w:ascii="宋体" w:hAnsi="宋体"/>
        </w:rPr>
        <w:t>通行和使用的房间。</w:t>
      </w:r>
    </w:p>
    <w:p>
      <w:pPr>
        <w:pStyle w:val="32"/>
        <w:numPr>
          <w:ilvl w:val="2"/>
          <w:numId w:val="3"/>
        </w:numPr>
        <w:spacing w:line="360" w:lineRule="auto"/>
        <w:ind w:firstLineChars="0"/>
        <w:rPr>
          <w:rFonts w:ascii="宋体" w:hAnsi="宋体"/>
        </w:rPr>
      </w:pPr>
      <w:r>
        <w:rPr>
          <w:rFonts w:hint="eastAsia"/>
        </w:rPr>
        <w:t>无障碍住房</w:t>
      </w:r>
      <w:r>
        <w:t>A</w:t>
      </w:r>
      <w:r>
        <w:rPr>
          <w:rFonts w:hint="eastAsia"/>
        </w:rPr>
        <w:t>ccessible housing</w:t>
      </w:r>
    </w:p>
    <w:p>
      <w:pPr>
        <w:pStyle w:val="32"/>
        <w:spacing w:line="360" w:lineRule="auto"/>
        <w:ind w:firstLine="0" w:firstLineChars="0"/>
        <w:rPr>
          <w:rFonts w:ascii="宋体" w:hAnsi="宋体"/>
        </w:rPr>
      </w:pPr>
      <w:r>
        <w:rPr>
          <w:rFonts w:hint="eastAsia"/>
        </w:rPr>
        <w:t>出入口、通道、通信、家具、厨房和卫生间等均设有无障碍设施，房间的空间尺度方便行动障碍者安全活动的住房。</w:t>
      </w:r>
    </w:p>
    <w:p>
      <w:pPr>
        <w:pStyle w:val="32"/>
        <w:numPr>
          <w:ilvl w:val="2"/>
          <w:numId w:val="3"/>
        </w:numPr>
        <w:spacing w:line="360" w:lineRule="auto"/>
        <w:ind w:firstLineChars="0"/>
        <w:rPr>
          <w:rFonts w:ascii="宋体" w:hAnsi="宋体"/>
        </w:rPr>
      </w:pPr>
      <w:r>
        <w:rPr>
          <w:rFonts w:hint="eastAsia"/>
        </w:rPr>
        <w:t>视觉</w:t>
      </w:r>
      <w:r>
        <w:t>导识</w:t>
      </w:r>
      <w:r>
        <w:rPr>
          <w:rFonts w:hint="eastAsia"/>
        </w:rPr>
        <w:t xml:space="preserve"> V</w:t>
      </w:r>
      <w:r>
        <w:t>isual signage</w:t>
      </w:r>
    </w:p>
    <w:p>
      <w:pPr>
        <w:pStyle w:val="32"/>
        <w:spacing w:line="360" w:lineRule="auto"/>
        <w:ind w:firstLine="0" w:firstLineChars="0"/>
      </w:pPr>
      <w:r>
        <w:rPr>
          <w:rFonts w:hint="eastAsia"/>
        </w:rPr>
        <w:t>以</w:t>
      </w:r>
      <w:r>
        <w:t>视觉为信息传递媒介的导识</w:t>
      </w:r>
      <w:r>
        <w:rPr>
          <w:rFonts w:hint="eastAsia"/>
        </w:rPr>
        <w:t>。</w:t>
      </w:r>
    </w:p>
    <w:p>
      <w:pPr>
        <w:pStyle w:val="32"/>
        <w:numPr>
          <w:ilvl w:val="2"/>
          <w:numId w:val="3"/>
        </w:numPr>
        <w:spacing w:line="360" w:lineRule="auto"/>
        <w:ind w:firstLineChars="0"/>
        <w:rPr>
          <w:rFonts w:ascii="宋体" w:hAnsi="宋体"/>
        </w:rPr>
      </w:pPr>
      <w:r>
        <w:rPr>
          <w:rFonts w:hint="eastAsia"/>
        </w:rPr>
        <w:t>触觉</w:t>
      </w:r>
      <w:r>
        <w:t>导识</w:t>
      </w:r>
      <w:r>
        <w:rPr>
          <w:rFonts w:hint="eastAsia"/>
        </w:rPr>
        <w:t xml:space="preserve"> T</w:t>
      </w:r>
      <w:r>
        <w:t>actile signage</w:t>
      </w:r>
    </w:p>
    <w:p>
      <w:pPr>
        <w:pStyle w:val="32"/>
        <w:spacing w:line="360" w:lineRule="auto"/>
        <w:ind w:firstLine="0" w:firstLineChars="0"/>
      </w:pPr>
      <w:r>
        <w:rPr>
          <w:rFonts w:hint="eastAsia"/>
        </w:rPr>
        <w:t>以</w:t>
      </w:r>
      <w:r>
        <w:t>触摸识别方式传达信息的导识，常与听觉导识及其他触发性信息传播载体匹配使用</w:t>
      </w:r>
      <w:r>
        <w:rPr>
          <w:rFonts w:hint="eastAsia"/>
        </w:rPr>
        <w:t>。</w:t>
      </w:r>
    </w:p>
    <w:p>
      <w:pPr>
        <w:pStyle w:val="32"/>
        <w:numPr>
          <w:ilvl w:val="2"/>
          <w:numId w:val="3"/>
        </w:numPr>
        <w:spacing w:line="360" w:lineRule="auto"/>
        <w:ind w:firstLineChars="0"/>
        <w:rPr>
          <w:rFonts w:ascii="宋体" w:hAnsi="宋体"/>
        </w:rPr>
      </w:pPr>
      <w:r>
        <w:rPr>
          <w:rFonts w:hint="eastAsia"/>
        </w:rPr>
        <w:t>听觉</w:t>
      </w:r>
      <w:r>
        <w:t>导识</w:t>
      </w:r>
      <w:r>
        <w:rPr>
          <w:rFonts w:hint="eastAsia"/>
        </w:rPr>
        <w:t xml:space="preserve"> A</w:t>
      </w:r>
      <w:r>
        <w:t>uditory signage</w:t>
      </w:r>
    </w:p>
    <w:p>
      <w:pPr>
        <w:pStyle w:val="32"/>
        <w:spacing w:line="360" w:lineRule="auto"/>
        <w:ind w:firstLine="0" w:firstLineChars="0"/>
      </w:pPr>
      <w:r>
        <w:rPr>
          <w:rFonts w:hint="eastAsia"/>
        </w:rPr>
        <w:t>以</w:t>
      </w:r>
      <w:r>
        <w:t>可被识别到的特定声音传达信息的导识</w:t>
      </w:r>
      <w:r>
        <w:rPr>
          <w:rFonts w:hint="eastAsia"/>
        </w:rPr>
        <w:t>。</w:t>
      </w:r>
    </w:p>
    <w:p>
      <w:pPr>
        <w:pStyle w:val="32"/>
        <w:numPr>
          <w:ilvl w:val="2"/>
          <w:numId w:val="3"/>
        </w:numPr>
        <w:spacing w:line="360" w:lineRule="auto"/>
        <w:ind w:firstLineChars="0"/>
        <w:rPr>
          <w:rFonts w:ascii="宋体" w:hAnsi="宋体"/>
        </w:rPr>
      </w:pPr>
      <w:r>
        <w:rPr>
          <w:rFonts w:hint="eastAsia"/>
        </w:rPr>
        <w:t>感应</w:t>
      </w:r>
      <w:r>
        <w:t>导识</w:t>
      </w:r>
      <w:r>
        <w:rPr>
          <w:rFonts w:hint="eastAsia"/>
        </w:rPr>
        <w:t xml:space="preserve"> I</w:t>
      </w:r>
      <w:r>
        <w:t>nduced signage</w:t>
      </w:r>
    </w:p>
    <w:p>
      <w:pPr>
        <w:pStyle w:val="32"/>
        <w:spacing w:line="360" w:lineRule="auto"/>
        <w:ind w:firstLine="0" w:firstLineChars="0"/>
        <w:rPr>
          <w:rFonts w:ascii="宋体" w:hAnsi="宋体"/>
        </w:rPr>
      </w:pPr>
      <w:r>
        <w:rPr>
          <w:rFonts w:hint="eastAsia"/>
        </w:rPr>
        <w:t>以</w:t>
      </w:r>
      <w:r>
        <w:t>射频、磁性、红外线等感应方式传达信息的导识，常与听觉导识及其他触发性信息传播载体匹配使用</w:t>
      </w:r>
      <w:r>
        <w:rPr>
          <w:rFonts w:hint="eastAsia"/>
        </w:rPr>
        <w:t>。</w:t>
      </w:r>
    </w:p>
    <w:p>
      <w:pPr>
        <w:pStyle w:val="32"/>
        <w:numPr>
          <w:ilvl w:val="2"/>
          <w:numId w:val="3"/>
        </w:numPr>
        <w:spacing w:line="360" w:lineRule="auto"/>
        <w:ind w:firstLineChars="0"/>
        <w:rPr>
          <w:rFonts w:ascii="宋体" w:hAnsi="宋体"/>
        </w:rPr>
      </w:pPr>
      <w:r>
        <w:rPr>
          <w:rFonts w:hint="eastAsia"/>
        </w:rPr>
        <w:t>交互</w:t>
      </w:r>
      <w:r>
        <w:t>导识</w:t>
      </w:r>
      <w:r>
        <w:rPr>
          <w:rFonts w:hint="eastAsia"/>
        </w:rPr>
        <w:t xml:space="preserve"> I</w:t>
      </w:r>
      <w:r>
        <w:t>nteraction signage</w:t>
      </w:r>
    </w:p>
    <w:p>
      <w:pPr>
        <w:pStyle w:val="32"/>
        <w:spacing w:line="360" w:lineRule="auto"/>
        <w:ind w:firstLine="0" w:firstLineChars="0"/>
      </w:pPr>
      <w:r>
        <w:rPr>
          <w:rFonts w:hint="eastAsia"/>
        </w:rPr>
        <w:t>通过</w:t>
      </w:r>
      <w:r>
        <w:t>固定或可移动、可携带设备等，与使用者在特定场景下进行人机交互的导识</w:t>
      </w:r>
      <w:r>
        <w:rPr>
          <w:rFonts w:hint="eastAsia"/>
        </w:rPr>
        <w:t>。</w:t>
      </w:r>
    </w:p>
    <w:p>
      <w:pPr>
        <w:pStyle w:val="32"/>
        <w:numPr>
          <w:ilvl w:val="2"/>
          <w:numId w:val="3"/>
        </w:numPr>
        <w:spacing w:line="360" w:lineRule="auto"/>
        <w:ind w:firstLineChars="0"/>
        <w:rPr>
          <w:rFonts w:ascii="宋体" w:hAnsi="宋体"/>
        </w:rPr>
      </w:pPr>
      <w:r>
        <w:rPr>
          <w:rFonts w:hint="eastAsia"/>
        </w:rPr>
        <w:t>盲文铭牌</w:t>
      </w:r>
      <w:r>
        <w:t>B</w:t>
      </w:r>
      <w:r>
        <w:rPr>
          <w:rFonts w:hint="eastAsia"/>
        </w:rPr>
        <w:t>raille signboard</w:t>
      </w:r>
    </w:p>
    <w:p>
      <w:pPr>
        <w:pStyle w:val="32"/>
        <w:spacing w:line="360" w:lineRule="auto"/>
        <w:ind w:firstLine="0" w:firstLineChars="0"/>
      </w:pPr>
      <w:r>
        <w:rPr>
          <w:rFonts w:hint="eastAsia"/>
        </w:rPr>
        <w:t>安装在无障碍设施上或设施附近固定部位上，采用盲文导识以告知信息的铭牌。</w:t>
      </w:r>
    </w:p>
    <w:p>
      <w:pPr>
        <w:pStyle w:val="32"/>
        <w:numPr>
          <w:ilvl w:val="2"/>
          <w:numId w:val="3"/>
        </w:numPr>
        <w:spacing w:line="360" w:lineRule="auto"/>
        <w:ind w:firstLineChars="0"/>
        <w:rPr>
          <w:rFonts w:ascii="宋体" w:hAnsi="宋体"/>
        </w:rPr>
      </w:pPr>
      <w:r>
        <w:rPr>
          <w:rFonts w:hint="eastAsia"/>
        </w:rPr>
        <w:t>盲文地图</w:t>
      </w:r>
      <w:r>
        <w:t>B</w:t>
      </w:r>
      <w:r>
        <w:rPr>
          <w:rFonts w:hint="eastAsia"/>
        </w:rPr>
        <w:t>raille map</w:t>
      </w:r>
    </w:p>
    <w:p>
      <w:pPr>
        <w:pStyle w:val="32"/>
        <w:spacing w:line="360" w:lineRule="auto"/>
        <w:ind w:firstLine="0" w:firstLineChars="0"/>
      </w:pPr>
      <w:r>
        <w:rPr>
          <w:rFonts w:hint="eastAsia"/>
        </w:rPr>
        <w:t>供视觉障碍者用手触摸的有立体感的位置图或平面图及自文说明。</w:t>
      </w:r>
    </w:p>
    <w:p>
      <w:pPr>
        <w:pStyle w:val="32"/>
        <w:numPr>
          <w:ilvl w:val="2"/>
          <w:numId w:val="3"/>
        </w:numPr>
        <w:spacing w:line="360" w:lineRule="auto"/>
        <w:ind w:firstLineChars="0"/>
        <w:rPr>
          <w:rFonts w:ascii="宋体" w:hAnsi="宋体"/>
        </w:rPr>
      </w:pPr>
      <w:r>
        <w:rPr>
          <w:rFonts w:hint="eastAsia"/>
        </w:rPr>
        <w:t>过街音响提示装置</w:t>
      </w:r>
      <w:r>
        <w:t>A</w:t>
      </w:r>
      <w:r>
        <w:rPr>
          <w:rFonts w:hint="eastAsia"/>
        </w:rPr>
        <w:t>udible pedestrian signals for street crossing</w:t>
      </w:r>
    </w:p>
    <w:p>
      <w:pPr>
        <w:pStyle w:val="32"/>
        <w:spacing w:line="360" w:lineRule="auto"/>
        <w:ind w:firstLine="0" w:firstLineChars="0"/>
      </w:pPr>
      <w:r>
        <w:rPr>
          <w:rFonts w:hint="eastAsia"/>
        </w:rPr>
        <w:t>通过语音提示系统引导视觉障碍者安全通行的音响装置。</w:t>
      </w:r>
    </w:p>
    <w:p>
      <w:pPr>
        <w:pStyle w:val="32"/>
        <w:numPr>
          <w:ilvl w:val="2"/>
          <w:numId w:val="3"/>
        </w:numPr>
        <w:spacing w:line="360" w:lineRule="auto"/>
        <w:ind w:firstLineChars="0"/>
        <w:rPr>
          <w:rFonts w:ascii="宋体" w:hAnsi="宋体"/>
        </w:rPr>
      </w:pPr>
      <w:r>
        <w:rPr>
          <w:rFonts w:hint="eastAsia"/>
        </w:rPr>
        <w:t>低位</w:t>
      </w:r>
      <w:r>
        <w:t>服务设施Low height service facilities</w:t>
      </w:r>
    </w:p>
    <w:p>
      <w:pPr>
        <w:pStyle w:val="32"/>
        <w:spacing w:line="360" w:lineRule="auto"/>
        <w:ind w:firstLine="0" w:firstLineChars="0"/>
        <w:rPr>
          <w:rFonts w:ascii="宋体" w:hAnsi="宋体"/>
        </w:rPr>
      </w:pPr>
      <w:r>
        <w:rPr>
          <w:rFonts w:hint="eastAsia"/>
        </w:rPr>
        <w:t>方便</w:t>
      </w:r>
      <w:r>
        <w:t>行动障碍者使用</w:t>
      </w:r>
      <w:r>
        <w:rPr>
          <w:rFonts w:hint="eastAsia"/>
        </w:rPr>
        <w:t>而</w:t>
      </w:r>
      <w:r>
        <w:t>设置的</w:t>
      </w:r>
      <w:r>
        <w:rPr>
          <w:rFonts w:hint="eastAsia"/>
        </w:rPr>
        <w:t>高度适当</w:t>
      </w:r>
      <w:r>
        <w:t>的服务设施</w:t>
      </w:r>
      <w:r>
        <w:rPr>
          <w:rFonts w:hint="eastAsia"/>
        </w:rPr>
        <w:t>。</w:t>
      </w:r>
    </w:p>
    <w:p>
      <w:pPr>
        <w:pStyle w:val="32"/>
        <w:numPr>
          <w:ilvl w:val="2"/>
          <w:numId w:val="3"/>
        </w:numPr>
        <w:spacing w:line="360" w:lineRule="auto"/>
        <w:ind w:firstLineChars="0"/>
        <w:rPr>
          <w:rFonts w:ascii="宋体" w:hAnsi="宋体"/>
        </w:rPr>
      </w:pPr>
      <w:r>
        <w:rPr>
          <w:rFonts w:hint="eastAsia"/>
        </w:rPr>
        <w:t>轮椅席位</w:t>
      </w:r>
      <w:r>
        <w:t>W</w:t>
      </w:r>
      <w:r>
        <w:rPr>
          <w:rFonts w:hint="eastAsia"/>
        </w:rPr>
        <w:t>heelchair accessible seat</w:t>
      </w:r>
    </w:p>
    <w:p>
      <w:pPr>
        <w:pStyle w:val="32"/>
        <w:spacing w:line="360" w:lineRule="auto"/>
        <w:ind w:firstLine="0" w:firstLineChars="0"/>
        <w:rPr>
          <w:rFonts w:ascii="宋体" w:hAnsi="宋体"/>
        </w:rPr>
      </w:pPr>
      <w:r>
        <w:rPr>
          <w:rFonts w:hint="eastAsia"/>
        </w:rPr>
        <w:t>在观众厅、报告厅、阅览室及教室等设有固定席位的场所内，供乘轮椅者使用的位置。</w:t>
      </w:r>
    </w:p>
    <w:p>
      <w:pPr>
        <w:pStyle w:val="32"/>
        <w:numPr>
          <w:ilvl w:val="2"/>
          <w:numId w:val="3"/>
        </w:numPr>
        <w:spacing w:line="360" w:lineRule="auto"/>
        <w:ind w:firstLineChars="0"/>
        <w:rPr>
          <w:rFonts w:ascii="宋体" w:hAnsi="宋体"/>
        </w:rPr>
      </w:pPr>
      <w:r>
        <w:rPr>
          <w:rFonts w:hint="eastAsia"/>
        </w:rPr>
        <w:t>无障碍工作</w:t>
      </w:r>
      <w:r>
        <w:t xml:space="preserve">台Workbench </w:t>
      </w:r>
      <w:r>
        <w:rPr>
          <w:rFonts w:hint="eastAsia"/>
        </w:rPr>
        <w:t>for wheelchair users</w:t>
      </w:r>
    </w:p>
    <w:p>
      <w:pPr>
        <w:pStyle w:val="32"/>
        <w:spacing w:line="360" w:lineRule="auto"/>
        <w:ind w:firstLine="0" w:firstLineChars="0"/>
        <w:rPr>
          <w:rFonts w:ascii="宋体" w:hAnsi="宋体"/>
        </w:rPr>
      </w:pPr>
      <w:r>
        <w:rPr>
          <w:rFonts w:hint="eastAsia"/>
        </w:rPr>
        <w:t>方便</w:t>
      </w:r>
      <w:r>
        <w:t>行动障碍者使用而设置的高度适当的</w:t>
      </w:r>
      <w:r>
        <w:rPr>
          <w:rFonts w:hint="eastAsia"/>
        </w:rPr>
        <w:t>操作台。</w:t>
      </w:r>
      <w:r>
        <w:t>除</w:t>
      </w:r>
      <w:r>
        <w:rPr>
          <w:rFonts w:hint="eastAsia"/>
        </w:rPr>
        <w:t>了</w:t>
      </w:r>
      <w:r>
        <w:t>要求它的上表面距</w:t>
      </w:r>
      <w:r>
        <w:rPr>
          <w:rFonts w:hint="eastAsia"/>
        </w:rPr>
        <w:t>地面</w:t>
      </w:r>
      <w:r>
        <w:t>有一定的高度外，还要求它的下方有足够空间便于轮椅接近，其前方应留有轮椅回转空间</w:t>
      </w:r>
      <w:r>
        <w:rPr>
          <w:rFonts w:hint="eastAsia"/>
        </w:rPr>
        <w:t>。</w:t>
      </w:r>
    </w:p>
    <w:p>
      <w:pPr>
        <w:pStyle w:val="32"/>
        <w:numPr>
          <w:ilvl w:val="2"/>
          <w:numId w:val="3"/>
        </w:numPr>
        <w:spacing w:line="360" w:lineRule="auto"/>
        <w:ind w:firstLineChars="0"/>
        <w:rPr>
          <w:rFonts w:ascii="宋体" w:hAnsi="宋体"/>
        </w:rPr>
      </w:pPr>
      <w:r>
        <w:rPr>
          <w:rFonts w:hint="eastAsia"/>
        </w:rPr>
        <w:t>安全抓杆</w:t>
      </w:r>
      <w:r>
        <w:t>G</w:t>
      </w:r>
      <w:r>
        <w:rPr>
          <w:rFonts w:hint="eastAsia"/>
        </w:rPr>
        <w:t>rab bar</w:t>
      </w:r>
    </w:p>
    <w:p>
      <w:pPr>
        <w:pStyle w:val="32"/>
        <w:spacing w:line="360" w:lineRule="auto"/>
        <w:ind w:firstLine="0" w:firstLineChars="0"/>
        <w:rPr>
          <w:rFonts w:ascii="宋体" w:hAnsi="宋体"/>
        </w:rPr>
      </w:pPr>
      <w:r>
        <w:rPr>
          <w:rFonts w:hint="eastAsia"/>
        </w:rPr>
        <w:t>在无障碍厕位、厕所、浴间内，方便行动障碍者安全移动和支撑的一种设施。</w:t>
      </w:r>
    </w:p>
    <w:p>
      <w:pPr>
        <w:pStyle w:val="32"/>
        <w:numPr>
          <w:ilvl w:val="2"/>
          <w:numId w:val="3"/>
        </w:numPr>
        <w:spacing w:line="360" w:lineRule="auto"/>
        <w:ind w:firstLineChars="0"/>
        <w:rPr>
          <w:rFonts w:ascii="宋体" w:hAnsi="宋体"/>
        </w:rPr>
      </w:pPr>
      <w:r>
        <w:rPr>
          <w:rFonts w:hint="eastAsia"/>
        </w:rPr>
        <w:t>无障碍停车位</w:t>
      </w:r>
      <w:r>
        <w:t>A</w:t>
      </w:r>
      <w:r>
        <w:rPr>
          <w:rFonts w:hint="eastAsia"/>
        </w:rPr>
        <w:t>ccessible vehicle parking lot</w:t>
      </w:r>
    </w:p>
    <w:p>
      <w:pPr>
        <w:pStyle w:val="32"/>
        <w:spacing w:line="360" w:lineRule="auto"/>
        <w:ind w:firstLine="0" w:firstLineChars="0"/>
        <w:rPr>
          <w:rFonts w:ascii="宋体" w:hAnsi="宋体"/>
        </w:rPr>
      </w:pPr>
      <w:r>
        <w:rPr>
          <w:rFonts w:hint="eastAsia"/>
        </w:rPr>
        <w:t>方便行动障碍者使用的机动车停车位。</w:t>
      </w:r>
    </w:p>
    <w:p>
      <w:pPr>
        <w:widowControl/>
      </w:pPr>
      <w:r>
        <w:br w:type="page"/>
      </w:r>
    </w:p>
    <w:p>
      <w:pPr>
        <w:pStyle w:val="32"/>
        <w:numPr>
          <w:ilvl w:val="0"/>
          <w:numId w:val="2"/>
        </w:numPr>
        <w:spacing w:line="360" w:lineRule="auto"/>
        <w:ind w:firstLineChars="0"/>
        <w:jc w:val="center"/>
        <w:outlineLvl w:val="0"/>
        <w:rPr>
          <w:rFonts w:ascii="Times New Roman" w:hAnsi="Times New Roman" w:cs="Times New Roman"/>
          <w:b/>
          <w:bCs/>
          <w:sz w:val="32"/>
          <w:szCs w:val="32"/>
        </w:rPr>
      </w:pPr>
      <w:bookmarkStart w:id="61" w:name="_Toc16013395"/>
      <w:bookmarkStart w:id="62" w:name="_Toc16013265"/>
      <w:bookmarkStart w:id="63" w:name="_Toc20420176"/>
      <w:bookmarkStart w:id="64" w:name="_Toc23437764"/>
      <w:bookmarkStart w:id="65" w:name="_Toc17739939"/>
      <w:bookmarkStart w:id="66" w:name="_Toc15592495"/>
      <w:bookmarkStart w:id="67" w:name="_Toc15478903"/>
      <w:bookmarkStart w:id="68" w:name="_Toc15577123"/>
      <w:bookmarkStart w:id="69" w:name="_Toc13423445"/>
      <w:bookmarkStart w:id="70" w:name="_Toc533506224"/>
      <w:bookmarkStart w:id="71" w:name="_Toc9963941"/>
      <w:bookmarkStart w:id="72" w:name="_Toc520364031"/>
      <w:bookmarkStart w:id="73" w:name="_Toc9935223"/>
      <w:bookmarkStart w:id="74" w:name="_Toc378354191"/>
      <w:bookmarkStart w:id="75" w:name="_Toc15479097"/>
      <w:bookmarkStart w:id="76" w:name="_Toc533441652"/>
      <w:bookmarkStart w:id="77" w:name="_Toc349912314"/>
      <w:r>
        <w:rPr>
          <w:rFonts w:ascii="Times New Roman" w:hAnsi="Times New Roman" w:cs="Times New Roman"/>
          <w:b/>
          <w:bCs/>
          <w:sz w:val="32"/>
          <w:szCs w:val="32"/>
        </w:rPr>
        <w:t>基本规定</w:t>
      </w:r>
      <w:bookmarkEnd w:id="61"/>
      <w:bookmarkEnd w:id="62"/>
      <w:bookmarkEnd w:id="63"/>
      <w:bookmarkEnd w:id="64"/>
      <w:bookmarkEnd w:id="65"/>
      <w:bookmarkStart w:id="78" w:name="_Toc19732607"/>
      <w:bookmarkEnd w:id="78"/>
      <w:bookmarkStart w:id="79" w:name="_Toc19732644"/>
      <w:bookmarkEnd w:id="79"/>
      <w:bookmarkStart w:id="80" w:name="_Toc19737477"/>
      <w:bookmarkEnd w:id="80"/>
      <w:bookmarkStart w:id="81" w:name="_Toc19732771"/>
      <w:bookmarkEnd w:id="81"/>
      <w:bookmarkStart w:id="82" w:name="_Toc19736296"/>
      <w:bookmarkEnd w:id="82"/>
      <w:bookmarkStart w:id="83" w:name="_Toc19732681"/>
      <w:bookmarkEnd w:id="83"/>
      <w:bookmarkStart w:id="84" w:name="_Toc19635217"/>
      <w:bookmarkEnd w:id="84"/>
      <w:bookmarkStart w:id="85" w:name="_Toc19732718"/>
      <w:bookmarkEnd w:id="85"/>
      <w:bookmarkStart w:id="86" w:name="_Toc19195317"/>
      <w:bookmarkEnd w:id="86"/>
      <w:bookmarkStart w:id="87" w:name="_Toc19195229"/>
      <w:bookmarkEnd w:id="87"/>
      <w:bookmarkStart w:id="88" w:name="_Toc19195282"/>
      <w:bookmarkEnd w:id="88"/>
      <w:bookmarkStart w:id="89" w:name="_Toc19732243"/>
      <w:bookmarkEnd w:id="89"/>
    </w:p>
    <w:p>
      <w:pPr>
        <w:pStyle w:val="32"/>
        <w:numPr>
          <w:ilvl w:val="2"/>
          <w:numId w:val="2"/>
        </w:numPr>
        <w:spacing w:line="360" w:lineRule="auto"/>
        <w:ind w:firstLineChars="0"/>
        <w:jc w:val="left"/>
        <w:outlineLvl w:val="2"/>
      </w:pPr>
      <w:r>
        <w:rPr>
          <w:rFonts w:hint="eastAsia"/>
        </w:rPr>
        <w:t>深圳</w:t>
      </w:r>
      <w:r>
        <w:t>市</w:t>
      </w:r>
      <w:r>
        <w:rPr>
          <w:rFonts w:hint="eastAsia"/>
        </w:rPr>
        <w:t>无障碍环境</w:t>
      </w:r>
      <w:r>
        <w:t>建设应与</w:t>
      </w:r>
      <w:r>
        <w:rPr>
          <w:rFonts w:hint="eastAsia"/>
        </w:rPr>
        <w:t>深圳</w:t>
      </w:r>
      <w:r>
        <w:t>市经济</w:t>
      </w:r>
      <w:r>
        <w:rPr>
          <w:rFonts w:hint="eastAsia"/>
        </w:rPr>
        <w:t>、</w:t>
      </w:r>
      <w:r>
        <w:t>社会发展水平相适应，遵循</w:t>
      </w:r>
      <w:r>
        <w:rPr>
          <w:rFonts w:hint="eastAsia"/>
        </w:rPr>
        <w:t>安全有效</w:t>
      </w:r>
      <w:r>
        <w:t>的原则，同时兼顾绿色美观，</w:t>
      </w:r>
      <w:r>
        <w:rPr>
          <w:rFonts w:hint="eastAsia"/>
        </w:rPr>
        <w:t>在</w:t>
      </w:r>
      <w:r>
        <w:t>满足上级规划要求的基础上，按照国家及地方</w:t>
      </w:r>
      <w:r>
        <w:rPr>
          <w:rFonts w:hint="eastAsia"/>
        </w:rPr>
        <w:t>规定</w:t>
      </w:r>
      <w:r>
        <w:t>的建设程序</w:t>
      </w:r>
      <w:r>
        <w:rPr>
          <w:rFonts w:hint="eastAsia"/>
        </w:rPr>
        <w:t>及</w:t>
      </w:r>
      <w:r>
        <w:t>其他相关要求</w:t>
      </w:r>
      <w:r>
        <w:rPr>
          <w:rFonts w:hint="eastAsia"/>
        </w:rPr>
        <w:t>执行</w:t>
      </w:r>
      <w:r>
        <w:t>。</w:t>
      </w:r>
    </w:p>
    <w:p>
      <w:pPr>
        <w:pStyle w:val="32"/>
        <w:numPr>
          <w:ilvl w:val="2"/>
          <w:numId w:val="2"/>
        </w:numPr>
        <w:spacing w:line="360" w:lineRule="auto"/>
        <w:ind w:firstLineChars="0"/>
        <w:jc w:val="left"/>
        <w:outlineLvl w:val="2"/>
      </w:pPr>
      <w:r>
        <w:rPr>
          <w:rFonts w:hint="eastAsia"/>
        </w:rPr>
        <w:t>新建</w:t>
      </w:r>
      <w:r>
        <w:t>无障碍设施</w:t>
      </w:r>
      <w:r>
        <w:rPr>
          <w:rFonts w:hint="eastAsia"/>
        </w:rPr>
        <w:t>应与</w:t>
      </w:r>
      <w:r>
        <w:t>周边无障碍设施有效衔接。</w:t>
      </w:r>
    </w:p>
    <w:p>
      <w:pPr>
        <w:pStyle w:val="32"/>
        <w:numPr>
          <w:ilvl w:val="2"/>
          <w:numId w:val="2"/>
        </w:numPr>
        <w:spacing w:line="360" w:lineRule="auto"/>
        <w:ind w:firstLineChars="0"/>
        <w:jc w:val="left"/>
        <w:outlineLvl w:val="2"/>
      </w:pPr>
      <w:r>
        <w:rPr>
          <w:rFonts w:hint="eastAsia"/>
        </w:rPr>
        <w:t>无障碍设施应</w:t>
      </w:r>
      <w:r>
        <w:t>保证安全</w:t>
      </w:r>
      <w:r>
        <w:rPr>
          <w:rFonts w:hint="eastAsia"/>
        </w:rPr>
        <w:t>及</w:t>
      </w:r>
      <w:r>
        <w:t>各类人群方便使用的需求，</w:t>
      </w:r>
      <w:r>
        <w:rPr>
          <w:rFonts w:hint="eastAsia"/>
        </w:rPr>
        <w:t>应满足坚固、平整、防滑、不积水等</w:t>
      </w:r>
      <w:r>
        <w:t>要求</w:t>
      </w:r>
      <w:r>
        <w:rPr>
          <w:rFonts w:hint="eastAsia"/>
        </w:rPr>
        <w:t>。</w:t>
      </w:r>
    </w:p>
    <w:p>
      <w:pPr>
        <w:pStyle w:val="32"/>
        <w:numPr>
          <w:ilvl w:val="2"/>
          <w:numId w:val="2"/>
        </w:numPr>
        <w:spacing w:line="360" w:lineRule="auto"/>
        <w:ind w:firstLineChars="0"/>
        <w:jc w:val="left"/>
        <w:outlineLvl w:val="2"/>
      </w:pPr>
      <w:r>
        <w:rPr>
          <w:rFonts w:hint="eastAsia"/>
        </w:rPr>
        <w:t>无障碍设施及无障碍导识应保证足够的照明，照度均匀，避免眩光。</w:t>
      </w:r>
    </w:p>
    <w:p>
      <w:pPr>
        <w:pStyle w:val="32"/>
        <w:numPr>
          <w:ilvl w:val="2"/>
          <w:numId w:val="2"/>
        </w:numPr>
        <w:spacing w:line="360" w:lineRule="auto"/>
        <w:ind w:firstLineChars="0"/>
        <w:jc w:val="left"/>
        <w:outlineLvl w:val="2"/>
      </w:pPr>
      <w:r>
        <w:rPr>
          <w:rFonts w:hint="eastAsia"/>
        </w:rPr>
        <w:t>无障碍设施应注重人性化</w:t>
      </w:r>
      <w:r>
        <w:t>设计</w:t>
      </w:r>
      <w:r>
        <w:rPr>
          <w:rFonts w:hint="eastAsia"/>
        </w:rPr>
        <w:t>，</w:t>
      </w:r>
      <w:r>
        <w:t>各类设施设计应</w:t>
      </w:r>
      <w:r>
        <w:rPr>
          <w:rFonts w:hint="eastAsia"/>
        </w:rPr>
        <w:t>与</w:t>
      </w:r>
      <w:r>
        <w:t>遮阳、避雨、绿化</w:t>
      </w:r>
      <w:r>
        <w:rPr>
          <w:rFonts w:hint="eastAsia"/>
        </w:rPr>
        <w:t>等</w:t>
      </w:r>
      <w:r>
        <w:t>结合</w:t>
      </w:r>
      <w:r>
        <w:rPr>
          <w:rFonts w:hint="eastAsia"/>
        </w:rPr>
        <w:t>设置。</w:t>
      </w:r>
      <w:r>
        <w:br w:type="page"/>
      </w:r>
    </w:p>
    <w:bookmarkEnd w:id="66"/>
    <w:bookmarkEnd w:id="67"/>
    <w:bookmarkEnd w:id="68"/>
    <w:bookmarkEnd w:id="69"/>
    <w:bookmarkEnd w:id="70"/>
    <w:bookmarkEnd w:id="71"/>
    <w:bookmarkEnd w:id="72"/>
    <w:bookmarkEnd w:id="73"/>
    <w:bookmarkEnd w:id="74"/>
    <w:bookmarkEnd w:id="75"/>
    <w:bookmarkEnd w:id="76"/>
    <w:bookmarkEnd w:id="77"/>
    <w:p>
      <w:pPr>
        <w:pStyle w:val="32"/>
        <w:numPr>
          <w:ilvl w:val="0"/>
          <w:numId w:val="4"/>
        </w:numPr>
        <w:spacing w:line="360" w:lineRule="auto"/>
        <w:ind w:firstLineChars="0"/>
        <w:jc w:val="center"/>
        <w:outlineLvl w:val="0"/>
        <w:rPr>
          <w:rFonts w:ascii="Times New Roman" w:hAnsi="Times New Roman" w:cs="Times New Roman"/>
          <w:b/>
          <w:bCs/>
          <w:sz w:val="32"/>
          <w:szCs w:val="32"/>
        </w:rPr>
      </w:pPr>
      <w:bookmarkStart w:id="90" w:name="_Toc15478906"/>
      <w:bookmarkStart w:id="91" w:name="_Toc20420177"/>
      <w:bookmarkStart w:id="92" w:name="_Toc23437765"/>
      <w:bookmarkStart w:id="93" w:name="_Toc15592496"/>
      <w:bookmarkStart w:id="94" w:name="_Toc15479099"/>
      <w:bookmarkStart w:id="95" w:name="_Toc17739940"/>
      <w:bookmarkStart w:id="96" w:name="_Toc15577124"/>
      <w:bookmarkStart w:id="97" w:name="_Toc16013396"/>
      <w:bookmarkStart w:id="98" w:name="_Toc16013266"/>
      <w:bookmarkStart w:id="99" w:name="_Toc15479105"/>
      <w:bookmarkStart w:id="100" w:name="_Toc15478917"/>
      <w:r>
        <w:rPr>
          <w:rFonts w:hint="eastAsia" w:ascii="Times New Roman" w:hAnsi="Times New Roman" w:cs="Times New Roman"/>
          <w:b/>
          <w:bCs/>
          <w:sz w:val="32"/>
          <w:szCs w:val="32"/>
        </w:rPr>
        <w:t>无障碍设施要求</w:t>
      </w:r>
      <w:bookmarkEnd w:id="90"/>
      <w:bookmarkEnd w:id="91"/>
      <w:bookmarkEnd w:id="92"/>
      <w:bookmarkEnd w:id="93"/>
      <w:bookmarkEnd w:id="94"/>
      <w:bookmarkEnd w:id="95"/>
      <w:bookmarkEnd w:id="96"/>
      <w:bookmarkEnd w:id="97"/>
      <w:bookmarkEnd w:id="98"/>
      <w:bookmarkStart w:id="101" w:name="_Toc16013314"/>
      <w:bookmarkStart w:id="102" w:name="_Toc17739966"/>
      <w:bookmarkStart w:id="103" w:name="_Toc16013444"/>
    </w:p>
    <w:p>
      <w:pPr>
        <w:pStyle w:val="32"/>
        <w:numPr>
          <w:ilvl w:val="1"/>
          <w:numId w:val="5"/>
        </w:numPr>
        <w:spacing w:line="360" w:lineRule="auto"/>
        <w:ind w:firstLineChars="0"/>
        <w:jc w:val="center"/>
        <w:outlineLvl w:val="1"/>
        <w:rPr>
          <w:rFonts w:ascii="宋体" w:hAnsi="宋体"/>
        </w:rPr>
      </w:pPr>
      <w:bookmarkStart w:id="104" w:name="_Toc23437766"/>
      <w:bookmarkStart w:id="105" w:name="_Toc20420178"/>
      <w:bookmarkStart w:id="106" w:name="_Toc16013413"/>
      <w:bookmarkStart w:id="107" w:name="_Toc16013283"/>
      <w:bookmarkStart w:id="108" w:name="_Toc17739943"/>
      <w:r>
        <w:rPr>
          <w:rFonts w:hint="eastAsia" w:ascii="宋体" w:hAnsi="宋体"/>
        </w:rPr>
        <w:t>通行类设施</w:t>
      </w:r>
      <w:bookmarkEnd w:id="104"/>
      <w:bookmarkEnd w:id="105"/>
    </w:p>
    <w:p>
      <w:pPr>
        <w:pStyle w:val="32"/>
        <w:numPr>
          <w:ilvl w:val="2"/>
          <w:numId w:val="5"/>
        </w:numPr>
        <w:spacing w:line="360" w:lineRule="auto"/>
        <w:ind w:firstLineChars="0"/>
        <w:outlineLvl w:val="2"/>
        <w:rPr>
          <w:rFonts w:ascii="宋体" w:hAnsi="宋体"/>
        </w:rPr>
      </w:pPr>
      <w:r>
        <w:rPr>
          <w:rFonts w:hint="eastAsia" w:ascii="宋体" w:hAnsi="宋体"/>
        </w:rPr>
        <w:t>通行类设施包括缘石坡道、盲道、无障碍出入口、轮椅坡道、无障碍通道、无障碍楼梯、无障碍电梯、扶梯与传送带。</w:t>
      </w:r>
    </w:p>
    <w:p>
      <w:pPr>
        <w:pStyle w:val="32"/>
        <w:numPr>
          <w:ilvl w:val="2"/>
          <w:numId w:val="5"/>
        </w:numPr>
        <w:spacing w:line="360" w:lineRule="auto"/>
        <w:ind w:firstLineChars="0"/>
        <w:outlineLvl w:val="2"/>
        <w:rPr>
          <w:rFonts w:ascii="宋体" w:hAnsi="宋体"/>
        </w:rPr>
      </w:pPr>
      <w:r>
        <w:rPr>
          <w:rFonts w:hint="eastAsia" w:ascii="宋体" w:hAnsi="宋体"/>
        </w:rPr>
        <w:t>缘石坡道应</w:t>
      </w:r>
      <w:r>
        <w:rPr>
          <w:rFonts w:ascii="宋体" w:hAnsi="宋体"/>
        </w:rPr>
        <w:t>符合下列规定：</w:t>
      </w:r>
    </w:p>
    <w:p>
      <w:pPr>
        <w:pStyle w:val="32"/>
        <w:numPr>
          <w:ilvl w:val="0"/>
          <w:numId w:val="6"/>
        </w:numPr>
        <w:spacing w:line="360" w:lineRule="auto"/>
        <w:ind w:firstLine="424" w:firstLineChars="202"/>
      </w:pPr>
      <w:r>
        <w:rPr>
          <w:rFonts w:hint="eastAsia" w:ascii="宋体" w:hAnsi="宋体"/>
        </w:rPr>
        <w:t>缘石坡道</w:t>
      </w:r>
      <w:r>
        <w:rPr>
          <w:rFonts w:ascii="宋体" w:hAnsi="宋体"/>
        </w:rPr>
        <w:t>的坡口与车行道之间</w:t>
      </w:r>
      <w:r>
        <w:rPr>
          <w:rFonts w:hint="eastAsia" w:ascii="宋体" w:hAnsi="宋体"/>
        </w:rPr>
        <w:t>应</w:t>
      </w:r>
      <w:r>
        <w:rPr>
          <w:rFonts w:ascii="宋体" w:hAnsi="宋体"/>
        </w:rPr>
        <w:t>没有高差</w:t>
      </w:r>
      <w:r>
        <w:t>；</w:t>
      </w:r>
    </w:p>
    <w:p>
      <w:pPr>
        <w:pStyle w:val="32"/>
        <w:numPr>
          <w:ilvl w:val="0"/>
          <w:numId w:val="6"/>
        </w:numPr>
        <w:spacing w:line="360" w:lineRule="auto"/>
        <w:ind w:firstLine="424" w:firstLineChars="202"/>
      </w:pPr>
      <w:r>
        <w:t>三面坡缘石坡道正面及侧面的坡度不应大于</w:t>
      </w:r>
      <w:r>
        <w:rPr>
          <w:rFonts w:hint="eastAsia"/>
        </w:rPr>
        <w:t>1:20，受场地</w:t>
      </w:r>
      <w:r>
        <w:t>条件限制时坡度不应大于</w:t>
      </w:r>
      <w:r>
        <w:rPr>
          <w:rFonts w:hint="eastAsia"/>
        </w:rPr>
        <w:t>1:12；</w:t>
      </w:r>
      <w:r>
        <w:t>其他形式的缘石坡道的坡度均不应大于</w:t>
      </w:r>
      <w:r>
        <w:rPr>
          <w:rFonts w:hint="eastAsia"/>
        </w:rPr>
        <w:t>1:20，受场地</w:t>
      </w:r>
      <w:r>
        <w:t>条件限制时坡度不应大于</w:t>
      </w:r>
      <w:r>
        <w:rPr>
          <w:rFonts w:hint="eastAsia"/>
        </w:rPr>
        <w:t>1:12；</w:t>
      </w:r>
    </w:p>
    <w:p>
      <w:pPr>
        <w:pStyle w:val="32"/>
        <w:numPr>
          <w:ilvl w:val="0"/>
          <w:numId w:val="6"/>
        </w:numPr>
        <w:spacing w:line="360" w:lineRule="auto"/>
        <w:ind w:firstLine="424" w:firstLineChars="202"/>
      </w:pPr>
      <w:r>
        <w:rPr>
          <w:rFonts w:hint="eastAsia"/>
        </w:rPr>
        <w:t>全宽式单面坡缘石坡道的宽度应与人行道宽度相同</w:t>
      </w:r>
      <w:r>
        <w:t>；三面坡缘石坡道的正面坡道宽度不应小于1.20</w:t>
      </w:r>
      <w:r>
        <w:rPr>
          <w:rFonts w:hint="eastAsia"/>
        </w:rPr>
        <w:t>m</w:t>
      </w:r>
      <w:r>
        <w:t>；其他形式的缘石坡道的坡口宽度均不应小于1</w:t>
      </w:r>
      <w:r>
        <w:rPr>
          <w:rFonts w:hint="eastAsia"/>
        </w:rPr>
        <w:t>.</w:t>
      </w:r>
      <w:r>
        <w:t>50</w:t>
      </w:r>
      <w:r>
        <w:rPr>
          <w:rFonts w:hint="eastAsia"/>
        </w:rPr>
        <w:t>m</w:t>
      </w:r>
      <w:r>
        <w:t>。</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rPr>
      </w:pPr>
      <w:r>
        <w:rPr>
          <w:i/>
          <w:iCs/>
        </w:rPr>
        <w:t>缘石坡道的坡面应平整、防滑；</w:t>
      </w:r>
      <w:r>
        <w:rPr>
          <w:rFonts w:hint="eastAsia"/>
          <w:i/>
        </w:rPr>
        <w:t>在缘石坡道的类型中，单面坡缘石坡道是一种通行最为便利的缘石坡道，当缘石坡道顺着人行道路的方向布置时，采用全宽式单面坡缘石坡道(图4-1)最为方便。其他类型的缘石坡道，如三面坡缘石坡道(图4-2)等可根据具体情况有选择性地采用</w:t>
      </w:r>
      <w:r>
        <w:rPr>
          <w:i/>
        </w:rPr>
        <w:t>。</w:t>
      </w:r>
    </w:p>
    <w:p>
      <w:pPr>
        <w:spacing w:line="360" w:lineRule="auto"/>
        <w:contextualSpacing/>
        <w:jc w:val="center"/>
        <w:rPr>
          <w:i/>
        </w:rPr>
      </w:pPr>
      <w:r>
        <w:rPr>
          <w:i/>
          <w:lang w:bidi="mn-Mong-CN"/>
        </w:rPr>
        <w:drawing>
          <wp:anchor distT="0" distB="0" distL="114300" distR="114300" simplePos="0" relativeHeight="251658240" behindDoc="1" locked="0" layoutInCell="1" allowOverlap="1">
            <wp:simplePos x="0" y="0"/>
            <wp:positionH relativeFrom="column">
              <wp:posOffset>3461385</wp:posOffset>
            </wp:positionH>
            <wp:positionV relativeFrom="paragraph">
              <wp:posOffset>149225</wp:posOffset>
            </wp:positionV>
            <wp:extent cx="2392680" cy="1591945"/>
            <wp:effectExtent l="0" t="0" r="7620" b="8255"/>
            <wp:wrapTight wrapText="bothSides">
              <wp:wrapPolygon>
                <wp:start x="0" y="0"/>
                <wp:lineTo x="0" y="21454"/>
                <wp:lineTo x="21497" y="21454"/>
                <wp:lineTo x="21497" y="0"/>
                <wp:lineTo x="0" y="0"/>
              </wp:wrapPolygon>
            </wp:wrapTight>
            <wp:docPr id="6"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true"/>
                    </pic:cNvPicPr>
                  </pic:nvPicPr>
                  <pic:blipFill>
                    <a:blip r:embed="rId7"/>
                    <a:stretch>
                      <a:fillRect/>
                    </a:stretch>
                  </pic:blipFill>
                  <pic:spPr>
                    <a:xfrm>
                      <a:off x="0" y="0"/>
                      <a:ext cx="2392680" cy="1591945"/>
                    </a:xfrm>
                    <a:prstGeom prst="rect">
                      <a:avLst/>
                    </a:prstGeom>
                  </pic:spPr>
                </pic:pic>
              </a:graphicData>
            </a:graphic>
          </wp:anchor>
        </w:drawing>
      </w:r>
      <w:r>
        <w:rPr>
          <w:i/>
          <w:lang w:bidi="mn-Mong-CN"/>
        </w:rPr>
        <w:drawing>
          <wp:inline distT="0" distB="0" distL="0" distR="0">
            <wp:extent cx="2202180" cy="1715135"/>
            <wp:effectExtent l="0" t="0" r="7620" b="18415"/>
            <wp:docPr id="5" name="图片 4" descr="C:\Users\dell12\Desktop\图片1.png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descr="C:\Users\dell12\Desktop\图片1.png图片1"/>
                    <pic:cNvPicPr>
                      <a:picLocks noChangeAspect="true"/>
                    </pic:cNvPicPr>
                  </pic:nvPicPr>
                  <pic:blipFill>
                    <a:blip r:embed="rId8"/>
                    <a:srcRect/>
                    <a:stretch>
                      <a:fillRect/>
                    </a:stretch>
                  </pic:blipFill>
                  <pic:spPr>
                    <a:xfrm>
                      <a:off x="0" y="0"/>
                      <a:ext cx="2224003" cy="1715135"/>
                    </a:xfrm>
                    <a:prstGeom prst="rect">
                      <a:avLst/>
                    </a:prstGeom>
                  </pic:spPr>
                </pic:pic>
              </a:graphicData>
            </a:graphic>
          </wp:inline>
        </w:drawing>
      </w:r>
    </w:p>
    <w:p>
      <w:pPr>
        <w:spacing w:line="360" w:lineRule="auto"/>
        <w:contextualSpacing/>
        <w:jc w:val="center"/>
        <w:rPr>
          <w:i/>
        </w:rPr>
      </w:pPr>
      <w:r>
        <w:rPr>
          <w:rFonts w:hint="eastAsia"/>
          <w:i/>
        </w:rPr>
        <w:t>图4-1</w:t>
      </w:r>
      <w:r>
        <w:rPr>
          <w:i/>
        </w:rPr>
        <w:t>全宽式单面坡缘打坡道</w:t>
      </w:r>
      <w:r>
        <w:rPr>
          <w:rFonts w:hint="eastAsia"/>
          <w:i/>
        </w:rPr>
        <w:t xml:space="preserve">          图4-2</w:t>
      </w:r>
      <w:r>
        <w:rPr>
          <w:i/>
        </w:rPr>
        <w:t>三面坡缘石坡道</w:t>
      </w:r>
    </w:p>
    <w:p>
      <w:pPr>
        <w:pStyle w:val="32"/>
        <w:spacing w:line="360" w:lineRule="auto"/>
        <w:outlineLvl w:val="3"/>
        <w:rPr>
          <w:rFonts w:ascii="宋体" w:hAnsi="宋体"/>
          <w:i/>
        </w:rPr>
      </w:pPr>
      <w:r>
        <w:rPr>
          <w:rFonts w:hint="eastAsia" w:ascii="宋体" w:hAnsi="宋体"/>
          <w:i/>
        </w:rPr>
        <w:t>第1款 《无障碍</w:t>
      </w:r>
      <w:r>
        <w:rPr>
          <w:rFonts w:ascii="宋体" w:hAnsi="宋体"/>
          <w:i/>
        </w:rPr>
        <w:t>设计规范</w:t>
      </w:r>
      <w:r>
        <w:rPr>
          <w:rFonts w:hint="eastAsia" w:ascii="宋体" w:hAnsi="宋体"/>
          <w:i/>
        </w:rPr>
        <w:t>》（GB50763-2012）3</w:t>
      </w:r>
      <w:r>
        <w:rPr>
          <w:rFonts w:ascii="宋体" w:hAnsi="宋体"/>
          <w:i/>
        </w:rPr>
        <w:t>.1.1</w:t>
      </w:r>
      <w:r>
        <w:rPr>
          <w:rFonts w:hint="eastAsia" w:ascii="宋体" w:hAnsi="宋体"/>
          <w:i/>
        </w:rPr>
        <w:t>条标明缘石</w:t>
      </w:r>
      <w:r>
        <w:rPr>
          <w:rFonts w:ascii="宋体" w:hAnsi="宋体"/>
          <w:i/>
        </w:rPr>
        <w:t>坡道的坡口与车行道之间宜没有高差</w:t>
      </w:r>
      <w:r>
        <w:rPr>
          <w:rFonts w:hint="eastAsia" w:ascii="宋体" w:hAnsi="宋体"/>
          <w:i/>
        </w:rPr>
        <w:t>，</w:t>
      </w:r>
      <w:r>
        <w:rPr>
          <w:rFonts w:ascii="宋体" w:hAnsi="宋体"/>
          <w:i/>
        </w:rPr>
        <w:t>并允许当有高差时，高出车行道的地面不应大于</w:t>
      </w:r>
      <w:r>
        <w:rPr>
          <w:rFonts w:hint="eastAsia" w:ascii="宋体" w:hAnsi="宋体"/>
          <w:i/>
        </w:rPr>
        <w:t>10</w:t>
      </w:r>
      <w:r>
        <w:rPr>
          <w:rFonts w:hint="eastAsia"/>
          <w:i/>
          <w:iCs/>
        </w:rPr>
        <w:t>mm</w:t>
      </w:r>
      <w:r>
        <w:rPr>
          <w:rFonts w:hint="eastAsia" w:ascii="宋体" w:hAnsi="宋体"/>
          <w:i/>
        </w:rPr>
        <w:t>。依据肢体</w:t>
      </w:r>
      <w:r>
        <w:rPr>
          <w:rFonts w:ascii="宋体" w:hAnsi="宋体"/>
          <w:i/>
        </w:rPr>
        <w:t>残障人士</w:t>
      </w:r>
      <w:r>
        <w:rPr>
          <w:rFonts w:hint="eastAsia" w:ascii="宋体" w:hAnsi="宋体"/>
          <w:i/>
        </w:rPr>
        <w:t>使用</w:t>
      </w:r>
      <w:r>
        <w:rPr>
          <w:rFonts w:ascii="宋体" w:hAnsi="宋体"/>
          <w:i/>
        </w:rPr>
        <w:t>反馈，本设计标准提高设计要求</w:t>
      </w:r>
      <w:r>
        <w:rPr>
          <w:rFonts w:hint="eastAsia" w:ascii="宋体" w:hAnsi="宋体"/>
          <w:i/>
        </w:rPr>
        <w:t>，缘石</w:t>
      </w:r>
      <w:r>
        <w:rPr>
          <w:rFonts w:ascii="宋体" w:hAnsi="宋体"/>
          <w:i/>
        </w:rPr>
        <w:t>坡道坡口与车行道之间应没有高差。</w:t>
      </w:r>
    </w:p>
    <w:p>
      <w:pPr>
        <w:pStyle w:val="32"/>
        <w:spacing w:line="360" w:lineRule="auto"/>
        <w:rPr>
          <w:rFonts w:ascii="宋体" w:hAnsi="宋体"/>
          <w:i/>
        </w:rPr>
      </w:pPr>
      <w:r>
        <w:rPr>
          <w:rFonts w:hint="eastAsia" w:ascii="宋体" w:hAnsi="宋体"/>
          <w:i/>
        </w:rPr>
        <w:t>第2款 《无障碍</w:t>
      </w:r>
      <w:r>
        <w:rPr>
          <w:rFonts w:ascii="宋体" w:hAnsi="宋体"/>
          <w:i/>
        </w:rPr>
        <w:t>设计规范</w:t>
      </w:r>
      <w:r>
        <w:rPr>
          <w:rFonts w:hint="eastAsia" w:ascii="宋体" w:hAnsi="宋体"/>
          <w:i/>
        </w:rPr>
        <w:t>》（GB50763-2012）3.1.2条标明三面坡缘石</w:t>
      </w:r>
      <w:r>
        <w:rPr>
          <w:rFonts w:ascii="宋体" w:hAnsi="宋体"/>
          <w:i/>
        </w:rPr>
        <w:t>坡道正面及侧面坡</w:t>
      </w:r>
      <w:r>
        <w:rPr>
          <w:rFonts w:hint="eastAsia" w:ascii="宋体" w:hAnsi="宋体"/>
          <w:i/>
        </w:rPr>
        <w:t>和</w:t>
      </w:r>
      <w:r>
        <w:rPr>
          <w:rFonts w:ascii="宋体" w:hAnsi="宋体"/>
          <w:i/>
        </w:rPr>
        <w:t>其他形式坡缘石坡道</w:t>
      </w:r>
      <w:r>
        <w:rPr>
          <w:rFonts w:hint="eastAsia" w:ascii="宋体" w:hAnsi="宋体"/>
          <w:i/>
        </w:rPr>
        <w:t>坡度</w:t>
      </w:r>
      <w:r>
        <w:rPr>
          <w:rFonts w:ascii="宋体" w:hAnsi="宋体"/>
          <w:i/>
        </w:rPr>
        <w:t>不应大于</w:t>
      </w:r>
      <w:r>
        <w:rPr>
          <w:rFonts w:hint="eastAsia" w:ascii="宋体" w:hAnsi="宋体"/>
          <w:i/>
        </w:rPr>
        <w:t>1:12。依据肢体残障</w:t>
      </w:r>
      <w:r>
        <w:rPr>
          <w:rFonts w:ascii="宋体" w:hAnsi="宋体"/>
          <w:i/>
        </w:rPr>
        <w:t>人士使用反馈，</w:t>
      </w:r>
      <w:r>
        <w:rPr>
          <w:rFonts w:hint="eastAsia" w:ascii="宋体" w:hAnsi="宋体"/>
          <w:i/>
        </w:rPr>
        <w:t>1:12坡度</w:t>
      </w:r>
      <w:r>
        <w:rPr>
          <w:rFonts w:ascii="宋体" w:hAnsi="宋体"/>
          <w:i/>
        </w:rPr>
        <w:t>坡道</w:t>
      </w:r>
      <w:r>
        <w:rPr>
          <w:rFonts w:hint="eastAsia" w:ascii="宋体" w:hAnsi="宋体"/>
          <w:i/>
        </w:rPr>
        <w:t>对</w:t>
      </w:r>
      <w:r>
        <w:rPr>
          <w:rFonts w:ascii="宋体" w:hAnsi="宋体"/>
          <w:i/>
        </w:rPr>
        <w:t>无辅助人员</w:t>
      </w:r>
      <w:r>
        <w:rPr>
          <w:rFonts w:hint="eastAsia" w:ascii="宋体" w:hAnsi="宋体"/>
          <w:i/>
        </w:rPr>
        <w:t>条件下</w:t>
      </w:r>
      <w:r>
        <w:rPr>
          <w:rFonts w:ascii="宋体" w:hAnsi="宋体"/>
          <w:i/>
        </w:rPr>
        <w:t>手动轮椅通行造成障碍，结合《</w:t>
      </w:r>
      <w:r>
        <w:rPr>
          <w:rFonts w:hint="eastAsia" w:ascii="宋体" w:hAnsi="宋体"/>
          <w:i/>
        </w:rPr>
        <w:t>无障碍</w:t>
      </w:r>
      <w:r>
        <w:rPr>
          <w:rFonts w:ascii="宋体" w:hAnsi="宋体"/>
          <w:i/>
        </w:rPr>
        <w:t>设施设计施工及验收》</w:t>
      </w:r>
      <w:r>
        <w:rPr>
          <w:rFonts w:hint="eastAsia" w:ascii="宋体" w:hAnsi="宋体"/>
          <w:i/>
        </w:rPr>
        <w:t>1.1.1条，本</w:t>
      </w:r>
      <w:r>
        <w:rPr>
          <w:rFonts w:ascii="宋体" w:hAnsi="宋体"/>
          <w:i/>
        </w:rPr>
        <w:t>设计标准</w:t>
      </w:r>
      <w:r>
        <w:rPr>
          <w:rFonts w:hint="eastAsia" w:ascii="宋体" w:hAnsi="宋体"/>
          <w:i/>
        </w:rPr>
        <w:t>提高</w:t>
      </w:r>
      <w:r>
        <w:rPr>
          <w:rFonts w:ascii="宋体" w:hAnsi="宋体"/>
          <w:i/>
        </w:rPr>
        <w:t>设计要求，三面坡及其他形式坡的</w:t>
      </w:r>
      <w:r>
        <w:rPr>
          <w:rFonts w:hint="eastAsia" w:ascii="宋体" w:hAnsi="宋体"/>
          <w:i/>
        </w:rPr>
        <w:t>缘石</w:t>
      </w:r>
      <w:r>
        <w:rPr>
          <w:rFonts w:ascii="宋体" w:hAnsi="宋体"/>
          <w:i/>
        </w:rPr>
        <w:t>坡道坡度均不应大于</w:t>
      </w:r>
      <w:r>
        <w:rPr>
          <w:rFonts w:hint="eastAsia" w:ascii="宋体" w:hAnsi="宋体"/>
          <w:i/>
        </w:rPr>
        <w:t>1:20，</w:t>
      </w:r>
      <w:r>
        <w:rPr>
          <w:rFonts w:ascii="宋体" w:hAnsi="宋体"/>
          <w:i/>
        </w:rPr>
        <w:t>受场地条件限制情况下不应大于</w:t>
      </w:r>
      <w:r>
        <w:rPr>
          <w:rFonts w:hint="eastAsia" w:ascii="宋体" w:hAnsi="宋体"/>
          <w:i/>
        </w:rPr>
        <w:t>1:12。</w:t>
      </w:r>
    </w:p>
    <w:p>
      <w:pPr>
        <w:pStyle w:val="32"/>
        <w:numPr>
          <w:ilvl w:val="2"/>
          <w:numId w:val="5"/>
        </w:numPr>
        <w:spacing w:line="360" w:lineRule="auto"/>
        <w:ind w:firstLineChars="0"/>
        <w:outlineLvl w:val="2"/>
        <w:rPr>
          <w:rFonts w:ascii="宋体" w:hAnsi="宋体"/>
        </w:rPr>
      </w:pPr>
      <w:r>
        <w:rPr>
          <w:rFonts w:hint="eastAsia" w:ascii="宋体" w:hAnsi="宋体"/>
        </w:rPr>
        <w:t>盲道应</w:t>
      </w:r>
      <w:r>
        <w:rPr>
          <w:rFonts w:ascii="宋体" w:hAnsi="宋体"/>
        </w:rPr>
        <w:t>符合下列规定：</w:t>
      </w:r>
    </w:p>
    <w:p>
      <w:pPr>
        <w:pStyle w:val="32"/>
        <w:numPr>
          <w:ilvl w:val="0"/>
          <w:numId w:val="7"/>
        </w:numPr>
        <w:spacing w:line="360" w:lineRule="auto"/>
        <w:ind w:firstLine="424" w:firstLineChars="202"/>
      </w:pPr>
      <w:r>
        <w:rPr>
          <w:rFonts w:hint="eastAsia"/>
        </w:rPr>
        <w:t>行进盲道应与人行道的走向一致；</w:t>
      </w:r>
      <w:r>
        <w:t>行进盲道的宽度宜为250</w:t>
      </w:r>
      <w:r>
        <w:rPr>
          <w:rFonts w:hint="eastAsia"/>
        </w:rPr>
        <w:t>mm</w:t>
      </w:r>
      <w:r>
        <w:t>～500</w:t>
      </w:r>
      <w:r>
        <w:rPr>
          <w:rFonts w:hint="eastAsia"/>
        </w:rPr>
        <w:t>mm，</w:t>
      </w:r>
      <w:r>
        <w:t>当人行道宽度较窄时</w:t>
      </w:r>
      <w:r>
        <w:rPr>
          <w:rFonts w:hint="eastAsia"/>
        </w:rPr>
        <w:t>，</w:t>
      </w:r>
      <w:r>
        <w:t>宜</w:t>
      </w:r>
      <w:r>
        <w:rPr>
          <w:rFonts w:hint="eastAsia"/>
        </w:rPr>
        <w:t>取</w:t>
      </w:r>
      <w:r>
        <w:t>低</w:t>
      </w:r>
      <w:r>
        <w:rPr>
          <w:rFonts w:hint="eastAsia"/>
        </w:rPr>
        <w:t>值</w:t>
      </w:r>
      <w:r>
        <w:t>；</w:t>
      </w:r>
    </w:p>
    <w:p>
      <w:pPr>
        <w:pStyle w:val="32"/>
        <w:numPr>
          <w:ilvl w:val="0"/>
          <w:numId w:val="7"/>
        </w:numPr>
        <w:spacing w:line="360" w:lineRule="auto"/>
        <w:ind w:firstLine="424" w:firstLineChars="202"/>
      </w:pPr>
      <w:r>
        <w:t>行进盲道宜在距围墙、花台、绿化带250</w:t>
      </w:r>
      <w:r>
        <w:rPr>
          <w:rFonts w:hint="eastAsia"/>
        </w:rPr>
        <w:t>mm</w:t>
      </w:r>
      <w:r>
        <w:t>～500</w:t>
      </w:r>
      <w:r>
        <w:rPr>
          <w:rFonts w:hint="eastAsia"/>
        </w:rPr>
        <w:t>mm</w:t>
      </w:r>
      <w:r>
        <w:t>处设置；</w:t>
      </w:r>
    </w:p>
    <w:p>
      <w:pPr>
        <w:pStyle w:val="32"/>
        <w:numPr>
          <w:ilvl w:val="0"/>
          <w:numId w:val="7"/>
        </w:numPr>
        <w:spacing w:line="360" w:lineRule="auto"/>
        <w:ind w:firstLine="424" w:firstLineChars="202"/>
      </w:pPr>
      <w:r>
        <w:t>行进盲道宜在距树池边缘250</w:t>
      </w:r>
      <w:r>
        <w:rPr>
          <w:rFonts w:hint="eastAsia"/>
        </w:rPr>
        <w:t>mm</w:t>
      </w:r>
      <w:r>
        <w:t>～500</w:t>
      </w:r>
      <w:r>
        <w:rPr>
          <w:rFonts w:hint="eastAsia"/>
        </w:rPr>
        <w:t>mm</w:t>
      </w:r>
      <w:r>
        <w:t>处设置</w:t>
      </w:r>
      <w:r>
        <w:rPr>
          <w:rFonts w:hint="eastAsia"/>
        </w:rPr>
        <w:t>；</w:t>
      </w:r>
      <w:r>
        <w:t>如无树池，行进盲道与路缘石上沿在同一水平面时，距路缘石不应小于500</w:t>
      </w:r>
      <w:r>
        <w:rPr>
          <w:rFonts w:hint="eastAsia"/>
        </w:rPr>
        <w:t>mm</w:t>
      </w:r>
      <w:r>
        <w:t>，行进盲道比路缘石上沿低时，距路缘石不应小于250</w:t>
      </w:r>
      <w:r>
        <w:rPr>
          <w:rFonts w:hint="eastAsia"/>
        </w:rPr>
        <w:t>mm</w:t>
      </w:r>
      <w:r>
        <w:t>；盲道应避开非机动车停放的位置</w:t>
      </w:r>
      <w:r>
        <w:rPr>
          <w:rFonts w:hint="eastAsia"/>
        </w:rPr>
        <w:t>；</w:t>
      </w:r>
    </w:p>
    <w:p>
      <w:pPr>
        <w:pStyle w:val="32"/>
        <w:numPr>
          <w:ilvl w:val="0"/>
          <w:numId w:val="7"/>
        </w:numPr>
        <w:spacing w:line="360" w:lineRule="auto"/>
        <w:ind w:firstLine="424" w:firstLineChars="202"/>
      </w:pPr>
      <w:r>
        <w:t>行进盲道的触感条规格应符合表</w:t>
      </w:r>
      <w:r>
        <w:rPr>
          <w:rFonts w:hint="eastAsia"/>
        </w:rPr>
        <w:t>4.1.3-1</w:t>
      </w:r>
      <w:r>
        <w:t>的规定</w:t>
      </w:r>
      <w:r>
        <w:rPr>
          <w:rFonts w:hint="eastAsia"/>
        </w:rPr>
        <w:t>。</w:t>
      </w:r>
    </w:p>
    <w:p>
      <w:pPr>
        <w:pStyle w:val="32"/>
        <w:widowControl/>
        <w:spacing w:line="192" w:lineRule="auto"/>
        <w:ind w:firstLine="0" w:firstLineChars="0"/>
        <w:jc w:val="center"/>
        <w:rPr>
          <w:rFonts w:cs="华文中宋" w:asciiTheme="minorEastAsia" w:hAnsiTheme="minorEastAsia" w:eastAsiaTheme="minorEastAsia"/>
          <w:kern w:val="0"/>
        </w:rPr>
      </w:pPr>
      <w:r>
        <w:rPr>
          <w:rFonts w:hint="eastAsia" w:cs="华文中宋" w:asciiTheme="minorEastAsia" w:hAnsiTheme="minorEastAsia" w:eastAsiaTheme="minorEastAsia"/>
          <w:b/>
          <w:bCs/>
          <w:kern w:val="0"/>
        </w:rPr>
        <w:t>表4.1.3-1行进盲道的触感条规格</w:t>
      </w:r>
    </w:p>
    <w:tbl>
      <w:tblPr>
        <w:tblStyle w:val="19"/>
        <w:tblpPr w:leftFromText="180" w:rightFromText="180" w:vertAnchor="text" w:horzAnchor="page" w:tblpXSpec="center" w:tblpY="106"/>
        <w:tblOverlap w:val="never"/>
        <w:tblW w:w="5205" w:type="dxa"/>
        <w:tblInd w:w="0" w:type="dxa"/>
        <w:tblBorders>
          <w:top w:val="single" w:color="333333" w:sz="8" w:space="0"/>
          <w:left w:val="single" w:color="333333" w:sz="8" w:space="0"/>
          <w:bottom w:val="single" w:color="333333" w:sz="8" w:space="0"/>
          <w:right w:val="single" w:color="333333" w:sz="8" w:space="0"/>
          <w:insideH w:val="single" w:color="333333" w:sz="2" w:space="0"/>
          <w:insideV w:val="single" w:color="333333" w:sz="2" w:space="0"/>
        </w:tblBorders>
        <w:tblLayout w:type="fixed"/>
        <w:tblCellMar>
          <w:top w:w="15" w:type="dxa"/>
          <w:left w:w="15" w:type="dxa"/>
          <w:bottom w:w="15" w:type="dxa"/>
          <w:right w:w="15" w:type="dxa"/>
        </w:tblCellMar>
      </w:tblPr>
      <w:tblGrid>
        <w:gridCol w:w="2565"/>
        <w:gridCol w:w="2640"/>
      </w:tblGrid>
      <w:tr>
        <w:tblPrEx>
          <w:tblBorders>
            <w:top w:val="single" w:color="333333" w:sz="8"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trPr>
        <w:tc>
          <w:tcPr>
            <w:tcW w:w="2565" w:type="dxa"/>
            <w:tcBorders>
              <w:top w:val="single" w:color="333333" w:sz="12" w:space="0"/>
              <w:left w:val="nil"/>
              <w:bottom w:val="single" w:color="333333" w:sz="12"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部位</w:t>
            </w:r>
          </w:p>
        </w:tc>
        <w:tc>
          <w:tcPr>
            <w:tcW w:w="2640" w:type="dxa"/>
            <w:tcBorders>
              <w:top w:val="single" w:color="333333" w:sz="12" w:space="0"/>
              <w:left w:val="single" w:color="333333" w:sz="4" w:space="0"/>
              <w:bottom w:val="single" w:color="333333" w:sz="12" w:space="0"/>
              <w:right w:val="nil"/>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尺寸要求（</w:t>
            </w:r>
            <w:r>
              <w:rPr>
                <w:rFonts w:hint="eastAsia"/>
              </w:rPr>
              <w:t>mm</w:t>
            </w:r>
            <w:r>
              <w:rPr>
                <w:rFonts w:hint="eastAsia" w:asciiTheme="minorEastAsia" w:hAnsiTheme="minorEastAsia" w:eastAsiaTheme="minorEastAsia"/>
              </w:rPr>
              <w:t>）</w:t>
            </w:r>
          </w:p>
        </w:tc>
      </w:tr>
      <w:tr>
        <w:tblPrEx>
          <w:tblBorders>
            <w:top w:val="single" w:color="333333" w:sz="8"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trPr>
        <w:tc>
          <w:tcPr>
            <w:tcW w:w="2565" w:type="dxa"/>
            <w:tcBorders>
              <w:top w:val="single" w:color="333333" w:sz="12" w:space="0"/>
              <w:left w:val="nil"/>
              <w:bottom w:val="single" w:color="333333" w:sz="4"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面宽</w:t>
            </w:r>
          </w:p>
        </w:tc>
        <w:tc>
          <w:tcPr>
            <w:tcW w:w="2640" w:type="dxa"/>
            <w:tcBorders>
              <w:top w:val="single" w:color="333333" w:sz="12" w:space="0"/>
              <w:left w:val="single" w:color="333333" w:sz="4" w:space="0"/>
              <w:bottom w:val="single" w:color="333333" w:sz="4" w:space="0"/>
              <w:right w:val="nil"/>
            </w:tcBorders>
            <w:vAlign w:val="center"/>
          </w:tcPr>
          <w:p>
            <w:pPr>
              <w:pStyle w:val="32"/>
              <w:spacing w:line="360" w:lineRule="auto"/>
              <w:ind w:firstLine="0" w:firstLineChars="0"/>
            </w:pPr>
            <w:r>
              <w:rPr>
                <w:rFonts w:hint="eastAsia"/>
              </w:rPr>
              <w:t>25</w:t>
            </w:r>
          </w:p>
        </w:tc>
      </w:tr>
      <w:tr>
        <w:tblPrEx>
          <w:tblBorders>
            <w:top w:val="single" w:color="333333" w:sz="8"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trPr>
        <w:tc>
          <w:tcPr>
            <w:tcW w:w="2565" w:type="dxa"/>
            <w:tcBorders>
              <w:top w:val="single" w:color="333333" w:sz="4" w:space="0"/>
              <w:left w:val="nil"/>
              <w:bottom w:val="single" w:color="333333" w:sz="4"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底宽</w:t>
            </w:r>
            <w:r>
              <w:rPr>
                <w:rFonts w:asciiTheme="minorEastAsia" w:hAnsiTheme="minorEastAsia" w:eastAsiaTheme="minorEastAsia"/>
              </w:rPr>
              <w:t xml:space="preserve">  </w:t>
            </w:r>
          </w:p>
        </w:tc>
        <w:tc>
          <w:tcPr>
            <w:tcW w:w="2640" w:type="dxa"/>
            <w:tcBorders>
              <w:top w:val="single" w:color="333333" w:sz="4" w:space="0"/>
              <w:left w:val="single" w:color="333333" w:sz="4" w:space="0"/>
              <w:bottom w:val="single" w:color="333333" w:sz="4" w:space="0"/>
              <w:right w:val="nil"/>
            </w:tcBorders>
            <w:vAlign w:val="center"/>
          </w:tcPr>
          <w:p>
            <w:pPr>
              <w:pStyle w:val="32"/>
              <w:spacing w:line="360" w:lineRule="auto"/>
              <w:ind w:firstLine="0" w:firstLineChars="0"/>
            </w:pPr>
            <w:r>
              <w:rPr>
                <w:rFonts w:hint="eastAsia"/>
              </w:rPr>
              <w:t>35</w:t>
            </w:r>
          </w:p>
        </w:tc>
      </w:tr>
      <w:tr>
        <w:tblPrEx>
          <w:tblBorders>
            <w:top w:val="single" w:color="333333" w:sz="8"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trPr>
        <w:tc>
          <w:tcPr>
            <w:tcW w:w="2565" w:type="dxa"/>
            <w:tcBorders>
              <w:top w:val="single" w:color="333333" w:sz="4" w:space="0"/>
              <w:left w:val="nil"/>
              <w:bottom w:val="single" w:color="333333" w:sz="4"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高度</w:t>
            </w:r>
          </w:p>
        </w:tc>
        <w:tc>
          <w:tcPr>
            <w:tcW w:w="2640" w:type="dxa"/>
            <w:tcBorders>
              <w:top w:val="single" w:color="333333" w:sz="4" w:space="0"/>
              <w:left w:val="single" w:color="333333" w:sz="4" w:space="0"/>
              <w:bottom w:val="single" w:color="333333" w:sz="4" w:space="0"/>
              <w:right w:val="nil"/>
            </w:tcBorders>
            <w:vAlign w:val="center"/>
          </w:tcPr>
          <w:p>
            <w:pPr>
              <w:pStyle w:val="32"/>
              <w:spacing w:line="360" w:lineRule="auto"/>
              <w:ind w:firstLine="0" w:firstLineChars="0"/>
            </w:pPr>
            <w:r>
              <w:rPr>
                <w:rFonts w:hint="eastAsia"/>
              </w:rPr>
              <w:t>4</w:t>
            </w:r>
          </w:p>
        </w:tc>
      </w:tr>
      <w:tr>
        <w:tblPrEx>
          <w:tblBorders>
            <w:top w:val="single" w:color="333333" w:sz="8"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trPr>
        <w:tc>
          <w:tcPr>
            <w:tcW w:w="2565" w:type="dxa"/>
            <w:tcBorders>
              <w:top w:val="single" w:color="333333" w:sz="4" w:space="0"/>
              <w:left w:val="nil"/>
              <w:bottom w:val="single" w:color="333333" w:sz="12"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中心距</w:t>
            </w:r>
          </w:p>
        </w:tc>
        <w:tc>
          <w:tcPr>
            <w:tcW w:w="2640" w:type="dxa"/>
            <w:tcBorders>
              <w:top w:val="single" w:color="333333" w:sz="4" w:space="0"/>
              <w:left w:val="single" w:color="333333" w:sz="4" w:space="0"/>
              <w:bottom w:val="single" w:color="333333" w:sz="12" w:space="0"/>
              <w:right w:val="nil"/>
            </w:tcBorders>
            <w:vAlign w:val="center"/>
          </w:tcPr>
          <w:p>
            <w:pPr>
              <w:pStyle w:val="32"/>
              <w:spacing w:line="360" w:lineRule="auto"/>
              <w:ind w:firstLine="0" w:firstLineChars="0"/>
            </w:pPr>
            <w:r>
              <w:rPr>
                <w:rFonts w:hint="eastAsia"/>
              </w:rPr>
              <w:t>62～75</w:t>
            </w:r>
          </w:p>
        </w:tc>
      </w:tr>
    </w:tbl>
    <w:p>
      <w:pPr>
        <w:pStyle w:val="32"/>
        <w:spacing w:line="360" w:lineRule="auto"/>
        <w:ind w:firstLine="0" w:firstLineChars="0"/>
      </w:pPr>
    </w:p>
    <w:p>
      <w:pPr>
        <w:pStyle w:val="32"/>
        <w:spacing w:line="360" w:lineRule="auto"/>
        <w:ind w:firstLine="0" w:firstLineChars="0"/>
      </w:pPr>
    </w:p>
    <w:p>
      <w:pPr>
        <w:pStyle w:val="32"/>
        <w:spacing w:line="360" w:lineRule="auto"/>
        <w:ind w:firstLine="0" w:firstLineChars="0"/>
      </w:pPr>
    </w:p>
    <w:p>
      <w:pPr>
        <w:pStyle w:val="32"/>
        <w:spacing w:line="360" w:lineRule="auto"/>
        <w:ind w:firstLine="0" w:firstLineChars="0"/>
      </w:pPr>
    </w:p>
    <w:p>
      <w:pPr>
        <w:pStyle w:val="32"/>
        <w:spacing w:line="360" w:lineRule="auto"/>
        <w:ind w:firstLine="0" w:firstLineChars="0"/>
      </w:pPr>
    </w:p>
    <w:p>
      <w:pPr>
        <w:pStyle w:val="32"/>
        <w:spacing w:line="360" w:lineRule="auto"/>
        <w:ind w:firstLine="0" w:firstLineChars="0"/>
      </w:pPr>
    </w:p>
    <w:p>
      <w:pPr>
        <w:pStyle w:val="32"/>
        <w:numPr>
          <w:ilvl w:val="0"/>
          <w:numId w:val="7"/>
        </w:numPr>
        <w:spacing w:line="360" w:lineRule="auto"/>
        <w:ind w:firstLine="424" w:firstLineChars="202"/>
      </w:pPr>
      <w:r>
        <w:rPr>
          <w:rFonts w:hint="eastAsia"/>
        </w:rPr>
        <w:t>提示</w:t>
      </w:r>
      <w:r>
        <w:t>盲道在起点、终点、转弯处及其他有需要处</w:t>
      </w:r>
      <w:r>
        <w:rPr>
          <w:rFonts w:hint="eastAsia"/>
        </w:rPr>
        <w:t>，如楼梯、手扶电梯、坡道的顶部及底部、缘石坡道处</w:t>
      </w:r>
      <w:r>
        <w:t>应设提示盲道，当盲道的宽度不大于300</w:t>
      </w:r>
      <w:r>
        <w:rPr>
          <w:rFonts w:hint="eastAsia"/>
        </w:rPr>
        <w:t>mm</w:t>
      </w:r>
      <w:r>
        <w:t>时，提示盲道的宽度应大于行进盲道的宽度；</w:t>
      </w:r>
    </w:p>
    <w:p>
      <w:pPr>
        <w:pStyle w:val="32"/>
        <w:numPr>
          <w:ilvl w:val="0"/>
          <w:numId w:val="7"/>
        </w:numPr>
        <w:spacing w:line="360" w:lineRule="auto"/>
        <w:ind w:firstLine="424" w:firstLineChars="202"/>
      </w:pPr>
      <w:r>
        <w:rPr>
          <w:rFonts w:hint="eastAsia"/>
        </w:rPr>
        <w:t>提示盲道的触感圆点规格应符合表4.1.3-2的规定。</w:t>
      </w:r>
    </w:p>
    <w:p>
      <w:pPr>
        <w:pStyle w:val="32"/>
        <w:widowControl/>
        <w:spacing w:line="192" w:lineRule="auto"/>
        <w:ind w:firstLine="0" w:firstLineChars="0"/>
        <w:jc w:val="center"/>
        <w:rPr>
          <w:rFonts w:cs="华文中宋" w:asciiTheme="minorEastAsia" w:hAnsiTheme="minorEastAsia" w:eastAsiaTheme="minorEastAsia"/>
          <w:b/>
          <w:bCs/>
          <w:kern w:val="0"/>
        </w:rPr>
      </w:pPr>
      <w:r>
        <w:rPr>
          <w:rFonts w:hint="eastAsia" w:cs="华文中宋" w:asciiTheme="minorEastAsia" w:hAnsiTheme="minorEastAsia" w:eastAsiaTheme="minorEastAsia"/>
          <w:b/>
          <w:bCs/>
          <w:kern w:val="0"/>
        </w:rPr>
        <w:t>表4.</w:t>
      </w:r>
      <w:r>
        <w:rPr>
          <w:rFonts w:cs="华文中宋" w:asciiTheme="minorEastAsia" w:hAnsiTheme="minorEastAsia" w:eastAsiaTheme="minorEastAsia"/>
          <w:b/>
          <w:bCs/>
          <w:kern w:val="0"/>
        </w:rPr>
        <w:t>1</w:t>
      </w:r>
      <w:r>
        <w:rPr>
          <w:rFonts w:hint="eastAsia" w:cs="华文中宋" w:asciiTheme="minorEastAsia" w:hAnsiTheme="minorEastAsia" w:eastAsiaTheme="minorEastAsia"/>
          <w:b/>
          <w:bCs/>
          <w:kern w:val="0"/>
        </w:rPr>
        <w:t>.3-2提示盲道的触感圆点规格</w:t>
      </w:r>
    </w:p>
    <w:tbl>
      <w:tblPr>
        <w:tblStyle w:val="19"/>
        <w:tblW w:w="5505" w:type="dxa"/>
        <w:jc w:val="center"/>
        <w:tblBorders>
          <w:top w:val="single" w:color="333333" w:sz="2" w:space="0"/>
          <w:left w:val="single" w:color="333333" w:sz="8" w:space="0"/>
          <w:bottom w:val="single" w:color="333333" w:sz="8" w:space="0"/>
          <w:right w:val="single" w:color="333333" w:sz="8" w:space="0"/>
          <w:insideH w:val="single" w:color="333333" w:sz="2" w:space="0"/>
          <w:insideV w:val="single" w:color="333333" w:sz="2" w:space="0"/>
        </w:tblBorders>
        <w:tblLayout w:type="fixed"/>
        <w:tblCellMar>
          <w:top w:w="15" w:type="dxa"/>
          <w:left w:w="15" w:type="dxa"/>
          <w:bottom w:w="15" w:type="dxa"/>
          <w:right w:w="15" w:type="dxa"/>
        </w:tblCellMar>
      </w:tblPr>
      <w:tblGrid>
        <w:gridCol w:w="2745"/>
        <w:gridCol w:w="2760"/>
      </w:tblGrid>
      <w:tr>
        <w:tblPrEx>
          <w:tblBorders>
            <w:top w:val="single" w:color="333333" w:sz="2"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jc w:val="center"/>
        </w:trPr>
        <w:tc>
          <w:tcPr>
            <w:tcW w:w="2745" w:type="dxa"/>
            <w:tcBorders>
              <w:top w:val="single" w:color="333333" w:sz="12" w:space="0"/>
              <w:left w:val="nil"/>
              <w:bottom w:val="single" w:color="333333" w:sz="12"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部位</w:t>
            </w:r>
          </w:p>
        </w:tc>
        <w:tc>
          <w:tcPr>
            <w:tcW w:w="2760" w:type="dxa"/>
            <w:tcBorders>
              <w:top w:val="single" w:color="333333" w:sz="12" w:space="0"/>
              <w:left w:val="single" w:color="333333" w:sz="4" w:space="0"/>
              <w:bottom w:val="single" w:color="333333" w:sz="12" w:space="0"/>
              <w:right w:val="nil"/>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尺寸要求（</w:t>
            </w:r>
            <w:r>
              <w:rPr>
                <w:rFonts w:hint="eastAsia"/>
              </w:rPr>
              <w:t>mm</w:t>
            </w:r>
            <w:r>
              <w:rPr>
                <w:rFonts w:hint="eastAsia" w:asciiTheme="minorEastAsia" w:hAnsiTheme="minorEastAsia" w:eastAsiaTheme="minorEastAsia"/>
              </w:rPr>
              <w:t>）</w:t>
            </w:r>
          </w:p>
        </w:tc>
      </w:tr>
      <w:tr>
        <w:tblPrEx>
          <w:tblBorders>
            <w:top w:val="single" w:color="333333" w:sz="2"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jc w:val="center"/>
        </w:trPr>
        <w:tc>
          <w:tcPr>
            <w:tcW w:w="2745" w:type="dxa"/>
            <w:tcBorders>
              <w:top w:val="single" w:color="333333" w:sz="12" w:space="0"/>
              <w:left w:val="nil"/>
              <w:bottom w:val="single" w:color="333333" w:sz="4"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表面直径</w:t>
            </w:r>
          </w:p>
        </w:tc>
        <w:tc>
          <w:tcPr>
            <w:tcW w:w="2760" w:type="dxa"/>
            <w:tcBorders>
              <w:top w:val="single" w:color="333333" w:sz="12" w:space="0"/>
              <w:left w:val="single" w:color="333333" w:sz="4" w:space="0"/>
              <w:bottom w:val="single" w:color="333333" w:sz="4" w:space="0"/>
              <w:right w:val="nil"/>
            </w:tcBorders>
            <w:vAlign w:val="center"/>
          </w:tcPr>
          <w:p>
            <w:pPr>
              <w:pStyle w:val="32"/>
              <w:spacing w:line="360" w:lineRule="auto"/>
              <w:ind w:firstLine="0" w:firstLineChars="0"/>
            </w:pPr>
            <w:r>
              <w:rPr>
                <w:rFonts w:hint="eastAsia"/>
              </w:rPr>
              <w:t>25</w:t>
            </w:r>
          </w:p>
        </w:tc>
      </w:tr>
      <w:tr>
        <w:tblPrEx>
          <w:tblBorders>
            <w:top w:val="single" w:color="333333" w:sz="2"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jc w:val="center"/>
        </w:trPr>
        <w:tc>
          <w:tcPr>
            <w:tcW w:w="2745" w:type="dxa"/>
            <w:tcBorders>
              <w:top w:val="single" w:color="333333" w:sz="4" w:space="0"/>
              <w:left w:val="nil"/>
              <w:bottom w:val="single" w:color="333333" w:sz="4"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底面直径</w:t>
            </w:r>
          </w:p>
        </w:tc>
        <w:tc>
          <w:tcPr>
            <w:tcW w:w="2760" w:type="dxa"/>
            <w:tcBorders>
              <w:top w:val="single" w:color="333333" w:sz="4" w:space="0"/>
              <w:left w:val="single" w:color="333333" w:sz="4" w:space="0"/>
              <w:bottom w:val="single" w:color="333333" w:sz="4" w:space="0"/>
              <w:right w:val="nil"/>
            </w:tcBorders>
            <w:vAlign w:val="center"/>
          </w:tcPr>
          <w:p>
            <w:pPr>
              <w:pStyle w:val="32"/>
              <w:spacing w:line="360" w:lineRule="auto"/>
              <w:ind w:firstLine="0" w:firstLineChars="0"/>
            </w:pPr>
            <w:r>
              <w:rPr>
                <w:rFonts w:hint="eastAsia"/>
              </w:rPr>
              <w:t>35</w:t>
            </w:r>
          </w:p>
        </w:tc>
      </w:tr>
      <w:tr>
        <w:tblPrEx>
          <w:tblBorders>
            <w:top w:val="single" w:color="333333" w:sz="2"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jc w:val="center"/>
        </w:trPr>
        <w:tc>
          <w:tcPr>
            <w:tcW w:w="2745" w:type="dxa"/>
            <w:tcBorders>
              <w:top w:val="single" w:color="333333" w:sz="4" w:space="0"/>
              <w:left w:val="nil"/>
              <w:bottom w:val="single" w:color="333333" w:sz="4"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圆点高度</w:t>
            </w:r>
          </w:p>
        </w:tc>
        <w:tc>
          <w:tcPr>
            <w:tcW w:w="2760" w:type="dxa"/>
            <w:tcBorders>
              <w:top w:val="single" w:color="333333" w:sz="4" w:space="0"/>
              <w:left w:val="single" w:color="333333" w:sz="4" w:space="0"/>
              <w:bottom w:val="single" w:color="333333" w:sz="4" w:space="0"/>
              <w:right w:val="nil"/>
            </w:tcBorders>
            <w:vAlign w:val="center"/>
          </w:tcPr>
          <w:p>
            <w:pPr>
              <w:pStyle w:val="32"/>
              <w:spacing w:line="360" w:lineRule="auto"/>
              <w:ind w:firstLine="0" w:firstLineChars="0"/>
            </w:pPr>
            <w:r>
              <w:rPr>
                <w:rFonts w:hint="eastAsia"/>
              </w:rPr>
              <w:t>4</w:t>
            </w:r>
          </w:p>
        </w:tc>
      </w:tr>
      <w:tr>
        <w:tblPrEx>
          <w:tblBorders>
            <w:top w:val="single" w:color="333333" w:sz="2" w:space="0"/>
            <w:left w:val="single" w:color="333333" w:sz="8" w:space="0"/>
            <w:bottom w:val="single" w:color="333333" w:sz="8" w:space="0"/>
            <w:right w:val="single" w:color="333333" w:sz="8" w:space="0"/>
            <w:insideH w:val="single" w:color="333333" w:sz="2" w:space="0"/>
            <w:insideV w:val="single" w:color="333333" w:sz="2" w:space="0"/>
          </w:tblBorders>
          <w:tblCellMar>
            <w:top w:w="15" w:type="dxa"/>
            <w:left w:w="15" w:type="dxa"/>
            <w:bottom w:w="15" w:type="dxa"/>
            <w:right w:w="15" w:type="dxa"/>
          </w:tblCellMar>
        </w:tblPrEx>
        <w:trPr>
          <w:trHeight w:val="454" w:hRule="atLeast"/>
          <w:jc w:val="center"/>
        </w:trPr>
        <w:tc>
          <w:tcPr>
            <w:tcW w:w="2745" w:type="dxa"/>
            <w:tcBorders>
              <w:top w:val="single" w:color="333333" w:sz="4" w:space="0"/>
              <w:left w:val="nil"/>
              <w:bottom w:val="single" w:color="333333" w:sz="12" w:space="0"/>
              <w:right w:val="single" w:color="333333" w:sz="4" w:space="0"/>
            </w:tcBorders>
            <w:vAlign w:val="center"/>
          </w:tcPr>
          <w:p>
            <w:pPr>
              <w:pStyle w:val="32"/>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圆点中心距</w:t>
            </w:r>
          </w:p>
        </w:tc>
        <w:tc>
          <w:tcPr>
            <w:tcW w:w="2760" w:type="dxa"/>
            <w:tcBorders>
              <w:top w:val="single" w:color="333333" w:sz="4" w:space="0"/>
              <w:left w:val="single" w:color="333333" w:sz="4" w:space="0"/>
              <w:bottom w:val="single" w:color="333333" w:sz="12" w:space="0"/>
              <w:right w:val="nil"/>
            </w:tcBorders>
            <w:vAlign w:val="center"/>
          </w:tcPr>
          <w:p>
            <w:pPr>
              <w:pStyle w:val="32"/>
              <w:spacing w:line="360" w:lineRule="auto"/>
              <w:ind w:firstLine="0" w:firstLineChars="0"/>
            </w:pPr>
            <w:r>
              <w:rPr>
                <w:rFonts w:hint="eastAsia"/>
              </w:rPr>
              <w:t>50</w:t>
            </w:r>
          </w:p>
        </w:tc>
      </w:tr>
    </w:tbl>
    <w:p>
      <w:pPr>
        <w:pStyle w:val="32"/>
        <w:spacing w:line="360" w:lineRule="auto"/>
        <w:ind w:firstLine="0" w:firstLineChars="0"/>
      </w:pPr>
    </w:p>
    <w:p>
      <w:pPr>
        <w:pStyle w:val="32"/>
        <w:spacing w:line="360" w:lineRule="auto"/>
        <w:ind w:firstLine="0" w:firstLineChars="0"/>
        <w:outlineLvl w:val="3"/>
      </w:pPr>
      <w:r>
        <w:rPr>
          <w:rFonts w:hint="eastAsia"/>
          <w:b/>
          <w:i/>
        </w:rPr>
        <w:t>条文说明</w:t>
      </w:r>
    </w:p>
    <w:p>
      <w:pPr>
        <w:spacing w:line="360" w:lineRule="auto"/>
        <w:ind w:firstLine="420" w:firstLineChars="200"/>
        <w:contextualSpacing/>
        <w:rPr>
          <w:i/>
        </w:rPr>
      </w:pPr>
      <w:r>
        <w:rPr>
          <w:rFonts w:hint="eastAsia"/>
          <w:i/>
        </w:rPr>
        <w:t>盲道有两种类型，一种是行进盲道(图4-3)，行进盲道应能指引视觉障碍者安全行走和顺利到达无障碍设施的位置，呈条状；另一种是在行进盲道的起点、终点及拐弯处设置的提示盲道(图4-4)，提示盲道能告知视觉障碍者前方路线的空间环境将发生变化，呈圆点形。目前以250mm×250mm的成品盲道构件居多。</w:t>
      </w:r>
    </w:p>
    <w:p>
      <w:pPr>
        <w:spacing w:line="360" w:lineRule="auto"/>
        <w:ind w:firstLine="420" w:firstLineChars="200"/>
        <w:contextualSpacing/>
        <w:rPr>
          <w:i/>
        </w:rPr>
      </w:pPr>
      <w:r>
        <w:rPr>
          <w:rFonts w:hint="eastAsia"/>
          <w:i/>
        </w:rPr>
        <w:t>盲道型材表面应防滑。盲道的纹路应凸出路面4mm高。盲道铺设应连续，应避开树木(穴)、电线杆、拉线等障碍物，其他设施不得占用盲道。</w:t>
      </w:r>
    </w:p>
    <w:p>
      <w:pPr>
        <w:spacing w:line="360" w:lineRule="auto"/>
        <w:ind w:firstLine="420" w:firstLineChars="200"/>
        <w:contextualSpacing/>
        <w:rPr>
          <w:i/>
          <w:iCs/>
          <w:u w:val="single"/>
        </w:rPr>
      </w:pPr>
      <w:r>
        <w:rPr>
          <w:rFonts w:hint="eastAsia"/>
          <w:i/>
        </w:rPr>
        <w:t>盲道的颜色应与相邻的人行道铺面的颜色形成反差，并与周围景观相协调，宜采用中黄色。</w:t>
      </w:r>
    </w:p>
    <w:p>
      <w:pPr>
        <w:spacing w:line="360" w:lineRule="auto"/>
        <w:ind w:left="-141" w:leftChars="-67" w:firstLine="560" w:firstLineChars="267"/>
        <w:contextualSpacing/>
        <w:jc w:val="center"/>
        <w:rPr>
          <w:rFonts w:ascii="等线" w:hAnsi="等线" w:eastAsia="等线" w:cs="华文中宋"/>
          <w:i/>
          <w:sz w:val="24"/>
          <w:szCs w:val="24"/>
        </w:rPr>
      </w:pPr>
      <w:r>
        <w:rPr>
          <w:i/>
          <w:lang w:bidi="mn-Mong-CN"/>
        </w:rPr>
        <w:drawing>
          <wp:inline distT="0" distB="0" distL="0" distR="0">
            <wp:extent cx="1682750" cy="1963420"/>
            <wp:effectExtent l="0" t="0" r="0" b="0"/>
            <wp:docPr id="17" name="图片 17"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3"/>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l="21024" t="10388" r="46399"/>
                    <a:stretch>
                      <a:fillRect/>
                    </a:stretch>
                  </pic:blipFill>
                  <pic:spPr>
                    <a:xfrm>
                      <a:off x="0" y="0"/>
                      <a:ext cx="1682750" cy="1963420"/>
                    </a:xfrm>
                    <a:prstGeom prst="rect">
                      <a:avLst/>
                    </a:prstGeom>
                    <a:noFill/>
                    <a:ln>
                      <a:noFill/>
                    </a:ln>
                  </pic:spPr>
                </pic:pic>
              </a:graphicData>
            </a:graphic>
          </wp:inline>
        </w:drawing>
      </w:r>
      <w:r>
        <w:rPr>
          <w:i/>
          <w:lang w:bidi="mn-Mong-CN"/>
        </w:rPr>
        <w:drawing>
          <wp:inline distT="0" distB="0" distL="0" distR="0">
            <wp:extent cx="1587500" cy="1959610"/>
            <wp:effectExtent l="0" t="0" r="0" b="2540"/>
            <wp:docPr id="1" name="图片 1" descr="C:\Users\T\AppData\Local\Microsoft\Windows\INetCache\Content.Word\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T\AppData\Local\Microsoft\Windows\INetCache\Content.Word\3.jpg"/>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l="55638" t="10388" r="13637"/>
                    <a:stretch>
                      <a:fillRect/>
                    </a:stretch>
                  </pic:blipFill>
                  <pic:spPr>
                    <a:xfrm>
                      <a:off x="0" y="0"/>
                      <a:ext cx="1587688" cy="1959610"/>
                    </a:xfrm>
                    <a:prstGeom prst="rect">
                      <a:avLst/>
                    </a:prstGeom>
                    <a:noFill/>
                    <a:ln>
                      <a:noFill/>
                    </a:ln>
                  </pic:spPr>
                </pic:pic>
              </a:graphicData>
            </a:graphic>
          </wp:inline>
        </w:drawing>
      </w:r>
    </w:p>
    <w:p>
      <w:pPr>
        <w:spacing w:line="360" w:lineRule="auto"/>
        <w:ind w:firstLine="2940" w:firstLineChars="1400"/>
        <w:contextualSpacing/>
        <w:rPr>
          <w:i/>
        </w:rPr>
      </w:pPr>
      <w:r>
        <w:rPr>
          <w:rFonts w:hint="eastAsia"/>
          <w:i/>
        </w:rPr>
        <w:t>图4-3</w:t>
      </w:r>
      <w:r>
        <w:rPr>
          <w:i/>
        </w:rPr>
        <w:t>行进盲道</w:t>
      </w:r>
      <w:r>
        <w:rPr>
          <w:rFonts w:hint="eastAsia"/>
          <w:i/>
        </w:rPr>
        <w:t xml:space="preserve">         </w:t>
      </w:r>
      <w:r>
        <w:rPr>
          <w:i/>
        </w:rPr>
        <w:t xml:space="preserve"> </w:t>
      </w:r>
      <w:r>
        <w:rPr>
          <w:rFonts w:hint="eastAsia"/>
          <w:i/>
        </w:rPr>
        <w:t xml:space="preserve">   图4-4</w:t>
      </w:r>
      <w:r>
        <w:rPr>
          <w:i/>
        </w:rPr>
        <w:t>提示盲道</w:t>
      </w:r>
    </w:p>
    <w:p>
      <w:pPr>
        <w:pStyle w:val="32"/>
        <w:numPr>
          <w:ilvl w:val="2"/>
          <w:numId w:val="5"/>
        </w:numPr>
        <w:spacing w:line="360" w:lineRule="auto"/>
        <w:ind w:firstLineChars="0"/>
        <w:outlineLvl w:val="2"/>
        <w:rPr>
          <w:rFonts w:ascii="宋体" w:hAnsi="宋体"/>
        </w:rPr>
      </w:pPr>
      <w:r>
        <w:rPr>
          <w:rFonts w:hint="eastAsia" w:ascii="宋体" w:hAnsi="宋体"/>
        </w:rPr>
        <w:t>无障碍出入口应</w:t>
      </w:r>
      <w:r>
        <w:rPr>
          <w:rFonts w:ascii="宋体" w:hAnsi="宋体"/>
        </w:rPr>
        <w:t>符合下列规定：</w:t>
      </w:r>
    </w:p>
    <w:p>
      <w:pPr>
        <w:pStyle w:val="32"/>
        <w:numPr>
          <w:ilvl w:val="0"/>
          <w:numId w:val="8"/>
        </w:numPr>
        <w:spacing w:line="360" w:lineRule="auto"/>
        <w:ind w:firstLine="424" w:firstLineChars="202"/>
      </w:pPr>
      <w:r>
        <w:rPr>
          <w:rFonts w:hint="eastAsia"/>
        </w:rPr>
        <w:t>无障碍</w:t>
      </w:r>
      <w:r>
        <w:t>出入口包括平坡出入口</w:t>
      </w:r>
      <w:r>
        <w:rPr>
          <w:rFonts w:hint="eastAsia"/>
        </w:rPr>
        <w:t>、</w:t>
      </w:r>
      <w:r>
        <w:t>同时设置台阶和轮椅坡道的出入口</w:t>
      </w:r>
      <w:r>
        <w:rPr>
          <w:rFonts w:hint="eastAsia"/>
        </w:rPr>
        <w:t>、</w:t>
      </w:r>
      <w:r>
        <w:t>同时设置台阶和升降平台的出入口</w:t>
      </w:r>
      <w:r>
        <w:rPr>
          <w:rFonts w:hint="eastAsia"/>
        </w:rPr>
        <w:t>几种</w:t>
      </w:r>
      <w:r>
        <w:t>类别</w:t>
      </w:r>
      <w:r>
        <w:rPr>
          <w:rFonts w:hint="eastAsia"/>
        </w:rPr>
        <w:t>。</w:t>
      </w:r>
    </w:p>
    <w:p>
      <w:pPr>
        <w:pStyle w:val="32"/>
        <w:numPr>
          <w:ilvl w:val="0"/>
          <w:numId w:val="8"/>
        </w:numPr>
        <w:spacing w:line="360" w:lineRule="auto"/>
        <w:ind w:firstLine="424" w:firstLineChars="202"/>
      </w:pPr>
      <w:r>
        <w:t>无障碍出入口的地面应平整、防滑；室外地面滤水箅子</w:t>
      </w:r>
      <w:r>
        <w:rPr>
          <w:rFonts w:hint="eastAsia"/>
        </w:rPr>
        <w:t>格缝</w:t>
      </w:r>
      <w:r>
        <w:t>宽度不应大于15</w:t>
      </w:r>
      <w:r>
        <w:rPr>
          <w:rFonts w:hint="eastAsia"/>
        </w:rPr>
        <w:t>mm，格缝的排列方向应与通行方向垂直；</w:t>
      </w:r>
    </w:p>
    <w:p>
      <w:pPr>
        <w:pStyle w:val="32"/>
        <w:numPr>
          <w:ilvl w:val="0"/>
          <w:numId w:val="8"/>
        </w:numPr>
        <w:spacing w:line="360" w:lineRule="auto"/>
        <w:ind w:firstLine="424" w:firstLineChars="202"/>
      </w:pPr>
      <w:r>
        <w:t>建筑物无障碍出入口的上方应设置雨棚</w:t>
      </w:r>
      <w:r>
        <w:rPr>
          <w:rFonts w:hint="eastAsia"/>
        </w:rPr>
        <w:t>，雨棚进深不小于1.50m</w:t>
      </w:r>
      <w:r>
        <w:t>。</w:t>
      </w:r>
    </w:p>
    <w:p>
      <w:pPr>
        <w:pStyle w:val="32"/>
        <w:numPr>
          <w:ilvl w:val="0"/>
          <w:numId w:val="8"/>
        </w:numPr>
        <w:spacing w:line="360" w:lineRule="auto"/>
        <w:ind w:firstLine="424" w:firstLineChars="202"/>
      </w:pPr>
      <w:r>
        <w:t>同时设置台阶和升降平台的出入口宜只应用于受场地限制无法改造坡道的工程。并应符合本标准第</w:t>
      </w:r>
      <w:r>
        <w:rPr>
          <w:rFonts w:hint="eastAsia"/>
        </w:rPr>
        <w:t>4.1.8条</w:t>
      </w:r>
      <w:r>
        <w:t>的有关规定；</w:t>
      </w:r>
    </w:p>
    <w:p>
      <w:pPr>
        <w:pStyle w:val="32"/>
        <w:numPr>
          <w:ilvl w:val="0"/>
          <w:numId w:val="8"/>
        </w:numPr>
        <w:spacing w:line="360" w:lineRule="auto"/>
        <w:ind w:firstLine="424" w:firstLineChars="202"/>
      </w:pPr>
      <w:r>
        <w:rPr>
          <w:rFonts w:hint="eastAsia"/>
        </w:rPr>
        <w:t>无障碍</w:t>
      </w:r>
      <w:r>
        <w:t>出入口的平坡出入口的地面坡度不应大于1：20，当场地条件比较好时，不宜大于1：30；同时设置台阶和轮椅坡道的出入口，轮椅坡道的坡度应符合本标准第</w:t>
      </w:r>
      <w:r>
        <w:rPr>
          <w:rFonts w:hint="eastAsia"/>
        </w:rPr>
        <w:t>4.1.5条</w:t>
      </w:r>
      <w:r>
        <w:t>的有关规定</w:t>
      </w:r>
      <w:r>
        <w:rPr>
          <w:rFonts w:hint="eastAsia"/>
        </w:rPr>
        <w:t>。</w:t>
      </w:r>
    </w:p>
    <w:p>
      <w:pPr>
        <w:pStyle w:val="32"/>
        <w:numPr>
          <w:ilvl w:val="0"/>
          <w:numId w:val="8"/>
        </w:numPr>
        <w:spacing w:line="360" w:lineRule="auto"/>
        <w:ind w:firstLine="424" w:firstLineChars="202"/>
      </w:pPr>
      <w:r>
        <w:t>除平坡出入口外，在门完全开启的状态下，建筑物无障碍出入口的平台的净深度不应小于</w:t>
      </w:r>
      <w:r>
        <w:rPr>
          <w:rFonts w:hint="eastAsia"/>
        </w:rPr>
        <w:t>1.</w:t>
      </w:r>
      <w:r>
        <w:t>50</w:t>
      </w:r>
      <w:r>
        <w:rPr>
          <w:rFonts w:hint="eastAsia"/>
        </w:rPr>
        <w:t>m</w:t>
      </w:r>
      <w:r>
        <w:t>；建筑物无障碍出入口的门厅、过厅如设置两道门，门扇同时开启时两道门的间距不应小于</w:t>
      </w:r>
      <w:r>
        <w:rPr>
          <w:rFonts w:hint="eastAsia"/>
        </w:rPr>
        <w:t>1.</w:t>
      </w:r>
      <w:r>
        <w:t>50</w:t>
      </w:r>
      <w:r>
        <w:rPr>
          <w:rFonts w:hint="eastAsia"/>
        </w:rPr>
        <w:t>m。</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rPr>
      </w:pPr>
      <w:r>
        <w:rPr>
          <w:i/>
        </w:rPr>
        <w:t>第1款</w:t>
      </w:r>
      <w:r>
        <w:rPr>
          <w:rFonts w:hint="eastAsia"/>
          <w:i/>
        </w:rPr>
        <w:t xml:space="preserve"> </w:t>
      </w:r>
      <w:r>
        <w:rPr>
          <w:i/>
        </w:rPr>
        <w:t>平坡出入口应该在工程中，特别是大型公共建筑中优先选用。同时设置台阶和升降平台的出入口主要适用以下情况：在建筑出入口进行无障碍改造时，因为场地条件有限而无法修建坡道，可以采用占地面积小的升降平台取代轮椅坡道</w:t>
      </w:r>
      <w:r>
        <w:rPr>
          <w:rFonts w:hint="eastAsia"/>
          <w:i/>
        </w:rPr>
        <w:t>，</w:t>
      </w:r>
      <w:r>
        <w:rPr>
          <w:i/>
        </w:rPr>
        <w:t>一般的新建建筑不提倡此种做法。</w:t>
      </w:r>
    </w:p>
    <w:p>
      <w:pPr>
        <w:spacing w:line="360" w:lineRule="auto"/>
        <w:ind w:firstLine="420" w:firstLineChars="200"/>
        <w:rPr>
          <w:i/>
        </w:rPr>
      </w:pPr>
      <w:r>
        <w:rPr>
          <w:rFonts w:hint="eastAsia"/>
          <w:i/>
        </w:rPr>
        <w:t xml:space="preserve">第2款 </w:t>
      </w:r>
      <w:r>
        <w:rPr>
          <w:i/>
        </w:rPr>
        <w:t>一般设计中不提倡将室外地面滤水箅子设置在常用的人行通路上，对其孔宽的限定是为了防止卡住轮椅的轮子、盲杖等。</w:t>
      </w:r>
      <w:r>
        <w:rPr>
          <w:rFonts w:hint="eastAsia"/>
          <w:i/>
        </w:rPr>
        <w:t>《无障碍</w:t>
      </w:r>
      <w:r>
        <w:rPr>
          <w:i/>
        </w:rPr>
        <w:t>设计规范</w:t>
      </w:r>
      <w:r>
        <w:rPr>
          <w:rFonts w:hint="eastAsia"/>
          <w:i/>
        </w:rPr>
        <w:t>》（</w:t>
      </w:r>
      <w:r>
        <w:rPr>
          <w:i/>
        </w:rPr>
        <w:t>GB50763-2012</w:t>
      </w:r>
      <w:r>
        <w:rPr>
          <w:rFonts w:hint="eastAsia"/>
          <w:i/>
        </w:rPr>
        <w:t>）3.2.2对室外</w:t>
      </w:r>
      <w:r>
        <w:rPr>
          <w:i/>
        </w:rPr>
        <w:t>地面</w:t>
      </w:r>
      <w:r>
        <w:rPr>
          <w:rFonts w:hint="eastAsia"/>
          <w:i/>
        </w:rPr>
        <w:t>滤</w:t>
      </w:r>
      <w:r>
        <w:rPr>
          <w:i/>
        </w:rPr>
        <w:t>水篦子</w:t>
      </w:r>
      <w:r>
        <w:rPr>
          <w:rFonts w:hint="eastAsia"/>
          <w:i/>
        </w:rPr>
        <w:t>孔洞</w:t>
      </w:r>
      <w:r>
        <w:rPr>
          <w:i/>
        </w:rPr>
        <w:t>设置</w:t>
      </w:r>
      <w:r>
        <w:rPr>
          <w:rFonts w:hint="eastAsia"/>
          <w:i/>
        </w:rPr>
        <w:t>方向</w:t>
      </w:r>
      <w:r>
        <w:rPr>
          <w:i/>
        </w:rPr>
        <w:t>无要求</w:t>
      </w:r>
      <w:r>
        <w:rPr>
          <w:rFonts w:hint="eastAsia"/>
          <w:i/>
        </w:rPr>
        <w:t>，结合《澳门</w:t>
      </w:r>
      <w:r>
        <w:rPr>
          <w:i/>
        </w:rPr>
        <w:t>特区无障碍通用设计建筑指引</w:t>
      </w:r>
      <w:r>
        <w:rPr>
          <w:rFonts w:hint="eastAsia"/>
          <w:i/>
        </w:rPr>
        <w:t>》2.2.1条，</w:t>
      </w:r>
      <w:r>
        <w:rPr>
          <w:i/>
        </w:rPr>
        <w:t>本设计标准</w:t>
      </w:r>
      <w:r>
        <w:rPr>
          <w:rFonts w:hint="eastAsia"/>
          <w:i/>
        </w:rPr>
        <w:t>增加</w:t>
      </w:r>
      <w:r>
        <w:rPr>
          <w:i/>
        </w:rPr>
        <w:t>设计要求</w:t>
      </w:r>
      <w:r>
        <w:rPr>
          <w:rFonts w:hint="eastAsia"/>
          <w:i/>
        </w:rPr>
        <w:t>，当滤水</w:t>
      </w:r>
      <w:r>
        <w:rPr>
          <w:i/>
        </w:rPr>
        <w:t>箅子格</w:t>
      </w:r>
      <w:r>
        <w:rPr>
          <w:rFonts w:hint="eastAsia"/>
          <w:i/>
        </w:rPr>
        <w:t>缝</w:t>
      </w:r>
      <w:r>
        <w:rPr>
          <w:i/>
        </w:rPr>
        <w:t>为长方形孔洞时，格</w:t>
      </w:r>
      <w:r>
        <w:rPr>
          <w:rFonts w:hint="eastAsia"/>
          <w:i/>
        </w:rPr>
        <w:t>缝</w:t>
      </w:r>
      <w:r>
        <w:rPr>
          <w:i/>
        </w:rPr>
        <w:t>长边排列方式</w:t>
      </w:r>
      <w:r>
        <w:rPr>
          <w:rFonts w:hint="eastAsia"/>
          <w:i/>
        </w:rPr>
        <w:t>应</w:t>
      </w:r>
      <w:r>
        <w:rPr>
          <w:i/>
        </w:rPr>
        <w:t>与通行方向</w:t>
      </w:r>
      <w:r>
        <w:rPr>
          <w:rFonts w:hint="eastAsia"/>
          <w:i/>
        </w:rPr>
        <w:t>垂直</w:t>
      </w:r>
      <w:r>
        <w:rPr>
          <w:i/>
        </w:rPr>
        <w:t>。</w:t>
      </w:r>
    </w:p>
    <w:p>
      <w:pPr>
        <w:spacing w:line="360" w:lineRule="auto"/>
        <w:ind w:firstLine="420" w:firstLineChars="200"/>
        <w:rPr>
          <w:i/>
        </w:rPr>
      </w:pPr>
      <w:r>
        <w:rPr>
          <w:rFonts w:hint="eastAsia"/>
          <w:i/>
        </w:rPr>
        <w:t>第3款 考虑地域性气候特点，对建筑物无障碍出入口的上方雨棚最小宽度进行限定。</w:t>
      </w:r>
    </w:p>
    <w:p>
      <w:pPr>
        <w:pStyle w:val="32"/>
        <w:spacing w:line="360" w:lineRule="auto"/>
        <w:outlineLvl w:val="3"/>
        <w:rPr>
          <w:i/>
        </w:rPr>
      </w:pPr>
      <w:r>
        <w:rPr>
          <w:rFonts w:hint="eastAsia"/>
          <w:i/>
        </w:rPr>
        <w:t xml:space="preserve">第5款 </w:t>
      </w:r>
      <w:r>
        <w:rPr>
          <w:i/>
        </w:rPr>
        <w:t>调查表明，坡面越平缓</w:t>
      </w:r>
      <w:r>
        <w:rPr>
          <w:rFonts w:hint="eastAsia"/>
          <w:i/>
        </w:rPr>
        <w:t>，</w:t>
      </w:r>
      <w:r>
        <w:rPr>
          <w:i/>
        </w:rPr>
        <w:t>人们越容易自主地使用坡道。《民用建筑设计通则》</w:t>
      </w:r>
      <w:r>
        <w:rPr>
          <w:rFonts w:hint="eastAsia" w:ascii="宋体" w:hAnsi="宋体"/>
          <w:i/>
        </w:rPr>
        <w:t>（GB50352—2005）</w:t>
      </w:r>
      <w:r>
        <w:rPr>
          <w:i/>
        </w:rPr>
        <w:t>规定基地步行道的纵坡不应小于0</w:t>
      </w:r>
      <w:r>
        <w:rPr>
          <w:rFonts w:hint="eastAsia"/>
          <w:i/>
        </w:rPr>
        <w:t>.</w:t>
      </w:r>
      <w:r>
        <w:rPr>
          <w:i/>
        </w:rPr>
        <w:t>2％，平坡入口的地面坡度还应满足此要求，并且需要结合室内外高差、建筑所在地的具体情况等综合选定适宜坡度。</w:t>
      </w:r>
    </w:p>
    <w:p>
      <w:pPr>
        <w:spacing w:line="360" w:lineRule="auto"/>
        <w:ind w:firstLine="420" w:firstLineChars="200"/>
        <w:rPr>
          <w:i/>
        </w:rPr>
      </w:pPr>
      <w:r>
        <w:rPr>
          <w:rFonts w:hint="eastAsia"/>
          <w:i/>
        </w:rPr>
        <w:t xml:space="preserve">第6款 </w:t>
      </w:r>
      <w:r>
        <w:rPr>
          <w:i/>
        </w:rPr>
        <w:t>建筑入口的平台</w:t>
      </w:r>
      <w:r>
        <w:rPr>
          <w:rFonts w:hint="eastAsia"/>
          <w:i/>
        </w:rPr>
        <w:t>需满足</w:t>
      </w:r>
      <w:r>
        <w:rPr>
          <w:i/>
        </w:rPr>
        <w:t>乘轮椅者的通行和回转，还应给其他人的通行和停留带来便利和安全</w:t>
      </w:r>
      <w:r>
        <w:rPr>
          <w:rFonts w:hint="eastAsia"/>
          <w:i/>
        </w:rPr>
        <w:t>，并</w:t>
      </w:r>
      <w:r>
        <w:rPr>
          <w:i/>
        </w:rPr>
        <w:t>对开启门扇后的最小间距作出限定。</w:t>
      </w:r>
    </w:p>
    <w:p>
      <w:pPr>
        <w:pStyle w:val="32"/>
        <w:numPr>
          <w:ilvl w:val="2"/>
          <w:numId w:val="5"/>
        </w:numPr>
        <w:spacing w:line="360" w:lineRule="auto"/>
        <w:ind w:firstLineChars="0"/>
        <w:outlineLvl w:val="2"/>
        <w:rPr>
          <w:rFonts w:ascii="宋体" w:hAnsi="宋体"/>
        </w:rPr>
      </w:pPr>
      <w:r>
        <w:rPr>
          <w:rFonts w:hint="eastAsia" w:ascii="宋体" w:hAnsi="宋体"/>
        </w:rPr>
        <w:t>轮椅坡道应</w:t>
      </w:r>
      <w:r>
        <w:rPr>
          <w:rFonts w:ascii="宋体" w:hAnsi="宋体"/>
        </w:rPr>
        <w:t>符合下列</w:t>
      </w:r>
      <w:r>
        <w:rPr>
          <w:rFonts w:hint="eastAsia" w:ascii="宋体" w:hAnsi="宋体"/>
        </w:rPr>
        <w:t>规定</w:t>
      </w:r>
      <w:r>
        <w:rPr>
          <w:rFonts w:ascii="宋体" w:hAnsi="宋体"/>
        </w:rPr>
        <w:t>：</w:t>
      </w:r>
    </w:p>
    <w:p>
      <w:pPr>
        <w:pStyle w:val="32"/>
        <w:numPr>
          <w:ilvl w:val="0"/>
          <w:numId w:val="9"/>
        </w:numPr>
        <w:spacing w:line="360" w:lineRule="auto"/>
        <w:ind w:firstLine="424" w:firstLineChars="202"/>
      </w:pPr>
      <w:r>
        <w:t>轮椅坡道宜设计成直线形、直角形或折返形。</w:t>
      </w:r>
    </w:p>
    <w:p>
      <w:pPr>
        <w:pStyle w:val="32"/>
        <w:numPr>
          <w:ilvl w:val="0"/>
          <w:numId w:val="9"/>
        </w:numPr>
        <w:spacing w:line="360" w:lineRule="auto"/>
        <w:ind w:firstLine="424" w:firstLineChars="202"/>
      </w:pPr>
      <w:r>
        <w:t>轮椅坡道的净宽度不应小于</w:t>
      </w:r>
      <w:r>
        <w:rPr>
          <w:rFonts w:hint="eastAsia"/>
        </w:rPr>
        <w:t>1.</w:t>
      </w:r>
      <w:r>
        <w:t>00</w:t>
      </w:r>
      <w:r>
        <w:rPr>
          <w:rFonts w:hint="eastAsia"/>
        </w:rPr>
        <w:t>m。</w:t>
      </w:r>
    </w:p>
    <w:p>
      <w:pPr>
        <w:pStyle w:val="32"/>
        <w:numPr>
          <w:ilvl w:val="0"/>
          <w:numId w:val="9"/>
        </w:numPr>
        <w:spacing w:line="360" w:lineRule="auto"/>
        <w:ind w:firstLine="424" w:firstLineChars="202"/>
      </w:pPr>
      <w:r>
        <w:rPr>
          <w:rFonts w:hint="eastAsia"/>
        </w:rPr>
        <w:t>轮椅坡道起点、终点和中间休息平台的水平长度不应小于1.50m。</w:t>
      </w:r>
    </w:p>
    <w:p>
      <w:pPr>
        <w:pStyle w:val="32"/>
        <w:numPr>
          <w:ilvl w:val="0"/>
          <w:numId w:val="9"/>
        </w:numPr>
        <w:spacing w:line="360" w:lineRule="auto"/>
        <w:ind w:firstLine="424" w:firstLineChars="202"/>
      </w:pPr>
      <w:r>
        <w:rPr>
          <w:rFonts w:hint="eastAsia"/>
        </w:rPr>
        <w:t>轮椅</w:t>
      </w:r>
      <w:r>
        <w:t>坡道的高度超过300</w:t>
      </w:r>
      <w:r>
        <w:rPr>
          <w:rFonts w:hint="eastAsia"/>
        </w:rPr>
        <w:t>mm</w:t>
      </w:r>
      <w:r>
        <w:t>且坡度大于1：20时，应在两侧设置扶手，坡道与休息平台的扶手应保持连贯，扶手应符合</w:t>
      </w:r>
      <w:r>
        <w:rPr>
          <w:rFonts w:hint="eastAsia"/>
        </w:rPr>
        <w:t>本标准</w:t>
      </w:r>
      <w:r>
        <w:t>第</w:t>
      </w:r>
      <w:r>
        <w:rPr>
          <w:rFonts w:hint="eastAsia"/>
        </w:rPr>
        <w:t>4.</w:t>
      </w:r>
      <w:r>
        <w:t>3</w:t>
      </w:r>
      <w:r>
        <w:rPr>
          <w:rFonts w:hint="eastAsia"/>
        </w:rPr>
        <w:t>.3条</w:t>
      </w:r>
      <w:r>
        <w:t>的相关规定</w:t>
      </w:r>
      <w:r>
        <w:rPr>
          <w:rFonts w:hint="eastAsia"/>
        </w:rPr>
        <w:t>。</w:t>
      </w:r>
    </w:p>
    <w:p>
      <w:pPr>
        <w:pStyle w:val="32"/>
        <w:numPr>
          <w:ilvl w:val="0"/>
          <w:numId w:val="9"/>
        </w:numPr>
        <w:spacing w:line="360" w:lineRule="auto"/>
        <w:ind w:firstLine="424" w:firstLineChars="202"/>
      </w:pPr>
      <w:r>
        <w:rPr>
          <w:rFonts w:hint="eastAsia"/>
        </w:rPr>
        <w:t>轮椅坡道临空侧应设置安全阻挡措施。</w:t>
      </w:r>
    </w:p>
    <w:p>
      <w:pPr>
        <w:pStyle w:val="32"/>
        <w:numPr>
          <w:ilvl w:val="0"/>
          <w:numId w:val="9"/>
        </w:numPr>
        <w:spacing w:line="360" w:lineRule="auto"/>
        <w:ind w:firstLine="424" w:firstLineChars="202"/>
        <w:rPr>
          <w:b/>
          <w:i/>
        </w:rPr>
      </w:pPr>
      <w:r>
        <w:t>轮椅坡道应设置无障碍标志，无障碍标</w:t>
      </w:r>
      <w:r>
        <w:rPr>
          <w:rFonts w:hint="eastAsia"/>
        </w:rPr>
        <w:t>识</w:t>
      </w:r>
      <w:r>
        <w:t>应符合本标准第</w:t>
      </w:r>
      <w:r>
        <w:rPr>
          <w:rFonts w:hint="eastAsia"/>
        </w:rPr>
        <w:t>4.3节</w:t>
      </w:r>
      <w:r>
        <w:t>的有关规定。</w:t>
      </w:r>
    </w:p>
    <w:p>
      <w:pPr>
        <w:pStyle w:val="32"/>
        <w:spacing w:line="360" w:lineRule="auto"/>
        <w:ind w:firstLine="0" w:firstLineChars="0"/>
        <w:outlineLvl w:val="3"/>
        <w:rPr>
          <w:rFonts w:ascii="宋体" w:hAnsi="宋体"/>
        </w:rPr>
      </w:pPr>
      <w:r>
        <w:rPr>
          <w:rFonts w:hint="eastAsia"/>
          <w:b/>
          <w:i/>
        </w:rPr>
        <w:t>条文说明</w:t>
      </w:r>
    </w:p>
    <w:p>
      <w:pPr>
        <w:pStyle w:val="32"/>
        <w:spacing w:line="360" w:lineRule="auto"/>
        <w:outlineLvl w:val="3"/>
        <w:rPr>
          <w:rFonts w:ascii="宋体" w:hAnsi="宋体"/>
          <w:i/>
        </w:rPr>
      </w:pPr>
      <w:r>
        <w:rPr>
          <w:rFonts w:hint="eastAsia"/>
          <w:i/>
        </w:rPr>
        <w:t xml:space="preserve">第1款 </w:t>
      </w:r>
      <w:r>
        <w:rPr>
          <w:i/>
        </w:rPr>
        <w:t>为了避免乘轮椅者在坡面上重心产生倾斜而发生摔倒的危险，坡道不宜设计成圆形或弧形。</w:t>
      </w:r>
    </w:p>
    <w:p>
      <w:pPr>
        <w:pStyle w:val="32"/>
        <w:spacing w:line="360" w:lineRule="auto"/>
        <w:outlineLvl w:val="3"/>
        <w:rPr>
          <w:rFonts w:ascii="宋体" w:hAnsi="宋体"/>
          <w:i/>
          <w:highlight w:val="yellow"/>
        </w:rPr>
      </w:pPr>
      <w:r>
        <w:rPr>
          <w:rFonts w:hint="eastAsia"/>
          <w:i/>
        </w:rPr>
        <w:t xml:space="preserve">第2款 </w:t>
      </w:r>
      <w:r>
        <w:rPr>
          <w:i/>
        </w:rPr>
        <w:t>坡道宽度应首先满足疏散的要求</w:t>
      </w:r>
      <w:r>
        <w:rPr>
          <w:rFonts w:hint="eastAsia"/>
          <w:i/>
        </w:rPr>
        <w:t>：</w:t>
      </w:r>
      <w:r>
        <w:rPr>
          <w:rFonts w:hint="eastAsia"/>
          <w:i/>
          <w:iCs/>
        </w:rPr>
        <w:t>保</w:t>
      </w:r>
      <w:r>
        <w:rPr>
          <w:i/>
        </w:rPr>
        <w:t>证一辆轮椅通行</w:t>
      </w:r>
      <w:r>
        <w:rPr>
          <w:rFonts w:hint="eastAsia"/>
          <w:i/>
        </w:rPr>
        <w:t>时</w:t>
      </w:r>
      <w:r>
        <w:rPr>
          <w:i/>
          <w:iCs/>
        </w:rPr>
        <w:t>轮椅坡道的净宽度不应小于</w:t>
      </w:r>
      <w:r>
        <w:rPr>
          <w:rFonts w:hint="eastAsia"/>
          <w:i/>
          <w:iCs/>
        </w:rPr>
        <w:t>1.</w:t>
      </w:r>
      <w:r>
        <w:rPr>
          <w:i/>
          <w:iCs/>
        </w:rPr>
        <w:t>00</w:t>
      </w:r>
      <w:r>
        <w:rPr>
          <w:rFonts w:hint="eastAsia"/>
          <w:i/>
          <w:iCs/>
        </w:rPr>
        <w:t>m</w:t>
      </w:r>
      <w:r>
        <w:rPr>
          <w:i/>
        </w:rPr>
        <w:t>；保证一辆轮椅和一个人侧身通行</w:t>
      </w:r>
      <w:r>
        <w:rPr>
          <w:rFonts w:hint="eastAsia"/>
          <w:i/>
        </w:rPr>
        <w:t>时</w:t>
      </w:r>
      <w:r>
        <w:rPr>
          <w:i/>
          <w:iCs/>
        </w:rPr>
        <w:t>轮椅坡道净宽度不应小于1.20</w:t>
      </w:r>
      <w:r>
        <w:rPr>
          <w:rFonts w:hint="eastAsia"/>
          <w:i/>
          <w:iCs/>
        </w:rPr>
        <w:t>m</w:t>
      </w:r>
      <w:r>
        <w:rPr>
          <w:rFonts w:hint="eastAsia"/>
          <w:i/>
        </w:rPr>
        <w:t>；</w:t>
      </w:r>
      <w:r>
        <w:rPr>
          <w:i/>
        </w:rPr>
        <w:t>保证一辆轮椅和一个人正面相对通行</w:t>
      </w:r>
      <w:r>
        <w:rPr>
          <w:rFonts w:hint="eastAsia"/>
          <w:i/>
        </w:rPr>
        <w:t>时</w:t>
      </w:r>
      <w:r>
        <w:rPr>
          <w:i/>
        </w:rPr>
        <w:t>坡道宽度不小于1</w:t>
      </w:r>
      <w:r>
        <w:rPr>
          <w:rFonts w:hint="eastAsia"/>
          <w:i/>
        </w:rPr>
        <w:t>.</w:t>
      </w:r>
      <w:r>
        <w:rPr>
          <w:i/>
        </w:rPr>
        <w:t>50</w:t>
      </w:r>
      <w:r>
        <w:rPr>
          <w:rFonts w:hint="eastAsia"/>
          <w:i/>
        </w:rPr>
        <w:t>m</w:t>
      </w:r>
      <w:r>
        <w:rPr>
          <w:i/>
        </w:rPr>
        <w:t>；保证两辆轮椅正面相对通行</w:t>
      </w:r>
      <w:r>
        <w:rPr>
          <w:rFonts w:hint="eastAsia"/>
          <w:i/>
        </w:rPr>
        <w:t>时</w:t>
      </w:r>
      <w:r>
        <w:rPr>
          <w:i/>
        </w:rPr>
        <w:t>坡道宽度不小于1</w:t>
      </w:r>
      <w:r>
        <w:rPr>
          <w:rFonts w:hint="eastAsia"/>
          <w:i/>
        </w:rPr>
        <w:t>.</w:t>
      </w:r>
      <w:r>
        <w:rPr>
          <w:i/>
        </w:rPr>
        <w:t>80</w:t>
      </w:r>
      <w:r>
        <w:rPr>
          <w:rFonts w:hint="eastAsia"/>
          <w:i/>
        </w:rPr>
        <w:t>m。</w:t>
      </w:r>
    </w:p>
    <w:p>
      <w:pPr>
        <w:pStyle w:val="32"/>
        <w:spacing w:line="360" w:lineRule="auto"/>
        <w:outlineLvl w:val="3"/>
        <w:rPr>
          <w:i/>
        </w:rPr>
      </w:pPr>
      <w:r>
        <w:rPr>
          <w:rFonts w:hint="eastAsia"/>
          <w:i/>
        </w:rPr>
        <w:t>第3款  轮椅在进入坡道之前和行驶完坡道，进行一段水平行驶能使乘轮椅者先将轮椅调整好。轮椅中途要调转角度继续行驶时同样需要有一段水平行驶。</w:t>
      </w:r>
    </w:p>
    <w:p>
      <w:pPr>
        <w:pStyle w:val="32"/>
        <w:spacing w:line="360" w:lineRule="auto"/>
        <w:outlineLvl w:val="3"/>
        <w:rPr>
          <w:i/>
          <w:iCs/>
          <w:u w:val="single"/>
        </w:rPr>
      </w:pPr>
      <w:r>
        <w:rPr>
          <w:rFonts w:hint="eastAsia"/>
          <w:i/>
        </w:rPr>
        <w:t>第</w:t>
      </w:r>
      <w:r>
        <w:rPr>
          <w:i/>
        </w:rPr>
        <w:t>4</w:t>
      </w:r>
      <w:r>
        <w:rPr>
          <w:rFonts w:hint="eastAsia"/>
          <w:i/>
        </w:rPr>
        <w:t xml:space="preserve">款 </w:t>
      </w:r>
      <w:r>
        <w:rPr>
          <w:i/>
        </w:rPr>
        <w:t>当轮椅坡道的高度在300</w:t>
      </w:r>
      <w:r>
        <w:rPr>
          <w:rFonts w:hint="eastAsia"/>
          <w:i/>
        </w:rPr>
        <w:t>mm</w:t>
      </w:r>
      <w:r>
        <w:rPr>
          <w:i/>
        </w:rPr>
        <w:t>及以内时，或者是坡度小于或等于1：20时，可以不</w:t>
      </w:r>
      <w:r>
        <w:rPr>
          <w:rFonts w:hint="eastAsia"/>
          <w:i/>
        </w:rPr>
        <w:t>设</w:t>
      </w:r>
      <w:r>
        <w:rPr>
          <w:i/>
        </w:rPr>
        <w:t>扶手；但当高度超过300</w:t>
      </w:r>
      <w:r>
        <w:rPr>
          <w:rFonts w:hint="eastAsia"/>
          <w:i/>
        </w:rPr>
        <w:t>mm</w:t>
      </w:r>
      <w:r>
        <w:rPr>
          <w:i/>
        </w:rPr>
        <w:t>且坡度大于1：20时，坡道两侧都需要设置扶手</w:t>
      </w:r>
      <w:r>
        <w:rPr>
          <w:rFonts w:hint="eastAsia"/>
          <w:i/>
        </w:rPr>
        <w:t>。</w:t>
      </w:r>
    </w:p>
    <w:p>
      <w:pPr>
        <w:pStyle w:val="32"/>
        <w:spacing w:line="360" w:lineRule="auto"/>
        <w:outlineLvl w:val="3"/>
        <w:rPr>
          <w:i/>
        </w:rPr>
      </w:pPr>
      <w:r>
        <w:rPr>
          <w:rFonts w:hint="eastAsia"/>
          <w:i/>
        </w:rPr>
        <w:t>轮椅坡道的坡度可按照其提升的最大高度来选用，当坡道所提升的高度小于300mm时，可以选择相对较陡的坡度，但不得小于1：8。在坡道总提升的高度内也可以分段设置坡道，但中间应设置休息平台，每段坡道的提升高度和坡度的关系可按照表4.1.5执行。在有条件的情况下坡道坡度小于1：12，通行将更加安全和舒适</w:t>
      </w:r>
      <w:r>
        <w:rPr>
          <w:i/>
        </w:rPr>
        <w:t>。</w:t>
      </w:r>
    </w:p>
    <w:p/>
    <w:p/>
    <w:p>
      <w:pPr>
        <w:rPr>
          <w:rFonts w:hint="eastAsia"/>
        </w:rPr>
      </w:pPr>
    </w:p>
    <w:p>
      <w:pPr>
        <w:pStyle w:val="32"/>
        <w:widowControl/>
        <w:spacing w:line="192" w:lineRule="auto"/>
        <w:ind w:firstLine="0" w:firstLineChars="0"/>
        <w:jc w:val="center"/>
        <w:rPr>
          <w:rFonts w:cs="华文中宋" w:asciiTheme="minorEastAsia" w:hAnsiTheme="minorEastAsia" w:eastAsiaTheme="minorEastAsia"/>
          <w:b/>
          <w:bCs/>
          <w:i/>
          <w:iCs/>
          <w:kern w:val="0"/>
        </w:rPr>
      </w:pPr>
      <w:r>
        <w:rPr>
          <w:rFonts w:hint="eastAsia" w:cs="华文中宋" w:asciiTheme="minorEastAsia" w:hAnsiTheme="minorEastAsia" w:eastAsiaTheme="minorEastAsia"/>
          <w:b/>
          <w:bCs/>
          <w:i/>
          <w:iCs/>
          <w:kern w:val="0"/>
        </w:rPr>
        <w:t>表</w:t>
      </w:r>
      <w:r>
        <w:rPr>
          <w:rFonts w:cs="华文中宋" w:asciiTheme="minorEastAsia" w:hAnsiTheme="minorEastAsia" w:eastAsiaTheme="minorEastAsia"/>
          <w:b/>
          <w:bCs/>
          <w:i/>
          <w:iCs/>
          <w:kern w:val="0"/>
        </w:rPr>
        <w:t>4.</w:t>
      </w:r>
      <w:r>
        <w:rPr>
          <w:rFonts w:hint="eastAsia" w:cs="华文中宋" w:asciiTheme="minorEastAsia" w:hAnsiTheme="minorEastAsia" w:eastAsiaTheme="minorEastAsia"/>
          <w:b/>
          <w:bCs/>
          <w:i/>
          <w:iCs/>
          <w:kern w:val="0"/>
        </w:rPr>
        <w:t>1.5</w:t>
      </w:r>
      <w:r>
        <w:rPr>
          <w:b/>
          <w:bCs/>
          <w:i/>
          <w:iCs/>
        </w:rPr>
        <w:t>轮椅坡道的最大高度和水平长度</w:t>
      </w:r>
    </w:p>
    <w:tbl>
      <w:tblPr>
        <w:tblStyle w:val="19"/>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93"/>
        <w:gridCol w:w="937"/>
        <w:gridCol w:w="937"/>
        <w:gridCol w:w="937"/>
        <w:gridCol w:w="93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693" w:type="dxa"/>
            <w:vAlign w:val="center"/>
          </w:tcPr>
          <w:p>
            <w:pPr>
              <w:widowControl/>
              <w:rPr>
                <w:rFonts w:cs="华文中宋" w:asciiTheme="minorEastAsia" w:hAnsiTheme="minorEastAsia" w:eastAsiaTheme="minorEastAsia"/>
                <w:kern w:val="0"/>
              </w:rPr>
            </w:pPr>
            <w:r>
              <w:rPr>
                <w:rFonts w:hint="eastAsia" w:cs="华文中宋" w:asciiTheme="minorEastAsia" w:hAnsiTheme="minorEastAsia" w:eastAsiaTheme="minorEastAsia"/>
                <w:kern w:val="0"/>
              </w:rPr>
              <w:t>坡度</w:t>
            </w:r>
          </w:p>
        </w:tc>
        <w:tc>
          <w:tcPr>
            <w:tcW w:w="937" w:type="dxa"/>
            <w:vAlign w:val="center"/>
          </w:tcPr>
          <w:p>
            <w:pPr>
              <w:widowControl/>
            </w:pPr>
            <w:r>
              <w:rPr>
                <w:rFonts w:hint="eastAsia"/>
              </w:rPr>
              <w:t>1:20</w:t>
            </w:r>
          </w:p>
        </w:tc>
        <w:tc>
          <w:tcPr>
            <w:tcW w:w="937" w:type="dxa"/>
            <w:vAlign w:val="center"/>
          </w:tcPr>
          <w:p>
            <w:pPr>
              <w:widowControl/>
            </w:pPr>
            <w:r>
              <w:rPr>
                <w:rFonts w:hint="eastAsia"/>
              </w:rPr>
              <w:t>1:16</w:t>
            </w:r>
          </w:p>
        </w:tc>
        <w:tc>
          <w:tcPr>
            <w:tcW w:w="937" w:type="dxa"/>
            <w:vAlign w:val="center"/>
          </w:tcPr>
          <w:p>
            <w:pPr>
              <w:widowControl/>
            </w:pPr>
            <w:r>
              <w:rPr>
                <w:rFonts w:hint="eastAsia"/>
              </w:rPr>
              <w:t>1:12</w:t>
            </w:r>
          </w:p>
        </w:tc>
        <w:tc>
          <w:tcPr>
            <w:tcW w:w="937" w:type="dxa"/>
            <w:vAlign w:val="center"/>
          </w:tcPr>
          <w:p>
            <w:pPr>
              <w:widowControl/>
            </w:pPr>
            <w:r>
              <w:rPr>
                <w:rFonts w:hint="eastAsia"/>
              </w:rPr>
              <w:t>1:10</w:t>
            </w:r>
          </w:p>
        </w:tc>
        <w:tc>
          <w:tcPr>
            <w:tcW w:w="938" w:type="dxa"/>
            <w:vAlign w:val="center"/>
          </w:tcPr>
          <w:p>
            <w:pPr>
              <w:widowControl/>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93" w:type="dxa"/>
            <w:vAlign w:val="center"/>
          </w:tcPr>
          <w:p>
            <w:pPr>
              <w:widowControl/>
              <w:rPr>
                <w:rFonts w:cs="华文中宋" w:asciiTheme="minorEastAsia" w:hAnsiTheme="minorEastAsia" w:eastAsiaTheme="minorEastAsia"/>
                <w:kern w:val="0"/>
              </w:rPr>
            </w:pPr>
            <w:r>
              <w:rPr>
                <w:rFonts w:hint="eastAsia" w:cs="华文中宋" w:asciiTheme="minorEastAsia" w:hAnsiTheme="minorEastAsia" w:eastAsiaTheme="minorEastAsia"/>
                <w:kern w:val="0"/>
              </w:rPr>
              <w:t>最大高度（</w:t>
            </w:r>
            <w:r>
              <w:rPr>
                <w:rFonts w:hint="eastAsia"/>
              </w:rPr>
              <w:t>m）</w:t>
            </w:r>
          </w:p>
        </w:tc>
        <w:tc>
          <w:tcPr>
            <w:tcW w:w="937" w:type="dxa"/>
            <w:vAlign w:val="center"/>
          </w:tcPr>
          <w:p>
            <w:pPr>
              <w:widowControl/>
            </w:pPr>
            <w:r>
              <w:rPr>
                <w:rFonts w:hint="eastAsia"/>
              </w:rPr>
              <w:t>1.20</w:t>
            </w:r>
          </w:p>
        </w:tc>
        <w:tc>
          <w:tcPr>
            <w:tcW w:w="937" w:type="dxa"/>
            <w:vAlign w:val="center"/>
          </w:tcPr>
          <w:p>
            <w:pPr>
              <w:widowControl/>
            </w:pPr>
            <w:r>
              <w:rPr>
                <w:rFonts w:hint="eastAsia"/>
              </w:rPr>
              <w:t>0.90</w:t>
            </w:r>
          </w:p>
        </w:tc>
        <w:tc>
          <w:tcPr>
            <w:tcW w:w="937" w:type="dxa"/>
            <w:vAlign w:val="center"/>
          </w:tcPr>
          <w:p>
            <w:pPr>
              <w:widowControl/>
            </w:pPr>
            <w:r>
              <w:rPr>
                <w:rFonts w:hint="eastAsia"/>
              </w:rPr>
              <w:t>0.75</w:t>
            </w:r>
          </w:p>
        </w:tc>
        <w:tc>
          <w:tcPr>
            <w:tcW w:w="937" w:type="dxa"/>
            <w:vAlign w:val="center"/>
          </w:tcPr>
          <w:p>
            <w:pPr>
              <w:widowControl/>
            </w:pPr>
            <w:r>
              <w:rPr>
                <w:rFonts w:hint="eastAsia"/>
              </w:rPr>
              <w:t>0.60</w:t>
            </w:r>
          </w:p>
        </w:tc>
        <w:tc>
          <w:tcPr>
            <w:tcW w:w="938" w:type="dxa"/>
            <w:vAlign w:val="center"/>
          </w:tcPr>
          <w:p>
            <w:pPr>
              <w:widowControl/>
            </w:pPr>
            <w:r>
              <w:rPr>
                <w:rFonts w:hint="eastAsi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693" w:type="dxa"/>
            <w:vAlign w:val="center"/>
          </w:tcPr>
          <w:p>
            <w:pPr>
              <w:widowControl/>
              <w:rPr>
                <w:rFonts w:cs="华文中宋" w:asciiTheme="minorEastAsia" w:hAnsiTheme="minorEastAsia" w:eastAsiaTheme="minorEastAsia"/>
                <w:kern w:val="0"/>
              </w:rPr>
            </w:pPr>
            <w:r>
              <w:rPr>
                <w:rFonts w:hint="eastAsia" w:cs="华文中宋" w:asciiTheme="minorEastAsia" w:hAnsiTheme="minorEastAsia" w:eastAsiaTheme="minorEastAsia"/>
                <w:kern w:val="0"/>
              </w:rPr>
              <w:t>水平长度（</w:t>
            </w:r>
            <w:r>
              <w:rPr>
                <w:rFonts w:hint="eastAsia"/>
              </w:rPr>
              <w:t>m</w:t>
            </w:r>
            <w:r>
              <w:rPr>
                <w:rFonts w:hint="eastAsia" w:cs="华文中宋" w:asciiTheme="minorEastAsia" w:hAnsiTheme="minorEastAsia" w:eastAsiaTheme="minorEastAsia"/>
                <w:kern w:val="0"/>
              </w:rPr>
              <w:t>）</w:t>
            </w:r>
          </w:p>
        </w:tc>
        <w:tc>
          <w:tcPr>
            <w:tcW w:w="937" w:type="dxa"/>
            <w:vAlign w:val="center"/>
          </w:tcPr>
          <w:p>
            <w:pPr>
              <w:widowControl/>
            </w:pPr>
            <w:r>
              <w:rPr>
                <w:rFonts w:hint="eastAsia"/>
              </w:rPr>
              <w:t>24.00</w:t>
            </w:r>
          </w:p>
        </w:tc>
        <w:tc>
          <w:tcPr>
            <w:tcW w:w="937" w:type="dxa"/>
            <w:vAlign w:val="center"/>
          </w:tcPr>
          <w:p>
            <w:pPr>
              <w:widowControl/>
            </w:pPr>
            <w:r>
              <w:rPr>
                <w:rFonts w:hint="eastAsia"/>
              </w:rPr>
              <w:t>14.40</w:t>
            </w:r>
          </w:p>
        </w:tc>
        <w:tc>
          <w:tcPr>
            <w:tcW w:w="937" w:type="dxa"/>
            <w:vAlign w:val="center"/>
          </w:tcPr>
          <w:p>
            <w:pPr>
              <w:widowControl/>
            </w:pPr>
            <w:r>
              <w:rPr>
                <w:rFonts w:hint="eastAsia"/>
              </w:rPr>
              <w:t>9.00</w:t>
            </w:r>
          </w:p>
        </w:tc>
        <w:tc>
          <w:tcPr>
            <w:tcW w:w="937" w:type="dxa"/>
            <w:vAlign w:val="center"/>
          </w:tcPr>
          <w:p>
            <w:pPr>
              <w:widowControl/>
            </w:pPr>
            <w:r>
              <w:rPr>
                <w:rFonts w:hint="eastAsia"/>
              </w:rPr>
              <w:t>6.00</w:t>
            </w:r>
          </w:p>
        </w:tc>
        <w:tc>
          <w:tcPr>
            <w:tcW w:w="938" w:type="dxa"/>
            <w:vAlign w:val="center"/>
          </w:tcPr>
          <w:p>
            <w:pPr>
              <w:widowControl/>
            </w:pPr>
            <w:r>
              <w:rPr>
                <w:rFonts w:hint="eastAsia"/>
              </w:rPr>
              <w:t>2.40</w:t>
            </w:r>
          </w:p>
        </w:tc>
      </w:tr>
    </w:tbl>
    <w:p>
      <w:pPr>
        <w:pStyle w:val="32"/>
        <w:spacing w:line="360" w:lineRule="auto"/>
        <w:outlineLvl w:val="3"/>
        <w:rPr>
          <w:i/>
          <w:iCs/>
        </w:rPr>
      </w:pPr>
      <w:r>
        <w:rPr>
          <w:rFonts w:hint="eastAsia"/>
          <w:i/>
          <w:iCs/>
        </w:rPr>
        <w:t>注：</w:t>
      </w:r>
      <w:r>
        <w:rPr>
          <w:i/>
          <w:iCs/>
        </w:rPr>
        <w:t>其他坡度可用插入法进行计算</w:t>
      </w:r>
    </w:p>
    <w:p>
      <w:pPr>
        <w:pStyle w:val="32"/>
        <w:spacing w:line="360" w:lineRule="auto"/>
        <w:outlineLvl w:val="3"/>
        <w:rPr>
          <w:rFonts w:ascii="宋体" w:hAnsi="宋体"/>
          <w:i/>
        </w:rPr>
      </w:pPr>
      <w:r>
        <w:rPr>
          <w:i/>
          <w:iCs/>
        </w:rPr>
        <w:t>轮椅坡道的坡面应平整、防滑、无反光</w:t>
      </w:r>
      <w:r>
        <w:rPr>
          <w:rFonts w:hint="eastAsia"/>
          <w:i/>
          <w:iCs/>
        </w:rPr>
        <w:t>，</w:t>
      </w:r>
      <w:r>
        <w:rPr>
          <w:i/>
        </w:rPr>
        <w:t>为了轮椅的行驶顺畅，坡面上不宜加设防滑条或将坡面做成礓蹉形式。</w:t>
      </w:r>
    </w:p>
    <w:p>
      <w:pPr>
        <w:pStyle w:val="32"/>
        <w:spacing w:line="360" w:lineRule="auto"/>
        <w:outlineLvl w:val="3"/>
        <w:rPr>
          <w:i/>
        </w:rPr>
      </w:pPr>
      <w:r>
        <w:rPr>
          <w:rFonts w:hint="eastAsia"/>
          <w:i/>
          <w:iCs/>
        </w:rPr>
        <w:t xml:space="preserve">第5款 </w:t>
      </w:r>
      <w:r>
        <w:rPr>
          <w:i/>
        </w:rPr>
        <w:t>为了防止拐杖头和轮椅前面的小轮滑出</w:t>
      </w:r>
      <w:r>
        <w:rPr>
          <w:rFonts w:hint="eastAsia"/>
          <w:i/>
        </w:rPr>
        <w:t>。</w:t>
      </w:r>
      <w:r>
        <w:rPr>
          <w:i/>
        </w:rPr>
        <w:t>遮挡措施可以是高度不小于50</w:t>
      </w:r>
      <w:r>
        <w:rPr>
          <w:rFonts w:hint="eastAsia"/>
          <w:i/>
        </w:rPr>
        <w:t>mm</w:t>
      </w:r>
      <w:r>
        <w:rPr>
          <w:i/>
        </w:rPr>
        <w:t>的安全挡台，也可以做与地面空隙不大于100</w:t>
      </w:r>
      <w:r>
        <w:rPr>
          <w:rFonts w:hint="eastAsia"/>
          <w:i/>
        </w:rPr>
        <w:t>mm</w:t>
      </w:r>
      <w:r>
        <w:rPr>
          <w:i/>
        </w:rPr>
        <w:t>的斜向栏杆等。</w:t>
      </w:r>
    </w:p>
    <w:p>
      <w:pPr>
        <w:pStyle w:val="32"/>
        <w:numPr>
          <w:ilvl w:val="2"/>
          <w:numId w:val="5"/>
        </w:numPr>
        <w:spacing w:line="360" w:lineRule="auto"/>
        <w:ind w:firstLineChars="0"/>
        <w:outlineLvl w:val="2"/>
        <w:rPr>
          <w:rFonts w:ascii="宋体" w:hAnsi="宋体"/>
        </w:rPr>
      </w:pPr>
      <w:r>
        <w:rPr>
          <w:rFonts w:hint="eastAsia" w:ascii="宋体" w:hAnsi="宋体"/>
        </w:rPr>
        <w:t>无障碍通道应符合</w:t>
      </w:r>
      <w:r>
        <w:rPr>
          <w:rFonts w:ascii="宋体" w:hAnsi="宋体"/>
        </w:rPr>
        <w:t>下列规定：</w:t>
      </w:r>
    </w:p>
    <w:p>
      <w:pPr>
        <w:pStyle w:val="32"/>
        <w:numPr>
          <w:ilvl w:val="0"/>
          <w:numId w:val="10"/>
        </w:numPr>
        <w:spacing w:line="360" w:lineRule="auto"/>
        <w:ind w:firstLine="424" w:firstLineChars="202"/>
      </w:pPr>
      <w:r>
        <w:t>无障碍通道应连续，其地面应平整、防滑、反光小或无反光，不宜设置厚地毯；无障碍通道上有高差时，应设置轮椅坡道</w:t>
      </w:r>
      <w:r>
        <w:rPr>
          <w:rFonts w:hint="eastAsia"/>
        </w:rPr>
        <w:t>；</w:t>
      </w:r>
    </w:p>
    <w:p>
      <w:pPr>
        <w:pStyle w:val="32"/>
        <w:numPr>
          <w:ilvl w:val="0"/>
          <w:numId w:val="10"/>
        </w:numPr>
        <w:spacing w:line="360" w:lineRule="auto"/>
        <w:ind w:firstLine="424" w:firstLineChars="202"/>
      </w:pPr>
      <w:r>
        <w:t>无障碍通道的宽度应符合</w:t>
      </w:r>
      <w:r>
        <w:rPr>
          <w:rFonts w:hint="eastAsia"/>
        </w:rPr>
        <w:t>：</w:t>
      </w:r>
      <w:r>
        <w:t>室内走道不应小于</w:t>
      </w:r>
      <w:r>
        <w:rPr>
          <w:rFonts w:hint="eastAsia"/>
        </w:rPr>
        <w:t>1.</w:t>
      </w:r>
      <w:r>
        <w:t>20</w:t>
      </w:r>
      <w:r>
        <w:rPr>
          <w:rFonts w:hint="eastAsia"/>
        </w:rPr>
        <w:t>m</w:t>
      </w:r>
      <w:r>
        <w:t>，人流较多或较集中的大型</w:t>
      </w:r>
      <w:r>
        <w:rPr>
          <w:rFonts w:hint="eastAsia" w:ascii="宋体" w:hAnsi="宋体"/>
        </w:rPr>
        <w:t>公共</w:t>
      </w:r>
      <w:r>
        <w:t>建筑的室内走道宽度不宜小于</w:t>
      </w:r>
      <w:r>
        <w:rPr>
          <w:rFonts w:hint="eastAsia"/>
        </w:rPr>
        <w:t>1.</w:t>
      </w:r>
      <w:r>
        <w:t>80</w:t>
      </w:r>
      <w:r>
        <w:rPr>
          <w:rFonts w:hint="eastAsia"/>
        </w:rPr>
        <w:t>m</w:t>
      </w:r>
      <w:r>
        <w:t>；室外通道不宜小于</w:t>
      </w:r>
      <w:r>
        <w:rPr>
          <w:rFonts w:hint="eastAsia"/>
        </w:rPr>
        <w:t>1.</w:t>
      </w:r>
      <w:r>
        <w:t>50</w:t>
      </w:r>
      <w:r>
        <w:rPr>
          <w:rFonts w:hint="eastAsia"/>
        </w:rPr>
        <w:t>m</w:t>
      </w:r>
      <w:r>
        <w:t>；检票口、结算口轮椅通道不应小于900</w:t>
      </w:r>
      <w:r>
        <w:rPr>
          <w:rFonts w:hint="eastAsia"/>
        </w:rPr>
        <w:t>mm；</w:t>
      </w:r>
    </w:p>
    <w:p>
      <w:pPr>
        <w:pStyle w:val="32"/>
        <w:numPr>
          <w:ilvl w:val="0"/>
          <w:numId w:val="10"/>
        </w:numPr>
        <w:spacing w:line="360" w:lineRule="auto"/>
        <w:ind w:firstLine="424" w:firstLineChars="202"/>
      </w:pPr>
      <w:r>
        <w:t>室外通道上的雨水箅子的孔洞</w:t>
      </w:r>
      <w:r>
        <w:rPr>
          <w:rFonts w:hint="eastAsia"/>
        </w:rPr>
        <w:t>格缝</w:t>
      </w:r>
      <w:r>
        <w:t>宽度不应大于15</w:t>
      </w:r>
      <w:r>
        <w:rPr>
          <w:rFonts w:hint="eastAsia"/>
        </w:rPr>
        <w:t>mm，格缝的排列方向应与通行</w:t>
      </w:r>
      <w:r>
        <w:t>方向</w:t>
      </w:r>
      <w:r>
        <w:rPr>
          <w:rFonts w:hint="eastAsia"/>
        </w:rPr>
        <w:t>垂直</w:t>
      </w:r>
      <w:r>
        <w:t>；</w:t>
      </w:r>
    </w:p>
    <w:p>
      <w:pPr>
        <w:pStyle w:val="32"/>
        <w:numPr>
          <w:ilvl w:val="0"/>
          <w:numId w:val="10"/>
        </w:numPr>
        <w:spacing w:line="360" w:lineRule="auto"/>
        <w:ind w:firstLine="424" w:firstLineChars="202"/>
      </w:pPr>
      <w:r>
        <w:t>固定在无障碍通道的墙、立柱上的物体或标牌距地面的高度不应小于</w:t>
      </w:r>
      <w:r>
        <w:rPr>
          <w:rFonts w:hint="eastAsia"/>
        </w:rPr>
        <w:t>2.</w:t>
      </w:r>
      <w:r>
        <w:t>00</w:t>
      </w:r>
      <w:r>
        <w:rPr>
          <w:rFonts w:hint="eastAsia"/>
        </w:rPr>
        <w:t>m</w:t>
      </w:r>
      <w:r>
        <w:t>；如小于</w:t>
      </w:r>
      <w:r>
        <w:rPr>
          <w:rFonts w:hint="eastAsia"/>
        </w:rPr>
        <w:t>2.</w:t>
      </w:r>
      <w:r>
        <w:t>00</w:t>
      </w:r>
      <w:r>
        <w:rPr>
          <w:rFonts w:hint="eastAsia"/>
        </w:rPr>
        <w:t>m</w:t>
      </w:r>
      <w:r>
        <w:t>时，探出部分的宽度不应大于100</w:t>
      </w:r>
      <w:r>
        <w:rPr>
          <w:rFonts w:hint="eastAsia"/>
        </w:rPr>
        <w:t>mm</w:t>
      </w:r>
      <w:r>
        <w:t>；如突出部分大于100</w:t>
      </w:r>
      <w:r>
        <w:rPr>
          <w:rFonts w:hint="eastAsia"/>
        </w:rPr>
        <w:t>mm</w:t>
      </w:r>
      <w:r>
        <w:t>，则其距地面的高度应小于600</w:t>
      </w:r>
      <w:r>
        <w:rPr>
          <w:rFonts w:hint="eastAsia"/>
        </w:rPr>
        <w:t>mm</w:t>
      </w:r>
      <w:r>
        <w:t>；</w:t>
      </w:r>
    </w:p>
    <w:p>
      <w:pPr>
        <w:pStyle w:val="32"/>
        <w:numPr>
          <w:ilvl w:val="0"/>
          <w:numId w:val="10"/>
        </w:numPr>
        <w:spacing w:line="360" w:lineRule="auto"/>
        <w:ind w:firstLine="424" w:firstLineChars="202"/>
      </w:pPr>
      <w:r>
        <w:t>斜向的自动扶梯、楼梯等下部空间可以进入时，应设置安全挡牌</w:t>
      </w:r>
      <w:r>
        <w:rPr>
          <w:rFonts w:hint="eastAsia"/>
        </w:rPr>
        <w:t>，并在地面设置连续提示盲道</w:t>
      </w:r>
      <w:r>
        <w:t>。</w:t>
      </w:r>
    </w:p>
    <w:p>
      <w:pPr>
        <w:pStyle w:val="32"/>
        <w:spacing w:line="360" w:lineRule="auto"/>
        <w:ind w:firstLine="0" w:firstLineChars="0"/>
        <w:outlineLvl w:val="3"/>
      </w:pPr>
      <w:r>
        <w:rPr>
          <w:rFonts w:hint="eastAsia"/>
          <w:b/>
          <w:i/>
        </w:rPr>
        <w:t>条文说明</w:t>
      </w:r>
    </w:p>
    <w:p>
      <w:pPr>
        <w:pStyle w:val="32"/>
        <w:spacing w:line="360" w:lineRule="auto"/>
        <w:outlineLvl w:val="3"/>
        <w:rPr>
          <w:rFonts w:ascii="宋体" w:hAnsi="宋体"/>
          <w:i/>
        </w:rPr>
      </w:pPr>
      <w:r>
        <w:rPr>
          <w:rFonts w:hint="eastAsia" w:ascii="宋体" w:hAnsi="宋体"/>
          <w:i/>
        </w:rPr>
        <w:t>第</w:t>
      </w:r>
      <w:r>
        <w:rPr>
          <w:rFonts w:hint="eastAsia"/>
          <w:i/>
        </w:rPr>
        <w:t>3</w:t>
      </w:r>
      <w:r>
        <w:rPr>
          <w:rFonts w:hint="eastAsia" w:ascii="宋体" w:hAnsi="宋体"/>
          <w:i/>
        </w:rPr>
        <w:t>款 《无障碍设计规范》（GB50763-2012）</w:t>
      </w:r>
      <w:r>
        <w:rPr>
          <w:rFonts w:ascii="宋体" w:hAnsi="宋体"/>
          <w:i/>
        </w:rPr>
        <w:t>3.5.2</w:t>
      </w:r>
      <w:r>
        <w:rPr>
          <w:rFonts w:hint="eastAsia" w:ascii="宋体" w:hAnsi="宋体"/>
          <w:i/>
        </w:rPr>
        <w:t>条对室外地面滤水篦子孔洞设置方向无要求，结合《澳门特区无障碍通用设计建筑指引》2.2.1条，本设计标准增加设计要求，当滤水箅子格缝为长方形孔洞时，格缝长边排列方式应与通行方向垂直。</w:t>
      </w:r>
    </w:p>
    <w:p>
      <w:pPr>
        <w:pStyle w:val="32"/>
        <w:spacing w:line="360" w:lineRule="auto"/>
        <w:outlineLvl w:val="3"/>
        <w:rPr>
          <w:i/>
        </w:rPr>
      </w:pPr>
      <w:r>
        <w:rPr>
          <w:i/>
        </w:rPr>
        <w:t>第4款</w:t>
      </w:r>
      <w:r>
        <w:rPr>
          <w:rFonts w:hint="eastAsia"/>
          <w:i/>
        </w:rPr>
        <w:t xml:space="preserve"> </w:t>
      </w:r>
      <w:r>
        <w:rPr>
          <w:i/>
        </w:rPr>
        <w:t>探出的物体包括：标牌、电话、灭火器等潜在对视觉障碍者造成危害的物体。探出的物体不能减少无障碍通道</w:t>
      </w:r>
      <w:r>
        <w:rPr>
          <w:rFonts w:hint="eastAsia"/>
          <w:i/>
        </w:rPr>
        <w:t>、</w:t>
      </w:r>
      <w:r>
        <w:rPr>
          <w:i/>
        </w:rPr>
        <w:t>无障碍楼梯、台阶的净宽度</w:t>
      </w:r>
      <w:r>
        <w:rPr>
          <w:rFonts w:hint="eastAsia"/>
          <w:i/>
        </w:rPr>
        <w:t>。</w:t>
      </w:r>
    </w:p>
    <w:p>
      <w:pPr>
        <w:pStyle w:val="32"/>
        <w:spacing w:line="360" w:lineRule="auto"/>
        <w:outlineLvl w:val="3"/>
        <w:rPr>
          <w:i/>
        </w:rPr>
      </w:pPr>
      <w:r>
        <w:rPr>
          <w:rFonts w:hint="eastAsia"/>
          <w:i/>
        </w:rPr>
        <w:t>第5款 自动扶梯</w:t>
      </w:r>
      <w:r>
        <w:rPr>
          <w:i/>
        </w:rPr>
        <w:t>、</w:t>
      </w:r>
      <w:r>
        <w:rPr>
          <w:rFonts w:hint="eastAsia"/>
          <w:i/>
        </w:rPr>
        <w:t>楼梯等</w:t>
      </w:r>
      <w:r>
        <w:rPr>
          <w:i/>
        </w:rPr>
        <w:t>下部空间可以进入</w:t>
      </w:r>
      <w:r>
        <w:rPr>
          <w:rFonts w:hint="eastAsia"/>
          <w:i/>
        </w:rPr>
        <w:t>时</w:t>
      </w:r>
      <w:r>
        <w:rPr>
          <w:i/>
        </w:rPr>
        <w:t>，</w:t>
      </w:r>
      <w:r>
        <w:rPr>
          <w:rFonts w:hint="eastAsia"/>
          <w:i/>
        </w:rPr>
        <w:t>在</w:t>
      </w:r>
      <w:r>
        <w:rPr>
          <w:i/>
        </w:rPr>
        <w:t>设置安全挡</w:t>
      </w:r>
      <w:r>
        <w:rPr>
          <w:rFonts w:hint="eastAsia"/>
          <w:i/>
        </w:rPr>
        <w:t>牌</w:t>
      </w:r>
      <w:r>
        <w:rPr>
          <w:i/>
        </w:rPr>
        <w:t>同时应在地面设施连续提示盲道，</w:t>
      </w:r>
      <w:r>
        <w:rPr>
          <w:rFonts w:hint="eastAsia"/>
          <w:i/>
        </w:rPr>
        <w:t>为</w:t>
      </w:r>
      <w:r>
        <w:rPr>
          <w:i/>
        </w:rPr>
        <w:t>视觉障碍者提供</w:t>
      </w:r>
      <w:r>
        <w:rPr>
          <w:rFonts w:hint="eastAsia"/>
          <w:i/>
        </w:rPr>
        <w:t>提示</w:t>
      </w:r>
      <w:r>
        <w:rPr>
          <w:i/>
        </w:rPr>
        <w:t>指引。</w:t>
      </w:r>
    </w:p>
    <w:p>
      <w:pPr>
        <w:pStyle w:val="32"/>
        <w:numPr>
          <w:ilvl w:val="2"/>
          <w:numId w:val="5"/>
        </w:numPr>
        <w:spacing w:line="360" w:lineRule="auto"/>
        <w:ind w:firstLineChars="0"/>
        <w:outlineLvl w:val="2"/>
        <w:rPr>
          <w:rFonts w:ascii="宋体" w:hAnsi="宋体"/>
        </w:rPr>
      </w:pPr>
      <w:r>
        <w:rPr>
          <w:rFonts w:hint="eastAsia" w:ascii="宋体" w:hAnsi="宋体"/>
        </w:rPr>
        <w:t>无障碍楼梯与台阶应</w:t>
      </w:r>
      <w:r>
        <w:rPr>
          <w:rFonts w:ascii="宋体" w:hAnsi="宋体"/>
        </w:rPr>
        <w:t>符合下列规定：</w:t>
      </w:r>
    </w:p>
    <w:p>
      <w:pPr>
        <w:pStyle w:val="32"/>
        <w:numPr>
          <w:ilvl w:val="0"/>
          <w:numId w:val="11"/>
        </w:numPr>
        <w:spacing w:line="360" w:lineRule="auto"/>
        <w:ind w:firstLine="424" w:firstLineChars="202"/>
        <w:rPr>
          <w:rFonts w:ascii="宋体" w:hAnsi="宋体"/>
        </w:rPr>
      </w:pPr>
      <w:r>
        <w:t>宜采用直线形楼梯</w:t>
      </w:r>
      <w:r>
        <w:rPr>
          <w:rFonts w:hint="eastAsia"/>
        </w:rPr>
        <w:t>；</w:t>
      </w:r>
      <w:r>
        <w:t>宜在两侧均做扶手</w:t>
      </w:r>
      <w:r>
        <w:rPr>
          <w:rFonts w:hint="eastAsia"/>
        </w:rPr>
        <w:t>；</w:t>
      </w:r>
      <w:r>
        <w:t>踏面应平整防滑或在踏面前缘设防滑条</w:t>
      </w:r>
      <w:r>
        <w:rPr>
          <w:rFonts w:hint="eastAsia"/>
        </w:rPr>
        <w:t>；</w:t>
      </w:r>
      <w:r>
        <w:t>距踏步起点和终点250</w:t>
      </w:r>
      <w:r>
        <w:rPr>
          <w:rFonts w:hint="eastAsia"/>
        </w:rPr>
        <w:t>mm</w:t>
      </w:r>
      <w:r>
        <w:t>～300</w:t>
      </w:r>
      <w:r>
        <w:rPr>
          <w:rFonts w:hint="eastAsia"/>
        </w:rPr>
        <w:t>mm应</w:t>
      </w:r>
      <w:r>
        <w:t>设提示盲道</w:t>
      </w:r>
      <w:r>
        <w:rPr>
          <w:rFonts w:hint="eastAsia"/>
        </w:rPr>
        <w:t>。公共建筑楼梯的踏步宽度不应小于280mm，踏步高度不应大于160mm；不应采用无踢面和直角形突缘的踏步；如采用栏杆式楼梯，在栏杆下方宜设置安全阻挡措施；</w:t>
      </w:r>
      <w:r>
        <w:t>楼梯上行及下行的第一阶宜在颜色或材质上与平台有明显区别</w:t>
      </w:r>
      <w:r>
        <w:rPr>
          <w:rFonts w:hint="eastAsia"/>
        </w:rPr>
        <w:t>。</w:t>
      </w:r>
    </w:p>
    <w:p>
      <w:pPr>
        <w:pStyle w:val="32"/>
        <w:numPr>
          <w:ilvl w:val="0"/>
          <w:numId w:val="11"/>
        </w:numPr>
        <w:spacing w:line="360" w:lineRule="auto"/>
        <w:ind w:firstLine="424" w:firstLineChars="202"/>
        <w:rPr>
          <w:rFonts w:ascii="宋体" w:hAnsi="宋体"/>
        </w:rPr>
      </w:pPr>
      <w:r>
        <w:rPr>
          <w:rFonts w:hint="eastAsia"/>
        </w:rPr>
        <w:t>公共建筑</w:t>
      </w:r>
      <w:r>
        <w:t>的室内外台阶踏步应防滑</w:t>
      </w:r>
      <w:r>
        <w:rPr>
          <w:rFonts w:hint="eastAsia"/>
        </w:rPr>
        <w:t>；</w:t>
      </w:r>
      <w:r>
        <w:t>宽度不宜小于300</w:t>
      </w:r>
      <w:r>
        <w:rPr>
          <w:rFonts w:hint="eastAsia"/>
        </w:rPr>
        <w:t>mm</w:t>
      </w:r>
      <w:r>
        <w:t>，踏步高度不宜大于150</w:t>
      </w:r>
      <w:r>
        <w:rPr>
          <w:rFonts w:hint="eastAsia"/>
        </w:rPr>
        <w:t>mm</w:t>
      </w:r>
      <w:r>
        <w:t>，并不应小于100</w:t>
      </w:r>
      <w:r>
        <w:rPr>
          <w:rFonts w:hint="eastAsia"/>
        </w:rPr>
        <w:t>mm；</w:t>
      </w:r>
      <w:r>
        <w:t>三级及三级以上的台阶应在两侧设置扶手</w:t>
      </w:r>
      <w:r>
        <w:rPr>
          <w:rFonts w:hint="eastAsia"/>
        </w:rPr>
        <w:t>；</w:t>
      </w:r>
      <w:r>
        <w:t>台阶上行及下行的第一阶宜在颜色或材质上与其他阶有明显区别。</w:t>
      </w:r>
    </w:p>
    <w:p>
      <w:pPr>
        <w:pStyle w:val="32"/>
        <w:spacing w:line="360" w:lineRule="auto"/>
        <w:ind w:firstLine="0" w:firstLineChars="0"/>
        <w:outlineLvl w:val="3"/>
      </w:pPr>
      <w:r>
        <w:rPr>
          <w:rFonts w:hint="eastAsia"/>
          <w:b/>
          <w:i/>
        </w:rPr>
        <w:t>条文说明</w:t>
      </w:r>
    </w:p>
    <w:p>
      <w:pPr>
        <w:pStyle w:val="32"/>
        <w:spacing w:line="360" w:lineRule="auto"/>
        <w:rPr>
          <w:i/>
        </w:rPr>
      </w:pPr>
      <w:r>
        <w:rPr>
          <w:i/>
        </w:rPr>
        <w:t>第1款</w:t>
      </w:r>
      <w:r>
        <w:rPr>
          <w:rFonts w:hint="eastAsia"/>
          <w:i/>
        </w:rPr>
        <w:t xml:space="preserve"> 非</w:t>
      </w:r>
      <w:r>
        <w:rPr>
          <w:i/>
        </w:rPr>
        <w:t>直线</w:t>
      </w:r>
      <w:r>
        <w:rPr>
          <w:rFonts w:hint="eastAsia"/>
          <w:i/>
        </w:rPr>
        <w:t>形</w:t>
      </w:r>
      <w:r>
        <w:rPr>
          <w:i/>
        </w:rPr>
        <w:t>楼梯会给</w:t>
      </w:r>
      <w:r>
        <w:rPr>
          <w:rFonts w:hint="eastAsia"/>
          <w:i/>
        </w:rPr>
        <w:t>残障人士</w:t>
      </w:r>
      <w:r>
        <w:rPr>
          <w:i/>
        </w:rPr>
        <w:t>带来恐惧感</w:t>
      </w:r>
      <w:r>
        <w:rPr>
          <w:rFonts w:hint="eastAsia"/>
          <w:i/>
        </w:rPr>
        <w:t>，</w:t>
      </w:r>
      <w:r>
        <w:rPr>
          <w:i/>
        </w:rPr>
        <w:t>宜发生事故。距踏步起点和终点250</w:t>
      </w:r>
      <w:r>
        <w:rPr>
          <w:rFonts w:hint="eastAsia"/>
          <w:i/>
        </w:rPr>
        <w:t>mm</w:t>
      </w:r>
      <w:r>
        <w:rPr>
          <w:i/>
        </w:rPr>
        <w:t>～300</w:t>
      </w:r>
      <w:r>
        <w:rPr>
          <w:rFonts w:hint="eastAsia"/>
          <w:i/>
        </w:rPr>
        <w:t>mm</w:t>
      </w:r>
      <w:r>
        <w:rPr>
          <w:i/>
        </w:rPr>
        <w:t>设置提示盲道是为了提示视觉障碍者所在位置</w:t>
      </w:r>
      <w:r>
        <w:rPr>
          <w:rFonts w:hint="eastAsia"/>
          <w:i/>
        </w:rPr>
        <w:t>接近</w:t>
      </w:r>
      <w:r>
        <w:rPr>
          <w:i/>
        </w:rPr>
        <w:t>有高差变化处。</w:t>
      </w:r>
    </w:p>
    <w:p>
      <w:pPr>
        <w:pStyle w:val="32"/>
        <w:spacing w:line="360" w:lineRule="auto"/>
        <w:rPr>
          <w:i/>
        </w:rPr>
      </w:pPr>
      <w:r>
        <w:rPr>
          <w:i/>
          <w:iCs/>
        </w:rPr>
        <w:t>公共建筑楼梯的</w:t>
      </w:r>
      <w:r>
        <w:rPr>
          <w:i/>
        </w:rPr>
        <w:t>踏面的前缘如有突出部分，应设计成圆弧形，不应设计成直角形，以防将拐杖头绊落掉和对鞋面刮碰。</w:t>
      </w:r>
      <w:r>
        <w:rPr>
          <w:i/>
          <w:iCs/>
        </w:rPr>
        <w:t>栏杆式楼梯在栏杆下方安全阻挡措施</w:t>
      </w:r>
      <w:r>
        <w:rPr>
          <w:rFonts w:hint="eastAsia"/>
          <w:i/>
          <w:iCs/>
        </w:rPr>
        <w:t>，</w:t>
      </w:r>
      <w:r>
        <w:rPr>
          <w:i/>
        </w:rPr>
        <w:t>防止拐杖向侧面滑出造成摔伤</w:t>
      </w:r>
      <w:r>
        <w:rPr>
          <w:rFonts w:hint="eastAsia"/>
          <w:i/>
        </w:rPr>
        <w:t>；</w:t>
      </w:r>
      <w:r>
        <w:rPr>
          <w:i/>
        </w:rPr>
        <w:t>遮挡措施可以是高度不小于50</w:t>
      </w:r>
      <w:r>
        <w:rPr>
          <w:rFonts w:hint="eastAsia"/>
          <w:i/>
        </w:rPr>
        <w:t>mm</w:t>
      </w:r>
      <w:r>
        <w:rPr>
          <w:i/>
        </w:rPr>
        <w:t>的安全挡台，也可以做与地面空隙不大于100</w:t>
      </w:r>
      <w:r>
        <w:rPr>
          <w:rFonts w:hint="eastAsia"/>
          <w:i/>
        </w:rPr>
        <w:t>mm</w:t>
      </w:r>
      <w:r>
        <w:rPr>
          <w:i/>
        </w:rPr>
        <w:t>的斜向栏杆等。</w:t>
      </w:r>
      <w:r>
        <w:rPr>
          <w:i/>
          <w:iCs/>
        </w:rPr>
        <w:t>踏面和踢面的颜色宜有区分和对比</w:t>
      </w:r>
      <w:r>
        <w:rPr>
          <w:rFonts w:hint="eastAsia"/>
          <w:i/>
          <w:iCs/>
        </w:rPr>
        <w:t>，</w:t>
      </w:r>
      <w:r>
        <w:rPr>
          <w:i/>
        </w:rPr>
        <w:t>以引起使用者的警觉并利于弱视者辨别。</w:t>
      </w:r>
    </w:p>
    <w:p>
      <w:pPr>
        <w:pStyle w:val="32"/>
        <w:spacing w:line="360" w:lineRule="auto"/>
        <w:rPr>
          <w:i/>
        </w:rPr>
      </w:pPr>
      <w:r>
        <w:rPr>
          <w:rFonts w:hint="eastAsia"/>
          <w:i/>
        </w:rPr>
        <w:t>第2款 当</w:t>
      </w:r>
      <w:r>
        <w:rPr>
          <w:i/>
        </w:rPr>
        <w:t>台阶较高时，宜在两侧设置扶手。</w:t>
      </w:r>
    </w:p>
    <w:p>
      <w:pPr>
        <w:pStyle w:val="32"/>
        <w:numPr>
          <w:ilvl w:val="2"/>
          <w:numId w:val="5"/>
        </w:numPr>
        <w:spacing w:line="360" w:lineRule="auto"/>
        <w:ind w:firstLineChars="0"/>
        <w:outlineLvl w:val="2"/>
        <w:rPr>
          <w:rFonts w:ascii="宋体" w:hAnsi="宋体"/>
        </w:rPr>
      </w:pPr>
      <w:r>
        <w:rPr>
          <w:rFonts w:hint="eastAsia" w:ascii="宋体" w:hAnsi="宋体"/>
        </w:rPr>
        <w:t>无障碍电梯与升降平台应</w:t>
      </w:r>
      <w:r>
        <w:rPr>
          <w:rFonts w:ascii="宋体" w:hAnsi="宋体"/>
        </w:rPr>
        <w:t>符合下列规定</w:t>
      </w:r>
      <w:r>
        <w:rPr>
          <w:rFonts w:hint="eastAsia" w:ascii="宋体" w:hAnsi="宋体"/>
        </w:rPr>
        <w:t>：</w:t>
      </w:r>
    </w:p>
    <w:p>
      <w:pPr>
        <w:pStyle w:val="32"/>
        <w:numPr>
          <w:ilvl w:val="0"/>
          <w:numId w:val="12"/>
        </w:numPr>
        <w:spacing w:line="360" w:lineRule="auto"/>
        <w:ind w:firstLine="424" w:firstLineChars="202"/>
      </w:pPr>
      <w:r>
        <w:rPr>
          <w:rFonts w:hint="eastAsia"/>
        </w:rPr>
        <w:t>无障碍电梯的</w:t>
      </w:r>
      <w:r>
        <w:t>候梯厅应</w:t>
      </w:r>
      <w:r>
        <w:rPr>
          <w:rFonts w:hint="eastAsia"/>
        </w:rPr>
        <w:t>符合：</w:t>
      </w:r>
      <w:r>
        <w:t>候梯厅深度不宜小于</w:t>
      </w:r>
      <w:r>
        <w:rPr>
          <w:rFonts w:hint="eastAsia"/>
        </w:rPr>
        <w:t>1.</w:t>
      </w:r>
      <w:r>
        <w:t>50</w:t>
      </w:r>
      <w:r>
        <w:rPr>
          <w:rFonts w:hint="eastAsia"/>
        </w:rPr>
        <w:t>m</w:t>
      </w:r>
      <w:r>
        <w:t>，公共建筑及设置病床梯的候梯厅深度不宜小于</w:t>
      </w:r>
      <w:r>
        <w:rPr>
          <w:rFonts w:hint="eastAsia"/>
        </w:rPr>
        <w:t>1.</w:t>
      </w:r>
      <w:r>
        <w:t>80</w:t>
      </w:r>
      <w:r>
        <w:rPr>
          <w:rFonts w:hint="eastAsia"/>
        </w:rPr>
        <w:t>m</w:t>
      </w:r>
      <w:r>
        <w:t>；呼叫按钮高度为</w:t>
      </w:r>
      <w:r>
        <w:rPr>
          <w:rFonts w:hint="eastAsia"/>
        </w:rPr>
        <w:t>0.</w:t>
      </w:r>
      <w:r>
        <w:t>90</w:t>
      </w:r>
      <w:r>
        <w:rPr>
          <w:rFonts w:hint="eastAsia"/>
        </w:rPr>
        <w:t>m</w:t>
      </w:r>
      <w:r>
        <w:t>～</w:t>
      </w:r>
      <w:r>
        <w:rPr>
          <w:rFonts w:hint="eastAsia"/>
        </w:rPr>
        <w:t>1.</w:t>
      </w:r>
      <w:r>
        <w:t>10</w:t>
      </w:r>
      <w:r>
        <w:rPr>
          <w:rFonts w:hint="eastAsia"/>
        </w:rPr>
        <w:t>m；</w:t>
      </w:r>
      <w:r>
        <w:t>电梯门洞的净宽度不宜小于900</w:t>
      </w:r>
      <w:r>
        <w:rPr>
          <w:rFonts w:hint="eastAsia"/>
        </w:rPr>
        <w:t>mm</w:t>
      </w:r>
      <w:r>
        <w:t>；电梯出入口处宜设提示盲道；候梯厅应设电梯运行显示装置和抵达音响</w:t>
      </w:r>
      <w:r>
        <w:rPr>
          <w:rFonts w:hint="eastAsia"/>
        </w:rPr>
        <w:t>；</w:t>
      </w:r>
    </w:p>
    <w:p>
      <w:pPr>
        <w:pStyle w:val="32"/>
        <w:numPr>
          <w:ilvl w:val="0"/>
          <w:numId w:val="12"/>
        </w:numPr>
        <w:spacing w:line="360" w:lineRule="auto"/>
        <w:ind w:firstLine="424" w:firstLineChars="202"/>
      </w:pPr>
      <w:r>
        <w:rPr>
          <w:rFonts w:hint="eastAsia"/>
        </w:rPr>
        <w:t>无</w:t>
      </w:r>
      <w:r>
        <w:t>障碍电梯的轿厢应符合</w:t>
      </w:r>
      <w:r>
        <w:rPr>
          <w:rFonts w:hint="eastAsia"/>
        </w:rPr>
        <w:t>：</w:t>
      </w:r>
      <w:r>
        <w:t>轿厢门开启的净宽度不应小于800</w:t>
      </w:r>
      <w:r>
        <w:rPr>
          <w:rFonts w:hint="eastAsia"/>
        </w:rPr>
        <w:t>mm；</w:t>
      </w:r>
      <w:r>
        <w:t>轿厢的三面壁上应设高850</w:t>
      </w:r>
      <w:r>
        <w:rPr>
          <w:rFonts w:hint="eastAsia"/>
        </w:rPr>
        <w:t>mm</w:t>
      </w:r>
      <w:r>
        <w:t>～900</w:t>
      </w:r>
      <w:r>
        <w:rPr>
          <w:rFonts w:hint="eastAsia"/>
        </w:rPr>
        <w:t>mm</w:t>
      </w:r>
      <w:r>
        <w:t>扶手，扶手应符合本标准第4.</w:t>
      </w:r>
      <w:r>
        <w:rPr>
          <w:rFonts w:hint="eastAsia"/>
        </w:rPr>
        <w:t>4.3条</w:t>
      </w:r>
      <w:r>
        <w:t>的相关规定</w:t>
      </w:r>
      <w:r>
        <w:rPr>
          <w:rFonts w:hint="eastAsia"/>
        </w:rPr>
        <w:t>；</w:t>
      </w:r>
      <w:r>
        <w:t>轿厢最小规格为深度不应小于</w:t>
      </w:r>
      <w:r>
        <w:rPr>
          <w:rFonts w:hint="eastAsia"/>
        </w:rPr>
        <w:t>1.</w:t>
      </w:r>
      <w:r>
        <w:t>40m，宽度不应小于</w:t>
      </w:r>
      <w:r>
        <w:rPr>
          <w:rFonts w:hint="eastAsia"/>
        </w:rPr>
        <w:t>1.</w:t>
      </w:r>
      <w:r>
        <w:t>10m；中型规格为深度不应小于</w:t>
      </w:r>
      <w:r>
        <w:rPr>
          <w:rFonts w:hint="eastAsia"/>
        </w:rPr>
        <w:t>1.</w:t>
      </w:r>
      <w:r>
        <w:t>60m，宽度不应小于</w:t>
      </w:r>
      <w:r>
        <w:rPr>
          <w:rFonts w:hint="eastAsia"/>
        </w:rPr>
        <w:t>1.</w:t>
      </w:r>
      <w:r>
        <w:t>40m；电梯位置应设无障碍标志，无障碍标志应符合本标准第9章的有关规定</w:t>
      </w:r>
      <w:r>
        <w:rPr>
          <w:rFonts w:hint="eastAsia"/>
        </w:rPr>
        <w:t>；</w:t>
      </w:r>
    </w:p>
    <w:p>
      <w:pPr>
        <w:pStyle w:val="32"/>
        <w:numPr>
          <w:ilvl w:val="0"/>
          <w:numId w:val="12"/>
        </w:numPr>
        <w:spacing w:line="360" w:lineRule="auto"/>
        <w:ind w:firstLine="424" w:firstLineChars="202"/>
      </w:pPr>
      <w:r>
        <w:t>升降平台应符合</w:t>
      </w:r>
      <w:r>
        <w:rPr>
          <w:rFonts w:hint="eastAsia"/>
        </w:rPr>
        <w:t>：</w:t>
      </w:r>
      <w:r>
        <w:t>升降平台只适用于场地有限的改造工程</w:t>
      </w:r>
      <w:r>
        <w:rPr>
          <w:rFonts w:hint="eastAsia"/>
        </w:rPr>
        <w:t>；</w:t>
      </w:r>
      <w:r>
        <w:t>垂直升降平台的深度不应小于1</w:t>
      </w:r>
      <w:r>
        <w:rPr>
          <w:rFonts w:hint="eastAsia"/>
        </w:rPr>
        <w:t>.</w:t>
      </w:r>
      <w:r>
        <w:t>20</w:t>
      </w:r>
      <w:r>
        <w:rPr>
          <w:rFonts w:hint="eastAsia"/>
        </w:rPr>
        <w:t>m</w:t>
      </w:r>
      <w:r>
        <w:t>，宽度不应小于900</w:t>
      </w:r>
      <w:r>
        <w:rPr>
          <w:rFonts w:hint="eastAsia"/>
        </w:rPr>
        <w:t>mm</w:t>
      </w:r>
      <w:r>
        <w:t>，应设扶手、挡板及呼叫控制按钮</w:t>
      </w:r>
      <w:r>
        <w:rPr>
          <w:rFonts w:hint="eastAsia"/>
        </w:rPr>
        <w:t>；</w:t>
      </w:r>
      <w:r>
        <w:t>斜向升降平台宽度不应小于900</w:t>
      </w:r>
      <w:r>
        <w:rPr>
          <w:rFonts w:hint="eastAsia"/>
        </w:rPr>
        <w:t>mm</w:t>
      </w:r>
      <w:r>
        <w:t>，深度不应小于1</w:t>
      </w:r>
      <w:r>
        <w:rPr>
          <w:rFonts w:hint="eastAsia"/>
        </w:rPr>
        <w:t>.</w:t>
      </w:r>
      <w:r>
        <w:t>00</w:t>
      </w:r>
      <w:r>
        <w:rPr>
          <w:rFonts w:hint="eastAsia"/>
        </w:rPr>
        <w:t>m</w:t>
      </w:r>
      <w:r>
        <w:t>，应设扶手和挡板</w:t>
      </w:r>
      <w:r>
        <w:rPr>
          <w:rFonts w:hint="eastAsia"/>
        </w:rPr>
        <w:t>。垂直升降</w:t>
      </w:r>
      <w:r>
        <w:t>平台的基坑应采用</w:t>
      </w:r>
      <w:r>
        <w:rPr>
          <w:rFonts w:hint="eastAsia"/>
        </w:rPr>
        <w:t>防止</w:t>
      </w:r>
      <w:r>
        <w:t>误入的安全防护措施，传送装置应有可靠的安全防护装置。</w:t>
      </w:r>
    </w:p>
    <w:p>
      <w:pPr>
        <w:pStyle w:val="32"/>
        <w:spacing w:line="360" w:lineRule="auto"/>
        <w:ind w:firstLine="0" w:firstLineChars="0"/>
        <w:outlineLvl w:val="3"/>
      </w:pPr>
      <w:r>
        <w:rPr>
          <w:rFonts w:hint="eastAsia"/>
          <w:b/>
          <w:i/>
        </w:rPr>
        <w:t>条文说明</w:t>
      </w:r>
    </w:p>
    <w:p>
      <w:pPr>
        <w:pStyle w:val="32"/>
        <w:spacing w:line="360" w:lineRule="auto"/>
        <w:outlineLvl w:val="3"/>
        <w:rPr>
          <w:i/>
        </w:rPr>
      </w:pPr>
      <w:r>
        <w:rPr>
          <w:i/>
        </w:rPr>
        <w:t>第1款</w:t>
      </w:r>
      <w:r>
        <w:rPr>
          <w:rFonts w:hint="eastAsia"/>
          <w:i/>
        </w:rPr>
        <w:t xml:space="preserve"> 方便轮椅</w:t>
      </w:r>
      <w:r>
        <w:rPr>
          <w:i/>
        </w:rPr>
        <w:t>使用者，公共建筑候梯厅的深度</w:t>
      </w:r>
      <w:r>
        <w:rPr>
          <w:rFonts w:hint="eastAsia"/>
          <w:i/>
        </w:rPr>
        <w:t>宜达到1.</w:t>
      </w:r>
      <w:r>
        <w:rPr>
          <w:i/>
        </w:rPr>
        <w:t>80</w:t>
      </w:r>
      <w:r>
        <w:rPr>
          <w:rFonts w:hint="eastAsia"/>
          <w:i/>
        </w:rPr>
        <w:t>m</w:t>
      </w:r>
      <w:r>
        <w:rPr>
          <w:i/>
        </w:rPr>
        <w:t>，</w:t>
      </w:r>
      <w:r>
        <w:rPr>
          <w:rFonts w:hint="eastAsia"/>
          <w:i/>
        </w:rPr>
        <w:t>居住建筑</w:t>
      </w:r>
      <w:r>
        <w:rPr>
          <w:i/>
        </w:rPr>
        <w:t>的候梯厅不应小于</w:t>
      </w:r>
      <w:r>
        <w:rPr>
          <w:rFonts w:hint="eastAsia"/>
          <w:i/>
        </w:rPr>
        <w:t>1.</w:t>
      </w:r>
      <w:r>
        <w:rPr>
          <w:i/>
        </w:rPr>
        <w:t>50</w:t>
      </w:r>
      <w:r>
        <w:rPr>
          <w:rFonts w:hint="eastAsia"/>
          <w:i/>
        </w:rPr>
        <w:t>m</w:t>
      </w:r>
      <w:r>
        <w:rPr>
          <w:i/>
        </w:rPr>
        <w:t>。在电梯入口的地面设置提示盲道标志是可以告知视觉障碍者电梯的准确位置和等候地点。电梯运行显示屏的规格不应小于50</w:t>
      </w:r>
      <w:r>
        <w:rPr>
          <w:rFonts w:hint="eastAsia"/>
          <w:i/>
        </w:rPr>
        <w:t>mm</w:t>
      </w:r>
      <w:r>
        <w:rPr>
          <w:i/>
        </w:rPr>
        <w:t>×50</w:t>
      </w:r>
      <w:r>
        <w:rPr>
          <w:rFonts w:hint="eastAsia"/>
          <w:i/>
        </w:rPr>
        <w:t>mm</w:t>
      </w:r>
      <w:r>
        <w:rPr>
          <w:i/>
        </w:rPr>
        <w:t>。</w:t>
      </w:r>
    </w:p>
    <w:p>
      <w:pPr>
        <w:pStyle w:val="32"/>
        <w:spacing w:line="360" w:lineRule="auto"/>
        <w:rPr>
          <w:rFonts w:ascii="宋体" w:hAnsi="宋体"/>
          <w:i/>
        </w:rPr>
      </w:pPr>
      <w:r>
        <w:rPr>
          <w:rFonts w:hint="eastAsia"/>
          <w:i/>
          <w:iCs/>
        </w:rPr>
        <w:t xml:space="preserve">第2款 </w:t>
      </w:r>
      <w:r>
        <w:rPr>
          <w:i/>
          <w:iCs/>
        </w:rPr>
        <w:t>轿厢的规格应依据建筑性质和使用要求的不同而选用</w:t>
      </w:r>
      <w:r>
        <w:rPr>
          <w:rFonts w:hint="eastAsia"/>
          <w:i/>
          <w:iCs/>
        </w:rPr>
        <w:t>。</w:t>
      </w:r>
      <w:r>
        <w:rPr>
          <w:i/>
        </w:rPr>
        <w:t>医疗建筑与</w:t>
      </w:r>
      <w:r>
        <w:rPr>
          <w:rFonts w:hint="eastAsia"/>
          <w:i/>
        </w:rPr>
        <w:t>适老</w:t>
      </w:r>
      <w:r>
        <w:rPr>
          <w:i/>
        </w:rPr>
        <w:t>建筑宜选用病床专用电梯，以满足担架床的进出</w:t>
      </w:r>
      <w:r>
        <w:rPr>
          <w:rFonts w:hint="eastAsia"/>
          <w:i/>
        </w:rPr>
        <w:t>。在轿厢的侧壁上应设高0.90m～1.10m带盲文的选层按钮，盲文宜设置于按钮旁；轿厢内应设电梯运行显示装置和报层音响；轿厢正面高900mm处至顶部应安装镜子或采用有镜面效果的材料。</w:t>
      </w:r>
    </w:p>
    <w:p>
      <w:pPr>
        <w:pStyle w:val="32"/>
        <w:numPr>
          <w:ilvl w:val="2"/>
          <w:numId w:val="5"/>
        </w:numPr>
        <w:spacing w:line="360" w:lineRule="auto"/>
        <w:ind w:firstLineChars="0"/>
        <w:outlineLvl w:val="2"/>
        <w:rPr>
          <w:rFonts w:ascii="宋体" w:hAnsi="宋体"/>
        </w:rPr>
      </w:pPr>
      <w:r>
        <w:rPr>
          <w:rFonts w:hint="eastAsia" w:ascii="宋体" w:hAnsi="宋体"/>
        </w:rPr>
        <w:t>扶梯与传送带应符合下列</w:t>
      </w:r>
      <w:r>
        <w:rPr>
          <w:rFonts w:ascii="宋体" w:hAnsi="宋体"/>
        </w:rPr>
        <w:t>规定：</w:t>
      </w:r>
    </w:p>
    <w:p>
      <w:pPr>
        <w:pStyle w:val="32"/>
        <w:numPr>
          <w:ilvl w:val="0"/>
          <w:numId w:val="13"/>
        </w:numPr>
        <w:spacing w:line="360" w:lineRule="auto"/>
        <w:ind w:firstLine="424" w:firstLineChars="202"/>
      </w:pPr>
      <w:r>
        <w:t>扶梯与传送带</w:t>
      </w:r>
      <w:r>
        <w:rPr>
          <w:rFonts w:hint="eastAsia"/>
        </w:rPr>
        <w:t>出</w:t>
      </w:r>
      <w:r>
        <w:t>入口应设</w:t>
      </w:r>
      <w:r>
        <w:rPr>
          <w:rFonts w:hint="eastAsia"/>
        </w:rPr>
        <w:t>提示</w:t>
      </w:r>
      <w:r>
        <w:t>盲道</w:t>
      </w:r>
      <w:r>
        <w:rPr>
          <w:rFonts w:hint="eastAsia"/>
        </w:rPr>
        <w:t>。扶手</w:t>
      </w:r>
      <w:r>
        <w:t>电梯与传送带旁需</w:t>
      </w:r>
      <w:r>
        <w:rPr>
          <w:rFonts w:hint="eastAsia"/>
        </w:rPr>
        <w:t>清晰</w:t>
      </w:r>
      <w:r>
        <w:t>导识运行方向</w:t>
      </w:r>
      <w:r>
        <w:rPr>
          <w:rFonts w:hint="eastAsia"/>
        </w:rPr>
        <w:t>；</w:t>
      </w:r>
    </w:p>
    <w:p>
      <w:pPr>
        <w:pStyle w:val="32"/>
        <w:numPr>
          <w:ilvl w:val="0"/>
          <w:numId w:val="13"/>
        </w:numPr>
        <w:spacing w:line="360" w:lineRule="auto"/>
        <w:ind w:firstLine="424" w:firstLineChars="202"/>
      </w:pPr>
      <w:r>
        <w:rPr>
          <w:rFonts w:hint="eastAsia"/>
        </w:rPr>
        <w:t>扶梯与传送带出入口应留有足够空间，让乘客安全步入或离开有关设施；</w:t>
      </w:r>
    </w:p>
    <w:p>
      <w:pPr>
        <w:pStyle w:val="32"/>
        <w:numPr>
          <w:ilvl w:val="0"/>
          <w:numId w:val="13"/>
        </w:numPr>
        <w:spacing w:line="360" w:lineRule="auto"/>
        <w:ind w:firstLine="424" w:firstLineChars="202"/>
      </w:pPr>
      <w:r>
        <w:rPr>
          <w:rFonts w:hint="eastAsia"/>
        </w:rPr>
        <w:t>扶梯与传送带入口处应设语音提示音响，适当位置应设置呼叫控制按钮。梯级边缘及移动扶手应设有明显的颜色对比，以保障视觉残障者的安全；</w:t>
      </w:r>
    </w:p>
    <w:p>
      <w:pPr>
        <w:pStyle w:val="32"/>
        <w:numPr>
          <w:ilvl w:val="0"/>
          <w:numId w:val="13"/>
        </w:numPr>
        <w:spacing w:line="360" w:lineRule="auto"/>
        <w:ind w:firstLine="424" w:firstLineChars="202"/>
      </w:pPr>
      <w:r>
        <w:rPr>
          <w:rFonts w:hint="eastAsia"/>
        </w:rPr>
        <w:t>扶梯与传送带的传送装置应有可靠的安全防护装置。</w:t>
      </w:r>
    </w:p>
    <w:p>
      <w:pPr>
        <w:pStyle w:val="32"/>
        <w:spacing w:line="360" w:lineRule="auto"/>
        <w:ind w:firstLine="0" w:firstLineChars="0"/>
        <w:outlineLvl w:val="3"/>
        <w:rPr>
          <w:rFonts w:ascii="宋体" w:hAnsi="宋体"/>
          <w:b/>
          <w:bCs/>
          <w:i/>
          <w:iCs/>
        </w:rPr>
      </w:pPr>
      <w:r>
        <w:rPr>
          <w:rFonts w:hint="eastAsia" w:ascii="宋体" w:hAnsi="宋体"/>
          <w:b/>
          <w:bCs/>
          <w:i/>
          <w:iCs/>
        </w:rPr>
        <w:t>条文说明</w:t>
      </w:r>
    </w:p>
    <w:p>
      <w:pPr>
        <w:pStyle w:val="32"/>
        <w:spacing w:line="360" w:lineRule="auto"/>
        <w:outlineLvl w:val="3"/>
        <w:rPr>
          <w:rFonts w:ascii="宋体" w:hAnsi="宋体"/>
          <w:i/>
        </w:rPr>
      </w:pPr>
      <w:r>
        <w:rPr>
          <w:rFonts w:hint="eastAsia" w:ascii="宋体" w:hAnsi="宋体"/>
          <w:i/>
        </w:rPr>
        <w:t>扶梯</w:t>
      </w:r>
      <w:r>
        <w:rPr>
          <w:rFonts w:ascii="宋体" w:hAnsi="宋体"/>
          <w:i/>
        </w:rPr>
        <w:t>与</w:t>
      </w:r>
      <w:r>
        <w:rPr>
          <w:rFonts w:hint="eastAsia" w:ascii="宋体" w:hAnsi="宋体"/>
          <w:i/>
        </w:rPr>
        <w:t>传送</w:t>
      </w:r>
      <w:r>
        <w:rPr>
          <w:rFonts w:ascii="宋体" w:hAnsi="宋体"/>
          <w:i/>
        </w:rPr>
        <w:t>带是</w:t>
      </w:r>
      <w:r>
        <w:rPr>
          <w:rFonts w:hint="eastAsia" w:ascii="宋体" w:hAnsi="宋体"/>
          <w:i/>
        </w:rPr>
        <w:t>无障碍</w:t>
      </w:r>
      <w:r>
        <w:rPr>
          <w:rFonts w:ascii="宋体" w:hAnsi="宋体"/>
          <w:i/>
        </w:rPr>
        <w:t>楼梯及电梯之外的额外通行设施</w:t>
      </w:r>
      <w:r>
        <w:rPr>
          <w:rFonts w:hint="eastAsia" w:ascii="宋体" w:hAnsi="宋体"/>
          <w:i/>
        </w:rPr>
        <w:t>，</w:t>
      </w:r>
      <w:r>
        <w:rPr>
          <w:rFonts w:ascii="宋体" w:hAnsi="宋体"/>
          <w:i/>
        </w:rPr>
        <w:t>出入</w:t>
      </w:r>
      <w:r>
        <w:rPr>
          <w:rFonts w:hint="eastAsia" w:ascii="宋体" w:hAnsi="宋体"/>
          <w:i/>
        </w:rPr>
        <w:t>口</w:t>
      </w:r>
      <w:r>
        <w:rPr>
          <w:rFonts w:ascii="宋体" w:hAnsi="宋体"/>
          <w:i/>
        </w:rPr>
        <w:t>位置应设置</w:t>
      </w:r>
      <w:r>
        <w:rPr>
          <w:rFonts w:hint="eastAsia" w:ascii="宋体" w:hAnsi="宋体"/>
          <w:i/>
        </w:rPr>
        <w:t>提示</w:t>
      </w:r>
      <w:r>
        <w:rPr>
          <w:rFonts w:ascii="宋体" w:hAnsi="宋体"/>
          <w:i/>
        </w:rPr>
        <w:t>盲道，宽度与出入口宽度等长，</w:t>
      </w:r>
      <w:r>
        <w:rPr>
          <w:rFonts w:hint="eastAsia" w:ascii="宋体" w:hAnsi="宋体"/>
          <w:i/>
        </w:rPr>
        <w:t>保障</w:t>
      </w:r>
      <w:r>
        <w:rPr>
          <w:rFonts w:ascii="宋体" w:hAnsi="宋体"/>
          <w:i/>
        </w:rPr>
        <w:t>视觉残障者的通行安全。扶手</w:t>
      </w:r>
      <w:r>
        <w:rPr>
          <w:rFonts w:hint="eastAsia" w:ascii="宋体" w:hAnsi="宋体"/>
          <w:i/>
        </w:rPr>
        <w:t>电梯</w:t>
      </w:r>
      <w:r>
        <w:rPr>
          <w:rFonts w:ascii="宋体" w:hAnsi="宋体"/>
          <w:i/>
        </w:rPr>
        <w:t>与传送带需</w:t>
      </w:r>
      <w:r>
        <w:rPr>
          <w:rFonts w:hint="eastAsia" w:ascii="宋体" w:hAnsi="宋体"/>
          <w:i/>
        </w:rPr>
        <w:t>清晰</w:t>
      </w:r>
      <w:r>
        <w:rPr>
          <w:rFonts w:ascii="宋体" w:hAnsi="宋体"/>
          <w:i/>
        </w:rPr>
        <w:t>导识运行</w:t>
      </w:r>
      <w:r>
        <w:rPr>
          <w:rFonts w:hint="eastAsia" w:ascii="宋体" w:hAnsi="宋体"/>
          <w:i/>
        </w:rPr>
        <w:t>方向</w:t>
      </w:r>
      <w:r>
        <w:rPr>
          <w:rFonts w:ascii="宋体" w:hAnsi="宋体"/>
          <w:i/>
        </w:rPr>
        <w:t>，对人流进行有效疏导。</w:t>
      </w:r>
      <w:r>
        <w:rPr>
          <w:rFonts w:hint="eastAsia" w:ascii="宋体" w:hAnsi="宋体"/>
          <w:i/>
        </w:rPr>
        <w:t>扶梯</w:t>
      </w:r>
      <w:r>
        <w:rPr>
          <w:rFonts w:ascii="宋体" w:hAnsi="宋体"/>
          <w:i/>
        </w:rPr>
        <w:t>与传送带</w:t>
      </w:r>
      <w:r>
        <w:rPr>
          <w:rFonts w:hint="eastAsia" w:ascii="宋体" w:hAnsi="宋体"/>
          <w:i/>
        </w:rPr>
        <w:t>设置</w:t>
      </w:r>
      <w:r>
        <w:rPr>
          <w:rFonts w:ascii="宋体" w:hAnsi="宋体"/>
          <w:i/>
        </w:rPr>
        <w:t>不得影响通道疏散宽度、高度，扶手电梯不得作为跨楼层的</w:t>
      </w:r>
      <w:r>
        <w:rPr>
          <w:rFonts w:hint="eastAsia" w:ascii="宋体" w:hAnsi="宋体"/>
          <w:i/>
        </w:rPr>
        <w:t>唯一</w:t>
      </w:r>
      <w:r>
        <w:rPr>
          <w:rFonts w:ascii="宋体" w:hAnsi="宋体"/>
          <w:i/>
        </w:rPr>
        <w:t>通行方式</w:t>
      </w:r>
      <w:r>
        <w:rPr>
          <w:rFonts w:hint="eastAsia" w:ascii="宋体" w:hAnsi="宋体"/>
          <w:i/>
        </w:rPr>
        <w:t>。扶梯</w:t>
      </w:r>
      <w:r>
        <w:rPr>
          <w:rFonts w:ascii="宋体" w:hAnsi="宋体"/>
          <w:i/>
        </w:rPr>
        <w:t>与传送带</w:t>
      </w:r>
      <w:r>
        <w:rPr>
          <w:rFonts w:hint="eastAsia" w:ascii="宋体" w:hAnsi="宋体"/>
          <w:i/>
        </w:rPr>
        <w:t>运行</w:t>
      </w:r>
      <w:r>
        <w:rPr>
          <w:rFonts w:ascii="宋体" w:hAnsi="宋体"/>
          <w:i/>
        </w:rPr>
        <w:t>速度不宜过快，且出入口应留有足够的缓冲空间。</w:t>
      </w:r>
      <w:r>
        <w:rPr>
          <w:rFonts w:hint="eastAsia" w:ascii="宋体" w:hAnsi="宋体"/>
          <w:i/>
        </w:rPr>
        <w:t>扶梯与</w:t>
      </w:r>
      <w:r>
        <w:rPr>
          <w:rFonts w:ascii="宋体" w:hAnsi="宋体"/>
          <w:i/>
        </w:rPr>
        <w:t>传送带应配置呼叫控制按钮</w:t>
      </w:r>
      <w:r>
        <w:rPr>
          <w:rFonts w:hint="eastAsia" w:ascii="宋体" w:hAnsi="宋体"/>
          <w:i/>
        </w:rPr>
        <w:t>，保证所有使用者的</w:t>
      </w:r>
      <w:r>
        <w:rPr>
          <w:rFonts w:ascii="宋体" w:hAnsi="宋体"/>
          <w:i/>
        </w:rPr>
        <w:t>安全使用。</w:t>
      </w:r>
      <w:r>
        <w:rPr>
          <w:rFonts w:hint="eastAsia" w:ascii="宋体" w:hAnsi="宋体"/>
          <w:i/>
        </w:rPr>
        <w:t>运行设施</w:t>
      </w:r>
      <w:r>
        <w:rPr>
          <w:rFonts w:ascii="宋体" w:hAnsi="宋体"/>
          <w:i/>
        </w:rPr>
        <w:t>边缘</w:t>
      </w:r>
      <w:r>
        <w:rPr>
          <w:rFonts w:hint="eastAsia" w:ascii="宋体" w:hAnsi="宋体"/>
          <w:i/>
        </w:rPr>
        <w:t>位置</w:t>
      </w:r>
      <w:r>
        <w:rPr>
          <w:rFonts w:ascii="宋体" w:hAnsi="宋体"/>
          <w:i/>
        </w:rPr>
        <w:t>应设有明显颜色对比进行提示。</w:t>
      </w:r>
    </w:p>
    <w:p>
      <w:pPr>
        <w:pStyle w:val="32"/>
        <w:numPr>
          <w:ilvl w:val="1"/>
          <w:numId w:val="5"/>
        </w:numPr>
        <w:spacing w:line="360" w:lineRule="auto"/>
        <w:ind w:firstLineChars="0"/>
        <w:jc w:val="center"/>
        <w:outlineLvl w:val="1"/>
        <w:rPr>
          <w:rFonts w:ascii="宋体" w:hAnsi="宋体"/>
        </w:rPr>
      </w:pPr>
      <w:bookmarkStart w:id="109" w:name="_Toc23437767"/>
      <w:bookmarkStart w:id="110" w:name="_Toc20420179"/>
      <w:r>
        <w:rPr>
          <w:rFonts w:hint="eastAsia" w:ascii="宋体" w:hAnsi="宋体"/>
        </w:rPr>
        <w:t>空间类设施</w:t>
      </w:r>
      <w:bookmarkEnd w:id="109"/>
      <w:bookmarkEnd w:id="110"/>
    </w:p>
    <w:p>
      <w:pPr>
        <w:pStyle w:val="32"/>
        <w:numPr>
          <w:ilvl w:val="2"/>
          <w:numId w:val="5"/>
        </w:numPr>
        <w:spacing w:line="360" w:lineRule="auto"/>
        <w:ind w:firstLineChars="0"/>
        <w:outlineLvl w:val="2"/>
        <w:rPr>
          <w:rFonts w:ascii="宋体" w:hAnsi="宋体"/>
        </w:rPr>
      </w:pPr>
      <w:r>
        <w:rPr>
          <w:rFonts w:hint="eastAsia" w:ascii="宋体" w:hAnsi="宋体"/>
        </w:rPr>
        <w:t>空间类设施包括母婴室、公共厕所、无障碍厕所、无障碍客房、无障碍住房及宿舍。</w:t>
      </w:r>
    </w:p>
    <w:p>
      <w:pPr>
        <w:pStyle w:val="32"/>
        <w:numPr>
          <w:ilvl w:val="2"/>
          <w:numId w:val="5"/>
        </w:numPr>
        <w:spacing w:line="360" w:lineRule="auto"/>
        <w:ind w:firstLineChars="0"/>
        <w:outlineLvl w:val="2"/>
        <w:rPr>
          <w:rFonts w:ascii="宋体" w:hAnsi="宋体"/>
        </w:rPr>
      </w:pPr>
      <w:r>
        <w:rPr>
          <w:rFonts w:hint="eastAsia" w:ascii="宋体" w:hAnsi="宋体"/>
        </w:rPr>
        <w:t>母婴室应</w:t>
      </w:r>
      <w:r>
        <w:rPr>
          <w:rFonts w:ascii="宋体" w:hAnsi="宋体"/>
        </w:rPr>
        <w:t>符合下列规定：</w:t>
      </w:r>
    </w:p>
    <w:p>
      <w:pPr>
        <w:pStyle w:val="17"/>
        <w:numPr>
          <w:ilvl w:val="0"/>
          <w:numId w:val="14"/>
        </w:numPr>
        <w:spacing w:before="0" w:beforeAutospacing="0" w:after="0" w:afterAutospacing="0" w:line="360" w:lineRule="auto"/>
        <w:ind w:firstLine="424" w:firstLineChars="202"/>
      </w:pPr>
      <w:r>
        <w:rPr>
          <w:rFonts w:hint="eastAsia" w:ascii="Calibri" w:hAnsi="Calibri" w:cs="宋体"/>
          <w:lang w:bidi="ar"/>
        </w:rPr>
        <w:t>母婴室的无障碍设计</w:t>
      </w:r>
      <w:r>
        <w:rPr>
          <w:rFonts w:hint="eastAsia" w:ascii="Calibri" w:hAnsi="Calibri" w:cs="宋体"/>
        </w:rPr>
        <w:t>应符合《深圳市公共场所母婴室设计规程》（</w:t>
      </w:r>
      <w:r>
        <w:t>SJG54</w:t>
      </w:r>
      <w:r>
        <w:rPr>
          <w:rFonts w:hint="eastAsia" w:ascii="Calibri" w:hAnsi="Calibri" w:cs="宋体"/>
        </w:rPr>
        <w:t>—</w:t>
      </w:r>
      <w:r>
        <w:t>2019</w:t>
      </w:r>
      <w:r>
        <w:rPr>
          <w:rFonts w:hint="eastAsia" w:ascii="Calibri" w:hAnsi="Calibri" w:cs="宋体"/>
        </w:rPr>
        <w:t>）的有关规定；</w:t>
      </w:r>
    </w:p>
    <w:p>
      <w:pPr>
        <w:pStyle w:val="17"/>
        <w:numPr>
          <w:ilvl w:val="0"/>
          <w:numId w:val="14"/>
        </w:numPr>
        <w:spacing w:before="0" w:beforeAutospacing="0" w:after="0" w:afterAutospacing="0" w:line="360" w:lineRule="auto"/>
        <w:ind w:firstLine="424" w:firstLineChars="202"/>
      </w:pPr>
      <w:r>
        <w:rPr>
          <w:rFonts w:hint="eastAsia" w:ascii="Calibri" w:hAnsi="Calibri" w:cs="宋体"/>
          <w:lang w:bidi="ar"/>
        </w:rPr>
        <w:t>母婴室的设置要求应符合：所有母婴经常逗留的公共场所，宜设置使用面积不小于</w:t>
      </w:r>
      <w:r>
        <w:rPr>
          <w:rFonts w:ascii="Calibri" w:hAnsi="Calibri" w:cs="Calibri"/>
          <w:lang w:bidi="ar"/>
        </w:rPr>
        <w:t>6</w:t>
      </w:r>
      <w:r>
        <w:rPr>
          <w:rFonts w:hint="eastAsia" w:ascii="Calibri" w:hAnsi="Calibri" w:cs="宋体"/>
          <w:lang w:bidi="ar"/>
        </w:rPr>
        <w:t>㎡的母婴室；门诊部、一类社康中心等基础医疗卫生场所，应设置</w:t>
      </w:r>
      <w:r>
        <w:rPr>
          <w:rFonts w:ascii="Calibri" w:hAnsi="Calibri" w:cs="Calibri"/>
          <w:lang w:bidi="ar"/>
        </w:rPr>
        <w:t>1</w:t>
      </w:r>
      <w:r>
        <w:rPr>
          <w:rFonts w:hint="eastAsia" w:ascii="Calibri" w:hAnsi="Calibri" w:cs="宋体"/>
          <w:lang w:bidi="ar"/>
        </w:rPr>
        <w:t>处使用面积不小于</w:t>
      </w:r>
      <w:r>
        <w:rPr>
          <w:rFonts w:ascii="Calibri" w:hAnsi="Calibri" w:cs="Calibri"/>
          <w:lang w:bidi="ar"/>
        </w:rPr>
        <w:t>6</w:t>
      </w:r>
      <w:r>
        <w:rPr>
          <w:rFonts w:hint="eastAsia" w:ascii="Calibri" w:hAnsi="Calibri" w:cs="宋体"/>
          <w:lang w:bidi="ar"/>
        </w:rPr>
        <w:t>㎡的母婴；用地面积不小于</w:t>
      </w:r>
      <w:r>
        <w:rPr>
          <w:rFonts w:ascii="Calibri" w:hAnsi="Calibri" w:cs="Calibri"/>
          <w:lang w:bidi="ar"/>
        </w:rPr>
        <w:t>2</w:t>
      </w:r>
      <w:r>
        <w:rPr>
          <w:rFonts w:hint="eastAsia" w:ascii="Calibri" w:hAnsi="Calibri" w:cs="宋体"/>
          <w:lang w:bidi="ar"/>
        </w:rPr>
        <w:t>万㎡的公园（公园绿地）等公共开敞空间，应设置</w:t>
      </w:r>
      <w:r>
        <w:rPr>
          <w:rFonts w:ascii="Calibri" w:hAnsi="Calibri" w:cs="Calibri"/>
          <w:lang w:bidi="ar"/>
        </w:rPr>
        <w:t>1</w:t>
      </w:r>
      <w:r>
        <w:rPr>
          <w:rFonts w:hint="eastAsia" w:ascii="Calibri" w:hAnsi="Calibri" w:cs="宋体"/>
          <w:lang w:bidi="ar"/>
        </w:rPr>
        <w:t>处使用面积不小于</w:t>
      </w:r>
      <w:r>
        <w:rPr>
          <w:rFonts w:ascii="Calibri" w:hAnsi="Calibri" w:cs="Calibri"/>
          <w:lang w:bidi="ar"/>
        </w:rPr>
        <w:t>6</w:t>
      </w:r>
      <w:r>
        <w:rPr>
          <w:rFonts w:hint="eastAsia" w:ascii="Calibri" w:hAnsi="Calibri" w:cs="宋体"/>
          <w:lang w:bidi="ar"/>
        </w:rPr>
        <w:t>㎡的独立母婴室，且沿步行主路径服务半径每</w:t>
      </w:r>
      <w:r>
        <w:rPr>
          <w:rFonts w:ascii="Calibri" w:hAnsi="Calibri" w:cs="Calibri"/>
          <w:lang w:bidi="ar"/>
        </w:rPr>
        <w:t>1</w:t>
      </w:r>
      <w:r>
        <w:rPr>
          <w:rFonts w:hint="eastAsia" w:ascii="Calibri" w:hAnsi="Calibri" w:cs="宋体"/>
          <w:lang w:bidi="ar"/>
        </w:rPr>
        <w:t>～</w:t>
      </w:r>
      <w:r>
        <w:rPr>
          <w:rFonts w:ascii="Calibri" w:hAnsi="Calibri" w:cs="Calibri"/>
          <w:lang w:bidi="ar"/>
        </w:rPr>
        <w:t>2km</w:t>
      </w:r>
      <w:r>
        <w:rPr>
          <w:rFonts w:hint="eastAsia" w:ascii="Calibri" w:hAnsi="Calibri" w:cs="宋体"/>
          <w:lang w:bidi="ar"/>
        </w:rPr>
        <w:t>宜设置</w:t>
      </w:r>
      <w:r>
        <w:rPr>
          <w:rFonts w:ascii="Calibri" w:hAnsi="Calibri" w:cs="Calibri"/>
          <w:lang w:bidi="ar"/>
        </w:rPr>
        <w:t>1</w:t>
      </w:r>
      <w:r>
        <w:rPr>
          <w:rFonts w:hint="eastAsia" w:ascii="Calibri" w:hAnsi="Calibri" w:cs="宋体"/>
          <w:lang w:bidi="ar"/>
        </w:rPr>
        <w:t>处。</w:t>
      </w:r>
    </w:p>
    <w:p>
      <w:pPr>
        <w:pStyle w:val="32"/>
        <w:numPr>
          <w:ilvl w:val="0"/>
          <w:numId w:val="14"/>
        </w:numPr>
        <w:spacing w:line="360" w:lineRule="auto"/>
        <w:ind w:firstLine="424" w:firstLineChars="202"/>
        <w:rPr>
          <w:rFonts w:cs="宋体"/>
          <w:lang w:bidi="ar"/>
        </w:rPr>
      </w:pPr>
      <w:r>
        <w:rPr>
          <w:rFonts w:hint="eastAsia" w:cs="宋体"/>
          <w:lang w:bidi="ar"/>
        </w:rPr>
        <w:t>母婴室应有独立的出入口。如必须与公共场所卫生间贴邻的，其出入口应错开布置且互不干扰。入口处应设置无障碍标识，无障碍标识应符合本标准第4.3节的有关规定。</w:t>
      </w:r>
    </w:p>
    <w:p>
      <w:pPr>
        <w:pStyle w:val="17"/>
        <w:numPr>
          <w:ilvl w:val="0"/>
          <w:numId w:val="14"/>
        </w:numPr>
        <w:spacing w:before="0" w:beforeAutospacing="0" w:after="0" w:afterAutospacing="0" w:line="360" w:lineRule="auto"/>
        <w:ind w:firstLine="424" w:firstLineChars="202"/>
        <w:rPr>
          <w:rFonts w:cs="宋体"/>
        </w:rPr>
      </w:pPr>
      <w:r>
        <w:rPr>
          <w:rFonts w:hint="eastAsia" w:cs="宋体"/>
          <w:lang w:bidi="ar"/>
        </w:rPr>
        <w:t>母婴室护理区应设置婴儿护理台，护理台面尺寸(长×宽)宜为0.90×0.6</w:t>
      </w:r>
      <w:r>
        <w:rPr>
          <w:rFonts w:ascii="Calibri" w:hAnsi="Calibri" w:cs="Calibri"/>
          <w:lang w:bidi="ar"/>
        </w:rPr>
        <w:t>m</w:t>
      </w:r>
      <w:r>
        <w:rPr>
          <w:rFonts w:hint="eastAsia" w:cs="宋体"/>
          <w:lang w:bidi="ar"/>
        </w:rPr>
        <w:t>，台面距地面高度宜为0.85～0.95</w:t>
      </w:r>
      <w:r>
        <w:rPr>
          <w:rFonts w:ascii="Calibri" w:hAnsi="Calibri" w:cs="Calibri"/>
          <w:lang w:bidi="ar"/>
        </w:rPr>
        <w:t>m</w:t>
      </w:r>
      <w:r>
        <w:rPr>
          <w:rFonts w:hint="eastAsia" w:cs="宋体"/>
          <w:lang w:bidi="ar"/>
        </w:rPr>
        <w:t>；大、中型母婴室护理区应设置成人洗手池，台面距地面高度宜为0.80～0.85</w:t>
      </w:r>
      <w:r>
        <w:rPr>
          <w:rFonts w:ascii="Calibri" w:hAnsi="Calibri" w:cs="Calibri"/>
          <w:lang w:bidi="ar"/>
        </w:rPr>
        <w:t>m</w:t>
      </w:r>
      <w:r>
        <w:rPr>
          <w:rFonts w:hint="eastAsia" w:cs="宋体"/>
          <w:lang w:bidi="ar"/>
        </w:rPr>
        <w:t>；大型母婴室尚应设置儿童洗手池，台面距地面高度宜为0.50～0.55</w:t>
      </w:r>
      <w:r>
        <w:rPr>
          <w:rFonts w:ascii="Calibri" w:hAnsi="Calibri" w:cs="Calibri"/>
          <w:lang w:bidi="ar"/>
        </w:rPr>
        <w:t>m</w:t>
      </w:r>
      <w:r>
        <w:rPr>
          <w:rFonts w:hint="eastAsia" w:cs="宋体"/>
          <w:lang w:bidi="ar"/>
        </w:rPr>
        <w:t>，宽度宜为0.40～0.45</w:t>
      </w:r>
      <w:r>
        <w:rPr>
          <w:rFonts w:ascii="Calibri" w:hAnsi="Calibri" w:cs="Calibri"/>
          <w:lang w:bidi="ar"/>
        </w:rPr>
        <w:t>m</w:t>
      </w:r>
      <w:r>
        <w:rPr>
          <w:rFonts w:hint="eastAsia" w:cs="宋体"/>
          <w:lang w:bidi="ar"/>
        </w:rPr>
        <w:t>；婴儿安全座椅不可设置在转角处，当设置在隔墙处时，需保证墙体坚固稳定。</w:t>
      </w:r>
    </w:p>
    <w:p>
      <w:pPr>
        <w:pStyle w:val="17"/>
        <w:numPr>
          <w:ilvl w:val="0"/>
          <w:numId w:val="14"/>
        </w:numPr>
        <w:spacing w:before="0" w:beforeAutospacing="0" w:after="0" w:afterAutospacing="0" w:line="360" w:lineRule="auto"/>
        <w:ind w:firstLine="424" w:firstLineChars="202"/>
        <w:rPr>
          <w:rFonts w:cs="宋体"/>
        </w:rPr>
      </w:pPr>
      <w:r>
        <w:rPr>
          <w:rFonts w:hint="eastAsia" w:cs="宋体"/>
          <w:lang w:bidi="ar"/>
        </w:rPr>
        <w:t>哺乳区与护理区、休憩区之间，或哺乳单间之间，宜通过隔墙或拉帘（空间受限时）隔开；哺乳区入口宜安装封闭门；空间受限情况下，可采用拉帘。拉帘轨道设置应牢固，拉帘两边需有固定装置。</w:t>
      </w:r>
    </w:p>
    <w:p>
      <w:pPr>
        <w:pStyle w:val="17"/>
        <w:numPr>
          <w:ilvl w:val="0"/>
          <w:numId w:val="14"/>
        </w:numPr>
        <w:spacing w:before="0" w:beforeAutospacing="0" w:after="0" w:afterAutospacing="0" w:line="360" w:lineRule="auto"/>
        <w:ind w:firstLine="424" w:firstLineChars="202"/>
        <w:rPr>
          <w:b/>
          <w:bCs/>
        </w:rPr>
      </w:pPr>
      <w:r>
        <w:rPr>
          <w:rFonts w:hint="eastAsia" w:ascii="Calibri" w:hAnsi="Calibri" w:cs="宋体"/>
          <w:lang w:bidi="ar"/>
        </w:rPr>
        <w:t>母婴室</w:t>
      </w:r>
      <w:r>
        <w:rPr>
          <w:rFonts w:ascii="Calibri" w:hAnsi="Calibri" w:cs="宋体"/>
          <w:lang w:bidi="ar"/>
        </w:rPr>
        <w:t>内</w:t>
      </w:r>
      <w:r>
        <w:rPr>
          <w:rFonts w:hint="eastAsia" w:ascii="Calibri" w:hAnsi="Calibri" w:cs="宋体"/>
          <w:lang w:bidi="ar"/>
        </w:rPr>
        <w:t>距地面高度</w:t>
      </w:r>
      <w:r>
        <w:rPr>
          <w:rFonts w:ascii="Calibri" w:hAnsi="Calibri" w:cs="Calibri"/>
          <w:lang w:bidi="ar"/>
        </w:rPr>
        <w:t>1.3m</w:t>
      </w:r>
      <w:r>
        <w:rPr>
          <w:rFonts w:hint="eastAsia" w:ascii="Calibri" w:hAnsi="Calibri" w:cs="宋体"/>
          <w:lang w:bidi="ar"/>
        </w:rPr>
        <w:t>以下的内墙阴阳角、窗台及窗口竖边等阳角处，应做成圆角。</w:t>
      </w:r>
    </w:p>
    <w:p>
      <w:pPr>
        <w:pStyle w:val="32"/>
        <w:spacing w:line="360" w:lineRule="auto"/>
        <w:ind w:firstLine="0" w:firstLineChars="0"/>
        <w:outlineLvl w:val="3"/>
        <w:rPr>
          <w:rFonts w:ascii="宋体" w:hAnsi="宋体"/>
          <w:b/>
          <w:bCs/>
          <w:i/>
          <w:iCs/>
        </w:rPr>
      </w:pPr>
      <w:r>
        <w:rPr>
          <w:rFonts w:hint="eastAsia" w:ascii="宋体" w:hAnsi="宋体"/>
          <w:b/>
          <w:bCs/>
          <w:i/>
          <w:iCs/>
        </w:rPr>
        <w:t>条文说明</w:t>
      </w:r>
    </w:p>
    <w:p>
      <w:pPr>
        <w:pStyle w:val="32"/>
        <w:spacing w:line="360" w:lineRule="auto"/>
        <w:outlineLvl w:val="3"/>
        <w:rPr>
          <w:rFonts w:ascii="宋体" w:hAnsi="宋体"/>
          <w:i/>
        </w:rPr>
      </w:pPr>
      <w:r>
        <w:rPr>
          <w:rFonts w:hint="eastAsia" w:ascii="宋体" w:hAnsi="宋体"/>
          <w:i/>
        </w:rPr>
        <w:t>第2款 公共场所</w:t>
      </w:r>
      <w:r>
        <w:rPr>
          <w:rFonts w:ascii="宋体" w:hAnsi="宋体"/>
          <w:i/>
        </w:rPr>
        <w:t>母婴室</w:t>
      </w:r>
      <w:r>
        <w:rPr>
          <w:rFonts w:hint="eastAsia" w:ascii="宋体" w:hAnsi="宋体"/>
          <w:i/>
        </w:rPr>
        <w:t>配建规模</w:t>
      </w:r>
      <w:r>
        <w:rPr>
          <w:rFonts w:ascii="宋体" w:hAnsi="宋体"/>
          <w:i/>
        </w:rPr>
        <w:t>应</w:t>
      </w:r>
      <w:r>
        <w:rPr>
          <w:rFonts w:hint="eastAsia" w:ascii="宋体" w:hAnsi="宋体"/>
          <w:i/>
        </w:rPr>
        <w:t>与</w:t>
      </w:r>
      <w:r>
        <w:rPr>
          <w:rFonts w:ascii="宋体" w:hAnsi="宋体"/>
          <w:i/>
        </w:rPr>
        <w:t>使用需求相匹配</w:t>
      </w:r>
      <w:r>
        <w:rPr>
          <w:rFonts w:hint="eastAsia" w:ascii="宋体" w:hAnsi="宋体"/>
          <w:i/>
        </w:rPr>
        <w:t>，其他各类</w:t>
      </w:r>
      <w:r>
        <w:rPr>
          <w:rFonts w:ascii="宋体" w:hAnsi="宋体"/>
          <w:i/>
        </w:rPr>
        <w:t>建筑工程中</w:t>
      </w:r>
      <w:r>
        <w:rPr>
          <w:rFonts w:hint="eastAsia" w:ascii="宋体" w:hAnsi="宋体"/>
          <w:i/>
        </w:rPr>
        <w:t>应</w:t>
      </w:r>
      <w:r>
        <w:rPr>
          <w:rFonts w:ascii="宋体" w:hAnsi="宋体"/>
          <w:i/>
        </w:rPr>
        <w:t>按</w:t>
      </w:r>
      <w:r>
        <w:rPr>
          <w:rFonts w:hint="eastAsia" w:ascii="宋体" w:hAnsi="宋体"/>
          <w:i/>
        </w:rPr>
        <w:t>建筑</w:t>
      </w:r>
      <w:r>
        <w:rPr>
          <w:rFonts w:ascii="宋体" w:hAnsi="宋体"/>
          <w:i/>
        </w:rPr>
        <w:t>面积</w:t>
      </w:r>
      <w:r>
        <w:rPr>
          <w:rFonts w:hint="eastAsia" w:ascii="宋体" w:hAnsi="宋体"/>
          <w:i/>
        </w:rPr>
        <w:t>每</w:t>
      </w:r>
      <w:r>
        <w:rPr>
          <w:rFonts w:ascii="宋体" w:hAnsi="宋体"/>
          <w:i/>
        </w:rPr>
        <w:t>超过</w:t>
      </w:r>
      <w:r>
        <w:rPr>
          <w:rFonts w:hint="eastAsia" w:ascii="宋体" w:hAnsi="宋体"/>
          <w:i/>
        </w:rPr>
        <w:t>5000㎡</w:t>
      </w:r>
      <w:r>
        <w:rPr>
          <w:rFonts w:ascii="宋体" w:hAnsi="宋体"/>
          <w:i/>
        </w:rPr>
        <w:t>，或日</w:t>
      </w:r>
      <w:r>
        <w:rPr>
          <w:rFonts w:hint="eastAsia" w:ascii="宋体" w:hAnsi="宋体"/>
          <w:i/>
        </w:rPr>
        <w:t>客</w:t>
      </w:r>
      <w:r>
        <w:rPr>
          <w:rFonts w:ascii="宋体" w:hAnsi="宋体"/>
          <w:i/>
        </w:rPr>
        <w:t>流量</w:t>
      </w:r>
      <w:r>
        <w:rPr>
          <w:rFonts w:hint="eastAsia" w:ascii="宋体" w:hAnsi="宋体"/>
          <w:i/>
        </w:rPr>
        <w:t>每</w:t>
      </w:r>
      <w:r>
        <w:rPr>
          <w:rFonts w:ascii="宋体" w:hAnsi="宋体"/>
          <w:i/>
        </w:rPr>
        <w:t>超过</w:t>
      </w:r>
      <w:r>
        <w:rPr>
          <w:rFonts w:hint="eastAsia" w:ascii="宋体" w:hAnsi="宋体"/>
          <w:i/>
        </w:rPr>
        <w:t>1万</w:t>
      </w:r>
      <w:r>
        <w:rPr>
          <w:rFonts w:ascii="宋体" w:hAnsi="宋体"/>
          <w:i/>
        </w:rPr>
        <w:t>人次的公共场所，应设置至少</w:t>
      </w:r>
      <w:r>
        <w:rPr>
          <w:rFonts w:hint="eastAsia" w:ascii="宋体" w:hAnsi="宋体"/>
          <w:i/>
        </w:rPr>
        <w:t>1个</w:t>
      </w:r>
      <w:r>
        <w:rPr>
          <w:rFonts w:ascii="宋体" w:hAnsi="宋体"/>
          <w:i/>
        </w:rPr>
        <w:t>使用面积不小于</w:t>
      </w:r>
      <w:r>
        <w:rPr>
          <w:rFonts w:hint="eastAsia" w:ascii="宋体" w:hAnsi="宋体"/>
          <w:i/>
        </w:rPr>
        <w:t>10㎡</w:t>
      </w:r>
      <w:r>
        <w:rPr>
          <w:rFonts w:ascii="宋体" w:hAnsi="宋体"/>
          <w:i/>
        </w:rPr>
        <w:t>的独立母婴室</w:t>
      </w:r>
      <w:r>
        <w:rPr>
          <w:rFonts w:hint="eastAsia" w:ascii="宋体" w:hAnsi="宋体"/>
          <w:i/>
        </w:rPr>
        <w:t>的</w:t>
      </w:r>
      <w:r>
        <w:rPr>
          <w:rFonts w:ascii="宋体" w:hAnsi="宋体"/>
          <w:i/>
        </w:rPr>
        <w:t>需求进行设计。公共场所</w:t>
      </w:r>
      <w:r>
        <w:rPr>
          <w:rFonts w:hint="eastAsia" w:ascii="宋体" w:hAnsi="宋体"/>
          <w:i/>
        </w:rPr>
        <w:t>确</w:t>
      </w:r>
      <w:r>
        <w:rPr>
          <w:rFonts w:ascii="宋体" w:hAnsi="宋体"/>
          <w:i/>
        </w:rPr>
        <w:t>无</w:t>
      </w:r>
      <w:r>
        <w:rPr>
          <w:rFonts w:hint="eastAsia" w:ascii="宋体" w:hAnsi="宋体"/>
          <w:i/>
        </w:rPr>
        <w:t>条件</w:t>
      </w:r>
      <w:r>
        <w:rPr>
          <w:rFonts w:ascii="宋体" w:hAnsi="宋体"/>
          <w:i/>
        </w:rPr>
        <w:t>配</w:t>
      </w:r>
      <w:r>
        <w:rPr>
          <w:rFonts w:hint="eastAsia" w:ascii="宋体" w:hAnsi="宋体"/>
          <w:i/>
        </w:rPr>
        <w:t>建</w:t>
      </w:r>
      <w:r>
        <w:rPr>
          <w:rFonts w:ascii="宋体" w:hAnsi="宋体"/>
          <w:i/>
        </w:rPr>
        <w:t>独立</w:t>
      </w:r>
      <w:r>
        <w:rPr>
          <w:rFonts w:hint="eastAsia" w:ascii="宋体" w:hAnsi="宋体"/>
          <w:i/>
        </w:rPr>
        <w:t>母婴</w:t>
      </w:r>
      <w:r>
        <w:rPr>
          <w:rFonts w:ascii="宋体" w:hAnsi="宋体"/>
          <w:i/>
        </w:rPr>
        <w:t>室</w:t>
      </w:r>
      <w:r>
        <w:rPr>
          <w:rFonts w:hint="eastAsia" w:ascii="宋体" w:hAnsi="宋体"/>
          <w:i/>
        </w:rPr>
        <w:t>的</w:t>
      </w:r>
      <w:r>
        <w:rPr>
          <w:rFonts w:ascii="宋体" w:hAnsi="宋体"/>
          <w:i/>
        </w:rPr>
        <w:t>，应设置</w:t>
      </w:r>
      <w:r>
        <w:rPr>
          <w:rFonts w:hint="eastAsia" w:ascii="宋体" w:hAnsi="宋体"/>
          <w:i/>
        </w:rPr>
        <w:t>移动</w:t>
      </w:r>
      <w:r>
        <w:rPr>
          <w:rFonts w:ascii="宋体" w:hAnsi="宋体"/>
          <w:i/>
        </w:rPr>
        <w:t>母婴室或兼容母婴室。</w:t>
      </w:r>
    </w:p>
    <w:p>
      <w:pPr>
        <w:pStyle w:val="32"/>
        <w:spacing w:line="360" w:lineRule="auto"/>
        <w:outlineLvl w:val="3"/>
        <w:rPr>
          <w:i/>
        </w:rPr>
      </w:pPr>
      <w:r>
        <w:rPr>
          <w:rFonts w:hint="eastAsia"/>
          <w:i/>
        </w:rPr>
        <w:t>第3款 母婴室出入口门不宜采用旋转门、弹簧门或手动推拉门；当使用玻璃材料时，应采用安全玻璃，并设防撞提示标志；门下不应设门槛。</w:t>
      </w:r>
    </w:p>
    <w:p>
      <w:pPr>
        <w:pStyle w:val="32"/>
        <w:spacing w:line="360" w:lineRule="auto"/>
        <w:outlineLvl w:val="3"/>
        <w:rPr>
          <w:i/>
        </w:rPr>
      </w:pPr>
      <w:r>
        <w:rPr>
          <w:rFonts w:hint="eastAsia"/>
          <w:i/>
        </w:rPr>
        <w:t>第4款 使用</w:t>
      </w:r>
      <w:r>
        <w:rPr>
          <w:i/>
        </w:rPr>
        <w:t>面积超过</w:t>
      </w:r>
      <w:r>
        <w:rPr>
          <w:rFonts w:hint="eastAsia"/>
          <w:i/>
        </w:rPr>
        <w:t>20㎡为</w:t>
      </w:r>
      <w:r>
        <w:rPr>
          <w:i/>
        </w:rPr>
        <w:t>大型母婴室，使用面积</w:t>
      </w:r>
      <w:r>
        <w:rPr>
          <w:rFonts w:hint="eastAsia"/>
          <w:i/>
        </w:rPr>
        <w:t>在10</w:t>
      </w:r>
      <w:r>
        <w:rPr>
          <w:i/>
        </w:rPr>
        <w:t>-20</w:t>
      </w:r>
      <w:r>
        <w:rPr>
          <w:rFonts w:hint="eastAsia"/>
          <w:i/>
        </w:rPr>
        <w:t>㎡之间</w:t>
      </w:r>
      <w:r>
        <w:rPr>
          <w:i/>
        </w:rPr>
        <w:t>为中</w:t>
      </w:r>
      <w:r>
        <w:rPr>
          <w:rFonts w:hint="eastAsia"/>
          <w:i/>
        </w:rPr>
        <w:t>型</w:t>
      </w:r>
      <w:r>
        <w:rPr>
          <w:i/>
        </w:rPr>
        <w:t>母婴室，使用面积在</w:t>
      </w:r>
      <w:r>
        <w:rPr>
          <w:rFonts w:hint="eastAsia"/>
          <w:i/>
        </w:rPr>
        <w:t>6</w:t>
      </w:r>
      <w:r>
        <w:rPr>
          <w:i/>
        </w:rPr>
        <w:t>-10</w:t>
      </w:r>
      <w:r>
        <w:rPr>
          <w:rFonts w:hint="eastAsia"/>
          <w:i/>
        </w:rPr>
        <w:t>㎡</w:t>
      </w:r>
      <w:r>
        <w:rPr>
          <w:i/>
        </w:rPr>
        <w:t>之间为小型母婴室。</w:t>
      </w:r>
    </w:p>
    <w:p>
      <w:pPr>
        <w:pStyle w:val="32"/>
        <w:numPr>
          <w:ilvl w:val="2"/>
          <w:numId w:val="5"/>
        </w:numPr>
        <w:spacing w:line="360" w:lineRule="auto"/>
        <w:ind w:firstLineChars="0"/>
        <w:outlineLvl w:val="2"/>
        <w:rPr>
          <w:rFonts w:ascii="宋体" w:hAnsi="宋体"/>
        </w:rPr>
      </w:pPr>
      <w:r>
        <w:rPr>
          <w:rFonts w:hint="eastAsia" w:ascii="宋体" w:hAnsi="宋体"/>
        </w:rPr>
        <w:t>无障碍厕所与无障碍厕位</w:t>
      </w:r>
      <w:bookmarkStart w:id="111" w:name="_Hlk18762550"/>
      <w:r>
        <w:rPr>
          <w:rFonts w:hint="eastAsia" w:ascii="宋体" w:hAnsi="宋体"/>
        </w:rPr>
        <w:t>应</w:t>
      </w:r>
      <w:r>
        <w:rPr>
          <w:rFonts w:ascii="宋体" w:hAnsi="宋体"/>
        </w:rPr>
        <w:t>符合下列规定：</w:t>
      </w:r>
    </w:p>
    <w:p>
      <w:pPr>
        <w:pStyle w:val="32"/>
        <w:numPr>
          <w:ilvl w:val="0"/>
          <w:numId w:val="15"/>
        </w:numPr>
        <w:spacing w:line="360" w:lineRule="auto"/>
        <w:ind w:firstLine="424" w:firstLineChars="202"/>
        <w:rPr>
          <w:rFonts w:ascii="宋体" w:hAnsi="宋体"/>
        </w:rPr>
      </w:pPr>
      <w:bookmarkStart w:id="112" w:name="_Hlk18762535"/>
      <w:r>
        <w:rPr>
          <w:rFonts w:hint="eastAsia"/>
        </w:rPr>
        <w:t>无障碍厕所与无障碍厕位的</w:t>
      </w:r>
      <w:r>
        <w:t>门应方便开启，通行净宽度不应小于800</w:t>
      </w:r>
      <w:r>
        <w:rPr>
          <w:rFonts w:hint="eastAsia"/>
        </w:rPr>
        <w:t>mm；</w:t>
      </w:r>
      <w:r>
        <w:t>地面应防滑、不积水</w:t>
      </w:r>
      <w:r>
        <w:rPr>
          <w:rFonts w:hint="eastAsia"/>
        </w:rPr>
        <w:t>；无障碍厕所与</w:t>
      </w:r>
      <w:r>
        <w:t>无障碍厕位门扇宜向外开启，如向内开启，需在开启后留有轮椅回转空间</w:t>
      </w:r>
      <w:r>
        <w:rPr>
          <w:rFonts w:hint="eastAsia"/>
        </w:rPr>
        <w:t>，回转直径不小于1.50m</w:t>
      </w:r>
      <w:bookmarkEnd w:id="112"/>
      <w:r>
        <w:rPr>
          <w:rFonts w:hint="eastAsia"/>
        </w:rPr>
        <w:t>；</w:t>
      </w:r>
    </w:p>
    <w:p>
      <w:pPr>
        <w:pStyle w:val="32"/>
        <w:numPr>
          <w:ilvl w:val="0"/>
          <w:numId w:val="15"/>
        </w:numPr>
        <w:spacing w:line="360" w:lineRule="auto"/>
        <w:ind w:firstLine="424" w:firstLineChars="202"/>
        <w:rPr>
          <w:rFonts w:ascii="宋体" w:hAnsi="宋体"/>
        </w:rPr>
      </w:pPr>
      <w:r>
        <w:rPr>
          <w:rFonts w:hint="eastAsia"/>
        </w:rPr>
        <w:t>无障碍厕所</w:t>
      </w:r>
      <w:r>
        <w:t>设计应符合：位置宜靠近公共厕所，面积不应小于</w:t>
      </w:r>
      <w:r>
        <w:rPr>
          <w:rFonts w:hint="eastAsia"/>
        </w:rPr>
        <w:t>4.</w:t>
      </w:r>
      <w:r>
        <w:t>00</w:t>
      </w:r>
      <w:r>
        <w:rPr>
          <w:rFonts w:hint="eastAsia"/>
        </w:rPr>
        <w:t>m</w:t>
      </w:r>
      <w:r>
        <w:rPr>
          <w:vertAlign w:val="superscript"/>
        </w:rPr>
        <w:t>2</w:t>
      </w:r>
      <w:r>
        <w:rPr>
          <w:rFonts w:hint="eastAsia"/>
        </w:rPr>
        <w:t>；宜使用电动平移门，开启后门洞净宽不小于1.20m。门内外均设置低位控制按钮；</w:t>
      </w:r>
      <w:r>
        <w:t>内部应设坐便器、洗手盆、多功能台、挂衣钩和呼叫按钮</w:t>
      </w:r>
      <w:r>
        <w:rPr>
          <w:rFonts w:hint="eastAsia"/>
        </w:rPr>
        <w:t>；</w:t>
      </w:r>
      <w:r>
        <w:t>入口应设置无障碍</w:t>
      </w:r>
      <w:r>
        <w:rPr>
          <w:rFonts w:hint="eastAsia"/>
        </w:rPr>
        <w:t>标识</w:t>
      </w:r>
      <w:r>
        <w:t>，无障碍标志应符合本标准</w:t>
      </w:r>
      <w:r>
        <w:rPr>
          <w:rFonts w:hint="eastAsia"/>
        </w:rPr>
        <w:t>第4</w:t>
      </w:r>
      <w:r>
        <w:t>.3</w:t>
      </w:r>
      <w:r>
        <w:rPr>
          <w:rFonts w:hint="eastAsia"/>
        </w:rPr>
        <w:t>节</w:t>
      </w:r>
      <w:r>
        <w:t>的有关规定</w:t>
      </w:r>
      <w:r>
        <w:rPr>
          <w:rFonts w:hint="eastAsia" w:ascii="宋体" w:hAnsi="宋体"/>
        </w:rPr>
        <w:t>。</w:t>
      </w:r>
    </w:p>
    <w:p>
      <w:pPr>
        <w:pStyle w:val="32"/>
        <w:numPr>
          <w:ilvl w:val="0"/>
          <w:numId w:val="15"/>
        </w:numPr>
        <w:spacing w:line="360" w:lineRule="auto"/>
        <w:ind w:firstLine="424" w:firstLineChars="202"/>
        <w:rPr>
          <w:rFonts w:ascii="宋体" w:hAnsi="宋体"/>
        </w:rPr>
      </w:pPr>
      <w:r>
        <w:t>公共厕所设计应符合：女厕所的无障碍设施包括至少1个无障碍厕位和1个无障碍洗手盆；男厕所的无障碍设施包括至少1个无障碍厕位、1个无障碍小便器和1个无障碍洗手盆；无障碍厕位应设置无障碍</w:t>
      </w:r>
      <w:r>
        <w:rPr>
          <w:rFonts w:hint="eastAsia"/>
        </w:rPr>
        <w:t>标识</w:t>
      </w:r>
      <w:r>
        <w:t>，无障碍</w:t>
      </w:r>
      <w:r>
        <w:rPr>
          <w:rFonts w:hint="eastAsia"/>
        </w:rPr>
        <w:t>标识</w:t>
      </w:r>
      <w:r>
        <w:t>应符合本标准</w:t>
      </w:r>
      <w:r>
        <w:rPr>
          <w:rFonts w:hint="eastAsia"/>
        </w:rPr>
        <w:t>第</w:t>
      </w:r>
      <w:r>
        <w:rPr>
          <w:rFonts w:hint="eastAsia" w:ascii="宋体" w:hAnsi="宋体"/>
        </w:rPr>
        <w:t>4</w:t>
      </w:r>
      <w:r>
        <w:rPr>
          <w:rFonts w:ascii="宋体" w:hAnsi="宋体"/>
        </w:rPr>
        <w:t>.3</w:t>
      </w:r>
      <w:r>
        <w:rPr>
          <w:rFonts w:hint="eastAsia" w:ascii="宋体" w:hAnsi="宋体"/>
        </w:rPr>
        <w:t>节</w:t>
      </w:r>
      <w:r>
        <w:t>的有关规定。</w:t>
      </w:r>
    </w:p>
    <w:p>
      <w:pPr>
        <w:pStyle w:val="32"/>
        <w:numPr>
          <w:ilvl w:val="0"/>
          <w:numId w:val="15"/>
        </w:numPr>
        <w:spacing w:line="360" w:lineRule="auto"/>
        <w:ind w:firstLine="424" w:firstLineChars="202"/>
      </w:pPr>
      <w:r>
        <w:t>无障碍厕位</w:t>
      </w:r>
      <w:r>
        <w:rPr>
          <w:rFonts w:hint="eastAsia"/>
        </w:rPr>
        <w:t>设计</w:t>
      </w:r>
      <w:r>
        <w:t>应符合</w:t>
      </w:r>
      <w:r>
        <w:rPr>
          <w:rFonts w:hint="eastAsia"/>
        </w:rPr>
        <w:t>：</w:t>
      </w:r>
      <w:r>
        <w:t>无障碍厕位应方便乘轮椅者到达和进出，尺寸宜做2.00</w:t>
      </w:r>
      <w:r>
        <w:rPr>
          <w:rFonts w:hint="eastAsia"/>
        </w:rPr>
        <w:t>m</w:t>
      </w:r>
      <w:r>
        <w:t>×1.50</w:t>
      </w:r>
      <w:r>
        <w:rPr>
          <w:rFonts w:hint="eastAsia"/>
        </w:rPr>
        <w:t>m</w:t>
      </w:r>
      <w:r>
        <w:t>，不应小于</w:t>
      </w:r>
      <w:r>
        <w:rPr>
          <w:rFonts w:hint="eastAsia"/>
        </w:rPr>
        <w:t>1.</w:t>
      </w:r>
      <w:r>
        <w:t>80</w:t>
      </w:r>
      <w:r>
        <w:rPr>
          <w:rFonts w:hint="eastAsia"/>
        </w:rPr>
        <w:t>m</w:t>
      </w:r>
      <w:r>
        <w:t>×1.00</w:t>
      </w:r>
      <w:r>
        <w:rPr>
          <w:rFonts w:hint="eastAsia"/>
        </w:rPr>
        <w:t>m</w:t>
      </w:r>
      <w:r>
        <w:t>；平开门外侧应设高900</w:t>
      </w:r>
      <w:r>
        <w:rPr>
          <w:rFonts w:hint="eastAsia"/>
        </w:rPr>
        <w:t>mm</w:t>
      </w:r>
      <w:r>
        <w:t>的横扶把手，在关闭的门扇里侧设高900</w:t>
      </w:r>
      <w:r>
        <w:rPr>
          <w:rFonts w:hint="eastAsia"/>
        </w:rPr>
        <w:t>mm</w:t>
      </w:r>
      <w:r>
        <w:t>的关门拉手，并应采用门外可紧急开启的插销</w:t>
      </w:r>
      <w:r>
        <w:rPr>
          <w:rFonts w:hint="eastAsia"/>
        </w:rPr>
        <w:t>；</w:t>
      </w:r>
      <w:r>
        <w:t>厕位内应设坐便器，厕位两侧距地面700</w:t>
      </w:r>
      <w:r>
        <w:rPr>
          <w:rFonts w:hint="eastAsia"/>
        </w:rPr>
        <w:t>mm</w:t>
      </w:r>
      <w:r>
        <w:t>处应设长度不小于700</w:t>
      </w:r>
      <w:r>
        <w:rPr>
          <w:rFonts w:hint="eastAsia"/>
        </w:rPr>
        <w:t>mm</w:t>
      </w:r>
      <w:r>
        <w:t>的水平安全抓杆，另一侧应设高</w:t>
      </w:r>
      <w:r>
        <w:rPr>
          <w:rFonts w:hint="eastAsia"/>
        </w:rPr>
        <w:t>1.</w:t>
      </w:r>
      <w:r>
        <w:t>40</w:t>
      </w:r>
      <w:r>
        <w:rPr>
          <w:rFonts w:hint="eastAsia"/>
        </w:rPr>
        <w:t>m</w:t>
      </w:r>
      <w:r>
        <w:t>的垂直安全抓杆</w:t>
      </w:r>
      <w:r>
        <w:rPr>
          <w:rFonts w:hint="eastAsia"/>
        </w:rPr>
        <w:t>；</w:t>
      </w:r>
    </w:p>
    <w:p>
      <w:pPr>
        <w:pStyle w:val="32"/>
        <w:numPr>
          <w:ilvl w:val="0"/>
          <w:numId w:val="15"/>
        </w:numPr>
        <w:spacing w:line="360" w:lineRule="auto"/>
        <w:ind w:firstLine="424" w:firstLineChars="202"/>
        <w:rPr>
          <w:i/>
          <w:u w:val="single"/>
        </w:rPr>
      </w:pPr>
      <w:r>
        <w:rPr>
          <w:rFonts w:hint="eastAsia"/>
        </w:rPr>
        <w:t>公共厕所</w:t>
      </w:r>
      <w:r>
        <w:t>其他设施</w:t>
      </w:r>
      <w:r>
        <w:rPr>
          <w:rFonts w:hint="eastAsia"/>
        </w:rPr>
        <w:t>设计</w:t>
      </w:r>
      <w:r>
        <w:t>应符合：无障碍小便器下口距地面高度不应大于400</w:t>
      </w:r>
      <w:r>
        <w:rPr>
          <w:rFonts w:hint="eastAsia"/>
        </w:rPr>
        <w:t>mm</w:t>
      </w:r>
      <w:r>
        <w:t>，小便器应在离墙面250</w:t>
      </w:r>
      <w:r>
        <w:rPr>
          <w:rFonts w:hint="eastAsia"/>
        </w:rPr>
        <w:t>mm的</w:t>
      </w:r>
      <w:r>
        <w:t>两侧设高度为</w:t>
      </w:r>
      <w:r>
        <w:rPr>
          <w:rFonts w:hint="eastAsia"/>
        </w:rPr>
        <w:t>1.</w:t>
      </w:r>
      <w:r>
        <w:t>20</w:t>
      </w:r>
      <w:r>
        <w:rPr>
          <w:rFonts w:hint="eastAsia"/>
        </w:rPr>
        <w:t>m</w:t>
      </w:r>
      <w:r>
        <w:t>的垂直安全抓杆，并在离墙面550</w:t>
      </w:r>
      <w:r>
        <w:rPr>
          <w:rFonts w:hint="eastAsia"/>
        </w:rPr>
        <w:t>mm</w:t>
      </w:r>
      <w:r>
        <w:t>处设高度为900</w:t>
      </w:r>
      <w:r>
        <w:rPr>
          <w:rFonts w:hint="eastAsia"/>
        </w:rPr>
        <w:t>mm</w:t>
      </w:r>
      <w:r>
        <w:t>水平安全抓杆，与垂直安全抓杆连接；无障碍洗手盆的水嘴中心距侧墙应大于550</w:t>
      </w:r>
      <w:r>
        <w:rPr>
          <w:rFonts w:hint="eastAsia"/>
        </w:rPr>
        <w:t>mm</w:t>
      </w:r>
      <w:r>
        <w:t>，其底部应留出宽750</w:t>
      </w:r>
      <w:r>
        <w:rPr>
          <w:rFonts w:hint="eastAsia"/>
        </w:rPr>
        <w:t>mm</w:t>
      </w:r>
      <w:r>
        <w:t>、高650</w:t>
      </w:r>
      <w:r>
        <w:rPr>
          <w:rFonts w:hint="eastAsia"/>
        </w:rPr>
        <w:t>mm</w:t>
      </w:r>
      <w:r>
        <w:t>、深450</w:t>
      </w:r>
      <w:r>
        <w:rPr>
          <w:rFonts w:hint="eastAsia"/>
        </w:rPr>
        <w:t>mm</w:t>
      </w:r>
      <w:r>
        <w:t>供乘轮椅者膝部和足尖部的移动空间，并在洗手盆上方安装镜子，出水龙头宜采用杠杆式水龙头或感应式自动出水方式</w:t>
      </w:r>
      <w:r>
        <w:rPr>
          <w:rFonts w:hint="eastAsia"/>
        </w:rPr>
        <w:t>；</w:t>
      </w:r>
      <w:r>
        <w:t>安全抓杆应安装牢固，直径应为30</w:t>
      </w:r>
      <w:r>
        <w:rPr>
          <w:rFonts w:hint="eastAsia"/>
        </w:rPr>
        <w:t>mm</w:t>
      </w:r>
      <w:r>
        <w:t>～40</w:t>
      </w:r>
      <w:r>
        <w:rPr>
          <w:rFonts w:hint="eastAsia"/>
        </w:rPr>
        <w:t>mm</w:t>
      </w:r>
      <w:r>
        <w:t>，内侧距墙不应小于40</w:t>
      </w:r>
      <w:r>
        <w:rPr>
          <w:rFonts w:hint="eastAsia"/>
        </w:rPr>
        <w:t>mm；</w:t>
      </w:r>
      <w:r>
        <w:t>取纸器应设在坐便器的侧前方，高度为400</w:t>
      </w:r>
      <w:r>
        <w:rPr>
          <w:rFonts w:hint="eastAsia"/>
        </w:rPr>
        <w:t>mm</w:t>
      </w:r>
      <w:r>
        <w:t>～500</w:t>
      </w:r>
      <w:r>
        <w:rPr>
          <w:rFonts w:hint="eastAsia"/>
        </w:rPr>
        <w:t>mm。</w:t>
      </w:r>
    </w:p>
    <w:bookmarkEnd w:id="106"/>
    <w:bookmarkEnd w:id="107"/>
    <w:bookmarkEnd w:id="108"/>
    <w:bookmarkEnd w:id="111"/>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rPr>
      </w:pPr>
      <w:r>
        <w:rPr>
          <w:rFonts w:hint="eastAsia"/>
          <w:i/>
        </w:rPr>
        <w:t xml:space="preserve">第2款 </w:t>
      </w:r>
      <w:r>
        <w:rPr>
          <w:i/>
        </w:rPr>
        <w:t>无障碍厕所是无性别区分、男女均可使用的小型厕所。无障碍厕所尽量设在公共建筑中通行方便的地段。这种厕所的面积要大于无障碍专用厕位</w:t>
      </w:r>
      <w:r>
        <w:rPr>
          <w:rFonts w:hint="eastAsia" w:ascii="宋体" w:hAnsi="宋体"/>
          <w:i/>
        </w:rPr>
        <w:t>。无障碍厕所内部的</w:t>
      </w:r>
      <w:r>
        <w:rPr>
          <w:i/>
          <w:iCs/>
        </w:rPr>
        <w:t>坐便器应符合本</w:t>
      </w:r>
      <w:r>
        <w:rPr>
          <w:rFonts w:hint="eastAsia"/>
          <w:i/>
          <w:iCs/>
        </w:rPr>
        <w:t>条</w:t>
      </w:r>
      <w:r>
        <w:rPr>
          <w:i/>
          <w:iCs/>
        </w:rPr>
        <w:t>第</w:t>
      </w:r>
      <w:r>
        <w:rPr>
          <w:rFonts w:hint="eastAsia"/>
          <w:i/>
          <w:iCs/>
        </w:rPr>
        <w:t>5款</w:t>
      </w:r>
      <w:r>
        <w:rPr>
          <w:i/>
          <w:iCs/>
        </w:rPr>
        <w:t>的有关规定，洗手盆应符合本</w:t>
      </w:r>
      <w:r>
        <w:rPr>
          <w:rFonts w:hint="eastAsia"/>
          <w:i/>
          <w:iCs/>
        </w:rPr>
        <w:t>条第5款</w:t>
      </w:r>
      <w:r>
        <w:rPr>
          <w:i/>
          <w:iCs/>
        </w:rPr>
        <w:t>的有关规定</w:t>
      </w:r>
      <w:r>
        <w:rPr>
          <w:rFonts w:hint="eastAsia"/>
          <w:i/>
          <w:iCs/>
        </w:rPr>
        <w:t>；</w:t>
      </w:r>
      <w:r>
        <w:rPr>
          <w:i/>
          <w:iCs/>
        </w:rPr>
        <w:t>多功能台长度不宜小于700</w:t>
      </w:r>
      <w:r>
        <w:rPr>
          <w:rFonts w:hint="eastAsia"/>
          <w:i/>
          <w:iCs/>
        </w:rPr>
        <w:t>mm</w:t>
      </w:r>
      <w:r>
        <w:rPr>
          <w:i/>
          <w:iCs/>
        </w:rPr>
        <w:t>，宽度不宜小于400</w:t>
      </w:r>
      <w:r>
        <w:rPr>
          <w:rFonts w:hint="eastAsia"/>
          <w:i/>
          <w:iCs/>
        </w:rPr>
        <w:t>mm</w:t>
      </w:r>
      <w:r>
        <w:rPr>
          <w:i/>
          <w:iCs/>
        </w:rPr>
        <w:t>，高度宜为600</w:t>
      </w:r>
      <w:r>
        <w:rPr>
          <w:rFonts w:hint="eastAsia"/>
          <w:i/>
          <w:iCs/>
        </w:rPr>
        <w:t>mm</w:t>
      </w:r>
      <w:r>
        <w:rPr>
          <w:rFonts w:hint="eastAsia" w:ascii="宋体" w:hAnsi="宋体"/>
          <w:i/>
          <w:iCs/>
        </w:rPr>
        <w:t>；</w:t>
      </w:r>
      <w:r>
        <w:rPr>
          <w:i/>
          <w:iCs/>
        </w:rPr>
        <w:t>安全抓杆的设计应符合本标准第</w:t>
      </w:r>
      <w:r>
        <w:rPr>
          <w:rFonts w:hint="eastAsia"/>
          <w:i/>
          <w:iCs/>
        </w:rPr>
        <w:t>4.4.7条</w:t>
      </w:r>
      <w:r>
        <w:rPr>
          <w:i/>
          <w:iCs/>
        </w:rPr>
        <w:t>的有关规定</w:t>
      </w:r>
      <w:r>
        <w:rPr>
          <w:rFonts w:hint="eastAsia" w:ascii="宋体" w:hAnsi="宋体"/>
          <w:i/>
          <w:iCs/>
        </w:rPr>
        <w:t>；</w:t>
      </w:r>
      <w:r>
        <w:rPr>
          <w:i/>
          <w:iCs/>
        </w:rPr>
        <w:t>挂衣钩距地高度不应大于1.20</w:t>
      </w:r>
      <w:r>
        <w:rPr>
          <w:rFonts w:hint="eastAsia"/>
          <w:i/>
          <w:iCs/>
        </w:rPr>
        <w:t>m</w:t>
      </w:r>
      <w:r>
        <w:rPr>
          <w:rFonts w:hint="eastAsia" w:ascii="宋体" w:hAnsi="宋体"/>
          <w:i/>
          <w:iCs/>
        </w:rPr>
        <w:t>；</w:t>
      </w:r>
      <w:r>
        <w:rPr>
          <w:i/>
          <w:iCs/>
        </w:rPr>
        <w:t>在坐便器旁的墙面上应设高400</w:t>
      </w:r>
      <w:r>
        <w:rPr>
          <w:rFonts w:hint="eastAsia"/>
          <w:i/>
          <w:iCs/>
        </w:rPr>
        <w:t>mm</w:t>
      </w:r>
      <w:r>
        <w:rPr>
          <w:i/>
          <w:iCs/>
        </w:rPr>
        <w:t>～500</w:t>
      </w:r>
      <w:r>
        <w:rPr>
          <w:rFonts w:hint="eastAsia"/>
          <w:i/>
          <w:iCs/>
        </w:rPr>
        <w:t>mm</w:t>
      </w:r>
      <w:r>
        <w:rPr>
          <w:i/>
          <w:iCs/>
        </w:rPr>
        <w:t>的救助呼叫按钮</w:t>
      </w:r>
      <w:r>
        <w:rPr>
          <w:rFonts w:hint="eastAsia" w:ascii="宋体" w:hAnsi="宋体"/>
          <w:i/>
          <w:iCs/>
        </w:rPr>
        <w:t>；</w:t>
      </w:r>
    </w:p>
    <w:p>
      <w:pPr>
        <w:pStyle w:val="32"/>
        <w:spacing w:line="360" w:lineRule="auto"/>
        <w:outlineLvl w:val="3"/>
        <w:rPr>
          <w:i/>
        </w:rPr>
      </w:pPr>
      <w:r>
        <w:rPr>
          <w:rFonts w:hint="eastAsia"/>
          <w:i/>
        </w:rPr>
        <w:t xml:space="preserve">第4款 </w:t>
      </w:r>
      <w:r>
        <w:rPr>
          <w:i/>
        </w:rPr>
        <w:t>无障碍厕位为厕所内的无障碍设施。在公共厕所内，选择通行方便的适当位置，设置1个轮椅可进入使用的坐便器的专用厕位。专用厕位分大型和小型两种规格。在厕位门向外开时，大型厕位尺寸宜做到</w:t>
      </w:r>
      <w:r>
        <w:rPr>
          <w:rFonts w:hint="eastAsia"/>
          <w:i/>
        </w:rPr>
        <w:t>2.</w:t>
      </w:r>
      <w:r>
        <w:rPr>
          <w:i/>
        </w:rPr>
        <w:t>00</w:t>
      </w:r>
      <w:r>
        <w:rPr>
          <w:rFonts w:hint="eastAsia"/>
          <w:i/>
        </w:rPr>
        <w:t>m</w:t>
      </w:r>
      <w:r>
        <w:rPr>
          <w:i/>
        </w:rPr>
        <w:t>×</w:t>
      </w:r>
      <w:r>
        <w:rPr>
          <w:rFonts w:hint="eastAsia"/>
          <w:i/>
        </w:rPr>
        <w:t>1.</w:t>
      </w:r>
      <w:r>
        <w:rPr>
          <w:i/>
        </w:rPr>
        <w:t>50</w:t>
      </w:r>
      <w:r>
        <w:rPr>
          <w:rFonts w:hint="eastAsia"/>
          <w:i/>
        </w:rPr>
        <w:t>m</w:t>
      </w:r>
      <w:r>
        <w:rPr>
          <w:i/>
        </w:rPr>
        <w:t>，轮椅进入后可调整角度和回转，轮椅可在坐便器侧面靠近后平移就位。小型厕位尺寸不应小于</w:t>
      </w:r>
      <w:r>
        <w:rPr>
          <w:rFonts w:hint="eastAsia"/>
          <w:i/>
        </w:rPr>
        <w:t>1.</w:t>
      </w:r>
      <w:r>
        <w:rPr>
          <w:i/>
        </w:rPr>
        <w:t>80</w:t>
      </w:r>
      <w:r>
        <w:rPr>
          <w:rFonts w:hint="eastAsia"/>
          <w:i/>
        </w:rPr>
        <w:t>m</w:t>
      </w:r>
      <w:r>
        <w:rPr>
          <w:i/>
        </w:rPr>
        <w:t>×</w:t>
      </w:r>
      <w:r>
        <w:rPr>
          <w:rFonts w:hint="eastAsia"/>
          <w:i/>
        </w:rPr>
        <w:t>1.</w:t>
      </w:r>
      <w:r>
        <w:rPr>
          <w:i/>
        </w:rPr>
        <w:t>00</w:t>
      </w:r>
      <w:r>
        <w:rPr>
          <w:rFonts w:hint="eastAsia"/>
          <w:i/>
        </w:rPr>
        <w:t>m</w:t>
      </w:r>
      <w:r>
        <w:rPr>
          <w:i/>
        </w:rPr>
        <w:t>，轮椅进入后不能调整角度和回转，只能从正面对着坐便器进行身体转移，最后倒退出厕位。无障碍厕位的门宜向外开启</w:t>
      </w:r>
      <w:r>
        <w:rPr>
          <w:rFonts w:hint="eastAsia"/>
          <w:i/>
        </w:rPr>
        <w:t>。</w:t>
      </w:r>
      <w:r>
        <w:rPr>
          <w:i/>
        </w:rPr>
        <w:t>在坐便器的两侧安装安全抓杆(图</w:t>
      </w:r>
      <w:r>
        <w:rPr>
          <w:rFonts w:hint="eastAsia"/>
          <w:i/>
        </w:rPr>
        <w:t>4-5</w:t>
      </w:r>
      <w:r>
        <w:rPr>
          <w:i/>
        </w:rPr>
        <w:t>)，供乘轮椅者从轮椅上转移到坐便器上以及拄拐杖者在起立时使用。安装在墙壁上另一侧的水平抓杆一般为T形，这种T形水平抓杆的长度550</w:t>
      </w:r>
      <w:r>
        <w:rPr>
          <w:rFonts w:hint="eastAsia"/>
          <w:i/>
        </w:rPr>
        <w:t>mm</w:t>
      </w:r>
      <w:r>
        <w:rPr>
          <w:i/>
        </w:rPr>
        <w:t>～600</w:t>
      </w:r>
      <w:r>
        <w:rPr>
          <w:rFonts w:hint="eastAsia"/>
          <w:i/>
        </w:rPr>
        <w:t>mm</w:t>
      </w:r>
      <w:r>
        <w:rPr>
          <w:i/>
        </w:rPr>
        <w:t>，可做成固定式，也可做成悬臂式可转动的抓杆，转动的抓杆可做水平旋转90度和垂直旋转90度两种，在使用前将抓杆转到贴近墙面上，不占空间，待轮椅靠近坐便器后再将抓杆转过来，协助乘轮椅者从轮椅上转换到坐便器上。这种可旋转的水平抓杆的长度可做到600</w:t>
      </w:r>
      <w:r>
        <w:rPr>
          <w:rFonts w:hint="eastAsia"/>
          <w:i/>
        </w:rPr>
        <w:t>mm</w:t>
      </w:r>
      <w:r>
        <w:rPr>
          <w:i/>
        </w:rPr>
        <w:t>～700</w:t>
      </w:r>
      <w:r>
        <w:rPr>
          <w:rFonts w:hint="eastAsia"/>
          <w:i/>
        </w:rPr>
        <w:t>mm。</w:t>
      </w:r>
    </w:p>
    <w:p>
      <w:pPr>
        <w:spacing w:line="360" w:lineRule="auto"/>
        <w:contextualSpacing/>
        <w:jc w:val="center"/>
        <w:rPr>
          <w:i/>
        </w:rPr>
      </w:pPr>
      <w:r>
        <w:rPr>
          <w:i/>
          <w:lang w:bidi="mn-Mong-CN"/>
        </w:rPr>
        <w:drawing>
          <wp:inline distT="0" distB="0" distL="0" distR="0">
            <wp:extent cx="2520315" cy="1304925"/>
            <wp:effectExtent l="0" t="0" r="13335" b="9525"/>
            <wp:docPr id="31"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true"/>
                    </pic:cNvPicPr>
                  </pic:nvPicPr>
                  <pic:blipFill>
                    <a:blip r:embed="rId11" cstate="print"/>
                    <a:stretch>
                      <a:fillRect/>
                    </a:stretch>
                  </pic:blipFill>
                  <pic:spPr>
                    <a:xfrm>
                      <a:off x="0" y="0"/>
                      <a:ext cx="2540062" cy="1315403"/>
                    </a:xfrm>
                    <a:prstGeom prst="rect">
                      <a:avLst/>
                    </a:prstGeom>
                  </pic:spPr>
                </pic:pic>
              </a:graphicData>
            </a:graphic>
          </wp:inline>
        </w:drawing>
      </w:r>
    </w:p>
    <w:p>
      <w:pPr>
        <w:spacing w:line="360" w:lineRule="auto"/>
        <w:contextualSpacing/>
        <w:jc w:val="center"/>
        <w:rPr>
          <w:i/>
        </w:rPr>
      </w:pPr>
      <w:r>
        <w:rPr>
          <w:rFonts w:hint="eastAsia"/>
          <w:i/>
        </w:rPr>
        <w:t>图4-5</w:t>
      </w:r>
      <w:r>
        <w:rPr>
          <w:i/>
        </w:rPr>
        <w:t>坐式便器及安全抓杆</w:t>
      </w:r>
    </w:p>
    <w:p>
      <w:pPr>
        <w:pStyle w:val="32"/>
        <w:spacing w:line="360" w:lineRule="auto"/>
        <w:outlineLvl w:val="3"/>
        <w:rPr>
          <w:i/>
        </w:rPr>
      </w:pPr>
      <w:r>
        <w:rPr>
          <w:rFonts w:hint="eastAsia"/>
          <w:i/>
        </w:rPr>
        <w:t>第5款 无障碍</w:t>
      </w:r>
      <w:r>
        <w:rPr>
          <w:i/>
        </w:rPr>
        <w:t>小便器的两侧和上部设置安全抓杆，主要是供使用者将胸部靠住，使重心更为稳定。无障碍洗手盆的安全抓杆可做成落地式和悬挑式两种，但要方便乘轮椅者靠近洗手盆的下部空间。水龙头的开关应方便开启，宜采用自动感应出水开关。安全抓杆要尽量少占地面空间，使轮椅靠近各种设施，以达到方便的使用效果。安全抓杆要安装牢固，应能承受100kg以上的重量。安装在墙上的安全抓杆内侧距墙面不小于40</w:t>
      </w:r>
      <w:r>
        <w:rPr>
          <w:rFonts w:hint="eastAsia"/>
          <w:i/>
        </w:rPr>
        <w:t>mm。</w:t>
      </w:r>
    </w:p>
    <w:p>
      <w:pPr>
        <w:pStyle w:val="32"/>
        <w:numPr>
          <w:ilvl w:val="2"/>
          <w:numId w:val="5"/>
        </w:numPr>
        <w:spacing w:line="360" w:lineRule="auto"/>
        <w:ind w:firstLineChars="0"/>
        <w:outlineLvl w:val="2"/>
        <w:rPr>
          <w:rFonts w:ascii="宋体" w:hAnsi="宋体"/>
        </w:rPr>
      </w:pPr>
      <w:r>
        <w:rPr>
          <w:rFonts w:hint="eastAsia" w:ascii="宋体" w:hAnsi="宋体"/>
        </w:rPr>
        <w:t>无障碍客房应符合下列规定：</w:t>
      </w:r>
    </w:p>
    <w:p>
      <w:pPr>
        <w:pStyle w:val="32"/>
        <w:numPr>
          <w:ilvl w:val="0"/>
          <w:numId w:val="16"/>
        </w:numPr>
        <w:spacing w:line="360" w:lineRule="auto"/>
        <w:ind w:firstLine="424" w:firstLineChars="202"/>
        <w:rPr>
          <w:rFonts w:ascii="宋体" w:hAnsi="宋体"/>
        </w:rPr>
      </w:pPr>
      <w:r>
        <w:rPr>
          <w:rFonts w:hint="eastAsia" w:ascii="宋体" w:hAnsi="宋体"/>
        </w:rPr>
        <w:t>无障碍客房应设在便于到达、进出和疏散的位置；</w:t>
      </w:r>
    </w:p>
    <w:p>
      <w:pPr>
        <w:pStyle w:val="32"/>
        <w:numPr>
          <w:ilvl w:val="0"/>
          <w:numId w:val="16"/>
        </w:numPr>
        <w:spacing w:line="360" w:lineRule="auto"/>
        <w:ind w:firstLine="424" w:firstLineChars="202"/>
        <w:rPr>
          <w:rFonts w:ascii="宋体" w:hAnsi="宋体"/>
        </w:rPr>
      </w:pPr>
      <w:r>
        <w:rPr>
          <w:rFonts w:ascii="宋体" w:hAnsi="宋体"/>
        </w:rPr>
        <w:t>房间内应有空间能保证轮椅进行回转，回转直径不小于1</w:t>
      </w:r>
      <w:r>
        <w:rPr>
          <w:rFonts w:hint="eastAsia" w:ascii="宋体" w:hAnsi="宋体"/>
        </w:rPr>
        <w:t>.</w:t>
      </w:r>
      <w:r>
        <w:rPr>
          <w:rFonts w:ascii="宋体" w:hAnsi="宋体"/>
        </w:rPr>
        <w:t>50</w:t>
      </w:r>
      <w:r>
        <w:rPr>
          <w:rFonts w:hint="eastAsia"/>
        </w:rPr>
        <w:t>m</w:t>
      </w:r>
      <w:r>
        <w:rPr>
          <w:rFonts w:hint="eastAsia" w:ascii="宋体" w:hAnsi="宋体"/>
        </w:rPr>
        <w:t>；</w:t>
      </w:r>
    </w:p>
    <w:p>
      <w:pPr>
        <w:pStyle w:val="32"/>
        <w:numPr>
          <w:ilvl w:val="0"/>
          <w:numId w:val="16"/>
        </w:numPr>
        <w:spacing w:line="360" w:lineRule="auto"/>
        <w:ind w:firstLine="424" w:firstLineChars="202"/>
        <w:rPr>
          <w:rFonts w:ascii="宋体" w:hAnsi="宋体"/>
        </w:rPr>
      </w:pPr>
      <w:r>
        <w:rPr>
          <w:rFonts w:ascii="宋体" w:hAnsi="宋体"/>
        </w:rPr>
        <w:t>无障碍客房的门应符合本</w:t>
      </w:r>
      <w:r>
        <w:rPr>
          <w:rFonts w:hint="eastAsia" w:ascii="宋体" w:hAnsi="宋体"/>
        </w:rPr>
        <w:t>标准</w:t>
      </w:r>
      <w:r>
        <w:rPr>
          <w:rFonts w:ascii="宋体" w:hAnsi="宋体"/>
        </w:rPr>
        <w:t>第</w:t>
      </w:r>
      <w:r>
        <w:rPr>
          <w:rFonts w:hint="eastAsia" w:ascii="宋体" w:hAnsi="宋体"/>
        </w:rPr>
        <w:t>4.4.2条</w:t>
      </w:r>
      <w:r>
        <w:rPr>
          <w:rFonts w:ascii="宋体" w:hAnsi="宋体"/>
        </w:rPr>
        <w:t>的有关规定</w:t>
      </w:r>
      <w:r>
        <w:rPr>
          <w:rFonts w:hint="eastAsia" w:ascii="宋体" w:hAnsi="宋体"/>
        </w:rPr>
        <w:t>；</w:t>
      </w:r>
    </w:p>
    <w:p>
      <w:pPr>
        <w:pStyle w:val="32"/>
        <w:numPr>
          <w:ilvl w:val="0"/>
          <w:numId w:val="16"/>
        </w:numPr>
        <w:spacing w:line="360" w:lineRule="auto"/>
        <w:ind w:firstLine="424" w:firstLineChars="202"/>
        <w:rPr>
          <w:rFonts w:ascii="宋体" w:hAnsi="宋体"/>
        </w:rPr>
      </w:pPr>
      <w:r>
        <w:rPr>
          <w:rFonts w:hint="eastAsia" w:ascii="宋体" w:hAnsi="宋体"/>
        </w:rPr>
        <w:t>无障碍客房卫生间内应保证轮椅进行回转，回转直径不小于1.50</w:t>
      </w:r>
      <w:r>
        <w:rPr>
          <w:rFonts w:hint="eastAsia"/>
        </w:rPr>
        <w:t>m</w:t>
      </w:r>
      <w:r>
        <w:rPr>
          <w:rFonts w:hint="eastAsia" w:ascii="宋体" w:hAnsi="宋体"/>
        </w:rPr>
        <w:t>，卫生器具应设置安全抓杆，安全抓杆</w:t>
      </w:r>
      <w:r>
        <w:rPr>
          <w:rFonts w:ascii="宋体" w:hAnsi="宋体"/>
        </w:rPr>
        <w:t>应符合本</w:t>
      </w:r>
      <w:r>
        <w:rPr>
          <w:rFonts w:hint="eastAsia" w:ascii="宋体" w:hAnsi="宋体"/>
        </w:rPr>
        <w:t>标准</w:t>
      </w:r>
      <w:r>
        <w:rPr>
          <w:rFonts w:ascii="宋体" w:hAnsi="宋体"/>
        </w:rPr>
        <w:t>第</w:t>
      </w:r>
      <w:r>
        <w:rPr>
          <w:rFonts w:hint="eastAsia" w:ascii="宋体" w:hAnsi="宋体"/>
        </w:rPr>
        <w:t>4.4.7条</w:t>
      </w:r>
      <w:r>
        <w:rPr>
          <w:rFonts w:ascii="宋体" w:hAnsi="宋体"/>
        </w:rPr>
        <w:t>的有关规定</w:t>
      </w:r>
      <w:r>
        <w:rPr>
          <w:rFonts w:hint="eastAsia" w:ascii="宋体" w:hAnsi="宋体"/>
        </w:rPr>
        <w:t>；</w:t>
      </w:r>
    </w:p>
    <w:p>
      <w:pPr>
        <w:pStyle w:val="32"/>
        <w:numPr>
          <w:ilvl w:val="0"/>
          <w:numId w:val="16"/>
        </w:numPr>
        <w:spacing w:line="360" w:lineRule="auto"/>
        <w:ind w:firstLine="424" w:firstLineChars="202"/>
        <w:rPr>
          <w:rFonts w:ascii="宋体" w:hAnsi="宋体"/>
        </w:rPr>
      </w:pPr>
      <w:r>
        <w:rPr>
          <w:rFonts w:hint="eastAsia" w:ascii="宋体" w:hAnsi="宋体"/>
        </w:rPr>
        <w:t>无障碍客房的其他规定；</w:t>
      </w:r>
      <w:r>
        <w:rPr>
          <w:rFonts w:hint="eastAsia"/>
        </w:rPr>
        <w:t>床间距离不应小于1.20m</w:t>
      </w:r>
      <w:r>
        <w:t>；</w:t>
      </w:r>
      <w:r>
        <w:rPr>
          <w:rFonts w:hint="eastAsia"/>
        </w:rPr>
        <w:t>家具和电器控制开关的位置和高度应方便乘轮椅者靠近和使用，床的使用高度为450mm；客房及卫生间应设高400mm～500mm的救助呼叫按钮；客房应设置为听力障碍者服务的闪光提示门铃。</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rPr>
      </w:pPr>
      <w:r>
        <w:rPr>
          <w:rFonts w:hint="eastAsia"/>
          <w:bCs/>
          <w:i/>
        </w:rPr>
        <w:t xml:space="preserve">第1款 </w:t>
      </w:r>
      <w:r>
        <w:rPr>
          <w:rFonts w:hint="eastAsia"/>
          <w:i/>
        </w:rPr>
        <w:t>无障碍客房应设在便于到达、疏散和进出的位置，比如设在客房区的底层以及靠近服务台、公共活动区和安全出口的位置。</w:t>
      </w:r>
    </w:p>
    <w:p>
      <w:pPr>
        <w:pStyle w:val="32"/>
        <w:spacing w:line="360" w:lineRule="auto"/>
        <w:outlineLvl w:val="3"/>
        <w:rPr>
          <w:rFonts w:ascii="宋体" w:hAnsi="宋体"/>
          <w:i/>
          <w:strike/>
        </w:rPr>
      </w:pPr>
      <w:r>
        <w:rPr>
          <w:rFonts w:hint="eastAsia"/>
          <w:bCs/>
          <w:i/>
        </w:rPr>
        <w:t xml:space="preserve">第2款 </w:t>
      </w:r>
      <w:r>
        <w:rPr>
          <w:rFonts w:hint="eastAsia"/>
          <w:i/>
        </w:rPr>
        <w:t>客房内需要留有直径不小于1.50m的轮椅回转空间，可以将通道的宽度做到不小于1.50m</w:t>
      </w:r>
      <w:r>
        <w:rPr>
          <w:rFonts w:hint="eastAsia" w:ascii="宋体" w:hAnsi="宋体"/>
          <w:i/>
        </w:rPr>
        <w:t>。</w:t>
      </w:r>
    </w:p>
    <w:p>
      <w:pPr>
        <w:pStyle w:val="32"/>
        <w:spacing w:line="360" w:lineRule="auto"/>
        <w:outlineLvl w:val="3"/>
        <w:rPr>
          <w:i/>
        </w:rPr>
      </w:pPr>
      <w:r>
        <w:rPr>
          <w:rFonts w:hint="eastAsia"/>
          <w:i/>
        </w:rPr>
        <w:t>第3款 客房床面的高度、坐便器的高度、浴盆或淋浴座椅的高度，应与标准轮椅坐高一致，以方便乘轮椅者进行转移。在卫生间及客房的适当部位，需设救助呼叫按钮。</w:t>
      </w:r>
    </w:p>
    <w:p>
      <w:pPr>
        <w:pStyle w:val="32"/>
        <w:numPr>
          <w:ilvl w:val="2"/>
          <w:numId w:val="5"/>
        </w:numPr>
        <w:spacing w:line="360" w:lineRule="auto"/>
        <w:ind w:firstLineChars="0"/>
        <w:outlineLvl w:val="2"/>
        <w:rPr>
          <w:rFonts w:ascii="宋体" w:hAnsi="宋体"/>
        </w:rPr>
      </w:pPr>
      <w:r>
        <w:rPr>
          <w:rFonts w:hint="eastAsia" w:ascii="宋体" w:hAnsi="宋体"/>
        </w:rPr>
        <w:t>无障碍住房及宿舍应</w:t>
      </w:r>
      <w:r>
        <w:rPr>
          <w:rFonts w:ascii="宋体" w:hAnsi="宋体"/>
        </w:rPr>
        <w:t>符合下列规定：</w:t>
      </w:r>
    </w:p>
    <w:p>
      <w:pPr>
        <w:pStyle w:val="32"/>
        <w:numPr>
          <w:ilvl w:val="0"/>
          <w:numId w:val="17"/>
        </w:numPr>
        <w:spacing w:line="360" w:lineRule="auto"/>
        <w:ind w:firstLine="424" w:firstLineChars="202"/>
        <w:rPr>
          <w:rFonts w:ascii="宋体" w:hAnsi="宋体"/>
        </w:rPr>
      </w:pPr>
      <w:r>
        <w:t>户门及户内门开启后的净宽应符合本标准第</w:t>
      </w:r>
      <w:r>
        <w:rPr>
          <w:rFonts w:hint="eastAsia"/>
        </w:rPr>
        <w:t>4.1.6条</w:t>
      </w:r>
      <w:r>
        <w:t>的有关规定</w:t>
      </w:r>
      <w:r>
        <w:rPr>
          <w:rFonts w:hint="eastAsia"/>
        </w:rPr>
        <w:t>；</w:t>
      </w:r>
    </w:p>
    <w:p>
      <w:pPr>
        <w:pStyle w:val="32"/>
        <w:numPr>
          <w:ilvl w:val="0"/>
          <w:numId w:val="17"/>
        </w:numPr>
        <w:spacing w:line="360" w:lineRule="auto"/>
        <w:ind w:firstLine="424" w:firstLineChars="202"/>
        <w:rPr>
          <w:rFonts w:ascii="宋体" w:hAnsi="宋体"/>
        </w:rPr>
      </w:pPr>
      <w:r>
        <w:t>通往卧室、起居室(厅)、厨房、卫生间、储藏室及阳台的通道应为无障碍通道，并按照本标准第</w:t>
      </w:r>
      <w:r>
        <w:rPr>
          <w:rFonts w:hint="eastAsia"/>
        </w:rPr>
        <w:t>4.</w:t>
      </w:r>
      <w:r>
        <w:t>4.</w:t>
      </w:r>
      <w:r>
        <w:rPr>
          <w:rFonts w:hint="eastAsia"/>
        </w:rPr>
        <w:t>3条</w:t>
      </w:r>
      <w:r>
        <w:t>的要求在一侧或两侧设置扶手</w:t>
      </w:r>
      <w:r>
        <w:rPr>
          <w:rFonts w:hint="eastAsia"/>
        </w:rPr>
        <w:t>；</w:t>
      </w:r>
    </w:p>
    <w:p>
      <w:pPr>
        <w:pStyle w:val="32"/>
        <w:numPr>
          <w:ilvl w:val="0"/>
          <w:numId w:val="17"/>
        </w:numPr>
        <w:spacing w:line="360" w:lineRule="auto"/>
        <w:ind w:firstLine="424" w:firstLineChars="202"/>
        <w:rPr>
          <w:rFonts w:ascii="宋体" w:hAnsi="宋体"/>
        </w:rPr>
      </w:pPr>
      <w:r>
        <w:t>浴盆、淋浴、坐便器、洗手盆及安全抓杆等应符合本标准第</w:t>
      </w:r>
      <w:r>
        <w:rPr>
          <w:rFonts w:hint="eastAsia"/>
        </w:rPr>
        <w:t>4.2.3条</w:t>
      </w:r>
      <w:r>
        <w:t>的有关规定</w:t>
      </w:r>
      <w:r>
        <w:rPr>
          <w:rFonts w:hint="eastAsia"/>
        </w:rPr>
        <w:t>；</w:t>
      </w:r>
    </w:p>
    <w:p>
      <w:pPr>
        <w:pStyle w:val="32"/>
        <w:numPr>
          <w:ilvl w:val="0"/>
          <w:numId w:val="17"/>
        </w:numPr>
        <w:spacing w:line="360" w:lineRule="auto"/>
        <w:ind w:firstLine="424" w:firstLineChars="202"/>
        <w:rPr>
          <w:b/>
          <w:i/>
        </w:rPr>
      </w:pPr>
      <w:r>
        <w:t>无障碍住房及宿舍的其他规定</w:t>
      </w:r>
      <w:r>
        <w:rPr>
          <w:rFonts w:hint="eastAsia"/>
        </w:rPr>
        <w:t>：根据无障碍使用人群的分类，在居住建筑的套内空间，有目的地设置相应的无障碍设施；供乘轮椅者使用的厨房，操作台下方净宽和高度都不应小于650mm，深度不应小于250mm。</w:t>
      </w:r>
      <w:r>
        <w:t>居室和卫生间内应设求助呼叫按钮</w:t>
      </w:r>
      <w:r>
        <w:rPr>
          <w:rFonts w:hint="eastAsia"/>
        </w:rPr>
        <w:t>。</w:t>
      </w:r>
      <w:r>
        <w:t>家具和电器控制开关的位置和高度应方便乘轮椅者靠近和使用</w:t>
      </w:r>
      <w:r>
        <w:rPr>
          <w:rFonts w:hint="eastAsia"/>
        </w:rPr>
        <w:t>。</w:t>
      </w:r>
      <w:r>
        <w:t>供听力障碍者使用的住宅和公寓应安装闪光提示门铃</w:t>
      </w:r>
      <w:r>
        <w:rPr>
          <w:rFonts w:hint="eastAsia"/>
        </w:rPr>
        <w:t>。</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rPr>
      </w:pPr>
      <w:r>
        <w:rPr>
          <w:rFonts w:hint="eastAsia"/>
          <w:i/>
        </w:rPr>
        <w:t xml:space="preserve">第1、2款 </w:t>
      </w:r>
      <w:r>
        <w:rPr>
          <w:i/>
        </w:rPr>
        <w:t xml:space="preserve"> </w:t>
      </w:r>
      <w:r>
        <w:rPr>
          <w:rFonts w:hint="eastAsia"/>
          <w:i/>
        </w:rPr>
        <w:t>无障碍住房及宿舍户门及内门的设计要满足轮椅的通行要求。户内、外通道要满足无障碍的要求，达到方便、安全、便捷。在很多设计中，阳台的地坪与居室存在高差，或地面上安装有落地门框影响无障碍通行，可采取设置缓坡和改变阳台门安装方式来解决。</w:t>
      </w:r>
    </w:p>
    <w:p>
      <w:pPr>
        <w:pStyle w:val="32"/>
        <w:spacing w:line="360" w:lineRule="auto"/>
        <w:outlineLvl w:val="3"/>
        <w:rPr>
          <w:rFonts w:ascii="宋体" w:hAnsi="宋体"/>
          <w:i/>
        </w:rPr>
      </w:pPr>
      <w:r>
        <w:rPr>
          <w:rFonts w:hint="eastAsia"/>
          <w:i/>
        </w:rPr>
        <w:t>第3款 室内卫生间应安全抓杆，并根据这些配置的要求调整洁具之间的距离</w:t>
      </w:r>
      <w:r>
        <w:rPr>
          <w:i/>
        </w:rPr>
        <w:t>。</w:t>
      </w:r>
    </w:p>
    <w:p>
      <w:pPr>
        <w:pStyle w:val="32"/>
        <w:spacing w:line="360" w:lineRule="auto"/>
        <w:outlineLvl w:val="3"/>
        <w:rPr>
          <w:i/>
          <w:strike/>
        </w:rPr>
      </w:pPr>
      <w:r>
        <w:rPr>
          <w:rFonts w:hint="eastAsia"/>
          <w:bCs/>
          <w:i/>
        </w:rPr>
        <w:t xml:space="preserve">第4款 </w:t>
      </w:r>
      <w:r>
        <w:rPr>
          <w:rFonts w:hint="eastAsia"/>
          <w:i/>
          <w:iCs/>
        </w:rPr>
        <w:t>单人卧室面积不应小于7.00m</w:t>
      </w:r>
      <w:r>
        <w:rPr>
          <w:i/>
          <w:iCs/>
          <w:vertAlign w:val="superscript"/>
        </w:rPr>
        <w:t>2</w:t>
      </w:r>
      <w:r>
        <w:rPr>
          <w:rFonts w:hint="eastAsia"/>
          <w:i/>
          <w:iCs/>
        </w:rPr>
        <w:t>，双人卧室面积不应小于10.50m</w:t>
      </w:r>
      <w:r>
        <w:rPr>
          <w:i/>
          <w:iCs/>
          <w:vertAlign w:val="superscript"/>
        </w:rPr>
        <w:t>2</w:t>
      </w:r>
      <w:r>
        <w:rPr>
          <w:rFonts w:hint="eastAsia"/>
          <w:i/>
          <w:iCs/>
        </w:rPr>
        <w:t>，兼起居室的卧室面积不应小于16.00m</w:t>
      </w:r>
      <w:r>
        <w:rPr>
          <w:i/>
          <w:iCs/>
          <w:vertAlign w:val="superscript"/>
        </w:rPr>
        <w:t>2</w:t>
      </w:r>
      <w:r>
        <w:rPr>
          <w:rFonts w:hint="eastAsia"/>
          <w:i/>
          <w:iCs/>
        </w:rPr>
        <w:t>，起居室面积不应小于14.00m</w:t>
      </w:r>
      <w:r>
        <w:rPr>
          <w:i/>
          <w:iCs/>
          <w:vertAlign w:val="superscript"/>
        </w:rPr>
        <w:t>2</w:t>
      </w:r>
      <w:r>
        <w:rPr>
          <w:rFonts w:hint="eastAsia"/>
          <w:i/>
          <w:iCs/>
        </w:rPr>
        <w:t>，厨房面积不应小于6.00m</w:t>
      </w:r>
      <w:r>
        <w:rPr>
          <w:i/>
          <w:iCs/>
          <w:vertAlign w:val="superscript"/>
        </w:rPr>
        <w:t>2</w:t>
      </w:r>
      <w:r>
        <w:rPr>
          <w:rFonts w:hint="eastAsia"/>
          <w:i/>
          <w:iCs/>
        </w:rPr>
        <w:t>。设坐便器、洗浴器(浴盆或淋浴)、洗面盆三件卫生洁具的卫生间面积不应小于4.00m</w:t>
      </w:r>
      <w:r>
        <w:rPr>
          <w:i/>
          <w:iCs/>
          <w:vertAlign w:val="superscript"/>
        </w:rPr>
        <w:t>2</w:t>
      </w:r>
      <w:r>
        <w:rPr>
          <w:rFonts w:hint="eastAsia"/>
          <w:i/>
          <w:iCs/>
        </w:rPr>
        <w:t>；设坐便器、洗浴器二件卫生洁具的卫生间面积不应小于3.00m</w:t>
      </w:r>
      <w:r>
        <w:rPr>
          <w:i/>
          <w:iCs/>
          <w:vertAlign w:val="superscript"/>
        </w:rPr>
        <w:t>2</w:t>
      </w:r>
      <w:r>
        <w:rPr>
          <w:rFonts w:hint="eastAsia"/>
          <w:i/>
          <w:iCs/>
        </w:rPr>
        <w:t>；设坐便器、洗面盆二件卫生洁具的卫生间面积不应小于2.50m</w:t>
      </w:r>
      <w:r>
        <w:rPr>
          <w:i/>
          <w:iCs/>
          <w:vertAlign w:val="superscript"/>
        </w:rPr>
        <w:t>2</w:t>
      </w:r>
      <w:r>
        <w:rPr>
          <w:rFonts w:hint="eastAsia"/>
          <w:i/>
          <w:iCs/>
        </w:rPr>
        <w:t>；单设坐便器的卫生间面积不应小于2.00m</w:t>
      </w:r>
      <w:r>
        <w:rPr>
          <w:i/>
          <w:iCs/>
          <w:vertAlign w:val="superscript"/>
        </w:rPr>
        <w:t>2</w:t>
      </w:r>
      <w:r>
        <w:rPr>
          <w:rFonts w:hint="eastAsia"/>
          <w:i/>
          <w:iCs/>
        </w:rPr>
        <w:t>。</w:t>
      </w:r>
      <w:r>
        <w:rPr>
          <w:rFonts w:hint="eastAsia"/>
          <w:i/>
        </w:rPr>
        <w:t>若设计时还不能确认使用者的类型，则所有设施要按照规范一次设计到位。室内各使用空间的面积都略大于现行国家标准《住宅设计规范》（GB50096—</w:t>
      </w:r>
      <w:r>
        <w:rPr>
          <w:i/>
        </w:rPr>
        <w:t>2011</w:t>
      </w:r>
      <w:r>
        <w:rPr>
          <w:rFonts w:hint="eastAsia"/>
          <w:i/>
        </w:rPr>
        <w:t>）中相应的最低面积标准，为轮椅使用者提供一定的空间。</w:t>
      </w:r>
    </w:p>
    <w:p>
      <w:pPr>
        <w:pStyle w:val="32"/>
        <w:numPr>
          <w:ilvl w:val="1"/>
          <w:numId w:val="5"/>
        </w:numPr>
        <w:spacing w:line="360" w:lineRule="auto"/>
        <w:ind w:firstLineChars="0"/>
        <w:jc w:val="center"/>
        <w:outlineLvl w:val="1"/>
        <w:rPr>
          <w:rFonts w:ascii="宋体" w:hAnsi="宋体"/>
        </w:rPr>
      </w:pPr>
      <w:bookmarkStart w:id="113" w:name="_Toc20420180"/>
      <w:bookmarkStart w:id="114" w:name="_Toc23437768"/>
      <w:r>
        <w:rPr>
          <w:rFonts w:hint="eastAsia" w:ascii="宋体" w:hAnsi="宋体"/>
        </w:rPr>
        <w:t>导识类设施</w:t>
      </w:r>
      <w:bookmarkEnd w:id="113"/>
      <w:bookmarkEnd w:id="114"/>
    </w:p>
    <w:p>
      <w:pPr>
        <w:pStyle w:val="32"/>
        <w:numPr>
          <w:ilvl w:val="2"/>
          <w:numId w:val="5"/>
        </w:numPr>
        <w:spacing w:line="360" w:lineRule="auto"/>
        <w:ind w:firstLineChars="0"/>
        <w:outlineLvl w:val="2"/>
        <w:rPr>
          <w:rFonts w:ascii="宋体" w:hAnsi="宋体"/>
        </w:rPr>
      </w:pPr>
      <w:r>
        <w:rPr>
          <w:rFonts w:hint="eastAsia" w:ascii="宋体" w:hAnsi="宋体"/>
        </w:rPr>
        <w:t>导识类</w:t>
      </w:r>
      <w:r>
        <w:rPr>
          <w:rFonts w:ascii="宋体" w:hAnsi="宋体"/>
        </w:rPr>
        <w:t>设施</w:t>
      </w:r>
      <w:r>
        <w:rPr>
          <w:rFonts w:hint="eastAsia" w:ascii="宋体" w:hAnsi="宋体"/>
        </w:rPr>
        <w:t>包括视觉</w:t>
      </w:r>
      <w:r>
        <w:rPr>
          <w:rFonts w:ascii="宋体" w:hAnsi="宋体"/>
        </w:rPr>
        <w:t>标识、触觉标识、听觉标识、感应标识</w:t>
      </w:r>
      <w:r>
        <w:rPr>
          <w:rFonts w:hint="eastAsia" w:ascii="宋体" w:hAnsi="宋体"/>
        </w:rPr>
        <w:t>、</w:t>
      </w:r>
      <w:r>
        <w:rPr>
          <w:rFonts w:ascii="宋体" w:hAnsi="宋体"/>
        </w:rPr>
        <w:t>交互标识</w:t>
      </w:r>
      <w:r>
        <w:rPr>
          <w:rFonts w:hint="eastAsia" w:ascii="宋体" w:hAnsi="宋体"/>
        </w:rPr>
        <w:t>及</w:t>
      </w:r>
      <w:r>
        <w:rPr>
          <w:rFonts w:ascii="宋体" w:hAnsi="宋体"/>
        </w:rPr>
        <w:t>应急报警</w:t>
      </w:r>
      <w:r>
        <w:rPr>
          <w:rFonts w:hint="eastAsia" w:ascii="宋体" w:hAnsi="宋体"/>
        </w:rPr>
        <w:t>设施。视觉</w:t>
      </w:r>
      <w:r>
        <w:rPr>
          <w:rFonts w:ascii="宋体" w:hAnsi="宋体"/>
        </w:rPr>
        <w:t>标识</w:t>
      </w:r>
      <w:r>
        <w:rPr>
          <w:rFonts w:hint="eastAsia" w:ascii="宋体" w:hAnsi="宋体"/>
        </w:rPr>
        <w:t>包括名称</w:t>
      </w:r>
      <w:r>
        <w:rPr>
          <w:rFonts w:ascii="宋体" w:hAnsi="宋体"/>
        </w:rPr>
        <w:t>标识</w:t>
      </w:r>
      <w:r>
        <w:rPr>
          <w:rFonts w:hint="eastAsia" w:ascii="宋体" w:hAnsi="宋体"/>
        </w:rPr>
        <w:t>、</w:t>
      </w:r>
      <w:r>
        <w:rPr>
          <w:rFonts w:ascii="宋体" w:hAnsi="宋体"/>
        </w:rPr>
        <w:t>方向标识、说明标识、危险标识</w:t>
      </w:r>
      <w:r>
        <w:rPr>
          <w:rFonts w:hint="eastAsia" w:ascii="宋体" w:hAnsi="宋体"/>
        </w:rPr>
        <w:t>、</w:t>
      </w:r>
      <w:r>
        <w:rPr>
          <w:rFonts w:ascii="宋体" w:hAnsi="宋体"/>
        </w:rPr>
        <w:t>限制标识等；触觉标识包括</w:t>
      </w:r>
      <w:r>
        <w:rPr>
          <w:rFonts w:hint="eastAsia" w:ascii="宋体" w:hAnsi="宋体"/>
        </w:rPr>
        <w:t>盲文</w:t>
      </w:r>
      <w:r>
        <w:rPr>
          <w:rFonts w:ascii="宋体" w:hAnsi="宋体"/>
        </w:rPr>
        <w:t>标牌</w:t>
      </w:r>
      <w:r>
        <w:rPr>
          <w:rFonts w:hint="eastAsia" w:ascii="宋体" w:hAnsi="宋体"/>
        </w:rPr>
        <w:t>、</w:t>
      </w:r>
      <w:r>
        <w:rPr>
          <w:rFonts w:ascii="宋体" w:hAnsi="宋体"/>
        </w:rPr>
        <w:t>盲文按钮、盲文地图等；听觉标识包括</w:t>
      </w:r>
      <w:r>
        <w:rPr>
          <w:rFonts w:hint="eastAsia" w:ascii="宋体" w:hAnsi="宋体"/>
        </w:rPr>
        <w:t>语音</w:t>
      </w:r>
      <w:r>
        <w:rPr>
          <w:rFonts w:ascii="宋体" w:hAnsi="宋体"/>
        </w:rPr>
        <w:t>提示器</w:t>
      </w:r>
      <w:r>
        <w:rPr>
          <w:rFonts w:hint="eastAsia" w:ascii="宋体" w:hAnsi="宋体"/>
        </w:rPr>
        <w:t>、</w:t>
      </w:r>
      <w:r>
        <w:rPr>
          <w:rFonts w:ascii="宋体" w:hAnsi="宋体"/>
        </w:rPr>
        <w:t>音响</w:t>
      </w:r>
      <w:r>
        <w:rPr>
          <w:rFonts w:hint="eastAsia" w:ascii="宋体" w:hAnsi="宋体"/>
        </w:rPr>
        <w:t>等</w:t>
      </w:r>
      <w:r>
        <w:rPr>
          <w:rFonts w:ascii="宋体" w:hAnsi="宋体"/>
        </w:rPr>
        <w:t>；</w:t>
      </w:r>
      <w:r>
        <w:rPr>
          <w:rFonts w:hint="eastAsia" w:ascii="宋体" w:hAnsi="宋体"/>
        </w:rPr>
        <w:t>感应</w:t>
      </w:r>
      <w:r>
        <w:rPr>
          <w:rFonts w:ascii="宋体" w:hAnsi="宋体"/>
        </w:rPr>
        <w:t>标识包括与其他类型标识相结合的具有红外等电子感应</w:t>
      </w:r>
      <w:r>
        <w:rPr>
          <w:rFonts w:hint="eastAsia" w:ascii="宋体" w:hAnsi="宋体"/>
        </w:rPr>
        <w:t>、</w:t>
      </w:r>
      <w:r>
        <w:rPr>
          <w:rFonts w:ascii="宋体" w:hAnsi="宋体"/>
        </w:rPr>
        <w:t>提示</w:t>
      </w:r>
      <w:r>
        <w:rPr>
          <w:rFonts w:hint="eastAsia" w:ascii="宋体" w:hAnsi="宋体"/>
        </w:rPr>
        <w:t>、</w:t>
      </w:r>
      <w:r>
        <w:rPr>
          <w:rFonts w:ascii="宋体" w:hAnsi="宋体"/>
        </w:rPr>
        <w:t>识别功能的</w:t>
      </w:r>
      <w:r>
        <w:rPr>
          <w:rFonts w:hint="eastAsia" w:ascii="宋体" w:hAnsi="宋体"/>
        </w:rPr>
        <w:t>设施；交互</w:t>
      </w:r>
      <w:r>
        <w:rPr>
          <w:rFonts w:ascii="宋体" w:hAnsi="宋体"/>
        </w:rPr>
        <w:t>标识</w:t>
      </w:r>
      <w:r>
        <w:rPr>
          <w:rFonts w:hint="eastAsia" w:ascii="宋体" w:hAnsi="宋体"/>
        </w:rPr>
        <w:t>包括</w:t>
      </w:r>
      <w:r>
        <w:rPr>
          <w:rFonts w:ascii="宋体" w:hAnsi="宋体"/>
        </w:rPr>
        <w:t>具备触摸功能</w:t>
      </w:r>
      <w:r>
        <w:rPr>
          <w:rFonts w:hint="eastAsia" w:ascii="宋体" w:hAnsi="宋体"/>
        </w:rPr>
        <w:t>，</w:t>
      </w:r>
      <w:r>
        <w:rPr>
          <w:rFonts w:ascii="宋体" w:hAnsi="宋体"/>
        </w:rPr>
        <w:t>可双向传递信息的</w:t>
      </w:r>
      <w:r>
        <w:rPr>
          <w:rFonts w:hint="eastAsia" w:ascii="宋体" w:hAnsi="宋体"/>
        </w:rPr>
        <w:t>显示器</w:t>
      </w:r>
      <w:r>
        <w:rPr>
          <w:rFonts w:ascii="宋体" w:hAnsi="宋体"/>
        </w:rPr>
        <w:t>、显示屏</w:t>
      </w:r>
      <w:r>
        <w:rPr>
          <w:rFonts w:hint="eastAsia" w:ascii="宋体" w:hAnsi="宋体"/>
        </w:rPr>
        <w:t>及</w:t>
      </w:r>
      <w:r>
        <w:rPr>
          <w:rFonts w:ascii="宋体" w:hAnsi="宋体"/>
        </w:rPr>
        <w:t>可</w:t>
      </w:r>
      <w:r>
        <w:rPr>
          <w:rFonts w:hint="eastAsia" w:ascii="宋体" w:hAnsi="宋体"/>
        </w:rPr>
        <w:t>移动</w:t>
      </w:r>
      <w:r>
        <w:rPr>
          <w:rFonts w:ascii="宋体" w:hAnsi="宋体"/>
        </w:rPr>
        <w:t>、可携带的设备</w:t>
      </w:r>
      <w:r>
        <w:rPr>
          <w:rFonts w:hint="eastAsia" w:ascii="宋体" w:hAnsi="宋体"/>
        </w:rPr>
        <w:t>等；应急</w:t>
      </w:r>
      <w:r>
        <w:rPr>
          <w:rFonts w:ascii="宋体" w:hAnsi="宋体"/>
        </w:rPr>
        <w:t>报警设施</w:t>
      </w:r>
      <w:r>
        <w:rPr>
          <w:rFonts w:hint="eastAsia" w:ascii="宋体" w:hAnsi="宋体"/>
        </w:rPr>
        <w:t>是集合</w:t>
      </w:r>
      <w:r>
        <w:rPr>
          <w:rFonts w:ascii="宋体" w:hAnsi="宋体"/>
        </w:rPr>
        <w:t>视觉、听觉、交互</w:t>
      </w:r>
      <w:r>
        <w:rPr>
          <w:rFonts w:hint="eastAsia" w:ascii="宋体" w:hAnsi="宋体"/>
        </w:rPr>
        <w:t>多重</w:t>
      </w:r>
      <w:r>
        <w:rPr>
          <w:rFonts w:ascii="宋体" w:hAnsi="宋体"/>
        </w:rPr>
        <w:t>功能</w:t>
      </w:r>
      <w:r>
        <w:rPr>
          <w:rFonts w:hint="eastAsia" w:ascii="宋体" w:hAnsi="宋体"/>
        </w:rPr>
        <w:t>，</w:t>
      </w:r>
      <w:r>
        <w:rPr>
          <w:rFonts w:ascii="宋体" w:hAnsi="宋体"/>
        </w:rPr>
        <w:t>结合</w:t>
      </w:r>
      <w:r>
        <w:rPr>
          <w:rFonts w:hint="eastAsia" w:ascii="宋体" w:hAnsi="宋体"/>
        </w:rPr>
        <w:t>互联网</w:t>
      </w:r>
      <w:r>
        <w:rPr>
          <w:rFonts w:ascii="宋体" w:hAnsi="宋体"/>
        </w:rPr>
        <w:t>信息</w:t>
      </w:r>
      <w:r>
        <w:rPr>
          <w:rFonts w:hint="eastAsia" w:ascii="宋体" w:hAnsi="宋体"/>
        </w:rPr>
        <w:t>技术</w:t>
      </w:r>
      <w:r>
        <w:rPr>
          <w:rFonts w:ascii="宋体" w:hAnsi="宋体"/>
        </w:rPr>
        <w:t>的</w:t>
      </w:r>
      <w:r>
        <w:rPr>
          <w:rFonts w:hint="eastAsia" w:ascii="宋体" w:hAnsi="宋体"/>
        </w:rPr>
        <w:t>应急</w:t>
      </w:r>
      <w:r>
        <w:rPr>
          <w:rFonts w:ascii="宋体" w:hAnsi="宋体"/>
        </w:rPr>
        <w:t>报警并</w:t>
      </w:r>
      <w:r>
        <w:rPr>
          <w:rFonts w:hint="eastAsia" w:ascii="宋体" w:hAnsi="宋体"/>
        </w:rPr>
        <w:t>能</w:t>
      </w:r>
      <w:r>
        <w:rPr>
          <w:rFonts w:ascii="宋体" w:hAnsi="宋体"/>
        </w:rPr>
        <w:t>提供紧急救援的</w:t>
      </w:r>
      <w:r>
        <w:rPr>
          <w:rFonts w:hint="eastAsia" w:ascii="宋体" w:hAnsi="宋体"/>
        </w:rPr>
        <w:t>设备</w:t>
      </w:r>
      <w:r>
        <w:rPr>
          <w:rFonts w:ascii="宋体" w:hAnsi="宋体"/>
        </w:rPr>
        <w:t>设施，包括</w:t>
      </w:r>
      <w:r>
        <w:rPr>
          <w:rFonts w:hint="eastAsia" w:ascii="宋体" w:hAnsi="宋体"/>
        </w:rPr>
        <w:t>警示器</w:t>
      </w:r>
      <w:r>
        <w:rPr>
          <w:rFonts w:ascii="宋体" w:hAnsi="宋体"/>
        </w:rPr>
        <w:t>、对讲机</w:t>
      </w:r>
      <w:r>
        <w:rPr>
          <w:rFonts w:hint="eastAsia" w:ascii="宋体" w:hAnsi="宋体"/>
        </w:rPr>
        <w:t>、音响频</w:t>
      </w:r>
      <w:r>
        <w:rPr>
          <w:rFonts w:ascii="宋体" w:hAnsi="宋体"/>
        </w:rPr>
        <w:t>闪</w:t>
      </w:r>
      <w:r>
        <w:rPr>
          <w:rFonts w:hint="eastAsia" w:ascii="宋体" w:hAnsi="宋体"/>
        </w:rPr>
        <w:t>显示</w:t>
      </w:r>
      <w:r>
        <w:rPr>
          <w:rFonts w:ascii="宋体" w:hAnsi="宋体"/>
        </w:rPr>
        <w:t>灯</w:t>
      </w:r>
      <w:r>
        <w:rPr>
          <w:rFonts w:hint="eastAsia" w:ascii="宋体" w:hAnsi="宋体"/>
        </w:rPr>
        <w:t>等</w:t>
      </w:r>
      <w:r>
        <w:rPr>
          <w:rFonts w:ascii="宋体" w:hAnsi="宋体"/>
        </w:rPr>
        <w:t>。</w:t>
      </w:r>
    </w:p>
    <w:p>
      <w:pPr>
        <w:pStyle w:val="32"/>
        <w:numPr>
          <w:ilvl w:val="2"/>
          <w:numId w:val="5"/>
        </w:numPr>
        <w:spacing w:line="360" w:lineRule="auto"/>
        <w:ind w:firstLineChars="0"/>
        <w:outlineLvl w:val="2"/>
        <w:rPr>
          <w:rFonts w:ascii="宋体" w:hAnsi="宋体"/>
        </w:rPr>
      </w:pPr>
      <w:r>
        <w:rPr>
          <w:rFonts w:hint="eastAsia" w:ascii="宋体" w:hAnsi="宋体"/>
        </w:rPr>
        <w:t>视觉</w:t>
      </w:r>
      <w:r>
        <w:rPr>
          <w:rFonts w:ascii="宋体" w:hAnsi="宋体"/>
        </w:rPr>
        <w:t>标识</w:t>
      </w:r>
      <w:r>
        <w:rPr>
          <w:rFonts w:hint="eastAsia" w:ascii="宋体" w:hAnsi="宋体"/>
        </w:rPr>
        <w:t>应</w:t>
      </w:r>
      <w:r>
        <w:rPr>
          <w:rFonts w:ascii="宋体" w:hAnsi="宋体"/>
        </w:rPr>
        <w:t>符合下列规定：</w:t>
      </w:r>
    </w:p>
    <w:p>
      <w:pPr>
        <w:pStyle w:val="32"/>
        <w:numPr>
          <w:ilvl w:val="0"/>
          <w:numId w:val="18"/>
        </w:numPr>
        <w:spacing w:line="360" w:lineRule="auto"/>
        <w:ind w:firstLine="424" w:firstLineChars="202"/>
        <w:rPr>
          <w:rFonts w:ascii="宋体" w:hAnsi="宋体"/>
        </w:rPr>
      </w:pPr>
      <w:r>
        <w:rPr>
          <w:rFonts w:hint="eastAsia" w:ascii="宋体" w:hAnsi="宋体"/>
        </w:rPr>
        <w:t>视觉</w:t>
      </w:r>
      <w:r>
        <w:t>标识是运用系统的、统一的静态视觉符号</w:t>
      </w:r>
      <w:r>
        <w:rPr>
          <w:rFonts w:hint="eastAsia"/>
        </w:rPr>
        <w:t>，</w:t>
      </w:r>
      <w:r>
        <w:t>对无障碍环境、设施进行导向及标</w:t>
      </w:r>
      <w:r>
        <w:rPr>
          <w:rFonts w:hint="eastAsia"/>
        </w:rPr>
        <w:t>明的</w:t>
      </w:r>
      <w:r>
        <w:t>导</w:t>
      </w:r>
      <w:r>
        <w:rPr>
          <w:rFonts w:hint="eastAsia"/>
        </w:rPr>
        <w:t>识设施</w:t>
      </w:r>
      <w:r>
        <w:t>。</w:t>
      </w:r>
      <w:r>
        <w:rPr>
          <w:rFonts w:hint="eastAsia"/>
        </w:rPr>
        <w:t>无障碍标识应醒目，避免遮挡，</w:t>
      </w:r>
      <w:r>
        <w:t>纳入城市环境或建筑内部的引导标识系统中，</w:t>
      </w:r>
      <w:r>
        <w:rPr>
          <w:rFonts w:hint="eastAsia"/>
        </w:rPr>
        <w:t>应</w:t>
      </w:r>
      <w:r>
        <w:t>清楚</w:t>
      </w:r>
      <w:r>
        <w:rPr>
          <w:rFonts w:hint="eastAsia"/>
        </w:rPr>
        <w:t>指明</w:t>
      </w:r>
      <w:r>
        <w:t>无障碍设施的走向及位置</w:t>
      </w:r>
      <w:r>
        <w:rPr>
          <w:rFonts w:hint="eastAsia"/>
        </w:rPr>
        <w:t>；</w:t>
      </w:r>
    </w:p>
    <w:p>
      <w:pPr>
        <w:pStyle w:val="32"/>
        <w:numPr>
          <w:ilvl w:val="0"/>
          <w:numId w:val="18"/>
        </w:numPr>
        <w:spacing w:line="360" w:lineRule="auto"/>
        <w:ind w:firstLine="424" w:firstLineChars="202"/>
        <w:rPr>
          <w:rFonts w:ascii="宋体" w:hAnsi="宋体"/>
        </w:rPr>
      </w:pPr>
      <w:r>
        <w:rPr>
          <w:rFonts w:hint="eastAsia" w:ascii="宋体" w:hAnsi="宋体"/>
        </w:rPr>
        <w:t>视觉</w:t>
      </w:r>
      <w:r>
        <w:rPr>
          <w:rFonts w:ascii="宋体" w:hAnsi="宋体"/>
        </w:rPr>
        <w:t>标识</w:t>
      </w:r>
      <w:r>
        <w:rPr>
          <w:rFonts w:hint="eastAsia" w:ascii="宋体" w:hAnsi="宋体"/>
        </w:rPr>
        <w:t>分为</w:t>
      </w:r>
      <w:r>
        <w:rPr>
          <w:rFonts w:ascii="宋体" w:hAnsi="宋体"/>
        </w:rPr>
        <w:t>贴壁式</w:t>
      </w:r>
      <w:r>
        <w:rPr>
          <w:rFonts w:hint="eastAsia" w:ascii="宋体" w:hAnsi="宋体"/>
        </w:rPr>
        <w:t>、</w:t>
      </w:r>
      <w:r>
        <w:rPr>
          <w:rFonts w:ascii="宋体" w:hAnsi="宋体"/>
        </w:rPr>
        <w:t>横越</w:t>
      </w:r>
      <w:r>
        <w:rPr>
          <w:rFonts w:hint="eastAsia" w:ascii="宋体" w:hAnsi="宋体"/>
        </w:rPr>
        <w:t>式、</w:t>
      </w:r>
      <w:r>
        <w:rPr>
          <w:rFonts w:ascii="宋体" w:hAnsi="宋体"/>
        </w:rPr>
        <w:t>地牌式</w:t>
      </w:r>
      <w:r>
        <w:rPr>
          <w:rFonts w:hint="eastAsia" w:ascii="宋体" w:hAnsi="宋体"/>
        </w:rPr>
        <w:t>、</w:t>
      </w:r>
      <w:r>
        <w:rPr>
          <w:rFonts w:ascii="宋体" w:hAnsi="宋体"/>
        </w:rPr>
        <w:t>悬挂式、地面</w:t>
      </w:r>
      <w:r>
        <w:rPr>
          <w:rFonts w:hint="eastAsia" w:ascii="宋体" w:hAnsi="宋体"/>
        </w:rPr>
        <w:t>式和</w:t>
      </w:r>
      <w:r>
        <w:rPr>
          <w:rFonts w:ascii="宋体" w:hAnsi="宋体"/>
        </w:rPr>
        <w:t>阅读板</w:t>
      </w:r>
      <w:r>
        <w:rPr>
          <w:rFonts w:hint="eastAsia" w:ascii="宋体" w:hAnsi="宋体"/>
        </w:rPr>
        <w:t>式。视觉</w:t>
      </w:r>
      <w:r>
        <w:rPr>
          <w:rFonts w:ascii="宋体" w:hAnsi="宋体"/>
        </w:rPr>
        <w:t>标识的空间位置应设置在</w:t>
      </w:r>
      <w:r>
        <w:rPr>
          <w:rFonts w:hint="eastAsia" w:ascii="宋体" w:hAnsi="宋体"/>
        </w:rPr>
        <w:t>视线</w:t>
      </w:r>
      <w:r>
        <w:rPr>
          <w:rFonts w:ascii="宋体" w:hAnsi="宋体"/>
        </w:rPr>
        <w:t>范围内</w:t>
      </w:r>
      <w:r>
        <w:rPr>
          <w:rFonts w:hint="eastAsia" w:ascii="宋体" w:hAnsi="宋体"/>
        </w:rPr>
        <w:t>，并便于施工及维护；</w:t>
      </w:r>
    </w:p>
    <w:p>
      <w:pPr>
        <w:pStyle w:val="32"/>
        <w:numPr>
          <w:ilvl w:val="0"/>
          <w:numId w:val="18"/>
        </w:numPr>
        <w:spacing w:line="360" w:lineRule="auto"/>
        <w:ind w:firstLine="424" w:firstLineChars="202"/>
        <w:rPr>
          <w:rFonts w:ascii="宋体" w:hAnsi="宋体"/>
        </w:rPr>
      </w:pPr>
      <w:r>
        <w:rPr>
          <w:rFonts w:hint="eastAsia" w:ascii="宋体" w:hAnsi="宋体"/>
        </w:rPr>
        <w:t>视觉</w:t>
      </w:r>
      <w:r>
        <w:rPr>
          <w:rFonts w:ascii="宋体" w:hAnsi="宋体"/>
        </w:rPr>
        <w:t>标识</w:t>
      </w:r>
      <w:r>
        <w:rPr>
          <w:rFonts w:hint="eastAsia" w:ascii="宋体" w:hAnsi="宋体"/>
        </w:rPr>
        <w:t>牌宜</w:t>
      </w:r>
      <w:r>
        <w:rPr>
          <w:rFonts w:ascii="宋体" w:hAnsi="宋体"/>
        </w:rPr>
        <w:t>采用国际标准规格</w:t>
      </w:r>
      <w:r>
        <w:rPr>
          <w:rFonts w:hint="eastAsia" w:ascii="宋体" w:hAnsi="宋体"/>
        </w:rPr>
        <w:t>100mm*100</w:t>
      </w:r>
      <w:r>
        <w:rPr>
          <w:rFonts w:ascii="宋体" w:hAnsi="宋体"/>
        </w:rPr>
        <w:t>mm</w:t>
      </w:r>
      <w:r>
        <w:rPr>
          <w:rFonts w:hint="eastAsia" w:ascii="宋体" w:hAnsi="宋体"/>
        </w:rPr>
        <w:t>与400mm</w:t>
      </w:r>
      <w:r>
        <w:rPr>
          <w:rFonts w:ascii="宋体" w:hAnsi="宋体"/>
        </w:rPr>
        <w:t>*400mm</w:t>
      </w:r>
      <w:r>
        <w:rPr>
          <w:rFonts w:hint="eastAsia" w:ascii="宋体" w:hAnsi="宋体"/>
        </w:rPr>
        <w:t>两种</w:t>
      </w:r>
      <w:r>
        <w:rPr>
          <w:rFonts w:ascii="宋体" w:hAnsi="宋体"/>
        </w:rPr>
        <w:t>标识尺寸，分别匹配近、远</w:t>
      </w:r>
      <w:r>
        <w:rPr>
          <w:rFonts w:hint="eastAsia" w:ascii="宋体" w:hAnsi="宋体"/>
        </w:rPr>
        <w:t>两种</w:t>
      </w:r>
      <w:r>
        <w:rPr>
          <w:rFonts w:ascii="宋体" w:hAnsi="宋体"/>
        </w:rPr>
        <w:t>观看距离。标识</w:t>
      </w:r>
      <w:r>
        <w:rPr>
          <w:rFonts w:hint="eastAsia" w:ascii="宋体" w:hAnsi="宋体"/>
        </w:rPr>
        <w:t>底色</w:t>
      </w:r>
      <w:r>
        <w:rPr>
          <w:rFonts w:ascii="宋体" w:hAnsi="宋体"/>
        </w:rPr>
        <w:t>与环境背景色、标识底色与图形色的色彩关系均应采用高对比度，色彩亮度比应大于</w:t>
      </w:r>
      <w:r>
        <w:rPr>
          <w:rFonts w:hint="eastAsia" w:ascii="宋体" w:hAnsi="宋体"/>
        </w:rPr>
        <w:t>0.5；</w:t>
      </w:r>
    </w:p>
    <w:p>
      <w:pPr>
        <w:pStyle w:val="32"/>
        <w:numPr>
          <w:ilvl w:val="0"/>
          <w:numId w:val="18"/>
        </w:numPr>
        <w:spacing w:line="360" w:lineRule="auto"/>
        <w:ind w:firstLine="424" w:firstLineChars="202"/>
        <w:rPr>
          <w:rFonts w:ascii="宋体" w:hAnsi="宋体"/>
        </w:rPr>
      </w:pPr>
      <w:r>
        <w:rPr>
          <w:rFonts w:hint="eastAsia" w:ascii="宋体" w:hAnsi="宋体"/>
        </w:rPr>
        <w:t>无障碍</w:t>
      </w:r>
      <w:r>
        <w:rPr>
          <w:rFonts w:ascii="宋体" w:hAnsi="宋体"/>
        </w:rPr>
        <w:t>视觉标识应尽可能优先使用图形</w:t>
      </w:r>
      <w:r>
        <w:rPr>
          <w:rFonts w:hint="eastAsia" w:ascii="宋体" w:hAnsi="宋体"/>
        </w:rPr>
        <w:t>，</w:t>
      </w:r>
      <w:r>
        <w:rPr>
          <w:rFonts w:ascii="宋体" w:hAnsi="宋体"/>
        </w:rPr>
        <w:t>当配置文字时宜使用黑体、魏碑、幼圆类字体</w:t>
      </w:r>
      <w:r>
        <w:rPr>
          <w:rFonts w:hint="eastAsia" w:ascii="宋体" w:hAnsi="宋体"/>
        </w:rPr>
        <w:t>，</w:t>
      </w:r>
      <w:r>
        <w:rPr>
          <w:rFonts w:hint="eastAsia"/>
        </w:rPr>
        <w:t>涉及</w:t>
      </w:r>
      <w:r>
        <w:t>外籍人士环境</w:t>
      </w:r>
      <w:r>
        <w:rPr>
          <w:rFonts w:hint="eastAsia"/>
        </w:rPr>
        <w:t>，</w:t>
      </w:r>
      <w:r>
        <w:t>配置文字时应同时配置英文</w:t>
      </w:r>
      <w:r>
        <w:rPr>
          <w:rFonts w:hint="eastAsia"/>
        </w:rPr>
        <w:t>。</w:t>
      </w:r>
      <w:r>
        <w:rPr>
          <w:rFonts w:hint="eastAsia" w:ascii="宋体" w:hAnsi="宋体"/>
        </w:rPr>
        <w:t>字符</w:t>
      </w:r>
      <w:r>
        <w:rPr>
          <w:rFonts w:ascii="宋体" w:hAnsi="宋体"/>
        </w:rPr>
        <w:t>大小、间距应</w:t>
      </w:r>
      <w:r>
        <w:rPr>
          <w:rFonts w:hint="eastAsia" w:ascii="宋体" w:hAnsi="宋体"/>
        </w:rPr>
        <w:t>依据</w:t>
      </w:r>
      <w:r>
        <w:rPr>
          <w:rFonts w:ascii="宋体" w:hAnsi="宋体"/>
        </w:rPr>
        <w:t>视</w:t>
      </w:r>
      <w:r>
        <w:rPr>
          <w:rFonts w:hint="eastAsia" w:ascii="宋体" w:hAnsi="宋体"/>
        </w:rPr>
        <w:t>距要求</w:t>
      </w:r>
      <w:r>
        <w:rPr>
          <w:rFonts w:ascii="宋体" w:hAnsi="宋体"/>
        </w:rPr>
        <w:t>进行尺寸控制</w:t>
      </w:r>
      <w:r>
        <w:rPr>
          <w:rFonts w:hint="eastAsia" w:ascii="宋体" w:hAnsi="宋体"/>
        </w:rPr>
        <w:t>。</w:t>
      </w:r>
    </w:p>
    <w:p>
      <w:pPr>
        <w:pStyle w:val="32"/>
        <w:spacing w:line="360" w:lineRule="auto"/>
        <w:ind w:firstLine="0" w:firstLineChars="0"/>
        <w:outlineLvl w:val="3"/>
        <w:rPr>
          <w:b/>
          <w:i/>
        </w:rPr>
      </w:pPr>
      <w:r>
        <w:rPr>
          <w:rFonts w:hint="eastAsia"/>
          <w:b/>
          <w:i/>
        </w:rPr>
        <w:t xml:space="preserve">条文说明 </w:t>
      </w:r>
    </w:p>
    <w:p>
      <w:pPr>
        <w:pStyle w:val="32"/>
        <w:spacing w:line="360" w:lineRule="auto"/>
        <w:ind w:firstLine="424" w:firstLineChars="202"/>
        <w:outlineLvl w:val="3"/>
        <w:rPr>
          <w:bCs/>
          <w:i/>
        </w:rPr>
      </w:pPr>
      <w:r>
        <w:rPr>
          <w:rFonts w:hint="eastAsia"/>
          <w:bCs/>
          <w:i/>
        </w:rPr>
        <w:t>第1款 具备</w:t>
      </w:r>
      <w:r>
        <w:rPr>
          <w:bCs/>
          <w:i/>
        </w:rPr>
        <w:t>无障碍通行设施的交通</w:t>
      </w:r>
      <w:r>
        <w:rPr>
          <w:rFonts w:hint="eastAsia"/>
          <w:bCs/>
          <w:i/>
        </w:rPr>
        <w:t>空间及安装无障碍服务设施的公共空间均应设置无障碍视觉标识，安装位置包括出入口、坡道、电梯、扶梯、升降台、传送带、无障碍卫生间、无障碍厕位、低位服务台、无障碍工作台、轮椅席位等。</w:t>
      </w:r>
    </w:p>
    <w:p>
      <w:pPr>
        <w:pStyle w:val="32"/>
        <w:spacing w:line="360" w:lineRule="auto"/>
        <w:ind w:firstLine="424" w:firstLineChars="202"/>
        <w:outlineLvl w:val="3"/>
        <w:rPr>
          <w:bCs/>
          <w:i/>
        </w:rPr>
      </w:pPr>
      <w:r>
        <w:rPr>
          <w:rFonts w:hint="eastAsia"/>
          <w:bCs/>
          <w:i/>
        </w:rPr>
        <w:t xml:space="preserve">第4款 </w:t>
      </w:r>
      <w:r>
        <w:rPr>
          <w:bCs/>
          <w:i/>
        </w:rPr>
        <w:t>视觉标识配置中文文字时，采用</w:t>
      </w:r>
      <w:r>
        <w:rPr>
          <w:rFonts w:hint="eastAsia"/>
          <w:bCs/>
          <w:i/>
        </w:rPr>
        <w:t>黑体、魏碑、幼圆类字体笔画</w:t>
      </w:r>
      <w:r>
        <w:rPr>
          <w:bCs/>
          <w:i/>
        </w:rPr>
        <w:t>粗细一致，适合辨识。不宜</w:t>
      </w:r>
      <w:r>
        <w:rPr>
          <w:rFonts w:hint="eastAsia"/>
          <w:bCs/>
          <w:i/>
        </w:rPr>
        <w:t>采用宋体、仿宋、草体、篆体等字体。</w:t>
      </w:r>
    </w:p>
    <w:p>
      <w:pPr>
        <w:pStyle w:val="32"/>
        <w:numPr>
          <w:ilvl w:val="2"/>
          <w:numId w:val="19"/>
        </w:numPr>
        <w:spacing w:line="360" w:lineRule="auto"/>
        <w:ind w:firstLineChars="0"/>
        <w:outlineLvl w:val="2"/>
        <w:rPr>
          <w:rFonts w:ascii="宋体" w:hAnsi="宋体"/>
        </w:rPr>
      </w:pPr>
      <w:r>
        <w:rPr>
          <w:rFonts w:hint="eastAsia" w:ascii="宋体" w:hAnsi="宋体"/>
        </w:rPr>
        <w:t>触觉</w:t>
      </w:r>
      <w:r>
        <w:rPr>
          <w:rFonts w:ascii="宋体" w:hAnsi="宋体"/>
        </w:rPr>
        <w:t>标识</w:t>
      </w:r>
      <w:r>
        <w:rPr>
          <w:rFonts w:hint="eastAsia" w:ascii="宋体" w:hAnsi="宋体"/>
        </w:rPr>
        <w:t>应</w:t>
      </w:r>
      <w:r>
        <w:rPr>
          <w:rFonts w:ascii="宋体" w:hAnsi="宋体"/>
        </w:rPr>
        <w:t>符合下列规定：</w:t>
      </w:r>
    </w:p>
    <w:p>
      <w:pPr>
        <w:pStyle w:val="32"/>
        <w:numPr>
          <w:ilvl w:val="0"/>
          <w:numId w:val="20"/>
        </w:numPr>
        <w:spacing w:line="360" w:lineRule="auto"/>
        <w:ind w:firstLine="424" w:firstLineChars="202"/>
        <w:rPr>
          <w:rFonts w:ascii="宋体" w:hAnsi="宋体"/>
        </w:rPr>
      </w:pPr>
      <w:r>
        <w:rPr>
          <w:rFonts w:hint="eastAsia" w:ascii="宋体" w:hAnsi="宋体"/>
        </w:rPr>
        <w:t>触觉</w:t>
      </w:r>
      <w:r>
        <w:rPr>
          <w:rFonts w:ascii="宋体" w:hAnsi="宋体"/>
        </w:rPr>
        <w:t>标识</w:t>
      </w:r>
      <w:r>
        <w:rPr>
          <w:rFonts w:hint="eastAsia" w:ascii="宋体" w:hAnsi="宋体"/>
        </w:rPr>
        <w:t>是通过</w:t>
      </w:r>
      <w:r>
        <w:rPr>
          <w:rFonts w:ascii="宋体" w:hAnsi="宋体"/>
        </w:rPr>
        <w:t>触摸可以完整、</w:t>
      </w:r>
      <w:r>
        <w:rPr>
          <w:rFonts w:hint="eastAsia" w:ascii="宋体" w:hAnsi="宋体"/>
        </w:rPr>
        <w:t>持续地提供空间信息的导识设施，包括可触摸图形和盲文两大部分。</w:t>
      </w:r>
      <w:r>
        <w:rPr>
          <w:rFonts w:hint="eastAsia"/>
        </w:rPr>
        <w:t>具体包含盲文地图、盲文铭牌、盲文门牌、楼梯扶手部位盲文标牌、通道扶手部位盲文标牌、电梯盲文按钮等；</w:t>
      </w:r>
    </w:p>
    <w:p>
      <w:pPr>
        <w:pStyle w:val="32"/>
        <w:numPr>
          <w:ilvl w:val="0"/>
          <w:numId w:val="20"/>
        </w:numPr>
        <w:spacing w:line="360" w:lineRule="auto"/>
        <w:ind w:firstLine="424" w:firstLineChars="202"/>
        <w:rPr>
          <w:rFonts w:ascii="宋体" w:hAnsi="宋体"/>
        </w:rPr>
      </w:pPr>
      <w:r>
        <w:rPr>
          <w:rFonts w:hint="eastAsia" w:ascii="宋体" w:hAnsi="宋体"/>
        </w:rPr>
        <w:t>在</w:t>
      </w:r>
      <w:r>
        <w:rPr>
          <w:rFonts w:ascii="宋体" w:hAnsi="宋体"/>
        </w:rPr>
        <w:t>公共</w:t>
      </w:r>
      <w:r>
        <w:rPr>
          <w:rFonts w:hint="eastAsia" w:ascii="宋体" w:hAnsi="宋体"/>
        </w:rPr>
        <w:t>建筑</w:t>
      </w:r>
      <w:r>
        <w:rPr>
          <w:rFonts w:ascii="宋体" w:hAnsi="宋体"/>
        </w:rPr>
        <w:t>空间中</w:t>
      </w:r>
      <w:r>
        <w:rPr>
          <w:rFonts w:hint="eastAsia" w:ascii="宋体" w:hAnsi="宋体"/>
        </w:rPr>
        <w:t>所有</w:t>
      </w:r>
      <w:r>
        <w:rPr>
          <w:rFonts w:ascii="宋体" w:hAnsi="宋体"/>
        </w:rPr>
        <w:t>无障碍设施均应设有触觉标识</w:t>
      </w:r>
      <w:r>
        <w:rPr>
          <w:rFonts w:hint="eastAsia" w:ascii="宋体" w:hAnsi="宋体"/>
        </w:rPr>
        <w:t>，并宜</w:t>
      </w:r>
      <w:r>
        <w:rPr>
          <w:rFonts w:ascii="宋体" w:hAnsi="宋体"/>
        </w:rPr>
        <w:t>与</w:t>
      </w:r>
      <w:r>
        <w:rPr>
          <w:rFonts w:hint="eastAsia" w:ascii="宋体" w:hAnsi="宋体"/>
        </w:rPr>
        <w:t>听觉</w:t>
      </w:r>
      <w:r>
        <w:rPr>
          <w:rFonts w:ascii="宋体" w:hAnsi="宋体"/>
        </w:rPr>
        <w:t>标识整合设置</w:t>
      </w:r>
      <w:r>
        <w:rPr>
          <w:rFonts w:hint="eastAsia" w:ascii="宋体" w:hAnsi="宋体"/>
        </w:rPr>
        <w:t>；</w:t>
      </w:r>
    </w:p>
    <w:p>
      <w:pPr>
        <w:pStyle w:val="32"/>
        <w:numPr>
          <w:ilvl w:val="0"/>
          <w:numId w:val="20"/>
        </w:numPr>
        <w:spacing w:line="360" w:lineRule="auto"/>
        <w:ind w:firstLine="424" w:firstLineChars="202"/>
        <w:rPr>
          <w:rFonts w:ascii="宋体" w:hAnsi="宋体"/>
        </w:rPr>
      </w:pPr>
      <w:r>
        <w:rPr>
          <w:rFonts w:hint="eastAsia" w:ascii="宋体" w:hAnsi="宋体"/>
        </w:rPr>
        <w:t>触觉</w:t>
      </w:r>
      <w:r>
        <w:rPr>
          <w:rFonts w:ascii="宋体" w:hAnsi="宋体"/>
        </w:rPr>
        <w:t>标识</w:t>
      </w:r>
      <w:r>
        <w:rPr>
          <w:rFonts w:hint="eastAsia" w:ascii="宋体" w:hAnsi="宋体"/>
        </w:rPr>
        <w:t>宜与室内盲道或扶手设施相结合，并应形成完整的视觉残障人群行走流线；</w:t>
      </w:r>
    </w:p>
    <w:p>
      <w:pPr>
        <w:pStyle w:val="32"/>
        <w:numPr>
          <w:ilvl w:val="0"/>
          <w:numId w:val="20"/>
        </w:numPr>
        <w:spacing w:line="360" w:lineRule="auto"/>
        <w:ind w:firstLine="424" w:firstLineChars="202"/>
        <w:rPr>
          <w:rFonts w:ascii="宋体" w:hAnsi="宋体"/>
        </w:rPr>
      </w:pPr>
      <w:r>
        <w:rPr>
          <w:rFonts w:hint="eastAsia" w:ascii="宋体" w:hAnsi="宋体"/>
        </w:rPr>
        <w:t>触觉</w:t>
      </w:r>
      <w:r>
        <w:rPr>
          <w:rFonts w:ascii="宋体" w:hAnsi="宋体"/>
        </w:rPr>
        <w:t>标识</w:t>
      </w:r>
      <w:r>
        <w:rPr>
          <w:rFonts w:hint="eastAsia" w:ascii="宋体" w:hAnsi="宋体"/>
        </w:rPr>
        <w:t>可触摸</w:t>
      </w:r>
      <w:r>
        <w:rPr>
          <w:rFonts w:ascii="宋体" w:hAnsi="宋体"/>
        </w:rPr>
        <w:t>内容的边缘应光滑</w:t>
      </w:r>
      <w:r>
        <w:rPr>
          <w:rFonts w:hint="eastAsia" w:ascii="宋体" w:hAnsi="宋体"/>
        </w:rPr>
        <w:t>，触摸</w:t>
      </w:r>
      <w:r>
        <w:rPr>
          <w:rFonts w:ascii="宋体" w:hAnsi="宋体"/>
        </w:rPr>
        <w:t>内容高出底面或低于底面不小于</w:t>
      </w:r>
      <w:r>
        <w:rPr>
          <w:rFonts w:hint="eastAsia" w:ascii="宋体" w:hAnsi="宋体"/>
        </w:rPr>
        <w:t>0.8mm。</w:t>
      </w:r>
    </w:p>
    <w:p>
      <w:pPr>
        <w:pStyle w:val="32"/>
        <w:spacing w:line="360" w:lineRule="auto"/>
        <w:ind w:firstLine="0" w:firstLineChars="0"/>
        <w:jc w:val="left"/>
        <w:outlineLvl w:val="3"/>
        <w:rPr>
          <w:b/>
          <w:i/>
        </w:rPr>
      </w:pPr>
      <w:r>
        <w:rPr>
          <w:rFonts w:hint="eastAsia"/>
          <w:b/>
          <w:i/>
        </w:rPr>
        <w:t xml:space="preserve">条文说明 </w:t>
      </w:r>
    </w:p>
    <w:p>
      <w:pPr>
        <w:pStyle w:val="32"/>
        <w:spacing w:line="360" w:lineRule="auto"/>
        <w:ind w:firstLine="424" w:firstLineChars="202"/>
        <w:jc w:val="left"/>
        <w:outlineLvl w:val="3"/>
        <w:rPr>
          <w:rFonts w:ascii="宋体" w:hAnsi="宋体"/>
          <w:bCs/>
        </w:rPr>
      </w:pPr>
      <w:r>
        <w:rPr>
          <w:rFonts w:hint="eastAsia"/>
          <w:bCs/>
          <w:i/>
        </w:rPr>
        <w:t>第2款 在视觉</w:t>
      </w:r>
      <w:r>
        <w:rPr>
          <w:bCs/>
          <w:i/>
        </w:rPr>
        <w:t>障碍者活动较多的</w:t>
      </w:r>
      <w:r>
        <w:rPr>
          <w:rFonts w:hint="eastAsia"/>
          <w:bCs/>
          <w:i/>
        </w:rPr>
        <w:t>公共建筑中</w:t>
      </w:r>
      <w:r>
        <w:rPr>
          <w:bCs/>
          <w:i/>
        </w:rPr>
        <w:t>除无障碍设施外，</w:t>
      </w:r>
      <w:r>
        <w:rPr>
          <w:rFonts w:hint="eastAsia"/>
          <w:bCs/>
          <w:i/>
        </w:rPr>
        <w:t>建筑</w:t>
      </w:r>
      <w:r>
        <w:rPr>
          <w:bCs/>
          <w:i/>
        </w:rPr>
        <w:t>出入口及房间门口宜安装</w:t>
      </w:r>
      <w:r>
        <w:rPr>
          <w:rFonts w:hint="eastAsia"/>
          <w:bCs/>
          <w:i/>
        </w:rPr>
        <w:t>可触摸门牌，触觉标识可根据门的位置进行设定：单开门，当有门锁时，应安装在门打开的一侧；单向推门、无门锁时，宜安装在推门门面上。当单开门门把手、双开门的右侧，没有足够的墙面空间时，门的标识应安装于最接近的连续墙面上。</w:t>
      </w:r>
    </w:p>
    <w:p>
      <w:pPr>
        <w:pStyle w:val="32"/>
        <w:numPr>
          <w:ilvl w:val="2"/>
          <w:numId w:val="19"/>
        </w:numPr>
        <w:spacing w:line="360" w:lineRule="auto"/>
        <w:ind w:firstLineChars="0"/>
        <w:outlineLvl w:val="2"/>
        <w:rPr>
          <w:rFonts w:ascii="宋体" w:hAnsi="宋体"/>
        </w:rPr>
      </w:pPr>
      <w:r>
        <w:rPr>
          <w:rFonts w:hint="eastAsia" w:ascii="宋体" w:hAnsi="宋体"/>
        </w:rPr>
        <w:t>听觉</w:t>
      </w:r>
      <w:r>
        <w:rPr>
          <w:rFonts w:ascii="宋体" w:hAnsi="宋体"/>
        </w:rPr>
        <w:t>标识</w:t>
      </w:r>
      <w:r>
        <w:rPr>
          <w:rFonts w:hint="eastAsia" w:ascii="宋体" w:hAnsi="宋体"/>
        </w:rPr>
        <w:t>应</w:t>
      </w:r>
      <w:r>
        <w:rPr>
          <w:rFonts w:ascii="宋体" w:hAnsi="宋体"/>
        </w:rPr>
        <w:t>符合下列规定：</w:t>
      </w:r>
    </w:p>
    <w:p>
      <w:pPr>
        <w:pStyle w:val="32"/>
        <w:numPr>
          <w:ilvl w:val="0"/>
          <w:numId w:val="21"/>
        </w:numPr>
        <w:spacing w:line="360" w:lineRule="auto"/>
        <w:ind w:firstLine="424" w:firstLineChars="202"/>
        <w:rPr>
          <w:rFonts w:ascii="宋体" w:hAnsi="宋体"/>
        </w:rPr>
      </w:pPr>
      <w:r>
        <w:rPr>
          <w:rFonts w:hint="eastAsia" w:ascii="宋体" w:hAnsi="宋体"/>
        </w:rPr>
        <w:t>听觉</w:t>
      </w:r>
      <w:r>
        <w:rPr>
          <w:rFonts w:ascii="宋体" w:hAnsi="宋体"/>
        </w:rPr>
        <w:t>标识</w:t>
      </w:r>
      <w:r>
        <w:rPr>
          <w:rFonts w:hint="eastAsia" w:ascii="宋体" w:hAnsi="宋体"/>
        </w:rPr>
        <w:t>是</w:t>
      </w:r>
      <w:r>
        <w:rPr>
          <w:rFonts w:ascii="宋体" w:hAnsi="宋体"/>
        </w:rPr>
        <w:t>通过声音</w:t>
      </w:r>
      <w:r>
        <w:rPr>
          <w:rFonts w:hint="eastAsia" w:ascii="宋体" w:hAnsi="宋体"/>
        </w:rPr>
        <w:t>提供建筑信息、通行导航等</w:t>
      </w:r>
      <w:r>
        <w:rPr>
          <w:rFonts w:ascii="宋体" w:hAnsi="宋体"/>
        </w:rPr>
        <w:t>信息的</w:t>
      </w:r>
      <w:r>
        <w:rPr>
          <w:rFonts w:hint="eastAsia" w:ascii="宋体" w:hAnsi="宋体"/>
        </w:rPr>
        <w:t>导识设施</w:t>
      </w:r>
      <w:r>
        <w:rPr>
          <w:rFonts w:ascii="宋体" w:hAnsi="宋体"/>
        </w:rPr>
        <w:t>。</w:t>
      </w:r>
      <w:r>
        <w:rPr>
          <w:rFonts w:hint="eastAsia" w:ascii="宋体" w:hAnsi="宋体"/>
        </w:rPr>
        <w:t>听觉标识宜与视觉标识及感应标识组合使用；</w:t>
      </w:r>
    </w:p>
    <w:p>
      <w:pPr>
        <w:pStyle w:val="32"/>
        <w:numPr>
          <w:ilvl w:val="0"/>
          <w:numId w:val="21"/>
        </w:numPr>
        <w:spacing w:line="360" w:lineRule="auto"/>
        <w:ind w:firstLine="424" w:firstLineChars="202"/>
        <w:rPr>
          <w:rFonts w:ascii="宋体" w:hAnsi="宋体"/>
        </w:rPr>
      </w:pPr>
      <w:r>
        <w:rPr>
          <w:rFonts w:hint="eastAsia" w:ascii="宋体" w:hAnsi="宋体"/>
        </w:rPr>
        <w:t>听觉标识设置应考虑发信声音方向、大小和各个声源发出声音的时间等，应避免不同听觉标识之间的发信声音对使用者干扰；</w:t>
      </w:r>
    </w:p>
    <w:p>
      <w:pPr>
        <w:pStyle w:val="32"/>
        <w:numPr>
          <w:ilvl w:val="0"/>
          <w:numId w:val="21"/>
        </w:numPr>
        <w:spacing w:line="360" w:lineRule="auto"/>
        <w:ind w:firstLine="424" w:firstLineChars="202"/>
        <w:rPr>
          <w:rFonts w:ascii="宋体" w:hAnsi="宋体"/>
        </w:rPr>
      </w:pPr>
      <w:r>
        <w:rPr>
          <w:rFonts w:hint="eastAsia" w:ascii="宋体" w:hAnsi="宋体"/>
        </w:rPr>
        <w:t>听觉标识的设置在一定语言干涉声级或噪声干扰声级下言语清晰度不应小于75</w:t>
      </w:r>
      <w:r>
        <w:rPr>
          <w:rFonts w:ascii="宋体" w:hAnsi="宋体"/>
        </w:rPr>
        <w:t>%</w:t>
      </w:r>
      <w:r>
        <w:rPr>
          <w:rFonts w:hint="eastAsia" w:ascii="宋体" w:hAnsi="宋体"/>
        </w:rPr>
        <w:t>，强度不应小于背景环境噪声15dB；</w:t>
      </w:r>
    </w:p>
    <w:p>
      <w:pPr>
        <w:pStyle w:val="32"/>
        <w:numPr>
          <w:ilvl w:val="0"/>
          <w:numId w:val="21"/>
        </w:numPr>
        <w:spacing w:line="360" w:lineRule="auto"/>
        <w:ind w:firstLine="424" w:firstLineChars="202"/>
        <w:rPr>
          <w:rFonts w:ascii="宋体" w:hAnsi="宋体"/>
        </w:rPr>
      </w:pPr>
      <w:r>
        <w:rPr>
          <w:rFonts w:hint="eastAsia" w:ascii="宋体" w:hAnsi="宋体"/>
        </w:rPr>
        <w:t>听觉标识应使用间歇或者可变的声音信号。</w:t>
      </w:r>
    </w:p>
    <w:p>
      <w:pPr>
        <w:pStyle w:val="32"/>
        <w:spacing w:line="360" w:lineRule="auto"/>
        <w:ind w:firstLine="0" w:firstLineChars="0"/>
        <w:jc w:val="left"/>
        <w:outlineLvl w:val="3"/>
        <w:rPr>
          <w:b/>
          <w:i/>
        </w:rPr>
      </w:pPr>
      <w:r>
        <w:rPr>
          <w:rFonts w:hint="eastAsia"/>
          <w:b/>
          <w:i/>
        </w:rPr>
        <w:t xml:space="preserve">条文说明 </w:t>
      </w:r>
    </w:p>
    <w:p>
      <w:pPr>
        <w:pStyle w:val="32"/>
        <w:spacing w:line="360" w:lineRule="auto"/>
        <w:ind w:firstLine="283" w:firstLineChars="135"/>
        <w:jc w:val="left"/>
        <w:outlineLvl w:val="3"/>
        <w:rPr>
          <w:bCs/>
          <w:i/>
        </w:rPr>
      </w:pPr>
      <w:r>
        <w:rPr>
          <w:rFonts w:hint="eastAsia"/>
          <w:bCs/>
          <w:i/>
        </w:rPr>
        <w:t>听觉标识声音必须满足人对声音信号的识别和辨认要求。</w:t>
      </w:r>
    </w:p>
    <w:p>
      <w:pPr>
        <w:pStyle w:val="32"/>
        <w:numPr>
          <w:ilvl w:val="2"/>
          <w:numId w:val="19"/>
        </w:numPr>
        <w:spacing w:line="360" w:lineRule="auto"/>
        <w:ind w:firstLineChars="0"/>
        <w:outlineLvl w:val="2"/>
        <w:rPr>
          <w:rFonts w:ascii="宋体" w:hAnsi="宋体"/>
        </w:rPr>
      </w:pPr>
      <w:r>
        <w:rPr>
          <w:rFonts w:hint="eastAsia" w:ascii="宋体" w:hAnsi="宋体"/>
        </w:rPr>
        <w:t>感应</w:t>
      </w:r>
      <w:r>
        <w:rPr>
          <w:rFonts w:ascii="宋体" w:hAnsi="宋体"/>
        </w:rPr>
        <w:t>标识</w:t>
      </w:r>
      <w:r>
        <w:rPr>
          <w:rFonts w:hint="eastAsia" w:ascii="宋体" w:hAnsi="宋体"/>
        </w:rPr>
        <w:t>应</w:t>
      </w:r>
      <w:r>
        <w:rPr>
          <w:rFonts w:ascii="宋体" w:hAnsi="宋体"/>
        </w:rPr>
        <w:t>符合下列规定：</w:t>
      </w:r>
    </w:p>
    <w:p>
      <w:pPr>
        <w:pStyle w:val="32"/>
        <w:numPr>
          <w:ilvl w:val="0"/>
          <w:numId w:val="22"/>
        </w:numPr>
        <w:spacing w:line="360" w:lineRule="auto"/>
        <w:ind w:firstLine="424" w:firstLineChars="202"/>
        <w:rPr>
          <w:rFonts w:ascii="宋体" w:hAnsi="宋体"/>
        </w:rPr>
      </w:pPr>
      <w:r>
        <w:rPr>
          <w:rFonts w:hint="eastAsia" w:ascii="宋体" w:hAnsi="宋体"/>
        </w:rPr>
        <w:t>感应标识是结合红外技术，为残障人士完整、持续地提供空间信息，并起到提醒、警示、识别等作用的导识设施；</w:t>
      </w:r>
    </w:p>
    <w:p>
      <w:pPr>
        <w:pStyle w:val="32"/>
        <w:numPr>
          <w:ilvl w:val="0"/>
          <w:numId w:val="22"/>
        </w:numPr>
        <w:spacing w:line="360" w:lineRule="auto"/>
        <w:ind w:firstLine="424" w:firstLineChars="202"/>
        <w:rPr>
          <w:rFonts w:ascii="宋体" w:hAnsi="宋体"/>
        </w:rPr>
      </w:pPr>
      <w:r>
        <w:rPr>
          <w:rFonts w:hint="eastAsia" w:ascii="宋体" w:hAnsi="宋体"/>
        </w:rPr>
        <w:t>感应标识应与视觉、触觉、听觉标识相整合，共同发挥导向功能。</w:t>
      </w:r>
    </w:p>
    <w:p>
      <w:pPr>
        <w:pStyle w:val="32"/>
        <w:spacing w:line="360" w:lineRule="auto"/>
        <w:ind w:firstLine="0" w:firstLineChars="0"/>
        <w:jc w:val="left"/>
        <w:outlineLvl w:val="3"/>
        <w:rPr>
          <w:b/>
          <w:i/>
        </w:rPr>
      </w:pPr>
      <w:r>
        <w:rPr>
          <w:rFonts w:hint="eastAsia"/>
          <w:b/>
          <w:i/>
        </w:rPr>
        <w:t xml:space="preserve">条文说明 </w:t>
      </w:r>
    </w:p>
    <w:p>
      <w:pPr>
        <w:pStyle w:val="32"/>
        <w:spacing w:line="360" w:lineRule="auto"/>
        <w:ind w:firstLine="424" w:firstLineChars="202"/>
        <w:jc w:val="left"/>
        <w:outlineLvl w:val="3"/>
        <w:rPr>
          <w:bCs/>
          <w:i/>
        </w:rPr>
      </w:pPr>
      <w:r>
        <w:rPr>
          <w:rFonts w:hint="eastAsia"/>
          <w:bCs/>
          <w:i/>
        </w:rPr>
        <w:t>在开敞</w:t>
      </w:r>
      <w:r>
        <w:rPr>
          <w:bCs/>
          <w:i/>
        </w:rPr>
        <w:t>空间中设置感应标识，</w:t>
      </w:r>
      <w:r>
        <w:rPr>
          <w:rFonts w:hint="eastAsia"/>
          <w:bCs/>
          <w:i/>
        </w:rPr>
        <w:t>应</w:t>
      </w:r>
      <w:r>
        <w:rPr>
          <w:bCs/>
          <w:i/>
        </w:rPr>
        <w:t>根据空间场地合理选择和布置</w:t>
      </w:r>
      <w:r>
        <w:rPr>
          <w:rFonts w:hint="eastAsia"/>
          <w:bCs/>
          <w:i/>
        </w:rPr>
        <w:t>感应设备</w:t>
      </w:r>
      <w:r>
        <w:rPr>
          <w:bCs/>
          <w:i/>
        </w:rPr>
        <w:t>，以保证</w:t>
      </w:r>
      <w:r>
        <w:rPr>
          <w:rFonts w:hint="eastAsia"/>
          <w:bCs/>
          <w:i/>
        </w:rPr>
        <w:t>感应</w:t>
      </w:r>
      <w:r>
        <w:rPr>
          <w:bCs/>
          <w:i/>
        </w:rPr>
        <w:t>的有效性</w:t>
      </w:r>
      <w:r>
        <w:rPr>
          <w:rFonts w:hint="eastAsia"/>
          <w:bCs/>
          <w:i/>
        </w:rPr>
        <w:t>。</w:t>
      </w:r>
    </w:p>
    <w:p>
      <w:pPr>
        <w:pStyle w:val="32"/>
        <w:numPr>
          <w:ilvl w:val="2"/>
          <w:numId w:val="19"/>
        </w:numPr>
        <w:spacing w:line="360" w:lineRule="auto"/>
        <w:ind w:firstLineChars="0"/>
        <w:outlineLvl w:val="2"/>
        <w:rPr>
          <w:rFonts w:ascii="宋体" w:hAnsi="宋体"/>
        </w:rPr>
      </w:pPr>
      <w:r>
        <w:rPr>
          <w:rFonts w:hint="eastAsia" w:ascii="宋体" w:hAnsi="宋体"/>
        </w:rPr>
        <w:t>交互</w:t>
      </w:r>
      <w:r>
        <w:rPr>
          <w:rFonts w:ascii="宋体" w:hAnsi="宋体"/>
        </w:rPr>
        <w:t>标识</w:t>
      </w:r>
      <w:r>
        <w:rPr>
          <w:rFonts w:hint="eastAsia" w:ascii="宋体" w:hAnsi="宋体"/>
        </w:rPr>
        <w:t>应</w:t>
      </w:r>
      <w:r>
        <w:rPr>
          <w:rFonts w:ascii="宋体" w:hAnsi="宋体"/>
        </w:rPr>
        <w:t>符合下列规定：</w:t>
      </w:r>
    </w:p>
    <w:p>
      <w:pPr>
        <w:pStyle w:val="32"/>
        <w:numPr>
          <w:ilvl w:val="0"/>
          <w:numId w:val="23"/>
        </w:numPr>
        <w:spacing w:line="360" w:lineRule="auto"/>
        <w:ind w:firstLine="424" w:firstLineChars="202"/>
        <w:rPr>
          <w:rFonts w:ascii="宋体" w:hAnsi="宋体"/>
        </w:rPr>
      </w:pPr>
      <w:r>
        <w:rPr>
          <w:rFonts w:hint="eastAsia" w:ascii="宋体" w:hAnsi="宋体"/>
        </w:rPr>
        <w:t>交互标识是结合互联网、信息技术等，通过固定或移动终端为残障人士提供建筑信息、通行导航和应急救援的导识设施。建筑面积在2万m</w:t>
      </w:r>
      <w:r>
        <w:rPr>
          <w:rFonts w:hint="eastAsia" w:ascii="宋体" w:hAnsi="宋体"/>
          <w:vertAlign w:val="superscript"/>
        </w:rPr>
        <w:t>2</w:t>
      </w:r>
      <w:r>
        <w:rPr>
          <w:rFonts w:hint="eastAsia" w:ascii="宋体" w:hAnsi="宋体"/>
        </w:rPr>
        <w:t>以上的公共、</w:t>
      </w:r>
      <w:r>
        <w:rPr>
          <w:rFonts w:ascii="宋体" w:hAnsi="宋体"/>
        </w:rPr>
        <w:t>商业、交通</w:t>
      </w:r>
      <w:r>
        <w:rPr>
          <w:rFonts w:hint="eastAsia" w:ascii="宋体" w:hAnsi="宋体"/>
        </w:rPr>
        <w:t>建筑及人员易于聚集的大型临时活动场所宜设置交互标识系统；</w:t>
      </w:r>
    </w:p>
    <w:p>
      <w:pPr>
        <w:pStyle w:val="32"/>
        <w:numPr>
          <w:ilvl w:val="0"/>
          <w:numId w:val="23"/>
        </w:numPr>
        <w:spacing w:line="360" w:lineRule="auto"/>
        <w:ind w:firstLine="424" w:firstLineChars="202"/>
        <w:rPr>
          <w:rFonts w:ascii="宋体" w:hAnsi="宋体"/>
        </w:rPr>
      </w:pPr>
      <w:r>
        <w:rPr>
          <w:rFonts w:hint="eastAsia" w:ascii="宋体" w:hAnsi="宋体"/>
        </w:rPr>
        <w:t>交互标识设置不应干扰一般导向标识的正常功能，并应避免其对主要空间流线的影响；</w:t>
      </w:r>
    </w:p>
    <w:p>
      <w:pPr>
        <w:pStyle w:val="32"/>
        <w:numPr>
          <w:ilvl w:val="0"/>
          <w:numId w:val="23"/>
        </w:numPr>
        <w:spacing w:line="360" w:lineRule="auto"/>
        <w:ind w:firstLine="424" w:firstLineChars="202"/>
        <w:rPr>
          <w:rFonts w:ascii="宋体" w:hAnsi="宋体"/>
        </w:rPr>
      </w:pPr>
      <w:r>
        <w:rPr>
          <w:rFonts w:hint="eastAsia" w:ascii="宋体" w:hAnsi="宋体"/>
        </w:rPr>
        <w:t>交互标识的固定端显示界面在无有效操作的情况下，宜在60s内自动返回初始页面。</w:t>
      </w:r>
    </w:p>
    <w:p>
      <w:pPr>
        <w:pStyle w:val="32"/>
        <w:spacing w:line="360" w:lineRule="auto"/>
        <w:ind w:firstLine="0" w:firstLineChars="0"/>
        <w:jc w:val="left"/>
        <w:outlineLvl w:val="3"/>
        <w:rPr>
          <w:b/>
          <w:i/>
        </w:rPr>
      </w:pPr>
      <w:r>
        <w:rPr>
          <w:rFonts w:hint="eastAsia"/>
          <w:b/>
          <w:i/>
        </w:rPr>
        <w:t xml:space="preserve">条文说明 </w:t>
      </w:r>
    </w:p>
    <w:p>
      <w:pPr>
        <w:pStyle w:val="32"/>
        <w:spacing w:line="360" w:lineRule="auto"/>
        <w:ind w:firstLine="424" w:firstLineChars="202"/>
        <w:jc w:val="left"/>
        <w:outlineLvl w:val="3"/>
        <w:rPr>
          <w:bCs/>
          <w:i/>
        </w:rPr>
      </w:pPr>
      <w:r>
        <w:rPr>
          <w:rFonts w:hint="eastAsia"/>
          <w:bCs/>
          <w:i/>
        </w:rPr>
        <w:t>交互标识</w:t>
      </w:r>
      <w:r>
        <w:rPr>
          <w:bCs/>
          <w:i/>
        </w:rPr>
        <w:t>的操作界面应符合人体工学相关要求</w:t>
      </w:r>
      <w:r>
        <w:rPr>
          <w:rFonts w:hint="eastAsia"/>
          <w:bCs/>
          <w:i/>
        </w:rPr>
        <w:t>。</w:t>
      </w:r>
    </w:p>
    <w:p>
      <w:pPr>
        <w:pStyle w:val="32"/>
        <w:numPr>
          <w:ilvl w:val="2"/>
          <w:numId w:val="19"/>
        </w:numPr>
        <w:spacing w:line="360" w:lineRule="auto"/>
        <w:ind w:firstLineChars="0"/>
        <w:outlineLvl w:val="2"/>
        <w:rPr>
          <w:rFonts w:ascii="宋体" w:hAnsi="宋体"/>
        </w:rPr>
      </w:pPr>
      <w:r>
        <w:rPr>
          <w:rFonts w:hint="eastAsia" w:ascii="宋体" w:hAnsi="宋体"/>
        </w:rPr>
        <w:t>应急</w:t>
      </w:r>
      <w:r>
        <w:rPr>
          <w:rFonts w:ascii="宋体" w:hAnsi="宋体"/>
        </w:rPr>
        <w:t>报警</w:t>
      </w:r>
      <w:r>
        <w:rPr>
          <w:rFonts w:hint="eastAsia" w:ascii="宋体" w:hAnsi="宋体"/>
        </w:rPr>
        <w:t>设施应</w:t>
      </w:r>
      <w:r>
        <w:rPr>
          <w:rFonts w:ascii="宋体" w:hAnsi="宋体"/>
        </w:rPr>
        <w:t>符合下列规定：</w:t>
      </w:r>
    </w:p>
    <w:p>
      <w:pPr>
        <w:pStyle w:val="32"/>
        <w:numPr>
          <w:ilvl w:val="0"/>
          <w:numId w:val="24"/>
        </w:numPr>
        <w:spacing w:line="360" w:lineRule="auto"/>
        <w:ind w:firstLine="424" w:firstLineChars="202"/>
        <w:rPr>
          <w:rFonts w:ascii="宋体" w:hAnsi="宋体"/>
        </w:rPr>
      </w:pPr>
      <w:r>
        <w:rPr>
          <w:rFonts w:hint="eastAsia" w:ascii="宋体" w:hAnsi="宋体"/>
        </w:rPr>
        <w:t>公共场所及建筑内的应急报警设施应结合互联网技术达到信息无障碍，应同时具备视觉、听觉提示及</w:t>
      </w:r>
      <w:r>
        <w:rPr>
          <w:rFonts w:ascii="宋体" w:hAnsi="宋体"/>
        </w:rPr>
        <w:t>交互功能，</w:t>
      </w:r>
      <w:r>
        <w:rPr>
          <w:rFonts w:hint="eastAsia" w:ascii="宋体" w:hAnsi="宋体"/>
        </w:rPr>
        <w:t>达到有效警示、引导残障人士及</w:t>
      </w:r>
      <w:r>
        <w:rPr>
          <w:rFonts w:ascii="宋体" w:hAnsi="宋体"/>
        </w:rPr>
        <w:t>全龄</w:t>
      </w:r>
      <w:r>
        <w:rPr>
          <w:rFonts w:hint="eastAsia" w:ascii="宋体" w:hAnsi="宋体"/>
        </w:rPr>
        <w:t>全民脱离险境的</w:t>
      </w:r>
      <w:r>
        <w:rPr>
          <w:rFonts w:ascii="宋体" w:hAnsi="宋体"/>
        </w:rPr>
        <w:t>功效</w:t>
      </w:r>
      <w:r>
        <w:rPr>
          <w:rFonts w:hint="eastAsia" w:ascii="宋体" w:hAnsi="宋体"/>
        </w:rPr>
        <w:t>；</w:t>
      </w:r>
    </w:p>
    <w:p>
      <w:pPr>
        <w:pStyle w:val="32"/>
        <w:numPr>
          <w:ilvl w:val="0"/>
          <w:numId w:val="24"/>
        </w:numPr>
        <w:spacing w:line="360" w:lineRule="auto"/>
        <w:ind w:firstLine="424" w:firstLineChars="202"/>
        <w:rPr>
          <w:rFonts w:ascii="宋体" w:hAnsi="宋体"/>
        </w:rPr>
      </w:pPr>
      <w:r>
        <w:rPr>
          <w:rFonts w:hint="eastAsia" w:ascii="宋体" w:hAnsi="宋体"/>
        </w:rPr>
        <w:t>提供文字显示的预警信息标识，同时应提供声音预警信息及逃生指示信息等；</w:t>
      </w:r>
    </w:p>
    <w:p>
      <w:pPr>
        <w:pStyle w:val="32"/>
        <w:numPr>
          <w:ilvl w:val="0"/>
          <w:numId w:val="24"/>
        </w:numPr>
        <w:spacing w:line="360" w:lineRule="auto"/>
        <w:ind w:firstLine="424" w:firstLineChars="202"/>
        <w:rPr>
          <w:rFonts w:ascii="宋体" w:hAnsi="宋体"/>
        </w:rPr>
      </w:pPr>
      <w:r>
        <w:rPr>
          <w:rFonts w:hint="eastAsia" w:ascii="宋体" w:hAnsi="宋体"/>
        </w:rPr>
        <w:t>应急报警对讲设施应同时支持语音对讲及文本显示功能，保障对视觉残障者、听觉残障者的有效救援。</w:t>
      </w:r>
    </w:p>
    <w:p>
      <w:pPr>
        <w:pStyle w:val="32"/>
        <w:numPr>
          <w:ilvl w:val="1"/>
          <w:numId w:val="19"/>
        </w:numPr>
        <w:spacing w:line="360" w:lineRule="auto"/>
        <w:ind w:firstLineChars="0"/>
        <w:jc w:val="center"/>
        <w:outlineLvl w:val="1"/>
        <w:rPr>
          <w:rFonts w:ascii="宋体" w:hAnsi="宋体"/>
        </w:rPr>
      </w:pPr>
      <w:bookmarkStart w:id="115" w:name="_Toc20420181"/>
      <w:bookmarkStart w:id="116" w:name="_Toc23437769"/>
      <w:r>
        <w:rPr>
          <w:rFonts w:hint="eastAsia" w:ascii="宋体" w:hAnsi="宋体"/>
        </w:rPr>
        <w:t>其他类设施</w:t>
      </w:r>
      <w:bookmarkEnd w:id="115"/>
      <w:bookmarkEnd w:id="116"/>
    </w:p>
    <w:p>
      <w:pPr>
        <w:pStyle w:val="32"/>
        <w:numPr>
          <w:ilvl w:val="2"/>
          <w:numId w:val="25"/>
        </w:numPr>
        <w:spacing w:line="360" w:lineRule="auto"/>
        <w:ind w:firstLineChars="0"/>
        <w:outlineLvl w:val="2"/>
        <w:rPr>
          <w:rFonts w:ascii="宋体" w:hAnsi="宋体"/>
        </w:rPr>
      </w:pPr>
      <w:r>
        <w:rPr>
          <w:rFonts w:hint="eastAsia" w:ascii="宋体" w:hAnsi="宋体"/>
        </w:rPr>
        <w:t>其他类设施包括门与门禁、扶手、低位服务设施、轮椅席位、无障碍工作台、安全抓杆、无障碍停车位。</w:t>
      </w:r>
    </w:p>
    <w:p>
      <w:pPr>
        <w:pStyle w:val="32"/>
        <w:numPr>
          <w:ilvl w:val="2"/>
          <w:numId w:val="25"/>
        </w:numPr>
        <w:spacing w:line="360" w:lineRule="auto"/>
        <w:ind w:firstLineChars="0"/>
        <w:outlineLvl w:val="2"/>
        <w:rPr>
          <w:rFonts w:ascii="宋体" w:hAnsi="宋体"/>
        </w:rPr>
      </w:pPr>
      <w:r>
        <w:rPr>
          <w:rFonts w:hint="eastAsia" w:ascii="宋体" w:hAnsi="宋体"/>
        </w:rPr>
        <w:t>门与门禁应符合下列规定：</w:t>
      </w:r>
    </w:p>
    <w:p>
      <w:pPr>
        <w:pStyle w:val="32"/>
        <w:numPr>
          <w:ilvl w:val="0"/>
          <w:numId w:val="26"/>
        </w:numPr>
        <w:spacing w:line="360" w:lineRule="auto"/>
        <w:ind w:firstLine="424" w:firstLineChars="202"/>
      </w:pPr>
      <w:r>
        <w:rPr>
          <w:rFonts w:hint="eastAsia"/>
        </w:rPr>
        <w:t>不宜采用弹簧门、玻璃门，当采用玻璃门时，应有醒目的提示标识；</w:t>
      </w:r>
    </w:p>
    <w:p>
      <w:pPr>
        <w:pStyle w:val="32"/>
        <w:numPr>
          <w:ilvl w:val="0"/>
          <w:numId w:val="26"/>
        </w:numPr>
        <w:spacing w:line="360" w:lineRule="auto"/>
        <w:ind w:firstLine="424" w:firstLineChars="202"/>
      </w:pPr>
      <w:r>
        <w:rPr>
          <w:rFonts w:hint="eastAsia"/>
        </w:rPr>
        <w:t>自动门开启后通行净宽度不应小于1.00m；平开门、推拉门、折叠门开启后的通行净宽度不应小于800mm，有条件时，不宜小于900mm；单扇平开门、推拉门、折叠门的门把手一侧，应设宽度不小于400mm的墙面；</w:t>
      </w:r>
    </w:p>
    <w:p>
      <w:pPr>
        <w:pStyle w:val="32"/>
        <w:numPr>
          <w:ilvl w:val="0"/>
          <w:numId w:val="26"/>
        </w:numPr>
        <w:spacing w:line="360" w:lineRule="auto"/>
        <w:ind w:firstLine="424" w:firstLineChars="202"/>
      </w:pPr>
      <w:r>
        <w:rPr>
          <w:rFonts w:hint="eastAsia"/>
        </w:rPr>
        <w:t>平开门、推拉门、折叠门的门扇应设距地900mm的把手，宜设视线观察玻璃，并宜在距地350mm范围内安装护门板；</w:t>
      </w:r>
    </w:p>
    <w:p>
      <w:pPr>
        <w:pStyle w:val="32"/>
        <w:numPr>
          <w:ilvl w:val="0"/>
          <w:numId w:val="26"/>
        </w:numPr>
        <w:spacing w:line="360" w:lineRule="auto"/>
        <w:ind w:firstLine="424" w:firstLineChars="202"/>
      </w:pPr>
      <w:r>
        <w:rPr>
          <w:rFonts w:hint="eastAsia"/>
        </w:rPr>
        <w:t>在门扇内外应留有直径不小于1.50m的轮椅回转空间；</w:t>
      </w:r>
    </w:p>
    <w:p>
      <w:pPr>
        <w:pStyle w:val="32"/>
        <w:numPr>
          <w:ilvl w:val="0"/>
          <w:numId w:val="26"/>
        </w:numPr>
        <w:spacing w:line="360" w:lineRule="auto"/>
        <w:ind w:firstLine="424" w:firstLineChars="202"/>
      </w:pPr>
      <w:r>
        <w:rPr>
          <w:rFonts w:hint="eastAsia"/>
        </w:rPr>
        <w:t>门槛高度及门内外地面高差不应大于15mm，并以斜面过渡；</w:t>
      </w:r>
    </w:p>
    <w:p>
      <w:pPr>
        <w:pStyle w:val="32"/>
        <w:numPr>
          <w:ilvl w:val="0"/>
          <w:numId w:val="26"/>
        </w:numPr>
        <w:spacing w:line="360" w:lineRule="auto"/>
        <w:ind w:firstLine="424" w:firstLineChars="202"/>
      </w:pPr>
      <w:r>
        <w:rPr>
          <w:rFonts w:hint="eastAsia"/>
        </w:rPr>
        <w:t>无障碍通道上的门扇应便于开关；宜与周围墙面有一定的色彩反差，方便识别。</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bCs/>
          <w:i/>
        </w:rPr>
      </w:pPr>
      <w:r>
        <w:rPr>
          <w:rFonts w:hint="eastAsia"/>
          <w:bCs/>
          <w:i/>
        </w:rPr>
        <w:t>第2款 建筑物中的门的无障碍设计包括其形式、规格、开启宽度的设计，需要考虑其使用方便与安全。乘轮椅者坐在轮椅上的净宽度为750mm，目前有些型号的电动轮椅的宽度有所增大，所以当有条件时宜将门的净宽度做到900mm。</w:t>
      </w:r>
    </w:p>
    <w:p>
      <w:pPr>
        <w:pStyle w:val="32"/>
        <w:spacing w:line="360" w:lineRule="auto"/>
        <w:outlineLvl w:val="3"/>
        <w:rPr>
          <w:bCs/>
          <w:i/>
        </w:rPr>
      </w:pPr>
      <w:r>
        <w:rPr>
          <w:rFonts w:hint="eastAsia"/>
          <w:bCs/>
          <w:i/>
        </w:rPr>
        <w:t>第</w:t>
      </w:r>
      <w:r>
        <w:rPr>
          <w:bCs/>
          <w:i/>
        </w:rPr>
        <w:t>3</w:t>
      </w:r>
      <w:r>
        <w:rPr>
          <w:rFonts w:hint="eastAsia"/>
          <w:bCs/>
          <w:i/>
        </w:rPr>
        <w:t>款 推拉门、平开门的把手应选用横握式把手或u形把手。推荐使用通过按钮自动开闭的门，门及周边的空间尺寸要求也要满足本条规定。按钮高度为0.90m～1.10m。</w:t>
      </w:r>
    </w:p>
    <w:p>
      <w:pPr>
        <w:pStyle w:val="32"/>
        <w:numPr>
          <w:ilvl w:val="2"/>
          <w:numId w:val="25"/>
        </w:numPr>
        <w:spacing w:line="360" w:lineRule="auto"/>
        <w:ind w:firstLineChars="0"/>
        <w:outlineLvl w:val="2"/>
        <w:rPr>
          <w:rFonts w:ascii="宋体" w:hAnsi="宋体"/>
        </w:rPr>
      </w:pPr>
      <w:r>
        <w:rPr>
          <w:rFonts w:hint="eastAsia" w:ascii="宋体" w:hAnsi="宋体"/>
        </w:rPr>
        <w:t>扶手应符合下列规定：</w:t>
      </w:r>
    </w:p>
    <w:p>
      <w:pPr>
        <w:pStyle w:val="32"/>
        <w:numPr>
          <w:ilvl w:val="0"/>
          <w:numId w:val="27"/>
        </w:numPr>
        <w:spacing w:line="360" w:lineRule="auto"/>
        <w:ind w:firstLine="424" w:firstLineChars="202"/>
      </w:pPr>
      <w:r>
        <w:t>无障碍单层扶手的高度应为850</w:t>
      </w:r>
      <w:r>
        <w:rPr>
          <w:rFonts w:hint="eastAsia"/>
        </w:rPr>
        <w:t>mm</w:t>
      </w:r>
      <w:r>
        <w:t>～900</w:t>
      </w:r>
      <w:r>
        <w:rPr>
          <w:rFonts w:hint="eastAsia"/>
        </w:rPr>
        <w:t>mm</w:t>
      </w:r>
      <w:r>
        <w:t>，无障碍双层扶手的上层扶手高度应为850</w:t>
      </w:r>
      <w:r>
        <w:rPr>
          <w:rFonts w:hint="eastAsia"/>
        </w:rPr>
        <w:t>mm</w:t>
      </w:r>
      <w:r>
        <w:t>～900</w:t>
      </w:r>
      <w:r>
        <w:rPr>
          <w:rFonts w:hint="eastAsia"/>
        </w:rPr>
        <w:t>mm</w:t>
      </w:r>
      <w:r>
        <w:t>，下层扶手高度应为650</w:t>
      </w:r>
      <w:r>
        <w:rPr>
          <w:rFonts w:hint="eastAsia"/>
        </w:rPr>
        <w:t>mm</w:t>
      </w:r>
      <w:r>
        <w:t>～700</w:t>
      </w:r>
      <w:r>
        <w:rPr>
          <w:rFonts w:hint="eastAsia"/>
        </w:rPr>
        <w:t>mm；</w:t>
      </w:r>
    </w:p>
    <w:p>
      <w:pPr>
        <w:pStyle w:val="32"/>
        <w:numPr>
          <w:ilvl w:val="0"/>
          <w:numId w:val="27"/>
        </w:numPr>
        <w:spacing w:line="360" w:lineRule="auto"/>
        <w:ind w:firstLine="424" w:firstLineChars="202"/>
      </w:pPr>
      <w:r>
        <w:t>扶手应保持连贯，靠墙面的扶手的起点和终点处应水平延伸不小于300</w:t>
      </w:r>
      <w:r>
        <w:rPr>
          <w:rFonts w:hint="eastAsia"/>
        </w:rPr>
        <w:t>mm</w:t>
      </w:r>
      <w:r>
        <w:t>的长度</w:t>
      </w:r>
      <w:r>
        <w:rPr>
          <w:rFonts w:hint="eastAsia"/>
        </w:rPr>
        <w:t>；</w:t>
      </w:r>
    </w:p>
    <w:p>
      <w:pPr>
        <w:pStyle w:val="32"/>
        <w:numPr>
          <w:ilvl w:val="0"/>
          <w:numId w:val="27"/>
        </w:numPr>
        <w:spacing w:line="360" w:lineRule="auto"/>
        <w:ind w:firstLine="424" w:firstLineChars="202"/>
      </w:pPr>
      <w:r>
        <w:t>扶手末端应向内拐到墙面或向下延伸不小于100</w:t>
      </w:r>
      <w:r>
        <w:rPr>
          <w:rFonts w:hint="eastAsia"/>
        </w:rPr>
        <w:t>mm</w:t>
      </w:r>
      <w:r>
        <w:t>，栏杆式扶手应向下成弧形或延伸到地面上固定</w:t>
      </w:r>
      <w:r>
        <w:rPr>
          <w:rFonts w:hint="eastAsia"/>
        </w:rPr>
        <w:t>；</w:t>
      </w:r>
    </w:p>
    <w:p>
      <w:pPr>
        <w:pStyle w:val="32"/>
        <w:numPr>
          <w:ilvl w:val="0"/>
          <w:numId w:val="27"/>
        </w:numPr>
        <w:spacing w:line="360" w:lineRule="auto"/>
        <w:ind w:firstLine="424" w:firstLineChars="202"/>
      </w:pPr>
      <w:r>
        <w:t>扶手内侧与墙面的距离不应小于40</w:t>
      </w:r>
      <w:r>
        <w:rPr>
          <w:rFonts w:hint="eastAsia"/>
        </w:rPr>
        <w:t>mm；</w:t>
      </w:r>
    </w:p>
    <w:p>
      <w:pPr>
        <w:pStyle w:val="32"/>
        <w:numPr>
          <w:ilvl w:val="0"/>
          <w:numId w:val="27"/>
        </w:numPr>
        <w:spacing w:line="360" w:lineRule="auto"/>
        <w:ind w:firstLine="424" w:firstLineChars="202"/>
      </w:pPr>
      <w:r>
        <w:t>扶手应安装坚固，形状易于抓握。圆形扶手的直径应为35</w:t>
      </w:r>
      <w:r>
        <w:rPr>
          <w:rFonts w:hint="eastAsia"/>
        </w:rPr>
        <w:t>mm</w:t>
      </w:r>
      <w:r>
        <w:t>～50</w:t>
      </w:r>
      <w:r>
        <w:rPr>
          <w:rFonts w:hint="eastAsia"/>
        </w:rPr>
        <w:t>mm</w:t>
      </w:r>
      <w:r>
        <w:t>，矩形扶手的截面尺寸应为35</w:t>
      </w:r>
      <w:r>
        <w:rPr>
          <w:rFonts w:hint="eastAsia"/>
        </w:rPr>
        <w:t>mm</w:t>
      </w:r>
      <w:r>
        <w:t>～50</w:t>
      </w:r>
      <w:r>
        <w:rPr>
          <w:rFonts w:hint="eastAsia"/>
        </w:rPr>
        <w:t>mm；</w:t>
      </w:r>
    </w:p>
    <w:p>
      <w:pPr>
        <w:pStyle w:val="32"/>
        <w:numPr>
          <w:ilvl w:val="0"/>
          <w:numId w:val="27"/>
        </w:numPr>
        <w:spacing w:line="360" w:lineRule="auto"/>
        <w:ind w:firstLine="424" w:firstLineChars="202"/>
        <w:rPr>
          <w:rFonts w:ascii="宋体" w:hAnsi="宋体"/>
          <w:b/>
          <w:bCs/>
        </w:rPr>
      </w:pPr>
      <w:r>
        <w:t>扶手的材质宜选用防滑、热惰性指标好的材料</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rPr>
      </w:pPr>
      <w:r>
        <w:rPr>
          <w:rFonts w:hint="eastAsia"/>
          <w:i/>
        </w:rPr>
        <w:t xml:space="preserve">第1款 </w:t>
      </w:r>
      <w:r>
        <w:rPr>
          <w:i/>
        </w:rPr>
        <w:t>无障碍楼梯、台阶的扶手高度应自踏步前缘线量起</w:t>
      </w:r>
      <w:r>
        <w:rPr>
          <w:rFonts w:hint="eastAsia"/>
          <w:i/>
        </w:rPr>
        <w:t>。</w:t>
      </w:r>
    </w:p>
    <w:p>
      <w:pPr>
        <w:pStyle w:val="32"/>
        <w:spacing w:line="360" w:lineRule="auto"/>
        <w:outlineLvl w:val="3"/>
        <w:rPr>
          <w:i/>
        </w:rPr>
      </w:pPr>
      <w:r>
        <w:rPr>
          <w:rFonts w:hint="eastAsia"/>
          <w:bCs/>
          <w:i/>
        </w:rPr>
        <w:t xml:space="preserve">第5款 </w:t>
      </w:r>
      <w:r>
        <w:rPr>
          <w:i/>
        </w:rPr>
        <w:t>扶手要安装牢固，应能承受100kg以上的重量，否则会成为新的不安全因素。</w:t>
      </w:r>
    </w:p>
    <w:p>
      <w:pPr>
        <w:pStyle w:val="32"/>
        <w:numPr>
          <w:ilvl w:val="2"/>
          <w:numId w:val="25"/>
        </w:numPr>
        <w:spacing w:line="360" w:lineRule="auto"/>
        <w:ind w:firstLineChars="0"/>
        <w:outlineLvl w:val="2"/>
        <w:rPr>
          <w:rFonts w:ascii="宋体" w:hAnsi="宋体"/>
        </w:rPr>
      </w:pPr>
      <w:r>
        <w:rPr>
          <w:rFonts w:hint="eastAsia" w:ascii="宋体" w:hAnsi="宋体"/>
        </w:rPr>
        <w:t>低位服务设施应符合下列规定：</w:t>
      </w:r>
    </w:p>
    <w:p>
      <w:pPr>
        <w:pStyle w:val="32"/>
        <w:numPr>
          <w:ilvl w:val="0"/>
          <w:numId w:val="28"/>
        </w:numPr>
        <w:spacing w:line="360" w:lineRule="auto"/>
        <w:ind w:firstLine="424" w:firstLineChars="202"/>
        <w:rPr>
          <w:rFonts w:ascii="宋体" w:hAnsi="宋体"/>
        </w:rPr>
      </w:pPr>
      <w:r>
        <w:t>设置低位服务设施的范围包括问询台、服务窗口、电话台、安检验证台、行李托运台、借阅台、各种业务台、饮水机等</w:t>
      </w:r>
      <w:r>
        <w:rPr>
          <w:rFonts w:hint="eastAsia"/>
        </w:rPr>
        <w:t>；</w:t>
      </w:r>
    </w:p>
    <w:p>
      <w:pPr>
        <w:pStyle w:val="32"/>
        <w:numPr>
          <w:ilvl w:val="0"/>
          <w:numId w:val="28"/>
        </w:numPr>
        <w:spacing w:line="360" w:lineRule="auto"/>
        <w:ind w:firstLine="424" w:firstLineChars="202"/>
        <w:rPr>
          <w:rFonts w:ascii="宋体" w:hAnsi="宋体"/>
        </w:rPr>
      </w:pPr>
      <w:r>
        <w:t>低位服务设施上表面距地面高度宜为700</w:t>
      </w:r>
      <w:r>
        <w:rPr>
          <w:rFonts w:hint="eastAsia"/>
        </w:rPr>
        <w:t>mm</w:t>
      </w:r>
      <w:r>
        <w:t>～850</w:t>
      </w:r>
      <w:r>
        <w:rPr>
          <w:rFonts w:hint="eastAsia"/>
        </w:rPr>
        <w:t>mm</w:t>
      </w:r>
      <w:r>
        <w:t>，其下部宜至少留出宽750</w:t>
      </w:r>
      <w:r>
        <w:rPr>
          <w:rFonts w:hint="eastAsia"/>
        </w:rPr>
        <w:t>mm</w:t>
      </w:r>
      <w:r>
        <w:t>，高650</w:t>
      </w:r>
      <w:r>
        <w:rPr>
          <w:rFonts w:hint="eastAsia"/>
        </w:rPr>
        <w:t>mm</w:t>
      </w:r>
      <w:r>
        <w:t>，深450</w:t>
      </w:r>
      <w:r>
        <w:rPr>
          <w:rFonts w:hint="eastAsia"/>
        </w:rPr>
        <w:t>mm</w:t>
      </w:r>
      <w:r>
        <w:t>供乘轮椅者膝部和足尖部的移动空间</w:t>
      </w:r>
      <w:r>
        <w:rPr>
          <w:rFonts w:hint="eastAsia"/>
        </w:rPr>
        <w:t>；</w:t>
      </w:r>
    </w:p>
    <w:p>
      <w:pPr>
        <w:pStyle w:val="32"/>
        <w:numPr>
          <w:ilvl w:val="0"/>
          <w:numId w:val="28"/>
        </w:numPr>
        <w:spacing w:line="360" w:lineRule="auto"/>
        <w:ind w:firstLine="424" w:firstLineChars="202"/>
        <w:rPr>
          <w:rFonts w:ascii="宋体" w:hAnsi="宋体"/>
        </w:rPr>
      </w:pPr>
      <w:r>
        <w:t>低位服务设施前应有轮椅回转空间，回转直径不小于</w:t>
      </w:r>
      <w:r>
        <w:rPr>
          <w:rFonts w:hint="eastAsia"/>
        </w:rPr>
        <w:t>1.</w:t>
      </w:r>
      <w:r>
        <w:t>50</w:t>
      </w:r>
      <w:r>
        <w:rPr>
          <w:rFonts w:hint="eastAsia"/>
        </w:rPr>
        <w:t>m；</w:t>
      </w:r>
    </w:p>
    <w:p>
      <w:pPr>
        <w:pStyle w:val="32"/>
        <w:numPr>
          <w:ilvl w:val="0"/>
          <w:numId w:val="28"/>
        </w:numPr>
        <w:spacing w:line="360" w:lineRule="auto"/>
        <w:ind w:firstLine="424" w:firstLineChars="202"/>
        <w:rPr>
          <w:rFonts w:ascii="宋体" w:hAnsi="宋体"/>
        </w:rPr>
      </w:pPr>
      <w:r>
        <w:t>挂式电话离地不应高于900</w:t>
      </w:r>
      <w:r>
        <w:rPr>
          <w:rFonts w:hint="eastAsia"/>
        </w:rPr>
        <w:t>mm</w:t>
      </w:r>
      <w:r>
        <w:t>。</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rPr>
      </w:pPr>
      <w:r>
        <w:rPr>
          <w:i/>
        </w:rPr>
        <w:t>低位服务设施可以使轮椅</w:t>
      </w:r>
      <w:r>
        <w:rPr>
          <w:rFonts w:hint="eastAsia"/>
          <w:i/>
        </w:rPr>
        <w:t>使用者</w:t>
      </w:r>
      <w:r>
        <w:rPr>
          <w:i/>
        </w:rPr>
        <w:t>或身材较矮的人士方便地接触和使用各种服务设施。除了要求它的上表面距地面有一定的高度以外，还要求它的下方有足够的空间，以便于轮椅接近。它的前方应留有轮椅能够回转的空间。</w:t>
      </w:r>
    </w:p>
    <w:p>
      <w:pPr>
        <w:pStyle w:val="32"/>
        <w:numPr>
          <w:ilvl w:val="2"/>
          <w:numId w:val="25"/>
        </w:numPr>
        <w:spacing w:line="360" w:lineRule="auto"/>
        <w:ind w:firstLineChars="0"/>
        <w:outlineLvl w:val="2"/>
        <w:rPr>
          <w:rFonts w:ascii="宋体" w:hAnsi="宋体"/>
        </w:rPr>
      </w:pPr>
      <w:r>
        <w:rPr>
          <w:rFonts w:hint="eastAsia" w:ascii="宋体" w:hAnsi="宋体"/>
        </w:rPr>
        <w:t>轮椅席位应符合下列规定：</w:t>
      </w:r>
    </w:p>
    <w:p>
      <w:pPr>
        <w:pStyle w:val="32"/>
        <w:numPr>
          <w:ilvl w:val="0"/>
          <w:numId w:val="29"/>
        </w:numPr>
        <w:spacing w:line="360" w:lineRule="auto"/>
        <w:ind w:firstLine="424" w:firstLineChars="202"/>
        <w:rPr>
          <w:rFonts w:ascii="宋体" w:hAnsi="宋体"/>
        </w:rPr>
      </w:pPr>
      <w:r>
        <w:t>轮椅席位应设在便于到达疏散口及通道的附近，不得设在公共通道范围内</w:t>
      </w:r>
      <w:r>
        <w:rPr>
          <w:rFonts w:hint="eastAsia"/>
        </w:rPr>
        <w:t>；</w:t>
      </w:r>
    </w:p>
    <w:p>
      <w:pPr>
        <w:pStyle w:val="32"/>
        <w:numPr>
          <w:ilvl w:val="0"/>
          <w:numId w:val="29"/>
        </w:numPr>
        <w:spacing w:line="360" w:lineRule="auto"/>
        <w:ind w:firstLine="424" w:firstLineChars="202"/>
        <w:rPr>
          <w:rFonts w:ascii="宋体" w:hAnsi="宋体"/>
        </w:rPr>
      </w:pPr>
      <w:r>
        <w:t>轮椅席位的地面应平整、防滑，在边缘处宜安装栏杆或栏板</w:t>
      </w:r>
      <w:r>
        <w:rPr>
          <w:rFonts w:hint="eastAsia"/>
        </w:rPr>
        <w:t>；</w:t>
      </w:r>
    </w:p>
    <w:p>
      <w:pPr>
        <w:pStyle w:val="32"/>
        <w:numPr>
          <w:ilvl w:val="0"/>
          <w:numId w:val="29"/>
        </w:numPr>
        <w:spacing w:line="360" w:lineRule="auto"/>
        <w:ind w:firstLine="424" w:firstLineChars="202"/>
        <w:rPr>
          <w:rFonts w:ascii="宋体" w:hAnsi="宋体"/>
        </w:rPr>
      </w:pPr>
      <w:r>
        <w:t>每个轮椅席位的占地面积不应小于</w:t>
      </w:r>
      <w:r>
        <w:rPr>
          <w:rFonts w:hint="eastAsia"/>
        </w:rPr>
        <w:t>1.</w:t>
      </w:r>
      <w:r>
        <w:t>10</w:t>
      </w:r>
      <w:r>
        <w:rPr>
          <w:rFonts w:hint="eastAsia"/>
        </w:rPr>
        <w:t>m</w:t>
      </w:r>
      <w:r>
        <w:t>×</w:t>
      </w:r>
      <w:r>
        <w:rPr>
          <w:rFonts w:hint="eastAsia"/>
        </w:rPr>
        <w:t>0.</w:t>
      </w:r>
      <w:r>
        <w:t>80</w:t>
      </w:r>
      <w:r>
        <w:rPr>
          <w:rFonts w:hint="eastAsia"/>
        </w:rPr>
        <w:t>m；</w:t>
      </w:r>
    </w:p>
    <w:p>
      <w:pPr>
        <w:pStyle w:val="32"/>
        <w:numPr>
          <w:ilvl w:val="0"/>
          <w:numId w:val="29"/>
        </w:numPr>
        <w:spacing w:line="360" w:lineRule="auto"/>
        <w:ind w:firstLine="424" w:firstLineChars="202"/>
        <w:rPr>
          <w:rFonts w:ascii="宋体" w:hAnsi="宋体"/>
        </w:rPr>
      </w:pPr>
      <w:r>
        <w:t>在轮椅席位旁或在邻近的观众席内宜设置1：1的陪护席位</w:t>
      </w:r>
      <w:r>
        <w:rPr>
          <w:rFonts w:hint="eastAsia"/>
        </w:rPr>
        <w:t>；</w:t>
      </w:r>
    </w:p>
    <w:p>
      <w:pPr>
        <w:pStyle w:val="32"/>
        <w:numPr>
          <w:ilvl w:val="0"/>
          <w:numId w:val="29"/>
        </w:numPr>
        <w:spacing w:line="360" w:lineRule="auto"/>
        <w:ind w:firstLine="424" w:firstLineChars="202"/>
      </w:pPr>
      <w:r>
        <w:t>轮椅席位处地面上应设置无障碍</w:t>
      </w:r>
      <w:r>
        <w:rPr>
          <w:rFonts w:hint="eastAsia"/>
        </w:rPr>
        <w:t>标识</w:t>
      </w:r>
      <w:r>
        <w:t>，</w:t>
      </w:r>
      <w:r>
        <w:rPr>
          <w:rFonts w:hint="eastAsia"/>
        </w:rPr>
        <w:t>标识</w:t>
      </w:r>
      <w:r>
        <w:t>应符合本标准</w:t>
      </w:r>
      <w:r>
        <w:rPr>
          <w:rFonts w:hint="eastAsia"/>
        </w:rPr>
        <w:t>第4</w:t>
      </w:r>
      <w:r>
        <w:t>.3.2</w:t>
      </w:r>
      <w:r>
        <w:rPr>
          <w:rFonts w:hint="eastAsia"/>
        </w:rPr>
        <w:t>条</w:t>
      </w:r>
      <w:r>
        <w:t>的有关规定</w:t>
      </w:r>
      <w:r>
        <w:rPr>
          <w:rFonts w:hint="eastAsia"/>
        </w:rPr>
        <w:t>。</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rPr>
      </w:pPr>
      <w:r>
        <w:rPr>
          <w:rFonts w:hint="eastAsia"/>
          <w:bCs/>
          <w:i/>
        </w:rPr>
        <w:t xml:space="preserve">第1款 </w:t>
      </w:r>
      <w:r>
        <w:rPr>
          <w:i/>
        </w:rPr>
        <w:t>轮椅席位应设在出入方便的位置</w:t>
      </w:r>
      <w:r>
        <w:rPr>
          <w:rFonts w:hint="eastAsia"/>
          <w:i/>
        </w:rPr>
        <w:t>。</w:t>
      </w:r>
      <w:r>
        <w:rPr>
          <w:i/>
        </w:rPr>
        <w:t>如靠近疏散口及通道的位置，但不应影响其他观众席位，也不应妨碍公共通道的通行。轮椅席位可以集中设置，也可以分地段设置，平时也可以用作安放活动座椅等使用。观众厅内通往轮椅席位的通道宽度不应小于</w:t>
      </w:r>
      <w:r>
        <w:rPr>
          <w:rFonts w:hint="eastAsia"/>
          <w:i/>
        </w:rPr>
        <w:t>1</w:t>
      </w:r>
      <w:r>
        <w:rPr>
          <w:i/>
        </w:rPr>
        <w:t>.20</w:t>
      </w:r>
      <w:r>
        <w:rPr>
          <w:rFonts w:hint="eastAsia"/>
          <w:i/>
        </w:rPr>
        <w:t>m。</w:t>
      </w:r>
    </w:p>
    <w:p>
      <w:pPr>
        <w:pStyle w:val="32"/>
        <w:spacing w:line="360" w:lineRule="auto"/>
        <w:outlineLvl w:val="3"/>
        <w:rPr>
          <w:rFonts w:ascii="宋体" w:hAnsi="宋体"/>
        </w:rPr>
      </w:pPr>
      <w:r>
        <w:rPr>
          <w:rFonts w:hint="eastAsia"/>
          <w:i/>
        </w:rPr>
        <w:t xml:space="preserve">第2款 </w:t>
      </w:r>
      <w:r>
        <w:rPr>
          <w:i/>
        </w:rPr>
        <w:t>影剧院、会堂等观众厅的地面有一定坡度，但轮椅席位的地面</w:t>
      </w:r>
      <w:r>
        <w:rPr>
          <w:rFonts w:hint="eastAsia"/>
          <w:i/>
        </w:rPr>
        <w:t>需</w:t>
      </w:r>
      <w:r>
        <w:rPr>
          <w:i/>
        </w:rPr>
        <w:t>平坦。为了防止乘轮椅者和其他观众座椅碰撞，在轮椅席位的周围宜设置栏杆或栏板。在轮椅席位上观看演出和比赛的视线不应受到遮挡，但也不应遮挡他人的视线</w:t>
      </w:r>
      <w:r>
        <w:rPr>
          <w:rFonts w:hint="eastAsia"/>
          <w:i/>
        </w:rPr>
        <w:t>。</w:t>
      </w:r>
    </w:p>
    <w:p>
      <w:pPr>
        <w:pStyle w:val="32"/>
        <w:spacing w:line="360" w:lineRule="auto"/>
        <w:outlineLvl w:val="3"/>
        <w:rPr>
          <w:rFonts w:ascii="宋体" w:hAnsi="宋体"/>
          <w:i/>
        </w:rPr>
      </w:pPr>
      <w:r>
        <w:rPr>
          <w:rFonts w:hint="eastAsia"/>
          <w:i/>
        </w:rPr>
        <w:t xml:space="preserve">第3款 </w:t>
      </w:r>
      <w:r>
        <w:rPr>
          <w:i/>
        </w:rPr>
        <w:t>轮椅席的深度为</w:t>
      </w:r>
      <w:r>
        <w:rPr>
          <w:rFonts w:hint="eastAsia"/>
          <w:i/>
        </w:rPr>
        <w:t>1</w:t>
      </w:r>
      <w:r>
        <w:rPr>
          <w:i/>
        </w:rPr>
        <w:t>.10</w:t>
      </w:r>
      <w:r>
        <w:rPr>
          <w:rFonts w:hint="eastAsia"/>
          <w:i/>
        </w:rPr>
        <w:t>m</w:t>
      </w:r>
      <w:r>
        <w:rPr>
          <w:i/>
        </w:rPr>
        <w:t>，与标准轮椅的长度基本一致，一个轮椅席位的宽度为800</w:t>
      </w:r>
      <w:r>
        <w:rPr>
          <w:rFonts w:hint="eastAsia"/>
          <w:i/>
        </w:rPr>
        <w:t>mm</w:t>
      </w:r>
      <w:r>
        <w:rPr>
          <w:i/>
        </w:rPr>
        <w:t>。</w:t>
      </w:r>
    </w:p>
    <w:p>
      <w:pPr>
        <w:pStyle w:val="32"/>
        <w:numPr>
          <w:ilvl w:val="2"/>
          <w:numId w:val="25"/>
        </w:numPr>
        <w:ind w:firstLineChars="0"/>
        <w:rPr>
          <w:rFonts w:ascii="宋体" w:hAnsi="宋体"/>
        </w:rPr>
      </w:pPr>
      <w:r>
        <w:rPr>
          <w:rFonts w:hint="eastAsia" w:ascii="宋体" w:hAnsi="宋体"/>
        </w:rPr>
        <w:t>无障碍工作台应符合下列规定：</w:t>
      </w:r>
    </w:p>
    <w:p>
      <w:pPr>
        <w:pStyle w:val="32"/>
        <w:numPr>
          <w:ilvl w:val="0"/>
          <w:numId w:val="30"/>
        </w:numPr>
        <w:spacing w:line="360" w:lineRule="auto"/>
        <w:ind w:firstLine="424" w:firstLineChars="202"/>
      </w:pPr>
      <w:r>
        <w:rPr>
          <w:rFonts w:hint="eastAsia" w:ascii="宋体" w:hAnsi="宋体"/>
        </w:rPr>
        <w:t>无障碍工作台应靠近无障碍通道设置</w:t>
      </w:r>
      <w:r>
        <w:t>；</w:t>
      </w:r>
    </w:p>
    <w:p>
      <w:pPr>
        <w:pStyle w:val="32"/>
        <w:numPr>
          <w:ilvl w:val="0"/>
          <w:numId w:val="30"/>
        </w:numPr>
        <w:spacing w:line="360" w:lineRule="auto"/>
        <w:ind w:firstLine="424" w:firstLineChars="202"/>
      </w:pPr>
      <w:r>
        <w:rPr>
          <w:rFonts w:hint="eastAsia" w:ascii="宋体" w:hAnsi="宋体"/>
        </w:rPr>
        <w:t>无障碍工作台表面距地面高度宜为700</w:t>
      </w:r>
      <w:r>
        <w:rPr>
          <w:rFonts w:hint="eastAsia"/>
        </w:rPr>
        <w:t>mm</w:t>
      </w:r>
      <w:r>
        <w:rPr>
          <w:rFonts w:hint="eastAsia" w:ascii="宋体" w:hAnsi="宋体"/>
        </w:rPr>
        <w:t>～850</w:t>
      </w:r>
      <w:r>
        <w:rPr>
          <w:rFonts w:hint="eastAsia"/>
        </w:rPr>
        <w:t>mm</w:t>
      </w:r>
      <w:r>
        <w:rPr>
          <w:rFonts w:hint="eastAsia" w:ascii="宋体" w:hAnsi="宋体"/>
        </w:rPr>
        <w:t>，其下部宜至少留出宽750</w:t>
      </w:r>
      <w:r>
        <w:rPr>
          <w:rFonts w:hint="eastAsia"/>
        </w:rPr>
        <w:t>mm</w:t>
      </w:r>
      <w:r>
        <w:rPr>
          <w:rFonts w:hint="eastAsia" w:ascii="宋体" w:hAnsi="宋体"/>
        </w:rPr>
        <w:t>，高650</w:t>
      </w:r>
      <w:r>
        <w:rPr>
          <w:rFonts w:hint="eastAsia"/>
        </w:rPr>
        <w:t>mm</w:t>
      </w:r>
      <w:r>
        <w:rPr>
          <w:rFonts w:hint="eastAsia" w:ascii="宋体" w:hAnsi="宋体"/>
        </w:rPr>
        <w:t>，深450</w:t>
      </w:r>
      <w:r>
        <w:rPr>
          <w:rFonts w:hint="eastAsia"/>
        </w:rPr>
        <w:t>mm</w:t>
      </w:r>
      <w:r>
        <w:rPr>
          <w:rFonts w:hint="eastAsia" w:ascii="宋体" w:hAnsi="宋体"/>
        </w:rPr>
        <w:t>供轮椅使用者膝部和足尖部的移动空间</w:t>
      </w:r>
      <w:r>
        <w:rPr>
          <w:rFonts w:hint="eastAsia"/>
        </w:rPr>
        <w:t>；</w:t>
      </w:r>
    </w:p>
    <w:p>
      <w:pPr>
        <w:pStyle w:val="32"/>
        <w:numPr>
          <w:ilvl w:val="0"/>
          <w:numId w:val="30"/>
        </w:numPr>
        <w:spacing w:line="360" w:lineRule="auto"/>
        <w:ind w:firstLine="424" w:firstLineChars="202"/>
      </w:pPr>
      <w:r>
        <w:rPr>
          <w:rFonts w:hint="eastAsia" w:ascii="宋体" w:hAnsi="宋体"/>
        </w:rPr>
        <w:t>无障碍工作台前应有轮椅回转空间，回转直径不小于1.50</w:t>
      </w:r>
      <w:r>
        <w:rPr>
          <w:rFonts w:hint="eastAsia"/>
        </w:rPr>
        <w:t>m</w:t>
      </w:r>
      <w:r>
        <w:rPr>
          <w:rFonts w:hint="eastAsia" w:ascii="宋体" w:hAnsi="宋体"/>
        </w:rPr>
        <w:t>。</w:t>
      </w:r>
    </w:p>
    <w:p>
      <w:pPr>
        <w:pStyle w:val="32"/>
        <w:numPr>
          <w:ilvl w:val="2"/>
          <w:numId w:val="25"/>
        </w:numPr>
        <w:ind w:firstLineChars="0"/>
        <w:rPr>
          <w:rFonts w:ascii="宋体" w:hAnsi="宋体"/>
        </w:rPr>
      </w:pPr>
      <w:r>
        <w:rPr>
          <w:rFonts w:hint="eastAsia" w:ascii="宋体" w:hAnsi="宋体"/>
        </w:rPr>
        <w:t>安全抓杆应符合下列规定：</w:t>
      </w:r>
    </w:p>
    <w:p>
      <w:pPr>
        <w:pStyle w:val="32"/>
        <w:numPr>
          <w:ilvl w:val="0"/>
          <w:numId w:val="31"/>
        </w:numPr>
        <w:spacing w:line="360" w:lineRule="auto"/>
        <w:ind w:firstLine="424" w:firstLineChars="202"/>
      </w:pPr>
      <w:r>
        <w:rPr>
          <w:rFonts w:hint="eastAsia"/>
        </w:rPr>
        <w:t>安全抓杆的材料应防滑及防水；</w:t>
      </w:r>
    </w:p>
    <w:p>
      <w:pPr>
        <w:pStyle w:val="32"/>
        <w:numPr>
          <w:ilvl w:val="0"/>
          <w:numId w:val="31"/>
        </w:numPr>
        <w:spacing w:line="360" w:lineRule="auto"/>
        <w:ind w:firstLine="424" w:firstLineChars="202"/>
      </w:pPr>
      <w:r>
        <w:rPr>
          <w:rFonts w:hint="eastAsia"/>
        </w:rPr>
        <w:t>安全抓杆外径应为3</w:t>
      </w:r>
      <w:r>
        <w:t>0</w:t>
      </w:r>
      <w:r>
        <w:rPr>
          <w:rFonts w:hint="eastAsia"/>
        </w:rPr>
        <w:t>mm</w:t>
      </w:r>
      <w:r>
        <w:t>～</w:t>
      </w:r>
      <w:r>
        <w:rPr>
          <w:rFonts w:hint="eastAsia"/>
        </w:rPr>
        <w:t>40mm，应固定在墙壁上，留出不小于安装墙</w:t>
      </w:r>
      <w:r>
        <w:t>40</w:t>
      </w:r>
      <w:r>
        <w:rPr>
          <w:rFonts w:hint="eastAsia"/>
        </w:rPr>
        <w:t>mm的抓握空间；</w:t>
      </w:r>
    </w:p>
    <w:p>
      <w:pPr>
        <w:pStyle w:val="32"/>
        <w:numPr>
          <w:ilvl w:val="0"/>
          <w:numId w:val="31"/>
        </w:numPr>
        <w:spacing w:line="360" w:lineRule="auto"/>
        <w:ind w:firstLine="424" w:firstLineChars="202"/>
      </w:pPr>
      <w:r>
        <w:rPr>
          <w:rFonts w:hint="eastAsia"/>
        </w:rPr>
        <w:t>如果是两个连续构造的安全抓杆，安全抓杆的长度不得小于600mm；</w:t>
      </w:r>
    </w:p>
    <w:p>
      <w:pPr>
        <w:pStyle w:val="32"/>
        <w:numPr>
          <w:ilvl w:val="0"/>
          <w:numId w:val="31"/>
        </w:numPr>
        <w:spacing w:line="360" w:lineRule="auto"/>
        <w:ind w:firstLine="424" w:firstLineChars="202"/>
      </w:pPr>
      <w:r>
        <w:rPr>
          <w:rFonts w:hint="eastAsia"/>
        </w:rPr>
        <w:t>安全抓杆应坚固耐用，并能承受</w:t>
      </w:r>
      <w:r>
        <w:t>100kg</w:t>
      </w:r>
      <w:r>
        <w:rPr>
          <w:rFonts w:hint="eastAsia"/>
        </w:rPr>
        <w:t>以上荷载；</w:t>
      </w:r>
    </w:p>
    <w:p>
      <w:pPr>
        <w:pStyle w:val="32"/>
        <w:numPr>
          <w:ilvl w:val="0"/>
          <w:numId w:val="31"/>
        </w:numPr>
        <w:spacing w:line="360" w:lineRule="auto"/>
        <w:ind w:firstLine="424" w:firstLineChars="202"/>
        <w:rPr>
          <w:b/>
          <w:i/>
        </w:rPr>
      </w:pPr>
      <w:r>
        <w:rPr>
          <w:rFonts w:hint="eastAsia"/>
        </w:rPr>
        <w:t>安全抓杆不得在其固定配件内旋转。</w:t>
      </w:r>
    </w:p>
    <w:p>
      <w:pPr>
        <w:pStyle w:val="32"/>
        <w:spacing w:line="360" w:lineRule="auto"/>
        <w:ind w:firstLine="0" w:firstLineChars="0"/>
        <w:rPr>
          <w:b/>
          <w:bCs/>
          <w:i/>
          <w:iCs/>
        </w:rPr>
      </w:pPr>
      <w:r>
        <w:rPr>
          <w:rFonts w:hint="eastAsia"/>
          <w:b/>
          <w:bCs/>
          <w:i/>
          <w:iCs/>
        </w:rPr>
        <w:t>条文说明</w:t>
      </w:r>
    </w:p>
    <w:p>
      <w:pPr>
        <w:pStyle w:val="32"/>
        <w:spacing w:line="360" w:lineRule="auto"/>
      </w:pPr>
      <w:r>
        <w:rPr>
          <w:rFonts w:hint="eastAsia"/>
          <w:i/>
          <w:iCs/>
        </w:rPr>
        <w:t>本条规范适用于无障碍厕所、无障碍厕位、无障碍客房、无障碍住房及宿舍、住宅。</w:t>
      </w:r>
    </w:p>
    <w:p>
      <w:pPr>
        <w:pStyle w:val="32"/>
        <w:numPr>
          <w:ilvl w:val="2"/>
          <w:numId w:val="25"/>
        </w:numPr>
        <w:ind w:firstLineChars="0"/>
        <w:rPr>
          <w:rFonts w:ascii="宋体" w:hAnsi="宋体"/>
        </w:rPr>
      </w:pPr>
      <w:r>
        <w:rPr>
          <w:rFonts w:hint="eastAsia" w:ascii="宋体" w:hAnsi="宋体"/>
        </w:rPr>
        <w:t>无障碍停车位应符合下列规定：</w:t>
      </w:r>
    </w:p>
    <w:p>
      <w:pPr>
        <w:pStyle w:val="32"/>
        <w:numPr>
          <w:ilvl w:val="0"/>
          <w:numId w:val="32"/>
        </w:numPr>
        <w:spacing w:line="360" w:lineRule="auto"/>
        <w:ind w:firstLine="424" w:firstLineChars="202"/>
      </w:pPr>
      <w:r>
        <w:rPr>
          <w:rFonts w:hint="eastAsia"/>
        </w:rPr>
        <w:t>应将通行方便、行走距离路线最短的停车位设为无障碍机动车停车位；</w:t>
      </w:r>
    </w:p>
    <w:p>
      <w:pPr>
        <w:pStyle w:val="32"/>
        <w:numPr>
          <w:ilvl w:val="0"/>
          <w:numId w:val="32"/>
        </w:numPr>
        <w:spacing w:line="360" w:lineRule="auto"/>
        <w:ind w:firstLine="424" w:firstLineChars="202"/>
      </w:pPr>
      <w:r>
        <w:rPr>
          <w:rFonts w:hint="eastAsia"/>
        </w:rPr>
        <w:t>无障碍机动车停车位的地面应平整、防滑、不积水，地面坡度不大于1:50；</w:t>
      </w:r>
    </w:p>
    <w:p>
      <w:pPr>
        <w:pStyle w:val="32"/>
        <w:numPr>
          <w:ilvl w:val="0"/>
          <w:numId w:val="32"/>
        </w:numPr>
        <w:spacing w:line="360" w:lineRule="auto"/>
        <w:ind w:firstLine="424" w:firstLineChars="202"/>
      </w:pPr>
      <w:r>
        <w:rPr>
          <w:rFonts w:hint="eastAsia"/>
        </w:rPr>
        <w:t>无障碍机动车停车位的最小宽度为</w:t>
      </w:r>
      <w:r>
        <w:t>2.</w:t>
      </w:r>
      <w:r>
        <w:rPr>
          <w:rFonts w:hint="eastAsia"/>
        </w:rPr>
        <w:t>5</w:t>
      </w:r>
      <w:r>
        <w:t>0</w:t>
      </w:r>
      <w:r>
        <w:rPr>
          <w:rFonts w:hint="eastAsia"/>
        </w:rPr>
        <w:t>m，长度为5</w:t>
      </w:r>
      <w:r>
        <w:t>.00</w:t>
      </w:r>
      <w:r>
        <w:rPr>
          <w:rFonts w:hint="eastAsia"/>
        </w:rPr>
        <w:t>m，一侧应设宽度不小于1</w:t>
      </w:r>
      <w:r>
        <w:t>.</w:t>
      </w:r>
      <w:r>
        <w:rPr>
          <w:rFonts w:hint="eastAsia"/>
        </w:rPr>
        <w:t>2</w:t>
      </w:r>
      <w:r>
        <w:t>0</w:t>
      </w:r>
      <w:r>
        <w:rPr>
          <w:rFonts w:hint="eastAsia"/>
        </w:rPr>
        <w:t>m的通道，供轮椅使用</w:t>
      </w:r>
      <w:r>
        <w:t>者</w:t>
      </w:r>
      <w:r>
        <w:rPr>
          <w:rFonts w:hint="eastAsia"/>
        </w:rPr>
        <w:t>从轮椅通道直接进入人行道和到达无障碍出入口；无障碍停车位的地面应涂有停车线、轮椅通道线和无障碍标识；（图4-6）</w:t>
      </w:r>
    </w:p>
    <w:p>
      <w:pPr>
        <w:pStyle w:val="32"/>
        <w:spacing w:line="360" w:lineRule="auto"/>
        <w:ind w:firstLine="0" w:firstLineChars="0"/>
        <w:jc w:val="center"/>
      </w:pPr>
      <w:r>
        <w:rPr>
          <w:rFonts w:hint="eastAsia"/>
          <w:lang w:bidi="mn-Mong-CN"/>
        </w:rPr>
        <w:drawing>
          <wp:inline distT="0" distB="0" distL="114300" distR="114300">
            <wp:extent cx="2641600" cy="1720215"/>
            <wp:effectExtent l="0" t="0" r="6350" b="0"/>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pic:cNvPicPr>
                  </pic:nvPicPr>
                  <pic:blipFill>
                    <a:blip r:embed="rId12" cstate="print">
                      <a:extLst>
                        <a:ext uri="{28A0092B-C50C-407E-A947-70E740481C1C}">
                          <a14:useLocalDpi xmlns:a14="http://schemas.microsoft.com/office/drawing/2010/main" val="false"/>
                        </a:ext>
                      </a:extLst>
                    </a:blip>
                    <a:srcRect l="16346" t="15414" r="3395" b="8936"/>
                    <a:stretch>
                      <a:fillRect/>
                    </a:stretch>
                  </pic:blipFill>
                  <pic:spPr>
                    <a:xfrm>
                      <a:off x="0" y="0"/>
                      <a:ext cx="2664426" cy="1735167"/>
                    </a:xfrm>
                    <a:prstGeom prst="rect">
                      <a:avLst/>
                    </a:prstGeom>
                    <a:ln>
                      <a:noFill/>
                    </a:ln>
                  </pic:spPr>
                </pic:pic>
              </a:graphicData>
            </a:graphic>
          </wp:inline>
        </w:drawing>
      </w:r>
    </w:p>
    <w:p>
      <w:pPr>
        <w:pStyle w:val="32"/>
        <w:spacing w:line="360" w:lineRule="auto"/>
        <w:ind w:firstLine="0" w:firstLineChars="0"/>
        <w:jc w:val="center"/>
      </w:pPr>
      <w:r>
        <w:rPr>
          <w:rFonts w:hint="eastAsia"/>
        </w:rPr>
        <w:t>图4-6无障碍停车位尺寸及标志</w:t>
      </w:r>
    </w:p>
    <w:p>
      <w:pPr>
        <w:pStyle w:val="32"/>
        <w:spacing w:line="360" w:lineRule="auto"/>
        <w:ind w:firstLine="0" w:firstLineChars="0"/>
        <w:rPr>
          <w:b/>
          <w:bCs/>
        </w:rPr>
      </w:pPr>
      <w:bookmarkStart w:id="117" w:name="_Toc17739948"/>
      <w:bookmarkStart w:id="118" w:name="_Toc17739947"/>
      <w:r>
        <w:rPr>
          <w:rFonts w:hint="eastAsia"/>
          <w:b/>
          <w:bCs/>
          <w:i/>
          <w:iCs/>
        </w:rPr>
        <w:t>条文说明</w:t>
      </w:r>
    </w:p>
    <w:p>
      <w:pPr>
        <w:pStyle w:val="32"/>
        <w:spacing w:line="360" w:lineRule="auto"/>
        <w:rPr>
          <w:i/>
          <w:iCs/>
        </w:rPr>
      </w:pPr>
      <w:r>
        <w:rPr>
          <w:rFonts w:hint="eastAsia"/>
          <w:i/>
          <w:iCs/>
        </w:rPr>
        <w:t>设有无障碍停车位的公众停车场，建议在入口处及行车路面设置指示方向的标识，引导残疾驾驶员到专用停车位置。</w:t>
      </w:r>
    </w:p>
    <w:p>
      <w:pPr>
        <w:pStyle w:val="32"/>
        <w:spacing w:line="360" w:lineRule="auto"/>
        <w:rPr>
          <w:i/>
          <w:iCs/>
        </w:rPr>
      </w:pPr>
      <w:r>
        <w:rPr>
          <w:i/>
          <w:iCs/>
        </w:rPr>
        <w:t>无论设置在地上或是地下的停车场地，应将通行方便、距离出入口路线最短的停车位安排为无障碍机动车停车位，如有可能宜将无障碍机动车停车位设置在出入口旁</w:t>
      </w:r>
      <w:r>
        <w:rPr>
          <w:rFonts w:hint="eastAsia"/>
          <w:i/>
          <w:iCs/>
        </w:rPr>
        <w:t>。</w:t>
      </w:r>
      <w:r>
        <w:rPr>
          <w:i/>
          <w:iCs/>
        </w:rPr>
        <w:t>停车位的一侧或与相邻停车位之间应留有宽</w:t>
      </w:r>
      <w:r>
        <w:rPr>
          <w:rFonts w:hint="eastAsia"/>
          <w:i/>
          <w:iCs/>
        </w:rPr>
        <w:t>1.</w:t>
      </w:r>
      <w:r>
        <w:rPr>
          <w:i/>
          <w:iCs/>
        </w:rPr>
        <w:t>20</w:t>
      </w:r>
      <w:r>
        <w:rPr>
          <w:rFonts w:hint="eastAsia"/>
          <w:i/>
          <w:iCs/>
        </w:rPr>
        <w:t>m</w:t>
      </w:r>
      <w:r>
        <w:rPr>
          <w:i/>
          <w:iCs/>
        </w:rPr>
        <w:t>以上的轮椅通道，方便肢体障碍者上下车</w:t>
      </w:r>
      <w:r>
        <w:rPr>
          <w:rFonts w:hint="eastAsia"/>
          <w:i/>
          <w:iCs/>
        </w:rPr>
        <w:t>。无障碍机动车停车位端部</w:t>
      </w:r>
      <w:r>
        <w:rPr>
          <w:i/>
          <w:iCs/>
        </w:rPr>
        <w:t>通道上的雨水箅子的孔洞</w:t>
      </w:r>
      <w:r>
        <w:rPr>
          <w:rFonts w:hint="eastAsia"/>
          <w:i/>
          <w:iCs/>
        </w:rPr>
        <w:t>格缝</w:t>
      </w:r>
      <w:r>
        <w:rPr>
          <w:i/>
          <w:iCs/>
        </w:rPr>
        <w:t>宽度不应大于15</w:t>
      </w:r>
      <w:r>
        <w:rPr>
          <w:rFonts w:hint="eastAsia"/>
          <w:i/>
          <w:iCs/>
        </w:rPr>
        <w:t>mm，格缝的排列方向应与通行</w:t>
      </w:r>
      <w:r>
        <w:rPr>
          <w:i/>
          <w:iCs/>
        </w:rPr>
        <w:t>方向</w:t>
      </w:r>
      <w:r>
        <w:rPr>
          <w:rFonts w:hint="eastAsia"/>
          <w:i/>
          <w:iCs/>
        </w:rPr>
        <w:t>垂直。</w:t>
      </w:r>
    </w:p>
    <w:p>
      <w:pPr>
        <w:widowControl/>
        <w:jc w:val="left"/>
        <w:rPr>
          <w:i/>
          <w:iCs/>
        </w:rPr>
      </w:pPr>
      <w:r>
        <w:rPr>
          <w:i/>
          <w:iCs/>
        </w:rPr>
        <w:br w:type="page"/>
      </w:r>
    </w:p>
    <w:bookmarkEnd w:id="99"/>
    <w:bookmarkEnd w:id="100"/>
    <w:bookmarkEnd w:id="101"/>
    <w:bookmarkEnd w:id="102"/>
    <w:bookmarkEnd w:id="103"/>
    <w:bookmarkEnd w:id="117"/>
    <w:bookmarkEnd w:id="118"/>
    <w:p>
      <w:pPr>
        <w:pStyle w:val="32"/>
        <w:numPr>
          <w:ilvl w:val="0"/>
          <w:numId w:val="33"/>
        </w:numPr>
        <w:spacing w:line="360" w:lineRule="auto"/>
        <w:ind w:firstLineChars="0"/>
        <w:jc w:val="center"/>
        <w:outlineLvl w:val="0"/>
        <w:rPr>
          <w:rFonts w:ascii="Times New Roman" w:hAnsi="Times New Roman" w:cs="Times New Roman"/>
          <w:b/>
          <w:bCs/>
          <w:sz w:val="32"/>
          <w:szCs w:val="32"/>
        </w:rPr>
      </w:pPr>
      <w:bookmarkStart w:id="119" w:name="_Toc23437770"/>
      <w:bookmarkStart w:id="120" w:name="_Toc230"/>
      <w:bookmarkStart w:id="121" w:name="_Toc17740010"/>
      <w:bookmarkStart w:id="122" w:name="_Toc20420182"/>
      <w:r>
        <w:rPr>
          <w:rFonts w:hint="eastAsia" w:ascii="Times New Roman" w:hAnsi="Times New Roman" w:cs="Times New Roman"/>
          <w:b/>
          <w:bCs/>
          <w:sz w:val="32"/>
          <w:szCs w:val="32"/>
        </w:rPr>
        <w:t>城市道路</w:t>
      </w:r>
      <w:bookmarkEnd w:id="119"/>
      <w:bookmarkEnd w:id="120"/>
      <w:bookmarkEnd w:id="121"/>
      <w:bookmarkEnd w:id="122"/>
      <w:bookmarkStart w:id="123" w:name="_Toc19732250"/>
      <w:bookmarkEnd w:id="123"/>
      <w:bookmarkStart w:id="124" w:name="_Toc19732726"/>
      <w:bookmarkEnd w:id="124"/>
      <w:bookmarkStart w:id="125" w:name="_Toc19732779"/>
      <w:bookmarkEnd w:id="125"/>
      <w:bookmarkStart w:id="126" w:name="_Toc19732689"/>
      <w:bookmarkEnd w:id="126"/>
      <w:bookmarkStart w:id="127" w:name="_Toc19736304"/>
      <w:bookmarkEnd w:id="127"/>
      <w:bookmarkStart w:id="128" w:name="_Toc19195290"/>
      <w:bookmarkEnd w:id="128"/>
      <w:bookmarkStart w:id="129" w:name="_Toc19737485"/>
      <w:bookmarkEnd w:id="129"/>
      <w:bookmarkStart w:id="130" w:name="_Toc20420184"/>
      <w:bookmarkEnd w:id="130"/>
      <w:bookmarkStart w:id="131" w:name="_Toc19175489"/>
      <w:bookmarkEnd w:id="131"/>
      <w:bookmarkStart w:id="132" w:name="_Toc19195238"/>
      <w:bookmarkEnd w:id="132"/>
      <w:bookmarkStart w:id="133" w:name="_Toc19175455"/>
      <w:bookmarkEnd w:id="133"/>
      <w:bookmarkStart w:id="134" w:name="_Toc19195325"/>
      <w:bookmarkEnd w:id="134"/>
      <w:bookmarkStart w:id="135" w:name="_Toc19195324"/>
      <w:bookmarkEnd w:id="135"/>
      <w:bookmarkStart w:id="136" w:name="_Toc19635224"/>
      <w:bookmarkEnd w:id="136"/>
      <w:bookmarkStart w:id="137" w:name="_Toc19635225"/>
      <w:bookmarkEnd w:id="137"/>
      <w:bookmarkStart w:id="138" w:name="_Toc19732251"/>
      <w:bookmarkEnd w:id="138"/>
      <w:bookmarkStart w:id="139" w:name="_Toc19732615"/>
      <w:bookmarkEnd w:id="139"/>
      <w:bookmarkStart w:id="140" w:name="_Toc19732688"/>
      <w:bookmarkEnd w:id="140"/>
      <w:bookmarkStart w:id="141" w:name="_Toc19732614"/>
      <w:bookmarkEnd w:id="141"/>
      <w:bookmarkStart w:id="142" w:name="_Toc19732652"/>
      <w:bookmarkEnd w:id="142"/>
      <w:bookmarkStart w:id="143" w:name="_Toc19732651"/>
      <w:bookmarkEnd w:id="143"/>
      <w:bookmarkStart w:id="144" w:name="_Toc19732725"/>
      <w:bookmarkEnd w:id="144"/>
      <w:bookmarkStart w:id="145" w:name="_Toc19732778"/>
      <w:bookmarkEnd w:id="145"/>
      <w:bookmarkStart w:id="146" w:name="_Toc19195289"/>
      <w:bookmarkEnd w:id="146"/>
      <w:bookmarkStart w:id="147" w:name="_Toc19736303"/>
      <w:bookmarkEnd w:id="147"/>
      <w:bookmarkStart w:id="148" w:name="_Toc19737484"/>
      <w:bookmarkEnd w:id="148"/>
      <w:bookmarkStart w:id="149" w:name="_Toc20420183"/>
      <w:bookmarkEnd w:id="149"/>
      <w:bookmarkStart w:id="150" w:name="_Toc19195237"/>
      <w:bookmarkEnd w:id="150"/>
      <w:bookmarkStart w:id="151" w:name="_Toc19175454"/>
      <w:bookmarkEnd w:id="151"/>
      <w:bookmarkStart w:id="152" w:name="_Toc19175488"/>
      <w:bookmarkEnd w:id="152"/>
      <w:bookmarkStart w:id="153" w:name="_Toc18752852"/>
      <w:bookmarkEnd w:id="153"/>
      <w:bookmarkStart w:id="154" w:name="_Toc18752575"/>
      <w:bookmarkEnd w:id="154"/>
      <w:bookmarkStart w:id="155" w:name="_Toc13457"/>
      <w:bookmarkStart w:id="156" w:name="_Toc20420185"/>
    </w:p>
    <w:p>
      <w:pPr>
        <w:pStyle w:val="32"/>
        <w:numPr>
          <w:ilvl w:val="0"/>
          <w:numId w:val="34"/>
        </w:numPr>
        <w:spacing w:line="360" w:lineRule="auto"/>
        <w:ind w:firstLineChars="0"/>
        <w:jc w:val="center"/>
        <w:outlineLvl w:val="1"/>
        <w:rPr>
          <w:rFonts w:ascii="宋体" w:hAnsi="宋体"/>
          <w:vanish/>
        </w:rPr>
      </w:pPr>
      <w:bookmarkStart w:id="157" w:name="_Toc23437771"/>
      <w:bookmarkEnd w:id="157"/>
    </w:p>
    <w:p>
      <w:pPr>
        <w:pStyle w:val="32"/>
        <w:numPr>
          <w:ilvl w:val="0"/>
          <w:numId w:val="34"/>
        </w:numPr>
        <w:spacing w:line="360" w:lineRule="auto"/>
        <w:ind w:firstLineChars="0"/>
        <w:jc w:val="center"/>
        <w:outlineLvl w:val="1"/>
        <w:rPr>
          <w:rFonts w:ascii="宋体" w:hAnsi="宋体"/>
          <w:vanish/>
        </w:rPr>
      </w:pPr>
      <w:bookmarkStart w:id="158" w:name="_Toc23437772"/>
      <w:bookmarkEnd w:id="158"/>
    </w:p>
    <w:p>
      <w:pPr>
        <w:pStyle w:val="32"/>
        <w:numPr>
          <w:ilvl w:val="1"/>
          <w:numId w:val="34"/>
        </w:numPr>
        <w:spacing w:line="360" w:lineRule="auto"/>
        <w:ind w:firstLineChars="0"/>
        <w:jc w:val="center"/>
        <w:outlineLvl w:val="1"/>
        <w:rPr>
          <w:rFonts w:ascii="宋体" w:hAnsi="宋体"/>
        </w:rPr>
      </w:pPr>
      <w:bookmarkStart w:id="159" w:name="_Toc23437773"/>
      <w:r>
        <w:rPr>
          <w:rFonts w:hint="eastAsia" w:ascii="宋体" w:hAnsi="宋体"/>
        </w:rPr>
        <w:t>一般规定</w:t>
      </w:r>
      <w:bookmarkEnd w:id="155"/>
      <w:bookmarkEnd w:id="156"/>
      <w:bookmarkEnd w:id="159"/>
    </w:p>
    <w:p>
      <w:pPr>
        <w:pStyle w:val="32"/>
        <w:numPr>
          <w:ilvl w:val="0"/>
          <w:numId w:val="35"/>
        </w:numPr>
        <w:spacing w:line="360" w:lineRule="auto"/>
        <w:ind w:firstLineChars="0"/>
        <w:jc w:val="left"/>
        <w:outlineLvl w:val="2"/>
        <w:rPr>
          <w:vanish/>
        </w:rPr>
      </w:pPr>
    </w:p>
    <w:p>
      <w:pPr>
        <w:pStyle w:val="32"/>
        <w:numPr>
          <w:ilvl w:val="0"/>
          <w:numId w:val="35"/>
        </w:numPr>
        <w:spacing w:line="360" w:lineRule="auto"/>
        <w:ind w:firstLineChars="0"/>
        <w:jc w:val="left"/>
        <w:outlineLvl w:val="2"/>
        <w:rPr>
          <w:vanish/>
        </w:rPr>
      </w:pPr>
    </w:p>
    <w:p>
      <w:pPr>
        <w:pStyle w:val="32"/>
        <w:numPr>
          <w:ilvl w:val="0"/>
          <w:numId w:val="35"/>
        </w:numPr>
        <w:spacing w:line="360" w:lineRule="auto"/>
        <w:ind w:firstLineChars="0"/>
        <w:jc w:val="left"/>
        <w:outlineLvl w:val="2"/>
        <w:rPr>
          <w:vanish/>
        </w:rPr>
      </w:pPr>
    </w:p>
    <w:p>
      <w:pPr>
        <w:pStyle w:val="32"/>
        <w:numPr>
          <w:ilvl w:val="1"/>
          <w:numId w:val="35"/>
        </w:numPr>
        <w:spacing w:line="360" w:lineRule="auto"/>
        <w:ind w:firstLineChars="0"/>
        <w:jc w:val="left"/>
        <w:outlineLvl w:val="2"/>
        <w:rPr>
          <w:vanish/>
        </w:rPr>
      </w:pPr>
    </w:p>
    <w:p>
      <w:pPr>
        <w:pStyle w:val="32"/>
        <w:numPr>
          <w:ilvl w:val="1"/>
          <w:numId w:val="35"/>
        </w:numPr>
        <w:spacing w:line="360" w:lineRule="auto"/>
        <w:ind w:firstLineChars="0"/>
        <w:jc w:val="left"/>
        <w:outlineLvl w:val="2"/>
        <w:rPr>
          <w:vanish/>
        </w:rPr>
      </w:pPr>
    </w:p>
    <w:p>
      <w:pPr>
        <w:pStyle w:val="32"/>
        <w:numPr>
          <w:ilvl w:val="2"/>
          <w:numId w:val="35"/>
        </w:numPr>
        <w:spacing w:line="360" w:lineRule="auto"/>
        <w:ind w:firstLineChars="0"/>
        <w:jc w:val="left"/>
        <w:outlineLvl w:val="2"/>
      </w:pPr>
      <w:r>
        <w:rPr>
          <w:rFonts w:hint="eastAsia"/>
        </w:rPr>
        <w:t>城市道路人行系统无障碍设计应符合《无障碍设计规范》（GB50763-2012）的规定。</w:t>
      </w:r>
    </w:p>
    <w:p>
      <w:pPr>
        <w:pStyle w:val="32"/>
        <w:numPr>
          <w:ilvl w:val="2"/>
          <w:numId w:val="35"/>
        </w:numPr>
        <w:spacing w:line="360" w:lineRule="auto"/>
        <w:ind w:firstLineChars="0"/>
        <w:jc w:val="left"/>
        <w:outlineLvl w:val="2"/>
        <w:rPr>
          <w:rFonts w:ascii="宋体" w:hAnsi="宋体"/>
        </w:rPr>
      </w:pPr>
      <w:r>
        <w:rPr>
          <w:rFonts w:hint="eastAsia"/>
        </w:rPr>
        <w:t>无障碍设施及</w:t>
      </w:r>
      <w:r>
        <w:t>无障碍导识</w:t>
      </w:r>
      <w:r>
        <w:rPr>
          <w:rFonts w:hint="eastAsia"/>
        </w:rPr>
        <w:t>应有足够的照明，保证照度均匀，避免眩光。</w:t>
      </w:r>
    </w:p>
    <w:p>
      <w:pPr>
        <w:pStyle w:val="32"/>
        <w:numPr>
          <w:ilvl w:val="2"/>
          <w:numId w:val="35"/>
        </w:numPr>
        <w:spacing w:line="360" w:lineRule="auto"/>
        <w:ind w:firstLineChars="0"/>
        <w:jc w:val="left"/>
        <w:outlineLvl w:val="2"/>
        <w:rPr>
          <w:rFonts w:ascii="宋体" w:hAnsi="宋体"/>
        </w:rPr>
      </w:pPr>
      <w:r>
        <w:rPr>
          <w:rFonts w:hint="eastAsia" w:ascii="宋体" w:hAnsi="宋体"/>
          <w:kern w:val="0"/>
        </w:rPr>
        <w:t>人行道、人行横道、人行天桥及地道处设置的无障碍设施应与</w:t>
      </w:r>
      <w:r>
        <w:rPr>
          <w:rFonts w:hint="eastAsia" w:ascii="宋体" w:hAnsi="宋体" w:cs="宋体"/>
          <w:kern w:val="0"/>
          <w:lang w:bidi="ar"/>
        </w:rPr>
        <w:t>周边商场、公园、广场、地铁车站、交通枢纽、公交车站等场所</w:t>
      </w:r>
      <w:r>
        <w:rPr>
          <w:rFonts w:hint="eastAsia" w:ascii="宋体" w:hAnsi="宋体"/>
          <w:kern w:val="0"/>
        </w:rPr>
        <w:t>的无障碍设施相连接。</w:t>
      </w:r>
    </w:p>
    <w:p>
      <w:pPr>
        <w:pStyle w:val="32"/>
        <w:numPr>
          <w:ilvl w:val="2"/>
          <w:numId w:val="35"/>
        </w:numPr>
        <w:ind w:firstLineChars="0"/>
        <w:rPr>
          <w:rFonts w:ascii="宋体" w:hAnsi="宋体"/>
        </w:rPr>
      </w:pPr>
      <w:r>
        <w:rPr>
          <w:rFonts w:hint="eastAsia" w:ascii="宋体" w:hAnsi="宋体"/>
        </w:rPr>
        <w:t>城市道路无障碍设施设置，应考虑全龄全民使用需求。</w:t>
      </w:r>
    </w:p>
    <w:p>
      <w:pPr>
        <w:pStyle w:val="32"/>
        <w:numPr>
          <w:ilvl w:val="1"/>
          <w:numId w:val="34"/>
        </w:numPr>
        <w:spacing w:line="360" w:lineRule="auto"/>
        <w:ind w:firstLineChars="0"/>
        <w:jc w:val="center"/>
        <w:outlineLvl w:val="1"/>
        <w:rPr>
          <w:rFonts w:ascii="宋体" w:hAnsi="宋体"/>
        </w:rPr>
      </w:pPr>
      <w:bookmarkStart w:id="160" w:name="_Toc17739942"/>
      <w:bookmarkStart w:id="161" w:name="_Toc20420186"/>
      <w:bookmarkStart w:id="162" w:name="_Toc23437774"/>
      <w:bookmarkStart w:id="163" w:name="_Toc15856"/>
      <w:bookmarkStart w:id="164" w:name="_Toc17740011"/>
      <w:r>
        <w:rPr>
          <w:rFonts w:hint="eastAsia" w:ascii="宋体" w:hAnsi="宋体"/>
        </w:rPr>
        <w:t>人行道</w:t>
      </w:r>
      <w:bookmarkEnd w:id="160"/>
      <w:bookmarkEnd w:id="161"/>
      <w:bookmarkEnd w:id="162"/>
      <w:bookmarkEnd w:id="163"/>
    </w:p>
    <w:p>
      <w:pPr>
        <w:pStyle w:val="32"/>
        <w:numPr>
          <w:ilvl w:val="0"/>
          <w:numId w:val="36"/>
        </w:numPr>
        <w:spacing w:line="360" w:lineRule="auto"/>
        <w:ind w:firstLineChars="0"/>
        <w:jc w:val="left"/>
        <w:outlineLvl w:val="2"/>
        <w:rPr>
          <w:vanish/>
        </w:rPr>
      </w:pPr>
    </w:p>
    <w:p>
      <w:pPr>
        <w:pStyle w:val="32"/>
        <w:numPr>
          <w:ilvl w:val="0"/>
          <w:numId w:val="36"/>
        </w:numPr>
        <w:spacing w:line="360" w:lineRule="auto"/>
        <w:ind w:firstLineChars="0"/>
        <w:jc w:val="left"/>
        <w:outlineLvl w:val="2"/>
        <w:rPr>
          <w:vanish/>
        </w:rPr>
      </w:pPr>
    </w:p>
    <w:p>
      <w:pPr>
        <w:pStyle w:val="32"/>
        <w:numPr>
          <w:ilvl w:val="0"/>
          <w:numId w:val="36"/>
        </w:numPr>
        <w:spacing w:line="360" w:lineRule="auto"/>
        <w:ind w:firstLineChars="0"/>
        <w:jc w:val="left"/>
        <w:outlineLvl w:val="2"/>
        <w:rPr>
          <w:vanish/>
        </w:rPr>
      </w:pPr>
    </w:p>
    <w:p>
      <w:pPr>
        <w:pStyle w:val="32"/>
        <w:numPr>
          <w:ilvl w:val="1"/>
          <w:numId w:val="36"/>
        </w:numPr>
        <w:spacing w:line="360" w:lineRule="auto"/>
        <w:ind w:firstLineChars="0"/>
        <w:jc w:val="left"/>
        <w:outlineLvl w:val="2"/>
        <w:rPr>
          <w:vanish/>
        </w:rPr>
      </w:pPr>
    </w:p>
    <w:p>
      <w:pPr>
        <w:pStyle w:val="32"/>
        <w:numPr>
          <w:ilvl w:val="2"/>
          <w:numId w:val="36"/>
        </w:numPr>
        <w:spacing w:line="360" w:lineRule="auto"/>
        <w:ind w:firstLineChars="0"/>
        <w:jc w:val="left"/>
        <w:outlineLvl w:val="2"/>
        <w:rPr>
          <w:rFonts w:ascii="宋体" w:hAnsi="宋体"/>
        </w:rPr>
      </w:pPr>
      <w:r>
        <w:t>人行道处缘石坡道</w:t>
      </w:r>
      <w:r>
        <w:rPr>
          <w:rFonts w:hint="eastAsia"/>
        </w:rPr>
        <w:t>设置</w:t>
      </w:r>
      <w:r>
        <w:t>应符合下列规定：</w:t>
      </w:r>
    </w:p>
    <w:p>
      <w:pPr>
        <w:pStyle w:val="32"/>
        <w:numPr>
          <w:ilvl w:val="0"/>
          <w:numId w:val="37"/>
        </w:numPr>
        <w:spacing w:line="360" w:lineRule="auto"/>
        <w:ind w:firstLine="424" w:firstLineChars="202"/>
        <w:jc w:val="left"/>
      </w:pPr>
      <w:r>
        <w:rPr>
          <w:rFonts w:hint="eastAsia"/>
        </w:rPr>
        <w:t>人行道在道路交叉口、出入口处与人行横道存在高差时，应设置缘石坡道</w:t>
      </w:r>
      <w:r>
        <w:t>；</w:t>
      </w:r>
    </w:p>
    <w:p>
      <w:pPr>
        <w:pStyle w:val="32"/>
        <w:numPr>
          <w:ilvl w:val="0"/>
          <w:numId w:val="37"/>
        </w:numPr>
        <w:spacing w:line="360" w:lineRule="auto"/>
        <w:ind w:firstLine="424" w:firstLineChars="202"/>
        <w:jc w:val="left"/>
      </w:pPr>
      <w:r>
        <w:t>人行横道两端必须设置缘石坡道</w:t>
      </w:r>
      <w:r>
        <w:rPr>
          <w:rFonts w:hint="eastAsia"/>
        </w:rPr>
        <w:t>;</w:t>
      </w:r>
    </w:p>
    <w:p>
      <w:pPr>
        <w:pStyle w:val="32"/>
        <w:numPr>
          <w:ilvl w:val="0"/>
          <w:numId w:val="37"/>
        </w:numPr>
        <w:spacing w:line="360" w:lineRule="auto"/>
        <w:ind w:firstLine="424" w:firstLineChars="202"/>
        <w:jc w:val="left"/>
      </w:pPr>
      <w:r>
        <w:rPr>
          <w:rFonts w:hint="eastAsia"/>
        </w:rPr>
        <w:t>交叉口规模不大时，可将相邻人行横道之间的慢行区域按照缘石坡道标准做成整体坡道，并满足本标准第4.1.2条的</w:t>
      </w:r>
      <w:r>
        <w:t>相关</w:t>
      </w:r>
      <w:r>
        <w:rPr>
          <w:rFonts w:hint="eastAsia"/>
        </w:rPr>
        <w:t>设计要求；</w:t>
      </w:r>
      <w:r>
        <w:t xml:space="preserve"> </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rPr>
      </w:pPr>
      <w:r>
        <w:rPr>
          <w:i/>
        </w:rPr>
        <w:t>第1款</w:t>
      </w:r>
      <w:r>
        <w:rPr>
          <w:rFonts w:hint="eastAsia"/>
          <w:i/>
        </w:rPr>
        <w:t xml:space="preserve"> </w:t>
      </w:r>
      <w:r>
        <w:rPr>
          <w:i/>
        </w:rPr>
        <w:t>人行道在</w:t>
      </w:r>
      <w:r>
        <w:rPr>
          <w:rFonts w:hint="eastAsia"/>
          <w:i/>
        </w:rPr>
        <w:t>道路</w:t>
      </w:r>
      <w:r>
        <w:rPr>
          <w:i/>
        </w:rPr>
        <w:t>交叉口、出入口、人行横道及桥梁、隧道、立体交叉范围等行人通行位置，通行线路存在立缘石高差的地方，均应设缘石坡道，以方便使用。</w:t>
      </w:r>
    </w:p>
    <w:p>
      <w:pPr>
        <w:spacing w:line="360" w:lineRule="auto"/>
        <w:ind w:firstLine="420" w:firstLineChars="200"/>
        <w:rPr>
          <w:i/>
        </w:rPr>
      </w:pPr>
      <w:r>
        <w:rPr>
          <w:i/>
        </w:rPr>
        <w:t>第2款</w:t>
      </w:r>
      <w:r>
        <w:rPr>
          <w:rFonts w:hint="eastAsia"/>
          <w:i/>
        </w:rPr>
        <w:t xml:space="preserve"> </w:t>
      </w:r>
      <w:r>
        <w:rPr>
          <w:i/>
        </w:rPr>
        <w:t>人行横道两端</w:t>
      </w:r>
      <w:r>
        <w:rPr>
          <w:rFonts w:hint="eastAsia"/>
          <w:i/>
        </w:rPr>
        <w:t>应</w:t>
      </w:r>
      <w:r>
        <w:rPr>
          <w:i/>
        </w:rPr>
        <w:t>设置缘石坡道，为肢体障碍者及</w:t>
      </w:r>
      <w:r>
        <w:rPr>
          <w:rFonts w:hint="eastAsia"/>
          <w:i/>
        </w:rPr>
        <w:t>全龄</w:t>
      </w:r>
      <w:r>
        <w:rPr>
          <w:i/>
        </w:rPr>
        <w:t>全民作出提示，方便人们使用。</w:t>
      </w:r>
    </w:p>
    <w:p>
      <w:pPr>
        <w:pStyle w:val="32"/>
        <w:numPr>
          <w:ilvl w:val="2"/>
          <w:numId w:val="36"/>
        </w:numPr>
        <w:spacing w:line="360" w:lineRule="auto"/>
        <w:ind w:firstLineChars="0"/>
        <w:outlineLvl w:val="2"/>
        <w:rPr>
          <w:rFonts w:ascii="宋体" w:hAnsi="宋体"/>
        </w:rPr>
      </w:pPr>
      <w:r>
        <w:t>人行道处盲道设置应符合下列规定：</w:t>
      </w:r>
    </w:p>
    <w:p>
      <w:pPr>
        <w:pStyle w:val="32"/>
        <w:numPr>
          <w:ilvl w:val="0"/>
          <w:numId w:val="38"/>
        </w:numPr>
        <w:spacing w:line="360" w:lineRule="auto"/>
        <w:ind w:firstLine="424" w:firstLineChars="202"/>
      </w:pPr>
      <w:r>
        <w:t>城市主要商业街、步行街的人行道应设置盲道；</w:t>
      </w:r>
    </w:p>
    <w:p>
      <w:pPr>
        <w:pStyle w:val="32"/>
        <w:numPr>
          <w:ilvl w:val="0"/>
          <w:numId w:val="38"/>
        </w:numPr>
        <w:spacing w:line="360" w:lineRule="auto"/>
        <w:ind w:firstLine="424" w:firstLineChars="202"/>
      </w:pPr>
      <w:r>
        <w:t>视觉障碍者集中区域周边道路应设置盲道；</w:t>
      </w:r>
    </w:p>
    <w:p>
      <w:pPr>
        <w:pStyle w:val="32"/>
        <w:numPr>
          <w:ilvl w:val="0"/>
          <w:numId w:val="38"/>
        </w:numPr>
        <w:spacing w:line="360" w:lineRule="auto"/>
        <w:ind w:firstLine="424" w:firstLineChars="202"/>
      </w:pPr>
      <w:r>
        <w:rPr>
          <w:rFonts w:hint="eastAsia"/>
        </w:rPr>
        <w:t>人行道设置行进盲道时，行进盲道在起点、终点、转弯及有需要处应设提示盲道，当行进盲道的宽度小于300mm时，提示盲道的宽度应大于行进盲道的宽度；人行道未设置行进盲道时，行进规律发生变化处应设置提示盲道，提示盲道宽度应与规律变化范围的宽度相同；</w:t>
      </w:r>
    </w:p>
    <w:p>
      <w:pPr>
        <w:pStyle w:val="38"/>
        <w:widowControl/>
        <w:numPr>
          <w:ilvl w:val="0"/>
          <w:numId w:val="38"/>
        </w:numPr>
        <w:spacing w:line="360" w:lineRule="auto"/>
        <w:ind w:firstLine="424" w:firstLineChars="202"/>
      </w:pPr>
      <w:r>
        <w:rPr>
          <w:rFonts w:hint="eastAsia"/>
        </w:rPr>
        <w:t>缘石</w:t>
      </w:r>
      <w:r>
        <w:t>坡道的上下坡边缘</w:t>
      </w:r>
      <w:r>
        <w:rPr>
          <w:rFonts w:hint="eastAsia"/>
        </w:rPr>
        <w:t>及</w:t>
      </w:r>
      <w:r>
        <w:t>交通安全岛距离车行道250mm-</w:t>
      </w:r>
      <w:r>
        <w:rPr>
          <w:rFonts w:hint="eastAsia"/>
        </w:rPr>
        <w:t>300</w:t>
      </w:r>
      <w:r>
        <w:t>mm处应设置提示盲道</w:t>
      </w:r>
      <w:r>
        <w:rPr>
          <w:rFonts w:hint="eastAsia"/>
        </w:rPr>
        <w:t>，铺设长度宜与人行横道宽度相同；</w:t>
      </w:r>
    </w:p>
    <w:p>
      <w:pPr>
        <w:pStyle w:val="32"/>
        <w:numPr>
          <w:ilvl w:val="0"/>
          <w:numId w:val="38"/>
        </w:numPr>
        <w:spacing w:line="360" w:lineRule="auto"/>
        <w:ind w:firstLine="424" w:firstLineChars="202"/>
        <w:outlineLvl w:val="3"/>
        <w:rPr>
          <w:b/>
          <w:i/>
        </w:rPr>
      </w:pPr>
      <w:r>
        <w:rPr>
          <w:rFonts w:hint="eastAsia"/>
        </w:rPr>
        <w:t>盲道范围内的检查井盖，其表面应采用盲道铺砌，保持盲道连续、顺直。</w:t>
      </w:r>
    </w:p>
    <w:p>
      <w:pPr>
        <w:pStyle w:val="32"/>
        <w:spacing w:line="360" w:lineRule="auto"/>
        <w:ind w:firstLine="422"/>
        <w:outlineLvl w:val="3"/>
        <w:rPr>
          <w:b/>
          <w:i/>
        </w:rPr>
      </w:pPr>
      <w:r>
        <w:rPr>
          <w:rFonts w:hint="eastAsia"/>
          <w:b/>
          <w:i/>
        </w:rPr>
        <w:t>条文说明</w:t>
      </w:r>
    </w:p>
    <w:p>
      <w:pPr>
        <w:pStyle w:val="32"/>
        <w:spacing w:line="360" w:lineRule="auto"/>
        <w:outlineLvl w:val="3"/>
        <w:rPr>
          <w:rFonts w:ascii="宋体" w:hAnsi="宋体"/>
          <w:i/>
        </w:rPr>
      </w:pPr>
      <w:r>
        <w:rPr>
          <w:i/>
        </w:rPr>
        <w:t>第1、2款</w:t>
      </w:r>
      <w:r>
        <w:rPr>
          <w:rFonts w:hint="eastAsia"/>
          <w:i/>
        </w:rPr>
        <w:t xml:space="preserve"> </w:t>
      </w:r>
      <w:r>
        <w:rPr>
          <w:i/>
        </w:rPr>
        <w:t>盲道及其他信息设施的布置，要为</w:t>
      </w:r>
      <w:r>
        <w:rPr>
          <w:rFonts w:hint="eastAsia"/>
          <w:i/>
        </w:rPr>
        <w:t>视觉障碍者</w:t>
      </w:r>
      <w:r>
        <w:rPr>
          <w:i/>
        </w:rPr>
        <w:t>通行的连续性和安全性提供保证。因此在城市主要商业街、步行街的人行道及视觉障碍者集中区域(指视觉障碍者人数占该区域人数比例</w:t>
      </w:r>
      <w:r>
        <w:rPr>
          <w:rFonts w:hint="eastAsia"/>
          <w:i/>
        </w:rPr>
        <w:t>1.</w:t>
      </w:r>
      <w:r>
        <w:rPr>
          <w:i/>
        </w:rPr>
        <w:t>5％以上的区域，如盲人学校、盲人工厂、医院等)的人行道需设置盲道，协助</w:t>
      </w:r>
      <w:r>
        <w:rPr>
          <w:rFonts w:hint="eastAsia"/>
          <w:i/>
        </w:rPr>
        <w:t>视觉障碍</w:t>
      </w:r>
      <w:r>
        <w:rPr>
          <w:i/>
        </w:rPr>
        <w:t>者通过盲杖和脚感的触觉，方便安全地行走。</w:t>
      </w:r>
    </w:p>
    <w:p>
      <w:pPr>
        <w:pStyle w:val="38"/>
        <w:widowControl/>
        <w:spacing w:line="360" w:lineRule="auto"/>
        <w:rPr>
          <w:i/>
        </w:rPr>
      </w:pPr>
      <w:r>
        <w:rPr>
          <w:i/>
        </w:rPr>
        <w:t>第4款</w:t>
      </w:r>
      <w:r>
        <w:rPr>
          <w:rFonts w:hint="eastAsia" w:ascii="宋体" w:hAnsi="宋体" w:cs="宋体"/>
          <w:i/>
          <w:iCs/>
          <w:kern w:val="0"/>
        </w:rPr>
        <w:t xml:space="preserve"> 提示盲道宜双排铺置，铺设长度与规律变化范围长度相对应。</w:t>
      </w:r>
      <w:r>
        <w:rPr>
          <w:i/>
        </w:rPr>
        <w:t>为视觉障碍者及</w:t>
      </w:r>
      <w:r>
        <w:rPr>
          <w:rFonts w:hint="eastAsia"/>
          <w:i/>
        </w:rPr>
        <w:t>全龄</w:t>
      </w:r>
      <w:r>
        <w:rPr>
          <w:i/>
        </w:rPr>
        <w:t>全民作出提示，方便人们使用。</w:t>
      </w:r>
    </w:p>
    <w:p>
      <w:pPr>
        <w:pStyle w:val="32"/>
        <w:numPr>
          <w:ilvl w:val="2"/>
          <w:numId w:val="36"/>
        </w:numPr>
        <w:spacing w:line="360" w:lineRule="auto"/>
        <w:ind w:firstLineChars="0"/>
        <w:outlineLvl w:val="2"/>
        <w:rPr>
          <w:rFonts w:ascii="宋体" w:hAnsi="宋体"/>
        </w:rPr>
      </w:pPr>
      <w:r>
        <w:t>人行道的轮椅坡道设置应符合下列规定：</w:t>
      </w:r>
    </w:p>
    <w:p>
      <w:pPr>
        <w:pStyle w:val="32"/>
        <w:numPr>
          <w:ilvl w:val="0"/>
          <w:numId w:val="39"/>
        </w:numPr>
        <w:spacing w:line="360" w:lineRule="auto"/>
        <w:ind w:firstLine="424" w:firstLineChars="202"/>
      </w:pPr>
      <w:r>
        <w:rPr>
          <w:rFonts w:hint="eastAsia"/>
        </w:rPr>
        <w:t>人行道</w:t>
      </w:r>
      <w:r>
        <w:t>中高差宜采用</w:t>
      </w:r>
      <w:r>
        <w:rPr>
          <w:rFonts w:hint="eastAsia"/>
        </w:rPr>
        <w:t>不大于1:12的坡道处理，</w:t>
      </w:r>
      <w:r>
        <w:t>人行道设置台阶处，应同时设置轮椅坡道；</w:t>
      </w:r>
    </w:p>
    <w:p>
      <w:pPr>
        <w:pStyle w:val="32"/>
        <w:numPr>
          <w:ilvl w:val="0"/>
          <w:numId w:val="39"/>
        </w:numPr>
        <w:spacing w:line="360" w:lineRule="auto"/>
        <w:ind w:firstLine="424" w:firstLineChars="202"/>
      </w:pPr>
      <w:r>
        <w:t>轮椅坡道的设置应避免干扰行人通行及其他设施的使用。</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rPr>
      </w:pPr>
      <w:r>
        <w:rPr>
          <w:rFonts w:hint="eastAsia"/>
          <w:i/>
        </w:rPr>
        <w:t>人行道存在高差、尤其是高差不大的情况下，采用台阶衔接，不利于轮椅使用</w:t>
      </w:r>
      <w:r>
        <w:rPr>
          <w:i/>
        </w:rPr>
        <w:t>者</w:t>
      </w:r>
      <w:r>
        <w:rPr>
          <w:rFonts w:hint="eastAsia"/>
          <w:i/>
        </w:rPr>
        <w:t>和携婴儿车者等人士通行。如果采用台阶衔接，则应同时设置轮椅坡道。</w:t>
      </w:r>
      <w:r>
        <w:rPr>
          <w:i/>
        </w:rPr>
        <w:t>坡道设置时应避免与行人通行产生矛盾，在设施布置时，尽量避免轮椅坡道通行方向与行人通行方向产生交叉</w:t>
      </w:r>
      <w:r>
        <w:rPr>
          <w:rFonts w:hint="eastAsia"/>
          <w:i/>
        </w:rPr>
        <w:t>，</w:t>
      </w:r>
      <w:r>
        <w:rPr>
          <w:i/>
        </w:rPr>
        <w:t>尽可能使两个通行流线相平行。</w:t>
      </w:r>
    </w:p>
    <w:p>
      <w:pPr>
        <w:pStyle w:val="32"/>
        <w:numPr>
          <w:ilvl w:val="2"/>
          <w:numId w:val="36"/>
        </w:numPr>
        <w:spacing w:line="360" w:lineRule="auto"/>
        <w:ind w:firstLineChars="0"/>
        <w:outlineLvl w:val="2"/>
        <w:rPr>
          <w:rFonts w:ascii="宋体" w:hAnsi="宋体"/>
        </w:rPr>
      </w:pPr>
      <w:r>
        <w:t>人行道处</w:t>
      </w:r>
      <w:r>
        <w:rPr>
          <w:rFonts w:hint="eastAsia"/>
        </w:rPr>
        <w:t>其他</w:t>
      </w:r>
      <w:r>
        <w:t>设施设置应符合下列规定：</w:t>
      </w:r>
    </w:p>
    <w:p>
      <w:pPr>
        <w:pStyle w:val="32"/>
        <w:numPr>
          <w:ilvl w:val="0"/>
          <w:numId w:val="40"/>
        </w:numPr>
        <w:spacing w:line="360" w:lineRule="auto"/>
        <w:ind w:firstLine="424" w:firstLineChars="202"/>
      </w:pPr>
      <w:r>
        <w:t>设置信息服务设施，宜</w:t>
      </w:r>
      <w:r>
        <w:rPr>
          <w:rFonts w:hint="eastAsia"/>
        </w:rPr>
        <w:t>结合</w:t>
      </w:r>
      <w:r>
        <w:t>互联网技术建立信息服务系统，为听觉、视觉障碍者</w:t>
      </w:r>
      <w:r>
        <w:rPr>
          <w:rFonts w:hint="eastAsia"/>
        </w:rPr>
        <w:t>提供</w:t>
      </w:r>
      <w:r>
        <w:t>建筑信息、通行导航和应急救援等信息内容；宜为视觉障碍者提供</w:t>
      </w:r>
      <w:r>
        <w:rPr>
          <w:rFonts w:hint="eastAsia"/>
        </w:rPr>
        <w:t>触觉、</w:t>
      </w:r>
      <w:r>
        <w:t>听觉一体化信息导识设施；</w:t>
      </w:r>
    </w:p>
    <w:p>
      <w:pPr>
        <w:pStyle w:val="32"/>
        <w:numPr>
          <w:ilvl w:val="0"/>
          <w:numId w:val="40"/>
        </w:numPr>
        <w:spacing w:line="360" w:lineRule="auto"/>
        <w:ind w:firstLine="424" w:firstLineChars="202"/>
      </w:pPr>
      <w:r>
        <w:t>低位服务设施的设置，应方便</w:t>
      </w:r>
      <w:r>
        <w:rPr>
          <w:rFonts w:hint="eastAsia"/>
        </w:rPr>
        <w:t>轮椅使用者</w:t>
      </w:r>
      <w:r>
        <w:t>的使用</w:t>
      </w:r>
      <w:r>
        <w:rPr>
          <w:rFonts w:hint="eastAsia"/>
        </w:rPr>
        <w:t>；</w:t>
      </w:r>
    </w:p>
    <w:p>
      <w:pPr>
        <w:pStyle w:val="32"/>
        <w:numPr>
          <w:ilvl w:val="0"/>
          <w:numId w:val="40"/>
        </w:numPr>
        <w:spacing w:line="360" w:lineRule="auto"/>
        <w:ind w:firstLine="424" w:firstLineChars="202"/>
      </w:pPr>
      <w:r>
        <w:t>设置休息座椅时，应设置轮椅停留空间</w:t>
      </w:r>
      <w:r>
        <w:rPr>
          <w:rFonts w:hint="eastAsia"/>
        </w:rPr>
        <w:t>，</w:t>
      </w:r>
      <w:r>
        <w:rPr>
          <w:rFonts w:hint="eastAsia" w:ascii="宋体" w:hAnsi="宋体" w:cs="宋体"/>
          <w:kern w:val="0"/>
          <w:lang w:bidi="ar"/>
        </w:rPr>
        <w:t>其水平长度不应小于1500mm</w:t>
      </w:r>
      <w:r>
        <w:rPr>
          <w:rFonts w:hint="eastAsia" w:cs="宋体"/>
          <w:lang w:bidi="ar"/>
        </w:rPr>
        <w:t>；</w:t>
      </w:r>
    </w:p>
    <w:p>
      <w:pPr>
        <w:pStyle w:val="17"/>
        <w:numPr>
          <w:ilvl w:val="0"/>
          <w:numId w:val="40"/>
        </w:numPr>
        <w:spacing w:before="0" w:beforeAutospacing="0" w:after="0" w:afterAutospacing="0" w:line="360" w:lineRule="auto"/>
        <w:ind w:firstLine="424" w:firstLineChars="202"/>
      </w:pPr>
      <w:r>
        <w:rPr>
          <w:rFonts w:hint="eastAsia" w:cs="宋体"/>
          <w:kern w:val="0"/>
          <w:lang w:bidi="ar"/>
        </w:rPr>
        <w:t>灯柱、长椅或标志杆等设施放置位置不应占用行人有效通行空间</w:t>
      </w:r>
      <w:r>
        <w:rPr>
          <w:rFonts w:hint="eastAsia" w:ascii="Calibri" w:hAnsi="Calibri" w:cs="宋体"/>
          <w:lang w:bidi="ar"/>
        </w:rPr>
        <w:t>；</w:t>
      </w:r>
    </w:p>
    <w:p>
      <w:pPr>
        <w:pStyle w:val="17"/>
        <w:numPr>
          <w:ilvl w:val="0"/>
          <w:numId w:val="40"/>
        </w:numPr>
        <w:spacing w:before="0" w:beforeAutospacing="0" w:after="0" w:afterAutospacing="0" w:line="360" w:lineRule="auto"/>
        <w:ind w:firstLine="424" w:firstLineChars="202"/>
        <w:rPr>
          <w:rFonts w:cs="宋体"/>
        </w:rPr>
      </w:pPr>
      <w:r>
        <w:rPr>
          <w:rFonts w:hint="eastAsia" w:cs="宋体"/>
          <w:kern w:val="0"/>
          <w:lang w:bidi="ar"/>
        </w:rPr>
        <w:t>人行道应提供充足的照明或地脚灯</w:t>
      </w:r>
      <w:r>
        <w:rPr>
          <w:rFonts w:hint="eastAsia" w:cs="宋体"/>
          <w:lang w:bidi="ar"/>
        </w:rPr>
        <w:t>；</w:t>
      </w:r>
    </w:p>
    <w:p>
      <w:pPr>
        <w:pStyle w:val="17"/>
        <w:numPr>
          <w:ilvl w:val="0"/>
          <w:numId w:val="40"/>
        </w:numPr>
        <w:spacing w:before="0" w:beforeAutospacing="0" w:after="0" w:afterAutospacing="0" w:line="360" w:lineRule="auto"/>
        <w:ind w:firstLine="424" w:firstLineChars="202"/>
      </w:pPr>
      <w:r>
        <w:rPr>
          <w:rFonts w:hint="eastAsia" w:ascii="Calibri" w:hAnsi="Calibri" w:cs="宋体"/>
          <w:lang w:bidi="ar"/>
        </w:rPr>
        <w:t>室外地面滤水箅子格缝宽度不应大于</w:t>
      </w:r>
      <w:r>
        <w:rPr>
          <w:rFonts w:ascii="Calibri" w:hAnsi="Calibri" w:cs="Calibri"/>
          <w:lang w:bidi="ar"/>
        </w:rPr>
        <w:t>15mm</w:t>
      </w:r>
      <w:r>
        <w:rPr>
          <w:rFonts w:hint="eastAsia" w:ascii="Calibri" w:hAnsi="Calibri" w:cs="宋体"/>
          <w:lang w:bidi="ar"/>
        </w:rPr>
        <w:t>，格缝的排列方向应与通行方向垂直。</w:t>
      </w:r>
    </w:p>
    <w:p>
      <w:pPr>
        <w:pStyle w:val="32"/>
        <w:spacing w:line="360" w:lineRule="auto"/>
        <w:ind w:firstLine="0" w:firstLineChars="0"/>
        <w:outlineLvl w:val="3"/>
        <w:rPr>
          <w:b/>
          <w:i/>
        </w:rPr>
      </w:pPr>
      <w:r>
        <w:rPr>
          <w:rFonts w:hint="eastAsia"/>
          <w:b/>
          <w:i/>
        </w:rPr>
        <w:t>条文说明</w:t>
      </w:r>
    </w:p>
    <w:p>
      <w:pPr>
        <w:pStyle w:val="32"/>
        <w:spacing w:line="360" w:lineRule="auto"/>
        <w:rPr>
          <w:rFonts w:ascii="宋体" w:hAnsi="宋体"/>
          <w:i/>
        </w:rPr>
      </w:pPr>
      <w:r>
        <w:rPr>
          <w:i/>
        </w:rPr>
        <w:t>人行道范围内的</w:t>
      </w:r>
      <w:r>
        <w:rPr>
          <w:i/>
          <w:iCs/>
        </w:rPr>
        <w:t>服务设施的设置应为残障人士提供方便</w:t>
      </w:r>
      <w:r>
        <w:rPr>
          <w:rFonts w:hint="eastAsia"/>
          <w:i/>
          <w:iCs/>
        </w:rPr>
        <w:t>，</w:t>
      </w:r>
      <w:r>
        <w:rPr>
          <w:i/>
        </w:rPr>
        <w:t>是保证残障人士平等参与社会活动的重要保障设施，服务设施宜针对视觉障碍者、听觉障碍者及肢体障碍者等不同类型的障碍者分别进行考虑，满足各类行动障碍者的服务需求。</w:t>
      </w:r>
    </w:p>
    <w:p>
      <w:pPr>
        <w:pStyle w:val="32"/>
        <w:numPr>
          <w:ilvl w:val="1"/>
          <w:numId w:val="36"/>
        </w:numPr>
        <w:spacing w:line="360" w:lineRule="auto"/>
        <w:ind w:firstLineChars="0"/>
        <w:jc w:val="center"/>
        <w:outlineLvl w:val="1"/>
        <w:rPr>
          <w:rFonts w:ascii="宋体" w:hAnsi="宋体"/>
        </w:rPr>
      </w:pPr>
      <w:bookmarkStart w:id="165" w:name="_Toc20420187"/>
      <w:bookmarkStart w:id="166" w:name="_Toc17739945"/>
      <w:bookmarkStart w:id="167" w:name="_Toc24334"/>
      <w:bookmarkStart w:id="168" w:name="_Toc23437775"/>
      <w:r>
        <w:rPr>
          <w:rFonts w:hint="eastAsia" w:ascii="宋体" w:hAnsi="宋体"/>
        </w:rPr>
        <w:t>人行横道</w:t>
      </w:r>
      <w:bookmarkEnd w:id="165"/>
      <w:bookmarkEnd w:id="166"/>
      <w:bookmarkEnd w:id="167"/>
      <w:bookmarkEnd w:id="168"/>
    </w:p>
    <w:p>
      <w:pPr>
        <w:pStyle w:val="32"/>
        <w:numPr>
          <w:ilvl w:val="2"/>
          <w:numId w:val="36"/>
        </w:numPr>
        <w:spacing w:line="360" w:lineRule="auto"/>
        <w:ind w:firstLineChars="0"/>
        <w:outlineLvl w:val="2"/>
        <w:rPr>
          <w:rFonts w:ascii="宋体" w:hAnsi="宋体"/>
        </w:rPr>
      </w:pPr>
      <w:r>
        <w:t>人行横道范围内的无障碍设计应符合下列规定：</w:t>
      </w:r>
    </w:p>
    <w:p>
      <w:pPr>
        <w:pStyle w:val="32"/>
        <w:numPr>
          <w:ilvl w:val="0"/>
          <w:numId w:val="41"/>
        </w:numPr>
        <w:spacing w:line="360" w:lineRule="auto"/>
        <w:ind w:firstLine="424" w:firstLineChars="202"/>
      </w:pPr>
      <w:r>
        <w:t>人行横道宽度应满足轮椅通行需求；</w:t>
      </w:r>
    </w:p>
    <w:p>
      <w:pPr>
        <w:pStyle w:val="32"/>
        <w:numPr>
          <w:ilvl w:val="0"/>
          <w:numId w:val="41"/>
        </w:numPr>
        <w:spacing w:line="360" w:lineRule="auto"/>
        <w:ind w:firstLine="424" w:firstLineChars="202"/>
      </w:pPr>
      <w:r>
        <w:rPr>
          <w:rFonts w:hint="eastAsia"/>
        </w:rPr>
        <w:t>交通安全岛通行区域宜与机动车道路面齐平，方便车辆推行，但应满足排水要求；</w:t>
      </w:r>
    </w:p>
    <w:p>
      <w:pPr>
        <w:pStyle w:val="32"/>
        <w:numPr>
          <w:ilvl w:val="0"/>
          <w:numId w:val="41"/>
        </w:numPr>
        <w:spacing w:line="360" w:lineRule="auto"/>
        <w:ind w:firstLine="424" w:firstLineChars="202"/>
      </w:pPr>
      <w:r>
        <w:t>城市中心区及视觉障碍者集中区域的人行横道，应配置过街</w:t>
      </w:r>
      <w:r>
        <w:rPr>
          <w:rFonts w:hint="eastAsia"/>
        </w:rPr>
        <w:t>触觉、</w:t>
      </w:r>
      <w:r>
        <w:t>听觉一体化信息导识装置。</w:t>
      </w:r>
    </w:p>
    <w:p>
      <w:pPr>
        <w:pStyle w:val="32"/>
        <w:spacing w:line="360" w:lineRule="auto"/>
        <w:ind w:firstLine="0" w:firstLineChars="0"/>
        <w:rPr>
          <w:b/>
          <w:i/>
        </w:rPr>
      </w:pPr>
      <w:r>
        <w:rPr>
          <w:rFonts w:hint="eastAsia"/>
          <w:b/>
          <w:i/>
        </w:rPr>
        <w:t>条文说明</w:t>
      </w:r>
    </w:p>
    <w:p>
      <w:pPr>
        <w:pStyle w:val="32"/>
        <w:spacing w:line="360" w:lineRule="auto"/>
        <w:rPr>
          <w:rFonts w:ascii="宋体" w:hAnsi="宋体"/>
          <w:i/>
        </w:rPr>
      </w:pPr>
      <w:r>
        <w:rPr>
          <w:i/>
        </w:rPr>
        <w:t>第1款</w:t>
      </w:r>
      <w:r>
        <w:rPr>
          <w:rFonts w:hint="eastAsia"/>
          <w:i/>
        </w:rPr>
        <w:t xml:space="preserve"> </w:t>
      </w:r>
      <w:r>
        <w:rPr>
          <w:i/>
        </w:rPr>
        <w:t>在医院、大剧院、老年人公寓等特殊区域，轮椅使用数量相对较多，人行横道的宽度还要考虑满足一定数量轮椅同时通行的需求，避免产生安全隐患。</w:t>
      </w:r>
    </w:p>
    <w:p>
      <w:pPr>
        <w:spacing w:line="360" w:lineRule="auto"/>
        <w:ind w:firstLine="420" w:firstLineChars="200"/>
        <w:rPr>
          <w:i/>
        </w:rPr>
      </w:pPr>
      <w:r>
        <w:rPr>
          <w:i/>
        </w:rPr>
        <w:t>第2款</w:t>
      </w:r>
      <w:r>
        <w:rPr>
          <w:rFonts w:hint="eastAsia"/>
          <w:i/>
        </w:rPr>
        <w:t xml:space="preserve"> </w:t>
      </w:r>
      <w:r>
        <w:rPr>
          <w:i/>
        </w:rPr>
        <w:t>人行横道中间的安全岛需要考虑与车行道同高或安全岛两侧设置缘石坡道，并从通行宽度方面给予要求。</w:t>
      </w:r>
      <w:r>
        <w:rPr>
          <w:rFonts w:hint="eastAsia"/>
          <w:i/>
        </w:rPr>
        <w:t>目前深圳市已建成的交通安全岛，高出车行道的现象非常普遍，尽管满足了人行安全和避免水淹的要求，但对轮椅者使用者、携婴儿车者等人士的通行造成了极大不便，因此本条对设计予以规定。</w:t>
      </w:r>
    </w:p>
    <w:p>
      <w:pPr>
        <w:pStyle w:val="32"/>
        <w:spacing w:line="360" w:lineRule="auto"/>
        <w:rPr>
          <w:i/>
        </w:rPr>
      </w:pPr>
      <w:r>
        <w:rPr>
          <w:i/>
        </w:rPr>
        <w:t>第3款</w:t>
      </w:r>
      <w:r>
        <w:rPr>
          <w:rFonts w:hint="eastAsia"/>
          <w:i/>
        </w:rPr>
        <w:t xml:space="preserve"> 触觉、</w:t>
      </w:r>
      <w:r>
        <w:rPr>
          <w:i/>
        </w:rPr>
        <w:t>听觉一体化信息导识</w:t>
      </w:r>
      <w:r>
        <w:rPr>
          <w:rFonts w:hint="eastAsia"/>
          <w:i/>
        </w:rPr>
        <w:t>装置</w:t>
      </w:r>
      <w:r>
        <w:rPr>
          <w:i/>
        </w:rPr>
        <w:t>需要为视觉障碍者的通行提供有效的帮助，</w:t>
      </w:r>
      <w:r>
        <w:rPr>
          <w:rFonts w:hint="eastAsia"/>
          <w:i/>
        </w:rPr>
        <w:t>触觉</w:t>
      </w:r>
      <w:r>
        <w:rPr>
          <w:i/>
        </w:rPr>
        <w:t>导识包括</w:t>
      </w:r>
      <w:r>
        <w:rPr>
          <w:rFonts w:hint="eastAsia"/>
          <w:i/>
        </w:rPr>
        <w:t>盲文地图、盲文铭牌</w:t>
      </w:r>
      <w:r>
        <w:rPr>
          <w:i/>
        </w:rPr>
        <w:t>等，能够完整地提供空间信息</w:t>
      </w:r>
      <w:r>
        <w:rPr>
          <w:rFonts w:hint="eastAsia"/>
          <w:i/>
        </w:rPr>
        <w:t>。听觉导识包括</w:t>
      </w:r>
      <w:r>
        <w:rPr>
          <w:i/>
        </w:rPr>
        <w:t>语音提示器</w:t>
      </w:r>
      <w:r>
        <w:rPr>
          <w:rFonts w:hint="eastAsia"/>
          <w:i/>
        </w:rPr>
        <w:t>等，</w:t>
      </w:r>
      <w:r>
        <w:rPr>
          <w:i/>
        </w:rPr>
        <w:t>宜与触觉导识组合使用，设置时应考虑发信声音方向、大小和各个声源发出声音的</w:t>
      </w:r>
      <w:r>
        <w:rPr>
          <w:rFonts w:hint="eastAsia"/>
          <w:i/>
        </w:rPr>
        <w:t>时间</w:t>
      </w:r>
      <w:r>
        <w:rPr>
          <w:i/>
        </w:rPr>
        <w:t>等，避免不同听觉导识之间的发信声音对使用者产生干扰。</w:t>
      </w:r>
      <w:r>
        <w:rPr>
          <w:rFonts w:hint="eastAsia"/>
          <w:i/>
        </w:rPr>
        <w:t>触觉、听觉一体化信息导识装置</w:t>
      </w:r>
      <w:r>
        <w:rPr>
          <w:i/>
        </w:rPr>
        <w:t>在路段</w:t>
      </w:r>
      <w:r>
        <w:rPr>
          <w:rFonts w:hint="eastAsia"/>
          <w:i/>
        </w:rPr>
        <w:t>设置</w:t>
      </w:r>
      <w:r>
        <w:rPr>
          <w:i/>
        </w:rPr>
        <w:t>时应提供是否通行和还有多长的通行时间等信息，在路口还需增加通行方向的信息。通过为视觉障碍者提供相关的信息，保证过街的安全性。</w:t>
      </w:r>
    </w:p>
    <w:p>
      <w:pPr>
        <w:pStyle w:val="32"/>
        <w:numPr>
          <w:ilvl w:val="1"/>
          <w:numId w:val="36"/>
        </w:numPr>
        <w:spacing w:line="360" w:lineRule="auto"/>
        <w:ind w:firstLineChars="0"/>
        <w:jc w:val="center"/>
        <w:outlineLvl w:val="1"/>
        <w:rPr>
          <w:rFonts w:ascii="宋体" w:hAnsi="宋体"/>
        </w:rPr>
      </w:pPr>
      <w:bookmarkStart w:id="169" w:name="_Toc20420188"/>
      <w:bookmarkStart w:id="170" w:name="_Toc23437776"/>
      <w:r>
        <w:rPr>
          <w:rFonts w:hint="eastAsia" w:ascii="宋体" w:hAnsi="宋体"/>
        </w:rPr>
        <w:t>人行天桥及地道</w:t>
      </w:r>
      <w:bookmarkEnd w:id="169"/>
      <w:bookmarkEnd w:id="170"/>
    </w:p>
    <w:p>
      <w:pPr>
        <w:pStyle w:val="32"/>
        <w:numPr>
          <w:ilvl w:val="2"/>
          <w:numId w:val="36"/>
        </w:numPr>
        <w:spacing w:line="360" w:lineRule="auto"/>
        <w:ind w:firstLineChars="0"/>
        <w:outlineLvl w:val="2"/>
        <w:rPr>
          <w:rFonts w:ascii="宋体" w:hAnsi="宋体" w:cs="宋体"/>
        </w:rPr>
      </w:pPr>
      <w:r>
        <w:rPr>
          <w:rFonts w:hint="eastAsia" w:ascii="宋体" w:hAnsi="宋体" w:cs="宋体"/>
          <w:kern w:val="0"/>
          <w:lang w:bidi="ar"/>
        </w:rPr>
        <w:t>人行天桥及地道扶梯与地面人行道连接处有高差时，应设置坡道接顺。</w:t>
      </w:r>
    </w:p>
    <w:p>
      <w:pPr>
        <w:pStyle w:val="32"/>
        <w:numPr>
          <w:ilvl w:val="2"/>
          <w:numId w:val="36"/>
        </w:numPr>
        <w:spacing w:line="360" w:lineRule="auto"/>
        <w:ind w:firstLineChars="0"/>
        <w:outlineLvl w:val="2"/>
        <w:rPr>
          <w:rFonts w:ascii="宋体" w:hAnsi="宋体"/>
          <w:lang w:bidi="ar"/>
        </w:rPr>
      </w:pPr>
      <w:r>
        <w:rPr>
          <w:rFonts w:hint="eastAsia" w:ascii="宋体" w:hAnsi="宋体" w:cs="宋体"/>
        </w:rPr>
        <w:t>踏步</w:t>
      </w:r>
      <w:r>
        <w:rPr>
          <w:rFonts w:hint="eastAsia" w:ascii="宋体" w:hAnsi="宋体"/>
          <w:lang w:bidi="ar"/>
        </w:rPr>
        <w:t>应采用对比颜色的级面突缘，利于视觉障碍者使用楼梯。</w:t>
      </w:r>
    </w:p>
    <w:p>
      <w:pPr>
        <w:widowControl/>
        <w:jc w:val="left"/>
        <w:rPr>
          <w:rFonts w:ascii="宋体" w:hAnsi="宋体"/>
          <w:lang w:bidi="ar"/>
        </w:rPr>
      </w:pPr>
      <w:r>
        <w:rPr>
          <w:rFonts w:ascii="宋体" w:hAnsi="宋体"/>
          <w:lang w:bidi="ar"/>
        </w:rPr>
        <w:br w:type="page"/>
      </w:r>
    </w:p>
    <w:p>
      <w:pPr>
        <w:pStyle w:val="32"/>
        <w:numPr>
          <w:ilvl w:val="0"/>
          <w:numId w:val="42"/>
        </w:numPr>
        <w:spacing w:line="360" w:lineRule="auto"/>
        <w:ind w:firstLineChars="0"/>
        <w:jc w:val="center"/>
        <w:outlineLvl w:val="0"/>
        <w:rPr>
          <w:rFonts w:ascii="Times New Roman" w:hAnsi="Times New Roman" w:cs="Times New Roman"/>
          <w:b/>
          <w:bCs/>
          <w:sz w:val="32"/>
          <w:szCs w:val="32"/>
        </w:rPr>
      </w:pPr>
      <w:bookmarkStart w:id="171" w:name="_Toc20420189"/>
      <w:bookmarkStart w:id="172" w:name="_Toc3670"/>
      <w:bookmarkStart w:id="173" w:name="_Toc23437777"/>
      <w:bookmarkStart w:id="174" w:name="_Toc17740012"/>
      <w:bookmarkStart w:id="175" w:name="_Toc30709"/>
      <w:r>
        <w:rPr>
          <w:rFonts w:hint="eastAsia" w:ascii="Times New Roman" w:hAnsi="Times New Roman" w:cs="Times New Roman"/>
          <w:b/>
          <w:bCs/>
          <w:sz w:val="32"/>
          <w:szCs w:val="32"/>
        </w:rPr>
        <w:t>城市广场</w:t>
      </w:r>
      <w:bookmarkEnd w:id="171"/>
      <w:bookmarkEnd w:id="172"/>
      <w:bookmarkEnd w:id="173"/>
      <w:bookmarkEnd w:id="174"/>
    </w:p>
    <w:p>
      <w:pPr>
        <w:pStyle w:val="32"/>
        <w:numPr>
          <w:ilvl w:val="0"/>
          <w:numId w:val="36"/>
        </w:numPr>
        <w:spacing w:line="360" w:lineRule="auto"/>
        <w:ind w:firstLineChars="0"/>
        <w:outlineLvl w:val="1"/>
        <w:rPr>
          <w:rFonts w:ascii="宋体" w:hAnsi="宋体"/>
          <w:vanish/>
        </w:rPr>
      </w:pPr>
      <w:bookmarkStart w:id="176" w:name="_Toc19732733"/>
      <w:bookmarkEnd w:id="176"/>
      <w:bookmarkStart w:id="177" w:name="_Toc23437778"/>
      <w:bookmarkEnd w:id="177"/>
      <w:bookmarkStart w:id="178" w:name="_Toc19737492"/>
      <w:bookmarkEnd w:id="178"/>
      <w:bookmarkStart w:id="179" w:name="_Toc19732659"/>
      <w:bookmarkEnd w:id="179"/>
      <w:bookmarkStart w:id="180" w:name="_Toc19732258"/>
      <w:bookmarkEnd w:id="180"/>
      <w:bookmarkStart w:id="181" w:name="_Toc19732622"/>
      <w:bookmarkEnd w:id="181"/>
      <w:bookmarkStart w:id="182" w:name="_Toc19736311"/>
      <w:bookmarkEnd w:id="182"/>
      <w:bookmarkStart w:id="183" w:name="_Toc19732786"/>
      <w:bookmarkEnd w:id="183"/>
      <w:bookmarkStart w:id="184" w:name="_Toc19732696"/>
      <w:bookmarkEnd w:id="184"/>
      <w:bookmarkStart w:id="185" w:name="_Toc20420191"/>
      <w:bookmarkEnd w:id="185"/>
      <w:bookmarkStart w:id="186" w:name="_Toc19732621"/>
      <w:bookmarkEnd w:id="186"/>
      <w:bookmarkStart w:id="187" w:name="_Toc19732658"/>
      <w:bookmarkEnd w:id="187"/>
      <w:bookmarkStart w:id="188" w:name="_Toc19732695"/>
      <w:bookmarkEnd w:id="188"/>
      <w:bookmarkStart w:id="189" w:name="_Toc19732732"/>
      <w:bookmarkEnd w:id="189"/>
      <w:bookmarkStart w:id="190" w:name="_Toc19737491"/>
      <w:bookmarkEnd w:id="190"/>
      <w:bookmarkStart w:id="191" w:name="_Toc19732785"/>
      <w:bookmarkEnd w:id="191"/>
      <w:bookmarkStart w:id="192" w:name="_Toc19736310"/>
      <w:bookmarkEnd w:id="192"/>
      <w:bookmarkStart w:id="193" w:name="_Toc20420190"/>
      <w:bookmarkEnd w:id="193"/>
      <w:bookmarkStart w:id="194" w:name="_Toc19635232"/>
      <w:bookmarkEnd w:id="194"/>
      <w:bookmarkStart w:id="195" w:name="_Toc19635231"/>
      <w:bookmarkEnd w:id="195"/>
      <w:bookmarkStart w:id="196" w:name="_Toc19732257"/>
      <w:bookmarkEnd w:id="196"/>
      <w:bookmarkStart w:id="197" w:name="_Toc18752865"/>
      <w:bookmarkEnd w:id="197"/>
      <w:bookmarkStart w:id="198" w:name="_Toc19175466"/>
      <w:bookmarkEnd w:id="198"/>
      <w:bookmarkStart w:id="199" w:name="_Toc19175500"/>
      <w:bookmarkEnd w:id="199"/>
      <w:bookmarkStart w:id="200" w:name="_Toc19195249"/>
      <w:bookmarkEnd w:id="200"/>
      <w:bookmarkStart w:id="201" w:name="_Toc19195336"/>
      <w:bookmarkEnd w:id="201"/>
      <w:bookmarkStart w:id="202" w:name="_Toc19195301"/>
      <w:bookmarkEnd w:id="202"/>
      <w:bookmarkStart w:id="203" w:name="_Toc18751873"/>
      <w:bookmarkEnd w:id="203"/>
      <w:bookmarkStart w:id="204" w:name="_Toc18751768"/>
      <w:bookmarkEnd w:id="204"/>
      <w:bookmarkStart w:id="205" w:name="_Toc18752588"/>
      <w:bookmarkEnd w:id="205"/>
      <w:bookmarkStart w:id="206" w:name="_Toc18751910"/>
      <w:bookmarkEnd w:id="206"/>
      <w:bookmarkStart w:id="207" w:name="_Toc18751836"/>
      <w:bookmarkEnd w:id="207"/>
      <w:bookmarkStart w:id="208" w:name="_Toc14832"/>
    </w:p>
    <w:p>
      <w:pPr>
        <w:pStyle w:val="32"/>
        <w:numPr>
          <w:ilvl w:val="1"/>
          <w:numId w:val="43"/>
        </w:numPr>
        <w:spacing w:line="360" w:lineRule="auto"/>
        <w:ind w:firstLineChars="0"/>
        <w:jc w:val="center"/>
        <w:outlineLvl w:val="1"/>
        <w:rPr>
          <w:rFonts w:ascii="宋体" w:hAnsi="宋体"/>
        </w:rPr>
      </w:pPr>
      <w:bookmarkStart w:id="209" w:name="_Toc23437779"/>
      <w:bookmarkStart w:id="210" w:name="_Toc20420192"/>
      <w:r>
        <w:rPr>
          <w:rFonts w:hint="eastAsia" w:ascii="宋体" w:hAnsi="宋体"/>
        </w:rPr>
        <w:t>一般规定</w:t>
      </w:r>
      <w:bookmarkEnd w:id="208"/>
      <w:bookmarkEnd w:id="209"/>
      <w:bookmarkEnd w:id="210"/>
    </w:p>
    <w:p>
      <w:pPr>
        <w:pStyle w:val="32"/>
        <w:numPr>
          <w:ilvl w:val="2"/>
          <w:numId w:val="43"/>
        </w:numPr>
        <w:spacing w:line="360" w:lineRule="auto"/>
        <w:ind w:firstLineChars="0"/>
        <w:jc w:val="left"/>
        <w:outlineLvl w:val="2"/>
        <w:rPr>
          <w:rFonts w:ascii="宋体" w:hAnsi="宋体"/>
        </w:rPr>
      </w:pPr>
      <w:r>
        <w:rPr>
          <w:rFonts w:hint="eastAsia"/>
        </w:rPr>
        <w:t>城市广场可分为公共活动广场、交通集散广场、纪念性广场和商业性广场，均应进行无障碍设计。</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iCs/>
        </w:rPr>
      </w:pPr>
      <w:r>
        <w:rPr>
          <w:rFonts w:hint="eastAsia"/>
          <w:i/>
          <w:iCs/>
        </w:rPr>
        <w:t>城市广场作为通常与城市道路相连接的社会公共用地部分，既是车辆和行人交通的枢纽场所，也可能是城市居民社会活动和政治活动的中心。但对其再细分子类、明确各自含义，是存在一定困难的。参照《城市道路工程设计规范》CJJ 37-2012（2016版）第11.3.1条，城市广场可分为公共活动广场、集散广场、交通广场、纪念性广场、商业广场等。结合本市实际，本标准将其归并为四个子类。城市广场是人们休闲、娱乐的场所，为了使行动不便的人能与其他人一样平等地享有出行和休闲的权利，平等地参与社会活动，应对城市广场进行无障碍设计。</w:t>
      </w:r>
    </w:p>
    <w:p>
      <w:pPr>
        <w:pStyle w:val="32"/>
        <w:numPr>
          <w:ilvl w:val="2"/>
          <w:numId w:val="43"/>
        </w:numPr>
        <w:ind w:firstLineChars="0"/>
      </w:pPr>
      <w:r>
        <w:rPr>
          <w:rFonts w:hint="eastAsia"/>
        </w:rPr>
        <w:t>城市广场无障碍设施的构造做法或细化设计要求，均应符合本标准第4章有关规定。</w:t>
      </w:r>
    </w:p>
    <w:p>
      <w:pPr>
        <w:pStyle w:val="32"/>
        <w:numPr>
          <w:ilvl w:val="2"/>
          <w:numId w:val="43"/>
        </w:numPr>
        <w:spacing w:line="360" w:lineRule="auto"/>
        <w:ind w:firstLineChars="0"/>
        <w:outlineLvl w:val="2"/>
        <w:rPr>
          <w:rFonts w:ascii="宋体" w:hAnsi="宋体"/>
        </w:rPr>
      </w:pPr>
      <w:r>
        <w:rPr>
          <w:rFonts w:hint="eastAsia" w:ascii="宋体" w:hAnsi="宋体"/>
        </w:rPr>
        <w:t>城市广场无障碍设施的设置，应与毗连道路、周边公共空间及主要建筑物出入口有效衔接。</w:t>
      </w:r>
    </w:p>
    <w:p>
      <w:pPr>
        <w:pStyle w:val="32"/>
        <w:numPr>
          <w:ilvl w:val="2"/>
          <w:numId w:val="43"/>
        </w:numPr>
        <w:ind w:firstLineChars="0"/>
        <w:rPr>
          <w:rFonts w:ascii="宋体" w:hAnsi="宋体"/>
        </w:rPr>
      </w:pPr>
      <w:r>
        <w:rPr>
          <w:rFonts w:hint="eastAsia" w:ascii="宋体" w:hAnsi="宋体"/>
        </w:rPr>
        <w:t>城市广场无障碍设施设置，应考虑全龄全民使用需求。</w:t>
      </w:r>
    </w:p>
    <w:p>
      <w:pPr>
        <w:pStyle w:val="32"/>
        <w:numPr>
          <w:ilvl w:val="1"/>
          <w:numId w:val="43"/>
        </w:numPr>
        <w:spacing w:line="360" w:lineRule="auto"/>
        <w:ind w:firstLineChars="0"/>
        <w:jc w:val="center"/>
        <w:outlineLvl w:val="1"/>
        <w:rPr>
          <w:rFonts w:ascii="宋体" w:hAnsi="宋体"/>
        </w:rPr>
      </w:pPr>
      <w:bookmarkStart w:id="211" w:name="_Toc23437780"/>
      <w:bookmarkStart w:id="212" w:name="_Toc1888"/>
      <w:bookmarkStart w:id="213" w:name="_Toc20420193"/>
      <w:r>
        <w:rPr>
          <w:rFonts w:hint="eastAsia" w:ascii="宋体" w:hAnsi="宋体"/>
        </w:rPr>
        <w:t>技术要求</w:t>
      </w:r>
      <w:bookmarkEnd w:id="211"/>
      <w:bookmarkEnd w:id="212"/>
      <w:bookmarkEnd w:id="213"/>
    </w:p>
    <w:p>
      <w:pPr>
        <w:pStyle w:val="32"/>
        <w:numPr>
          <w:ilvl w:val="2"/>
          <w:numId w:val="43"/>
        </w:numPr>
        <w:spacing w:line="360" w:lineRule="auto"/>
        <w:ind w:firstLineChars="0"/>
        <w:outlineLvl w:val="2"/>
        <w:rPr>
          <w:rFonts w:ascii="宋体" w:hAnsi="宋体"/>
        </w:rPr>
      </w:pPr>
      <w:r>
        <w:rPr>
          <w:rFonts w:hint="eastAsia" w:ascii="宋体" w:hAnsi="宋体"/>
        </w:rPr>
        <w:t>城市广场设有公共停车场时，应符合下列规定：</w:t>
      </w:r>
    </w:p>
    <w:p>
      <w:pPr>
        <w:pStyle w:val="32"/>
        <w:numPr>
          <w:ilvl w:val="0"/>
          <w:numId w:val="44"/>
        </w:numPr>
        <w:spacing w:line="360" w:lineRule="auto"/>
        <w:ind w:firstLine="424" w:firstLineChars="202"/>
      </w:pPr>
      <w:r>
        <w:rPr>
          <w:rFonts w:hint="eastAsia" w:ascii="宋体" w:hAnsi="宋体"/>
        </w:rPr>
        <w:t>应遵循人车分流原则</w:t>
      </w:r>
      <w:r>
        <w:rPr>
          <w:rFonts w:hint="eastAsia"/>
        </w:rPr>
        <w:t>；</w:t>
      </w:r>
    </w:p>
    <w:p>
      <w:pPr>
        <w:pStyle w:val="32"/>
        <w:numPr>
          <w:ilvl w:val="0"/>
          <w:numId w:val="44"/>
        </w:numPr>
        <w:spacing w:line="360" w:lineRule="auto"/>
        <w:ind w:firstLine="424" w:firstLineChars="202"/>
      </w:pPr>
      <w:r>
        <w:rPr>
          <w:rFonts w:hint="eastAsia" w:ascii="宋体" w:hAnsi="宋体"/>
        </w:rPr>
        <w:t>人员公共活动区域与公共停车场之间，应设置实体隔离</w:t>
      </w:r>
      <w:r>
        <w:rPr>
          <w:rFonts w:hint="eastAsia"/>
        </w:rPr>
        <w:t>；</w:t>
      </w:r>
    </w:p>
    <w:p>
      <w:pPr>
        <w:pStyle w:val="32"/>
        <w:numPr>
          <w:ilvl w:val="0"/>
          <w:numId w:val="44"/>
        </w:numPr>
        <w:spacing w:line="360" w:lineRule="auto"/>
        <w:ind w:firstLine="424" w:firstLineChars="202"/>
        <w:rPr>
          <w:rFonts w:ascii="宋体" w:hAnsi="宋体"/>
        </w:rPr>
      </w:pPr>
      <w:r>
        <w:rPr>
          <w:rFonts w:hint="eastAsia" w:ascii="宋体" w:hAnsi="宋体"/>
        </w:rPr>
        <w:t>停车数在50辆以下时，应设置不少于1个无障碍机动车停车位；停车数在50辆～100辆时，应设置不少于2个无障碍机动车停车位；停车数在100辆以上时，应设置不少于总停车数2%的无障碍机动车停车位。</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iCs/>
        </w:rPr>
      </w:pPr>
      <w:r>
        <w:rPr>
          <w:rFonts w:hint="eastAsia"/>
          <w:i/>
          <w:iCs/>
        </w:rPr>
        <w:t>第1款 第2款 人车分流、设置隔离等措施，可有效保障行人安全，同时也可提高通行效率。</w:t>
      </w:r>
    </w:p>
    <w:p>
      <w:pPr>
        <w:pStyle w:val="32"/>
        <w:spacing w:line="360" w:lineRule="auto"/>
        <w:outlineLvl w:val="3"/>
        <w:rPr>
          <w:rFonts w:ascii="宋体" w:hAnsi="宋体"/>
        </w:rPr>
      </w:pPr>
      <w:r>
        <w:rPr>
          <w:rFonts w:hint="eastAsia"/>
          <w:i/>
          <w:iCs/>
        </w:rPr>
        <w:t xml:space="preserve">第3款 </w:t>
      </w:r>
      <w:r>
        <w:rPr>
          <w:i/>
          <w:iCs/>
        </w:rPr>
        <w:t>随着我国机动车保有量的增大，轮椅者</w:t>
      </w:r>
      <w:r>
        <w:rPr>
          <w:rFonts w:hint="eastAsia"/>
          <w:i/>
          <w:iCs/>
        </w:rPr>
        <w:t>使用者</w:t>
      </w:r>
      <w:r>
        <w:rPr>
          <w:i/>
          <w:iCs/>
        </w:rPr>
        <w:t>乘坐及驾驶机动车出游的几率也随之增加。因此，在城市广场的公共停车场应设置一定数量的无障碍机动车停车位。</w:t>
      </w:r>
    </w:p>
    <w:p>
      <w:pPr>
        <w:pStyle w:val="32"/>
        <w:numPr>
          <w:ilvl w:val="2"/>
          <w:numId w:val="43"/>
        </w:numPr>
        <w:spacing w:line="360" w:lineRule="auto"/>
        <w:ind w:firstLineChars="0"/>
        <w:outlineLvl w:val="2"/>
        <w:rPr>
          <w:rFonts w:ascii="宋体" w:hAnsi="宋体"/>
        </w:rPr>
      </w:pPr>
      <w:r>
        <w:rPr>
          <w:rFonts w:hint="eastAsia" w:ascii="宋体" w:hAnsi="宋体"/>
        </w:rPr>
        <w:t>城市广场设有公共交通停靠站的，应考虑轮椅使用者的通行及乘坐方便。</w:t>
      </w:r>
    </w:p>
    <w:p>
      <w:pPr>
        <w:pStyle w:val="32"/>
        <w:numPr>
          <w:ilvl w:val="2"/>
          <w:numId w:val="43"/>
        </w:numPr>
        <w:spacing w:line="360" w:lineRule="auto"/>
        <w:ind w:firstLineChars="0"/>
        <w:outlineLvl w:val="2"/>
        <w:rPr>
          <w:rFonts w:ascii="宋体" w:hAnsi="宋体"/>
        </w:rPr>
      </w:pPr>
      <w:r>
        <w:rPr>
          <w:rFonts w:hint="eastAsia" w:ascii="宋体" w:hAnsi="宋体"/>
        </w:rPr>
        <w:t>城市广场地面应平整、防滑、不积水，具体设计</w:t>
      </w:r>
      <w:r>
        <w:rPr>
          <w:rFonts w:ascii="宋体" w:hAnsi="宋体"/>
        </w:rPr>
        <w:t>应</w:t>
      </w:r>
      <w:r>
        <w:rPr>
          <w:rFonts w:hint="eastAsia" w:ascii="宋体" w:hAnsi="宋体"/>
        </w:rPr>
        <w:t>符合下列规定：</w:t>
      </w:r>
    </w:p>
    <w:p>
      <w:pPr>
        <w:pStyle w:val="32"/>
        <w:numPr>
          <w:ilvl w:val="0"/>
          <w:numId w:val="45"/>
        </w:numPr>
        <w:spacing w:line="360" w:lineRule="auto"/>
        <w:ind w:firstLine="567" w:firstLineChars="270"/>
      </w:pPr>
      <w:r>
        <w:rPr>
          <w:rFonts w:hint="eastAsia" w:ascii="宋体" w:hAnsi="宋体"/>
        </w:rPr>
        <w:t>不应采取光滑表面的铺装材料</w:t>
      </w:r>
      <w:r>
        <w:rPr>
          <w:rFonts w:hint="eastAsia"/>
        </w:rPr>
        <w:t>；</w:t>
      </w:r>
    </w:p>
    <w:p>
      <w:pPr>
        <w:pStyle w:val="32"/>
        <w:numPr>
          <w:ilvl w:val="0"/>
          <w:numId w:val="45"/>
        </w:numPr>
        <w:spacing w:line="360" w:lineRule="auto"/>
        <w:ind w:firstLine="567" w:firstLineChars="270"/>
      </w:pPr>
      <w:r>
        <w:rPr>
          <w:rFonts w:hint="eastAsia" w:ascii="宋体" w:hAnsi="宋体"/>
        </w:rPr>
        <w:t>广场设计坡度宜为0.3%～3.0%；高差较大时，可建成阶梯式</w:t>
      </w:r>
      <w:r>
        <w:rPr>
          <w:rFonts w:hint="eastAsia"/>
        </w:rPr>
        <w:t>；</w:t>
      </w:r>
    </w:p>
    <w:p>
      <w:pPr>
        <w:pStyle w:val="32"/>
        <w:numPr>
          <w:ilvl w:val="0"/>
          <w:numId w:val="45"/>
        </w:numPr>
        <w:spacing w:line="360" w:lineRule="auto"/>
        <w:ind w:firstLine="567" w:firstLineChars="270"/>
        <w:rPr>
          <w:rFonts w:ascii="宋体" w:hAnsi="宋体"/>
        </w:rPr>
      </w:pPr>
      <w:r>
        <w:rPr>
          <w:rFonts w:hint="eastAsia" w:ascii="宋体" w:hAnsi="宋体"/>
        </w:rPr>
        <w:t>与广场相连接的道路纵坡宜为0.5%～2.0%；高差较大时，纵坡不应大于7.0%；</w:t>
      </w:r>
    </w:p>
    <w:p>
      <w:pPr>
        <w:pStyle w:val="32"/>
        <w:numPr>
          <w:ilvl w:val="0"/>
          <w:numId w:val="45"/>
        </w:numPr>
        <w:spacing w:line="360" w:lineRule="auto"/>
        <w:ind w:firstLine="567" w:firstLineChars="270"/>
        <w:rPr>
          <w:rFonts w:ascii="宋体" w:hAnsi="宋体"/>
        </w:rPr>
      </w:pPr>
      <w:r>
        <w:rPr>
          <w:rFonts w:hint="eastAsia" w:ascii="宋体" w:hAnsi="宋体"/>
        </w:rPr>
        <w:t>出入口处应设置纵坡不大于2.0%的缓坡段；</w:t>
      </w:r>
    </w:p>
    <w:p>
      <w:pPr>
        <w:pStyle w:val="32"/>
        <w:numPr>
          <w:ilvl w:val="0"/>
          <w:numId w:val="45"/>
        </w:numPr>
        <w:spacing w:line="360" w:lineRule="auto"/>
        <w:ind w:firstLine="567" w:firstLineChars="270"/>
        <w:rPr>
          <w:rFonts w:ascii="宋体" w:hAnsi="宋体"/>
        </w:rPr>
      </w:pPr>
      <w:r>
        <w:rPr>
          <w:rFonts w:hint="eastAsia" w:ascii="宋体" w:hAnsi="宋体"/>
        </w:rPr>
        <w:t>广场可采用单向或多向排水，且应满足城市防洪、排涝要求。</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iCs/>
        </w:rPr>
      </w:pPr>
      <w:r>
        <w:rPr>
          <w:rFonts w:hint="eastAsia"/>
          <w:i/>
          <w:iCs/>
        </w:rPr>
        <w:t>本条主要参照《城市道路工程设计规范》CJJ 37-2012（2016版）有关条款制定。</w:t>
      </w:r>
    </w:p>
    <w:p>
      <w:pPr>
        <w:pStyle w:val="32"/>
        <w:spacing w:line="360" w:lineRule="auto"/>
        <w:outlineLvl w:val="3"/>
        <w:rPr>
          <w:i/>
          <w:iCs/>
        </w:rPr>
      </w:pPr>
      <w:r>
        <w:rPr>
          <w:rFonts w:hint="eastAsia"/>
          <w:i/>
          <w:iCs/>
        </w:rPr>
        <w:t>第1款 广场铺装不应选用光面花岗岩工艺。</w:t>
      </w:r>
    </w:p>
    <w:p>
      <w:pPr>
        <w:pStyle w:val="32"/>
        <w:spacing w:line="360" w:lineRule="auto"/>
        <w:outlineLvl w:val="3"/>
        <w:rPr>
          <w:i/>
          <w:iCs/>
        </w:rPr>
      </w:pPr>
      <w:r>
        <w:rPr>
          <w:rFonts w:hint="eastAsia"/>
          <w:i/>
          <w:iCs/>
        </w:rPr>
        <w:t>第2款 第3款 广场应做好竖向设计，最小坡度控制在0.3%，并向雨水井集水。为消化竖向高差可利用台阶处理，台阶设计应符合本标准第4章有关规定。广场最小纵坡控制是为了满足径流排水，最大纵坡控制是考虑停车时手闸制动不溜车。</w:t>
      </w:r>
    </w:p>
    <w:p>
      <w:pPr>
        <w:pStyle w:val="32"/>
        <w:spacing w:line="360" w:lineRule="auto"/>
        <w:outlineLvl w:val="3"/>
        <w:rPr>
          <w:rFonts w:ascii="宋体" w:hAnsi="宋体"/>
        </w:rPr>
      </w:pPr>
      <w:r>
        <w:rPr>
          <w:rFonts w:hint="eastAsia"/>
          <w:i/>
          <w:iCs/>
        </w:rPr>
        <w:t>第4款 第5款 与广场衔接的市政道路应做缓坡处理，方便肢体残障人士通行。</w:t>
      </w:r>
    </w:p>
    <w:p>
      <w:pPr>
        <w:pStyle w:val="32"/>
        <w:numPr>
          <w:ilvl w:val="2"/>
          <w:numId w:val="43"/>
        </w:numPr>
        <w:spacing w:line="360" w:lineRule="auto"/>
        <w:ind w:firstLineChars="0"/>
        <w:outlineLvl w:val="2"/>
        <w:rPr>
          <w:rFonts w:ascii="宋体" w:hAnsi="宋体"/>
        </w:rPr>
      </w:pPr>
      <w:r>
        <w:rPr>
          <w:rFonts w:hint="eastAsia" w:ascii="宋体" w:hAnsi="宋体"/>
        </w:rPr>
        <w:t>城市广场宜设置盲道，并应符合下列规定：</w:t>
      </w:r>
    </w:p>
    <w:p>
      <w:pPr>
        <w:pStyle w:val="32"/>
        <w:numPr>
          <w:ilvl w:val="0"/>
          <w:numId w:val="46"/>
        </w:numPr>
        <w:spacing w:line="360" w:lineRule="auto"/>
        <w:ind w:firstLine="424" w:firstLineChars="202"/>
      </w:pPr>
      <w:r>
        <w:rPr>
          <w:rFonts w:hint="eastAsia" w:ascii="宋体" w:hAnsi="宋体"/>
        </w:rPr>
        <w:t>设有台阶或坡道时，距每段台阶与坡道的起点与终点250mm～500mm处应设提示盲道，其长度应与台阶、坡道相对应，宽度应为250mm～500mm</w:t>
      </w:r>
      <w:r>
        <w:rPr>
          <w:rFonts w:hint="eastAsia"/>
        </w:rPr>
        <w:t>；</w:t>
      </w:r>
    </w:p>
    <w:p>
      <w:pPr>
        <w:pStyle w:val="32"/>
        <w:numPr>
          <w:ilvl w:val="0"/>
          <w:numId w:val="46"/>
        </w:numPr>
        <w:spacing w:line="360" w:lineRule="auto"/>
        <w:ind w:firstLine="424" w:firstLineChars="202"/>
      </w:pPr>
      <w:r>
        <w:rPr>
          <w:rFonts w:hint="eastAsia" w:ascii="宋体" w:hAnsi="宋体"/>
        </w:rPr>
        <w:t>人行道中有行进盲道时，应与提示盲道相连接</w:t>
      </w:r>
      <w:r>
        <w:rPr>
          <w:rFonts w:hint="eastAsia"/>
        </w:rPr>
        <w:t>；</w:t>
      </w:r>
    </w:p>
    <w:p>
      <w:pPr>
        <w:pStyle w:val="32"/>
        <w:numPr>
          <w:ilvl w:val="0"/>
          <w:numId w:val="46"/>
        </w:numPr>
        <w:spacing w:line="360" w:lineRule="auto"/>
        <w:ind w:firstLine="424" w:firstLineChars="202"/>
        <w:rPr>
          <w:rFonts w:ascii="宋体" w:hAnsi="宋体"/>
        </w:rPr>
      </w:pPr>
      <w:r>
        <w:rPr>
          <w:rFonts w:hint="eastAsia" w:ascii="宋体" w:hAnsi="宋体"/>
        </w:rPr>
        <w:t>盲道铺设应连续；</w:t>
      </w:r>
    </w:p>
    <w:p>
      <w:pPr>
        <w:pStyle w:val="32"/>
        <w:numPr>
          <w:ilvl w:val="0"/>
          <w:numId w:val="46"/>
        </w:numPr>
        <w:spacing w:line="360" w:lineRule="auto"/>
        <w:ind w:firstLine="424" w:firstLineChars="202"/>
        <w:rPr>
          <w:rFonts w:ascii="宋体" w:hAnsi="宋体"/>
        </w:rPr>
      </w:pPr>
      <w:r>
        <w:rPr>
          <w:rFonts w:hint="eastAsia" w:ascii="宋体" w:hAnsi="宋体"/>
        </w:rPr>
        <w:t>盲道铺设应避开树木(穴)、电线杆、拉线等障碍物，其他设施不得占用盲道。</w:t>
      </w:r>
    </w:p>
    <w:p>
      <w:pPr>
        <w:pStyle w:val="32"/>
        <w:spacing w:line="360" w:lineRule="auto"/>
        <w:ind w:firstLine="0" w:firstLineChars="0"/>
        <w:outlineLvl w:val="3"/>
        <w:rPr>
          <w:rFonts w:ascii="宋体" w:hAnsi="宋体"/>
        </w:rPr>
      </w:pPr>
      <w:r>
        <w:rPr>
          <w:rFonts w:hint="eastAsia"/>
          <w:b/>
          <w:i/>
        </w:rPr>
        <w:t>条文说明</w:t>
      </w:r>
    </w:p>
    <w:p>
      <w:pPr>
        <w:pStyle w:val="32"/>
        <w:spacing w:line="360" w:lineRule="auto"/>
        <w:rPr>
          <w:rFonts w:ascii="宋体" w:hAnsi="宋体"/>
          <w:i/>
          <w:iCs/>
        </w:rPr>
      </w:pPr>
      <w:r>
        <w:rPr>
          <w:rFonts w:hint="eastAsia" w:ascii="宋体" w:hAnsi="宋体"/>
          <w:i/>
          <w:iCs/>
        </w:rPr>
        <w:t>第3款 第4款 旨在保障广场中盲道的空间连续性和安全性，引导视觉残障者的无障碍通行。</w:t>
      </w:r>
      <w:bookmarkStart w:id="302" w:name="_GoBack"/>
      <w:bookmarkEnd w:id="302"/>
    </w:p>
    <w:p>
      <w:pPr>
        <w:pStyle w:val="32"/>
        <w:numPr>
          <w:ilvl w:val="2"/>
          <w:numId w:val="43"/>
        </w:numPr>
        <w:spacing w:line="360" w:lineRule="auto"/>
        <w:ind w:firstLineChars="0"/>
        <w:outlineLvl w:val="2"/>
        <w:rPr>
          <w:rFonts w:ascii="宋体" w:hAnsi="宋体"/>
        </w:rPr>
      </w:pPr>
      <w:r>
        <w:rPr>
          <w:rFonts w:hint="eastAsia" w:ascii="宋体" w:hAnsi="宋体"/>
        </w:rPr>
        <w:t>城市广场地面有高差时，坡道与无障碍电梯的选择应符合下列规定：</w:t>
      </w:r>
    </w:p>
    <w:p>
      <w:pPr>
        <w:pStyle w:val="32"/>
        <w:numPr>
          <w:ilvl w:val="0"/>
          <w:numId w:val="47"/>
        </w:numPr>
        <w:spacing w:line="360" w:lineRule="auto"/>
        <w:ind w:firstLine="424" w:firstLineChars="202"/>
      </w:pPr>
      <w:r>
        <w:rPr>
          <w:rFonts w:hint="eastAsia" w:ascii="宋体" w:hAnsi="宋体"/>
        </w:rPr>
        <w:t>在设置台阶的同时，应设置轮椅坡道</w:t>
      </w:r>
      <w:r>
        <w:rPr>
          <w:rFonts w:hint="eastAsia"/>
        </w:rPr>
        <w:t>；</w:t>
      </w:r>
    </w:p>
    <w:p>
      <w:pPr>
        <w:pStyle w:val="32"/>
        <w:numPr>
          <w:ilvl w:val="0"/>
          <w:numId w:val="47"/>
        </w:numPr>
        <w:spacing w:line="360" w:lineRule="auto"/>
        <w:ind w:firstLine="424" w:firstLineChars="202"/>
        <w:rPr>
          <w:rFonts w:ascii="宋体" w:hAnsi="宋体"/>
        </w:rPr>
      </w:pPr>
      <w:r>
        <w:rPr>
          <w:rFonts w:hint="eastAsia" w:ascii="宋体" w:hAnsi="宋体"/>
        </w:rPr>
        <w:t>当设置轮椅坡道有困难时，宜设置无障碍电梯。</w:t>
      </w:r>
    </w:p>
    <w:p>
      <w:pPr>
        <w:pStyle w:val="32"/>
        <w:numPr>
          <w:ilvl w:val="2"/>
          <w:numId w:val="43"/>
        </w:numPr>
        <w:spacing w:line="360" w:lineRule="auto"/>
        <w:ind w:firstLineChars="0"/>
        <w:outlineLvl w:val="2"/>
        <w:rPr>
          <w:rFonts w:ascii="宋体" w:hAnsi="宋体"/>
        </w:rPr>
      </w:pPr>
      <w:r>
        <w:rPr>
          <w:rFonts w:hint="eastAsia" w:ascii="宋体" w:hAnsi="宋体"/>
        </w:rPr>
        <w:t>城市广场内服务设施及附属设施的设置，应符合下列规定：</w:t>
      </w:r>
    </w:p>
    <w:p>
      <w:pPr>
        <w:pStyle w:val="32"/>
        <w:numPr>
          <w:ilvl w:val="0"/>
          <w:numId w:val="48"/>
        </w:numPr>
        <w:spacing w:line="360" w:lineRule="auto"/>
        <w:ind w:firstLine="424" w:firstLineChars="202"/>
      </w:pPr>
      <w:r>
        <w:rPr>
          <w:rFonts w:hint="eastAsia" w:ascii="宋体" w:hAnsi="宋体"/>
        </w:rPr>
        <w:t>应同时设置低位服务设施</w:t>
      </w:r>
      <w:r>
        <w:rPr>
          <w:rFonts w:hint="eastAsia"/>
        </w:rPr>
        <w:t>；</w:t>
      </w:r>
    </w:p>
    <w:p>
      <w:pPr>
        <w:pStyle w:val="32"/>
        <w:numPr>
          <w:ilvl w:val="0"/>
          <w:numId w:val="48"/>
        </w:numPr>
        <w:spacing w:line="360" w:lineRule="auto"/>
        <w:ind w:firstLine="424" w:firstLineChars="202"/>
        <w:rPr>
          <w:rFonts w:ascii="宋体" w:hAnsi="宋体"/>
        </w:rPr>
      </w:pPr>
      <w:r>
        <w:rPr>
          <w:rFonts w:hint="eastAsia" w:ascii="宋体" w:hAnsi="宋体"/>
        </w:rPr>
        <w:t>公共厕所中女厕位宜为男厕位（大、小便器之和）的2倍以上；</w:t>
      </w:r>
    </w:p>
    <w:p>
      <w:pPr>
        <w:pStyle w:val="32"/>
        <w:numPr>
          <w:ilvl w:val="0"/>
          <w:numId w:val="48"/>
        </w:numPr>
        <w:spacing w:line="360" w:lineRule="auto"/>
        <w:ind w:firstLine="424" w:firstLineChars="202"/>
        <w:rPr>
          <w:rFonts w:ascii="宋体" w:hAnsi="宋体"/>
        </w:rPr>
      </w:pPr>
      <w:r>
        <w:rPr>
          <w:rFonts w:hint="eastAsia" w:ascii="宋体" w:hAnsi="宋体"/>
        </w:rPr>
        <w:t>宜结合高大浓荫乔木、座椅等，设置绿化休憩一体化的遮阳蔽雨小憩设施；</w:t>
      </w:r>
    </w:p>
    <w:p>
      <w:pPr>
        <w:pStyle w:val="32"/>
        <w:numPr>
          <w:ilvl w:val="0"/>
          <w:numId w:val="48"/>
        </w:numPr>
        <w:spacing w:line="360" w:lineRule="auto"/>
        <w:ind w:firstLine="424" w:firstLineChars="202"/>
        <w:rPr>
          <w:rFonts w:ascii="宋体" w:hAnsi="宋体"/>
        </w:rPr>
      </w:pPr>
      <w:r>
        <w:rPr>
          <w:rFonts w:hint="eastAsia" w:ascii="宋体" w:hAnsi="宋体"/>
        </w:rPr>
        <w:t>公共活动区域自地面起2.0m高度内，不应设置工程阳角为非钝角且锋利的物件或设施（采取有效安全防护措施时可除外）；</w:t>
      </w:r>
    </w:p>
    <w:p>
      <w:pPr>
        <w:pStyle w:val="32"/>
        <w:numPr>
          <w:ilvl w:val="0"/>
          <w:numId w:val="48"/>
        </w:numPr>
        <w:spacing w:line="360" w:lineRule="auto"/>
        <w:ind w:firstLine="424" w:firstLineChars="202"/>
        <w:rPr>
          <w:rFonts w:ascii="宋体" w:hAnsi="宋体"/>
        </w:rPr>
      </w:pPr>
      <w:r>
        <w:rPr>
          <w:rFonts w:hint="eastAsia" w:ascii="宋体" w:hAnsi="宋体"/>
        </w:rPr>
        <w:t>母婴室设置，应符合现行《深圳市公共场所母婴室设计规程》SJG 54-2019有关规定。</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rPr>
      </w:pPr>
      <w:r>
        <w:rPr>
          <w:rFonts w:hint="eastAsia"/>
          <w:i/>
          <w:iCs/>
        </w:rPr>
        <w:t>第4款 此款旨在避免阳角尖锐的工程设施造成意外人身伤害。</w:t>
      </w:r>
    </w:p>
    <w:p>
      <w:pPr>
        <w:pStyle w:val="32"/>
        <w:numPr>
          <w:ilvl w:val="2"/>
          <w:numId w:val="43"/>
        </w:numPr>
        <w:spacing w:line="360" w:lineRule="auto"/>
        <w:ind w:firstLineChars="0"/>
        <w:outlineLvl w:val="2"/>
        <w:rPr>
          <w:rFonts w:ascii="宋体" w:hAnsi="宋体"/>
        </w:rPr>
      </w:pPr>
      <w:r>
        <w:rPr>
          <w:rFonts w:hint="eastAsia" w:ascii="宋体" w:hAnsi="宋体"/>
        </w:rPr>
        <w:t>城市广场无障碍设施应设置无障碍标志。带指示方向的无障碍设施标志牌应与其他无障碍设施标志牌形成引导系统，满足通行的连续性。</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rPr>
      </w:pPr>
      <w:r>
        <w:rPr>
          <w:rFonts w:hint="eastAsia"/>
          <w:i/>
          <w:iCs/>
        </w:rPr>
        <w:t>在具体工程实践中，存在某些无障碍设施处漏设无障碍标识的现象。因此本条予以强调。</w:t>
      </w:r>
    </w:p>
    <w:p>
      <w:pPr>
        <w:pStyle w:val="32"/>
        <w:numPr>
          <w:ilvl w:val="2"/>
          <w:numId w:val="43"/>
        </w:numPr>
        <w:spacing w:line="360" w:lineRule="auto"/>
        <w:ind w:firstLineChars="0"/>
        <w:outlineLvl w:val="2"/>
        <w:rPr>
          <w:rFonts w:ascii="宋体" w:hAnsi="宋体"/>
        </w:rPr>
      </w:pPr>
      <w:r>
        <w:rPr>
          <w:rFonts w:hint="eastAsia" w:ascii="宋体" w:hAnsi="宋体"/>
        </w:rPr>
        <w:t>城市广场与道路衔接的出入口设计应满足行车视距的要求。广场应布置分隔、导流等设施，并应配置完善的交通导识系统。</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iCs/>
        </w:rPr>
      </w:pPr>
      <w:r>
        <w:rPr>
          <w:rFonts w:hint="eastAsia"/>
          <w:i/>
          <w:iCs/>
        </w:rPr>
        <w:t>车行与步行引导的相关导识尺寸、颜色位置应满足不同视距对于导识可识别性的差异。人流量较大是应做好分流、导流，以策安全。</w:t>
      </w:r>
    </w:p>
    <w:p>
      <w:pPr>
        <w:widowControl/>
        <w:jc w:val="left"/>
        <w:rPr>
          <w:i/>
          <w:iCs/>
        </w:rPr>
      </w:pPr>
      <w:r>
        <w:rPr>
          <w:i/>
          <w:iCs/>
        </w:rPr>
        <w:br w:type="page"/>
      </w:r>
    </w:p>
    <w:p>
      <w:pPr>
        <w:pStyle w:val="32"/>
        <w:numPr>
          <w:ilvl w:val="0"/>
          <w:numId w:val="42"/>
        </w:numPr>
        <w:spacing w:line="360" w:lineRule="auto"/>
        <w:ind w:firstLineChars="0"/>
        <w:jc w:val="center"/>
        <w:outlineLvl w:val="0"/>
        <w:rPr>
          <w:rFonts w:ascii="Times New Roman" w:hAnsi="Times New Roman" w:cs="Times New Roman"/>
          <w:b/>
          <w:bCs/>
          <w:sz w:val="32"/>
          <w:szCs w:val="32"/>
        </w:rPr>
      </w:pPr>
      <w:bookmarkStart w:id="214" w:name="_Toc20420194"/>
      <w:bookmarkStart w:id="215" w:name="_Toc23437781"/>
      <w:r>
        <w:rPr>
          <w:rFonts w:hint="eastAsia" w:ascii="Times New Roman" w:hAnsi="Times New Roman" w:cs="Times New Roman"/>
          <w:b/>
          <w:bCs/>
          <w:sz w:val="32"/>
          <w:szCs w:val="32"/>
        </w:rPr>
        <w:t>城市绿地</w:t>
      </w:r>
      <w:bookmarkEnd w:id="164"/>
      <w:bookmarkEnd w:id="175"/>
      <w:bookmarkEnd w:id="214"/>
      <w:bookmarkEnd w:id="215"/>
    </w:p>
    <w:p>
      <w:pPr>
        <w:pStyle w:val="32"/>
        <w:numPr>
          <w:ilvl w:val="0"/>
          <w:numId w:val="43"/>
        </w:numPr>
        <w:spacing w:line="360" w:lineRule="auto"/>
        <w:ind w:firstLineChars="0"/>
        <w:outlineLvl w:val="1"/>
        <w:rPr>
          <w:rFonts w:ascii="宋体" w:hAnsi="宋体"/>
          <w:vanish/>
        </w:rPr>
      </w:pPr>
      <w:bookmarkStart w:id="216" w:name="_Toc19732738"/>
      <w:bookmarkEnd w:id="216"/>
      <w:bookmarkStart w:id="217" w:name="_Toc19732791"/>
      <w:bookmarkEnd w:id="217"/>
      <w:bookmarkStart w:id="218" w:name="_Toc19737497"/>
      <w:bookmarkEnd w:id="218"/>
      <w:bookmarkStart w:id="219" w:name="_Toc19736316"/>
      <w:bookmarkEnd w:id="219"/>
      <w:bookmarkStart w:id="220" w:name="_Toc20420196"/>
      <w:bookmarkEnd w:id="220"/>
      <w:bookmarkStart w:id="221" w:name="_Toc19732701"/>
      <w:bookmarkEnd w:id="221"/>
      <w:bookmarkStart w:id="222" w:name="_Toc20420195"/>
      <w:bookmarkEnd w:id="222"/>
      <w:bookmarkStart w:id="223" w:name="_Toc23437782"/>
      <w:bookmarkEnd w:id="223"/>
      <w:bookmarkStart w:id="224" w:name="_Toc19732664"/>
      <w:bookmarkEnd w:id="224"/>
      <w:bookmarkStart w:id="225" w:name="_Toc19732263"/>
      <w:bookmarkEnd w:id="225"/>
      <w:bookmarkStart w:id="226" w:name="_Toc19737496"/>
      <w:bookmarkEnd w:id="226"/>
      <w:bookmarkStart w:id="227" w:name="_Toc19732627"/>
      <w:bookmarkEnd w:id="227"/>
      <w:bookmarkStart w:id="228" w:name="_Toc19635237"/>
      <w:bookmarkEnd w:id="228"/>
      <w:bookmarkStart w:id="229" w:name="_Toc19736315"/>
      <w:bookmarkEnd w:id="229"/>
      <w:bookmarkStart w:id="230" w:name="_Toc19732737"/>
      <w:bookmarkEnd w:id="230"/>
      <w:bookmarkStart w:id="231" w:name="_Toc19635236"/>
      <w:bookmarkEnd w:id="231"/>
      <w:bookmarkStart w:id="232" w:name="_Toc19195331"/>
      <w:bookmarkEnd w:id="232"/>
      <w:bookmarkStart w:id="233" w:name="_Toc19732790"/>
      <w:bookmarkEnd w:id="233"/>
      <w:bookmarkStart w:id="234" w:name="_Toc19175461"/>
      <w:bookmarkEnd w:id="234"/>
      <w:bookmarkStart w:id="235" w:name="_Toc19195296"/>
      <w:bookmarkEnd w:id="235"/>
      <w:bookmarkStart w:id="236" w:name="_Toc18752860"/>
      <w:bookmarkEnd w:id="236"/>
      <w:bookmarkStart w:id="237" w:name="_Toc18752583"/>
      <w:bookmarkEnd w:id="237"/>
      <w:bookmarkStart w:id="238" w:name="_Toc19732700"/>
      <w:bookmarkEnd w:id="238"/>
      <w:bookmarkStart w:id="239" w:name="_Toc18751762"/>
      <w:bookmarkEnd w:id="239"/>
      <w:bookmarkStart w:id="240" w:name="_Toc19732262"/>
      <w:bookmarkEnd w:id="240"/>
      <w:bookmarkStart w:id="241" w:name="_Toc19732626"/>
      <w:bookmarkEnd w:id="241"/>
      <w:bookmarkStart w:id="242" w:name="_Toc19732663"/>
      <w:bookmarkEnd w:id="242"/>
      <w:bookmarkStart w:id="243" w:name="_Toc19195244"/>
      <w:bookmarkEnd w:id="243"/>
      <w:bookmarkStart w:id="244" w:name="_Toc19175495"/>
      <w:bookmarkEnd w:id="244"/>
      <w:bookmarkStart w:id="245" w:name="_Toc18751830"/>
      <w:bookmarkEnd w:id="245"/>
      <w:bookmarkStart w:id="246" w:name="_Toc18751904"/>
      <w:bookmarkEnd w:id="246"/>
      <w:bookmarkStart w:id="247" w:name="_Toc18751867"/>
      <w:bookmarkEnd w:id="247"/>
      <w:bookmarkStart w:id="248" w:name="_Toc24550"/>
    </w:p>
    <w:p>
      <w:pPr>
        <w:pStyle w:val="32"/>
        <w:numPr>
          <w:ilvl w:val="1"/>
          <w:numId w:val="43"/>
        </w:numPr>
        <w:spacing w:line="360" w:lineRule="auto"/>
        <w:ind w:firstLineChars="0"/>
        <w:jc w:val="center"/>
        <w:outlineLvl w:val="1"/>
        <w:rPr>
          <w:rFonts w:ascii="宋体" w:hAnsi="宋体"/>
        </w:rPr>
      </w:pPr>
      <w:bookmarkStart w:id="249" w:name="_Toc23437783"/>
      <w:bookmarkStart w:id="250" w:name="_Toc20420197"/>
      <w:r>
        <w:rPr>
          <w:rFonts w:hint="eastAsia" w:ascii="宋体" w:hAnsi="宋体"/>
        </w:rPr>
        <w:t>一般规定</w:t>
      </w:r>
      <w:bookmarkEnd w:id="248"/>
      <w:bookmarkEnd w:id="249"/>
      <w:bookmarkEnd w:id="250"/>
    </w:p>
    <w:p>
      <w:pPr>
        <w:pStyle w:val="32"/>
        <w:numPr>
          <w:ilvl w:val="2"/>
          <w:numId w:val="43"/>
        </w:numPr>
        <w:spacing w:line="360" w:lineRule="auto"/>
        <w:ind w:firstLineChars="0"/>
        <w:outlineLvl w:val="2"/>
        <w:rPr>
          <w:rFonts w:ascii="宋体" w:hAnsi="宋体"/>
        </w:rPr>
      </w:pPr>
      <w:r>
        <w:rPr>
          <w:rFonts w:hint="eastAsia" w:ascii="宋体" w:hAnsi="宋体"/>
        </w:rPr>
        <w:t>城市绿</w:t>
      </w:r>
      <w:r>
        <w:rPr>
          <w:rFonts w:ascii="宋体" w:hAnsi="宋体"/>
        </w:rPr>
        <w:t>地</w:t>
      </w:r>
      <w:r>
        <w:rPr>
          <w:rFonts w:hint="eastAsia" w:ascii="宋体" w:hAnsi="宋体"/>
        </w:rPr>
        <w:t>包括</w:t>
      </w:r>
      <w:r>
        <w:rPr>
          <w:rFonts w:ascii="宋体" w:hAnsi="宋体"/>
        </w:rPr>
        <w:t>城市中的各类公园</w:t>
      </w:r>
      <w:r>
        <w:rPr>
          <w:rFonts w:hint="eastAsia" w:ascii="宋体" w:hAnsi="宋体"/>
        </w:rPr>
        <w:t>，即</w:t>
      </w:r>
      <w:r>
        <w:rPr>
          <w:rFonts w:ascii="宋体" w:hAnsi="宋体"/>
        </w:rPr>
        <w:t>综合公园</w:t>
      </w:r>
      <w:r>
        <w:rPr>
          <w:rFonts w:hint="eastAsia" w:ascii="宋体" w:hAnsi="宋体"/>
        </w:rPr>
        <w:t>、社区公园、专类公园、游园等，</w:t>
      </w:r>
      <w:r>
        <w:rPr>
          <w:rFonts w:ascii="宋体" w:hAnsi="宋体"/>
        </w:rPr>
        <w:t>以及附属绿地中的开放绿地、区域绿地中的风景游憩绿地和对公众开放的其他绿地。</w:t>
      </w:r>
    </w:p>
    <w:p>
      <w:pPr>
        <w:pStyle w:val="32"/>
        <w:numPr>
          <w:ilvl w:val="2"/>
          <w:numId w:val="43"/>
        </w:numPr>
        <w:spacing w:line="360" w:lineRule="auto"/>
        <w:ind w:firstLineChars="0"/>
        <w:rPr>
          <w:rFonts w:ascii="宋体" w:hAnsi="宋体"/>
        </w:rPr>
      </w:pPr>
      <w:r>
        <w:rPr>
          <w:rFonts w:hint="eastAsia" w:ascii="宋体" w:hAnsi="宋体"/>
        </w:rPr>
        <w:t>城市绿地无障碍设施的构造做法或细化设计要求，均应符合本标准第4章有关规定。</w:t>
      </w:r>
    </w:p>
    <w:p>
      <w:pPr>
        <w:pStyle w:val="32"/>
        <w:numPr>
          <w:ilvl w:val="2"/>
          <w:numId w:val="43"/>
        </w:numPr>
        <w:spacing w:line="360" w:lineRule="auto"/>
        <w:ind w:firstLineChars="0"/>
        <w:rPr>
          <w:rFonts w:ascii="宋体" w:hAnsi="宋体"/>
        </w:rPr>
      </w:pPr>
      <w:r>
        <w:rPr>
          <w:rFonts w:hint="eastAsia" w:ascii="宋体" w:hAnsi="宋体"/>
        </w:rPr>
        <w:t>城市绿地无障碍设施的设置，应与毗连道路、周边公共空间及主要建筑物出入口有效衔接。</w:t>
      </w:r>
    </w:p>
    <w:p>
      <w:pPr>
        <w:pStyle w:val="32"/>
        <w:numPr>
          <w:ilvl w:val="2"/>
          <w:numId w:val="43"/>
        </w:numPr>
        <w:spacing w:line="360" w:lineRule="auto"/>
        <w:ind w:firstLineChars="0"/>
        <w:rPr>
          <w:rFonts w:ascii="宋体" w:hAnsi="宋体"/>
        </w:rPr>
      </w:pPr>
      <w:r>
        <w:rPr>
          <w:rFonts w:hint="eastAsia" w:ascii="宋体" w:hAnsi="宋体"/>
        </w:rPr>
        <w:t>城市绿地无障碍设施设置，应考虑全龄全民使用需求。</w:t>
      </w:r>
    </w:p>
    <w:p>
      <w:pPr>
        <w:pStyle w:val="32"/>
        <w:numPr>
          <w:ilvl w:val="1"/>
          <w:numId w:val="43"/>
        </w:numPr>
        <w:spacing w:line="360" w:lineRule="auto"/>
        <w:ind w:firstLineChars="0"/>
        <w:jc w:val="center"/>
        <w:outlineLvl w:val="1"/>
        <w:rPr>
          <w:rFonts w:ascii="宋体" w:hAnsi="宋体"/>
        </w:rPr>
      </w:pPr>
      <w:r>
        <w:rPr>
          <w:rFonts w:hint="eastAsia" w:ascii="宋体" w:hAnsi="宋体"/>
        </w:rPr>
        <w:t xml:space="preserve"> </w:t>
      </w:r>
      <w:bookmarkStart w:id="251" w:name="_Toc23437784"/>
      <w:r>
        <w:rPr>
          <w:rFonts w:hint="eastAsia" w:ascii="宋体" w:hAnsi="宋体"/>
        </w:rPr>
        <w:t>技术要求</w:t>
      </w:r>
      <w:bookmarkEnd w:id="251"/>
    </w:p>
    <w:p>
      <w:pPr>
        <w:pStyle w:val="32"/>
        <w:numPr>
          <w:ilvl w:val="2"/>
          <w:numId w:val="43"/>
        </w:numPr>
        <w:spacing w:line="360" w:lineRule="auto"/>
        <w:ind w:firstLineChars="0"/>
        <w:outlineLvl w:val="2"/>
        <w:rPr>
          <w:rFonts w:ascii="宋体" w:hAnsi="宋体"/>
        </w:rPr>
      </w:pPr>
      <w:r>
        <w:rPr>
          <w:rFonts w:hint="eastAsia" w:ascii="宋体" w:hAnsi="宋体"/>
        </w:rPr>
        <w:t>公园出入口周边区域无障碍设计应符合下列规定：</w:t>
      </w:r>
    </w:p>
    <w:p>
      <w:pPr>
        <w:pStyle w:val="32"/>
        <w:numPr>
          <w:ilvl w:val="0"/>
          <w:numId w:val="49"/>
        </w:numPr>
        <w:spacing w:line="360" w:lineRule="auto"/>
        <w:ind w:firstLine="424" w:firstLineChars="202"/>
      </w:pPr>
      <w:r>
        <w:rPr>
          <w:rFonts w:hint="eastAsia" w:ascii="宋体" w:hAnsi="宋体"/>
        </w:rPr>
        <w:t>公园出入口附近的公共交通设施应符合无障碍设计要求</w:t>
      </w:r>
      <w:r>
        <w:rPr>
          <w:rFonts w:hint="eastAsia"/>
        </w:rPr>
        <w:t>；</w:t>
      </w:r>
    </w:p>
    <w:p>
      <w:pPr>
        <w:pStyle w:val="32"/>
        <w:numPr>
          <w:ilvl w:val="0"/>
          <w:numId w:val="49"/>
        </w:numPr>
        <w:spacing w:line="360" w:lineRule="auto"/>
        <w:ind w:firstLine="424" w:firstLineChars="202"/>
      </w:pPr>
      <w:r>
        <w:rPr>
          <w:rFonts w:hint="eastAsia" w:ascii="宋体" w:hAnsi="宋体"/>
        </w:rPr>
        <w:t>出租车停靠点应设置无障碍优先候车区</w:t>
      </w:r>
      <w:r>
        <w:rPr>
          <w:rFonts w:hint="eastAsia"/>
        </w:rPr>
        <w:t>；</w:t>
      </w:r>
    </w:p>
    <w:p>
      <w:pPr>
        <w:pStyle w:val="32"/>
        <w:numPr>
          <w:ilvl w:val="0"/>
          <w:numId w:val="49"/>
        </w:numPr>
        <w:spacing w:line="360" w:lineRule="auto"/>
        <w:ind w:firstLine="424" w:firstLineChars="202"/>
        <w:rPr>
          <w:rFonts w:ascii="宋体" w:hAnsi="宋体"/>
        </w:rPr>
      </w:pPr>
      <w:r>
        <w:rPr>
          <w:rFonts w:hint="eastAsia" w:ascii="宋体" w:hAnsi="宋体"/>
        </w:rPr>
        <w:t>公园入口广场应与城市无障碍路线相接驳。</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rPr>
      </w:pPr>
      <w:r>
        <w:rPr>
          <w:rFonts w:hint="eastAsia" w:ascii="宋体" w:hAnsi="宋体"/>
          <w:i/>
          <w:iCs/>
        </w:rPr>
        <w:t>城市公共交通是残障人士出行的主要方式，提升城市绿地周边公共交通设施无障碍环境可以提升公园绿地可达性，提升残障人士参与社会生活的便捷度。完善城市绿地周边公共交通设施也是绿地整体无障碍通行的重要内容之一。</w:t>
      </w:r>
    </w:p>
    <w:p>
      <w:pPr>
        <w:pStyle w:val="32"/>
        <w:numPr>
          <w:ilvl w:val="2"/>
          <w:numId w:val="43"/>
        </w:numPr>
        <w:spacing w:line="360" w:lineRule="auto"/>
        <w:ind w:firstLineChars="0"/>
        <w:outlineLvl w:val="2"/>
        <w:rPr>
          <w:rFonts w:ascii="宋体" w:hAnsi="宋体"/>
        </w:rPr>
      </w:pPr>
      <w:r>
        <w:rPr>
          <w:rFonts w:hint="eastAsia" w:ascii="宋体" w:hAnsi="宋体"/>
        </w:rPr>
        <w:t>公园绿地停车场的无障碍设计应符合下列规定：</w:t>
      </w:r>
    </w:p>
    <w:p>
      <w:pPr>
        <w:pStyle w:val="32"/>
        <w:numPr>
          <w:ilvl w:val="0"/>
          <w:numId w:val="50"/>
        </w:numPr>
        <w:spacing w:line="360" w:lineRule="auto"/>
        <w:ind w:firstLine="424" w:firstLineChars="202"/>
      </w:pPr>
      <w:r>
        <w:rPr>
          <w:rFonts w:hint="eastAsia" w:ascii="宋体" w:hAnsi="宋体"/>
        </w:rPr>
        <w:t>公园绿地停车场的总停车数在50辆以下时应设置不少于1个无障碍机动车停车位，100辆以下时应设置不少于2个无障碍机动车停车位，100辆以上时应设置不少于总停车数2％的无障碍机动车停车位，其无障碍停车位应与园区入口广场无障碍连通</w:t>
      </w:r>
      <w:r>
        <w:rPr>
          <w:rFonts w:hint="eastAsia"/>
        </w:rPr>
        <w:t>；</w:t>
      </w:r>
    </w:p>
    <w:p>
      <w:pPr>
        <w:pStyle w:val="32"/>
        <w:numPr>
          <w:ilvl w:val="0"/>
          <w:numId w:val="50"/>
        </w:numPr>
        <w:spacing w:line="360" w:lineRule="auto"/>
        <w:ind w:firstLine="424" w:firstLineChars="202"/>
      </w:pPr>
      <w:r>
        <w:rPr>
          <w:rFonts w:hint="eastAsia" w:ascii="宋体" w:hAnsi="宋体"/>
        </w:rPr>
        <w:t>公园绿地停车场应设置相应的无障碍引导标识。</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iCs/>
        </w:rPr>
      </w:pPr>
      <w:r>
        <w:rPr>
          <w:rFonts w:hint="eastAsia"/>
          <w:i/>
          <w:iCs/>
        </w:rPr>
        <w:t xml:space="preserve">第1款 </w:t>
      </w:r>
      <w:r>
        <w:rPr>
          <w:i/>
          <w:iCs/>
        </w:rPr>
        <w:t>本标准是基于综合性公园绿地设计编写的，其他类型的绿地设计可根据其性质和规模大小参照执行</w:t>
      </w:r>
      <w:r>
        <w:rPr>
          <w:rFonts w:hint="eastAsia"/>
          <w:i/>
          <w:iCs/>
        </w:rPr>
        <w:t>。</w:t>
      </w:r>
    </w:p>
    <w:p>
      <w:pPr>
        <w:pStyle w:val="32"/>
        <w:spacing w:line="360" w:lineRule="auto"/>
      </w:pPr>
      <w:r>
        <w:rPr>
          <w:rFonts w:hint="eastAsia" w:ascii="宋体" w:hAnsi="宋体"/>
          <w:i/>
          <w:iCs/>
        </w:rPr>
        <w:t xml:space="preserve">第2款 </w:t>
      </w:r>
      <w:r>
        <w:rPr>
          <w:i/>
          <w:iCs/>
        </w:rPr>
        <w:t>悬挂醒目的无障碍标</w:t>
      </w:r>
      <w:r>
        <w:rPr>
          <w:rFonts w:hint="eastAsia"/>
          <w:i/>
          <w:iCs/>
        </w:rPr>
        <w:t>识</w:t>
      </w:r>
      <w:r>
        <w:rPr>
          <w:i/>
          <w:iCs/>
        </w:rPr>
        <w:t>，一是使用者一目了然，二是告知无关人员不要随意占用</w:t>
      </w:r>
      <w:r>
        <w:rPr>
          <w:rFonts w:hint="eastAsia" w:ascii="宋体" w:hAnsi="宋体"/>
          <w:i/>
          <w:iCs/>
        </w:rPr>
        <w:t>。</w:t>
      </w:r>
    </w:p>
    <w:p>
      <w:pPr>
        <w:pStyle w:val="32"/>
        <w:numPr>
          <w:ilvl w:val="2"/>
          <w:numId w:val="43"/>
        </w:numPr>
        <w:spacing w:line="360" w:lineRule="auto"/>
        <w:ind w:firstLineChars="0"/>
        <w:outlineLvl w:val="2"/>
        <w:rPr>
          <w:rFonts w:ascii="宋体" w:hAnsi="宋体"/>
        </w:rPr>
      </w:pPr>
      <w:r>
        <w:rPr>
          <w:rFonts w:hint="eastAsia" w:ascii="宋体" w:hAnsi="宋体"/>
        </w:rPr>
        <w:t>售票处的无障碍设计应符合下列规定：</w:t>
      </w:r>
    </w:p>
    <w:p>
      <w:pPr>
        <w:pStyle w:val="32"/>
        <w:numPr>
          <w:ilvl w:val="0"/>
          <w:numId w:val="51"/>
        </w:numPr>
        <w:spacing w:line="360" w:lineRule="auto"/>
        <w:ind w:firstLine="424" w:firstLineChars="202"/>
      </w:pPr>
      <w:r>
        <w:rPr>
          <w:rFonts w:hint="eastAsia" w:ascii="宋体" w:hAnsi="宋体"/>
        </w:rPr>
        <w:t>主要出入口的售票处应设置低位售票窗口</w:t>
      </w:r>
      <w:r>
        <w:rPr>
          <w:rFonts w:hint="eastAsia"/>
        </w:rPr>
        <w:t>；</w:t>
      </w:r>
    </w:p>
    <w:p>
      <w:pPr>
        <w:pStyle w:val="32"/>
        <w:numPr>
          <w:ilvl w:val="0"/>
          <w:numId w:val="51"/>
        </w:numPr>
        <w:spacing w:line="360" w:lineRule="auto"/>
        <w:ind w:firstLine="424" w:firstLineChars="202"/>
      </w:pPr>
      <w:r>
        <w:rPr>
          <w:rFonts w:hint="eastAsia" w:ascii="宋体" w:hAnsi="宋体"/>
        </w:rPr>
        <w:t>低位售票窗口前地面有高差时，应设轮椅坡道以及不小于1.50m*1.50m的平台；</w:t>
      </w:r>
    </w:p>
    <w:p>
      <w:pPr>
        <w:pStyle w:val="32"/>
        <w:numPr>
          <w:ilvl w:val="0"/>
          <w:numId w:val="51"/>
        </w:numPr>
        <w:spacing w:line="360" w:lineRule="auto"/>
        <w:ind w:firstLine="424" w:firstLineChars="202"/>
        <w:rPr>
          <w:rFonts w:ascii="宋体" w:hAnsi="宋体"/>
        </w:rPr>
      </w:pPr>
      <w:r>
        <w:rPr>
          <w:rFonts w:hint="eastAsia" w:ascii="宋体" w:hAnsi="宋体"/>
        </w:rPr>
        <w:t>售票窗口前应设提示盲道，距售票处外墙应为250mm～500mm。</w:t>
      </w:r>
    </w:p>
    <w:p>
      <w:pPr>
        <w:pStyle w:val="32"/>
        <w:spacing w:line="360" w:lineRule="auto"/>
        <w:ind w:firstLine="0" w:firstLineChars="0"/>
        <w:outlineLvl w:val="3"/>
        <w:rPr>
          <w:b/>
          <w:i/>
        </w:rPr>
      </w:pPr>
      <w:r>
        <w:rPr>
          <w:rFonts w:hint="eastAsia"/>
          <w:b/>
          <w:i/>
        </w:rPr>
        <w:t>条文说明</w:t>
      </w:r>
    </w:p>
    <w:p>
      <w:pPr>
        <w:pStyle w:val="32"/>
        <w:spacing w:line="360" w:lineRule="auto"/>
        <w:ind w:firstLine="0" w:firstLineChars="0"/>
        <w:outlineLvl w:val="3"/>
        <w:rPr>
          <w:rFonts w:ascii="宋体" w:hAnsi="宋体"/>
        </w:rPr>
      </w:pPr>
      <w:r>
        <w:rPr>
          <w:i/>
          <w:iCs/>
        </w:rPr>
        <w:t>第3款 窗口前设提示盲道是为了帮助视觉障碍者确定窗口位置</w:t>
      </w:r>
      <w:r>
        <w:rPr>
          <w:rFonts w:hint="eastAsia"/>
          <w:i/>
          <w:iCs/>
        </w:rPr>
        <w:t>。</w:t>
      </w:r>
    </w:p>
    <w:p>
      <w:pPr>
        <w:pStyle w:val="32"/>
        <w:numPr>
          <w:ilvl w:val="2"/>
          <w:numId w:val="43"/>
        </w:numPr>
        <w:spacing w:line="360" w:lineRule="auto"/>
        <w:ind w:firstLineChars="0"/>
        <w:outlineLvl w:val="2"/>
        <w:rPr>
          <w:rFonts w:ascii="宋体" w:hAnsi="宋体"/>
        </w:rPr>
      </w:pPr>
      <w:r>
        <w:rPr>
          <w:rFonts w:hint="eastAsia" w:ascii="宋体" w:hAnsi="宋体"/>
        </w:rPr>
        <w:t>出入口的无障碍设计应符合下列规定：</w:t>
      </w:r>
    </w:p>
    <w:p>
      <w:pPr>
        <w:pStyle w:val="32"/>
        <w:numPr>
          <w:ilvl w:val="0"/>
          <w:numId w:val="52"/>
        </w:numPr>
        <w:spacing w:line="360" w:lineRule="auto"/>
        <w:ind w:firstLine="424" w:firstLineChars="202"/>
      </w:pPr>
      <w:r>
        <w:rPr>
          <w:rFonts w:hint="eastAsia" w:ascii="宋体" w:hAnsi="宋体"/>
        </w:rPr>
        <w:t>主要出入口应设置为无障碍出入口，设有自动检票设备的出入口，也应设置专供乘轮椅者和婴儿车使用的检票口，以及相应的引导导识</w:t>
      </w:r>
      <w:r>
        <w:rPr>
          <w:rFonts w:hint="eastAsia"/>
        </w:rPr>
        <w:t>；</w:t>
      </w:r>
    </w:p>
    <w:p>
      <w:pPr>
        <w:pStyle w:val="32"/>
        <w:numPr>
          <w:ilvl w:val="0"/>
          <w:numId w:val="52"/>
        </w:numPr>
        <w:spacing w:line="360" w:lineRule="auto"/>
        <w:ind w:firstLine="424" w:firstLineChars="202"/>
      </w:pPr>
      <w:r>
        <w:rPr>
          <w:rFonts w:hint="eastAsia" w:ascii="宋体" w:hAnsi="宋体"/>
        </w:rPr>
        <w:t>出入口检票口的无障碍通道宽度不应小于1.20m</w:t>
      </w:r>
      <w:r>
        <w:rPr>
          <w:rFonts w:hint="eastAsia"/>
        </w:rPr>
        <w:t>；</w:t>
      </w:r>
    </w:p>
    <w:p>
      <w:pPr>
        <w:pStyle w:val="32"/>
        <w:numPr>
          <w:ilvl w:val="0"/>
          <w:numId w:val="52"/>
        </w:numPr>
        <w:spacing w:line="360" w:lineRule="auto"/>
        <w:ind w:firstLine="424" w:firstLineChars="202"/>
        <w:rPr>
          <w:rFonts w:ascii="宋体" w:hAnsi="宋体"/>
        </w:rPr>
      </w:pPr>
      <w:r>
        <w:rPr>
          <w:rFonts w:hint="eastAsia" w:ascii="宋体" w:hAnsi="宋体"/>
        </w:rPr>
        <w:t>出入口设置车挡时，车挡间距不应小于900mm；</w:t>
      </w:r>
    </w:p>
    <w:p>
      <w:pPr>
        <w:pStyle w:val="32"/>
        <w:numPr>
          <w:ilvl w:val="0"/>
          <w:numId w:val="52"/>
        </w:numPr>
        <w:spacing w:line="360" w:lineRule="auto"/>
        <w:ind w:firstLine="424" w:firstLineChars="202"/>
        <w:rPr>
          <w:rFonts w:ascii="宋体" w:hAnsi="宋体"/>
        </w:rPr>
      </w:pPr>
      <w:r>
        <w:rPr>
          <w:rFonts w:hint="eastAsia" w:ascii="宋体" w:hAnsi="宋体"/>
        </w:rPr>
        <w:t>园区出入口（或检票闸口处）应设置提示盲道，入园处应设置配有盲文地图或语音提示器，有条件的应配置与随身电子设备相结合的交互标识设施；</w:t>
      </w:r>
    </w:p>
    <w:p>
      <w:pPr>
        <w:pStyle w:val="32"/>
        <w:numPr>
          <w:ilvl w:val="0"/>
          <w:numId w:val="52"/>
        </w:numPr>
        <w:spacing w:line="360" w:lineRule="auto"/>
        <w:ind w:firstLine="424" w:firstLineChars="202"/>
        <w:rPr>
          <w:rFonts w:ascii="宋体" w:hAnsi="宋体"/>
        </w:rPr>
      </w:pPr>
      <w:r>
        <w:rPr>
          <w:rFonts w:hint="eastAsia" w:ascii="宋体" w:hAnsi="宋体"/>
        </w:rPr>
        <w:t>入口附近应设置轮椅和婴儿推车租赁场所。</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b/>
          <w:i/>
        </w:rPr>
      </w:pPr>
      <w:r>
        <w:rPr>
          <w:i/>
          <w:iCs/>
        </w:rPr>
        <w:t>第1款 公园绿地主要出入口是游客游园的必经之路，应设置为无障碍出入口以便于行动不便者通行。因为行动障碍者、老人等行动不便的人行进速度较普通游客慢，在节假日或高峰时段，可设置无障碍专用绿色通道引导游客分流出入，可以避免相互间的干扰，有助于消除发生突发性事件时的安全隐患。</w:t>
      </w:r>
    </w:p>
    <w:p>
      <w:pPr>
        <w:pStyle w:val="32"/>
        <w:spacing w:line="360" w:lineRule="auto"/>
        <w:outlineLvl w:val="3"/>
        <w:rPr>
          <w:i/>
          <w:iCs/>
        </w:rPr>
      </w:pPr>
      <w:r>
        <w:rPr>
          <w:i/>
          <w:iCs/>
        </w:rPr>
        <w:t>第2款 出入口无障碍专用通道宽度设置不应小于</w:t>
      </w:r>
      <w:r>
        <w:rPr>
          <w:rFonts w:hint="eastAsia"/>
          <w:i/>
          <w:iCs/>
        </w:rPr>
        <w:t>1.</w:t>
      </w:r>
      <w:r>
        <w:rPr>
          <w:i/>
          <w:iCs/>
        </w:rPr>
        <w:t>20m，以保证一辆轮椅和一个人侧身通过，条件允许的情况下，建议将无障碍专用通道宽度设置为</w:t>
      </w:r>
      <w:r>
        <w:rPr>
          <w:rFonts w:hint="eastAsia"/>
          <w:i/>
          <w:iCs/>
        </w:rPr>
        <w:t>1.</w:t>
      </w:r>
      <w:r>
        <w:rPr>
          <w:i/>
          <w:iCs/>
        </w:rPr>
        <w:t>80m，这样可以保证同时通行两辆轮椅。</w:t>
      </w:r>
    </w:p>
    <w:p>
      <w:pPr>
        <w:pStyle w:val="32"/>
        <w:spacing w:line="360" w:lineRule="auto"/>
        <w:outlineLvl w:val="3"/>
        <w:rPr>
          <w:i/>
          <w:iCs/>
        </w:rPr>
      </w:pPr>
      <w:r>
        <w:rPr>
          <w:i/>
          <w:iCs/>
        </w:rPr>
        <w:t>第3款 出入口设置车挡可以有效减少机动车、人力三轮车对人行空间的干扰，但同时应确保游人及轮椅通过，实现出入口的无障碍通行。车挡设置最小间距是为了保证乘轮椅者通过，车挡前后需设置轮椅回转空间，供乘轮椅者调整方向。</w:t>
      </w:r>
    </w:p>
    <w:p>
      <w:pPr>
        <w:pStyle w:val="32"/>
        <w:spacing w:line="360" w:lineRule="auto"/>
        <w:outlineLvl w:val="3"/>
        <w:rPr>
          <w:i/>
          <w:iCs/>
        </w:rPr>
      </w:pPr>
      <w:r>
        <w:rPr>
          <w:i/>
          <w:iCs/>
        </w:rPr>
        <w:t>第</w:t>
      </w:r>
      <w:r>
        <w:rPr>
          <w:rFonts w:hint="eastAsia"/>
          <w:i/>
          <w:iCs/>
        </w:rPr>
        <w:t>4</w:t>
      </w:r>
      <w:r>
        <w:rPr>
          <w:i/>
          <w:iCs/>
        </w:rPr>
        <w:t xml:space="preserve">款 </w:t>
      </w:r>
      <w:r>
        <w:rPr>
          <w:rFonts w:hint="eastAsia"/>
          <w:i/>
          <w:iCs/>
        </w:rPr>
        <w:t>园区入口处应设施提示盲道，引导视觉障碍者进入园区。</w:t>
      </w:r>
    </w:p>
    <w:p>
      <w:pPr>
        <w:pStyle w:val="32"/>
        <w:spacing w:line="360" w:lineRule="auto"/>
        <w:outlineLvl w:val="3"/>
        <w:rPr>
          <w:i/>
          <w:iCs/>
        </w:rPr>
      </w:pPr>
      <w:r>
        <w:rPr>
          <w:i/>
          <w:iCs/>
        </w:rPr>
        <w:t>第</w:t>
      </w:r>
      <w:r>
        <w:rPr>
          <w:rFonts w:hint="eastAsia"/>
          <w:i/>
          <w:iCs/>
        </w:rPr>
        <w:t>5</w:t>
      </w:r>
      <w:r>
        <w:rPr>
          <w:i/>
          <w:iCs/>
        </w:rPr>
        <w:t>款</w:t>
      </w:r>
      <w:r>
        <w:rPr>
          <w:rFonts w:hint="eastAsia"/>
          <w:i/>
          <w:iCs/>
        </w:rPr>
        <w:t xml:space="preserve"> 园区出入口应设置轮椅和婴儿车租赁处，为肢体残障者和带有婴儿得游客提供应急帮助。</w:t>
      </w:r>
    </w:p>
    <w:p>
      <w:pPr>
        <w:pStyle w:val="32"/>
        <w:numPr>
          <w:ilvl w:val="2"/>
          <w:numId w:val="43"/>
        </w:numPr>
        <w:spacing w:line="360" w:lineRule="auto"/>
        <w:ind w:firstLineChars="0"/>
        <w:outlineLvl w:val="2"/>
        <w:rPr>
          <w:rFonts w:ascii="宋体" w:hAnsi="宋体"/>
        </w:rPr>
      </w:pPr>
      <w:r>
        <w:rPr>
          <w:rFonts w:hint="eastAsia" w:ascii="宋体" w:hAnsi="宋体"/>
        </w:rPr>
        <w:t>无障碍游览路线应符合下列规定：</w:t>
      </w:r>
    </w:p>
    <w:p>
      <w:pPr>
        <w:pStyle w:val="32"/>
        <w:numPr>
          <w:ilvl w:val="0"/>
          <w:numId w:val="53"/>
        </w:numPr>
        <w:spacing w:line="360" w:lineRule="auto"/>
        <w:ind w:firstLine="567" w:firstLineChars="270"/>
      </w:pPr>
      <w:r>
        <w:rPr>
          <w:rFonts w:hint="eastAsia" w:ascii="宋体" w:hAnsi="宋体"/>
        </w:rPr>
        <w:t>无障碍游览主园路应结合公园绿地的主路设置，应能到达部分主要景区、景点和服务设施，并宜形成环路，纵坡宜小于5％，山地公园绿地的无障碍游览主园路纵坡应小于8％；无障碍游览主园路不宜设置台阶、梯道，必须设置时应同时设置轮椅坡道，轮椅坡道应设置助力扶手，台阶起止处应设置提示盲道</w:t>
      </w:r>
      <w:r>
        <w:rPr>
          <w:rFonts w:hint="eastAsia"/>
        </w:rPr>
        <w:t>；</w:t>
      </w:r>
    </w:p>
    <w:p>
      <w:pPr>
        <w:pStyle w:val="32"/>
        <w:numPr>
          <w:ilvl w:val="0"/>
          <w:numId w:val="53"/>
        </w:numPr>
        <w:spacing w:line="360" w:lineRule="auto"/>
        <w:ind w:firstLine="567" w:firstLineChars="270"/>
      </w:pPr>
      <w:r>
        <w:rPr>
          <w:rFonts w:hint="eastAsia" w:ascii="宋体" w:hAnsi="宋体"/>
        </w:rPr>
        <w:t>无障碍游览支园路应能连接主要景点，并和无障碍游览主园路相连，形成环路；小路可到达景点局部，不能形成环路时，应便于折返，无障碍游览支园路和小路的纵坡应小于8%；坡度超过8%时，路面应作防滑处理，并不宜轮椅通行</w:t>
      </w:r>
      <w:r>
        <w:rPr>
          <w:rFonts w:hint="eastAsia"/>
        </w:rPr>
        <w:t>；</w:t>
      </w:r>
    </w:p>
    <w:p>
      <w:pPr>
        <w:pStyle w:val="32"/>
        <w:numPr>
          <w:ilvl w:val="0"/>
          <w:numId w:val="53"/>
        </w:numPr>
        <w:spacing w:line="360" w:lineRule="auto"/>
        <w:ind w:firstLine="567" w:firstLineChars="270"/>
        <w:rPr>
          <w:rFonts w:ascii="宋体" w:hAnsi="宋体"/>
        </w:rPr>
      </w:pPr>
      <w:r>
        <w:rPr>
          <w:rFonts w:hint="eastAsia" w:ascii="宋体" w:hAnsi="宋体"/>
        </w:rPr>
        <w:t>园路坡度大于8％时，宜每隔10m～20m在路旁设置休息平台；</w:t>
      </w:r>
    </w:p>
    <w:p>
      <w:pPr>
        <w:pStyle w:val="32"/>
        <w:numPr>
          <w:ilvl w:val="0"/>
          <w:numId w:val="53"/>
        </w:numPr>
        <w:spacing w:line="360" w:lineRule="auto"/>
        <w:ind w:firstLine="567" w:firstLineChars="270"/>
        <w:rPr>
          <w:rFonts w:ascii="宋体" w:hAnsi="宋体"/>
        </w:rPr>
      </w:pPr>
      <w:r>
        <w:rPr>
          <w:rFonts w:hint="eastAsia" w:ascii="宋体" w:hAnsi="宋体"/>
        </w:rPr>
        <w:t>无障碍路线道路两侧不应种植带叶刺、枝刺、皮刺的植物，如剑麻、香泡、勒杜鹃、木棉、虎刺玫、霸王鞭等；宜种植具有芳香气味的植物，为视觉障碍者指引方向；</w:t>
      </w:r>
    </w:p>
    <w:p>
      <w:pPr>
        <w:pStyle w:val="32"/>
        <w:numPr>
          <w:ilvl w:val="0"/>
          <w:numId w:val="53"/>
        </w:numPr>
        <w:spacing w:line="360" w:lineRule="auto"/>
        <w:ind w:firstLine="567" w:firstLineChars="270"/>
        <w:rPr>
          <w:rFonts w:ascii="宋体" w:hAnsi="宋体"/>
        </w:rPr>
      </w:pPr>
      <w:r>
        <w:rPr>
          <w:rFonts w:hint="eastAsia" w:ascii="宋体" w:hAnsi="宋体"/>
        </w:rPr>
        <w:t>无障碍路线沿途应设有连贯的无障碍引导标识，主要建筑物、构筑物、植物和艺术小品等处的介绍说明应为低位标牌，便于坐姿阅读，主要信息宜配备盲文说明；</w:t>
      </w:r>
    </w:p>
    <w:p>
      <w:pPr>
        <w:pStyle w:val="32"/>
        <w:numPr>
          <w:ilvl w:val="0"/>
          <w:numId w:val="53"/>
        </w:numPr>
        <w:spacing w:line="360" w:lineRule="auto"/>
        <w:ind w:firstLine="567" w:firstLineChars="270"/>
        <w:rPr>
          <w:rFonts w:ascii="宋体" w:hAnsi="宋体"/>
        </w:rPr>
      </w:pPr>
      <w:r>
        <w:rPr>
          <w:rFonts w:hint="eastAsia" w:ascii="宋体" w:hAnsi="宋体"/>
        </w:rPr>
        <w:t>设有游览车的公园，应配备无障碍游览车，并应设置无障碍优先候车区及相应的无障碍引导标识；</w:t>
      </w:r>
    </w:p>
    <w:p>
      <w:pPr>
        <w:pStyle w:val="32"/>
        <w:numPr>
          <w:ilvl w:val="0"/>
          <w:numId w:val="53"/>
        </w:numPr>
        <w:spacing w:line="360" w:lineRule="auto"/>
        <w:ind w:firstLine="567" w:firstLineChars="270"/>
        <w:rPr>
          <w:rFonts w:ascii="宋体" w:hAnsi="宋体"/>
        </w:rPr>
      </w:pPr>
      <w:r>
        <w:rPr>
          <w:rFonts w:hint="eastAsia" w:ascii="宋体" w:hAnsi="宋体"/>
        </w:rPr>
        <w:t>应保证园内无障碍路线夜间照明的连续性以及无障碍引导标识的可视性，台阶起止处应设置补充照明，避免出现眩光或无照明区域；</w:t>
      </w:r>
    </w:p>
    <w:p>
      <w:pPr>
        <w:pStyle w:val="32"/>
        <w:numPr>
          <w:ilvl w:val="0"/>
          <w:numId w:val="53"/>
        </w:numPr>
        <w:spacing w:line="360" w:lineRule="auto"/>
        <w:ind w:firstLine="567" w:firstLineChars="270"/>
        <w:rPr>
          <w:rFonts w:ascii="宋体" w:hAnsi="宋体"/>
        </w:rPr>
      </w:pPr>
      <w:r>
        <w:rPr>
          <w:rFonts w:hint="eastAsia" w:ascii="宋体" w:hAnsi="宋体"/>
        </w:rPr>
        <w:t>应规划公园滨水空间的无障碍游览路线，使其与滨水岸线的主要游览场所无障碍连接，保证轮椅与单列行人错行的通行宽度和相应的通行要求，紧邻湖岸的无障碍游览园路应设置护栏，高度不低于900mm。有高差处应设置无障碍坡地形或无障碍坡道，台阶起止处应设置提示盲道。有条件的，可设置相应的无障碍可替代设施满足轮椅使用者乘船出游的要求；</w:t>
      </w:r>
    </w:p>
    <w:p>
      <w:pPr>
        <w:pStyle w:val="32"/>
        <w:numPr>
          <w:ilvl w:val="0"/>
          <w:numId w:val="53"/>
        </w:numPr>
        <w:spacing w:line="360" w:lineRule="auto"/>
        <w:ind w:firstLine="567" w:firstLineChars="270"/>
        <w:rPr>
          <w:rFonts w:ascii="宋体" w:hAnsi="宋体"/>
        </w:rPr>
      </w:pPr>
      <w:r>
        <w:rPr>
          <w:rFonts w:hint="eastAsia" w:ascii="宋体" w:hAnsi="宋体"/>
        </w:rPr>
        <w:t>历史名园、遗址公园应依据主要游览路线进行无障碍路线规划，并应连接主要休憩场所和服务设施，使残障人士能够无障碍到达主要游览场所和最佳拍照留念场地。对文物古迹中无法改造的门槛和高台等处应设置可活动无障碍坡道，并应设置相应的无障碍引导标识；</w:t>
      </w:r>
    </w:p>
    <w:p>
      <w:pPr>
        <w:pStyle w:val="32"/>
        <w:numPr>
          <w:ilvl w:val="0"/>
          <w:numId w:val="53"/>
        </w:numPr>
        <w:spacing w:line="360" w:lineRule="auto"/>
        <w:ind w:firstLine="567" w:firstLineChars="270"/>
        <w:rPr>
          <w:rFonts w:ascii="宋体" w:hAnsi="宋体"/>
        </w:rPr>
      </w:pPr>
      <w:r>
        <w:rPr>
          <w:rFonts w:hint="eastAsia" w:ascii="宋体" w:hAnsi="宋体"/>
        </w:rPr>
        <w:t xml:space="preserve"> 园路路面应平整、防滑、不松动、不积水。园路上的窨井盖板应与路面平齐，排水沟的滤水箅子孔的宽度不应大于15mm。在地形险要的地段应设置安全防护设施和安全警示线。</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iCs/>
        </w:rPr>
      </w:pPr>
      <w:r>
        <w:rPr>
          <w:i/>
          <w:iCs/>
        </w:rPr>
        <w:t>中国园林大多为自然式山水园，公园也以山水园林居多，地形高差变化较大，山形水系丰富。因此实现所有道路、景点无障碍游览是很困难的，这就需要在规划设计阶段，根据城市绿地的场地条件以及城市园林规划部门意见来规划专门的游览路线，串联主要景区和景点，形成无障碍游览系统，以实现大部分景区的无障碍游览。无障碍游览路线的设置目的一方面是为了让乘轮椅者能够游览主要景区或景点，另一方面是为老年人、体弱者等行动不便的人群在游园时提供方便，提高游园的舒适度。无障碍游览路线包括无障碍主园路、无障碍支园路或无障碍小路。</w:t>
      </w:r>
    </w:p>
    <w:p>
      <w:pPr>
        <w:spacing w:line="360" w:lineRule="auto"/>
        <w:ind w:left="45" w:firstLine="420" w:firstLineChars="200"/>
        <w:outlineLvl w:val="3"/>
        <w:rPr>
          <w:i/>
          <w:iCs/>
        </w:rPr>
      </w:pPr>
      <w:r>
        <w:rPr>
          <w:i/>
          <w:iCs/>
        </w:rPr>
        <w:t>第</w:t>
      </w:r>
      <w:r>
        <w:rPr>
          <w:rFonts w:hint="eastAsia"/>
          <w:i/>
          <w:iCs/>
        </w:rPr>
        <w:t>1</w:t>
      </w:r>
      <w:r>
        <w:rPr>
          <w:i/>
          <w:iCs/>
        </w:rPr>
        <w:t>款</w:t>
      </w:r>
      <w:r>
        <w:rPr>
          <w:rFonts w:hint="eastAsia"/>
          <w:i/>
          <w:iCs/>
        </w:rPr>
        <w:t xml:space="preserve"> </w:t>
      </w:r>
      <w:r>
        <w:rPr>
          <w:i/>
          <w:iCs/>
        </w:rPr>
        <w:t>无障碍游览主园路是无障碍游览路线的主要组成部分。它连接城市绿地的主要景区和景点，保证所有游人的通行。无障碍游览主园路人流量大，除场地条件受限的情况外，设计时应结合城市绿地的主园路设置，避免重复建设。无障碍游览主园路的设置应与无障碍出入口相连，一般应独立形成环路，避免游园时走回头路，在条件受限时，也可以通过无障碍游览支园路形成环路。根据《城市绿地设计规范》GB 50420—2007，“主路纵坡宜小于8％……山地城市绿地的园路纵坡应小于12</w:t>
      </w:r>
      <w:r>
        <w:rPr>
          <w:rFonts w:hint="eastAsia"/>
          <w:i/>
          <w:iCs/>
        </w:rPr>
        <w:t>%</w:t>
      </w:r>
      <w:r>
        <w:rPr>
          <w:i/>
          <w:iCs/>
        </w:rPr>
        <w:t>”。考虑到在城市绿地中轮椅长距离推行的情况，无障碍游览主园路的坡度定为5％，既能满足一部分乘轮椅者在无人帮助的条件下独立通行，也可以使病弱及老年人通行更舒适和安全。山地城市绿地在用地受限制，实施有困难的局部地段，无障碍游览主园路纵坡应小于8</w:t>
      </w:r>
      <w:r>
        <w:rPr>
          <w:rFonts w:hint="eastAsia"/>
          <w:i/>
          <w:iCs/>
        </w:rPr>
        <w:t>%</w:t>
      </w:r>
      <w:r>
        <w:rPr>
          <w:i/>
          <w:iCs/>
        </w:rPr>
        <w:t>。</w:t>
      </w:r>
      <w:r>
        <w:rPr>
          <w:rFonts w:hint="eastAsia"/>
          <w:i/>
          <w:iCs/>
        </w:rPr>
        <w:t>坡道两侧不设置高低位扶手会造成跌落、倾覆、侧翻事故等安全隐患。</w:t>
      </w:r>
    </w:p>
    <w:p>
      <w:pPr>
        <w:spacing w:line="360" w:lineRule="auto"/>
        <w:ind w:left="45" w:firstLine="420" w:firstLineChars="200"/>
        <w:outlineLvl w:val="3"/>
        <w:rPr>
          <w:rFonts w:ascii="宋体" w:hAnsi="宋体"/>
          <w:i/>
          <w:iCs/>
        </w:rPr>
      </w:pPr>
      <w:r>
        <w:rPr>
          <w:i/>
          <w:iCs/>
        </w:rPr>
        <w:t>第2款 无障碍游览支园路和小路是无障碍游览路线的重要组成部分，应能够引导游人到达城市绿地局部景点。无障碍游览支园路应能与无障碍游览主园路连接，形成环路；无障碍游览小路不能形成环路时，尽端应设置轮椅回转空间，便于轮椅掉头。通行轮椅的小路的宽度不小于</w:t>
      </w:r>
      <w:r>
        <w:rPr>
          <w:rFonts w:hint="eastAsia"/>
          <w:i/>
          <w:iCs/>
        </w:rPr>
        <w:t>1.</w:t>
      </w:r>
      <w:r>
        <w:rPr>
          <w:i/>
          <w:iCs/>
        </w:rPr>
        <w:t>20m。</w:t>
      </w:r>
    </w:p>
    <w:p>
      <w:pPr>
        <w:pStyle w:val="32"/>
        <w:spacing w:line="360" w:lineRule="auto"/>
        <w:outlineLvl w:val="3"/>
        <w:rPr>
          <w:i/>
          <w:iCs/>
        </w:rPr>
      </w:pPr>
      <w:r>
        <w:rPr>
          <w:i/>
          <w:iCs/>
        </w:rPr>
        <w:t>第3款 当园路的坡度大于8％时，考虑到园林景观的需求，建议每隔1</w:t>
      </w:r>
      <w:r>
        <w:rPr>
          <w:rFonts w:hint="eastAsia"/>
          <w:i/>
          <w:iCs/>
        </w:rPr>
        <w:t>0.</w:t>
      </w:r>
      <w:r>
        <w:rPr>
          <w:i/>
          <w:iCs/>
        </w:rPr>
        <w:t>00m～2</w:t>
      </w:r>
      <w:r>
        <w:rPr>
          <w:rFonts w:hint="eastAsia"/>
          <w:i/>
          <w:iCs/>
        </w:rPr>
        <w:t>0.</w:t>
      </w:r>
      <w:r>
        <w:rPr>
          <w:i/>
          <w:iCs/>
        </w:rPr>
        <w:t>00m设置一处休息平台，以供行动不便的人短暂停留、休息。</w:t>
      </w:r>
    </w:p>
    <w:p>
      <w:pPr>
        <w:pStyle w:val="32"/>
        <w:spacing w:line="360" w:lineRule="auto"/>
        <w:outlineLvl w:val="3"/>
        <w:rPr>
          <w:i/>
          <w:iCs/>
        </w:rPr>
      </w:pPr>
      <w:r>
        <w:rPr>
          <w:i/>
          <w:iCs/>
        </w:rPr>
        <w:t>第</w:t>
      </w:r>
      <w:r>
        <w:rPr>
          <w:rFonts w:hint="eastAsia"/>
          <w:i/>
          <w:iCs/>
        </w:rPr>
        <w:t>4</w:t>
      </w:r>
      <w:r>
        <w:rPr>
          <w:i/>
          <w:iCs/>
        </w:rPr>
        <w:t>款</w:t>
      </w:r>
      <w:r>
        <w:rPr>
          <w:rFonts w:hint="eastAsia"/>
          <w:i/>
          <w:iCs/>
        </w:rPr>
        <w:t xml:space="preserve"> 应慎重选择无障碍路线道路两侧的植物选择。</w:t>
      </w:r>
    </w:p>
    <w:p>
      <w:pPr>
        <w:pStyle w:val="32"/>
        <w:spacing w:line="360" w:lineRule="auto"/>
        <w:outlineLvl w:val="3"/>
        <w:rPr>
          <w:i/>
          <w:iCs/>
        </w:rPr>
      </w:pPr>
      <w:r>
        <w:rPr>
          <w:i/>
          <w:iCs/>
        </w:rPr>
        <w:t>第</w:t>
      </w:r>
      <w:r>
        <w:rPr>
          <w:rFonts w:hint="eastAsia"/>
          <w:i/>
          <w:iCs/>
        </w:rPr>
        <w:t>5</w:t>
      </w:r>
      <w:r>
        <w:rPr>
          <w:i/>
          <w:iCs/>
        </w:rPr>
        <w:t>款</w:t>
      </w:r>
      <w:r>
        <w:rPr>
          <w:rFonts w:hint="eastAsia"/>
          <w:i/>
          <w:iCs/>
        </w:rPr>
        <w:t xml:space="preserve"> 无障碍标识应全面考虑各类别残障人士的信息识别方式和视线高度。</w:t>
      </w:r>
    </w:p>
    <w:p>
      <w:pPr>
        <w:pStyle w:val="32"/>
        <w:spacing w:line="360" w:lineRule="auto"/>
        <w:outlineLvl w:val="3"/>
        <w:rPr>
          <w:i/>
          <w:iCs/>
        </w:rPr>
      </w:pPr>
      <w:r>
        <w:rPr>
          <w:rFonts w:hint="eastAsia"/>
          <w:i/>
          <w:iCs/>
        </w:rPr>
        <w:t>第6款 无障碍游览车乘坐处应有醒目的无障碍导识。</w:t>
      </w:r>
    </w:p>
    <w:p>
      <w:pPr>
        <w:pStyle w:val="32"/>
        <w:spacing w:line="360" w:lineRule="auto"/>
        <w:outlineLvl w:val="3"/>
        <w:rPr>
          <w:i/>
          <w:iCs/>
        </w:rPr>
      </w:pPr>
      <w:r>
        <w:rPr>
          <w:rFonts w:hint="eastAsia"/>
          <w:i/>
          <w:iCs/>
        </w:rPr>
        <w:t>第7款 深圳市市政公园夜间有大量市民使用，应做好夜间照明设计。避免出现照度不均匀出现视觉盲区。</w:t>
      </w:r>
    </w:p>
    <w:p>
      <w:pPr>
        <w:pStyle w:val="32"/>
        <w:spacing w:line="360" w:lineRule="auto"/>
        <w:outlineLvl w:val="3"/>
        <w:rPr>
          <w:i/>
          <w:iCs/>
        </w:rPr>
      </w:pPr>
      <w:r>
        <w:rPr>
          <w:i/>
          <w:iCs/>
        </w:rPr>
        <w:t>第</w:t>
      </w:r>
      <w:r>
        <w:rPr>
          <w:rFonts w:hint="eastAsia"/>
          <w:i/>
          <w:iCs/>
        </w:rPr>
        <w:t>8</w:t>
      </w:r>
      <w:r>
        <w:rPr>
          <w:i/>
          <w:iCs/>
        </w:rPr>
        <w:t xml:space="preserve">款 </w:t>
      </w:r>
      <w:r>
        <w:rPr>
          <w:rFonts w:hint="eastAsia"/>
          <w:i/>
          <w:iCs/>
        </w:rPr>
        <w:t>深圳市景观海岸线较长，应做好滨水空间无无障碍游览路线。轮椅使用者</w:t>
      </w:r>
      <w:r>
        <w:rPr>
          <w:i/>
          <w:iCs/>
        </w:rPr>
        <w:t>的视线水平高度一般为</w:t>
      </w:r>
      <w:r>
        <w:rPr>
          <w:rFonts w:hint="eastAsia"/>
          <w:i/>
          <w:iCs/>
        </w:rPr>
        <w:t>1.</w:t>
      </w:r>
      <w:r>
        <w:rPr>
          <w:i/>
          <w:iCs/>
        </w:rPr>
        <w:t>10m，为防止乘轮椅者沿湖观景时跌落水中，安全护栏不应低于900mm。</w:t>
      </w:r>
    </w:p>
    <w:p>
      <w:pPr>
        <w:pStyle w:val="32"/>
        <w:spacing w:line="360" w:lineRule="auto"/>
        <w:outlineLvl w:val="3"/>
        <w:rPr>
          <w:i/>
          <w:iCs/>
        </w:rPr>
      </w:pPr>
      <w:r>
        <w:rPr>
          <w:rFonts w:hint="eastAsia"/>
          <w:i/>
          <w:iCs/>
        </w:rPr>
        <w:t>第9款 历史名园和遗址公园的无障碍游览路线及相关设备设施应充分考虑对场地保护。</w:t>
      </w:r>
    </w:p>
    <w:p>
      <w:pPr>
        <w:pStyle w:val="32"/>
        <w:spacing w:line="360" w:lineRule="auto"/>
        <w:ind w:firstLine="315" w:firstLineChars="150"/>
        <w:rPr>
          <w:rFonts w:ascii="宋体" w:hAnsi="宋体"/>
        </w:rPr>
      </w:pPr>
      <w:r>
        <w:rPr>
          <w:i/>
          <w:iCs/>
        </w:rPr>
        <w:t>第</w:t>
      </w:r>
      <w:r>
        <w:rPr>
          <w:rFonts w:hint="eastAsia"/>
          <w:i/>
          <w:iCs/>
        </w:rPr>
        <w:t>1</w:t>
      </w:r>
      <w:r>
        <w:rPr>
          <w:i/>
          <w:iCs/>
        </w:rPr>
        <w:t>0款 不平整和松动的地面会给轮椅的通行带来困难，积水地面和软硬相间的铺装给拄拐杖者的通行带来危险，因此无障碍游览园路的路面应平整、防滑、不松动。</w:t>
      </w:r>
      <w:r>
        <w:rPr>
          <w:rFonts w:hint="eastAsia"/>
          <w:i/>
          <w:iCs/>
        </w:rPr>
        <w:t>在地形险要路段设置安全警示线可以起到提示作用，提示游人尤其是视觉障碍者危险地段的位置，设置安全护栏可以防止发生跌落、倾覆、侧翻事故。</w:t>
      </w:r>
    </w:p>
    <w:p>
      <w:pPr>
        <w:pStyle w:val="32"/>
        <w:numPr>
          <w:ilvl w:val="2"/>
          <w:numId w:val="43"/>
        </w:numPr>
        <w:spacing w:line="360" w:lineRule="auto"/>
        <w:ind w:firstLineChars="0"/>
        <w:outlineLvl w:val="2"/>
        <w:rPr>
          <w:rFonts w:ascii="宋体" w:hAnsi="宋体"/>
        </w:rPr>
      </w:pPr>
      <w:r>
        <w:rPr>
          <w:rFonts w:hint="eastAsia" w:ascii="宋体" w:hAnsi="宋体"/>
        </w:rPr>
        <w:t>游憩区的无障碍设计应符合下列规定：</w:t>
      </w:r>
    </w:p>
    <w:p>
      <w:pPr>
        <w:pStyle w:val="32"/>
        <w:numPr>
          <w:ilvl w:val="0"/>
          <w:numId w:val="54"/>
        </w:numPr>
        <w:spacing w:line="360" w:lineRule="auto"/>
        <w:ind w:firstLine="424" w:firstLineChars="202"/>
      </w:pPr>
      <w:r>
        <w:rPr>
          <w:rFonts w:hint="eastAsia" w:ascii="宋体" w:hAnsi="宋体"/>
        </w:rPr>
        <w:t>主要出入口或无障碍游览园路沿线应设置一定面积的无障碍游憩区</w:t>
      </w:r>
      <w:r>
        <w:rPr>
          <w:rFonts w:hint="eastAsia"/>
        </w:rPr>
        <w:t>；</w:t>
      </w:r>
    </w:p>
    <w:p>
      <w:pPr>
        <w:pStyle w:val="32"/>
        <w:numPr>
          <w:ilvl w:val="0"/>
          <w:numId w:val="54"/>
        </w:numPr>
        <w:spacing w:line="360" w:lineRule="auto"/>
        <w:ind w:firstLine="424" w:firstLineChars="202"/>
      </w:pPr>
      <w:r>
        <w:rPr>
          <w:rFonts w:hint="eastAsia" w:ascii="宋体" w:hAnsi="宋体"/>
        </w:rPr>
        <w:t>无障碍游憩区应方便轮椅通行，有高差时应设置轮椅坡道，地面应平整、防滑、不松动</w:t>
      </w:r>
      <w:r>
        <w:rPr>
          <w:rFonts w:hint="eastAsia"/>
        </w:rPr>
        <w:t>；</w:t>
      </w:r>
    </w:p>
    <w:p>
      <w:pPr>
        <w:pStyle w:val="32"/>
        <w:numPr>
          <w:ilvl w:val="0"/>
          <w:numId w:val="54"/>
        </w:numPr>
        <w:spacing w:line="360" w:lineRule="auto"/>
        <w:ind w:firstLine="424" w:firstLineChars="202"/>
        <w:rPr>
          <w:rFonts w:ascii="宋体" w:hAnsi="宋体"/>
        </w:rPr>
      </w:pPr>
      <w:r>
        <w:rPr>
          <w:rFonts w:hint="eastAsia" w:ascii="宋体" w:hAnsi="宋体"/>
        </w:rPr>
        <w:t>无障碍游憩区的广场树池宜高出广场地面，与广场地面相平的树池应加箅子；</w:t>
      </w:r>
    </w:p>
    <w:p>
      <w:pPr>
        <w:pStyle w:val="32"/>
        <w:numPr>
          <w:ilvl w:val="0"/>
          <w:numId w:val="54"/>
        </w:numPr>
        <w:spacing w:line="360" w:lineRule="auto"/>
        <w:ind w:firstLine="424" w:firstLineChars="202"/>
        <w:rPr>
          <w:rFonts w:ascii="宋体" w:hAnsi="宋体"/>
        </w:rPr>
      </w:pPr>
      <w:r>
        <w:rPr>
          <w:rFonts w:hint="eastAsia" w:ascii="宋体" w:hAnsi="宋体"/>
        </w:rPr>
        <w:t>无障碍游憩区的植物应具有较强的适应性和观赏性，尽量选用质感明显或具有芳香性气味的种类，不能选择有毒、有刺、飘絮、有刺激性气味或根茎容易露出地面的植物。</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iCs/>
        </w:rPr>
      </w:pPr>
      <w:r>
        <w:rPr>
          <w:i/>
          <w:iCs/>
        </w:rPr>
        <w:t>无障碍休憩区是为方便行动不便的游客游园，为其在园内的活动或休憩提供专用的区域，体现以人为本的设计原则。在无障碍出入口附近或无障碍游览园路沿线设置无障碍游憩区可以使行动不便的游客便于抵达，并宜设置专用</w:t>
      </w:r>
      <w:r>
        <w:rPr>
          <w:rFonts w:hint="eastAsia"/>
          <w:i/>
          <w:iCs/>
        </w:rPr>
        <w:t>标识</w:t>
      </w:r>
      <w:r>
        <w:rPr>
          <w:i/>
          <w:iCs/>
        </w:rPr>
        <w:t>以区别普通活动区域。</w:t>
      </w:r>
    </w:p>
    <w:p>
      <w:pPr>
        <w:pStyle w:val="32"/>
        <w:spacing w:line="360" w:lineRule="auto"/>
        <w:outlineLvl w:val="3"/>
        <w:rPr>
          <w:i/>
          <w:iCs/>
        </w:rPr>
      </w:pPr>
      <w:r>
        <w:rPr>
          <w:i/>
          <w:iCs/>
        </w:rPr>
        <w:t>第3款 广场树池高出广场地面，可以防止轮椅掉进树坑，如果树池与广场地面相平，加上与地面相平的箅子也可以防止轮椅的行进受到影响</w:t>
      </w:r>
      <w:r>
        <w:rPr>
          <w:rFonts w:hint="eastAsia"/>
          <w:i/>
          <w:iCs/>
        </w:rPr>
        <w:t>。</w:t>
      </w:r>
    </w:p>
    <w:p>
      <w:pPr>
        <w:pStyle w:val="32"/>
        <w:spacing w:line="360" w:lineRule="auto"/>
        <w:outlineLvl w:val="3"/>
        <w:rPr>
          <w:rFonts w:ascii="宋体" w:hAnsi="宋体"/>
        </w:rPr>
      </w:pPr>
      <w:r>
        <w:rPr>
          <w:rFonts w:hint="eastAsia"/>
          <w:i/>
          <w:iCs/>
        </w:rPr>
        <w:t>第4款 应慎重选择无障碍游憩区的植物选择。</w:t>
      </w:r>
    </w:p>
    <w:p>
      <w:pPr>
        <w:pStyle w:val="32"/>
        <w:numPr>
          <w:ilvl w:val="2"/>
          <w:numId w:val="43"/>
        </w:numPr>
        <w:spacing w:line="360" w:lineRule="auto"/>
        <w:ind w:firstLineChars="0"/>
        <w:outlineLvl w:val="2"/>
        <w:rPr>
          <w:rFonts w:ascii="宋体" w:hAnsi="宋体"/>
        </w:rPr>
      </w:pPr>
      <w:r>
        <w:rPr>
          <w:rFonts w:hint="eastAsia" w:ascii="宋体" w:hAnsi="宋体"/>
        </w:rPr>
        <w:t>在主要出入口、主要景点和景区，无障碍游憩区内的游憩设施、服务设施、公共设施、管理设施应为无障碍设施。</w:t>
      </w:r>
    </w:p>
    <w:p>
      <w:pPr>
        <w:pStyle w:val="32"/>
        <w:numPr>
          <w:ilvl w:val="2"/>
          <w:numId w:val="43"/>
        </w:numPr>
        <w:spacing w:line="360" w:lineRule="auto"/>
        <w:ind w:firstLineChars="0"/>
        <w:outlineLvl w:val="2"/>
        <w:rPr>
          <w:rFonts w:ascii="宋体" w:hAnsi="宋体"/>
        </w:rPr>
      </w:pPr>
      <w:r>
        <w:rPr>
          <w:rFonts w:hint="eastAsia" w:ascii="宋体" w:hAnsi="宋体"/>
        </w:rPr>
        <w:t>游憩设施的无障碍设计应符合下列规定：</w:t>
      </w:r>
    </w:p>
    <w:p>
      <w:pPr>
        <w:pStyle w:val="32"/>
        <w:numPr>
          <w:ilvl w:val="0"/>
          <w:numId w:val="55"/>
        </w:numPr>
        <w:spacing w:line="360" w:lineRule="auto"/>
        <w:ind w:firstLine="424" w:firstLineChars="202"/>
      </w:pPr>
      <w:r>
        <w:rPr>
          <w:rFonts w:hint="eastAsia" w:ascii="宋体" w:hAnsi="宋体"/>
        </w:rPr>
        <w:t>在没有特殊景观要求的前提下，应设为无障碍游憩设施</w:t>
      </w:r>
      <w:r>
        <w:rPr>
          <w:rFonts w:hint="eastAsia"/>
        </w:rPr>
        <w:t>；</w:t>
      </w:r>
    </w:p>
    <w:p>
      <w:pPr>
        <w:pStyle w:val="32"/>
        <w:numPr>
          <w:ilvl w:val="0"/>
          <w:numId w:val="55"/>
        </w:numPr>
        <w:spacing w:line="360" w:lineRule="auto"/>
        <w:ind w:firstLine="424" w:firstLineChars="202"/>
      </w:pPr>
      <w:r>
        <w:rPr>
          <w:rFonts w:hint="eastAsia" w:ascii="宋体" w:hAnsi="宋体"/>
        </w:rPr>
        <w:t>单体建筑和组合建筑包括亭、廊、榭、花架等，若有台明和台阶时，台明不宜过高，入口应设置坡道，建筑室内应满足无障碍通行</w:t>
      </w:r>
      <w:r>
        <w:rPr>
          <w:rFonts w:hint="eastAsia"/>
        </w:rPr>
        <w:t>；</w:t>
      </w:r>
    </w:p>
    <w:p>
      <w:pPr>
        <w:pStyle w:val="32"/>
        <w:numPr>
          <w:ilvl w:val="0"/>
          <w:numId w:val="55"/>
        </w:numPr>
        <w:spacing w:line="360" w:lineRule="auto"/>
        <w:ind w:firstLine="424" w:firstLineChars="202"/>
        <w:rPr>
          <w:rFonts w:ascii="宋体" w:hAnsi="宋体"/>
        </w:rPr>
      </w:pPr>
      <w:r>
        <w:rPr>
          <w:rFonts w:hint="eastAsia" w:ascii="宋体" w:hAnsi="宋体"/>
        </w:rPr>
        <w:t>建筑院落的出入口以及院内广场、通道有高差时。应设置轮椅坡道；有三个以上出入口时，至少应设两个无障碍出入口，建筑院落的内廊或通道的宽度不应小于1.20m；</w:t>
      </w:r>
    </w:p>
    <w:p>
      <w:pPr>
        <w:pStyle w:val="32"/>
        <w:numPr>
          <w:ilvl w:val="0"/>
          <w:numId w:val="55"/>
        </w:numPr>
        <w:spacing w:line="360" w:lineRule="auto"/>
        <w:ind w:firstLine="424" w:firstLineChars="202"/>
        <w:rPr>
          <w:rFonts w:ascii="宋体" w:hAnsi="宋体"/>
        </w:rPr>
      </w:pPr>
      <w:r>
        <w:rPr>
          <w:rFonts w:hint="eastAsia" w:ascii="宋体" w:hAnsi="宋体"/>
        </w:rPr>
        <w:t>码头与无障碍园路和广场衔接处有高差时应设置轮椅坡道；</w:t>
      </w:r>
    </w:p>
    <w:p>
      <w:pPr>
        <w:pStyle w:val="32"/>
        <w:numPr>
          <w:ilvl w:val="0"/>
          <w:numId w:val="55"/>
        </w:numPr>
        <w:spacing w:line="360" w:lineRule="auto"/>
        <w:ind w:firstLine="424" w:firstLineChars="202"/>
        <w:rPr>
          <w:rFonts w:ascii="宋体" w:hAnsi="宋体"/>
        </w:rPr>
      </w:pPr>
      <w:r>
        <w:rPr>
          <w:rFonts w:hint="eastAsia" w:ascii="宋体" w:hAnsi="宋体"/>
        </w:rPr>
        <w:t>无障碍游览路线上的桥应为平桥或坡度在8％以下的小拱桥，宽度不应小于1.20m，桥面应防滑，两侧应设栏杆。桥面与园路、广场衔接有高差时应设轮椅坡道。</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iCs/>
        </w:rPr>
      </w:pPr>
      <w:r>
        <w:rPr>
          <w:i/>
          <w:iCs/>
        </w:rPr>
        <w:t>无障碍游憩设施主要是指为行动不便的人群提供必要的游憩、观赏、娱乐、休息、活动等内容的游憩设施，包括单体建筑、组合建筑、建筑院落、码头、桥、活动场等。</w:t>
      </w:r>
    </w:p>
    <w:p>
      <w:pPr>
        <w:pStyle w:val="32"/>
        <w:spacing w:line="360" w:lineRule="auto"/>
        <w:outlineLvl w:val="3"/>
        <w:rPr>
          <w:i/>
          <w:iCs/>
        </w:rPr>
      </w:pPr>
      <w:r>
        <w:rPr>
          <w:rFonts w:hint="eastAsia"/>
          <w:i/>
          <w:iCs/>
        </w:rPr>
        <w:t xml:space="preserve">第2款 </w:t>
      </w:r>
      <w:r>
        <w:rPr>
          <w:i/>
          <w:iCs/>
        </w:rPr>
        <w:t>单体建筑和组合建筑均应符合无障碍设计的要求。入口有台明和台阶时，台明不宜过高，否则轮椅坡道会较长，甚至影响建筑的景观效果。室内地面有台阶时，应设置满足轮椅通行的坡道。</w:t>
      </w:r>
    </w:p>
    <w:p>
      <w:pPr>
        <w:pStyle w:val="32"/>
        <w:spacing w:line="360" w:lineRule="auto"/>
        <w:outlineLvl w:val="3"/>
        <w:rPr>
          <w:i/>
          <w:iCs/>
        </w:rPr>
      </w:pPr>
      <w:r>
        <w:rPr>
          <w:rFonts w:hint="eastAsia"/>
          <w:i/>
          <w:iCs/>
        </w:rPr>
        <w:t xml:space="preserve">第3款 </w:t>
      </w:r>
      <w:r>
        <w:rPr>
          <w:i/>
          <w:iCs/>
        </w:rPr>
        <w:t>院落的出入口、院内广场、通道以及内廊之间应能形成连续的无障碍游线，有高差时，应设置轮椅坡道。为避免迂回，在有三个以上出入口时，应设两个以上无障碍出入口，并在不同方向。院落内廊宽度至少要满足一辆轮椅和一个行人能同时通行，因此宽度不宜小于1．20m。</w:t>
      </w:r>
    </w:p>
    <w:p>
      <w:pPr>
        <w:pStyle w:val="32"/>
        <w:spacing w:line="360" w:lineRule="auto"/>
        <w:outlineLvl w:val="3"/>
        <w:rPr>
          <w:rFonts w:ascii="宋体" w:hAnsi="宋体"/>
        </w:rPr>
      </w:pPr>
      <w:r>
        <w:rPr>
          <w:rFonts w:hint="eastAsia"/>
          <w:i/>
          <w:iCs/>
        </w:rPr>
        <w:t xml:space="preserve">第4款 </w:t>
      </w:r>
      <w:r>
        <w:rPr>
          <w:i/>
          <w:iCs/>
        </w:rPr>
        <w:t>码头只规定码头与无障碍园路和广场衔接处应满足无障碍设计的规定，连接码头与船台甲板以及甲板与渡船之间的专用设施或通道也应为无障碍的，但因为非本标准适用范围，条文并未列出。</w:t>
      </w:r>
    </w:p>
    <w:p>
      <w:pPr>
        <w:pStyle w:val="32"/>
        <w:numPr>
          <w:ilvl w:val="2"/>
          <w:numId w:val="43"/>
        </w:numPr>
        <w:spacing w:line="360" w:lineRule="auto"/>
        <w:ind w:firstLineChars="0"/>
        <w:outlineLvl w:val="2"/>
        <w:rPr>
          <w:rFonts w:ascii="宋体" w:hAnsi="宋体"/>
        </w:rPr>
      </w:pPr>
      <w:r>
        <w:rPr>
          <w:rFonts w:hint="eastAsia" w:ascii="宋体" w:hAnsi="宋体"/>
        </w:rPr>
        <w:t>服务设施的无障碍设计应符合下列规定：</w:t>
      </w:r>
    </w:p>
    <w:p>
      <w:pPr>
        <w:pStyle w:val="32"/>
        <w:numPr>
          <w:ilvl w:val="0"/>
          <w:numId w:val="56"/>
        </w:numPr>
        <w:spacing w:line="360" w:lineRule="auto"/>
        <w:ind w:firstLine="424" w:firstLineChars="202"/>
      </w:pPr>
      <w:r>
        <w:rPr>
          <w:rFonts w:hint="eastAsia" w:ascii="宋体" w:hAnsi="宋体"/>
        </w:rPr>
        <w:t>园内配套餐饮、商业和场馆的无障碍出入口处应设置提示盲道，高差处应以无障碍坡地形过渡或设置轮椅坡道。其内应设置低位服务台、休息设施和无障碍标识</w:t>
      </w:r>
      <w:r>
        <w:rPr>
          <w:rFonts w:hint="eastAsia"/>
        </w:rPr>
        <w:t>；</w:t>
      </w:r>
    </w:p>
    <w:p>
      <w:pPr>
        <w:pStyle w:val="32"/>
        <w:numPr>
          <w:ilvl w:val="0"/>
          <w:numId w:val="56"/>
        </w:numPr>
        <w:spacing w:line="360" w:lineRule="auto"/>
        <w:ind w:firstLine="424" w:firstLineChars="202"/>
      </w:pPr>
      <w:r>
        <w:rPr>
          <w:rFonts w:hint="eastAsia" w:ascii="宋体" w:hAnsi="宋体"/>
        </w:rPr>
        <w:t>小卖店等的售货窗口应设置低位窗口</w:t>
      </w:r>
      <w:r>
        <w:rPr>
          <w:rFonts w:hint="eastAsia"/>
        </w:rPr>
        <w:t>；</w:t>
      </w:r>
    </w:p>
    <w:p>
      <w:pPr>
        <w:pStyle w:val="32"/>
        <w:numPr>
          <w:ilvl w:val="0"/>
          <w:numId w:val="56"/>
        </w:numPr>
        <w:spacing w:line="360" w:lineRule="auto"/>
        <w:ind w:firstLine="424" w:firstLineChars="202"/>
        <w:rPr>
          <w:rFonts w:ascii="宋体" w:hAnsi="宋体"/>
        </w:rPr>
      </w:pPr>
      <w:r>
        <w:rPr>
          <w:rFonts w:hint="eastAsia" w:ascii="宋体" w:hAnsi="宋体"/>
        </w:rPr>
        <w:t>茶座、咖啡厅、餐厅、摄影部等出入口应为无障碍出入口。应提供一定数量的轮椅席位；</w:t>
      </w:r>
    </w:p>
    <w:p>
      <w:pPr>
        <w:pStyle w:val="32"/>
        <w:numPr>
          <w:ilvl w:val="0"/>
          <w:numId w:val="56"/>
        </w:numPr>
        <w:spacing w:line="360" w:lineRule="auto"/>
        <w:ind w:firstLine="424" w:firstLineChars="202"/>
        <w:rPr>
          <w:rFonts w:ascii="宋体" w:hAnsi="宋体"/>
        </w:rPr>
      </w:pPr>
      <w:r>
        <w:rPr>
          <w:rFonts w:hint="eastAsia" w:ascii="宋体" w:hAnsi="宋体"/>
        </w:rPr>
        <w:t>服务台、业务台、咨询台、售货柜台等应设有低位服务设施。</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rPr>
      </w:pPr>
      <w:r>
        <w:rPr>
          <w:i/>
          <w:iCs/>
        </w:rPr>
        <w:t>服务设施包括小卖店、茶座、咖啡厅、餐厅、摄影部以及服务台、业务台、咨询台、售货柜台等，均应满足无障碍设计的要求。</w:t>
      </w:r>
    </w:p>
    <w:p>
      <w:pPr>
        <w:pStyle w:val="32"/>
        <w:numPr>
          <w:ilvl w:val="2"/>
          <w:numId w:val="43"/>
        </w:numPr>
        <w:spacing w:line="360" w:lineRule="auto"/>
        <w:ind w:firstLineChars="0"/>
        <w:outlineLvl w:val="2"/>
        <w:rPr>
          <w:rFonts w:ascii="宋体" w:hAnsi="宋体"/>
        </w:rPr>
      </w:pPr>
      <w:r>
        <w:rPr>
          <w:rFonts w:hint="eastAsia" w:ascii="宋体" w:hAnsi="宋体"/>
        </w:rPr>
        <w:t>公共设施的无障碍设计应符合下列规定：</w:t>
      </w:r>
    </w:p>
    <w:p>
      <w:pPr>
        <w:pStyle w:val="32"/>
        <w:numPr>
          <w:ilvl w:val="0"/>
          <w:numId w:val="57"/>
        </w:numPr>
        <w:spacing w:line="360" w:lineRule="auto"/>
        <w:ind w:firstLine="424" w:firstLineChars="202"/>
      </w:pPr>
      <w:r>
        <w:rPr>
          <w:rFonts w:hint="eastAsia" w:ascii="宋体" w:hAnsi="宋体"/>
        </w:rPr>
        <w:t>公共厕所应满足本标准第4</w:t>
      </w:r>
      <w:r>
        <w:rPr>
          <w:rFonts w:ascii="宋体" w:hAnsi="宋体"/>
        </w:rPr>
        <w:t>.2</w:t>
      </w:r>
      <w:r>
        <w:rPr>
          <w:rFonts w:hint="eastAsia" w:ascii="宋体" w:hAnsi="宋体"/>
        </w:rPr>
        <w:t>.</w:t>
      </w:r>
      <w:r>
        <w:rPr>
          <w:rFonts w:ascii="宋体" w:hAnsi="宋体"/>
        </w:rPr>
        <w:t>3</w:t>
      </w:r>
      <w:r>
        <w:rPr>
          <w:rFonts w:hint="eastAsia" w:ascii="宋体" w:hAnsi="宋体"/>
        </w:rPr>
        <w:t>条的有关规定，独立设置可满足家庭异性和母婴照顾的无障碍卫生间，并应设置相应的引导标识</w:t>
      </w:r>
      <w:r>
        <w:rPr>
          <w:rFonts w:hint="eastAsia"/>
        </w:rPr>
        <w:t>；</w:t>
      </w:r>
    </w:p>
    <w:p>
      <w:pPr>
        <w:pStyle w:val="32"/>
        <w:numPr>
          <w:ilvl w:val="0"/>
          <w:numId w:val="57"/>
        </w:numPr>
        <w:spacing w:line="360" w:lineRule="auto"/>
        <w:ind w:firstLine="424" w:firstLineChars="202"/>
      </w:pPr>
      <w:r>
        <w:rPr>
          <w:rFonts w:hint="eastAsia" w:ascii="宋体" w:hAnsi="宋体"/>
        </w:rPr>
        <w:t>饮水器、洗手台、垃圾箱等小品的设置应方便轮椅者使用者</w:t>
      </w:r>
      <w:r>
        <w:rPr>
          <w:rFonts w:ascii="宋体" w:hAnsi="宋体"/>
        </w:rPr>
        <w:t>的</w:t>
      </w:r>
      <w:r>
        <w:rPr>
          <w:rFonts w:hint="eastAsia" w:ascii="宋体" w:hAnsi="宋体"/>
        </w:rPr>
        <w:t>使用</w:t>
      </w:r>
      <w:r>
        <w:rPr>
          <w:rFonts w:hint="eastAsia"/>
        </w:rPr>
        <w:t>；</w:t>
      </w:r>
    </w:p>
    <w:p>
      <w:pPr>
        <w:pStyle w:val="32"/>
        <w:numPr>
          <w:ilvl w:val="0"/>
          <w:numId w:val="57"/>
        </w:numPr>
        <w:spacing w:line="360" w:lineRule="auto"/>
        <w:ind w:firstLine="424" w:firstLineChars="202"/>
        <w:rPr>
          <w:rFonts w:ascii="宋体" w:hAnsi="宋体"/>
        </w:rPr>
      </w:pPr>
      <w:r>
        <w:rPr>
          <w:rFonts w:hint="eastAsia" w:ascii="宋体" w:hAnsi="宋体"/>
        </w:rPr>
        <w:t>游客服务中心应符合本标准第</w:t>
      </w:r>
      <w:r>
        <w:rPr>
          <w:rFonts w:ascii="宋体" w:hAnsi="宋体"/>
        </w:rPr>
        <w:t>8.</w:t>
      </w:r>
      <w:r>
        <w:rPr>
          <w:rFonts w:hint="eastAsia" w:ascii="宋体" w:hAnsi="宋体"/>
        </w:rPr>
        <w:t>3</w:t>
      </w:r>
      <w:r>
        <w:rPr>
          <w:rFonts w:ascii="宋体" w:hAnsi="宋体"/>
        </w:rPr>
        <w:t>.8</w:t>
      </w:r>
      <w:r>
        <w:rPr>
          <w:rFonts w:hint="eastAsia" w:ascii="宋体" w:hAnsi="宋体"/>
        </w:rPr>
        <w:t>条的有关规定；</w:t>
      </w:r>
    </w:p>
    <w:p>
      <w:pPr>
        <w:pStyle w:val="32"/>
        <w:numPr>
          <w:ilvl w:val="0"/>
          <w:numId w:val="57"/>
        </w:numPr>
        <w:ind w:firstLine="424" w:firstLineChars="202"/>
        <w:rPr>
          <w:rFonts w:ascii="宋体" w:hAnsi="宋体"/>
        </w:rPr>
      </w:pPr>
      <w:r>
        <w:rPr>
          <w:rFonts w:hint="eastAsia" w:ascii="宋体" w:hAnsi="宋体"/>
        </w:rPr>
        <w:t>休息座椅旁应设置轮椅及婴儿车的停留空间，且设置数量不少于总数量的10%；</w:t>
      </w:r>
    </w:p>
    <w:p>
      <w:pPr>
        <w:pStyle w:val="32"/>
        <w:numPr>
          <w:ilvl w:val="0"/>
          <w:numId w:val="57"/>
        </w:numPr>
        <w:spacing w:line="360" w:lineRule="auto"/>
        <w:ind w:firstLine="424" w:firstLineChars="202"/>
        <w:rPr>
          <w:rFonts w:ascii="宋体" w:hAnsi="宋体"/>
        </w:rPr>
      </w:pPr>
      <w:r>
        <w:rPr>
          <w:rFonts w:hint="eastAsia" w:ascii="宋体" w:hAnsi="宋体"/>
        </w:rPr>
        <w:t>园内的城市应急避难区域不应设置台阶，其高差处应以无障碍坡地形式连接。其配套储备物资内应配备轮椅、拐杖和担架等辅助设备；</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i/>
          <w:iCs/>
        </w:rPr>
      </w:pPr>
      <w:r>
        <w:rPr>
          <w:i/>
          <w:iCs/>
        </w:rPr>
        <w:t>公共设施包括公共厕所、饮水器、洗手台、垃圾箱、游客服务中心和休息座椅等，均应满足无障碍设计的要求。</w:t>
      </w:r>
    </w:p>
    <w:p>
      <w:pPr>
        <w:pStyle w:val="32"/>
        <w:spacing w:line="360" w:lineRule="auto"/>
        <w:outlineLvl w:val="3"/>
        <w:rPr>
          <w:i/>
          <w:iCs/>
        </w:rPr>
      </w:pPr>
      <w:r>
        <w:rPr>
          <w:rFonts w:hint="eastAsia"/>
          <w:i/>
          <w:iCs/>
        </w:rPr>
        <w:t>第4款 专设轮椅和婴儿车停留空间可保证正常人流道路的畅通。</w:t>
      </w:r>
    </w:p>
    <w:p>
      <w:pPr>
        <w:pStyle w:val="32"/>
        <w:spacing w:line="360" w:lineRule="auto"/>
        <w:outlineLvl w:val="3"/>
        <w:rPr>
          <w:rFonts w:ascii="宋体" w:hAnsi="宋体"/>
        </w:rPr>
      </w:pPr>
      <w:r>
        <w:rPr>
          <w:rFonts w:hint="eastAsia"/>
          <w:i/>
          <w:iCs/>
        </w:rPr>
        <w:t>第5款 城市应急避难区域应遵循场地安全、交通便利和出入方便的原则。</w:t>
      </w:r>
    </w:p>
    <w:p>
      <w:pPr>
        <w:pStyle w:val="32"/>
        <w:numPr>
          <w:ilvl w:val="2"/>
          <w:numId w:val="43"/>
        </w:numPr>
        <w:spacing w:line="360" w:lineRule="auto"/>
        <w:ind w:firstLineChars="0"/>
        <w:outlineLvl w:val="2"/>
        <w:rPr>
          <w:rFonts w:ascii="宋体" w:hAnsi="宋体"/>
        </w:rPr>
      </w:pPr>
      <w:r>
        <w:rPr>
          <w:rFonts w:hint="eastAsia" w:ascii="宋体" w:hAnsi="宋体"/>
        </w:rPr>
        <w:t>管理设施的无障碍设计应参照本标准第8.3.2条的有关规定。</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rPr>
      </w:pPr>
      <w:r>
        <w:rPr>
          <w:i/>
          <w:iCs/>
        </w:rPr>
        <w:t>管理设施主要是指各种面向游客的管理功能的建筑，如：管理处、派出所等，均应满足无障碍设计的要求。</w:t>
      </w:r>
    </w:p>
    <w:p>
      <w:pPr>
        <w:pStyle w:val="32"/>
        <w:numPr>
          <w:ilvl w:val="2"/>
          <w:numId w:val="43"/>
        </w:numPr>
        <w:spacing w:line="360" w:lineRule="auto"/>
        <w:ind w:firstLineChars="0"/>
        <w:outlineLvl w:val="2"/>
        <w:rPr>
          <w:rFonts w:ascii="宋体" w:hAnsi="宋体"/>
        </w:rPr>
      </w:pPr>
      <w:r>
        <w:rPr>
          <w:rFonts w:hint="eastAsia" w:ascii="宋体" w:hAnsi="宋体"/>
        </w:rPr>
        <w:t>不同类别公园绿地的无障碍设计，尚应符合下列规定：</w:t>
      </w:r>
    </w:p>
    <w:p>
      <w:pPr>
        <w:pStyle w:val="32"/>
        <w:numPr>
          <w:ilvl w:val="0"/>
          <w:numId w:val="58"/>
        </w:numPr>
        <w:spacing w:line="360" w:lineRule="auto"/>
        <w:ind w:firstLine="424" w:firstLineChars="202"/>
      </w:pPr>
      <w:r>
        <w:rPr>
          <w:rFonts w:hint="eastAsia" w:ascii="宋体" w:hAnsi="宋体"/>
        </w:rPr>
        <w:t>大型植物园宜设置视觉障碍者植物区域或者植物角，并提供语音服务、盲文铭牌等供视觉障碍者使用的设施</w:t>
      </w:r>
      <w:r>
        <w:rPr>
          <w:rFonts w:hint="eastAsia"/>
        </w:rPr>
        <w:t>；</w:t>
      </w:r>
    </w:p>
    <w:p>
      <w:pPr>
        <w:pStyle w:val="32"/>
        <w:numPr>
          <w:ilvl w:val="0"/>
          <w:numId w:val="58"/>
        </w:numPr>
        <w:spacing w:line="360" w:lineRule="auto"/>
        <w:ind w:firstLine="424" w:firstLineChars="202"/>
        <w:rPr>
          <w:rFonts w:ascii="宋体" w:hAnsi="宋体"/>
        </w:rPr>
      </w:pPr>
      <w:r>
        <w:rPr>
          <w:rFonts w:hint="eastAsia" w:ascii="宋体" w:hAnsi="宋体"/>
        </w:rPr>
        <w:t>绿地内展览区、展示区、动物园的动物展示区应设置便于轮椅使用者参观的窗口或位置。</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b/>
          <w:i/>
        </w:rPr>
      </w:pPr>
      <w:r>
        <w:rPr>
          <w:i/>
          <w:iCs/>
        </w:rPr>
        <w:t>第1款 视觉障碍者可以通过触摸嗅闻和言传而领悟周围环境，感应周围的动物和植物，开阔思想和生活空间，增加生活情趣，感受大自然的赋予，因此大型植物园宜设置盲人植物区域或者植物角。使其游览更为方便和享受其中的乐趣。</w:t>
      </w:r>
    </w:p>
    <w:p>
      <w:pPr>
        <w:pStyle w:val="32"/>
        <w:spacing w:line="360" w:lineRule="auto"/>
        <w:outlineLvl w:val="3"/>
        <w:rPr>
          <w:rFonts w:ascii="宋体" w:hAnsi="宋体"/>
        </w:rPr>
      </w:pPr>
      <w:r>
        <w:rPr>
          <w:i/>
          <w:iCs/>
        </w:rPr>
        <w:t>第2款 各类公园的展示区、展览区也应充分考虑各种人群的不同需要，要使乘坐轮椅者便于靠近围栏或矮围墙，并留出一定数量便于乘坐轮椅者观看的窗口和位置。</w:t>
      </w:r>
    </w:p>
    <w:p>
      <w:pPr>
        <w:pStyle w:val="32"/>
        <w:numPr>
          <w:ilvl w:val="2"/>
          <w:numId w:val="43"/>
        </w:numPr>
        <w:spacing w:line="360" w:lineRule="auto"/>
        <w:ind w:firstLineChars="0"/>
        <w:outlineLvl w:val="2"/>
        <w:rPr>
          <w:rFonts w:ascii="宋体" w:hAnsi="宋体"/>
          <w:b/>
          <w:bCs/>
        </w:rPr>
      </w:pPr>
      <w:r>
        <w:rPr>
          <w:rFonts w:hint="eastAsia" w:ascii="宋体" w:hAnsi="宋体"/>
        </w:rPr>
        <w:t>附属绿地中开放式绿地、区域绿地中风景游憩绿地和其他绿地中开放式绿地应进行无障碍设计</w:t>
      </w:r>
      <w:r>
        <w:rPr>
          <w:rFonts w:hint="eastAsia" w:ascii="宋体" w:hAnsi="宋体"/>
          <w:b/>
          <w:bCs/>
        </w:rPr>
        <w:t>。</w:t>
      </w:r>
    </w:p>
    <w:p>
      <w:pPr>
        <w:widowControl/>
        <w:jc w:val="left"/>
        <w:rPr>
          <w:rFonts w:ascii="宋体" w:hAnsi="宋体"/>
          <w:b/>
          <w:bCs/>
        </w:rPr>
      </w:pPr>
      <w:r>
        <w:rPr>
          <w:rFonts w:ascii="宋体" w:hAnsi="宋体"/>
          <w:b/>
          <w:bCs/>
        </w:rPr>
        <w:br w:type="page"/>
      </w:r>
    </w:p>
    <w:p>
      <w:pPr>
        <w:pStyle w:val="32"/>
        <w:numPr>
          <w:ilvl w:val="0"/>
          <w:numId w:val="59"/>
        </w:numPr>
        <w:spacing w:line="360" w:lineRule="auto"/>
        <w:ind w:firstLineChars="0"/>
        <w:jc w:val="center"/>
        <w:outlineLvl w:val="0"/>
        <w:rPr>
          <w:rFonts w:ascii="Times New Roman" w:hAnsi="Times New Roman" w:cs="Times New Roman"/>
          <w:b/>
          <w:bCs/>
          <w:sz w:val="32"/>
          <w:szCs w:val="32"/>
        </w:rPr>
      </w:pPr>
      <w:bookmarkStart w:id="252" w:name="_Toc20420200"/>
      <w:bookmarkStart w:id="253" w:name="_Toc1153"/>
      <w:bookmarkStart w:id="254" w:name="_Toc23437785"/>
      <w:bookmarkStart w:id="255" w:name="_Toc15577174"/>
      <w:bookmarkStart w:id="256" w:name="_Toc15592546"/>
      <w:r>
        <w:rPr>
          <w:rFonts w:hint="eastAsia" w:ascii="Times New Roman" w:hAnsi="Times New Roman" w:cs="Times New Roman"/>
          <w:b/>
          <w:bCs/>
          <w:sz w:val="32"/>
          <w:szCs w:val="32"/>
        </w:rPr>
        <w:t>建筑</w:t>
      </w:r>
      <w:bookmarkEnd w:id="252"/>
      <w:bookmarkEnd w:id="253"/>
      <w:r>
        <w:rPr>
          <w:rFonts w:hint="eastAsia" w:ascii="Times New Roman" w:hAnsi="Times New Roman" w:cs="Times New Roman"/>
          <w:b/>
          <w:bCs/>
          <w:sz w:val="32"/>
          <w:szCs w:val="32"/>
        </w:rPr>
        <w:t>工程</w:t>
      </w:r>
      <w:bookmarkEnd w:id="254"/>
    </w:p>
    <w:p>
      <w:pPr>
        <w:pStyle w:val="32"/>
        <w:numPr>
          <w:ilvl w:val="0"/>
          <w:numId w:val="43"/>
        </w:numPr>
        <w:spacing w:line="360" w:lineRule="auto"/>
        <w:ind w:firstLineChars="0"/>
        <w:outlineLvl w:val="1"/>
        <w:rPr>
          <w:rFonts w:ascii="宋体" w:hAnsi="宋体"/>
          <w:vanish/>
        </w:rPr>
      </w:pPr>
      <w:bookmarkStart w:id="257" w:name="_Toc19732268"/>
      <w:bookmarkEnd w:id="257"/>
      <w:bookmarkStart w:id="258" w:name="_Toc23437786"/>
      <w:bookmarkEnd w:id="258"/>
      <w:bookmarkStart w:id="259" w:name="_Toc19737503"/>
      <w:bookmarkEnd w:id="259"/>
      <w:bookmarkStart w:id="260" w:name="_Toc20420202"/>
      <w:bookmarkEnd w:id="260"/>
      <w:bookmarkStart w:id="261" w:name="_Toc19732797"/>
      <w:bookmarkEnd w:id="261"/>
      <w:bookmarkStart w:id="262" w:name="_Toc19736322"/>
      <w:bookmarkEnd w:id="262"/>
      <w:bookmarkStart w:id="263" w:name="_Toc19732707"/>
      <w:bookmarkEnd w:id="263"/>
      <w:bookmarkStart w:id="264" w:name="_Toc19732670"/>
      <w:bookmarkEnd w:id="264"/>
      <w:bookmarkStart w:id="265" w:name="_Toc19732744"/>
      <w:bookmarkEnd w:id="265"/>
      <w:bookmarkStart w:id="266" w:name="_Toc19732633"/>
      <w:bookmarkEnd w:id="266"/>
      <w:bookmarkStart w:id="267" w:name="_Toc20420201"/>
      <w:bookmarkEnd w:id="267"/>
      <w:bookmarkStart w:id="268" w:name="_Toc19732269"/>
      <w:bookmarkEnd w:id="268"/>
      <w:bookmarkStart w:id="269" w:name="_Toc19736321"/>
      <w:bookmarkEnd w:id="269"/>
      <w:bookmarkStart w:id="270" w:name="_Toc19737502"/>
      <w:bookmarkEnd w:id="270"/>
      <w:bookmarkStart w:id="271" w:name="_Toc19732706"/>
      <w:bookmarkEnd w:id="271"/>
      <w:bookmarkStart w:id="272" w:name="_Toc19732743"/>
      <w:bookmarkEnd w:id="272"/>
      <w:bookmarkStart w:id="273" w:name="_Toc19732632"/>
      <w:bookmarkEnd w:id="273"/>
      <w:bookmarkStart w:id="274" w:name="_Toc19732669"/>
      <w:bookmarkEnd w:id="274"/>
      <w:bookmarkStart w:id="275" w:name="_Toc19732796"/>
      <w:bookmarkEnd w:id="275"/>
      <w:bookmarkStart w:id="276" w:name="_Toc19195305"/>
      <w:bookmarkEnd w:id="276"/>
      <w:bookmarkStart w:id="277" w:name="_Toc19195340"/>
      <w:bookmarkEnd w:id="277"/>
      <w:bookmarkStart w:id="278" w:name="_Toc19195253"/>
      <w:bookmarkEnd w:id="278"/>
      <w:bookmarkStart w:id="279" w:name="_Toc19635242"/>
      <w:bookmarkEnd w:id="279"/>
      <w:bookmarkStart w:id="280" w:name="_Toc19175504"/>
      <w:bookmarkEnd w:id="280"/>
      <w:bookmarkStart w:id="281" w:name="_Toc19175470"/>
      <w:bookmarkEnd w:id="281"/>
    </w:p>
    <w:p>
      <w:pPr>
        <w:pStyle w:val="32"/>
        <w:numPr>
          <w:ilvl w:val="1"/>
          <w:numId w:val="43"/>
        </w:numPr>
        <w:spacing w:line="360" w:lineRule="auto"/>
        <w:ind w:firstLineChars="0"/>
        <w:jc w:val="center"/>
        <w:outlineLvl w:val="1"/>
        <w:rPr>
          <w:rFonts w:ascii="宋体" w:hAnsi="宋体"/>
        </w:rPr>
      </w:pPr>
      <w:bookmarkStart w:id="282" w:name="_Toc23437787"/>
      <w:bookmarkStart w:id="283" w:name="_Toc20420203"/>
      <w:r>
        <w:rPr>
          <w:rFonts w:hint="eastAsia" w:ascii="宋体" w:hAnsi="宋体"/>
        </w:rPr>
        <w:t>一般规定</w:t>
      </w:r>
      <w:bookmarkEnd w:id="282"/>
      <w:bookmarkEnd w:id="283"/>
    </w:p>
    <w:p>
      <w:pPr>
        <w:pStyle w:val="32"/>
        <w:numPr>
          <w:ilvl w:val="2"/>
          <w:numId w:val="43"/>
        </w:numPr>
        <w:spacing w:line="360" w:lineRule="auto"/>
        <w:ind w:firstLineChars="0"/>
        <w:outlineLvl w:val="2"/>
        <w:rPr>
          <w:rFonts w:ascii="宋体" w:hAnsi="宋体"/>
        </w:rPr>
      </w:pPr>
      <w:r>
        <w:rPr>
          <w:rFonts w:hint="eastAsia" w:ascii="宋体" w:hAnsi="宋体"/>
        </w:rPr>
        <w:t>建筑工程包括居</w:t>
      </w:r>
      <w:r>
        <w:rPr>
          <w:rFonts w:hint="eastAsia"/>
        </w:rPr>
        <w:t>住建筑、公共建筑、工业建筑，均</w:t>
      </w:r>
      <w:r>
        <w:t>应进行无障碍设计</w:t>
      </w:r>
      <w:r>
        <w:rPr>
          <w:rFonts w:hint="eastAsia"/>
        </w:rPr>
        <w:t>。</w:t>
      </w:r>
    </w:p>
    <w:p>
      <w:pPr>
        <w:pStyle w:val="32"/>
        <w:numPr>
          <w:ilvl w:val="2"/>
          <w:numId w:val="43"/>
        </w:numPr>
        <w:spacing w:line="360" w:lineRule="auto"/>
        <w:ind w:firstLineChars="0"/>
        <w:outlineLvl w:val="2"/>
        <w:rPr>
          <w:rFonts w:ascii="宋体" w:hAnsi="宋体"/>
        </w:rPr>
      </w:pPr>
      <w:r>
        <w:rPr>
          <w:rFonts w:hint="eastAsia"/>
        </w:rPr>
        <w:t>建筑工程无障碍设计应符合《无障碍设计规范》（</w:t>
      </w:r>
      <w:r>
        <w:t>GB50763-2012</w:t>
      </w:r>
      <w:r>
        <w:rPr>
          <w:rFonts w:hint="eastAsia"/>
        </w:rPr>
        <w:t>）的规定。</w:t>
      </w:r>
    </w:p>
    <w:p>
      <w:pPr>
        <w:pStyle w:val="32"/>
        <w:numPr>
          <w:ilvl w:val="2"/>
          <w:numId w:val="43"/>
        </w:numPr>
        <w:spacing w:line="360" w:lineRule="auto"/>
        <w:ind w:firstLineChars="0"/>
        <w:outlineLvl w:val="2"/>
        <w:rPr>
          <w:rFonts w:ascii="宋体" w:hAnsi="宋体"/>
        </w:rPr>
      </w:pPr>
      <w:r>
        <w:rPr>
          <w:rFonts w:hint="eastAsia"/>
        </w:rPr>
        <w:t>建筑工程</w:t>
      </w:r>
      <w:r>
        <w:t>无障碍设施的构造做法或细化设计要求，均应符合</w:t>
      </w:r>
      <w:r>
        <w:rPr>
          <w:rFonts w:hint="eastAsia"/>
        </w:rPr>
        <w:t>本标准第4章有关规定。</w:t>
      </w:r>
    </w:p>
    <w:p>
      <w:pPr>
        <w:pStyle w:val="32"/>
        <w:numPr>
          <w:ilvl w:val="2"/>
          <w:numId w:val="43"/>
        </w:numPr>
        <w:spacing w:line="360" w:lineRule="auto"/>
        <w:ind w:firstLineChars="0"/>
        <w:outlineLvl w:val="2"/>
        <w:rPr>
          <w:rFonts w:ascii="宋体" w:hAnsi="宋体"/>
        </w:rPr>
      </w:pPr>
      <w:r>
        <w:rPr>
          <w:rFonts w:hint="eastAsia"/>
        </w:rPr>
        <w:t>规划用地</w:t>
      </w:r>
      <w:r>
        <w:t>范围</w:t>
      </w:r>
      <w:r>
        <w:rPr>
          <w:rFonts w:hint="eastAsia"/>
        </w:rPr>
        <w:t>内</w:t>
      </w:r>
      <w:r>
        <w:t>无障碍设施应与上级规划中无障碍设施</w:t>
      </w:r>
      <w:r>
        <w:rPr>
          <w:rFonts w:hint="eastAsia"/>
        </w:rPr>
        <w:t>有效</w:t>
      </w:r>
      <w:r>
        <w:t>对接，宜与遮阳、避雨、绿化结合</w:t>
      </w:r>
      <w:r>
        <w:rPr>
          <w:rFonts w:hint="eastAsia"/>
        </w:rPr>
        <w:t>设置</w:t>
      </w:r>
      <w:r>
        <w:t>。</w:t>
      </w:r>
    </w:p>
    <w:p>
      <w:pPr>
        <w:pStyle w:val="32"/>
        <w:numPr>
          <w:ilvl w:val="2"/>
          <w:numId w:val="43"/>
        </w:numPr>
        <w:ind w:firstLineChars="0"/>
        <w:rPr>
          <w:rFonts w:ascii="宋体" w:hAnsi="宋体"/>
        </w:rPr>
      </w:pPr>
      <w:r>
        <w:rPr>
          <w:rFonts w:hint="eastAsia" w:ascii="宋体" w:hAnsi="宋体"/>
        </w:rPr>
        <w:t>建筑</w:t>
      </w:r>
      <w:r>
        <w:rPr>
          <w:rFonts w:ascii="宋体" w:hAnsi="宋体"/>
        </w:rPr>
        <w:t>工程</w:t>
      </w:r>
      <w:r>
        <w:rPr>
          <w:rFonts w:hint="eastAsia" w:ascii="宋体" w:hAnsi="宋体"/>
        </w:rPr>
        <w:t>无障碍设施设置，应考虑全龄全民使用需求。</w:t>
      </w:r>
    </w:p>
    <w:p>
      <w:pPr>
        <w:pStyle w:val="32"/>
        <w:numPr>
          <w:ilvl w:val="1"/>
          <w:numId w:val="43"/>
        </w:numPr>
        <w:spacing w:line="360" w:lineRule="auto"/>
        <w:ind w:firstLineChars="0"/>
        <w:jc w:val="center"/>
        <w:outlineLvl w:val="1"/>
        <w:rPr>
          <w:rFonts w:asciiTheme="majorEastAsia" w:hAnsiTheme="majorEastAsia" w:eastAsiaTheme="majorEastAsia"/>
        </w:rPr>
      </w:pPr>
      <w:bookmarkStart w:id="284" w:name="_Toc20420204"/>
      <w:bookmarkStart w:id="285" w:name="_Toc23437788"/>
      <w:r>
        <w:rPr>
          <w:rFonts w:hint="eastAsia" w:asciiTheme="majorEastAsia" w:hAnsiTheme="majorEastAsia" w:eastAsiaTheme="majorEastAsia"/>
        </w:rPr>
        <w:t>居住建筑</w:t>
      </w:r>
      <w:bookmarkEnd w:id="284"/>
      <w:bookmarkEnd w:id="285"/>
    </w:p>
    <w:p>
      <w:pPr>
        <w:pStyle w:val="32"/>
        <w:numPr>
          <w:ilvl w:val="2"/>
          <w:numId w:val="43"/>
        </w:numPr>
        <w:spacing w:line="360" w:lineRule="auto"/>
        <w:ind w:firstLineChars="0"/>
        <w:outlineLvl w:val="2"/>
        <w:rPr>
          <w:rFonts w:ascii="宋体" w:hAnsi="宋体" w:cs="宋体"/>
        </w:rPr>
      </w:pPr>
      <w:r>
        <w:rPr>
          <w:rFonts w:hint="eastAsia" w:ascii="宋体" w:hAnsi="宋体" w:cs="宋体"/>
        </w:rPr>
        <w:t>建筑基地内无障碍设计范围应包括居住区道路、居住区绿地、居住区配套建筑、住宅和</w:t>
      </w:r>
      <w:r>
        <w:rPr>
          <w:rFonts w:ascii="宋体" w:hAnsi="宋体" w:cs="宋体"/>
        </w:rPr>
        <w:t>宿舍</w:t>
      </w:r>
      <w:r>
        <w:rPr>
          <w:rFonts w:hint="eastAsia" w:ascii="宋体" w:hAnsi="宋体" w:cs="宋体"/>
        </w:rPr>
        <w:t>建筑的无障碍设施等。</w:t>
      </w:r>
    </w:p>
    <w:p>
      <w:pPr>
        <w:pStyle w:val="32"/>
        <w:numPr>
          <w:ilvl w:val="2"/>
          <w:numId w:val="43"/>
        </w:numPr>
        <w:spacing w:line="360" w:lineRule="auto"/>
        <w:ind w:firstLineChars="0"/>
        <w:outlineLvl w:val="2"/>
        <w:rPr>
          <w:rFonts w:ascii="宋体" w:hAnsi="宋体" w:cs="宋体"/>
        </w:rPr>
      </w:pPr>
      <w:r>
        <w:rPr>
          <w:rFonts w:hint="eastAsia" w:ascii="宋体" w:hAnsi="宋体" w:cs="宋体"/>
        </w:rPr>
        <w:t>设置电梯的居住建筑应至少设置1处无障碍出入口，通过无障碍通道直达电梯厅；未设置电梯的低层和多层居住建筑，当设置无障碍住房及宿舍时，应设置无障碍出入口。</w:t>
      </w:r>
    </w:p>
    <w:p>
      <w:pPr>
        <w:pStyle w:val="32"/>
        <w:spacing w:line="360" w:lineRule="auto"/>
        <w:ind w:firstLine="0" w:firstLineChars="0"/>
        <w:outlineLvl w:val="3"/>
        <w:rPr>
          <w:rFonts w:ascii="宋体" w:hAnsi="宋体"/>
          <w:i/>
        </w:rPr>
      </w:pPr>
      <w:r>
        <w:rPr>
          <w:rFonts w:hint="eastAsia"/>
          <w:b/>
          <w:i/>
        </w:rPr>
        <w:t>条文说明</w:t>
      </w:r>
    </w:p>
    <w:p>
      <w:pPr>
        <w:pStyle w:val="32"/>
        <w:spacing w:line="360" w:lineRule="auto"/>
        <w:rPr>
          <w:rFonts w:ascii="宋体" w:hAnsi="宋体"/>
          <w:i/>
        </w:rPr>
      </w:pPr>
      <w:r>
        <w:rPr>
          <w:rFonts w:hint="eastAsia" w:ascii="宋体" w:hAnsi="宋体"/>
          <w:i/>
        </w:rPr>
        <w:t>入口平台、公共走道和设置无障碍电梯的候梯厅的深度，都要满足轮椅的通行要求。通廊式居住建筑因连通户门间的走廊较长，首层会设置多个出入口，在条件许可的情况下，尽可能多地设置无障碍出入口，以满足使用人群出行的方便，减少绕行路线；</w:t>
      </w:r>
      <w:r>
        <w:rPr>
          <w:rFonts w:hint="eastAsia"/>
          <w:bCs/>
          <w:i/>
        </w:rPr>
        <w:t>设置电梯的居住建筑中，</w:t>
      </w:r>
      <w:r>
        <w:rPr>
          <w:rFonts w:hint="eastAsia" w:ascii="宋体" w:hAnsi="宋体" w:cs="宋体"/>
          <w:i/>
        </w:rPr>
        <w:t>每居住单元至少应设置1部能直达户门层的无障碍电梯；</w:t>
      </w:r>
      <w:r>
        <w:rPr>
          <w:rFonts w:hint="eastAsia" w:ascii="宋体" w:hAnsi="宋体"/>
          <w:i/>
        </w:rPr>
        <w:t>单元式居住建筑至少设置一部无障碍电梯；通廊式居住建筑在解决无障碍通道的情况下，可以有选择地设置一部或多部无障碍电梯。</w:t>
      </w:r>
    </w:p>
    <w:p>
      <w:pPr>
        <w:pStyle w:val="32"/>
        <w:numPr>
          <w:ilvl w:val="2"/>
          <w:numId w:val="43"/>
        </w:numPr>
        <w:spacing w:line="360" w:lineRule="auto"/>
        <w:ind w:firstLineChars="0"/>
        <w:outlineLvl w:val="2"/>
        <w:rPr>
          <w:rFonts w:ascii="宋体" w:hAnsi="宋体" w:cs="宋体"/>
        </w:rPr>
      </w:pPr>
      <w:r>
        <w:rPr>
          <w:rFonts w:hint="eastAsia" w:ascii="宋体" w:hAnsi="宋体" w:cs="宋体"/>
        </w:rPr>
        <w:t>无障碍住房及宿舍的设置，可根据规划方案和居住需要集中设置，或分别设置于不同的建筑中。无障碍住房及宿舍宜建于底层，设在二层及以上且未设置电梯时，其公共楼梯应满足本标准第</w:t>
      </w:r>
      <w:r>
        <w:rPr>
          <w:rFonts w:ascii="宋体" w:hAnsi="宋体" w:cs="宋体"/>
        </w:rPr>
        <w:t>4.1.7</w:t>
      </w:r>
      <w:r>
        <w:rPr>
          <w:rFonts w:hint="eastAsia" w:ascii="宋体" w:hAnsi="宋体" w:cs="宋体"/>
        </w:rPr>
        <w:t>节的有关规定。</w:t>
      </w:r>
    </w:p>
    <w:p>
      <w:pPr>
        <w:pStyle w:val="32"/>
        <w:spacing w:line="360" w:lineRule="auto"/>
        <w:ind w:firstLine="0" w:firstLineChars="0"/>
        <w:outlineLvl w:val="3"/>
        <w:rPr>
          <w:rFonts w:ascii="宋体" w:hAnsi="宋体"/>
          <w:i/>
        </w:rPr>
      </w:pPr>
      <w:r>
        <w:rPr>
          <w:rFonts w:hint="eastAsia"/>
          <w:b/>
          <w:i/>
        </w:rPr>
        <w:t>条文说明</w:t>
      </w:r>
    </w:p>
    <w:p>
      <w:pPr>
        <w:pStyle w:val="32"/>
        <w:spacing w:line="360" w:lineRule="auto"/>
        <w:ind w:firstLine="424" w:firstLineChars="202"/>
        <w:rPr>
          <w:rFonts w:ascii="宋体" w:hAnsi="宋体"/>
          <w:i/>
        </w:rPr>
      </w:pPr>
      <w:r>
        <w:rPr>
          <w:rFonts w:hint="eastAsia" w:ascii="宋体" w:hAnsi="宋体"/>
          <w:i/>
        </w:rPr>
        <w:t>低层(多层)住宅及公寓，因建设条件和资金的限制，很多建筑未设置电梯。在进行无障碍住房设计时，要尽量设置于底层，减少无障碍竖向交通的建设量。另外要着重考虑多层居住建筑首层无障碍坡道的设置，使其能真正达到无障碍入户的标准。</w:t>
      </w:r>
    </w:p>
    <w:p>
      <w:pPr>
        <w:pStyle w:val="32"/>
        <w:numPr>
          <w:ilvl w:val="2"/>
          <w:numId w:val="43"/>
        </w:numPr>
        <w:spacing w:line="360" w:lineRule="auto"/>
        <w:ind w:firstLineChars="0"/>
        <w:outlineLvl w:val="2"/>
        <w:rPr>
          <w:rFonts w:ascii="宋体" w:hAnsi="宋体" w:cs="宋体"/>
        </w:rPr>
      </w:pPr>
      <w:r>
        <w:rPr>
          <w:rFonts w:hint="eastAsia" w:ascii="宋体" w:hAnsi="宋体" w:cs="宋体"/>
        </w:rPr>
        <w:t>基地出入口、建筑出入口、无障碍通道、停车位和电梯等无障碍标识</w:t>
      </w:r>
      <w:r>
        <w:rPr>
          <w:rFonts w:ascii="宋体" w:hAnsi="宋体" w:cs="宋体"/>
        </w:rPr>
        <w:t>应</w:t>
      </w:r>
      <w:r>
        <w:rPr>
          <w:rFonts w:hint="eastAsia" w:ascii="宋体" w:hAnsi="宋体" w:cs="宋体"/>
        </w:rPr>
        <w:t>统一</w:t>
      </w:r>
      <w:r>
        <w:rPr>
          <w:rFonts w:ascii="宋体" w:hAnsi="宋体" w:cs="宋体"/>
        </w:rPr>
        <w:t>设置，并</w:t>
      </w:r>
      <w:r>
        <w:rPr>
          <w:rFonts w:hint="eastAsia" w:ascii="宋体" w:hAnsi="宋体" w:cs="宋体"/>
        </w:rPr>
        <w:t>符合</w:t>
      </w:r>
      <w:r>
        <w:rPr>
          <w:rFonts w:ascii="宋体" w:hAnsi="宋体" w:cs="宋体"/>
        </w:rPr>
        <w:t>本标准</w:t>
      </w:r>
      <w:r>
        <w:rPr>
          <w:rFonts w:hint="eastAsia" w:ascii="宋体" w:hAnsi="宋体" w:cs="宋体"/>
        </w:rPr>
        <w:t>第4.3节相关</w:t>
      </w:r>
      <w:r>
        <w:rPr>
          <w:rFonts w:ascii="宋体" w:hAnsi="宋体" w:cs="宋体"/>
        </w:rPr>
        <w:t>规定</w:t>
      </w:r>
      <w:r>
        <w:rPr>
          <w:rFonts w:hint="eastAsia" w:ascii="宋体" w:hAnsi="宋体" w:cs="宋体"/>
        </w:rPr>
        <w:t>。基地出入口、建筑主入口和楼梯前室宜设置盲文地图和楼面示意图，重要信息提示处宜设电子显示屏。</w:t>
      </w:r>
    </w:p>
    <w:p>
      <w:pPr>
        <w:pStyle w:val="32"/>
        <w:numPr>
          <w:ilvl w:val="2"/>
          <w:numId w:val="43"/>
        </w:numPr>
        <w:spacing w:line="360" w:lineRule="auto"/>
        <w:ind w:firstLineChars="0"/>
        <w:outlineLvl w:val="2"/>
        <w:rPr>
          <w:rFonts w:ascii="宋体" w:hAnsi="宋体" w:cs="宋体"/>
        </w:rPr>
      </w:pPr>
      <w:r>
        <w:rPr>
          <w:rFonts w:hint="eastAsia" w:ascii="宋体" w:hAnsi="宋体" w:cs="宋体"/>
        </w:rPr>
        <w:t>居住区道路的无障碍设计应符合下列规定：</w:t>
      </w:r>
    </w:p>
    <w:p>
      <w:pPr>
        <w:pStyle w:val="32"/>
        <w:numPr>
          <w:ilvl w:val="0"/>
          <w:numId w:val="60"/>
        </w:numPr>
        <w:spacing w:line="360" w:lineRule="auto"/>
        <w:ind w:firstLine="424" w:firstLineChars="202"/>
        <w:rPr>
          <w:rFonts w:ascii="宋体" w:hAnsi="宋体" w:cs="宋体"/>
        </w:rPr>
      </w:pPr>
      <w:r>
        <w:rPr>
          <w:rFonts w:hint="eastAsia" w:ascii="宋体" w:hAnsi="宋体" w:cs="宋体"/>
        </w:rPr>
        <w:t>居住区路、小区路、组团路、宅间小路的人行道均</w:t>
      </w:r>
      <w:r>
        <w:rPr>
          <w:rFonts w:ascii="宋体" w:hAnsi="宋体" w:cs="宋体"/>
        </w:rPr>
        <w:t>应进行无障碍设计</w:t>
      </w:r>
      <w:r>
        <w:rPr>
          <w:rFonts w:hint="eastAsia" w:ascii="宋体" w:hAnsi="宋体" w:cs="宋体"/>
        </w:rPr>
        <w:t>；</w:t>
      </w:r>
    </w:p>
    <w:p>
      <w:pPr>
        <w:pStyle w:val="32"/>
        <w:numPr>
          <w:ilvl w:val="0"/>
          <w:numId w:val="60"/>
        </w:numPr>
        <w:spacing w:line="360" w:lineRule="auto"/>
        <w:ind w:firstLine="424" w:firstLineChars="202"/>
        <w:rPr>
          <w:rFonts w:ascii="宋体" w:hAnsi="宋体" w:cs="宋体"/>
        </w:rPr>
      </w:pPr>
      <w:r>
        <w:rPr>
          <w:rFonts w:hint="eastAsia" w:ascii="宋体" w:hAnsi="宋体" w:cs="宋体"/>
        </w:rPr>
        <w:t>居住区道路无障碍设计应符合本标准第</w:t>
      </w:r>
      <w:r>
        <w:rPr>
          <w:rFonts w:ascii="宋体" w:hAnsi="宋体" w:cs="宋体"/>
        </w:rPr>
        <w:t>5</w:t>
      </w:r>
      <w:r>
        <w:rPr>
          <w:rFonts w:hint="eastAsia" w:ascii="宋体" w:hAnsi="宋体" w:cs="宋体"/>
        </w:rPr>
        <w:t>章的有关规定。</w:t>
      </w:r>
    </w:p>
    <w:p>
      <w:pPr>
        <w:pStyle w:val="32"/>
        <w:numPr>
          <w:ilvl w:val="2"/>
          <w:numId w:val="43"/>
        </w:numPr>
        <w:spacing w:line="360" w:lineRule="auto"/>
        <w:ind w:firstLineChars="0"/>
        <w:outlineLvl w:val="2"/>
        <w:rPr>
          <w:rFonts w:ascii="宋体" w:hAnsi="宋体" w:cs="宋体"/>
        </w:rPr>
      </w:pPr>
      <w:r>
        <w:t>居住绿地</w:t>
      </w:r>
      <w:r>
        <w:rPr>
          <w:rFonts w:hint="eastAsia" w:ascii="宋体" w:hAnsi="宋体" w:cs="宋体"/>
        </w:rPr>
        <w:t>的无障碍设计应符合下列规定：</w:t>
      </w:r>
    </w:p>
    <w:p>
      <w:pPr>
        <w:pStyle w:val="32"/>
        <w:numPr>
          <w:ilvl w:val="0"/>
          <w:numId w:val="61"/>
        </w:numPr>
        <w:spacing w:line="360" w:lineRule="auto"/>
        <w:ind w:firstLine="424" w:firstLineChars="202"/>
        <w:rPr>
          <w:rFonts w:ascii="宋体" w:hAnsi="宋体" w:cs="宋体"/>
        </w:rPr>
      </w:pPr>
      <w:r>
        <w:t>居住绿地</w:t>
      </w:r>
      <w:r>
        <w:rPr>
          <w:rFonts w:hint="eastAsia"/>
        </w:rPr>
        <w:t>内</w:t>
      </w:r>
      <w:r>
        <w:t>游步道、休憩设施、儿童游乐场、休闲广场、健身运动场等</w:t>
      </w:r>
      <w:r>
        <w:rPr>
          <w:rFonts w:hint="eastAsia"/>
        </w:rPr>
        <w:t>均</w:t>
      </w:r>
      <w:r>
        <w:t>应进行无障碍设计</w:t>
      </w:r>
      <w:r>
        <w:rPr>
          <w:rFonts w:hint="eastAsia" w:ascii="宋体" w:hAnsi="宋体" w:cs="宋体"/>
        </w:rPr>
        <w:t>；</w:t>
      </w:r>
    </w:p>
    <w:p>
      <w:pPr>
        <w:pStyle w:val="32"/>
        <w:numPr>
          <w:ilvl w:val="0"/>
          <w:numId w:val="61"/>
        </w:numPr>
        <w:spacing w:line="360" w:lineRule="auto"/>
        <w:ind w:firstLine="424" w:firstLineChars="202"/>
        <w:rPr>
          <w:rFonts w:ascii="宋体" w:hAnsi="宋体" w:cs="宋体"/>
        </w:rPr>
      </w:pPr>
      <w:r>
        <w:rPr>
          <w:rFonts w:hint="eastAsia"/>
        </w:rPr>
        <w:t>绿地</w:t>
      </w:r>
      <w:r>
        <w:t>基地地坪坡度不大于5％的居住区的居住绿地均应满足无障碍要求，地坪坡度大于5％的居住区，应至少设置1个满足无障碍要求的居住绿地</w:t>
      </w:r>
      <w:r>
        <w:rPr>
          <w:rFonts w:hint="eastAsia" w:ascii="宋体" w:hAnsi="宋体" w:cs="宋体"/>
        </w:rPr>
        <w:t>；</w:t>
      </w:r>
      <w:r>
        <w:t>满足无障碍要求的居住绿地，宜靠近设有无障碍住房和宿舍的居住建筑设置，并通过无障碍通道到达</w:t>
      </w:r>
      <w:r>
        <w:rPr>
          <w:rFonts w:hint="eastAsia" w:ascii="宋体" w:hAnsi="宋体" w:cs="宋体"/>
        </w:rPr>
        <w:t>；</w:t>
      </w:r>
    </w:p>
    <w:p>
      <w:pPr>
        <w:pStyle w:val="32"/>
        <w:numPr>
          <w:ilvl w:val="0"/>
          <w:numId w:val="61"/>
        </w:numPr>
        <w:spacing w:line="360" w:lineRule="auto"/>
        <w:ind w:firstLine="424" w:firstLineChars="202"/>
        <w:rPr>
          <w:rFonts w:ascii="宋体" w:hAnsi="宋体" w:cs="宋体"/>
        </w:rPr>
      </w:pPr>
      <w:r>
        <w:rPr>
          <w:rFonts w:hint="eastAsia" w:ascii="宋体" w:hAnsi="宋体" w:cs="宋体"/>
        </w:rPr>
        <w:t>居住绿地内主要活动区域与相接的地面</w:t>
      </w:r>
      <w:r>
        <w:rPr>
          <w:rFonts w:ascii="宋体" w:hAnsi="宋体" w:cs="宋体"/>
        </w:rPr>
        <w:t>或</w:t>
      </w:r>
      <w:r>
        <w:rPr>
          <w:rFonts w:hint="eastAsia" w:ascii="宋体" w:hAnsi="宋体" w:cs="宋体"/>
        </w:rPr>
        <w:t>路面高差小于300mm时，相接处</w:t>
      </w:r>
      <w:r>
        <w:rPr>
          <w:rFonts w:ascii="宋体" w:hAnsi="宋体" w:cs="宋体"/>
        </w:rPr>
        <w:t>均应设置为无障碍坡道</w:t>
      </w:r>
      <w:r>
        <w:rPr>
          <w:rFonts w:hint="eastAsia" w:ascii="宋体" w:hAnsi="宋体" w:cs="宋体"/>
        </w:rPr>
        <w:t>；高差大于300mm时，应至少设置一处无障碍</w:t>
      </w:r>
      <w:r>
        <w:rPr>
          <w:rFonts w:ascii="宋体" w:hAnsi="宋体" w:cs="宋体"/>
        </w:rPr>
        <w:t>坡道</w:t>
      </w:r>
      <w:r>
        <w:rPr>
          <w:rFonts w:hint="eastAsia" w:ascii="宋体" w:hAnsi="宋体" w:cs="宋体"/>
        </w:rPr>
        <w:t>；</w:t>
      </w:r>
      <w:r>
        <w:t>儿童活动场、健身运动场出入口应设提示盲道</w:t>
      </w:r>
      <w:r>
        <w:rPr>
          <w:rFonts w:hint="eastAsia"/>
        </w:rPr>
        <w:t>；</w:t>
      </w:r>
    </w:p>
    <w:p>
      <w:pPr>
        <w:pStyle w:val="32"/>
        <w:numPr>
          <w:ilvl w:val="0"/>
          <w:numId w:val="61"/>
        </w:numPr>
        <w:spacing w:line="360" w:lineRule="auto"/>
        <w:ind w:firstLine="424" w:firstLineChars="202"/>
        <w:rPr>
          <w:rFonts w:ascii="宋体" w:hAnsi="宋体" w:cs="宋体"/>
        </w:rPr>
      </w:pPr>
      <w:r>
        <w:rPr>
          <w:rFonts w:hint="eastAsia" w:ascii="宋体" w:hAnsi="宋体" w:cs="宋体"/>
        </w:rPr>
        <w:t>居住绿地内的游步道应为无障碍通道，轮椅园路纵坡不应大于4％；轮椅专用道不应大于8％；</w:t>
      </w:r>
      <w:r>
        <w:t>居住绿地内的游步道及园林建筑、园林小品如亭、廊、花架等休憩设施不宜设置高于450mm的台明或台阶；必须设置时，应同时设置轮椅坡道并在休憩设施入口处设提示盲道</w:t>
      </w:r>
      <w:r>
        <w:rPr>
          <w:rFonts w:hint="eastAsia"/>
        </w:rPr>
        <w:t>；</w:t>
      </w:r>
      <w:r>
        <w:t>绿地及广场设置休息座椅时，应留有轮椅停留空间</w:t>
      </w:r>
      <w:r>
        <w:rPr>
          <w:rFonts w:hint="eastAsia"/>
        </w:rPr>
        <w:t>；</w:t>
      </w:r>
    </w:p>
    <w:p>
      <w:pPr>
        <w:pStyle w:val="32"/>
        <w:numPr>
          <w:ilvl w:val="0"/>
          <w:numId w:val="61"/>
        </w:numPr>
        <w:spacing w:line="360" w:lineRule="auto"/>
        <w:ind w:firstLine="424" w:firstLineChars="202"/>
        <w:rPr>
          <w:rFonts w:ascii="宋体" w:hAnsi="宋体" w:cs="宋体"/>
          <w:b/>
          <w:bCs/>
        </w:rPr>
      </w:pPr>
      <w:r>
        <w:rPr>
          <w:rFonts w:hint="eastAsia" w:ascii="宋体" w:hAnsi="宋体" w:cs="宋体"/>
        </w:rPr>
        <w:t>林下铺装的活动场地，应以种植乔木为主，林下净空不得低于2．20m；儿童活动场地周围应保持较好的可通视性，不宜种植遮挡视线的树木，且不宜选用硬质叶片的丛生植物。</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i/>
        </w:rPr>
      </w:pPr>
      <w:r>
        <w:rPr>
          <w:rFonts w:hint="eastAsia" w:ascii="宋体" w:hAnsi="宋体"/>
          <w:i/>
        </w:rPr>
        <w:t>《无障碍设计规范》（GB50763-2012）7.2.</w:t>
      </w:r>
      <w:r>
        <w:rPr>
          <w:rFonts w:ascii="宋体" w:hAnsi="宋体"/>
          <w:i/>
        </w:rPr>
        <w:t>2</w:t>
      </w:r>
      <w:r>
        <w:rPr>
          <w:rFonts w:hint="eastAsia" w:ascii="宋体" w:hAnsi="宋体"/>
          <w:i/>
        </w:rPr>
        <w:t>条</w:t>
      </w:r>
      <w:r>
        <w:rPr>
          <w:rFonts w:ascii="宋体" w:hAnsi="宋体"/>
          <w:i/>
        </w:rPr>
        <w:t>标明</w:t>
      </w:r>
      <w:r>
        <w:rPr>
          <w:rFonts w:hint="eastAsia" w:ascii="宋体" w:hAnsi="宋体"/>
          <w:i/>
        </w:rPr>
        <w:t>居住</w:t>
      </w:r>
      <w:r>
        <w:rPr>
          <w:rFonts w:ascii="宋体" w:hAnsi="宋体"/>
          <w:i/>
        </w:rPr>
        <w:t>绿地无障碍出入口</w:t>
      </w:r>
      <w:r>
        <w:rPr>
          <w:rFonts w:hint="eastAsia" w:ascii="宋体" w:hAnsi="宋体"/>
          <w:i/>
        </w:rPr>
        <w:t>的</w:t>
      </w:r>
      <w:r>
        <w:rPr>
          <w:rFonts w:ascii="宋体" w:hAnsi="宋体"/>
          <w:i/>
        </w:rPr>
        <w:t>设置</w:t>
      </w:r>
      <w:r>
        <w:rPr>
          <w:rFonts w:hint="eastAsia" w:ascii="宋体" w:hAnsi="宋体"/>
          <w:i/>
        </w:rPr>
        <w:t>要求</w:t>
      </w:r>
      <w:r>
        <w:rPr>
          <w:rFonts w:ascii="宋体" w:hAnsi="宋体"/>
          <w:i/>
        </w:rPr>
        <w:t>，深圳</w:t>
      </w:r>
      <w:r>
        <w:rPr>
          <w:rFonts w:hint="eastAsia" w:ascii="宋体" w:hAnsi="宋体"/>
          <w:i/>
        </w:rPr>
        <w:t>市居住</w:t>
      </w:r>
      <w:r>
        <w:rPr>
          <w:rFonts w:ascii="宋体" w:hAnsi="宋体"/>
          <w:i/>
        </w:rPr>
        <w:t>区内</w:t>
      </w:r>
      <w:r>
        <w:rPr>
          <w:rFonts w:hint="eastAsia" w:ascii="宋体" w:hAnsi="宋体"/>
          <w:i/>
        </w:rPr>
        <w:t>绿地</w:t>
      </w:r>
      <w:r>
        <w:rPr>
          <w:rFonts w:ascii="宋体" w:hAnsi="宋体"/>
          <w:i/>
        </w:rPr>
        <w:t>多为开放绿地，</w:t>
      </w:r>
      <w:r>
        <w:rPr>
          <w:rFonts w:hint="eastAsia" w:ascii="宋体" w:hAnsi="宋体"/>
          <w:i/>
        </w:rPr>
        <w:t>不存在</w:t>
      </w:r>
      <w:r>
        <w:rPr>
          <w:rFonts w:ascii="宋体" w:hAnsi="宋体"/>
          <w:i/>
        </w:rPr>
        <w:t>明确</w:t>
      </w:r>
      <w:r>
        <w:rPr>
          <w:rFonts w:hint="eastAsia" w:ascii="宋体" w:hAnsi="宋体"/>
          <w:i/>
        </w:rPr>
        <w:t>出入口</w:t>
      </w:r>
      <w:r>
        <w:rPr>
          <w:rFonts w:ascii="宋体" w:hAnsi="宋体"/>
          <w:i/>
        </w:rPr>
        <w:t>位置</w:t>
      </w:r>
      <w:r>
        <w:rPr>
          <w:rFonts w:hint="eastAsia" w:ascii="宋体" w:hAnsi="宋体"/>
          <w:i/>
        </w:rPr>
        <w:t>，</w:t>
      </w:r>
      <w:r>
        <w:rPr>
          <w:rFonts w:ascii="宋体" w:hAnsi="宋体"/>
          <w:i/>
        </w:rPr>
        <w:t>因此</w:t>
      </w:r>
      <w:r>
        <w:rPr>
          <w:rFonts w:hint="eastAsia" w:ascii="宋体" w:hAnsi="宋体"/>
          <w:i/>
        </w:rPr>
        <w:t>取消</w:t>
      </w:r>
      <w:r>
        <w:rPr>
          <w:rFonts w:ascii="宋体" w:hAnsi="宋体"/>
          <w:i/>
        </w:rPr>
        <w:t>绿地出入口称</w:t>
      </w:r>
      <w:r>
        <w:rPr>
          <w:rFonts w:hint="eastAsia" w:ascii="宋体" w:hAnsi="宋体"/>
          <w:i/>
        </w:rPr>
        <w:t>位。</w:t>
      </w:r>
    </w:p>
    <w:p>
      <w:pPr>
        <w:pStyle w:val="32"/>
        <w:spacing w:line="360" w:lineRule="auto"/>
        <w:outlineLvl w:val="3"/>
        <w:rPr>
          <w:rFonts w:ascii="宋体" w:hAnsi="宋体"/>
          <w:i/>
        </w:rPr>
      </w:pPr>
      <w:r>
        <w:rPr>
          <w:rFonts w:hint="eastAsia" w:ascii="宋体" w:hAnsi="宋体"/>
          <w:i/>
        </w:rPr>
        <w:t>第3款 居住区</w:t>
      </w:r>
      <w:r>
        <w:rPr>
          <w:rFonts w:ascii="宋体" w:hAnsi="宋体"/>
          <w:i/>
        </w:rPr>
        <w:t>内活动区域是老年人</w:t>
      </w:r>
      <w:r>
        <w:rPr>
          <w:rFonts w:hint="eastAsia" w:ascii="宋体" w:hAnsi="宋体"/>
          <w:i/>
        </w:rPr>
        <w:t>、</w:t>
      </w:r>
      <w:r>
        <w:rPr>
          <w:rFonts w:ascii="宋体" w:hAnsi="宋体"/>
          <w:i/>
        </w:rPr>
        <w:t>儿童日常活动交流的主要场所</w:t>
      </w:r>
      <w:r>
        <w:rPr>
          <w:rFonts w:hint="eastAsia" w:ascii="宋体" w:hAnsi="宋体"/>
          <w:i/>
        </w:rPr>
        <w:t>，</w:t>
      </w:r>
      <w:r>
        <w:rPr>
          <w:rFonts w:ascii="宋体" w:hAnsi="宋体"/>
          <w:i/>
        </w:rPr>
        <w:t>活动场地与相接路面、地面不宜出现高差。当</w:t>
      </w:r>
      <w:r>
        <w:rPr>
          <w:rFonts w:hint="eastAsia" w:ascii="宋体" w:hAnsi="宋体"/>
          <w:i/>
        </w:rPr>
        <w:t>因</w:t>
      </w:r>
      <w:r>
        <w:rPr>
          <w:rFonts w:ascii="宋体" w:hAnsi="宋体"/>
          <w:i/>
        </w:rPr>
        <w:t>景观需要，设计下沉或抬起活动场地</w:t>
      </w:r>
      <w:r>
        <w:rPr>
          <w:rFonts w:hint="eastAsia" w:ascii="宋体" w:hAnsi="宋体"/>
          <w:i/>
        </w:rPr>
        <w:t>时，</w:t>
      </w:r>
      <w:r>
        <w:rPr>
          <w:rFonts w:ascii="宋体" w:hAnsi="宋体"/>
          <w:i/>
        </w:rPr>
        <w:t>高差不宜大于</w:t>
      </w:r>
      <w:r>
        <w:rPr>
          <w:rFonts w:hint="eastAsia" w:ascii="宋体" w:hAnsi="宋体"/>
          <w:i/>
        </w:rPr>
        <w:t>300mm，</w:t>
      </w:r>
      <w:r>
        <w:rPr>
          <w:rFonts w:ascii="宋体" w:hAnsi="宋体"/>
          <w:i/>
        </w:rPr>
        <w:t>并应采用坡道处理，</w:t>
      </w:r>
      <w:r>
        <w:rPr>
          <w:rFonts w:hint="eastAsia" w:ascii="宋体" w:hAnsi="宋体"/>
          <w:i/>
        </w:rPr>
        <w:t>不宜</w:t>
      </w:r>
      <w:r>
        <w:rPr>
          <w:rFonts w:ascii="宋体" w:hAnsi="宋体"/>
          <w:i/>
        </w:rPr>
        <w:t>设计台阶。</w:t>
      </w:r>
      <w:r>
        <w:rPr>
          <w:rFonts w:hint="eastAsia" w:ascii="宋体" w:hAnsi="宋体"/>
          <w:i/>
        </w:rPr>
        <w:t>当设计</w:t>
      </w:r>
      <w:r>
        <w:rPr>
          <w:rFonts w:ascii="宋体" w:hAnsi="宋体"/>
          <w:i/>
        </w:rPr>
        <w:t>高差大于</w:t>
      </w:r>
      <w:r>
        <w:rPr>
          <w:rFonts w:hint="eastAsia" w:ascii="宋体" w:hAnsi="宋体"/>
          <w:i/>
        </w:rPr>
        <w:t>300mm时</w:t>
      </w:r>
      <w:r>
        <w:rPr>
          <w:rFonts w:ascii="宋体" w:hAnsi="宋体"/>
          <w:i/>
        </w:rPr>
        <w:t>，</w:t>
      </w:r>
      <w:r>
        <w:rPr>
          <w:rFonts w:hint="eastAsia" w:ascii="宋体" w:hAnsi="宋体"/>
          <w:i/>
        </w:rPr>
        <w:t>至少</w:t>
      </w:r>
      <w:r>
        <w:rPr>
          <w:rFonts w:ascii="宋体" w:hAnsi="宋体"/>
          <w:i/>
        </w:rPr>
        <w:t>设置一处轮椅坡道。</w:t>
      </w:r>
    </w:p>
    <w:p>
      <w:pPr>
        <w:pStyle w:val="32"/>
        <w:spacing w:line="360" w:lineRule="auto"/>
        <w:outlineLvl w:val="3"/>
        <w:rPr>
          <w:rFonts w:ascii="宋体" w:hAnsi="宋体" w:cs="宋体"/>
          <w:b/>
          <w:bCs/>
        </w:rPr>
      </w:pPr>
      <w:r>
        <w:rPr>
          <w:rFonts w:hint="eastAsia" w:ascii="宋体" w:hAnsi="宋体"/>
          <w:i/>
        </w:rPr>
        <w:t>第5款 为</w:t>
      </w:r>
      <w:r>
        <w:rPr>
          <w:rFonts w:ascii="宋体" w:hAnsi="宋体"/>
          <w:i/>
        </w:rPr>
        <w:t>保障安全，防止儿童攀爬，</w:t>
      </w:r>
      <w:r>
        <w:rPr>
          <w:rFonts w:hint="eastAsia" w:ascii="宋体" w:hAnsi="宋体"/>
          <w:i/>
        </w:rPr>
        <w:t>结合</w:t>
      </w:r>
      <w:r>
        <w:rPr>
          <w:rFonts w:ascii="宋体" w:hAnsi="宋体"/>
          <w:i/>
        </w:rPr>
        <w:t>遮阳需求，</w:t>
      </w:r>
      <w:r>
        <w:rPr>
          <w:rFonts w:hint="eastAsia" w:ascii="宋体" w:hAnsi="宋体"/>
          <w:i/>
        </w:rPr>
        <w:t>林下</w:t>
      </w:r>
      <w:r>
        <w:rPr>
          <w:rFonts w:ascii="宋体" w:hAnsi="宋体"/>
          <w:i/>
        </w:rPr>
        <w:t>活动场地应以高达荫浓的</w:t>
      </w:r>
      <w:r>
        <w:rPr>
          <w:rFonts w:hint="eastAsia" w:ascii="宋体" w:hAnsi="宋体"/>
          <w:i/>
        </w:rPr>
        <w:t>乔木</w:t>
      </w:r>
      <w:r>
        <w:rPr>
          <w:rFonts w:ascii="宋体" w:hAnsi="宋体"/>
          <w:i/>
        </w:rPr>
        <w:t>为主，当枝干有分支点时</w:t>
      </w:r>
      <w:r>
        <w:rPr>
          <w:rFonts w:hint="eastAsia" w:ascii="宋体" w:hAnsi="宋体"/>
          <w:i/>
        </w:rPr>
        <w:t>，</w:t>
      </w:r>
      <w:r>
        <w:rPr>
          <w:rFonts w:ascii="宋体" w:hAnsi="宋体"/>
          <w:i/>
        </w:rPr>
        <w:t>分支点不应低于</w:t>
      </w:r>
      <w:r>
        <w:rPr>
          <w:rFonts w:hint="eastAsia" w:ascii="宋体" w:hAnsi="宋体"/>
          <w:i/>
        </w:rPr>
        <w:t>2.20m。</w:t>
      </w:r>
    </w:p>
    <w:p>
      <w:pPr>
        <w:pStyle w:val="32"/>
        <w:numPr>
          <w:ilvl w:val="2"/>
          <w:numId w:val="43"/>
        </w:numPr>
        <w:spacing w:line="360" w:lineRule="auto"/>
        <w:ind w:firstLineChars="0"/>
        <w:outlineLvl w:val="2"/>
        <w:rPr>
          <w:rFonts w:ascii="宋体" w:hAnsi="宋体" w:cs="宋体"/>
        </w:rPr>
      </w:pPr>
      <w:r>
        <w:rPr>
          <w:rFonts w:hint="eastAsia" w:ascii="宋体" w:hAnsi="宋体" w:cs="宋体"/>
        </w:rPr>
        <w:t>居住区</w:t>
      </w:r>
      <w:r>
        <w:rPr>
          <w:rFonts w:ascii="宋体" w:hAnsi="宋体" w:cs="宋体"/>
        </w:rPr>
        <w:t>配套建筑的无障碍设计应符合下列规范：</w:t>
      </w:r>
    </w:p>
    <w:p>
      <w:pPr>
        <w:pStyle w:val="32"/>
        <w:numPr>
          <w:ilvl w:val="0"/>
          <w:numId w:val="62"/>
        </w:numPr>
        <w:spacing w:line="360" w:lineRule="auto"/>
        <w:ind w:firstLine="424" w:firstLineChars="202"/>
        <w:rPr>
          <w:rFonts w:ascii="宋体" w:hAnsi="宋体" w:cs="宋体"/>
        </w:rPr>
      </w:pPr>
      <w:r>
        <w:rPr>
          <w:rFonts w:hint="eastAsia" w:ascii="宋体" w:hAnsi="宋体" w:cs="宋体"/>
        </w:rPr>
        <w:t>居住区出入</w:t>
      </w:r>
      <w:r>
        <w:rPr>
          <w:rFonts w:ascii="宋体" w:hAnsi="宋体" w:cs="宋体"/>
        </w:rPr>
        <w:t>口、停车场</w:t>
      </w:r>
      <w:r>
        <w:rPr>
          <w:rFonts w:hint="eastAsia" w:ascii="宋体" w:hAnsi="宋体" w:cs="宋体"/>
        </w:rPr>
        <w:t>和</w:t>
      </w:r>
      <w:r>
        <w:rPr>
          <w:rFonts w:ascii="宋体" w:hAnsi="宋体" w:cs="宋体"/>
        </w:rPr>
        <w:t>车库、</w:t>
      </w:r>
      <w:r>
        <w:rPr>
          <w:rFonts w:hint="eastAsia" w:ascii="宋体" w:hAnsi="宋体" w:cs="宋体"/>
        </w:rPr>
        <w:t>居委会和</w:t>
      </w:r>
      <w:r>
        <w:rPr>
          <w:rFonts w:ascii="宋体" w:hAnsi="宋体" w:cs="宋体"/>
        </w:rPr>
        <w:t>党群服务中心、</w:t>
      </w:r>
      <w:r>
        <w:rPr>
          <w:rFonts w:hint="eastAsia" w:ascii="宋体" w:hAnsi="宋体" w:cs="宋体"/>
        </w:rPr>
        <w:t>卫生站、健身房、物业管理、会所、社区中心、商业等均</w:t>
      </w:r>
      <w:r>
        <w:rPr>
          <w:rFonts w:ascii="宋体" w:hAnsi="宋体" w:cs="宋体"/>
        </w:rPr>
        <w:t>应进行无障碍设计。</w:t>
      </w:r>
      <w:r>
        <w:rPr>
          <w:rFonts w:hint="eastAsia" w:ascii="宋体" w:hAnsi="宋体" w:cs="宋体"/>
        </w:rPr>
        <w:t>配套</w:t>
      </w:r>
      <w:r>
        <w:rPr>
          <w:rFonts w:ascii="宋体" w:hAnsi="宋体" w:cs="宋体"/>
        </w:rPr>
        <w:t>建筑</w:t>
      </w:r>
      <w:r>
        <w:rPr>
          <w:rFonts w:hint="eastAsia" w:ascii="宋体" w:hAnsi="宋体" w:cs="宋体"/>
        </w:rPr>
        <w:t>均</w:t>
      </w:r>
      <w:r>
        <w:rPr>
          <w:rFonts w:ascii="宋体" w:hAnsi="宋体" w:cs="宋体"/>
        </w:rPr>
        <w:t>应设置无障碍出入口</w:t>
      </w:r>
      <w:r>
        <w:rPr>
          <w:rFonts w:hint="eastAsia" w:ascii="宋体" w:hAnsi="宋体" w:cs="宋体"/>
        </w:rPr>
        <w:t>。</w:t>
      </w:r>
      <w:r>
        <w:rPr>
          <w:rFonts w:ascii="宋体" w:hAnsi="宋体" w:cs="宋体"/>
        </w:rPr>
        <w:t>设有</w:t>
      </w:r>
      <w:r>
        <w:rPr>
          <w:rFonts w:hint="eastAsia" w:ascii="宋体" w:hAnsi="宋体" w:cs="宋体"/>
        </w:rPr>
        <w:t>电梯</w:t>
      </w:r>
      <w:r>
        <w:rPr>
          <w:rFonts w:ascii="宋体" w:hAnsi="宋体" w:cs="宋体"/>
        </w:rPr>
        <w:t>的配套建筑至少应设置</w:t>
      </w:r>
      <w:r>
        <w:rPr>
          <w:rFonts w:hint="eastAsia" w:ascii="宋体" w:hAnsi="宋体" w:cs="宋体"/>
        </w:rPr>
        <w:t>1部</w:t>
      </w:r>
      <w:r>
        <w:rPr>
          <w:rFonts w:ascii="宋体" w:hAnsi="宋体" w:cs="宋体"/>
        </w:rPr>
        <w:t>无障碍电梯；</w:t>
      </w:r>
      <w:r>
        <w:rPr>
          <w:rFonts w:hint="eastAsia" w:ascii="宋体" w:hAnsi="宋体" w:cs="宋体"/>
        </w:rPr>
        <w:t>未</w:t>
      </w:r>
      <w:r>
        <w:rPr>
          <w:rFonts w:ascii="宋体" w:hAnsi="宋体" w:cs="宋体"/>
        </w:rPr>
        <w:t>设电梯</w:t>
      </w:r>
      <w:r>
        <w:rPr>
          <w:rFonts w:hint="eastAsia" w:ascii="宋体" w:hAnsi="宋体" w:cs="宋体"/>
        </w:rPr>
        <w:t>的</w:t>
      </w:r>
      <w:r>
        <w:rPr>
          <w:rFonts w:ascii="宋体" w:hAnsi="宋体" w:cs="宋体"/>
        </w:rPr>
        <w:t>多层建筑应至少设置</w:t>
      </w:r>
      <w:r>
        <w:rPr>
          <w:rFonts w:hint="eastAsia" w:ascii="宋体" w:hAnsi="宋体" w:cs="宋体"/>
        </w:rPr>
        <w:t>1部</w:t>
      </w:r>
      <w:r>
        <w:rPr>
          <w:rFonts w:ascii="宋体" w:hAnsi="宋体" w:cs="宋体"/>
        </w:rPr>
        <w:t>无障碍楼梯</w:t>
      </w:r>
      <w:r>
        <w:rPr>
          <w:rFonts w:hint="eastAsia" w:ascii="宋体" w:hAnsi="宋体" w:cs="宋体"/>
        </w:rPr>
        <w:t>。</w:t>
      </w:r>
    </w:p>
    <w:p>
      <w:pPr>
        <w:pStyle w:val="32"/>
        <w:numPr>
          <w:ilvl w:val="0"/>
          <w:numId w:val="62"/>
        </w:numPr>
        <w:spacing w:line="360" w:lineRule="auto"/>
        <w:ind w:firstLine="424" w:firstLineChars="202"/>
        <w:rPr>
          <w:rFonts w:ascii="宋体" w:hAnsi="宋体" w:cs="宋体"/>
        </w:rPr>
      </w:pPr>
      <w:r>
        <w:rPr>
          <w:rFonts w:hint="eastAsia" w:ascii="宋体" w:hAnsi="宋体" w:cs="宋体"/>
        </w:rPr>
        <w:t>供居民使用的公共厕所应满足本标准第4.2.3条的有关规定；</w:t>
      </w:r>
    </w:p>
    <w:p>
      <w:pPr>
        <w:pStyle w:val="32"/>
        <w:numPr>
          <w:ilvl w:val="0"/>
          <w:numId w:val="62"/>
        </w:numPr>
        <w:spacing w:line="360" w:lineRule="auto"/>
        <w:ind w:firstLine="424" w:firstLineChars="202"/>
        <w:rPr>
          <w:rFonts w:ascii="宋体" w:hAnsi="宋体" w:cs="宋体"/>
        </w:rPr>
      </w:pPr>
      <w:r>
        <w:rPr>
          <w:rFonts w:hint="eastAsia" w:ascii="宋体" w:hAnsi="宋体" w:cs="宋体"/>
        </w:rPr>
        <w:t>居住区停车场和车库的总停车位应设置不少于</w:t>
      </w:r>
      <w:r>
        <w:rPr>
          <w:rFonts w:ascii="宋体" w:hAnsi="宋体" w:cs="宋体"/>
        </w:rPr>
        <w:t>0.5</w:t>
      </w:r>
      <w:r>
        <w:rPr>
          <w:rFonts w:hint="eastAsia" w:ascii="宋体" w:hAnsi="宋体" w:cs="宋体"/>
        </w:rPr>
        <w:t>％的无障碍机动车停车位；若设有多个停车场和车库每处均宜设置不少于1个无障碍机动车停车位。</w:t>
      </w:r>
    </w:p>
    <w:p>
      <w:pPr>
        <w:pStyle w:val="32"/>
        <w:spacing w:line="360" w:lineRule="auto"/>
        <w:ind w:firstLine="0" w:firstLineChars="0"/>
        <w:outlineLvl w:val="3"/>
        <w:rPr>
          <w:b/>
          <w:i/>
        </w:rPr>
      </w:pPr>
      <w:r>
        <w:rPr>
          <w:rFonts w:hint="eastAsia"/>
          <w:b/>
          <w:i/>
        </w:rPr>
        <w:t>条文说明</w:t>
      </w:r>
    </w:p>
    <w:p>
      <w:pPr>
        <w:pStyle w:val="32"/>
        <w:spacing w:line="360" w:lineRule="auto"/>
        <w:ind w:firstLine="422" w:firstLineChars="201"/>
        <w:rPr>
          <w:rFonts w:hint="eastAsia" w:ascii="宋体" w:hAnsi="宋体" w:cs="宋体"/>
        </w:rPr>
      </w:pPr>
      <w:r>
        <w:rPr>
          <w:rFonts w:hint="eastAsia" w:ascii="宋体" w:hAnsi="宋体"/>
          <w:i/>
        </w:rPr>
        <w:t>第</w:t>
      </w:r>
      <w:r>
        <w:rPr>
          <w:rFonts w:ascii="宋体" w:hAnsi="宋体"/>
          <w:i/>
        </w:rPr>
        <w:t>3</w:t>
      </w:r>
      <w:r>
        <w:rPr>
          <w:rFonts w:hint="eastAsia" w:ascii="宋体" w:hAnsi="宋体"/>
          <w:i/>
        </w:rPr>
        <w:t>款 地面停车场的无障碍机动车停车位宜靠近停车场的出入口设置。有条件的居住区宜靠近住宅出入口设置无障碍机动车停车位；车库的人行出入口应为无障碍出入口。设置在非首层的车库应设无障碍通道与无障碍电梯或无障碍楼梯连通，直达首层</w:t>
      </w:r>
    </w:p>
    <w:p>
      <w:pPr>
        <w:pStyle w:val="32"/>
        <w:numPr>
          <w:ilvl w:val="2"/>
          <w:numId w:val="43"/>
        </w:numPr>
        <w:spacing w:line="360" w:lineRule="auto"/>
        <w:ind w:firstLineChars="0"/>
        <w:outlineLvl w:val="2"/>
        <w:rPr>
          <w:rFonts w:ascii="宋体" w:hAnsi="宋体" w:cs="宋体"/>
        </w:rPr>
      </w:pPr>
      <w:r>
        <w:rPr>
          <w:rFonts w:hint="eastAsia" w:ascii="宋体" w:hAnsi="宋体" w:cs="宋体"/>
        </w:rPr>
        <w:t>住宅的无障碍设计应符合下列规定：</w:t>
      </w:r>
    </w:p>
    <w:p>
      <w:pPr>
        <w:pStyle w:val="32"/>
        <w:numPr>
          <w:ilvl w:val="0"/>
          <w:numId w:val="63"/>
        </w:numPr>
        <w:spacing w:line="360" w:lineRule="auto"/>
        <w:ind w:firstLine="424" w:firstLineChars="202"/>
        <w:rPr>
          <w:rFonts w:ascii="宋体" w:hAnsi="宋体" w:cs="宋体"/>
        </w:rPr>
      </w:pPr>
      <w:r>
        <w:rPr>
          <w:rFonts w:hint="eastAsia" w:ascii="宋体" w:hAnsi="宋体" w:cs="宋体"/>
        </w:rPr>
        <w:t>住宅</w:t>
      </w:r>
      <w:r>
        <w:rPr>
          <w:rFonts w:ascii="宋体" w:hAnsi="宋体" w:cs="宋体"/>
        </w:rPr>
        <w:t>建筑出入口</w:t>
      </w:r>
      <w:r>
        <w:rPr>
          <w:rFonts w:hint="eastAsia" w:ascii="宋体" w:hAnsi="宋体" w:cs="宋体"/>
        </w:rPr>
        <w:t>、电梯</w:t>
      </w:r>
      <w:r>
        <w:rPr>
          <w:rFonts w:ascii="宋体" w:hAnsi="宋体" w:cs="宋体"/>
        </w:rPr>
        <w:t>、</w:t>
      </w:r>
      <w:r>
        <w:rPr>
          <w:rFonts w:hint="eastAsia" w:ascii="宋体" w:hAnsi="宋体" w:cs="宋体"/>
        </w:rPr>
        <w:t>住房</w:t>
      </w:r>
      <w:r>
        <w:rPr>
          <w:rFonts w:ascii="宋体" w:hAnsi="宋体" w:cs="宋体"/>
        </w:rPr>
        <w:t>等均应进行</w:t>
      </w:r>
      <w:r>
        <w:rPr>
          <w:rFonts w:hint="eastAsia" w:ascii="宋体" w:hAnsi="宋体" w:cs="宋体"/>
        </w:rPr>
        <w:t>无障碍</w:t>
      </w:r>
      <w:r>
        <w:rPr>
          <w:rFonts w:ascii="宋体" w:hAnsi="宋体" w:cs="宋体"/>
        </w:rPr>
        <w:t>设计。</w:t>
      </w:r>
    </w:p>
    <w:p>
      <w:pPr>
        <w:pStyle w:val="32"/>
        <w:numPr>
          <w:ilvl w:val="0"/>
          <w:numId w:val="63"/>
        </w:numPr>
        <w:spacing w:line="360" w:lineRule="auto"/>
        <w:ind w:firstLine="424" w:firstLineChars="202"/>
        <w:rPr>
          <w:rFonts w:ascii="宋体" w:hAnsi="宋体" w:cs="宋体"/>
        </w:rPr>
      </w:pPr>
      <w:r>
        <w:rPr>
          <w:rFonts w:hint="eastAsia" w:ascii="宋体" w:hAnsi="宋体" w:cs="宋体"/>
        </w:rPr>
        <w:t>住宅建筑应按每100套住房设置不少于2套无障碍住房，</w:t>
      </w:r>
      <w:r>
        <w:rPr>
          <w:rFonts w:ascii="宋体" w:hAnsi="宋体" w:cs="宋体"/>
        </w:rPr>
        <w:t>无障碍住房应满足本标准第</w:t>
      </w:r>
      <w:r>
        <w:rPr>
          <w:rFonts w:hint="eastAsia" w:ascii="宋体" w:hAnsi="宋体" w:cs="宋体"/>
        </w:rPr>
        <w:t>4.2.5条</w:t>
      </w:r>
      <w:r>
        <w:rPr>
          <w:rFonts w:ascii="宋体" w:hAnsi="宋体" w:cs="宋体"/>
        </w:rPr>
        <w:t>的</w:t>
      </w:r>
      <w:r>
        <w:rPr>
          <w:rFonts w:hint="eastAsia" w:ascii="宋体" w:hAnsi="宋体" w:cs="宋体"/>
        </w:rPr>
        <w:t>有关规定</w:t>
      </w:r>
      <w:r>
        <w:rPr>
          <w:rFonts w:ascii="宋体" w:hAnsi="宋体" w:cs="宋体"/>
        </w:rPr>
        <w:t>。</w:t>
      </w:r>
    </w:p>
    <w:p>
      <w:pPr>
        <w:pStyle w:val="32"/>
        <w:numPr>
          <w:ilvl w:val="0"/>
          <w:numId w:val="63"/>
        </w:numPr>
        <w:spacing w:line="360" w:lineRule="auto"/>
        <w:ind w:firstLine="424" w:firstLineChars="202"/>
        <w:rPr>
          <w:rFonts w:ascii="宋体" w:hAnsi="宋体" w:cs="宋体"/>
        </w:rPr>
      </w:pPr>
      <w:r>
        <w:rPr>
          <w:rFonts w:hint="eastAsia" w:ascii="宋体" w:hAnsi="宋体" w:cs="宋体"/>
        </w:rPr>
        <w:t>无障碍住房宜设于底层。当设在二层及以上且建筑设置电梯时，应设置不少于1部无障碍电梯，无障碍电梯应与无障碍住房以无障碍通道连接；当未设置电梯时，其公共楼梯应设置为</w:t>
      </w:r>
      <w:r>
        <w:rPr>
          <w:rFonts w:ascii="宋体" w:hAnsi="宋体" w:cs="宋体"/>
        </w:rPr>
        <w:t>无障碍楼梯，应</w:t>
      </w:r>
      <w:r>
        <w:rPr>
          <w:rFonts w:hint="eastAsia" w:ascii="宋体" w:hAnsi="宋体" w:cs="宋体"/>
        </w:rPr>
        <w:t>满足本标准</w:t>
      </w:r>
      <w:r>
        <w:rPr>
          <w:rFonts w:ascii="宋体" w:hAnsi="宋体" w:cs="宋体"/>
        </w:rPr>
        <w:t>第</w:t>
      </w:r>
      <w:r>
        <w:rPr>
          <w:rFonts w:hint="eastAsia" w:ascii="宋体" w:hAnsi="宋体" w:cs="宋体"/>
        </w:rPr>
        <w:t>4.1.7条</w:t>
      </w:r>
      <w:r>
        <w:rPr>
          <w:rFonts w:ascii="宋体" w:hAnsi="宋体" w:cs="宋体"/>
        </w:rPr>
        <w:t>有关规定的要求</w:t>
      </w:r>
      <w:r>
        <w:rPr>
          <w:rFonts w:hint="eastAsia" w:ascii="宋体" w:hAnsi="宋体" w:cs="宋体"/>
        </w:rPr>
        <w:t>；</w:t>
      </w:r>
    </w:p>
    <w:p>
      <w:pPr>
        <w:pStyle w:val="32"/>
        <w:numPr>
          <w:ilvl w:val="0"/>
          <w:numId w:val="63"/>
        </w:numPr>
        <w:ind w:firstLine="424" w:firstLineChars="202"/>
        <w:rPr>
          <w:rFonts w:ascii="宋体" w:hAnsi="宋体" w:cs="宋体"/>
        </w:rPr>
      </w:pPr>
      <w:r>
        <w:rPr>
          <w:rFonts w:hint="eastAsia" w:ascii="宋体" w:hAnsi="宋体" w:cs="宋体"/>
        </w:rPr>
        <w:t>无障碍住房内卫生间应满足本</w:t>
      </w:r>
      <w:r>
        <w:rPr>
          <w:rFonts w:ascii="宋体" w:hAnsi="宋体" w:cs="宋体"/>
        </w:rPr>
        <w:t>标准</w:t>
      </w:r>
      <w:r>
        <w:rPr>
          <w:rFonts w:hint="eastAsia" w:ascii="宋体" w:hAnsi="宋体" w:cs="宋体"/>
        </w:rPr>
        <w:t>4.2.3条</w:t>
      </w:r>
      <w:r>
        <w:rPr>
          <w:rFonts w:ascii="宋体" w:hAnsi="宋体" w:cs="宋体"/>
        </w:rPr>
        <w:t>的有关规定</w:t>
      </w:r>
      <w:r>
        <w:rPr>
          <w:rFonts w:hint="eastAsia" w:ascii="宋体" w:hAnsi="宋体" w:cs="宋体"/>
        </w:rPr>
        <w:t xml:space="preserve">； </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hint="eastAsia"/>
          <w:b/>
          <w:i/>
        </w:rPr>
      </w:pPr>
      <w:r>
        <w:rPr>
          <w:rFonts w:hint="eastAsia" w:ascii="宋体" w:hAnsi="宋体"/>
          <w:i/>
        </w:rPr>
        <w:t>商住楼的住宅部分执行本条规定。在独栋、双拼和联排别墅中作为首层单户进出的居住建筑，可根据需要选择使用。</w:t>
      </w:r>
    </w:p>
    <w:p>
      <w:pPr>
        <w:pStyle w:val="32"/>
        <w:numPr>
          <w:ilvl w:val="2"/>
          <w:numId w:val="43"/>
        </w:numPr>
        <w:spacing w:line="360" w:lineRule="auto"/>
        <w:ind w:firstLineChars="0"/>
        <w:outlineLvl w:val="2"/>
        <w:rPr>
          <w:rFonts w:ascii="宋体" w:hAnsi="宋体" w:cs="宋体"/>
        </w:rPr>
      </w:pPr>
      <w:r>
        <w:rPr>
          <w:rFonts w:hint="eastAsia" w:ascii="宋体" w:hAnsi="宋体" w:cs="宋体"/>
        </w:rPr>
        <w:t>宿舍的无障碍设计应符合下列规定：</w:t>
      </w:r>
    </w:p>
    <w:p>
      <w:pPr>
        <w:pStyle w:val="32"/>
        <w:numPr>
          <w:ilvl w:val="0"/>
          <w:numId w:val="64"/>
        </w:numPr>
        <w:spacing w:line="360" w:lineRule="auto"/>
        <w:ind w:firstLine="424" w:firstLineChars="202"/>
        <w:rPr>
          <w:rFonts w:hint="eastAsia" w:ascii="宋体" w:hAnsi="宋体" w:cs="宋体"/>
        </w:rPr>
      </w:pPr>
      <w:r>
        <w:rPr>
          <w:rFonts w:hint="eastAsia" w:ascii="宋体" w:hAnsi="宋体" w:cs="宋体"/>
        </w:rPr>
        <w:t>宿舍</w:t>
      </w:r>
      <w:r>
        <w:rPr>
          <w:rFonts w:ascii="宋体" w:hAnsi="宋体" w:cs="宋体"/>
        </w:rPr>
        <w:t>建筑出入口、电梯</w:t>
      </w:r>
      <w:r>
        <w:rPr>
          <w:rFonts w:hint="eastAsia" w:ascii="宋体" w:hAnsi="宋体" w:cs="宋体"/>
        </w:rPr>
        <w:t>、</w:t>
      </w:r>
      <w:r>
        <w:rPr>
          <w:rFonts w:ascii="宋体" w:hAnsi="宋体" w:cs="宋体"/>
        </w:rPr>
        <w:t>宿舍等均应进行无障碍设计。</w:t>
      </w:r>
    </w:p>
    <w:p>
      <w:pPr>
        <w:pStyle w:val="32"/>
        <w:numPr>
          <w:ilvl w:val="0"/>
          <w:numId w:val="64"/>
        </w:numPr>
        <w:spacing w:line="360" w:lineRule="auto"/>
        <w:ind w:firstLine="424" w:firstLineChars="202"/>
        <w:rPr>
          <w:rFonts w:ascii="宋体" w:hAnsi="宋体" w:cs="宋体"/>
        </w:rPr>
      </w:pPr>
      <w:r>
        <w:rPr>
          <w:rFonts w:hint="eastAsia" w:ascii="宋体" w:hAnsi="宋体" w:cs="宋体"/>
        </w:rPr>
        <w:t>宿舍建筑中，男女宿舍应分别设置无障碍宿舍，每100套宿舍各应设置不少于1套无障碍宿舍；</w:t>
      </w:r>
      <w:r>
        <w:rPr>
          <w:rFonts w:ascii="宋体" w:hAnsi="宋体" w:cs="宋体"/>
        </w:rPr>
        <w:t xml:space="preserve"> </w:t>
      </w:r>
    </w:p>
    <w:p>
      <w:pPr>
        <w:pStyle w:val="32"/>
        <w:numPr>
          <w:ilvl w:val="0"/>
          <w:numId w:val="64"/>
        </w:numPr>
        <w:spacing w:line="360" w:lineRule="auto"/>
        <w:ind w:firstLine="424" w:firstLineChars="202"/>
        <w:rPr>
          <w:rFonts w:hint="eastAsia" w:ascii="宋体" w:hAnsi="宋体" w:cs="宋体"/>
        </w:rPr>
      </w:pPr>
      <w:r>
        <w:rPr>
          <w:rFonts w:hint="eastAsia" w:ascii="宋体" w:hAnsi="宋体" w:cs="宋体"/>
        </w:rPr>
        <w:t xml:space="preserve">无障碍宿舍宜设于底层。当设在二层及以上且建筑设置电梯时，应设置不少于1部无障碍电梯，无障碍电梯应与无障碍宿舍以无障碍通道连接； </w:t>
      </w:r>
    </w:p>
    <w:p>
      <w:pPr>
        <w:pStyle w:val="32"/>
        <w:numPr>
          <w:ilvl w:val="0"/>
          <w:numId w:val="64"/>
        </w:numPr>
        <w:spacing w:line="360" w:lineRule="auto"/>
        <w:ind w:firstLine="424" w:firstLineChars="202"/>
        <w:rPr>
          <w:rFonts w:ascii="宋体" w:hAnsi="宋体" w:cs="宋体"/>
        </w:rPr>
      </w:pPr>
      <w:r>
        <w:rPr>
          <w:rFonts w:hint="eastAsia" w:ascii="宋体" w:hAnsi="宋体" w:cs="宋体"/>
        </w:rPr>
        <w:t>套内设有卫生间的无障碍宿舍，其卫生间应满足无障碍卫生间要求；当无障碍宿舍内未设置厕所时，其所在楼层的公共厕所至少有1处应满足本标准第</w:t>
      </w:r>
      <w:r>
        <w:rPr>
          <w:rFonts w:ascii="宋体" w:hAnsi="宋体" w:cs="宋体"/>
        </w:rPr>
        <w:t>4.2.3</w:t>
      </w:r>
      <w:r>
        <w:rPr>
          <w:rFonts w:hint="eastAsia" w:ascii="宋体" w:hAnsi="宋体" w:cs="宋体"/>
        </w:rPr>
        <w:t>节有关规定的无障碍厕所，并宜靠近无障碍宿舍设置。</w:t>
      </w:r>
    </w:p>
    <w:p>
      <w:pPr>
        <w:pStyle w:val="32"/>
        <w:spacing w:line="360" w:lineRule="auto"/>
        <w:ind w:firstLine="0" w:firstLineChars="0"/>
        <w:outlineLvl w:val="3"/>
        <w:rPr>
          <w:rFonts w:ascii="宋体" w:hAnsi="宋体"/>
          <w:i/>
        </w:rPr>
      </w:pPr>
      <w:r>
        <w:rPr>
          <w:rFonts w:hint="eastAsia"/>
          <w:b/>
          <w:i/>
        </w:rPr>
        <w:t>条文说明</w:t>
      </w:r>
    </w:p>
    <w:p>
      <w:pPr>
        <w:pStyle w:val="32"/>
        <w:spacing w:line="360" w:lineRule="auto"/>
        <w:ind w:firstLine="422"/>
        <w:outlineLvl w:val="3"/>
        <w:rPr>
          <w:rFonts w:ascii="宋体" w:hAnsi="宋体"/>
          <w:i/>
        </w:rPr>
      </w:pPr>
      <w:r>
        <w:rPr>
          <w:rFonts w:hint="eastAsia"/>
          <w:b/>
          <w:i/>
        </w:rPr>
        <w:t>第</w:t>
      </w:r>
      <w:r>
        <w:rPr>
          <w:b/>
          <w:i/>
        </w:rPr>
        <w:t>2</w:t>
      </w:r>
      <w:r>
        <w:rPr>
          <w:rFonts w:hint="eastAsia"/>
          <w:b/>
          <w:i/>
        </w:rPr>
        <w:t xml:space="preserve">款 </w:t>
      </w:r>
      <w:r>
        <w:rPr>
          <w:rFonts w:hint="eastAsia" w:ascii="宋体" w:hAnsi="宋体"/>
          <w:i/>
        </w:rPr>
        <w:t>无障碍宿舍的设置，是满足行动不便人员参与学习和社会工作的需求。即使明确没有残障人士的学校和单位，也应设计至少不少于男女各1套无障碍宿舍，以备临时和短期需要。</w:t>
      </w:r>
    </w:p>
    <w:p>
      <w:pPr>
        <w:rPr>
          <w:rFonts w:hint="eastAsia"/>
        </w:rPr>
      </w:pPr>
    </w:p>
    <w:p>
      <w:pPr>
        <w:pStyle w:val="32"/>
        <w:numPr>
          <w:ilvl w:val="1"/>
          <w:numId w:val="43"/>
        </w:numPr>
        <w:spacing w:line="360" w:lineRule="auto"/>
        <w:ind w:firstLineChars="0"/>
        <w:jc w:val="center"/>
        <w:outlineLvl w:val="1"/>
        <w:rPr>
          <w:rFonts w:ascii="宋体" w:hAnsi="宋体" w:cs="宋体"/>
        </w:rPr>
      </w:pPr>
      <w:bookmarkStart w:id="286" w:name="_Toc23437789"/>
      <w:bookmarkStart w:id="287" w:name="_Toc20420205"/>
      <w:r>
        <w:rPr>
          <w:rFonts w:hint="eastAsia" w:ascii="宋体" w:hAnsi="宋体" w:cs="宋体"/>
        </w:rPr>
        <w:t>公共建筑</w:t>
      </w:r>
      <w:bookmarkEnd w:id="286"/>
      <w:bookmarkEnd w:id="287"/>
    </w:p>
    <w:p>
      <w:pPr>
        <w:pStyle w:val="32"/>
        <w:numPr>
          <w:ilvl w:val="2"/>
          <w:numId w:val="43"/>
        </w:numPr>
        <w:spacing w:line="360" w:lineRule="auto"/>
        <w:ind w:firstLineChars="0"/>
        <w:outlineLvl w:val="2"/>
        <w:rPr>
          <w:rFonts w:ascii="宋体" w:hAnsi="宋体" w:cs="宋体"/>
        </w:rPr>
      </w:pPr>
      <w:r>
        <w:rPr>
          <w:rFonts w:hint="eastAsia" w:ascii="宋体" w:hAnsi="宋体" w:cs="宋体"/>
        </w:rPr>
        <w:t>公共建筑无障碍设计范围包括：办公建筑、教育建筑、医疗建筑、民政建筑、体育建筑、文化建筑、商业建筑、交通建筑等；</w:t>
      </w:r>
    </w:p>
    <w:p>
      <w:pPr>
        <w:pStyle w:val="32"/>
        <w:numPr>
          <w:ilvl w:val="2"/>
          <w:numId w:val="43"/>
        </w:numPr>
        <w:spacing w:line="360" w:lineRule="auto"/>
        <w:ind w:firstLineChars="0"/>
        <w:outlineLvl w:val="2"/>
        <w:rPr>
          <w:rFonts w:ascii="宋体" w:hAnsi="宋体" w:cs="宋体"/>
        </w:rPr>
      </w:pPr>
      <w:r>
        <w:rPr>
          <w:rFonts w:hint="eastAsia" w:ascii="宋体" w:hAnsi="宋体" w:cs="宋体"/>
        </w:rPr>
        <w:t>建筑基地内无障碍设施应与市政无障碍设施有效衔接；基地</w:t>
      </w:r>
      <w:r>
        <w:rPr>
          <w:rFonts w:ascii="宋体" w:hAnsi="宋体" w:cs="宋体"/>
        </w:rPr>
        <w:t>内</w:t>
      </w:r>
      <w:r>
        <w:rPr>
          <w:rFonts w:hint="eastAsia" w:ascii="宋体" w:hAnsi="宋体" w:cs="宋体"/>
        </w:rPr>
        <w:t>通行步行道应满足本标准第5章有关规定的要求；建筑基地内若设置休息座椅，应留有轮椅停留空间；</w:t>
      </w:r>
    </w:p>
    <w:p>
      <w:pPr>
        <w:pStyle w:val="32"/>
        <w:spacing w:line="360" w:lineRule="auto"/>
        <w:ind w:firstLine="0" w:firstLineChars="0"/>
        <w:outlineLvl w:val="3"/>
        <w:rPr>
          <w:b/>
          <w:i/>
        </w:rPr>
      </w:pPr>
      <w:r>
        <w:rPr>
          <w:rFonts w:hint="eastAsia"/>
          <w:b/>
          <w:i/>
        </w:rPr>
        <w:t xml:space="preserve">条文说明 </w:t>
      </w:r>
    </w:p>
    <w:p>
      <w:pPr>
        <w:pStyle w:val="32"/>
        <w:spacing w:line="360" w:lineRule="auto"/>
        <w:outlineLvl w:val="3"/>
        <w:rPr>
          <w:rFonts w:ascii="宋体" w:hAnsi="宋体"/>
          <w:i/>
          <w:iCs/>
        </w:rPr>
      </w:pPr>
      <w:r>
        <w:rPr>
          <w:rFonts w:hint="eastAsia" w:ascii="宋体" w:hAnsi="宋体" w:cs="宋体"/>
          <w:i/>
          <w:iCs/>
        </w:rPr>
        <w:t>公共建筑内步行道路应满足无障碍设计要求，并与市政道路无障碍设施有效衔接。建筑基地内主要人员聚集的场所应设置休息座椅时，座椅的位置不能阻碍人行通道，在临近座位旁应设置无障碍休息区，供使用轮椅或者童车、步行辅助器械的人使用。</w:t>
      </w:r>
    </w:p>
    <w:p>
      <w:pPr>
        <w:pStyle w:val="32"/>
        <w:numPr>
          <w:ilvl w:val="2"/>
          <w:numId w:val="43"/>
        </w:numPr>
        <w:spacing w:line="360" w:lineRule="auto"/>
        <w:ind w:firstLineChars="0"/>
        <w:outlineLvl w:val="2"/>
        <w:rPr>
          <w:rFonts w:ascii="宋体" w:hAnsi="宋体" w:cs="宋体"/>
        </w:rPr>
      </w:pPr>
      <w:r>
        <w:rPr>
          <w:rFonts w:hint="eastAsia" w:ascii="宋体" w:hAnsi="宋体" w:cs="宋体"/>
        </w:rPr>
        <w:t>建筑主要出入口宜为无障碍平坡出入口；建筑出入口数量不大于2个，所有出入口应设置为无障碍出入口，出入口数量为2个或2个以上，应至少设置2个无障碍出入口；建筑</w:t>
      </w:r>
      <w:r>
        <w:rPr>
          <w:rFonts w:ascii="宋体" w:hAnsi="宋体" w:cs="宋体"/>
        </w:rPr>
        <w:t>出入口</w:t>
      </w:r>
      <w:r>
        <w:rPr>
          <w:rFonts w:hint="eastAsia" w:ascii="宋体" w:hAnsi="宋体" w:cs="宋体"/>
        </w:rPr>
        <w:t>及</w:t>
      </w:r>
      <w:r>
        <w:rPr>
          <w:rFonts w:ascii="宋体" w:hAnsi="宋体" w:cs="宋体"/>
        </w:rPr>
        <w:t>无障碍通道的门扇</w:t>
      </w:r>
      <w:r>
        <w:rPr>
          <w:rFonts w:hint="eastAsia" w:ascii="宋体" w:hAnsi="宋体" w:cs="宋体"/>
        </w:rPr>
        <w:t>应符合本标准第</w:t>
      </w:r>
      <w:r>
        <w:rPr>
          <w:rFonts w:ascii="宋体" w:hAnsi="宋体" w:cs="宋体"/>
        </w:rPr>
        <w:t>4.4.</w:t>
      </w:r>
      <w:r>
        <w:rPr>
          <w:rFonts w:hint="eastAsia" w:ascii="宋体" w:hAnsi="宋体" w:cs="宋体"/>
        </w:rPr>
        <w:t>2条的要求；</w:t>
      </w:r>
    </w:p>
    <w:p>
      <w:pPr>
        <w:pStyle w:val="32"/>
        <w:numPr>
          <w:ilvl w:val="2"/>
          <w:numId w:val="43"/>
        </w:numPr>
        <w:spacing w:line="360" w:lineRule="auto"/>
        <w:ind w:firstLineChars="0"/>
        <w:outlineLvl w:val="2"/>
        <w:rPr>
          <w:rFonts w:ascii="宋体" w:hAnsi="宋体" w:cs="宋体"/>
        </w:rPr>
      </w:pPr>
      <w:r>
        <w:rPr>
          <w:rFonts w:hint="eastAsia" w:ascii="宋体" w:hAnsi="宋体" w:cs="宋体"/>
        </w:rPr>
        <w:t>建筑公共区域的室内通道应设置为无障碍通道，走道长度大于50m，宜设置休息区，休息区应避开行走路线；供公众使用的主要通行楼梯应为无障碍楼梯；建筑内设有电梯时，每组电梯应至少设置1部无障碍电梯；</w:t>
      </w:r>
    </w:p>
    <w:p>
      <w:pPr>
        <w:pStyle w:val="32"/>
        <w:spacing w:line="360" w:lineRule="auto"/>
        <w:ind w:firstLine="0" w:firstLineChars="0"/>
        <w:outlineLvl w:val="3"/>
        <w:rPr>
          <w:b/>
          <w:i/>
        </w:rPr>
      </w:pPr>
      <w:r>
        <w:rPr>
          <w:rFonts w:hint="eastAsia"/>
          <w:b/>
          <w:i/>
        </w:rPr>
        <w:t xml:space="preserve">条文说明 </w:t>
      </w:r>
    </w:p>
    <w:p>
      <w:pPr>
        <w:pStyle w:val="32"/>
        <w:spacing w:line="360" w:lineRule="auto"/>
        <w:outlineLvl w:val="3"/>
        <w:rPr>
          <w:rFonts w:hint="eastAsia" w:ascii="宋体" w:hAnsi="宋体" w:cs="宋体"/>
        </w:rPr>
      </w:pPr>
      <w:r>
        <w:rPr>
          <w:rFonts w:hint="eastAsia" w:ascii="宋体" w:hAnsi="宋体" w:cs="宋体"/>
          <w:i/>
          <w:iCs/>
        </w:rPr>
        <w:t>公共建筑内水平及竖向交通的无障碍设施应便于残障人士达到不同的使用空间。《无障碍设计规范》（GB50763-2012）8.7.2条标明走道长度大于60m时，需增设无障碍休息座椅。依据爱尔兰通用设计方法《Building for Everyone: A Universal Design Approach》中拐杖使用者单次步行最大距离，本设计标准提高设计要求，走道长度大于50m应设置无障碍休息座椅，且休息座椅旁应设置轮椅停放区。</w:t>
      </w:r>
    </w:p>
    <w:p>
      <w:pPr>
        <w:pStyle w:val="32"/>
        <w:numPr>
          <w:ilvl w:val="2"/>
          <w:numId w:val="43"/>
        </w:numPr>
        <w:spacing w:line="360" w:lineRule="auto"/>
        <w:ind w:firstLineChars="0"/>
        <w:outlineLvl w:val="2"/>
        <w:rPr>
          <w:rFonts w:ascii="宋体" w:hAnsi="宋体" w:cs="宋体"/>
        </w:rPr>
      </w:pPr>
      <w:r>
        <w:rPr>
          <w:rFonts w:hint="eastAsia" w:ascii="宋体" w:hAnsi="宋体" w:cs="宋体"/>
        </w:rPr>
        <w:t>供公众使用的男、女公共厕所每层至少有1处应满足本标准第</w:t>
      </w:r>
      <w:r>
        <w:rPr>
          <w:rFonts w:ascii="宋体" w:hAnsi="宋体" w:cs="宋体"/>
        </w:rPr>
        <w:t>4.2.3</w:t>
      </w:r>
      <w:r>
        <w:rPr>
          <w:rFonts w:hint="eastAsia" w:ascii="宋体" w:hAnsi="宋体" w:cs="宋体"/>
        </w:rPr>
        <w:t>节的有关规定或在男、女公共厕所附近设置1个无障碍厕所，且建筑内应至少设置一处无障碍厕所；</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hint="eastAsia" w:ascii="宋体" w:hAnsi="宋体" w:cs="宋体"/>
        </w:rPr>
      </w:pPr>
      <w:r>
        <w:rPr>
          <w:rFonts w:hint="eastAsia" w:ascii="宋体" w:hAnsi="宋体" w:cs="宋体"/>
          <w:i/>
          <w:iCs/>
        </w:rPr>
        <w:t>建筑内公共厕所应满足无障碍设计要求，满足各类人群需求，有条件的建筑建议每层设置1个无障碍厕所。</w:t>
      </w:r>
    </w:p>
    <w:p>
      <w:pPr>
        <w:pStyle w:val="32"/>
        <w:numPr>
          <w:ilvl w:val="2"/>
          <w:numId w:val="43"/>
        </w:numPr>
        <w:spacing w:line="360" w:lineRule="auto"/>
        <w:ind w:firstLineChars="0"/>
        <w:outlineLvl w:val="2"/>
        <w:rPr>
          <w:rFonts w:ascii="宋体" w:hAnsi="宋体" w:cs="宋体"/>
        </w:rPr>
      </w:pPr>
      <w:r>
        <w:rPr>
          <w:rFonts w:hint="eastAsia" w:ascii="宋体" w:hAnsi="宋体" w:cs="宋体"/>
        </w:rPr>
        <w:t>公共建筑内电话台、查询处、饮水机和自助售货处等应设置低位服务设施；</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hint="eastAsia" w:ascii="宋体" w:hAnsi="宋体" w:cs="宋体"/>
        </w:rPr>
      </w:pPr>
      <w:r>
        <w:rPr>
          <w:rFonts w:hint="eastAsia" w:ascii="宋体" w:hAnsi="宋体" w:cs="宋体"/>
          <w:i/>
          <w:iCs/>
        </w:rPr>
        <w:t>建筑内</w:t>
      </w:r>
      <w:r>
        <w:rPr>
          <w:rFonts w:hint="eastAsia" w:ascii="宋体" w:hAnsi="宋体" w:cs="宋体"/>
        </w:rPr>
        <w:t>服务</w:t>
      </w:r>
      <w:r>
        <w:rPr>
          <w:rFonts w:hint="eastAsia" w:ascii="宋体" w:hAnsi="宋体" w:cs="宋体"/>
          <w:i/>
          <w:iCs/>
        </w:rPr>
        <w:t>设施均应设置相应的低位服务设施或窗口</w:t>
      </w:r>
    </w:p>
    <w:p>
      <w:pPr>
        <w:pStyle w:val="32"/>
        <w:numPr>
          <w:ilvl w:val="2"/>
          <w:numId w:val="43"/>
        </w:numPr>
        <w:spacing w:line="360" w:lineRule="auto"/>
        <w:ind w:firstLineChars="0"/>
        <w:outlineLvl w:val="2"/>
        <w:rPr>
          <w:rFonts w:ascii="宋体" w:hAnsi="宋体" w:cs="宋体"/>
          <w:b/>
          <w:bCs/>
        </w:rPr>
      </w:pPr>
      <w:r>
        <w:rPr>
          <w:rFonts w:hint="eastAsia" w:ascii="宋体" w:hAnsi="宋体" w:cs="宋体"/>
          <w:color w:val="000000" w:themeColor="text1"/>
          <w14:textFill>
            <w14:solidFill>
              <w14:schemeClr w14:val="tx1"/>
            </w14:solidFill>
          </w14:textFill>
        </w:rPr>
        <w:t>建筑基地主要出入口、建筑出入口</w:t>
      </w:r>
      <w:r>
        <w:rPr>
          <w:rFonts w:hint="eastAsia" w:ascii="宋体" w:hAnsi="宋体" w:cs="宋体"/>
        </w:rPr>
        <w:t>、无障碍通道、停车位和电梯等无障碍设施应设符合我国国家标准的无障碍标志，</w:t>
      </w:r>
      <w:r>
        <w:rPr>
          <w:rFonts w:hint="eastAsia" w:ascii="宋体" w:hAnsi="宋体" w:cs="宋体"/>
          <w:color w:val="000000" w:themeColor="text1"/>
          <w14:textFill>
            <w14:solidFill>
              <w14:schemeClr w14:val="tx1"/>
            </w14:solidFill>
          </w14:textFill>
        </w:rPr>
        <w:t>基地主要出入口、建筑主入口</w:t>
      </w:r>
      <w:r>
        <w:rPr>
          <w:rFonts w:hint="eastAsia" w:ascii="宋体" w:hAnsi="宋体" w:cs="宋体"/>
        </w:rPr>
        <w:t>和楼梯前室宜设置盲文地图和楼面示意图，重要信息提示处宜设电子显示屏。</w:t>
      </w:r>
      <w:r>
        <w:rPr>
          <w:rFonts w:hint="eastAsia" w:ascii="宋体" w:hAnsi="宋体" w:cs="宋体"/>
          <w:b/>
          <w:bCs/>
        </w:rPr>
        <w:t xml:space="preserve"> </w:t>
      </w:r>
    </w:p>
    <w:p>
      <w:pPr>
        <w:pStyle w:val="32"/>
        <w:numPr>
          <w:ilvl w:val="2"/>
          <w:numId w:val="43"/>
        </w:numPr>
        <w:spacing w:line="360" w:lineRule="auto"/>
        <w:ind w:firstLineChars="0"/>
        <w:outlineLvl w:val="2"/>
        <w:rPr>
          <w:rFonts w:ascii="宋体" w:hAnsi="宋体" w:cs="宋体"/>
        </w:rPr>
      </w:pPr>
      <w:r>
        <w:rPr>
          <w:rFonts w:hint="eastAsia" w:ascii="宋体" w:hAnsi="宋体" w:cs="宋体"/>
        </w:rPr>
        <w:t>办公建筑的无障碍设计应符合下列规定：</w:t>
      </w:r>
    </w:p>
    <w:p>
      <w:pPr>
        <w:pStyle w:val="32"/>
        <w:numPr>
          <w:ilvl w:val="0"/>
          <w:numId w:val="65"/>
        </w:numPr>
        <w:spacing w:line="360" w:lineRule="auto"/>
        <w:ind w:firstLine="424" w:firstLineChars="202"/>
        <w:rPr>
          <w:rFonts w:ascii="宋体" w:hAnsi="宋体" w:cs="宋体"/>
        </w:rPr>
      </w:pPr>
      <w:r>
        <w:rPr>
          <w:rFonts w:hint="eastAsia" w:ascii="宋体" w:hAnsi="宋体" w:cs="宋体"/>
        </w:rPr>
        <w:t>政府办公建筑、司法办公建筑、企事业办公建筑、各类科研建筑、社区办公及其他办公建筑均应</w:t>
      </w:r>
      <w:r>
        <w:rPr>
          <w:rFonts w:ascii="宋体" w:hAnsi="宋体" w:cs="宋体"/>
        </w:rPr>
        <w:t>进行无障碍设计</w:t>
      </w:r>
      <w:r>
        <w:rPr>
          <w:rFonts w:hint="eastAsia" w:ascii="宋体" w:hAnsi="宋体" w:cs="宋体"/>
        </w:rPr>
        <w:t>；</w:t>
      </w:r>
    </w:p>
    <w:p>
      <w:pPr>
        <w:pStyle w:val="32"/>
        <w:numPr>
          <w:ilvl w:val="0"/>
          <w:numId w:val="65"/>
        </w:numPr>
        <w:spacing w:line="360" w:lineRule="auto"/>
        <w:ind w:firstLine="424" w:firstLineChars="202"/>
        <w:rPr>
          <w:rFonts w:ascii="宋体" w:hAnsi="宋体" w:cs="宋体"/>
        </w:rPr>
      </w:pPr>
      <w:r>
        <w:rPr>
          <w:rFonts w:hint="eastAsia" w:ascii="宋体" w:hAnsi="宋体" w:cs="宋体"/>
        </w:rPr>
        <w:t>行政服务大厅、公共事业营业厅等公共服务建筑应至少设置1处面积不小于6</w:t>
      </w:r>
      <w:r>
        <w:t xml:space="preserve"> m</w:t>
      </w:r>
      <w:r>
        <w:rPr>
          <w:vertAlign w:val="superscript"/>
        </w:rPr>
        <w:t>2</w:t>
      </w:r>
      <w:r>
        <w:rPr>
          <w:rFonts w:hint="eastAsia" w:ascii="宋体" w:hAnsi="宋体" w:cs="宋体"/>
        </w:rPr>
        <w:t>的母婴室；</w:t>
      </w:r>
    </w:p>
    <w:p>
      <w:pPr>
        <w:pStyle w:val="32"/>
        <w:numPr>
          <w:ilvl w:val="0"/>
          <w:numId w:val="65"/>
        </w:numPr>
        <w:spacing w:line="360" w:lineRule="auto"/>
        <w:ind w:firstLine="424" w:firstLineChars="202"/>
        <w:rPr>
          <w:rFonts w:ascii="宋体" w:hAnsi="宋体" w:cs="宋体"/>
        </w:rPr>
      </w:pPr>
      <w:r>
        <w:rPr>
          <w:rFonts w:hint="eastAsia" w:ascii="宋体" w:hAnsi="宋体" w:cs="宋体"/>
        </w:rPr>
        <w:t>法庭、审判庭及为公众服务的会议及报告厅等的公众坐席座位数为300座及以下时应至少设置1个轮椅席位，300座以上时不应少于</w:t>
      </w:r>
      <w:r>
        <w:rPr>
          <w:rFonts w:ascii="宋体" w:hAnsi="宋体" w:cs="宋体"/>
        </w:rPr>
        <w:t>0.2</w:t>
      </w:r>
      <w:r>
        <w:rPr>
          <w:rFonts w:hint="eastAsia" w:ascii="宋体" w:hAnsi="宋体" w:cs="宋体"/>
        </w:rPr>
        <w:t>％且不少于2个轮椅席位</w:t>
      </w:r>
    </w:p>
    <w:p>
      <w:pPr>
        <w:pStyle w:val="32"/>
        <w:numPr>
          <w:ilvl w:val="0"/>
          <w:numId w:val="65"/>
        </w:numPr>
        <w:spacing w:line="360" w:lineRule="auto"/>
        <w:ind w:firstLine="424" w:firstLineChars="202"/>
        <w:rPr>
          <w:b/>
          <w:i/>
        </w:rPr>
      </w:pPr>
      <w:r>
        <w:rPr>
          <w:rFonts w:hint="eastAsia" w:ascii="宋体" w:hAnsi="宋体" w:cs="宋体"/>
        </w:rPr>
        <w:t>办公建筑内多功能厅、报告厅等至少应设置1个轮椅坐席。</w:t>
      </w:r>
    </w:p>
    <w:p>
      <w:pPr>
        <w:pStyle w:val="32"/>
        <w:spacing w:line="360" w:lineRule="auto"/>
        <w:ind w:firstLine="0" w:firstLineChars="0"/>
        <w:rPr>
          <w:b/>
          <w:i/>
        </w:rPr>
      </w:pPr>
      <w:r>
        <w:rPr>
          <w:rFonts w:hint="eastAsia"/>
          <w:b/>
          <w:i/>
        </w:rPr>
        <w:t>条文说明</w:t>
      </w:r>
    </w:p>
    <w:p>
      <w:pPr>
        <w:pStyle w:val="32"/>
        <w:spacing w:line="360" w:lineRule="auto"/>
        <w:outlineLvl w:val="3"/>
        <w:rPr>
          <w:rFonts w:ascii="宋体" w:hAnsi="宋体"/>
        </w:rPr>
      </w:pPr>
      <w:r>
        <w:rPr>
          <w:rFonts w:hint="eastAsia" w:ascii="宋体" w:hAnsi="宋体" w:cs="宋体"/>
        </w:rPr>
        <w:t>第1款 本条规定了办公建筑实施无障碍设计范围，其他未注明办公类的建筑类型可参考本条内容进行设计。</w:t>
      </w:r>
    </w:p>
    <w:p>
      <w:pPr>
        <w:pStyle w:val="32"/>
        <w:spacing w:line="360" w:lineRule="auto"/>
        <w:outlineLvl w:val="3"/>
        <w:rPr>
          <w:rFonts w:ascii="宋体" w:hAnsi="宋体" w:cs="宋体"/>
          <w:strike/>
        </w:rPr>
      </w:pPr>
      <w:r>
        <w:rPr>
          <w:rFonts w:hint="eastAsia" w:ascii="宋体" w:hAnsi="宋体" w:cs="宋体"/>
        </w:rPr>
        <w:t>第2款 提供公共服务的办公建筑使用人群复杂，应考虑哺乳期妇女和婴儿的使用需求，应设置独立母婴室。</w:t>
      </w:r>
    </w:p>
    <w:p>
      <w:pPr>
        <w:pStyle w:val="32"/>
        <w:spacing w:line="360" w:lineRule="auto"/>
        <w:outlineLvl w:val="3"/>
        <w:rPr>
          <w:b/>
          <w:i/>
        </w:rPr>
      </w:pPr>
      <w:r>
        <w:rPr>
          <w:rFonts w:hint="eastAsia" w:ascii="宋体" w:hAnsi="宋体" w:cs="宋体"/>
        </w:rPr>
        <w:t>第3款、第4款 法庭、审判庭等建筑内为公众服务的会议及报告厅还应设置轮椅坐席。其他办公建筑内多功能厅、报告厅等也应考虑轮椅坐席设置。</w:t>
      </w:r>
    </w:p>
    <w:p>
      <w:pPr>
        <w:pStyle w:val="32"/>
        <w:numPr>
          <w:ilvl w:val="2"/>
          <w:numId w:val="43"/>
        </w:numPr>
        <w:spacing w:line="360" w:lineRule="auto"/>
        <w:ind w:firstLineChars="0"/>
        <w:outlineLvl w:val="2"/>
        <w:rPr>
          <w:rFonts w:ascii="宋体" w:hAnsi="宋体" w:cs="宋体"/>
        </w:rPr>
      </w:pPr>
      <w:r>
        <w:rPr>
          <w:rFonts w:hint="eastAsia" w:ascii="宋体" w:hAnsi="宋体" w:cs="宋体"/>
        </w:rPr>
        <w:t>教育建筑的无障碍设计应符合下列规定：</w:t>
      </w:r>
    </w:p>
    <w:p>
      <w:pPr>
        <w:pStyle w:val="32"/>
        <w:numPr>
          <w:ilvl w:val="0"/>
          <w:numId w:val="66"/>
        </w:numPr>
        <w:spacing w:line="360" w:lineRule="auto"/>
        <w:ind w:firstLine="424" w:firstLineChars="202"/>
        <w:rPr>
          <w:rFonts w:ascii="宋体" w:hAnsi="宋体" w:cs="宋体"/>
        </w:rPr>
      </w:pPr>
      <w:r>
        <w:rPr>
          <w:rFonts w:hint="eastAsia" w:ascii="宋体" w:hAnsi="宋体" w:cs="宋体"/>
        </w:rPr>
        <w:t>托儿所、幼儿园、中小学，高等院校、职业教育、特殊教育均应</w:t>
      </w:r>
      <w:r>
        <w:rPr>
          <w:rFonts w:ascii="宋体" w:hAnsi="宋体" w:cs="宋体"/>
        </w:rPr>
        <w:t>进行无障碍设计</w:t>
      </w:r>
      <w:r>
        <w:rPr>
          <w:rFonts w:hint="eastAsia" w:ascii="宋体" w:hAnsi="宋体" w:cs="宋体"/>
        </w:rPr>
        <w:t>；</w:t>
      </w:r>
    </w:p>
    <w:p>
      <w:pPr>
        <w:pStyle w:val="32"/>
        <w:numPr>
          <w:ilvl w:val="0"/>
          <w:numId w:val="66"/>
        </w:numPr>
        <w:spacing w:line="360" w:lineRule="auto"/>
        <w:ind w:firstLine="424" w:firstLineChars="202"/>
        <w:rPr>
          <w:rFonts w:ascii="宋体" w:hAnsi="宋体" w:cs="宋体"/>
        </w:rPr>
      </w:pPr>
      <w:r>
        <w:rPr>
          <w:rFonts w:hint="eastAsia" w:ascii="宋体" w:hAnsi="宋体" w:cs="宋体"/>
        </w:rPr>
        <w:t>报告厅、演艺中心等应设置不小于2个轮椅坐席；</w:t>
      </w:r>
    </w:p>
    <w:p>
      <w:pPr>
        <w:pStyle w:val="32"/>
        <w:numPr>
          <w:ilvl w:val="0"/>
          <w:numId w:val="66"/>
        </w:numPr>
        <w:spacing w:line="360" w:lineRule="auto"/>
        <w:ind w:firstLine="424" w:firstLineChars="202"/>
        <w:rPr>
          <w:rFonts w:ascii="宋体" w:hAnsi="宋体" w:cs="宋体"/>
        </w:rPr>
      </w:pPr>
      <w:r>
        <w:rPr>
          <w:rFonts w:hint="eastAsia" w:ascii="宋体" w:hAnsi="宋体" w:cs="宋体"/>
        </w:rPr>
        <w:t>接收残障生源的教育建筑的合班教室应设置不少于2个轮椅坐席；有固定座位的教室、阅览室、实验教室等教学用房，应在靠近出入口处预留轮椅回转空间；</w:t>
      </w:r>
    </w:p>
    <w:p>
      <w:pPr>
        <w:pStyle w:val="32"/>
        <w:numPr>
          <w:ilvl w:val="0"/>
          <w:numId w:val="66"/>
        </w:numPr>
        <w:spacing w:line="360" w:lineRule="auto"/>
        <w:ind w:firstLine="424" w:firstLineChars="202"/>
        <w:rPr>
          <w:rFonts w:ascii="宋体" w:hAnsi="宋体" w:cs="宋体"/>
        </w:rPr>
      </w:pPr>
      <w:r>
        <w:rPr>
          <w:rFonts w:hint="eastAsia" w:ascii="宋体" w:hAnsi="宋体" w:cs="宋体"/>
        </w:rPr>
        <w:t>视力、听力、言语、智力残障学校设计应符合现行行业标准《特殊教育学校建筑设计规范》</w:t>
      </w:r>
      <w:r>
        <w:rPr>
          <w:rFonts w:hint="eastAsia" w:ascii="宋体" w:hAnsi="宋体"/>
        </w:rPr>
        <w:t>（</w:t>
      </w:r>
      <w:r>
        <w:rPr>
          <w:rFonts w:hint="eastAsia" w:ascii="宋体" w:hAnsi="宋体" w:cs="宋体"/>
        </w:rPr>
        <w:t>JGJ76</w:t>
      </w:r>
      <w:r>
        <w:rPr>
          <w:rFonts w:hint="eastAsia" w:ascii="宋体" w:hAnsi="宋体"/>
        </w:rPr>
        <w:t>）</w:t>
      </w:r>
      <w:r>
        <w:rPr>
          <w:rFonts w:hint="eastAsia" w:ascii="宋体" w:hAnsi="宋体" w:cs="宋体"/>
        </w:rPr>
        <w:t>的有关要求；</w:t>
      </w:r>
    </w:p>
    <w:p>
      <w:pPr>
        <w:pStyle w:val="32"/>
        <w:numPr>
          <w:ilvl w:val="0"/>
          <w:numId w:val="66"/>
        </w:numPr>
        <w:spacing w:line="360" w:lineRule="auto"/>
        <w:ind w:firstLine="424" w:firstLineChars="202"/>
        <w:rPr>
          <w:rFonts w:ascii="宋体" w:hAnsi="宋体" w:cs="宋体"/>
        </w:rPr>
      </w:pPr>
      <w:r>
        <w:rPr>
          <w:rFonts w:hint="eastAsia" w:ascii="宋体" w:hAnsi="宋体" w:cs="宋体"/>
        </w:rPr>
        <w:t>教育建筑宿舍应满足本标准第</w:t>
      </w:r>
      <w:r>
        <w:rPr>
          <w:rFonts w:ascii="宋体" w:hAnsi="宋体" w:cs="宋体"/>
        </w:rPr>
        <w:t>4.2.5</w:t>
      </w:r>
      <w:r>
        <w:rPr>
          <w:rFonts w:hint="eastAsia" w:ascii="宋体" w:hAnsi="宋体" w:cs="宋体"/>
        </w:rPr>
        <w:t>条的相关规定。</w:t>
      </w:r>
    </w:p>
    <w:p>
      <w:pPr>
        <w:pStyle w:val="32"/>
        <w:spacing w:line="360" w:lineRule="auto"/>
        <w:ind w:firstLine="0" w:firstLineChars="0"/>
        <w:rPr>
          <w:b/>
          <w:i/>
        </w:rPr>
      </w:pPr>
      <w:r>
        <w:rPr>
          <w:rFonts w:hint="eastAsia"/>
          <w:b/>
          <w:i/>
        </w:rPr>
        <w:t>条文说明</w:t>
      </w:r>
    </w:p>
    <w:p>
      <w:pPr>
        <w:pStyle w:val="32"/>
        <w:spacing w:line="360" w:lineRule="auto"/>
        <w:rPr>
          <w:rFonts w:ascii="宋体" w:hAnsi="宋体" w:cs="宋体"/>
          <w:i/>
          <w:iCs/>
        </w:rPr>
      </w:pPr>
      <w:r>
        <w:rPr>
          <w:rFonts w:hint="eastAsia" w:ascii="宋体" w:hAnsi="宋体" w:cs="宋体"/>
          <w:i/>
          <w:iCs/>
        </w:rPr>
        <w:t>第2款 第3款 报告厅和演艺中心、合班教室、报告厅轮椅座席设置。宜靠近无障碍通道和出入口，减少与多数人流的交叉。报告厅的使用会持续一定的时间，建筑设计中要考虑就近设置厕所，并满足无障碍的设计要求。有固定座位的教室、阅览室、实验教室等教学用房，室内预留的轮椅回转空间，可作为临时的轮椅停放空间。教室出入口的门宽均应满足无障碍设计中轮椅通行的要求。</w:t>
      </w:r>
    </w:p>
    <w:p>
      <w:pPr>
        <w:pStyle w:val="32"/>
        <w:numPr>
          <w:ilvl w:val="2"/>
          <w:numId w:val="43"/>
        </w:numPr>
        <w:spacing w:line="360" w:lineRule="auto"/>
        <w:ind w:firstLineChars="0"/>
        <w:outlineLvl w:val="2"/>
        <w:rPr>
          <w:rFonts w:ascii="宋体" w:hAnsi="宋体" w:cs="宋体"/>
        </w:rPr>
      </w:pPr>
      <w:r>
        <w:rPr>
          <w:rFonts w:hint="eastAsia" w:ascii="宋体" w:hAnsi="宋体" w:cs="宋体"/>
        </w:rPr>
        <w:t>医疗建筑的无障碍设计应符合下列规定：</w:t>
      </w:r>
    </w:p>
    <w:p>
      <w:pPr>
        <w:pStyle w:val="32"/>
        <w:numPr>
          <w:ilvl w:val="0"/>
          <w:numId w:val="67"/>
        </w:numPr>
        <w:spacing w:line="360" w:lineRule="auto"/>
        <w:ind w:firstLine="424" w:firstLineChars="202"/>
        <w:rPr>
          <w:rFonts w:ascii="宋体" w:hAnsi="宋体" w:cs="宋体"/>
        </w:rPr>
      </w:pPr>
      <w:r>
        <w:rPr>
          <w:rFonts w:hint="eastAsia" w:ascii="宋体" w:hAnsi="宋体" w:cs="宋体"/>
        </w:rPr>
        <w:t>综合医院、专科医院、疗养院、康复中心、急救中心和其他所有与医疗、康复有关的建筑物均应</w:t>
      </w:r>
      <w:r>
        <w:rPr>
          <w:rFonts w:ascii="宋体" w:hAnsi="宋体" w:cs="宋体"/>
        </w:rPr>
        <w:t>进行无障碍设计</w:t>
      </w:r>
      <w:r>
        <w:rPr>
          <w:rFonts w:hint="eastAsia" w:ascii="宋体" w:hAnsi="宋体" w:cs="宋体"/>
        </w:rPr>
        <w:t>；</w:t>
      </w:r>
    </w:p>
    <w:p>
      <w:pPr>
        <w:pStyle w:val="32"/>
        <w:numPr>
          <w:ilvl w:val="0"/>
          <w:numId w:val="67"/>
        </w:numPr>
        <w:spacing w:line="360" w:lineRule="auto"/>
        <w:ind w:firstLine="424" w:firstLineChars="202"/>
        <w:rPr>
          <w:rFonts w:ascii="宋体" w:hAnsi="宋体" w:cs="宋体"/>
        </w:rPr>
      </w:pPr>
      <w:r>
        <w:rPr>
          <w:rFonts w:hint="eastAsia" w:ascii="宋体" w:hAnsi="宋体" w:cs="宋体"/>
        </w:rPr>
        <w:t>办公、科研、餐厅、食堂、太平间用房的主要出入口应为无障碍出入口；</w:t>
      </w:r>
    </w:p>
    <w:p>
      <w:pPr>
        <w:pStyle w:val="32"/>
        <w:numPr>
          <w:ilvl w:val="0"/>
          <w:numId w:val="67"/>
        </w:numPr>
        <w:spacing w:line="360" w:lineRule="auto"/>
        <w:ind w:firstLine="424" w:firstLineChars="202"/>
        <w:rPr>
          <w:rFonts w:ascii="宋体" w:hAnsi="宋体" w:cs="宋体"/>
        </w:rPr>
      </w:pPr>
      <w:r>
        <w:rPr>
          <w:rFonts w:hint="eastAsia" w:ascii="宋体" w:hAnsi="宋体" w:cs="宋体"/>
        </w:rPr>
        <w:t>室内通道应设置无障碍通道，净宽不应小于1.80m，并按照本标准第</w:t>
      </w:r>
      <w:r>
        <w:rPr>
          <w:rFonts w:ascii="宋体" w:hAnsi="宋体" w:cs="宋体"/>
        </w:rPr>
        <w:t>4.</w:t>
      </w:r>
      <w:r>
        <w:rPr>
          <w:rFonts w:hint="eastAsia" w:ascii="宋体" w:hAnsi="宋体" w:cs="宋体"/>
        </w:rPr>
        <w:t>1.6条的要求设置扶手；</w:t>
      </w:r>
    </w:p>
    <w:p>
      <w:pPr>
        <w:pStyle w:val="32"/>
        <w:numPr>
          <w:ilvl w:val="0"/>
          <w:numId w:val="67"/>
        </w:numPr>
        <w:spacing w:line="360" w:lineRule="auto"/>
        <w:ind w:firstLine="424" w:firstLineChars="202"/>
        <w:rPr>
          <w:rFonts w:ascii="宋体" w:hAnsi="宋体" w:cs="宋体"/>
        </w:rPr>
      </w:pPr>
      <w:r>
        <w:rPr>
          <w:rFonts w:hint="eastAsia" w:ascii="宋体" w:hAnsi="宋体" w:cs="宋体"/>
        </w:rPr>
        <w:t>医疗建筑内应至少设置一部无障碍楼梯，二层及以上的医疗建筑至少设置1部无障碍电梯；</w:t>
      </w:r>
    </w:p>
    <w:p>
      <w:pPr>
        <w:pStyle w:val="32"/>
        <w:numPr>
          <w:ilvl w:val="0"/>
          <w:numId w:val="67"/>
        </w:numPr>
        <w:spacing w:line="360" w:lineRule="auto"/>
        <w:ind w:firstLine="424" w:firstLineChars="202"/>
        <w:rPr>
          <w:rFonts w:ascii="宋体" w:hAnsi="宋体" w:cs="宋体"/>
        </w:rPr>
      </w:pPr>
      <w:r>
        <w:rPr>
          <w:rFonts w:hint="eastAsia" w:ascii="宋体" w:hAnsi="宋体" w:cs="宋体"/>
        </w:rPr>
        <w:t>首层应至少设置1处无障碍厕所；各楼层至少有1处公共厕所应满足本标准第</w:t>
      </w:r>
      <w:r>
        <w:rPr>
          <w:rFonts w:ascii="宋体" w:hAnsi="宋体" w:cs="宋体"/>
        </w:rPr>
        <w:t>4.2.3</w:t>
      </w:r>
      <w:r>
        <w:rPr>
          <w:rFonts w:hint="eastAsia" w:ascii="宋体" w:hAnsi="宋体" w:cs="宋体"/>
        </w:rPr>
        <w:t>条的有关规定或设置无障碍厕所；病房内的厕所应设置安全抓杆，并符合本标准第</w:t>
      </w:r>
      <w:r>
        <w:rPr>
          <w:rFonts w:ascii="宋体" w:hAnsi="宋体" w:cs="宋体"/>
        </w:rPr>
        <w:t>4.4.</w:t>
      </w:r>
      <w:r>
        <w:rPr>
          <w:rFonts w:hint="eastAsia" w:ascii="宋体" w:hAnsi="宋体" w:cs="宋体"/>
        </w:rPr>
        <w:t>9条的有关规定；</w:t>
      </w:r>
    </w:p>
    <w:p>
      <w:pPr>
        <w:pStyle w:val="32"/>
        <w:numPr>
          <w:ilvl w:val="0"/>
          <w:numId w:val="67"/>
        </w:numPr>
        <w:spacing w:line="360" w:lineRule="auto"/>
        <w:ind w:firstLine="424" w:firstLineChars="202"/>
        <w:rPr>
          <w:rFonts w:ascii="宋体" w:hAnsi="宋体" w:cs="宋体"/>
        </w:rPr>
      </w:pPr>
      <w:r>
        <w:rPr>
          <w:rFonts w:hint="eastAsia" w:ascii="宋体" w:hAnsi="宋体" w:cs="宋体"/>
        </w:rPr>
        <w:t>医疗康复建筑中，所有母婴经常逗留的公共场所，应设置至少1处母婴室；儿童医院的门、急诊部和医技部，每层宜设置至少1处母婴室，并靠近公共厕所；</w:t>
      </w:r>
    </w:p>
    <w:p>
      <w:pPr>
        <w:pStyle w:val="32"/>
        <w:numPr>
          <w:ilvl w:val="0"/>
          <w:numId w:val="67"/>
        </w:numPr>
        <w:spacing w:line="360" w:lineRule="auto"/>
        <w:ind w:firstLine="424" w:firstLineChars="202"/>
        <w:rPr>
          <w:rFonts w:ascii="宋体" w:hAnsi="宋体" w:cs="宋体"/>
        </w:rPr>
      </w:pPr>
      <w:r>
        <w:rPr>
          <w:rFonts w:hint="eastAsia" w:ascii="宋体" w:hAnsi="宋体" w:cs="宋体"/>
        </w:rPr>
        <w:t>门、急诊部的挂号、收费、取药处应设置文字显示器以及语音提示</w:t>
      </w:r>
      <w:r>
        <w:rPr>
          <w:rFonts w:ascii="宋体" w:hAnsi="宋体" w:cs="宋体"/>
        </w:rPr>
        <w:t>器</w:t>
      </w:r>
      <w:r>
        <w:rPr>
          <w:rFonts w:hint="eastAsia" w:ascii="宋体" w:hAnsi="宋体" w:cs="宋体"/>
        </w:rPr>
        <w:t>和低位服务台或窗口；候诊区应设轮椅停留空间；</w:t>
      </w:r>
    </w:p>
    <w:p>
      <w:pPr>
        <w:pStyle w:val="32"/>
        <w:numPr>
          <w:ilvl w:val="0"/>
          <w:numId w:val="67"/>
        </w:numPr>
        <w:spacing w:line="360" w:lineRule="auto"/>
        <w:ind w:firstLine="424" w:firstLineChars="202"/>
        <w:rPr>
          <w:rFonts w:ascii="宋体" w:hAnsi="宋体" w:cs="宋体"/>
        </w:rPr>
      </w:pPr>
      <w:r>
        <w:rPr>
          <w:rFonts w:hint="eastAsia" w:ascii="宋体" w:hAnsi="宋体" w:cs="宋体"/>
        </w:rPr>
        <w:t>医技部的无障碍设施应符合下列规定：病人更衣室内应留有直径不小于1.50m的轮椅回转空间，部分更衣箱高度应小于1．40m；等候区应留有轮椅停留空间，取报告处宜设文字显示器和语音提示器；</w:t>
      </w:r>
    </w:p>
    <w:p>
      <w:pPr>
        <w:pStyle w:val="32"/>
        <w:numPr>
          <w:ilvl w:val="0"/>
          <w:numId w:val="67"/>
        </w:numPr>
        <w:spacing w:line="360" w:lineRule="auto"/>
        <w:ind w:firstLine="424" w:firstLineChars="202"/>
        <w:rPr>
          <w:rFonts w:ascii="宋体" w:hAnsi="宋体" w:cs="宋体"/>
        </w:rPr>
      </w:pPr>
      <w:r>
        <w:rPr>
          <w:rFonts w:hint="eastAsia" w:ascii="宋体" w:hAnsi="宋体" w:cs="宋体"/>
        </w:rPr>
        <w:t>住院部病人活动室墙面四周扶手的设置应满足本标准第</w:t>
      </w:r>
      <w:r>
        <w:rPr>
          <w:rFonts w:ascii="宋体" w:hAnsi="宋体" w:cs="宋体"/>
        </w:rPr>
        <w:t>4.4.</w:t>
      </w:r>
      <w:r>
        <w:rPr>
          <w:rFonts w:hint="eastAsia" w:ascii="宋体" w:hAnsi="宋体" w:cs="宋体"/>
        </w:rPr>
        <w:t>3条的有关规定；理疗用房应根据治疗要求设置扶手，并满足本标准第</w:t>
      </w:r>
      <w:r>
        <w:rPr>
          <w:rFonts w:ascii="宋体" w:hAnsi="宋体" w:cs="宋体"/>
        </w:rPr>
        <w:t>4.4.</w:t>
      </w:r>
      <w:r>
        <w:rPr>
          <w:rFonts w:hint="eastAsia" w:ascii="宋体" w:hAnsi="宋体" w:cs="宋体"/>
        </w:rPr>
        <w:t>3条的有关规定；</w:t>
      </w:r>
    </w:p>
    <w:p>
      <w:pPr>
        <w:pStyle w:val="32"/>
        <w:numPr>
          <w:ilvl w:val="0"/>
          <w:numId w:val="67"/>
        </w:numPr>
        <w:spacing w:line="360" w:lineRule="auto"/>
        <w:ind w:firstLine="424" w:firstLineChars="202"/>
        <w:rPr>
          <w:rFonts w:ascii="宋体" w:hAnsi="宋体" w:cs="宋体"/>
        </w:rPr>
      </w:pPr>
      <w:r>
        <w:rPr>
          <w:rFonts w:hint="eastAsia" w:ascii="宋体" w:hAnsi="宋体" w:cs="宋体"/>
        </w:rPr>
        <w:t>无障碍设施应设符合我国国家标准的无障碍标识，应</w:t>
      </w:r>
      <w:r>
        <w:rPr>
          <w:rFonts w:ascii="宋体" w:hAnsi="宋体" w:cs="宋体"/>
        </w:rPr>
        <w:t>满足本标准第</w:t>
      </w:r>
      <w:r>
        <w:rPr>
          <w:rFonts w:hint="eastAsia" w:ascii="宋体" w:hAnsi="宋体" w:cs="宋体"/>
        </w:rPr>
        <w:t>4.3节</w:t>
      </w:r>
      <w:r>
        <w:rPr>
          <w:rFonts w:ascii="宋体" w:hAnsi="宋体" w:cs="宋体"/>
        </w:rPr>
        <w:t>的有关规定。</w:t>
      </w:r>
      <w:r>
        <w:rPr>
          <w:rFonts w:hint="eastAsia" w:ascii="宋体" w:hAnsi="宋体" w:cs="宋体"/>
        </w:rPr>
        <w:t>在康复建筑的院区主要出入口处宜设置盲文地图或供视觉障碍者使用的语音导医系统和语音提示</w:t>
      </w:r>
      <w:r>
        <w:rPr>
          <w:rFonts w:ascii="宋体" w:hAnsi="宋体" w:cs="宋体"/>
        </w:rPr>
        <w:t>器</w:t>
      </w:r>
      <w:r>
        <w:rPr>
          <w:rFonts w:hint="eastAsia" w:ascii="宋体" w:hAnsi="宋体" w:cs="宋体"/>
        </w:rPr>
        <w:t>、供听觉障碍者使用的手语服务及文字导医系统。</w:t>
      </w:r>
    </w:p>
    <w:p>
      <w:pPr>
        <w:pStyle w:val="32"/>
        <w:spacing w:line="360" w:lineRule="auto"/>
        <w:ind w:firstLine="0" w:firstLineChars="0"/>
        <w:rPr>
          <w:b/>
          <w:i/>
        </w:rPr>
      </w:pPr>
      <w:r>
        <w:rPr>
          <w:rFonts w:hint="eastAsia"/>
          <w:b/>
          <w:i/>
        </w:rPr>
        <w:t>条文说明</w:t>
      </w:r>
    </w:p>
    <w:p>
      <w:pPr>
        <w:pStyle w:val="32"/>
        <w:spacing w:line="360" w:lineRule="auto"/>
        <w:outlineLvl w:val="3"/>
        <w:rPr>
          <w:rFonts w:ascii="宋体" w:hAnsi="宋体" w:cs="宋体"/>
          <w:bCs/>
          <w:i/>
          <w:iCs/>
        </w:rPr>
      </w:pPr>
      <w:r>
        <w:rPr>
          <w:rFonts w:hint="eastAsia"/>
          <w:bCs/>
          <w:i/>
        </w:rPr>
        <w:t xml:space="preserve">第3款 </w:t>
      </w:r>
      <w:r>
        <w:rPr>
          <w:rFonts w:hint="eastAsia" w:ascii="宋体" w:hAnsi="宋体" w:cs="宋体"/>
          <w:bCs/>
          <w:i/>
          <w:iCs/>
        </w:rPr>
        <w:t>建筑内的无障碍通道按照并行两辆轮椅的要求，宽度不小于1．8m；若有通行推床的要求按照现行行业标准《综合医院建筑设计规范》（</w:t>
      </w:r>
      <w:r>
        <w:rPr>
          <w:rFonts w:ascii="宋体" w:hAnsi="宋体" w:cs="宋体"/>
          <w:bCs/>
          <w:i/>
          <w:iCs/>
        </w:rPr>
        <w:t>GB 51039-2014</w:t>
      </w:r>
      <w:r>
        <w:rPr>
          <w:rFonts w:hint="eastAsia" w:ascii="宋体" w:hAnsi="宋体" w:cs="宋体"/>
          <w:bCs/>
          <w:i/>
          <w:iCs/>
        </w:rPr>
        <w:t>）的有关规定设计。</w:t>
      </w:r>
    </w:p>
    <w:p>
      <w:pPr>
        <w:pStyle w:val="32"/>
        <w:spacing w:line="360" w:lineRule="auto"/>
        <w:rPr>
          <w:rFonts w:ascii="宋体" w:hAnsi="宋体" w:cs="宋体"/>
          <w:bCs/>
          <w:i/>
          <w:iCs/>
        </w:rPr>
      </w:pPr>
      <w:r>
        <w:rPr>
          <w:rFonts w:hint="eastAsia"/>
          <w:bCs/>
          <w:i/>
        </w:rPr>
        <w:t xml:space="preserve">第4款 </w:t>
      </w:r>
      <w:r>
        <w:rPr>
          <w:rFonts w:hint="eastAsia" w:ascii="宋体" w:hAnsi="宋体" w:cs="宋体"/>
          <w:bCs/>
          <w:i/>
          <w:iCs/>
        </w:rPr>
        <w:t>无障碍电梯的设置是解决医疗建筑竖向交通无障碍化的关键，在新建建筑中一定要设计到位。改建建筑在更换电梯时，至少要改建1部为无障碍电梯。并且二层及以上建筑应设置无障碍电梯，满足轮椅使用者及病床竖向交通。</w:t>
      </w:r>
    </w:p>
    <w:p>
      <w:pPr>
        <w:pStyle w:val="32"/>
        <w:numPr>
          <w:ilvl w:val="2"/>
          <w:numId w:val="43"/>
        </w:numPr>
        <w:spacing w:line="360" w:lineRule="auto"/>
        <w:ind w:firstLineChars="0"/>
        <w:outlineLvl w:val="2"/>
        <w:rPr>
          <w:rFonts w:ascii="宋体" w:hAnsi="宋体" w:cs="宋体"/>
        </w:rPr>
      </w:pPr>
      <w:r>
        <w:rPr>
          <w:rFonts w:hint="eastAsia" w:ascii="宋体" w:hAnsi="宋体" w:cs="宋体"/>
        </w:rPr>
        <w:t>民政建筑的无障碍设计应符合下列规定：</w:t>
      </w:r>
    </w:p>
    <w:p>
      <w:pPr>
        <w:pStyle w:val="32"/>
        <w:numPr>
          <w:ilvl w:val="0"/>
          <w:numId w:val="68"/>
        </w:numPr>
        <w:spacing w:line="360" w:lineRule="auto"/>
        <w:ind w:firstLine="424" w:firstLineChars="202"/>
        <w:rPr>
          <w:rFonts w:ascii="宋体" w:hAnsi="宋体" w:cs="宋体"/>
        </w:rPr>
      </w:pPr>
      <w:r>
        <w:rPr>
          <w:rFonts w:hint="eastAsia" w:ascii="宋体" w:hAnsi="宋体" w:cs="宋体"/>
        </w:rPr>
        <w:t>福利院、敬(安、养)老院、老年护理院、老年住宅、残疾人综合服务设施、残疾人托养中心、残疾人体训中心及其他残疾人集中或使用频率较高的建筑均应进行</w:t>
      </w:r>
      <w:r>
        <w:rPr>
          <w:rFonts w:ascii="宋体" w:hAnsi="宋体" w:cs="宋体"/>
        </w:rPr>
        <w:t>无障碍设计</w:t>
      </w:r>
      <w:r>
        <w:rPr>
          <w:rFonts w:hint="eastAsia" w:ascii="宋体" w:hAnsi="宋体" w:cs="宋体"/>
        </w:rPr>
        <w:t>；</w:t>
      </w:r>
    </w:p>
    <w:p>
      <w:pPr>
        <w:pStyle w:val="32"/>
        <w:numPr>
          <w:ilvl w:val="0"/>
          <w:numId w:val="68"/>
        </w:numPr>
        <w:spacing w:line="360" w:lineRule="auto"/>
        <w:ind w:firstLine="424" w:firstLineChars="202"/>
        <w:rPr>
          <w:rFonts w:ascii="宋体" w:hAnsi="宋体" w:cs="宋体"/>
        </w:rPr>
      </w:pPr>
      <w:r>
        <w:rPr>
          <w:rFonts w:hint="eastAsia" w:ascii="宋体" w:hAnsi="宋体" w:cs="宋体"/>
        </w:rPr>
        <w:t>主要出入口设置台阶时，台阶两侧宜设置扶手，</w:t>
      </w:r>
      <w:r>
        <w:rPr>
          <w:rFonts w:ascii="宋体" w:hAnsi="宋体" w:cs="宋体"/>
        </w:rPr>
        <w:t>并设置</w:t>
      </w:r>
      <w:r>
        <w:rPr>
          <w:rFonts w:hint="eastAsia" w:ascii="宋体" w:hAnsi="宋体" w:cs="宋体"/>
        </w:rPr>
        <w:t>轮椅</w:t>
      </w:r>
      <w:r>
        <w:rPr>
          <w:rFonts w:ascii="宋体" w:hAnsi="宋体" w:cs="宋体"/>
        </w:rPr>
        <w:t>坡道</w:t>
      </w:r>
      <w:r>
        <w:rPr>
          <w:rFonts w:hint="eastAsia" w:ascii="宋体" w:hAnsi="宋体" w:cs="宋体"/>
        </w:rPr>
        <w:t>；</w:t>
      </w:r>
    </w:p>
    <w:p>
      <w:pPr>
        <w:pStyle w:val="32"/>
        <w:numPr>
          <w:ilvl w:val="0"/>
          <w:numId w:val="68"/>
        </w:numPr>
        <w:spacing w:line="360" w:lineRule="auto"/>
        <w:ind w:firstLine="424" w:firstLineChars="202"/>
        <w:rPr>
          <w:rFonts w:ascii="宋体" w:hAnsi="宋体" w:cs="宋体"/>
        </w:rPr>
      </w:pPr>
      <w:r>
        <w:rPr>
          <w:rFonts w:hint="eastAsia" w:ascii="宋体" w:hAnsi="宋体" w:cs="宋体"/>
        </w:rPr>
        <w:t>建筑出入口大厅、休息厅等人员聚集场所宜提供休息座椅和可以设置轮椅的无障碍休息区；</w:t>
      </w:r>
    </w:p>
    <w:p>
      <w:pPr>
        <w:pStyle w:val="32"/>
        <w:numPr>
          <w:ilvl w:val="0"/>
          <w:numId w:val="68"/>
        </w:numPr>
        <w:spacing w:line="360" w:lineRule="auto"/>
        <w:ind w:firstLine="424" w:firstLineChars="202"/>
        <w:rPr>
          <w:rFonts w:ascii="宋体" w:hAnsi="宋体" w:cs="宋体"/>
        </w:rPr>
      </w:pPr>
      <w:r>
        <w:rPr>
          <w:rFonts w:hint="eastAsia" w:ascii="宋体" w:hAnsi="宋体" w:cs="宋体"/>
        </w:rPr>
        <w:t>公共区域的室内通道应为无障碍通道，走道两侧墙面应设置扶手，并满足本标准第</w:t>
      </w:r>
      <w:r>
        <w:rPr>
          <w:rFonts w:ascii="宋体" w:hAnsi="宋体" w:cs="宋体"/>
        </w:rPr>
        <w:t>4.4.</w:t>
      </w:r>
      <w:r>
        <w:rPr>
          <w:rFonts w:hint="eastAsia" w:ascii="宋体" w:hAnsi="宋体" w:cs="宋体"/>
        </w:rPr>
        <w:t>3条的有关规定；室外的连通走道应选用平整、坚固、耐磨、不光滑的材料并宜设防风避雨设施；</w:t>
      </w:r>
    </w:p>
    <w:p>
      <w:pPr>
        <w:pStyle w:val="32"/>
        <w:numPr>
          <w:ilvl w:val="0"/>
          <w:numId w:val="68"/>
        </w:numPr>
        <w:spacing w:line="360" w:lineRule="auto"/>
        <w:ind w:firstLine="424" w:firstLineChars="202"/>
        <w:rPr>
          <w:rFonts w:ascii="宋体" w:hAnsi="宋体" w:cs="宋体"/>
        </w:rPr>
      </w:pPr>
      <w:r>
        <w:rPr>
          <w:rFonts w:hint="eastAsia" w:ascii="宋体" w:hAnsi="宋体" w:cs="宋体"/>
        </w:rPr>
        <w:t>楼梯应设为无障碍楼梯；电梯应设为无障碍电梯；</w:t>
      </w:r>
    </w:p>
    <w:p>
      <w:pPr>
        <w:pStyle w:val="32"/>
        <w:numPr>
          <w:ilvl w:val="0"/>
          <w:numId w:val="68"/>
        </w:numPr>
        <w:spacing w:line="360" w:lineRule="auto"/>
        <w:ind w:firstLine="424" w:firstLineChars="202"/>
        <w:rPr>
          <w:rFonts w:ascii="宋体" w:hAnsi="宋体" w:cs="宋体"/>
        </w:rPr>
      </w:pPr>
      <w:r>
        <w:rPr>
          <w:rFonts w:hint="eastAsia" w:ascii="宋体" w:hAnsi="宋体" w:cs="宋体"/>
        </w:rPr>
        <w:t>居室户门净宽不应小于900mm；居室内走道净宽不应小于1.20m；卧室、厨房、厕所门净宽不应小于800mm；居室内宜留有直径不小于1.5m的轮椅回转空间；</w:t>
      </w:r>
    </w:p>
    <w:p>
      <w:pPr>
        <w:pStyle w:val="32"/>
        <w:numPr>
          <w:ilvl w:val="0"/>
          <w:numId w:val="68"/>
        </w:numPr>
        <w:spacing w:line="360" w:lineRule="auto"/>
        <w:ind w:firstLine="424" w:firstLineChars="202"/>
        <w:rPr>
          <w:rFonts w:ascii="宋体" w:hAnsi="宋体" w:cs="宋体"/>
        </w:rPr>
      </w:pPr>
      <w:r>
        <w:rPr>
          <w:rFonts w:hint="eastAsia" w:ascii="宋体" w:hAnsi="宋体" w:cs="宋体"/>
        </w:rPr>
        <w:t>居室内的厕所应设置安全抓杆，并符合本标准第</w:t>
      </w:r>
      <w:r>
        <w:rPr>
          <w:rFonts w:ascii="宋体" w:hAnsi="宋体" w:cs="宋体"/>
        </w:rPr>
        <w:t>4.4.</w:t>
      </w:r>
      <w:r>
        <w:rPr>
          <w:rFonts w:hint="eastAsia" w:ascii="宋体" w:hAnsi="宋体" w:cs="宋体"/>
        </w:rPr>
        <w:t>7条的有关规定；居室外的公共厕所应满足本标准第</w:t>
      </w:r>
      <w:r>
        <w:rPr>
          <w:rFonts w:ascii="宋体" w:hAnsi="宋体" w:cs="宋体"/>
        </w:rPr>
        <w:t>4.2.3</w:t>
      </w:r>
      <w:r>
        <w:rPr>
          <w:rFonts w:hint="eastAsia" w:ascii="宋体" w:hAnsi="宋体" w:cs="宋体"/>
        </w:rPr>
        <w:t>条的有关规定或设置无障碍厕所；</w:t>
      </w:r>
    </w:p>
    <w:p>
      <w:pPr>
        <w:pStyle w:val="32"/>
        <w:numPr>
          <w:ilvl w:val="0"/>
          <w:numId w:val="68"/>
        </w:numPr>
        <w:spacing w:line="360" w:lineRule="auto"/>
        <w:ind w:firstLine="424" w:firstLineChars="202"/>
        <w:rPr>
          <w:rFonts w:ascii="宋体" w:hAnsi="宋体" w:cs="宋体"/>
        </w:rPr>
      </w:pPr>
      <w:r>
        <w:rPr>
          <w:rFonts w:hint="eastAsia" w:ascii="宋体" w:hAnsi="宋体" w:cs="宋体"/>
        </w:rPr>
        <w:t>居室宜设置语音提示器。</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cs="宋体"/>
          <w:i/>
          <w:iCs/>
        </w:rPr>
      </w:pPr>
      <w:r>
        <w:rPr>
          <w:rFonts w:hint="eastAsia" w:ascii="宋体" w:hAnsi="宋体" w:cs="宋体"/>
          <w:i/>
          <w:iCs/>
        </w:rPr>
        <w:t>不同建筑类别的特殊设计要求，应符合《老年人建筑设计规范》（JGJ 122）、《老年人照料设施建筑设计标准》（JGJ 450-2018）及《儿童福利院建设标准》、《老年养护院建设标准》、《社区老年人日间照料中心建设标准》等有关的建筑设计规范与设计标准。</w:t>
      </w:r>
    </w:p>
    <w:p>
      <w:pPr>
        <w:pStyle w:val="32"/>
        <w:spacing w:line="360" w:lineRule="auto"/>
        <w:outlineLvl w:val="3"/>
        <w:rPr>
          <w:b/>
          <w:i/>
        </w:rPr>
      </w:pPr>
      <w:r>
        <w:rPr>
          <w:rFonts w:hint="eastAsia" w:ascii="宋体" w:hAnsi="宋体" w:cs="宋体"/>
          <w:i/>
          <w:iCs/>
        </w:rPr>
        <w:t>第1款 民政建筑是指收养孤残儿童、弃婴和无人照顾的未成年人的儿童福利院，及照顾身体健康、自理有困难或完全不能自理的孤残人员和老年人的特殊服务设施。</w:t>
      </w:r>
    </w:p>
    <w:p>
      <w:pPr>
        <w:pStyle w:val="32"/>
        <w:spacing w:line="360" w:lineRule="auto"/>
        <w:outlineLvl w:val="3"/>
        <w:rPr>
          <w:rFonts w:ascii="宋体" w:hAnsi="宋体" w:cs="宋体"/>
          <w:i/>
          <w:iCs/>
        </w:rPr>
      </w:pPr>
      <w:r>
        <w:rPr>
          <w:rFonts w:hint="eastAsia" w:ascii="宋体" w:hAnsi="宋体" w:cs="宋体"/>
          <w:i/>
          <w:iCs/>
        </w:rPr>
        <w:t>第2款 入口台阶高度和宽度要充分考虑老年人和儿童行走的特点进行设计，适当增加踏步的宽度、降低踏步的高度，保证安全。台阶两侧设置扶手，使视觉障碍者、行动不便而未乘坐轮椅的使用者抓扶。出入口要优先选用平坡出入口。</w:t>
      </w:r>
    </w:p>
    <w:p>
      <w:pPr>
        <w:pStyle w:val="32"/>
        <w:spacing w:line="360" w:lineRule="auto"/>
        <w:rPr>
          <w:rFonts w:ascii="宋体" w:hAnsi="宋体" w:cs="宋体"/>
          <w:i/>
          <w:iCs/>
        </w:rPr>
      </w:pPr>
      <w:r>
        <w:rPr>
          <w:rFonts w:hint="eastAsia" w:ascii="宋体" w:hAnsi="宋体" w:cs="宋体"/>
          <w:i/>
          <w:iCs/>
        </w:rPr>
        <w:t>第3款 大厅和休息厅应预留轮椅的停放区域，并提供休息座椅，给予使用者人文关怀，还可以避免人流聚集时的人车交叉，提供安静而安全的等候环境。</w:t>
      </w:r>
    </w:p>
    <w:p>
      <w:pPr>
        <w:pStyle w:val="32"/>
        <w:spacing w:line="360" w:lineRule="auto"/>
        <w:rPr>
          <w:rFonts w:ascii="宋体" w:hAnsi="宋体" w:cs="宋体"/>
          <w:i/>
          <w:iCs/>
        </w:rPr>
      </w:pPr>
      <w:r>
        <w:rPr>
          <w:rFonts w:hint="eastAsia" w:ascii="宋体" w:hAnsi="宋体" w:cs="宋体"/>
          <w:i/>
          <w:iCs/>
        </w:rPr>
        <w:t>第4款 无障碍通道两侧的扶手，根据使用者的身体情况安装单层或双层扶手。室外的连通走道要考虑老年人行走缓慢、步态不稳的特点，选用坚固、防滑的材料。在适当位置设置防风避雨的设施，提供停留、休息的区域。</w:t>
      </w:r>
    </w:p>
    <w:p>
      <w:pPr>
        <w:pStyle w:val="32"/>
        <w:spacing w:line="360" w:lineRule="auto"/>
        <w:rPr>
          <w:rFonts w:ascii="宋体" w:hAnsi="宋体" w:cs="宋体"/>
          <w:i/>
          <w:iCs/>
        </w:rPr>
      </w:pPr>
      <w:r>
        <w:rPr>
          <w:rFonts w:hint="eastAsia" w:ascii="宋体" w:hAnsi="宋体" w:cs="宋体"/>
          <w:i/>
          <w:iCs/>
        </w:rPr>
        <w:t>第</w:t>
      </w:r>
      <w:r>
        <w:rPr>
          <w:rFonts w:ascii="宋体" w:hAnsi="宋体" w:cs="宋体"/>
          <w:i/>
          <w:iCs/>
        </w:rPr>
        <w:t>6</w:t>
      </w:r>
      <w:r>
        <w:rPr>
          <w:rFonts w:hint="eastAsia" w:ascii="宋体" w:hAnsi="宋体" w:cs="宋体"/>
          <w:i/>
          <w:iCs/>
        </w:rPr>
        <w:t>款 居室内外门、走道的净宽要考虑轮椅和担架床通行的宽度。根据相关规范与标准，养老建筑和儿童福利院的生活用房的使用面积宜大于10m</w:t>
      </w:r>
      <w:r>
        <w:rPr>
          <w:rFonts w:hint="eastAsia" w:ascii="宋体" w:hAnsi="宋体" w:cs="宋体"/>
          <w:i/>
          <w:iCs/>
          <w:vertAlign w:val="superscript"/>
        </w:rPr>
        <w:t>2</w:t>
      </w:r>
      <w:r>
        <w:rPr>
          <w:rFonts w:hint="eastAsia" w:ascii="宋体" w:hAnsi="宋体" w:cs="宋体"/>
          <w:i/>
          <w:iCs/>
        </w:rPr>
        <w:t>，短边净尺寸宜大于3m，在布置室内家具时，要预留轮椅的回转空间。</w:t>
      </w:r>
    </w:p>
    <w:p>
      <w:pPr>
        <w:pStyle w:val="32"/>
        <w:spacing w:line="360" w:lineRule="auto"/>
        <w:rPr>
          <w:rFonts w:ascii="宋体" w:hAnsi="宋体" w:cs="宋体"/>
          <w:i/>
          <w:iCs/>
        </w:rPr>
      </w:pPr>
      <w:r>
        <w:rPr>
          <w:rFonts w:hint="eastAsia" w:ascii="宋体" w:hAnsi="宋体" w:cs="宋体"/>
          <w:i/>
          <w:iCs/>
        </w:rPr>
        <w:t>第</w:t>
      </w:r>
      <w:r>
        <w:rPr>
          <w:rFonts w:ascii="宋体" w:hAnsi="宋体" w:cs="宋体"/>
          <w:i/>
          <w:iCs/>
        </w:rPr>
        <w:t>7</w:t>
      </w:r>
      <w:r>
        <w:rPr>
          <w:rFonts w:hint="eastAsia" w:ascii="宋体" w:hAnsi="宋体" w:cs="宋体"/>
          <w:i/>
          <w:iCs/>
        </w:rPr>
        <w:t>款 厕所因特殊的使用功能和性质，极易发生摔倒等安全问题。根据无障碍要求设置相应的扶手抓杆等助力设施，可以减少危险的发生。在装修选材上，也要遵守平整、防滑的原则。</w:t>
      </w:r>
    </w:p>
    <w:p>
      <w:pPr>
        <w:pStyle w:val="32"/>
        <w:spacing w:line="360" w:lineRule="auto"/>
        <w:rPr>
          <w:rFonts w:ascii="宋体" w:hAnsi="宋体" w:cs="宋体"/>
        </w:rPr>
      </w:pPr>
      <w:r>
        <w:rPr>
          <w:rFonts w:hint="eastAsia" w:ascii="宋体" w:hAnsi="宋体" w:cs="宋体"/>
          <w:i/>
          <w:iCs/>
        </w:rPr>
        <w:t>第</w:t>
      </w:r>
      <w:r>
        <w:rPr>
          <w:rFonts w:ascii="宋体" w:hAnsi="宋体" w:cs="宋体"/>
          <w:i/>
          <w:iCs/>
        </w:rPr>
        <w:t>8</w:t>
      </w:r>
      <w:r>
        <w:rPr>
          <w:rFonts w:hint="eastAsia" w:ascii="宋体" w:hAnsi="宋体" w:cs="宋体"/>
          <w:i/>
          <w:iCs/>
        </w:rPr>
        <w:t>款</w:t>
      </w:r>
      <w:r>
        <w:rPr>
          <w:rFonts w:ascii="宋体" w:hAnsi="宋体" w:cs="宋体"/>
          <w:i/>
          <w:iCs/>
        </w:rPr>
        <w:t xml:space="preserve"> </w:t>
      </w:r>
      <w:r>
        <w:rPr>
          <w:rFonts w:hint="eastAsia" w:ascii="宋体" w:hAnsi="宋体" w:cs="宋体"/>
          <w:i/>
          <w:iCs/>
        </w:rPr>
        <w:t>有条件的建筑在居室内宜设置显示装置和声音提示装置．对于听力、视力障碍和退化的使用者，可以提供极大的便利。</w:t>
      </w:r>
    </w:p>
    <w:p>
      <w:pPr>
        <w:pStyle w:val="32"/>
        <w:numPr>
          <w:ilvl w:val="2"/>
          <w:numId w:val="43"/>
        </w:numPr>
        <w:spacing w:line="360" w:lineRule="auto"/>
        <w:ind w:firstLineChars="0"/>
        <w:outlineLvl w:val="2"/>
        <w:rPr>
          <w:rFonts w:ascii="宋体" w:hAnsi="宋体" w:cs="宋体"/>
        </w:rPr>
      </w:pPr>
      <w:r>
        <w:rPr>
          <w:rFonts w:hint="eastAsia" w:ascii="宋体" w:hAnsi="宋体" w:cs="宋体"/>
        </w:rPr>
        <w:t>体育建筑的无障碍设计应符合下列规定：</w:t>
      </w:r>
    </w:p>
    <w:p>
      <w:pPr>
        <w:pStyle w:val="32"/>
        <w:numPr>
          <w:ilvl w:val="0"/>
          <w:numId w:val="69"/>
        </w:numPr>
        <w:spacing w:line="360" w:lineRule="auto"/>
        <w:ind w:firstLine="424" w:firstLineChars="202"/>
        <w:rPr>
          <w:rFonts w:ascii="宋体" w:hAnsi="宋体" w:cs="宋体"/>
        </w:rPr>
      </w:pPr>
      <w:r>
        <w:rPr>
          <w:rFonts w:hint="eastAsia" w:ascii="宋体" w:hAnsi="宋体" w:cs="宋体"/>
        </w:rPr>
        <w:t>作为体育比赛(训练)、体育教学、体育休闲使用的体育场馆和场地设施均应进行</w:t>
      </w:r>
      <w:r>
        <w:rPr>
          <w:rFonts w:ascii="宋体" w:hAnsi="宋体" w:cs="宋体"/>
        </w:rPr>
        <w:t>无障碍设计</w:t>
      </w:r>
      <w:r>
        <w:rPr>
          <w:rFonts w:hint="eastAsia" w:ascii="宋体" w:hAnsi="宋体" w:cs="宋体"/>
        </w:rPr>
        <w:t>；</w:t>
      </w:r>
    </w:p>
    <w:p>
      <w:pPr>
        <w:pStyle w:val="32"/>
        <w:numPr>
          <w:ilvl w:val="0"/>
          <w:numId w:val="69"/>
        </w:numPr>
        <w:spacing w:line="360" w:lineRule="auto"/>
        <w:ind w:firstLine="424" w:firstLineChars="202"/>
        <w:rPr>
          <w:rFonts w:ascii="宋体" w:hAnsi="宋体" w:cs="宋体"/>
        </w:rPr>
      </w:pPr>
      <w:r>
        <w:rPr>
          <w:rFonts w:hint="eastAsia" w:ascii="宋体" w:hAnsi="宋体" w:cs="宋体"/>
        </w:rPr>
        <w:t>特级、甲级场馆基地内应设置不少于停车数量的2％，且不少于2个无障碍机动车停车位，乙级、丙级场馆基地内应设置不少于2个无障碍机动车停车位；</w:t>
      </w:r>
    </w:p>
    <w:p>
      <w:pPr>
        <w:pStyle w:val="32"/>
        <w:numPr>
          <w:ilvl w:val="0"/>
          <w:numId w:val="69"/>
        </w:numPr>
        <w:spacing w:line="360" w:lineRule="auto"/>
        <w:ind w:firstLine="424" w:firstLineChars="202"/>
        <w:rPr>
          <w:rFonts w:ascii="宋体" w:hAnsi="宋体" w:cs="宋体"/>
        </w:rPr>
      </w:pPr>
      <w:r>
        <w:rPr>
          <w:rFonts w:hint="eastAsia" w:ascii="宋体" w:hAnsi="宋体" w:cs="宋体"/>
        </w:rPr>
        <w:t>建筑物的观众、运动员及贵宾出入口应至少各设1处无障碍出入口，其他功能分区的出入口可根据需要设置无障碍出入口；</w:t>
      </w:r>
    </w:p>
    <w:p>
      <w:pPr>
        <w:pStyle w:val="32"/>
        <w:numPr>
          <w:ilvl w:val="0"/>
          <w:numId w:val="69"/>
        </w:numPr>
        <w:spacing w:line="360" w:lineRule="auto"/>
        <w:ind w:firstLine="424" w:firstLineChars="202"/>
        <w:rPr>
          <w:rFonts w:ascii="宋体" w:hAnsi="宋体" w:cs="宋体"/>
        </w:rPr>
      </w:pPr>
      <w:r>
        <w:rPr>
          <w:rFonts w:hint="eastAsia" w:ascii="宋体" w:hAnsi="宋体" w:cs="宋体"/>
        </w:rPr>
        <w:t>建筑的检票口及无障碍出入口到各种无障碍设施的室内走道应为无障碍通道，大厅、休息厅、贵宾休息室、疏散大厅等主要人员聚集场宜设放置轮椅的无障碍休息区；</w:t>
      </w:r>
    </w:p>
    <w:p>
      <w:pPr>
        <w:pStyle w:val="32"/>
        <w:numPr>
          <w:ilvl w:val="0"/>
          <w:numId w:val="69"/>
        </w:numPr>
        <w:spacing w:line="360" w:lineRule="auto"/>
        <w:ind w:firstLine="424" w:firstLineChars="202"/>
        <w:rPr>
          <w:rFonts w:ascii="宋体" w:hAnsi="宋体" w:cs="宋体"/>
        </w:rPr>
      </w:pPr>
      <w:r>
        <w:rPr>
          <w:rFonts w:hint="eastAsia" w:ascii="宋体" w:hAnsi="宋体" w:cs="宋体"/>
        </w:rPr>
        <w:t>特级、甲级场馆内各类观众看台区、主席台、贵宾区内如设置电梯应至少各设置1部无障碍电梯，乙级、丙级场馆内坐席区设有电梯时，至少应设置1部无障碍电梯，并应满足赛事和观众的需要；</w:t>
      </w:r>
    </w:p>
    <w:p>
      <w:pPr>
        <w:pStyle w:val="32"/>
        <w:numPr>
          <w:ilvl w:val="0"/>
          <w:numId w:val="69"/>
        </w:numPr>
        <w:spacing w:line="360" w:lineRule="auto"/>
        <w:ind w:firstLine="424" w:firstLineChars="202"/>
        <w:rPr>
          <w:rFonts w:ascii="宋体" w:hAnsi="宋体" w:cs="宋体"/>
        </w:rPr>
      </w:pPr>
      <w:r>
        <w:rPr>
          <w:rFonts w:hint="eastAsia" w:ascii="宋体" w:hAnsi="宋体" w:cs="宋体"/>
        </w:rPr>
        <w:t>特级、甲级场馆每处观众区和运动员区使用的男、女公共厕所均应满足本标准第</w:t>
      </w:r>
      <w:r>
        <w:rPr>
          <w:rFonts w:ascii="宋体" w:hAnsi="宋体" w:cs="宋体"/>
        </w:rPr>
        <w:t>4.2.3</w:t>
      </w:r>
      <w:r>
        <w:rPr>
          <w:rFonts w:hint="eastAsia" w:ascii="宋体" w:hAnsi="宋体" w:cs="宋体"/>
        </w:rPr>
        <w:t>条的有关规定或在每处男、女公共厕所附近设置1个无障碍厕所，且场馆内至少应设置1个无障碍厕所，主席台休息区、贵宾休息区应至少各设置1个无障碍厕所；乙级、丙级场馆的观众区和运动员区各至少有1处男、女公共厕所应满足本标准第</w:t>
      </w:r>
      <w:r>
        <w:rPr>
          <w:rFonts w:ascii="宋体" w:hAnsi="宋体" w:cs="宋体"/>
        </w:rPr>
        <w:t>4.2.3</w:t>
      </w:r>
      <w:r>
        <w:rPr>
          <w:rFonts w:hint="eastAsia" w:ascii="宋体" w:hAnsi="宋体" w:cs="宋体"/>
        </w:rPr>
        <w:t>条的有关规定或各在男、女公共厕所附近设置1个无障碍厕所；</w:t>
      </w:r>
    </w:p>
    <w:p>
      <w:pPr>
        <w:pStyle w:val="32"/>
        <w:numPr>
          <w:ilvl w:val="0"/>
          <w:numId w:val="69"/>
        </w:numPr>
        <w:spacing w:line="360" w:lineRule="auto"/>
        <w:ind w:firstLine="424" w:firstLineChars="202"/>
        <w:rPr>
          <w:rFonts w:ascii="宋体" w:hAnsi="宋体" w:cs="宋体"/>
        </w:rPr>
      </w:pPr>
      <w:r>
        <w:rPr>
          <w:rFonts w:hint="eastAsia" w:ascii="宋体" w:hAnsi="宋体" w:cs="宋体"/>
        </w:rPr>
        <w:t>场馆</w:t>
      </w:r>
      <w:r>
        <w:rPr>
          <w:rFonts w:ascii="宋体" w:hAnsi="宋体" w:cs="宋体"/>
        </w:rPr>
        <w:t>内</w:t>
      </w:r>
      <w:r>
        <w:rPr>
          <w:rFonts w:hint="eastAsia" w:ascii="宋体" w:hAnsi="宋体" w:cs="宋体"/>
        </w:rPr>
        <w:t>公共厕所厕位数应满足《城市公共厕所设计标准》第</w:t>
      </w:r>
      <w:r>
        <w:rPr>
          <w:rFonts w:ascii="宋体" w:hAnsi="宋体" w:cs="宋体"/>
        </w:rPr>
        <w:t>4.2.4</w:t>
      </w:r>
      <w:r>
        <w:rPr>
          <w:rFonts w:hint="eastAsia" w:ascii="宋体" w:hAnsi="宋体" w:cs="宋体"/>
        </w:rPr>
        <w:t>条有关规定要求，在人员聚集场所宜设置第三卫生间，应满足《城市公共厕所设计标准》第4.2.10条有关规定。</w:t>
      </w:r>
    </w:p>
    <w:p>
      <w:pPr>
        <w:pStyle w:val="32"/>
        <w:numPr>
          <w:ilvl w:val="0"/>
          <w:numId w:val="69"/>
        </w:numPr>
        <w:spacing w:line="360" w:lineRule="auto"/>
        <w:ind w:firstLine="424" w:firstLineChars="202"/>
        <w:rPr>
          <w:rFonts w:ascii="宋体" w:hAnsi="宋体" w:cs="宋体"/>
        </w:rPr>
      </w:pPr>
      <w:r>
        <w:rPr>
          <w:rFonts w:hint="eastAsia" w:ascii="宋体" w:hAnsi="宋体" w:cs="宋体"/>
        </w:rPr>
        <w:t>场馆内各类观众看台的坐席区都应设置轮椅席位，并在轮椅席位旁或邻近的坐席处，设置1：1的陪护席位，轮椅席位数不应少于观众席位总数的</w:t>
      </w:r>
      <w:r>
        <w:rPr>
          <w:rFonts w:ascii="宋体" w:hAnsi="宋体" w:cs="宋体"/>
        </w:rPr>
        <w:t>0.2</w:t>
      </w:r>
      <w:r>
        <w:rPr>
          <w:rFonts w:hint="eastAsia" w:ascii="宋体" w:hAnsi="宋体" w:cs="宋体"/>
        </w:rPr>
        <w:t>％。轮椅席位视线不应受到遮挡且不应遮挡他人的视线，轮椅席位范围应设护栏，地面需平整。</w:t>
      </w:r>
    </w:p>
    <w:p>
      <w:pPr>
        <w:pStyle w:val="32"/>
        <w:spacing w:line="360" w:lineRule="auto"/>
        <w:ind w:firstLine="0" w:firstLineChars="0"/>
        <w:rPr>
          <w:b/>
          <w:i/>
        </w:rPr>
      </w:pPr>
      <w:r>
        <w:rPr>
          <w:rFonts w:hint="eastAsia"/>
          <w:b/>
          <w:i/>
        </w:rPr>
        <w:t>条文说明</w:t>
      </w:r>
    </w:p>
    <w:p>
      <w:pPr>
        <w:pStyle w:val="32"/>
        <w:spacing w:line="360" w:lineRule="auto"/>
        <w:outlineLvl w:val="3"/>
        <w:rPr>
          <w:rFonts w:ascii="宋体" w:hAnsi="宋体" w:cs="宋体"/>
          <w:i/>
          <w:iCs/>
        </w:rPr>
      </w:pPr>
      <w:r>
        <w:rPr>
          <w:rFonts w:hint="eastAsia" w:ascii="宋体" w:hAnsi="宋体" w:cs="宋体"/>
          <w:i/>
          <w:iCs/>
        </w:rPr>
        <w:t>第2款 、第5款、第6款  特级及甲级体育建筑主要举办世界级及全国性的体育比赛，对无障碍设施提出了更高的要求，因此在无障碍机动车停车位、电梯及厕所等的要求上也更加严格。乙级及丙级体育建筑主要举办地方性、群众性的体育活动，也要满足最基本的无障碍设计要求。</w:t>
      </w:r>
    </w:p>
    <w:p>
      <w:pPr>
        <w:pStyle w:val="32"/>
        <w:spacing w:line="360" w:lineRule="auto"/>
        <w:rPr>
          <w:rFonts w:ascii="宋体" w:hAnsi="宋体" w:cs="宋体"/>
          <w:i/>
          <w:iCs/>
        </w:rPr>
      </w:pPr>
      <w:r>
        <w:rPr>
          <w:rFonts w:hint="eastAsia" w:ascii="宋体" w:hAnsi="宋体" w:cs="宋体"/>
          <w:i/>
          <w:iCs/>
        </w:rPr>
        <w:t>第3款  根据比赛和训练的使用要求确定为不同的功能分区，每个功能分区有各自的出入口。要保证运动员、观众及贵宾的出入口各设一个无障碍出入口。其他功能分区，比如竞赛管理区、新闻媒体区、场馆运营区等宜根据需要设置无障碍出入口。</w:t>
      </w:r>
    </w:p>
    <w:p>
      <w:pPr>
        <w:pStyle w:val="32"/>
        <w:spacing w:line="360" w:lineRule="auto"/>
        <w:rPr>
          <w:b/>
          <w:i/>
        </w:rPr>
      </w:pPr>
      <w:r>
        <w:rPr>
          <w:rFonts w:hint="eastAsia" w:ascii="宋体" w:hAnsi="宋体" w:cs="宋体"/>
          <w:i/>
          <w:iCs/>
        </w:rPr>
        <w:t>第8款 无障碍的坐席可集中设置，也可以分区设置，其数量可以根据赛事的需要适当增加，为了提高利用率，可以将一部分活动坐席临时改为无障碍的坐席，但应该满足无障碍坐席的基本规定。在无障碍坐席的附近应该按照1：1的比例设置陪护席位。</w:t>
      </w:r>
    </w:p>
    <w:p>
      <w:pPr>
        <w:pStyle w:val="32"/>
        <w:numPr>
          <w:ilvl w:val="2"/>
          <w:numId w:val="43"/>
        </w:numPr>
        <w:spacing w:line="360" w:lineRule="auto"/>
        <w:ind w:firstLineChars="0"/>
        <w:outlineLvl w:val="2"/>
        <w:rPr>
          <w:rFonts w:ascii="宋体" w:hAnsi="宋体" w:cs="宋体"/>
        </w:rPr>
      </w:pPr>
      <w:r>
        <w:rPr>
          <w:rFonts w:hint="eastAsia" w:ascii="宋体" w:hAnsi="宋体" w:cs="宋体"/>
        </w:rPr>
        <w:t>文化建筑的无障碍设计应符合下列规定：</w:t>
      </w:r>
    </w:p>
    <w:p>
      <w:pPr>
        <w:pStyle w:val="32"/>
        <w:numPr>
          <w:ilvl w:val="0"/>
          <w:numId w:val="70"/>
        </w:numPr>
        <w:spacing w:line="360" w:lineRule="auto"/>
        <w:ind w:firstLine="424" w:firstLineChars="202"/>
        <w:rPr>
          <w:rFonts w:ascii="宋体" w:hAnsi="宋体" w:cs="宋体"/>
        </w:rPr>
      </w:pPr>
      <w:r>
        <w:rPr>
          <w:rFonts w:hint="eastAsia" w:ascii="宋体" w:hAnsi="宋体" w:cs="宋体"/>
        </w:rPr>
        <w:t>文化馆、活动中心、图书馆、档案馆、纪念馆、纪念塔、纪念碑、宗教建筑、博物馆、展览馆、科技馆、艺术馆、美术馆、会展中心、剧场、音乐厅、电影院、会堂、演艺中心等均</w:t>
      </w:r>
      <w:r>
        <w:rPr>
          <w:rFonts w:ascii="宋体" w:hAnsi="宋体" w:cs="宋体"/>
        </w:rPr>
        <w:t>应进行无障碍设计</w:t>
      </w:r>
      <w:r>
        <w:rPr>
          <w:rFonts w:hint="eastAsia" w:ascii="宋体" w:hAnsi="宋体" w:cs="宋体"/>
        </w:rPr>
        <w:t>；</w:t>
      </w:r>
    </w:p>
    <w:p>
      <w:pPr>
        <w:pStyle w:val="32"/>
        <w:numPr>
          <w:ilvl w:val="0"/>
          <w:numId w:val="70"/>
        </w:numPr>
        <w:spacing w:line="360" w:lineRule="auto"/>
        <w:ind w:firstLine="424" w:firstLineChars="202"/>
        <w:rPr>
          <w:rFonts w:ascii="宋体" w:hAnsi="宋体" w:cs="宋体"/>
        </w:rPr>
      </w:pPr>
      <w:r>
        <w:rPr>
          <w:rFonts w:hint="eastAsia" w:ascii="宋体" w:hAnsi="宋体" w:cs="宋体"/>
        </w:rPr>
        <w:t>建筑出入口大厅、休息厅(贵宾休息厅)、疏散大厅等主要人员聚集场所有高差或台阶时应设轮椅坡道，宜设置休息座椅和可以放置轮椅的无障碍休息区；</w:t>
      </w:r>
    </w:p>
    <w:p>
      <w:pPr>
        <w:pStyle w:val="32"/>
        <w:numPr>
          <w:ilvl w:val="0"/>
          <w:numId w:val="70"/>
        </w:numPr>
        <w:spacing w:line="360" w:lineRule="auto"/>
        <w:ind w:firstLine="424" w:firstLineChars="202"/>
        <w:rPr>
          <w:rFonts w:ascii="宋体" w:hAnsi="宋体" w:cs="宋体"/>
        </w:rPr>
      </w:pPr>
      <w:r>
        <w:rPr>
          <w:rFonts w:hint="eastAsia" w:ascii="宋体" w:hAnsi="宋体" w:cs="宋体"/>
        </w:rPr>
        <w:t>供公众通行的检票口应为无障碍通道；</w:t>
      </w:r>
    </w:p>
    <w:p>
      <w:pPr>
        <w:pStyle w:val="32"/>
        <w:numPr>
          <w:ilvl w:val="0"/>
          <w:numId w:val="70"/>
        </w:numPr>
        <w:spacing w:line="360" w:lineRule="auto"/>
        <w:ind w:firstLine="424" w:firstLineChars="202"/>
        <w:rPr>
          <w:rFonts w:ascii="宋体" w:hAnsi="宋体" w:cs="宋体"/>
        </w:rPr>
      </w:pPr>
      <w:r>
        <w:rPr>
          <w:rFonts w:hint="eastAsia" w:ascii="宋体" w:hAnsi="宋体" w:cs="宋体"/>
        </w:rPr>
        <w:t>建筑内公共餐厅应提供总用餐数2％的活动座椅，供轮椅使用</w:t>
      </w:r>
      <w:r>
        <w:rPr>
          <w:rFonts w:ascii="宋体" w:hAnsi="宋体" w:cs="宋体"/>
        </w:rPr>
        <w:t>者</w:t>
      </w:r>
      <w:r>
        <w:rPr>
          <w:rFonts w:hint="eastAsia" w:ascii="宋体" w:hAnsi="宋体" w:cs="宋体"/>
        </w:rPr>
        <w:t>使用；公共区域设置至少1处母婴室；</w:t>
      </w:r>
    </w:p>
    <w:p>
      <w:pPr>
        <w:pStyle w:val="32"/>
        <w:numPr>
          <w:ilvl w:val="0"/>
          <w:numId w:val="70"/>
        </w:numPr>
        <w:spacing w:line="360" w:lineRule="auto"/>
        <w:ind w:firstLine="424" w:firstLineChars="202"/>
        <w:rPr>
          <w:rFonts w:ascii="宋体" w:hAnsi="宋体" w:cs="宋体"/>
        </w:rPr>
      </w:pPr>
      <w:r>
        <w:rPr>
          <w:rFonts w:hint="eastAsia" w:ascii="宋体" w:hAnsi="宋体" w:cs="宋体"/>
        </w:rPr>
        <w:t>建筑内应提供语音提示器、助听器等信息服务；</w:t>
      </w:r>
    </w:p>
    <w:p>
      <w:pPr>
        <w:pStyle w:val="32"/>
        <w:numPr>
          <w:ilvl w:val="0"/>
          <w:numId w:val="70"/>
        </w:numPr>
        <w:spacing w:line="360" w:lineRule="auto"/>
        <w:ind w:firstLine="424" w:firstLineChars="202"/>
        <w:rPr>
          <w:rFonts w:ascii="宋体" w:hAnsi="宋体" w:cs="宋体"/>
        </w:rPr>
      </w:pPr>
      <w:r>
        <w:rPr>
          <w:rFonts w:hint="eastAsia" w:ascii="宋体" w:hAnsi="宋体" w:cs="宋体"/>
        </w:rPr>
        <w:t>图书馆、文化馆等建筑安有探测仪的出入口应便于轮椅使用者进入；应设置低位目录检索台；图书馆应设盲人专用图书室(角)，在无障碍入口、服务台、楼梯间和电梯间入口、盲人图书室前应设行进盲道和提示盲道；</w:t>
      </w:r>
    </w:p>
    <w:p>
      <w:pPr>
        <w:pStyle w:val="32"/>
        <w:numPr>
          <w:ilvl w:val="0"/>
          <w:numId w:val="70"/>
        </w:numPr>
        <w:spacing w:line="360" w:lineRule="auto"/>
        <w:ind w:firstLine="424" w:firstLineChars="202"/>
        <w:rPr>
          <w:rFonts w:ascii="宋体" w:hAnsi="宋体" w:cs="宋体"/>
        </w:rPr>
      </w:pPr>
      <w:r>
        <w:rPr>
          <w:rFonts w:hint="eastAsia" w:ascii="宋体" w:hAnsi="宋体" w:cs="宋体"/>
        </w:rPr>
        <w:t>文化馆、活动中心、图书馆、档案馆、纪念馆、纪念塔、纪念碑、宗教建筑、博物馆、展览馆、科技馆、艺术馆、美术馆、会展中心内的报告厅、视听室、陈列室、展览厅等设有观众席位时应至少设1个轮椅席位；</w:t>
      </w:r>
    </w:p>
    <w:p>
      <w:pPr>
        <w:pStyle w:val="32"/>
        <w:numPr>
          <w:ilvl w:val="0"/>
          <w:numId w:val="70"/>
        </w:numPr>
        <w:spacing w:line="360" w:lineRule="auto"/>
        <w:ind w:firstLine="424" w:firstLineChars="202"/>
        <w:rPr>
          <w:rFonts w:ascii="宋体" w:hAnsi="宋体" w:cs="宋体"/>
        </w:rPr>
      </w:pPr>
      <w:r>
        <w:rPr>
          <w:rFonts w:hint="eastAsia" w:ascii="宋体" w:hAnsi="宋体" w:cs="宋体"/>
        </w:rPr>
        <w:t>剧场、音乐厅、电影院、会堂、演艺中心等观演建筑的观众厅内座位数为300座及以下时应至少设置1个轮椅席位，300座以上时不应少于</w:t>
      </w:r>
      <w:r>
        <w:rPr>
          <w:rFonts w:ascii="宋体" w:hAnsi="宋体" w:cs="宋体"/>
        </w:rPr>
        <w:t>0.2</w:t>
      </w:r>
      <w:r>
        <w:rPr>
          <w:rFonts w:hint="eastAsia" w:ascii="宋体" w:hAnsi="宋体" w:cs="宋体"/>
        </w:rPr>
        <w:t>％且不少于2个轮椅席位；</w:t>
      </w:r>
    </w:p>
    <w:p>
      <w:pPr>
        <w:pStyle w:val="32"/>
        <w:numPr>
          <w:ilvl w:val="0"/>
          <w:numId w:val="70"/>
        </w:numPr>
        <w:spacing w:line="360" w:lineRule="auto"/>
        <w:ind w:firstLine="424" w:firstLineChars="202"/>
        <w:rPr>
          <w:rFonts w:ascii="宋体" w:hAnsi="宋体" w:cs="宋体"/>
        </w:rPr>
      </w:pPr>
      <w:r>
        <w:rPr>
          <w:rFonts w:hint="eastAsia" w:ascii="宋体" w:hAnsi="宋体" w:cs="宋体"/>
        </w:rPr>
        <w:t>博物</w:t>
      </w:r>
      <w:r>
        <w:rPr>
          <w:rFonts w:ascii="宋体" w:hAnsi="宋体" w:cs="宋体"/>
        </w:rPr>
        <w:t>馆、展览馆、</w:t>
      </w:r>
      <w:r>
        <w:rPr>
          <w:rFonts w:hint="eastAsia" w:ascii="宋体" w:hAnsi="宋体" w:cs="宋体"/>
        </w:rPr>
        <w:t>剧场、音乐厅、电影院、会堂、演艺中心等</w:t>
      </w:r>
      <w:r>
        <w:rPr>
          <w:rFonts w:ascii="宋体" w:hAnsi="宋体" w:cs="宋体"/>
        </w:rPr>
        <w:t>文化建筑公共厕所厕位数应满足《</w:t>
      </w:r>
      <w:r>
        <w:rPr>
          <w:rFonts w:hint="eastAsia" w:ascii="宋体" w:hAnsi="宋体" w:cs="宋体"/>
        </w:rPr>
        <w:t>城市公共</w:t>
      </w:r>
      <w:r>
        <w:rPr>
          <w:rFonts w:ascii="宋体" w:hAnsi="宋体" w:cs="宋体"/>
        </w:rPr>
        <w:t>厕所设计标准》</w:t>
      </w:r>
      <w:r>
        <w:rPr>
          <w:rFonts w:hint="eastAsia" w:ascii="宋体" w:hAnsi="宋体" w:cs="宋体"/>
        </w:rPr>
        <w:t>第</w:t>
      </w:r>
      <w:r>
        <w:rPr>
          <w:rFonts w:ascii="宋体" w:hAnsi="宋体" w:cs="宋体"/>
        </w:rPr>
        <w:t>4.2.4</w:t>
      </w:r>
      <w:r>
        <w:rPr>
          <w:rFonts w:hint="eastAsia" w:ascii="宋体" w:hAnsi="宋体" w:cs="宋体"/>
        </w:rPr>
        <w:t>条有关</w:t>
      </w:r>
      <w:r>
        <w:rPr>
          <w:rFonts w:ascii="宋体" w:hAnsi="宋体" w:cs="宋体"/>
        </w:rPr>
        <w:t>规定要求，</w:t>
      </w:r>
      <w:r>
        <w:rPr>
          <w:rFonts w:hint="eastAsia" w:ascii="宋体" w:hAnsi="宋体" w:cs="宋体"/>
        </w:rPr>
        <w:t>无障碍</w:t>
      </w:r>
      <w:r>
        <w:rPr>
          <w:rFonts w:ascii="宋体" w:hAnsi="宋体" w:cs="宋体"/>
        </w:rPr>
        <w:t>厕所及厕位设置应满足本标准第</w:t>
      </w:r>
      <w:r>
        <w:rPr>
          <w:rFonts w:hint="eastAsia" w:ascii="宋体" w:hAnsi="宋体" w:cs="宋体"/>
        </w:rPr>
        <w:t>4.2.3条</w:t>
      </w:r>
      <w:r>
        <w:rPr>
          <w:rFonts w:ascii="宋体" w:hAnsi="宋体" w:cs="宋体"/>
        </w:rPr>
        <w:t>有关规定要求。</w:t>
      </w:r>
      <w:r>
        <w:rPr>
          <w:rFonts w:hint="eastAsia" w:ascii="宋体" w:hAnsi="宋体" w:cs="宋体"/>
        </w:rPr>
        <w:t>在人员</w:t>
      </w:r>
      <w:r>
        <w:rPr>
          <w:rFonts w:ascii="宋体" w:hAnsi="宋体" w:cs="宋体"/>
        </w:rPr>
        <w:t>聚集场所宜</w:t>
      </w:r>
      <w:r>
        <w:rPr>
          <w:rFonts w:hint="eastAsia" w:ascii="宋体" w:hAnsi="宋体" w:cs="宋体"/>
        </w:rPr>
        <w:t>设置</w:t>
      </w:r>
      <w:r>
        <w:rPr>
          <w:rFonts w:ascii="宋体" w:hAnsi="宋体" w:cs="宋体"/>
        </w:rPr>
        <w:t>第三卫生间，</w:t>
      </w:r>
      <w:r>
        <w:rPr>
          <w:rFonts w:hint="eastAsia" w:ascii="宋体" w:hAnsi="宋体" w:cs="宋体"/>
        </w:rPr>
        <w:t>应满足</w:t>
      </w:r>
      <w:r>
        <w:rPr>
          <w:rFonts w:ascii="宋体" w:hAnsi="宋体" w:cs="宋体"/>
        </w:rPr>
        <w:t>《</w:t>
      </w:r>
      <w:r>
        <w:rPr>
          <w:rFonts w:hint="eastAsia" w:ascii="宋体" w:hAnsi="宋体" w:cs="宋体"/>
        </w:rPr>
        <w:t>城市公共</w:t>
      </w:r>
      <w:r>
        <w:rPr>
          <w:rFonts w:ascii="宋体" w:hAnsi="宋体" w:cs="宋体"/>
        </w:rPr>
        <w:t>厕所设计标准》</w:t>
      </w:r>
      <w:r>
        <w:rPr>
          <w:rFonts w:hint="eastAsia" w:ascii="宋体" w:hAnsi="宋体" w:cs="宋体"/>
        </w:rPr>
        <w:t>第4.2.10条</w:t>
      </w:r>
      <w:r>
        <w:rPr>
          <w:rFonts w:ascii="宋体" w:hAnsi="宋体" w:cs="宋体"/>
        </w:rPr>
        <w:t>有关规定</w:t>
      </w:r>
      <w:r>
        <w:rPr>
          <w:rFonts w:hint="eastAsia" w:ascii="宋体" w:hAnsi="宋体" w:cs="宋体"/>
        </w:rPr>
        <w:t>；</w:t>
      </w:r>
    </w:p>
    <w:p>
      <w:pPr>
        <w:pStyle w:val="32"/>
        <w:numPr>
          <w:ilvl w:val="0"/>
          <w:numId w:val="70"/>
        </w:numPr>
        <w:spacing w:line="360" w:lineRule="auto"/>
        <w:ind w:firstLine="424" w:firstLineChars="202"/>
        <w:rPr>
          <w:rFonts w:hint="eastAsia" w:ascii="宋体" w:hAnsi="宋体" w:cs="宋体"/>
        </w:rPr>
      </w:pPr>
      <w:r>
        <w:rPr>
          <w:rFonts w:hint="eastAsia" w:ascii="宋体" w:hAnsi="宋体" w:cs="宋体"/>
        </w:rPr>
        <w:t>剧场、音乐厅、电影院、会堂、演艺中心等观演建筑后台准备区至少设置1处男、女公共厕所，应满足本标准第</w:t>
      </w:r>
      <w:r>
        <w:rPr>
          <w:rFonts w:ascii="宋体" w:hAnsi="宋体" w:cs="宋体"/>
        </w:rPr>
        <w:t>4.2.3</w:t>
      </w:r>
      <w:r>
        <w:rPr>
          <w:rFonts w:hint="eastAsia" w:ascii="宋体" w:hAnsi="宋体" w:cs="宋体"/>
        </w:rPr>
        <w:t>条有关规定的要求，贵宾室宜设1个无障碍厕所；观演建筑后台</w:t>
      </w:r>
      <w:r>
        <w:rPr>
          <w:rFonts w:ascii="宋体" w:hAnsi="宋体" w:cs="宋体"/>
        </w:rPr>
        <w:t>准备</w:t>
      </w:r>
      <w:r>
        <w:rPr>
          <w:rFonts w:hint="eastAsia" w:ascii="宋体" w:hAnsi="宋体" w:cs="宋体"/>
        </w:rPr>
        <w:t>区的入口、通道、化妆室、休息室、卫生间、淋浴间、盥洗室等，应符合轮椅者使用者的通行和使用需求。</w:t>
      </w:r>
    </w:p>
    <w:p>
      <w:pPr>
        <w:pStyle w:val="32"/>
        <w:spacing w:line="360" w:lineRule="auto"/>
        <w:ind w:firstLine="0" w:firstLineChars="0"/>
        <w:outlineLvl w:val="3"/>
        <w:rPr>
          <w:rFonts w:ascii="宋体" w:hAnsi="宋体"/>
          <w:i/>
          <w:iCs/>
        </w:rPr>
      </w:pPr>
      <w:r>
        <w:rPr>
          <w:rFonts w:hint="eastAsia"/>
          <w:b/>
          <w:i/>
        </w:rPr>
        <w:t>条文说明</w:t>
      </w:r>
    </w:p>
    <w:p>
      <w:pPr>
        <w:pStyle w:val="32"/>
        <w:spacing w:line="360" w:lineRule="auto"/>
        <w:outlineLvl w:val="3"/>
        <w:rPr>
          <w:rFonts w:ascii="宋体" w:hAnsi="宋体" w:cs="宋体"/>
          <w:i/>
          <w:iCs/>
        </w:rPr>
      </w:pPr>
      <w:r>
        <w:rPr>
          <w:rFonts w:hint="eastAsia" w:ascii="宋体" w:hAnsi="宋体" w:cs="宋体"/>
          <w:i/>
          <w:iCs/>
        </w:rPr>
        <w:t>第1款 本条规定了文化类建筑实施无障碍设计的范围。其他未注明的文化类的建筑类型可以参考本节内容进行设计。</w:t>
      </w:r>
    </w:p>
    <w:p>
      <w:pPr>
        <w:pStyle w:val="32"/>
        <w:spacing w:line="360" w:lineRule="auto"/>
        <w:outlineLvl w:val="3"/>
        <w:rPr>
          <w:rFonts w:ascii="宋体" w:hAnsi="宋体" w:cs="宋体"/>
          <w:i/>
          <w:iCs/>
        </w:rPr>
      </w:pPr>
      <w:r>
        <w:rPr>
          <w:rFonts w:hint="eastAsia" w:ascii="宋体" w:hAnsi="宋体" w:cs="宋体"/>
          <w:i/>
          <w:iCs/>
        </w:rPr>
        <w:t>第</w:t>
      </w:r>
      <w:r>
        <w:rPr>
          <w:rFonts w:ascii="宋体" w:hAnsi="宋体" w:cs="宋体"/>
          <w:i/>
          <w:iCs/>
        </w:rPr>
        <w:t>6</w:t>
      </w:r>
      <w:r>
        <w:rPr>
          <w:rFonts w:hint="eastAsia" w:ascii="宋体" w:hAnsi="宋体" w:cs="宋体"/>
          <w:i/>
          <w:iCs/>
        </w:rPr>
        <w:t>款、第</w:t>
      </w:r>
      <w:r>
        <w:rPr>
          <w:rFonts w:ascii="宋体" w:hAnsi="宋体" w:cs="宋体"/>
          <w:i/>
          <w:iCs/>
        </w:rPr>
        <w:t>7</w:t>
      </w:r>
      <w:r>
        <w:rPr>
          <w:rFonts w:hint="eastAsia" w:ascii="宋体" w:hAnsi="宋体" w:cs="宋体"/>
          <w:i/>
          <w:iCs/>
        </w:rPr>
        <w:t>款</w:t>
      </w:r>
      <w:r>
        <w:rPr>
          <w:rFonts w:ascii="宋体" w:hAnsi="宋体" w:cs="宋体"/>
          <w:i/>
          <w:iCs/>
        </w:rPr>
        <w:t xml:space="preserve"> </w:t>
      </w:r>
      <w:r>
        <w:rPr>
          <w:rFonts w:hint="eastAsia" w:ascii="宋体" w:hAnsi="宋体" w:cs="宋体"/>
          <w:i/>
          <w:iCs/>
        </w:rPr>
        <w:t>图书馆和文化馆安有探测仪入口的宽度应能满足轮椅使用者顺利通过。书柜及办公家具的高度应根据轮椅使用者的需要设置。图书馆应设置盲人图书室(角)，给视觉残障</w:t>
      </w:r>
      <w:r>
        <w:rPr>
          <w:rFonts w:ascii="宋体" w:hAnsi="宋体" w:cs="宋体"/>
          <w:i/>
          <w:iCs/>
        </w:rPr>
        <w:t>者</w:t>
      </w:r>
      <w:r>
        <w:rPr>
          <w:rFonts w:hint="eastAsia" w:ascii="宋体" w:hAnsi="宋体" w:cs="宋体"/>
          <w:i/>
          <w:iCs/>
        </w:rPr>
        <w:t>提供同样享有各种信息的渠道。专门的盲人图书馆内可配有视觉残障</w:t>
      </w:r>
      <w:r>
        <w:rPr>
          <w:rFonts w:ascii="宋体" w:hAnsi="宋体" w:cs="宋体"/>
          <w:i/>
          <w:iCs/>
        </w:rPr>
        <w:t>者</w:t>
      </w:r>
      <w:r>
        <w:rPr>
          <w:rFonts w:hint="eastAsia" w:ascii="宋体" w:hAnsi="宋体" w:cs="宋体"/>
          <w:i/>
          <w:iCs/>
        </w:rPr>
        <w:t>可以使用的电脑、图书，盲文朗读室、盲文制作室等。图书馆建筑应提供相应的语音提示、助听器等信息服务。</w:t>
      </w:r>
    </w:p>
    <w:p>
      <w:pPr>
        <w:pStyle w:val="32"/>
        <w:numPr>
          <w:ilvl w:val="2"/>
          <w:numId w:val="43"/>
        </w:numPr>
        <w:spacing w:line="360" w:lineRule="auto"/>
        <w:ind w:firstLineChars="0"/>
        <w:outlineLvl w:val="2"/>
        <w:rPr>
          <w:rFonts w:ascii="宋体" w:hAnsi="宋体" w:cs="宋体"/>
        </w:rPr>
      </w:pPr>
      <w:r>
        <w:rPr>
          <w:rFonts w:hint="eastAsia" w:ascii="宋体" w:hAnsi="宋体" w:cs="宋体"/>
        </w:rPr>
        <w:t>商业建筑的无障碍设计应符合下列规定：</w:t>
      </w:r>
    </w:p>
    <w:p>
      <w:pPr>
        <w:pStyle w:val="32"/>
        <w:numPr>
          <w:ilvl w:val="0"/>
          <w:numId w:val="71"/>
        </w:numPr>
        <w:spacing w:line="360" w:lineRule="auto"/>
        <w:ind w:firstLine="424" w:firstLineChars="202"/>
        <w:rPr>
          <w:rFonts w:ascii="宋体" w:hAnsi="宋体" w:cs="宋体"/>
        </w:rPr>
      </w:pPr>
      <w:r>
        <w:rPr>
          <w:rFonts w:hint="eastAsia" w:ascii="宋体" w:hAnsi="宋体" w:cs="宋体"/>
        </w:rPr>
        <w:t>设计范围包括各类百货店、购物中心、超市、专卖店、专业店、餐饮建筑、旅馆等商业建筑，银行、证券等金融服务建筑，邮局、电信局等邮电建筑，娱乐建筑等；</w:t>
      </w:r>
    </w:p>
    <w:p>
      <w:pPr>
        <w:pStyle w:val="32"/>
        <w:numPr>
          <w:ilvl w:val="0"/>
          <w:numId w:val="71"/>
        </w:numPr>
        <w:spacing w:line="360" w:lineRule="auto"/>
        <w:ind w:firstLine="424" w:firstLineChars="202"/>
        <w:rPr>
          <w:rFonts w:ascii="宋体" w:hAnsi="宋体" w:cs="宋体"/>
        </w:rPr>
      </w:pPr>
      <w:r>
        <w:rPr>
          <w:rFonts w:hint="eastAsia" w:ascii="宋体" w:hAnsi="宋体" w:cs="宋体"/>
        </w:rPr>
        <w:t>大型商业</w:t>
      </w:r>
      <w:r>
        <w:rPr>
          <w:rFonts w:ascii="宋体" w:hAnsi="宋体" w:cs="宋体"/>
        </w:rPr>
        <w:t>建筑公共厕所厕位数应满足《</w:t>
      </w:r>
      <w:r>
        <w:rPr>
          <w:rFonts w:hint="eastAsia" w:ascii="宋体" w:hAnsi="宋体" w:cs="宋体"/>
        </w:rPr>
        <w:t>城市公共</w:t>
      </w:r>
      <w:r>
        <w:rPr>
          <w:rFonts w:ascii="宋体" w:hAnsi="宋体" w:cs="宋体"/>
        </w:rPr>
        <w:t>厕所设计标准》</w:t>
      </w:r>
      <w:r>
        <w:rPr>
          <w:rFonts w:hint="eastAsia" w:ascii="宋体" w:hAnsi="宋体" w:cs="宋体"/>
        </w:rPr>
        <w:t>第4.2.2条有关</w:t>
      </w:r>
      <w:r>
        <w:rPr>
          <w:rFonts w:ascii="宋体" w:hAnsi="宋体" w:cs="宋体"/>
        </w:rPr>
        <w:t>规定要求，</w:t>
      </w:r>
      <w:r>
        <w:rPr>
          <w:rFonts w:hint="eastAsia" w:ascii="宋体" w:hAnsi="宋体" w:cs="宋体"/>
        </w:rPr>
        <w:t>在人员</w:t>
      </w:r>
      <w:r>
        <w:rPr>
          <w:rFonts w:ascii="宋体" w:hAnsi="宋体" w:cs="宋体"/>
        </w:rPr>
        <w:t>聚集场所宜</w:t>
      </w:r>
      <w:r>
        <w:rPr>
          <w:rFonts w:hint="eastAsia" w:ascii="宋体" w:hAnsi="宋体" w:cs="宋体"/>
        </w:rPr>
        <w:t>设置</w:t>
      </w:r>
      <w:r>
        <w:rPr>
          <w:rFonts w:ascii="宋体" w:hAnsi="宋体" w:cs="宋体"/>
        </w:rPr>
        <w:t>第三卫生间，</w:t>
      </w:r>
      <w:r>
        <w:rPr>
          <w:rFonts w:hint="eastAsia" w:ascii="宋体" w:hAnsi="宋体" w:cs="宋体"/>
        </w:rPr>
        <w:t>应满足</w:t>
      </w:r>
      <w:r>
        <w:rPr>
          <w:rFonts w:ascii="宋体" w:hAnsi="宋体" w:cs="宋体"/>
        </w:rPr>
        <w:t>《</w:t>
      </w:r>
      <w:r>
        <w:rPr>
          <w:rFonts w:hint="eastAsia" w:ascii="宋体" w:hAnsi="宋体" w:cs="宋体"/>
        </w:rPr>
        <w:t>城市公共</w:t>
      </w:r>
      <w:r>
        <w:rPr>
          <w:rFonts w:ascii="宋体" w:hAnsi="宋体" w:cs="宋体"/>
        </w:rPr>
        <w:t>厕所设计标准》</w:t>
      </w:r>
      <w:r>
        <w:rPr>
          <w:rFonts w:hint="eastAsia" w:ascii="宋体" w:hAnsi="宋体" w:cs="宋体"/>
        </w:rPr>
        <w:t>第4.2.10条</w:t>
      </w:r>
      <w:r>
        <w:rPr>
          <w:rFonts w:ascii="宋体" w:hAnsi="宋体" w:cs="宋体"/>
        </w:rPr>
        <w:t>有关规定。</w:t>
      </w:r>
    </w:p>
    <w:p>
      <w:pPr>
        <w:pStyle w:val="32"/>
        <w:numPr>
          <w:ilvl w:val="0"/>
          <w:numId w:val="71"/>
        </w:numPr>
        <w:spacing w:line="360" w:lineRule="auto"/>
        <w:ind w:firstLine="424" w:firstLineChars="202"/>
        <w:rPr>
          <w:rFonts w:ascii="宋体" w:hAnsi="宋体" w:cs="宋体"/>
        </w:rPr>
      </w:pPr>
      <w:r>
        <w:rPr>
          <w:rFonts w:hint="eastAsia" w:ascii="宋体" w:hAnsi="宋体" w:cs="宋体"/>
        </w:rPr>
        <w:t>大型商业建筑均应在男、女公共厕所附近设置1个无障碍厕所，</w:t>
      </w:r>
      <w:r>
        <w:rPr>
          <w:rFonts w:ascii="宋体" w:hAnsi="宋体" w:cs="宋体"/>
        </w:rPr>
        <w:t>且</w:t>
      </w:r>
      <w:r>
        <w:rPr>
          <w:rFonts w:hint="eastAsia" w:ascii="宋体" w:hAnsi="宋体" w:cs="宋体"/>
        </w:rPr>
        <w:t>满足本标准第</w:t>
      </w:r>
      <w:r>
        <w:rPr>
          <w:rFonts w:ascii="宋体" w:hAnsi="宋体" w:cs="宋体"/>
        </w:rPr>
        <w:t>4.2.3</w:t>
      </w:r>
      <w:r>
        <w:rPr>
          <w:rFonts w:hint="eastAsia" w:ascii="宋体" w:hAnsi="宋体" w:cs="宋体"/>
        </w:rPr>
        <w:t>条的有关规定；</w:t>
      </w:r>
    </w:p>
    <w:p>
      <w:pPr>
        <w:pStyle w:val="32"/>
        <w:numPr>
          <w:ilvl w:val="0"/>
          <w:numId w:val="71"/>
        </w:numPr>
        <w:spacing w:line="360" w:lineRule="auto"/>
        <w:ind w:firstLine="424" w:firstLineChars="202"/>
        <w:rPr>
          <w:rFonts w:ascii="宋体" w:hAnsi="宋体" w:cs="宋体"/>
        </w:rPr>
      </w:pPr>
      <w:r>
        <w:rPr>
          <w:rFonts w:hint="eastAsia" w:ascii="宋体" w:hAnsi="宋体" w:cs="宋体"/>
        </w:rPr>
        <w:t>商业服务建筑内应于公共区域设置至少1处母婴室；</w:t>
      </w:r>
    </w:p>
    <w:p>
      <w:pPr>
        <w:pStyle w:val="32"/>
        <w:numPr>
          <w:ilvl w:val="0"/>
          <w:numId w:val="71"/>
        </w:numPr>
        <w:spacing w:line="360" w:lineRule="auto"/>
        <w:ind w:firstLine="424" w:firstLineChars="202"/>
        <w:rPr>
          <w:rFonts w:ascii="宋体" w:hAnsi="宋体" w:cs="宋体"/>
        </w:rPr>
      </w:pPr>
      <w:r>
        <w:rPr>
          <w:rFonts w:hint="eastAsia" w:ascii="宋体" w:hAnsi="宋体" w:cs="宋体"/>
        </w:rPr>
        <w:t>旅馆等商业服务建筑应设置无障碍客房，当客房数量在100间以下时，应设1间～2间无障碍客房；100间～400间时，应设2间～4间无障碍客房；400间以上时，应至少设4间无障碍客房；</w:t>
      </w:r>
    </w:p>
    <w:p>
      <w:pPr>
        <w:pStyle w:val="32"/>
        <w:numPr>
          <w:ilvl w:val="0"/>
          <w:numId w:val="71"/>
        </w:numPr>
        <w:spacing w:line="360" w:lineRule="auto"/>
        <w:ind w:firstLine="424" w:firstLineChars="202"/>
        <w:rPr>
          <w:rFonts w:ascii="宋体" w:hAnsi="宋体" w:cs="宋体"/>
        </w:rPr>
      </w:pPr>
      <w:r>
        <w:rPr>
          <w:rFonts w:hint="eastAsia" w:ascii="宋体" w:hAnsi="宋体" w:cs="宋体"/>
        </w:rPr>
        <w:t>设有无障碍客房的旅馆建筑，宜配备方便导盲犬休息的设施。</w:t>
      </w:r>
    </w:p>
    <w:p>
      <w:pPr>
        <w:pStyle w:val="32"/>
        <w:spacing w:line="360" w:lineRule="auto"/>
        <w:ind w:firstLine="0" w:firstLineChars="0"/>
        <w:outlineLvl w:val="3"/>
        <w:rPr>
          <w:b/>
          <w:i/>
        </w:rPr>
      </w:pPr>
      <w:r>
        <w:rPr>
          <w:rFonts w:hint="eastAsia"/>
          <w:b/>
          <w:i/>
        </w:rPr>
        <w:t>条文说明</w:t>
      </w:r>
    </w:p>
    <w:p>
      <w:pPr>
        <w:pStyle w:val="32"/>
        <w:spacing w:line="360" w:lineRule="auto"/>
        <w:rPr>
          <w:rFonts w:ascii="宋体" w:hAnsi="宋体" w:cs="宋体"/>
          <w:i/>
          <w:iCs/>
        </w:rPr>
      </w:pPr>
      <w:r>
        <w:rPr>
          <w:rFonts w:hint="eastAsia" w:ascii="宋体" w:hAnsi="宋体" w:cs="宋体"/>
          <w:i/>
          <w:iCs/>
        </w:rPr>
        <w:t>第2款 《无障碍设计规范》（GB50763-2012）8.8.2要求大型商业服务建筑宜在男、女公共厕所附近设置1个无障碍厕所。调查表明无障碍厕所更便于行动障碍者使用，本设计标准提高设计要求，大型商业服务建筑公共厕所附近均应设置无障碍厕所。</w:t>
      </w:r>
    </w:p>
    <w:p>
      <w:pPr>
        <w:pStyle w:val="32"/>
        <w:numPr>
          <w:ilvl w:val="2"/>
          <w:numId w:val="43"/>
        </w:numPr>
        <w:spacing w:line="360" w:lineRule="auto"/>
        <w:ind w:firstLineChars="0"/>
        <w:outlineLvl w:val="2"/>
        <w:rPr>
          <w:rFonts w:ascii="宋体" w:hAnsi="宋体" w:cs="宋体"/>
        </w:rPr>
      </w:pPr>
      <w:r>
        <w:rPr>
          <w:rFonts w:hint="eastAsia" w:ascii="宋体" w:hAnsi="宋体" w:cs="宋体"/>
        </w:rPr>
        <w:t>交通建筑的无障碍设计应符合下列规定：</w:t>
      </w:r>
    </w:p>
    <w:p>
      <w:pPr>
        <w:pStyle w:val="32"/>
        <w:numPr>
          <w:ilvl w:val="0"/>
          <w:numId w:val="72"/>
        </w:numPr>
        <w:spacing w:line="360" w:lineRule="auto"/>
        <w:ind w:firstLine="424" w:firstLineChars="202"/>
        <w:rPr>
          <w:rFonts w:ascii="宋体" w:hAnsi="宋体" w:cs="宋体"/>
        </w:rPr>
      </w:pPr>
      <w:r>
        <w:rPr>
          <w:rFonts w:hint="eastAsia" w:ascii="宋体" w:hAnsi="宋体" w:cs="宋体"/>
        </w:rPr>
        <w:t>汽车客运站、地铁站点、火车高铁站、轮渡码头、飞机场等均应</w:t>
      </w:r>
      <w:r>
        <w:rPr>
          <w:rFonts w:ascii="宋体" w:hAnsi="宋体" w:cs="宋体"/>
        </w:rPr>
        <w:t>进行无障碍设计</w:t>
      </w:r>
      <w:r>
        <w:rPr>
          <w:rFonts w:hint="eastAsia" w:ascii="宋体" w:hAnsi="宋体" w:cs="宋体"/>
        </w:rPr>
        <w:t>；</w:t>
      </w:r>
    </w:p>
    <w:p>
      <w:pPr>
        <w:pStyle w:val="32"/>
        <w:numPr>
          <w:ilvl w:val="0"/>
          <w:numId w:val="72"/>
        </w:numPr>
        <w:spacing w:line="360" w:lineRule="auto"/>
        <w:ind w:firstLine="424" w:firstLineChars="202"/>
        <w:rPr>
          <w:rFonts w:ascii="宋体" w:hAnsi="宋体" w:cs="宋体"/>
        </w:rPr>
      </w:pPr>
      <w:r>
        <w:rPr>
          <w:rFonts w:hint="eastAsia" w:ascii="宋体" w:hAnsi="宋体" w:cs="宋体"/>
        </w:rPr>
        <w:t>站前广场人行通道的地面应坚固、平整、防滑、不积水，有高差时应设置轮椅坡道；</w:t>
      </w:r>
    </w:p>
    <w:p>
      <w:pPr>
        <w:pStyle w:val="32"/>
        <w:numPr>
          <w:ilvl w:val="0"/>
          <w:numId w:val="72"/>
        </w:numPr>
        <w:spacing w:line="360" w:lineRule="auto"/>
        <w:ind w:firstLine="424" w:firstLineChars="202"/>
        <w:rPr>
          <w:rFonts w:ascii="宋体" w:hAnsi="宋体" w:cs="宋体"/>
        </w:rPr>
      </w:pPr>
      <w:r>
        <w:rPr>
          <w:rFonts w:hint="eastAsia" w:ascii="宋体" w:hAnsi="宋体" w:cs="宋体"/>
        </w:rPr>
        <w:t>交通建筑的主要出入口宜设置为平坡出入口；</w:t>
      </w:r>
    </w:p>
    <w:p>
      <w:pPr>
        <w:pStyle w:val="32"/>
        <w:numPr>
          <w:ilvl w:val="0"/>
          <w:numId w:val="72"/>
        </w:numPr>
        <w:spacing w:line="360" w:lineRule="auto"/>
        <w:ind w:firstLine="424" w:firstLineChars="202"/>
        <w:rPr>
          <w:rFonts w:ascii="宋体" w:hAnsi="宋体" w:cs="宋体"/>
        </w:rPr>
      </w:pPr>
      <w:r>
        <w:rPr>
          <w:rFonts w:hint="eastAsia" w:ascii="宋体" w:hAnsi="宋体" w:cs="宋体"/>
        </w:rPr>
        <w:t>交通建筑内的安检口、门厅、售票厅、候车厅、检票口、乘车通道等旅客通行的室内走道应为连贯的无障碍通道；</w:t>
      </w:r>
    </w:p>
    <w:p>
      <w:pPr>
        <w:pStyle w:val="32"/>
        <w:numPr>
          <w:ilvl w:val="0"/>
          <w:numId w:val="72"/>
        </w:numPr>
        <w:spacing w:line="360" w:lineRule="auto"/>
        <w:ind w:firstLine="424" w:firstLineChars="202"/>
        <w:rPr>
          <w:rFonts w:ascii="宋体" w:hAnsi="宋体" w:cs="宋体"/>
        </w:rPr>
      </w:pPr>
      <w:r>
        <w:rPr>
          <w:rFonts w:hint="eastAsia" w:ascii="宋体" w:hAnsi="宋体" w:cs="宋体"/>
        </w:rPr>
        <w:t>供旅客使用的男、女公共厕所厕位数应满足《城市公共厕所设计标准》第4.2.</w:t>
      </w:r>
      <w:r>
        <w:rPr>
          <w:rFonts w:ascii="宋体" w:hAnsi="宋体" w:cs="宋体"/>
        </w:rPr>
        <w:t>5</w:t>
      </w:r>
      <w:r>
        <w:rPr>
          <w:rFonts w:hint="eastAsia" w:ascii="宋体" w:hAnsi="宋体" w:cs="宋体"/>
        </w:rPr>
        <w:t>条有关规定要求，并</w:t>
      </w:r>
      <w:r>
        <w:rPr>
          <w:rFonts w:ascii="宋体" w:hAnsi="宋体" w:cs="宋体"/>
        </w:rPr>
        <w:t>至少设置</w:t>
      </w:r>
      <w:r>
        <w:rPr>
          <w:rFonts w:hint="eastAsia" w:ascii="宋体" w:hAnsi="宋体" w:cs="宋体"/>
        </w:rPr>
        <w:t>1个</w:t>
      </w:r>
      <w:r>
        <w:rPr>
          <w:rFonts w:ascii="宋体" w:hAnsi="宋体" w:cs="宋体"/>
        </w:rPr>
        <w:t>无障碍厕所。</w:t>
      </w:r>
      <w:r>
        <w:rPr>
          <w:rFonts w:hint="eastAsia" w:ascii="宋体" w:hAnsi="宋体" w:cs="宋体"/>
        </w:rPr>
        <w:t>无障碍厕所及厕位设置应满足本标准第4.2.3条有关规定要求。在人员聚集场所宜设置第三卫生间，应满足《城市公共厕所设计标准》第4.2.10条有关规定；</w:t>
      </w:r>
    </w:p>
    <w:p>
      <w:pPr>
        <w:pStyle w:val="32"/>
        <w:numPr>
          <w:ilvl w:val="0"/>
          <w:numId w:val="72"/>
        </w:numPr>
        <w:spacing w:line="360" w:lineRule="auto"/>
        <w:ind w:firstLine="424" w:firstLineChars="202"/>
        <w:rPr>
          <w:rFonts w:hint="eastAsia" w:ascii="宋体" w:hAnsi="宋体" w:cs="宋体"/>
        </w:rPr>
      </w:pPr>
      <w:r>
        <w:rPr>
          <w:rFonts w:hint="eastAsia" w:ascii="宋体" w:hAnsi="宋体" w:cs="宋体"/>
        </w:rPr>
        <w:t>建筑中母婴经常逗留的场所均应设置至少1处母婴室；</w:t>
      </w:r>
    </w:p>
    <w:p>
      <w:pPr>
        <w:pStyle w:val="32"/>
        <w:numPr>
          <w:ilvl w:val="0"/>
          <w:numId w:val="72"/>
        </w:numPr>
        <w:spacing w:line="360" w:lineRule="auto"/>
        <w:ind w:firstLine="424" w:firstLineChars="202"/>
        <w:rPr>
          <w:rFonts w:ascii="宋体" w:hAnsi="宋体" w:cs="宋体"/>
        </w:rPr>
      </w:pPr>
      <w:r>
        <w:rPr>
          <w:rFonts w:hint="eastAsia" w:ascii="宋体" w:hAnsi="宋体" w:cs="宋体"/>
        </w:rPr>
        <w:t>售票处、行李托运处、寄存处、咨询处等各类服务台均应设置低位服务设施或窗口；</w:t>
      </w:r>
    </w:p>
    <w:p>
      <w:pPr>
        <w:pStyle w:val="32"/>
        <w:numPr>
          <w:ilvl w:val="0"/>
          <w:numId w:val="72"/>
        </w:numPr>
        <w:spacing w:line="360" w:lineRule="auto"/>
        <w:ind w:firstLine="424" w:firstLineChars="202"/>
        <w:rPr>
          <w:rFonts w:ascii="宋体" w:hAnsi="宋体" w:cs="宋体"/>
        </w:rPr>
      </w:pPr>
      <w:r>
        <w:rPr>
          <w:rFonts w:hint="eastAsia" w:ascii="宋体" w:hAnsi="宋体" w:cs="宋体"/>
        </w:rPr>
        <w:t>建筑内应设置完整有效的无障碍标识系统。</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cs="宋体"/>
          <w:bCs/>
          <w:i/>
        </w:rPr>
      </w:pPr>
      <w:r>
        <w:rPr>
          <w:rFonts w:hint="eastAsia"/>
          <w:bCs/>
          <w:i/>
        </w:rPr>
        <w:t>第2款</w:t>
      </w:r>
      <w:r>
        <w:rPr>
          <w:rFonts w:hint="eastAsia" w:ascii="宋体" w:hAnsi="宋体" w:cs="宋体"/>
          <w:bCs/>
          <w:i/>
        </w:rPr>
        <w:t xml:space="preserve"> 车站通过站前广场疏散旅客，因此当站前广场地面存在高差时，需要做轮椅坡道，以保证行动障碍者顺畅通行。</w:t>
      </w:r>
    </w:p>
    <w:p>
      <w:pPr>
        <w:pStyle w:val="32"/>
        <w:spacing w:line="360" w:lineRule="auto"/>
        <w:outlineLvl w:val="3"/>
        <w:rPr>
          <w:rFonts w:ascii="宋体" w:hAnsi="宋体" w:cs="宋体"/>
          <w:bCs/>
          <w:i/>
        </w:rPr>
      </w:pPr>
      <w:r>
        <w:rPr>
          <w:rFonts w:hint="eastAsia"/>
          <w:bCs/>
          <w:i/>
        </w:rPr>
        <w:t>第3款</w:t>
      </w:r>
      <w:r>
        <w:rPr>
          <w:rFonts w:hint="eastAsia" w:ascii="宋体" w:hAnsi="宋体" w:cs="宋体"/>
          <w:bCs/>
          <w:i/>
        </w:rPr>
        <w:t xml:space="preserve"> 建筑物主要出入口旅客进出频繁，宜设置成平坡出入口，方便各类人群通行。</w:t>
      </w:r>
    </w:p>
    <w:p>
      <w:pPr>
        <w:pStyle w:val="32"/>
        <w:spacing w:line="360" w:lineRule="auto"/>
        <w:rPr>
          <w:rFonts w:hint="eastAsia" w:ascii="宋体" w:hAnsi="宋体" w:cs="宋体"/>
          <w:bCs/>
          <w:i/>
        </w:rPr>
      </w:pPr>
    </w:p>
    <w:p>
      <w:pPr>
        <w:pStyle w:val="32"/>
        <w:numPr>
          <w:ilvl w:val="1"/>
          <w:numId w:val="43"/>
        </w:numPr>
        <w:spacing w:line="360" w:lineRule="auto"/>
        <w:ind w:firstLineChars="0"/>
        <w:jc w:val="center"/>
        <w:outlineLvl w:val="1"/>
        <w:rPr>
          <w:rFonts w:ascii="宋体" w:hAnsi="宋体" w:cs="宋体"/>
        </w:rPr>
      </w:pPr>
      <w:bookmarkStart w:id="288" w:name="_Toc20420206"/>
      <w:bookmarkStart w:id="289" w:name="_Toc23437790"/>
      <w:r>
        <w:rPr>
          <w:rFonts w:hint="eastAsia" w:ascii="宋体" w:hAnsi="宋体" w:cs="宋体"/>
        </w:rPr>
        <w:t>工业建筑</w:t>
      </w:r>
      <w:bookmarkEnd w:id="288"/>
      <w:bookmarkEnd w:id="289"/>
    </w:p>
    <w:p>
      <w:pPr>
        <w:pStyle w:val="32"/>
        <w:numPr>
          <w:ilvl w:val="2"/>
          <w:numId w:val="43"/>
        </w:numPr>
        <w:spacing w:line="360" w:lineRule="auto"/>
        <w:ind w:firstLineChars="0"/>
        <w:outlineLvl w:val="2"/>
      </w:pPr>
      <w:r>
        <w:rPr>
          <w:rFonts w:hint="eastAsia" w:ascii="宋体" w:hAnsi="宋体" w:cs="宋体"/>
        </w:rPr>
        <w:t>建筑基地内无障碍设计范围应包括残障</w:t>
      </w:r>
      <w:r>
        <w:rPr>
          <w:rFonts w:ascii="宋体" w:hAnsi="宋体" w:cs="宋体"/>
        </w:rPr>
        <w:t>人士工作、生活</w:t>
      </w:r>
      <w:r>
        <w:rPr>
          <w:rFonts w:hint="eastAsia" w:ascii="宋体" w:hAnsi="宋体" w:cs="宋体"/>
        </w:rPr>
        <w:t>使用</w:t>
      </w:r>
      <w:r>
        <w:rPr>
          <w:rFonts w:ascii="宋体" w:hAnsi="宋体" w:cs="宋体"/>
        </w:rPr>
        <w:t>的</w:t>
      </w:r>
      <w:r>
        <w:rPr>
          <w:rFonts w:hint="eastAsia" w:ascii="宋体" w:hAnsi="宋体" w:cs="宋体"/>
        </w:rPr>
        <w:t>工业厂区道路、工业厂区绿地、工业厂区办公建筑、厂房</w:t>
      </w:r>
      <w:r>
        <w:rPr>
          <w:rFonts w:ascii="宋体" w:hAnsi="宋体" w:cs="宋体"/>
        </w:rPr>
        <w:t>、车间、宿舍等</w:t>
      </w:r>
      <w:r>
        <w:rPr>
          <w:rFonts w:hint="eastAsia" w:ascii="宋体" w:hAnsi="宋体" w:cs="宋体"/>
        </w:rPr>
        <w:t>无障碍设施；</w:t>
      </w:r>
    </w:p>
    <w:p>
      <w:pPr>
        <w:pStyle w:val="32"/>
        <w:numPr>
          <w:ilvl w:val="2"/>
          <w:numId w:val="43"/>
        </w:numPr>
        <w:spacing w:line="360" w:lineRule="auto"/>
        <w:ind w:firstLineChars="0"/>
        <w:outlineLvl w:val="2"/>
      </w:pPr>
      <w:r>
        <w:rPr>
          <w:rFonts w:hint="eastAsia" w:ascii="宋体" w:hAnsi="宋体" w:cs="宋体"/>
        </w:rPr>
        <w:t>基地主要出入口、建筑出入口、无障碍通道、停车位和电梯等无障碍设施应设无障碍标识，基地主要出入口、建筑主入口和楼梯前室宜设置盲文地图和楼层示意图，重要信息提示处宜设电子显示屏。</w:t>
      </w:r>
    </w:p>
    <w:p>
      <w:pPr>
        <w:pStyle w:val="32"/>
        <w:numPr>
          <w:ilvl w:val="2"/>
          <w:numId w:val="43"/>
        </w:numPr>
        <w:spacing w:line="360" w:lineRule="auto"/>
        <w:ind w:firstLineChars="0"/>
        <w:outlineLvl w:val="2"/>
        <w:rPr>
          <w:rFonts w:ascii="宋体" w:hAnsi="宋体" w:cs="宋体"/>
        </w:rPr>
      </w:pPr>
      <w:r>
        <w:rPr>
          <w:rFonts w:hint="eastAsia" w:ascii="宋体" w:hAnsi="宋体" w:cs="宋体"/>
        </w:rPr>
        <w:t>工业厂区道路的无障碍设计应符合下列规定：</w:t>
      </w:r>
    </w:p>
    <w:p>
      <w:pPr>
        <w:pStyle w:val="32"/>
        <w:numPr>
          <w:ilvl w:val="0"/>
          <w:numId w:val="73"/>
        </w:numPr>
        <w:spacing w:line="360" w:lineRule="auto"/>
        <w:ind w:firstLine="424" w:firstLineChars="202"/>
        <w:rPr>
          <w:rFonts w:ascii="宋体" w:hAnsi="宋体" w:cs="宋体"/>
        </w:rPr>
      </w:pPr>
      <w:r>
        <w:rPr>
          <w:rFonts w:hint="eastAsia" w:ascii="宋体" w:hAnsi="宋体" w:cs="宋体"/>
        </w:rPr>
        <w:t>各级道路人行道均应</w:t>
      </w:r>
      <w:r>
        <w:rPr>
          <w:rFonts w:ascii="宋体" w:hAnsi="宋体" w:cs="宋体"/>
        </w:rPr>
        <w:t>进行无障碍设计</w:t>
      </w:r>
      <w:r>
        <w:rPr>
          <w:rFonts w:hint="eastAsia" w:ascii="宋体" w:hAnsi="宋体" w:cs="宋体"/>
        </w:rPr>
        <w:t>；</w:t>
      </w:r>
    </w:p>
    <w:p>
      <w:pPr>
        <w:pStyle w:val="32"/>
        <w:numPr>
          <w:ilvl w:val="0"/>
          <w:numId w:val="73"/>
        </w:numPr>
        <w:spacing w:line="360" w:lineRule="auto"/>
        <w:ind w:firstLine="424" w:firstLineChars="202"/>
        <w:rPr>
          <w:rFonts w:ascii="宋体" w:hAnsi="宋体" w:cs="宋体"/>
        </w:rPr>
      </w:pPr>
      <w:r>
        <w:rPr>
          <w:rFonts w:hint="eastAsia" w:ascii="宋体" w:hAnsi="宋体" w:cs="宋体"/>
        </w:rPr>
        <w:t>工业厂区道路无障碍设计应符合本标准第</w:t>
      </w:r>
      <w:r>
        <w:rPr>
          <w:rFonts w:ascii="宋体" w:hAnsi="宋体" w:cs="宋体"/>
        </w:rPr>
        <w:t>5</w:t>
      </w:r>
      <w:r>
        <w:rPr>
          <w:rFonts w:hint="eastAsia" w:ascii="宋体" w:hAnsi="宋体" w:cs="宋体"/>
        </w:rPr>
        <w:t>章的有关规定。</w:t>
      </w:r>
    </w:p>
    <w:p>
      <w:pPr>
        <w:pStyle w:val="32"/>
        <w:numPr>
          <w:ilvl w:val="2"/>
          <w:numId w:val="43"/>
        </w:numPr>
        <w:spacing w:line="360" w:lineRule="auto"/>
        <w:ind w:firstLineChars="0"/>
        <w:outlineLvl w:val="2"/>
        <w:rPr>
          <w:rFonts w:ascii="宋体" w:hAnsi="宋体" w:cs="宋体"/>
        </w:rPr>
      </w:pPr>
      <w:r>
        <w:rPr>
          <w:rFonts w:hint="eastAsia" w:ascii="宋体" w:hAnsi="宋体" w:cs="宋体"/>
        </w:rPr>
        <w:t>工业厂区绿地的无障碍设计应符合下列规定：</w:t>
      </w:r>
    </w:p>
    <w:p>
      <w:pPr>
        <w:pStyle w:val="32"/>
        <w:numPr>
          <w:ilvl w:val="0"/>
          <w:numId w:val="74"/>
        </w:numPr>
        <w:spacing w:line="360" w:lineRule="auto"/>
        <w:ind w:firstLine="424" w:firstLineChars="202"/>
        <w:rPr>
          <w:rFonts w:ascii="宋体" w:hAnsi="宋体" w:cs="宋体"/>
        </w:rPr>
      </w:pPr>
      <w:r>
        <w:rPr>
          <w:rFonts w:hint="eastAsia" w:ascii="宋体" w:hAnsi="宋体" w:cs="宋体"/>
        </w:rPr>
        <w:t>游步道、休憩设施、休闲广场、公共厕所等均应</w:t>
      </w:r>
      <w:r>
        <w:rPr>
          <w:rFonts w:ascii="宋体" w:hAnsi="宋体" w:cs="宋体"/>
        </w:rPr>
        <w:t>进行无障碍设计</w:t>
      </w:r>
      <w:r>
        <w:rPr>
          <w:rFonts w:hint="eastAsia" w:ascii="宋体" w:hAnsi="宋体" w:cs="宋体"/>
        </w:rPr>
        <w:t>；</w:t>
      </w:r>
    </w:p>
    <w:p>
      <w:pPr>
        <w:pStyle w:val="32"/>
        <w:numPr>
          <w:ilvl w:val="0"/>
          <w:numId w:val="74"/>
        </w:numPr>
        <w:spacing w:line="360" w:lineRule="auto"/>
        <w:ind w:firstLine="424" w:firstLineChars="202"/>
        <w:rPr>
          <w:rFonts w:ascii="宋体" w:hAnsi="宋体" w:cs="宋体"/>
        </w:rPr>
      </w:pPr>
      <w:r>
        <w:rPr>
          <w:rFonts w:hint="eastAsia" w:ascii="宋体" w:hAnsi="宋体" w:cs="宋体"/>
        </w:rPr>
        <w:t>绿地基地地坪坡度不大于5％时，工业厂区的绿地均应满足无障碍要求；地坪坡度大于5％时，应设置不少于1个满足无障碍要求的工业厂区绿地；满足无障碍要求的工业厂区绿地，应靠近无障碍通道设置；</w:t>
      </w:r>
    </w:p>
    <w:p>
      <w:pPr>
        <w:pStyle w:val="32"/>
        <w:numPr>
          <w:ilvl w:val="0"/>
          <w:numId w:val="74"/>
        </w:numPr>
        <w:spacing w:line="360" w:lineRule="auto"/>
        <w:ind w:firstLine="424" w:firstLineChars="202"/>
        <w:rPr>
          <w:rFonts w:ascii="宋体" w:hAnsi="宋体" w:cs="宋体"/>
        </w:rPr>
      </w:pPr>
      <w:r>
        <w:rPr>
          <w:rFonts w:hint="eastAsia" w:ascii="宋体" w:hAnsi="宋体" w:cs="宋体"/>
        </w:rPr>
        <w:t>厂区绿地内主要活动广场与相接处的地面或路面高差小于300mm时，应设置为无障碍坡道；高差大于300mm时，应至少设置一处无障碍坡道；</w:t>
      </w:r>
      <w:r>
        <w:rPr>
          <w:rFonts w:ascii="宋体" w:hAnsi="宋体" w:cs="宋体"/>
        </w:rPr>
        <w:t xml:space="preserve"> </w:t>
      </w:r>
    </w:p>
    <w:p>
      <w:pPr>
        <w:pStyle w:val="32"/>
        <w:numPr>
          <w:ilvl w:val="0"/>
          <w:numId w:val="74"/>
        </w:numPr>
        <w:spacing w:line="360" w:lineRule="auto"/>
        <w:ind w:firstLine="424" w:firstLineChars="202"/>
        <w:rPr>
          <w:rFonts w:ascii="宋体" w:hAnsi="宋体" w:cs="宋体"/>
        </w:rPr>
      </w:pPr>
      <w:r>
        <w:rPr>
          <w:rFonts w:hint="eastAsia" w:ascii="宋体" w:hAnsi="宋体" w:cs="宋体"/>
        </w:rPr>
        <w:t>工业厂区绿地内的游步道应为无障碍通道，轮椅园路纵坡不应大于4％；轮椅专用道不应大于8％；工业厂区绿地内的游步道及园林建筑、园林小品如亭、廊、花架等休憩设施不宜设置高于450mm的台明或台阶；必须设置时，应同时设置轮椅坡道并在休憩设施入口处设提示盲道；绿地及广场设置休息座椅时，应留有轮椅停留空间。</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cs="宋体"/>
          <w:i/>
          <w:iCs/>
        </w:rPr>
      </w:pPr>
      <w:r>
        <w:rPr>
          <w:rFonts w:hint="eastAsia" w:ascii="宋体" w:hAnsi="宋体" w:cs="宋体"/>
          <w:i/>
          <w:iCs/>
        </w:rPr>
        <w:t>第1款 工业厂区内绿地是工人日常休憩活动的重要场所。因此，具备条件的开放绿地应满足无障碍要求；高差变化较大的厂区绿地，至少保证一块绿地应满足无障碍设计要求。</w:t>
      </w:r>
    </w:p>
    <w:p>
      <w:pPr>
        <w:pStyle w:val="32"/>
        <w:spacing w:line="360" w:lineRule="auto"/>
        <w:rPr>
          <w:rFonts w:ascii="宋体" w:hAnsi="宋体" w:cs="宋体"/>
        </w:rPr>
      </w:pPr>
      <w:r>
        <w:rPr>
          <w:rFonts w:hint="eastAsia" w:ascii="宋体" w:hAnsi="宋体" w:cs="宋体"/>
          <w:i/>
          <w:iCs/>
        </w:rPr>
        <w:t>第2款 厂区绿地内活动广场与相接路面、地面不宜出现高差，因景观需要，设计下沉或抬起的活动广场时，高差不宜大于300mm，并应采用坡道处理高差，不宜设计台阶；当设计高差大于300mm时，至少必须设置一处轮椅坡道。以便轮椅使用者通行；当厂区道路设有盲道时，道路盲道应延伸至绿地，以便视觉障碍者前往厂区绿地时掌握绿地方位。</w:t>
      </w:r>
    </w:p>
    <w:p>
      <w:pPr>
        <w:pStyle w:val="32"/>
        <w:numPr>
          <w:ilvl w:val="2"/>
          <w:numId w:val="43"/>
        </w:numPr>
        <w:spacing w:line="360" w:lineRule="auto"/>
        <w:ind w:firstLineChars="0"/>
        <w:outlineLvl w:val="2"/>
        <w:rPr>
          <w:rFonts w:ascii="宋体" w:hAnsi="宋体" w:cs="宋体"/>
        </w:rPr>
      </w:pPr>
      <w:r>
        <w:rPr>
          <w:rFonts w:hint="eastAsia" w:ascii="宋体" w:hAnsi="宋体" w:cs="宋体"/>
        </w:rPr>
        <w:t>工业厂区配套公共设施的无障碍设计应符合下列规定：</w:t>
      </w:r>
    </w:p>
    <w:p>
      <w:pPr>
        <w:pStyle w:val="32"/>
        <w:numPr>
          <w:ilvl w:val="0"/>
          <w:numId w:val="75"/>
        </w:numPr>
        <w:spacing w:line="360" w:lineRule="auto"/>
        <w:ind w:firstLine="424" w:firstLineChars="202"/>
        <w:rPr>
          <w:rFonts w:ascii="宋体" w:hAnsi="宋体" w:cs="宋体"/>
        </w:rPr>
      </w:pPr>
      <w:r>
        <w:rPr>
          <w:rFonts w:hint="eastAsia" w:ascii="宋体" w:hAnsi="宋体" w:cs="宋体"/>
        </w:rPr>
        <w:t>工业厂区内建筑物应设置无障碍出入口；</w:t>
      </w:r>
    </w:p>
    <w:p>
      <w:pPr>
        <w:pStyle w:val="32"/>
        <w:numPr>
          <w:ilvl w:val="0"/>
          <w:numId w:val="75"/>
        </w:numPr>
        <w:spacing w:line="360" w:lineRule="auto"/>
        <w:ind w:firstLine="424" w:firstLineChars="202"/>
        <w:rPr>
          <w:rFonts w:ascii="宋体" w:hAnsi="宋体" w:cs="宋体"/>
        </w:rPr>
      </w:pPr>
      <w:r>
        <w:rPr>
          <w:rFonts w:hint="eastAsia" w:ascii="宋体" w:hAnsi="宋体" w:cs="宋体"/>
        </w:rPr>
        <w:t>厂区内电话台、查询处、饮水机和自助售货处等应设置低位服务设施；</w:t>
      </w:r>
    </w:p>
    <w:p>
      <w:pPr>
        <w:pStyle w:val="32"/>
        <w:numPr>
          <w:ilvl w:val="0"/>
          <w:numId w:val="75"/>
        </w:numPr>
        <w:spacing w:line="360" w:lineRule="auto"/>
        <w:ind w:firstLine="424" w:firstLineChars="202"/>
        <w:rPr>
          <w:rFonts w:ascii="宋体" w:hAnsi="宋体" w:cs="宋体"/>
        </w:rPr>
      </w:pPr>
      <w:r>
        <w:rPr>
          <w:rFonts w:hint="eastAsia" w:ascii="宋体" w:hAnsi="宋体" w:cs="宋体"/>
        </w:rPr>
        <w:t>厂房、</w:t>
      </w:r>
      <w:r>
        <w:rPr>
          <w:rFonts w:ascii="宋体" w:hAnsi="宋体" w:cs="宋体"/>
        </w:rPr>
        <w:t>车间等生产区应针对</w:t>
      </w:r>
      <w:r>
        <w:rPr>
          <w:rFonts w:hint="eastAsia" w:ascii="宋体" w:hAnsi="宋体" w:cs="宋体"/>
        </w:rPr>
        <w:t>听力障碍者设置无障碍呼叫系统和LED显示屏，针对于视力障碍者设置音响提示器，针对肢体障碍者设置无障碍升降工作台；建筑内墙面阳角应设为弧形，并设置警示条；</w:t>
      </w:r>
    </w:p>
    <w:p>
      <w:pPr>
        <w:pStyle w:val="32"/>
        <w:numPr>
          <w:ilvl w:val="0"/>
          <w:numId w:val="75"/>
        </w:numPr>
        <w:ind w:firstLine="424" w:firstLineChars="202"/>
        <w:rPr>
          <w:rFonts w:ascii="宋体" w:hAnsi="宋体" w:cs="宋体"/>
        </w:rPr>
      </w:pPr>
      <w:r>
        <w:rPr>
          <w:rFonts w:hint="eastAsia" w:ascii="宋体" w:hAnsi="宋体" w:cs="宋体"/>
        </w:rPr>
        <w:t>残障人士使用的生产、服务、宿舍等空间应尽量安排在建筑首层或无障碍电梯可到达楼层；</w:t>
      </w:r>
    </w:p>
    <w:p>
      <w:pPr>
        <w:pStyle w:val="32"/>
        <w:numPr>
          <w:ilvl w:val="0"/>
          <w:numId w:val="75"/>
        </w:numPr>
        <w:spacing w:line="360" w:lineRule="auto"/>
        <w:ind w:firstLine="424" w:firstLineChars="202"/>
        <w:rPr>
          <w:rFonts w:ascii="宋体" w:hAnsi="宋体" w:cs="宋体"/>
        </w:rPr>
      </w:pPr>
      <w:r>
        <w:rPr>
          <w:rFonts w:hint="eastAsia" w:ascii="宋体" w:hAnsi="宋体" w:cs="宋体"/>
        </w:rPr>
        <w:t>设有电梯的建筑至少应设置1部无障碍电梯；未设有电梯的多层建筑，应至少设置1部无障碍楼梯；</w:t>
      </w:r>
    </w:p>
    <w:p>
      <w:pPr>
        <w:pStyle w:val="32"/>
        <w:numPr>
          <w:ilvl w:val="0"/>
          <w:numId w:val="75"/>
        </w:numPr>
        <w:spacing w:line="360" w:lineRule="auto"/>
        <w:ind w:firstLine="424" w:firstLineChars="202"/>
        <w:rPr>
          <w:rFonts w:ascii="宋体" w:hAnsi="宋体" w:cs="宋体"/>
        </w:rPr>
      </w:pPr>
      <w:r>
        <w:rPr>
          <w:rFonts w:hint="eastAsia" w:ascii="宋体" w:hAnsi="宋体" w:cs="宋体"/>
        </w:rPr>
        <w:t>工业厂区内公共厕所应满足本标准第</w:t>
      </w:r>
      <w:r>
        <w:rPr>
          <w:rFonts w:ascii="宋体" w:hAnsi="宋体" w:cs="宋体"/>
        </w:rPr>
        <w:t>4.2.3</w:t>
      </w:r>
      <w:r>
        <w:rPr>
          <w:rFonts w:hint="eastAsia" w:ascii="宋体" w:hAnsi="宋体" w:cs="宋体"/>
        </w:rPr>
        <w:t>条的有关规定；</w:t>
      </w:r>
    </w:p>
    <w:p>
      <w:pPr>
        <w:pStyle w:val="32"/>
        <w:numPr>
          <w:ilvl w:val="0"/>
          <w:numId w:val="75"/>
        </w:numPr>
        <w:spacing w:line="360" w:lineRule="auto"/>
        <w:ind w:firstLine="424" w:firstLineChars="202"/>
        <w:rPr>
          <w:rFonts w:ascii="宋体" w:hAnsi="宋体" w:cs="宋体"/>
        </w:rPr>
      </w:pPr>
      <w:r>
        <w:rPr>
          <w:rFonts w:hint="eastAsia" w:ascii="宋体" w:hAnsi="宋体" w:cs="宋体"/>
        </w:rPr>
        <w:t>停车场和车库应符合下列规定：工业厂区停车场车库的总停车位应设置不少于0.5%的无障碍机动车停车位；地面停车场的无障碍机动车停车位宜靠近停车场的出入口设置；车库的人行出入口应为无障碍出入口；设置在非首层的车库应设无障碍通道与无障碍电梯或无障碍楼梯连通，直达首层；</w:t>
      </w:r>
      <w:r>
        <w:rPr>
          <w:rFonts w:ascii="宋体" w:hAnsi="宋体" w:cs="宋体"/>
        </w:rPr>
        <w:t>非机动车停车区应设</w:t>
      </w:r>
      <w:r>
        <w:rPr>
          <w:rFonts w:hint="eastAsia" w:ascii="宋体" w:hAnsi="宋体" w:cs="宋体"/>
        </w:rPr>
        <w:t>轮椅</w:t>
      </w:r>
      <w:r>
        <w:rPr>
          <w:rFonts w:ascii="宋体" w:hAnsi="宋体" w:cs="宋体"/>
        </w:rPr>
        <w:t>停放位，宜设置不少于</w:t>
      </w:r>
      <w:r>
        <w:rPr>
          <w:rFonts w:hint="eastAsia" w:ascii="宋体" w:hAnsi="宋体" w:cs="宋体"/>
        </w:rPr>
        <w:t>1辆</w:t>
      </w:r>
      <w:r>
        <w:rPr>
          <w:rFonts w:ascii="宋体" w:hAnsi="宋体" w:cs="宋体"/>
        </w:rPr>
        <w:t>轮椅充电</w:t>
      </w:r>
      <w:r>
        <w:rPr>
          <w:rFonts w:hint="eastAsia" w:ascii="宋体" w:hAnsi="宋体" w:cs="宋体"/>
        </w:rPr>
        <w:t>位；</w:t>
      </w:r>
    </w:p>
    <w:p>
      <w:pPr>
        <w:pStyle w:val="32"/>
        <w:numPr>
          <w:ilvl w:val="0"/>
          <w:numId w:val="75"/>
        </w:numPr>
        <w:spacing w:line="360" w:lineRule="auto"/>
        <w:ind w:firstLine="424" w:firstLineChars="202"/>
        <w:rPr>
          <w:rFonts w:ascii="宋体" w:hAnsi="宋体" w:cs="宋体"/>
        </w:rPr>
      </w:pPr>
      <w:r>
        <w:rPr>
          <w:rFonts w:hint="eastAsia" w:ascii="宋体" w:hAnsi="宋体" w:cs="宋体"/>
        </w:rPr>
        <w:t>工业厂区出入口、道路、建筑出入口、建筑内部走廊、楼梯、坡道、电梯厅、卫生间等应设置无障碍标识。</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cs="宋体"/>
          <w:i/>
          <w:iCs/>
        </w:rPr>
      </w:pPr>
      <w:r>
        <w:rPr>
          <w:rFonts w:hint="eastAsia" w:ascii="宋体" w:hAnsi="宋体" w:cs="宋体"/>
          <w:i/>
          <w:iCs/>
        </w:rPr>
        <w:t>第1款 第2款 第3款 厂区的配套公共建筑需考虑无障碍出行和使用。特别是行为障碍者使用频率较高的场所，如商业、活动站、工委会等建筑。</w:t>
      </w:r>
    </w:p>
    <w:p>
      <w:pPr>
        <w:pStyle w:val="32"/>
        <w:spacing w:line="360" w:lineRule="auto"/>
        <w:rPr>
          <w:rFonts w:ascii="宋体" w:hAnsi="宋体" w:cs="宋体"/>
          <w:i/>
        </w:rPr>
      </w:pPr>
      <w:r>
        <w:rPr>
          <w:rFonts w:hint="eastAsia" w:ascii="宋体" w:hAnsi="宋体" w:cs="宋体"/>
          <w:i/>
          <w:iCs/>
        </w:rPr>
        <w:t>第</w:t>
      </w:r>
      <w:r>
        <w:rPr>
          <w:rFonts w:ascii="宋体" w:hAnsi="宋体" w:cs="宋体"/>
          <w:i/>
          <w:iCs/>
        </w:rPr>
        <w:t>4</w:t>
      </w:r>
      <w:r>
        <w:rPr>
          <w:rFonts w:hint="eastAsia" w:ascii="宋体" w:hAnsi="宋体" w:cs="宋体"/>
          <w:i/>
          <w:iCs/>
        </w:rPr>
        <w:t>款 工业厂区无障碍停车位应不少于总机动车停车位的0.5%，本设计标准制定的无障碍停车位数量为下限值，各厂区可以根据自己实际情况进行适当增加。</w:t>
      </w:r>
      <w:r>
        <w:rPr>
          <w:rFonts w:hint="eastAsia" w:ascii="宋体" w:hAnsi="宋体" w:cs="宋体"/>
          <w:i/>
        </w:rPr>
        <w:t>若设有多个停车场和车库，每处均宜设置不少于1个无障碍机动车停车位；有条件的厂区宜靠近厂区宿舍楼和厂房设置无障碍机动车停车位。</w:t>
      </w:r>
    </w:p>
    <w:p>
      <w:pPr>
        <w:pStyle w:val="32"/>
        <w:numPr>
          <w:ilvl w:val="2"/>
          <w:numId w:val="43"/>
        </w:numPr>
        <w:spacing w:line="360" w:lineRule="auto"/>
        <w:ind w:firstLineChars="0"/>
        <w:outlineLvl w:val="2"/>
        <w:rPr>
          <w:rFonts w:ascii="宋体" w:hAnsi="宋体" w:cs="宋体"/>
        </w:rPr>
      </w:pPr>
      <w:r>
        <w:rPr>
          <w:rFonts w:hint="eastAsia" w:ascii="宋体" w:hAnsi="宋体" w:cs="宋体"/>
        </w:rPr>
        <w:t>工业建筑的无障碍设计应符合下列规定：</w:t>
      </w:r>
    </w:p>
    <w:p>
      <w:pPr>
        <w:pStyle w:val="32"/>
        <w:numPr>
          <w:ilvl w:val="0"/>
          <w:numId w:val="76"/>
        </w:numPr>
        <w:spacing w:line="360" w:lineRule="auto"/>
        <w:ind w:firstLine="424" w:firstLineChars="202"/>
        <w:rPr>
          <w:rFonts w:ascii="宋体" w:hAnsi="宋体" w:cs="宋体"/>
        </w:rPr>
      </w:pPr>
      <w:r>
        <w:rPr>
          <w:rFonts w:hint="eastAsia" w:ascii="宋体" w:hAnsi="宋体" w:cs="宋体"/>
        </w:rPr>
        <w:t>设计范围包括残障人士工作、生活使用的厂房、办公楼和职工宿舍等；</w:t>
      </w:r>
    </w:p>
    <w:p>
      <w:pPr>
        <w:pStyle w:val="32"/>
        <w:numPr>
          <w:ilvl w:val="0"/>
          <w:numId w:val="76"/>
        </w:numPr>
        <w:spacing w:line="360" w:lineRule="auto"/>
        <w:ind w:firstLine="424" w:firstLineChars="202"/>
        <w:rPr>
          <w:rFonts w:ascii="宋体" w:hAnsi="宋体" w:cs="宋体"/>
        </w:rPr>
      </w:pPr>
      <w:r>
        <w:rPr>
          <w:rFonts w:hint="eastAsia" w:ascii="宋体" w:hAnsi="宋体" w:cs="宋体"/>
        </w:rPr>
        <w:t>工业建筑应至少设置1处无障碍出入口，且宜位于主要出入口处；</w:t>
      </w:r>
    </w:p>
    <w:p>
      <w:pPr>
        <w:pStyle w:val="32"/>
        <w:numPr>
          <w:ilvl w:val="0"/>
          <w:numId w:val="76"/>
        </w:numPr>
        <w:spacing w:line="360" w:lineRule="auto"/>
        <w:ind w:firstLine="424" w:firstLineChars="202"/>
        <w:rPr>
          <w:rFonts w:ascii="宋体" w:hAnsi="宋体" w:cs="宋体"/>
        </w:rPr>
      </w:pPr>
      <w:r>
        <w:rPr>
          <w:rFonts w:hint="eastAsia" w:ascii="宋体" w:hAnsi="宋体" w:cs="宋体"/>
        </w:rPr>
        <w:t>建筑物内主要通行楼梯应为无障碍楼梯；</w:t>
      </w:r>
    </w:p>
    <w:p>
      <w:pPr>
        <w:pStyle w:val="32"/>
        <w:numPr>
          <w:ilvl w:val="0"/>
          <w:numId w:val="76"/>
        </w:numPr>
        <w:spacing w:line="360" w:lineRule="auto"/>
        <w:ind w:firstLine="424" w:firstLineChars="202"/>
        <w:rPr>
          <w:rFonts w:ascii="宋体" w:hAnsi="宋体" w:cs="宋体"/>
        </w:rPr>
      </w:pPr>
      <w:r>
        <w:rPr>
          <w:rFonts w:hint="eastAsia" w:ascii="宋体" w:hAnsi="宋体" w:cs="宋体"/>
        </w:rPr>
        <w:t>当建筑物内设置有电梯时，每组电梯至少设置一部无障碍电梯；</w:t>
      </w:r>
    </w:p>
    <w:p>
      <w:pPr>
        <w:pStyle w:val="32"/>
        <w:numPr>
          <w:ilvl w:val="0"/>
          <w:numId w:val="76"/>
        </w:numPr>
        <w:spacing w:line="360" w:lineRule="auto"/>
        <w:ind w:firstLine="424" w:firstLineChars="202"/>
        <w:rPr>
          <w:rFonts w:ascii="宋体" w:hAnsi="宋体" w:cs="宋体"/>
        </w:rPr>
      </w:pPr>
      <w:r>
        <w:rPr>
          <w:rFonts w:hint="eastAsia" w:ascii="宋体" w:hAnsi="宋体" w:cs="宋体"/>
        </w:rPr>
        <w:t>供公共使用的男、女公共厕所均应满足本标准第</w:t>
      </w:r>
      <w:r>
        <w:rPr>
          <w:rFonts w:ascii="宋体" w:hAnsi="宋体" w:cs="宋体"/>
        </w:rPr>
        <w:t>4.2.3</w:t>
      </w:r>
      <w:r>
        <w:rPr>
          <w:rFonts w:hint="eastAsia" w:ascii="宋体" w:hAnsi="宋体" w:cs="宋体"/>
        </w:rPr>
        <w:t>条的有关规定，宜在男、女公共厕所附近设置1个无障碍厕所，且建筑内至少应设置1个无障碍厕所；</w:t>
      </w:r>
    </w:p>
    <w:p>
      <w:pPr>
        <w:pStyle w:val="32"/>
        <w:numPr>
          <w:ilvl w:val="0"/>
          <w:numId w:val="76"/>
        </w:numPr>
        <w:spacing w:line="360" w:lineRule="auto"/>
        <w:ind w:firstLine="424" w:firstLineChars="202"/>
        <w:rPr>
          <w:rFonts w:ascii="宋体" w:hAnsi="宋体" w:cs="宋体"/>
        </w:rPr>
      </w:pPr>
      <w:r>
        <w:rPr>
          <w:rFonts w:hint="eastAsia" w:ascii="宋体" w:hAnsi="宋体" w:cs="宋体"/>
        </w:rPr>
        <w:t>工业建筑内饮水器和售卖机等应设置低位服务设施；</w:t>
      </w:r>
    </w:p>
    <w:p>
      <w:pPr>
        <w:pStyle w:val="32"/>
        <w:numPr>
          <w:ilvl w:val="0"/>
          <w:numId w:val="76"/>
        </w:numPr>
        <w:spacing w:line="360" w:lineRule="auto"/>
        <w:ind w:firstLine="424" w:firstLineChars="202"/>
        <w:rPr>
          <w:rFonts w:ascii="宋体" w:hAnsi="宋体" w:cs="宋体"/>
        </w:rPr>
      </w:pPr>
      <w:r>
        <w:rPr>
          <w:rFonts w:hint="eastAsia" w:ascii="宋体" w:hAnsi="宋体" w:cs="宋体"/>
        </w:rPr>
        <w:t>接待和办公处应设置低位台面，厂房内应设置低位工作台；</w:t>
      </w:r>
    </w:p>
    <w:p>
      <w:pPr>
        <w:pStyle w:val="32"/>
        <w:numPr>
          <w:ilvl w:val="0"/>
          <w:numId w:val="76"/>
        </w:numPr>
        <w:spacing w:line="360" w:lineRule="auto"/>
        <w:ind w:firstLine="424" w:firstLineChars="202"/>
        <w:rPr>
          <w:rFonts w:ascii="宋体" w:hAnsi="宋体" w:cs="宋体"/>
        </w:rPr>
      </w:pPr>
      <w:r>
        <w:rPr>
          <w:rFonts w:hint="eastAsia" w:ascii="宋体" w:hAnsi="宋体" w:cs="宋体"/>
        </w:rPr>
        <w:t>工业厂区内宿舍建筑应按每100套住房设置不少于1套无障碍住房，且无障碍住房应满足本标准第</w:t>
      </w:r>
      <w:r>
        <w:rPr>
          <w:rFonts w:ascii="宋体" w:hAnsi="宋体" w:cs="宋体"/>
        </w:rPr>
        <w:t>4.2.5</w:t>
      </w:r>
      <w:r>
        <w:rPr>
          <w:rFonts w:hint="eastAsia" w:ascii="宋体" w:hAnsi="宋体" w:cs="宋体"/>
        </w:rPr>
        <w:t>条有关规定的要求。</w:t>
      </w:r>
    </w:p>
    <w:p>
      <w:pPr>
        <w:pStyle w:val="32"/>
        <w:numPr>
          <w:ilvl w:val="0"/>
          <w:numId w:val="76"/>
        </w:numPr>
        <w:spacing w:line="360" w:lineRule="auto"/>
        <w:ind w:firstLine="424" w:firstLineChars="202"/>
        <w:rPr>
          <w:rFonts w:ascii="宋体" w:hAnsi="宋体" w:cs="宋体"/>
        </w:rPr>
      </w:pPr>
      <w:r>
        <w:rPr>
          <w:rFonts w:hint="eastAsia" w:ascii="宋体" w:hAnsi="宋体" w:cs="宋体"/>
        </w:rPr>
        <w:t>厂房生产区应设置无障碍呼叫系统、视觉导识、听觉导识和无障碍升降工作台。</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cs="宋体"/>
        </w:rPr>
      </w:pPr>
      <w:r>
        <w:rPr>
          <w:rFonts w:hint="eastAsia" w:ascii="宋体" w:hAnsi="宋体" w:cs="宋体"/>
          <w:i/>
          <w:iCs/>
        </w:rPr>
        <w:t>第2款 工业厂区建筑出入口坡道不仅为能满足残障人士需求，也为携重物的工人提供便利。工业厂区内生产生活空间内垂直交通、厕所和服务设施均应满足无障碍设计要求。</w:t>
      </w:r>
    </w:p>
    <w:p>
      <w:pPr>
        <w:pStyle w:val="32"/>
        <w:numPr>
          <w:ilvl w:val="1"/>
          <w:numId w:val="43"/>
        </w:numPr>
        <w:spacing w:line="360" w:lineRule="auto"/>
        <w:ind w:firstLineChars="0"/>
        <w:jc w:val="center"/>
        <w:outlineLvl w:val="1"/>
        <w:rPr>
          <w:rFonts w:ascii="宋体" w:hAnsi="宋体" w:cs="宋体"/>
        </w:rPr>
      </w:pPr>
      <w:bookmarkStart w:id="290" w:name="_Toc20420207"/>
      <w:bookmarkStart w:id="291" w:name="_Toc23437791"/>
      <w:r>
        <w:rPr>
          <w:rFonts w:hint="eastAsia" w:ascii="宋体" w:hAnsi="宋体" w:cs="宋体"/>
        </w:rPr>
        <w:t>其他建筑及工程</w:t>
      </w:r>
      <w:bookmarkEnd w:id="290"/>
      <w:bookmarkEnd w:id="291"/>
    </w:p>
    <w:p>
      <w:pPr>
        <w:pStyle w:val="32"/>
        <w:numPr>
          <w:ilvl w:val="2"/>
          <w:numId w:val="43"/>
        </w:numPr>
        <w:spacing w:line="360" w:lineRule="auto"/>
        <w:ind w:firstLineChars="0"/>
        <w:outlineLvl w:val="2"/>
        <w:rPr>
          <w:rFonts w:ascii="宋体" w:hAnsi="宋体" w:cs="宋体"/>
        </w:rPr>
      </w:pPr>
      <w:r>
        <w:rPr>
          <w:rFonts w:hint="eastAsia" w:ascii="宋体" w:hAnsi="宋体" w:cs="宋体"/>
        </w:rPr>
        <w:t>其他</w:t>
      </w:r>
      <w:r>
        <w:rPr>
          <w:rFonts w:ascii="宋体" w:hAnsi="宋体" w:cs="宋体"/>
        </w:rPr>
        <w:t>建筑及工程</w:t>
      </w:r>
      <w:r>
        <w:rPr>
          <w:rFonts w:hint="eastAsia" w:ascii="宋体" w:hAnsi="宋体" w:cs="宋体"/>
        </w:rPr>
        <w:t>包括</w:t>
      </w:r>
      <w:r>
        <w:rPr>
          <w:rFonts w:ascii="宋体" w:hAnsi="宋体" w:cs="宋体"/>
        </w:rPr>
        <w:t>：</w:t>
      </w:r>
      <w:r>
        <w:rPr>
          <w:rFonts w:hint="eastAsia" w:ascii="宋体" w:hAnsi="宋体" w:cs="宋体"/>
        </w:rPr>
        <w:t>历史文物保护建筑、公共停车场、公路服务区建筑、城市公共厕所；</w:t>
      </w:r>
    </w:p>
    <w:p>
      <w:pPr>
        <w:pStyle w:val="32"/>
        <w:numPr>
          <w:ilvl w:val="2"/>
          <w:numId w:val="43"/>
        </w:numPr>
        <w:spacing w:line="360" w:lineRule="auto"/>
        <w:ind w:firstLineChars="0"/>
        <w:outlineLvl w:val="2"/>
        <w:rPr>
          <w:rFonts w:ascii="宋体" w:hAnsi="宋体" w:cs="宋体"/>
        </w:rPr>
      </w:pPr>
      <w:r>
        <w:rPr>
          <w:rFonts w:hint="eastAsia" w:ascii="宋体" w:hAnsi="宋体" w:cs="宋体"/>
        </w:rPr>
        <w:t>建筑基地内无障碍设施应与上级规划无障碍设施有效衔接；</w:t>
      </w:r>
    </w:p>
    <w:p>
      <w:pPr>
        <w:pStyle w:val="32"/>
        <w:numPr>
          <w:ilvl w:val="2"/>
          <w:numId w:val="43"/>
        </w:numPr>
        <w:spacing w:line="360" w:lineRule="auto"/>
        <w:ind w:firstLineChars="0"/>
        <w:outlineLvl w:val="2"/>
        <w:rPr>
          <w:rFonts w:ascii="宋体" w:hAnsi="宋体" w:cs="宋体"/>
        </w:rPr>
      </w:pPr>
      <w:r>
        <w:rPr>
          <w:rFonts w:hint="eastAsia" w:ascii="宋体" w:hAnsi="宋体" w:cs="宋体"/>
        </w:rPr>
        <w:t>室外通行步行道应满足本标准第5章有关规定的要求；</w:t>
      </w:r>
    </w:p>
    <w:p>
      <w:pPr>
        <w:pStyle w:val="32"/>
        <w:numPr>
          <w:ilvl w:val="2"/>
          <w:numId w:val="43"/>
        </w:numPr>
        <w:spacing w:line="360" w:lineRule="auto"/>
        <w:ind w:firstLineChars="0"/>
        <w:outlineLvl w:val="2"/>
        <w:rPr>
          <w:rFonts w:ascii="宋体" w:hAnsi="宋体" w:cs="宋体"/>
        </w:rPr>
      </w:pPr>
      <w:r>
        <w:rPr>
          <w:rFonts w:hint="eastAsia" w:ascii="宋体" w:hAnsi="宋体" w:cs="宋体"/>
        </w:rPr>
        <w:t>建筑基地内若设置休息座椅，应留有轮椅停留空间；</w:t>
      </w:r>
    </w:p>
    <w:p>
      <w:pPr>
        <w:pStyle w:val="32"/>
        <w:numPr>
          <w:ilvl w:val="2"/>
          <w:numId w:val="43"/>
        </w:numPr>
        <w:spacing w:line="360" w:lineRule="auto"/>
        <w:ind w:firstLineChars="0"/>
        <w:outlineLvl w:val="2"/>
        <w:rPr>
          <w:rFonts w:ascii="宋体" w:hAnsi="宋体" w:cs="宋体"/>
        </w:rPr>
      </w:pPr>
      <w:r>
        <w:rPr>
          <w:rFonts w:hint="eastAsia" w:ascii="宋体" w:hAnsi="宋体" w:cs="宋体"/>
        </w:rPr>
        <w:t>历史文物保护建筑的无障碍设计应符合下列规定：</w:t>
      </w:r>
    </w:p>
    <w:p>
      <w:pPr>
        <w:pStyle w:val="32"/>
        <w:numPr>
          <w:ilvl w:val="0"/>
          <w:numId w:val="77"/>
        </w:numPr>
        <w:spacing w:line="360" w:lineRule="auto"/>
        <w:ind w:firstLine="424" w:firstLineChars="202"/>
        <w:rPr>
          <w:rFonts w:ascii="宋体" w:hAnsi="宋体" w:cs="宋体"/>
        </w:rPr>
      </w:pPr>
      <w:r>
        <w:rPr>
          <w:rFonts w:hint="eastAsia" w:ascii="宋体" w:hAnsi="宋体" w:cs="宋体"/>
        </w:rPr>
        <w:t>对外开放使用的历史名园、古建博物馆、庙宇、历史遗迹及纪念性建筑、复建古建筑等均应</w:t>
      </w:r>
      <w:r>
        <w:rPr>
          <w:rFonts w:ascii="宋体" w:hAnsi="宋体" w:cs="宋体"/>
        </w:rPr>
        <w:t>进行无障碍设计</w:t>
      </w:r>
      <w:r>
        <w:rPr>
          <w:rFonts w:hint="eastAsia" w:ascii="宋体" w:hAnsi="宋体" w:cs="宋体"/>
        </w:rPr>
        <w:t>；</w:t>
      </w:r>
    </w:p>
    <w:p>
      <w:pPr>
        <w:pStyle w:val="32"/>
        <w:numPr>
          <w:ilvl w:val="0"/>
          <w:numId w:val="77"/>
        </w:numPr>
        <w:spacing w:line="360" w:lineRule="auto"/>
        <w:ind w:firstLine="424" w:firstLineChars="202"/>
        <w:rPr>
          <w:rFonts w:ascii="宋体" w:hAnsi="宋体" w:cs="宋体"/>
        </w:rPr>
      </w:pPr>
      <w:r>
        <w:rPr>
          <w:rFonts w:hint="eastAsia" w:ascii="宋体" w:hAnsi="宋体" w:cs="宋体"/>
        </w:rPr>
        <w:t>对外开放的文物保护单位应根据实际情况设计无障碍游览路线，无障碍游览路线上的文物建筑出入口至少应设1处无障碍出入口，其设置标准应以保护文物为前提；展厅、陈列室、视听室等至少应设1处无障碍出入口，其设置标准应以保护文物为前提，坡道、平台等可为可拆卸的活动设施；供公众使用的服务性用房的出入口至少应有1处为无障碍出入口，且宜位于主要出入口处；对外接待用房的出入口宜为无障碍出入口；</w:t>
      </w:r>
    </w:p>
    <w:p>
      <w:pPr>
        <w:pStyle w:val="32"/>
        <w:numPr>
          <w:ilvl w:val="0"/>
          <w:numId w:val="77"/>
        </w:numPr>
        <w:spacing w:line="360" w:lineRule="auto"/>
        <w:ind w:firstLine="424" w:firstLineChars="202"/>
        <w:rPr>
          <w:rFonts w:hint="eastAsia" w:ascii="宋体" w:hAnsi="宋体" w:cs="宋体"/>
        </w:rPr>
      </w:pPr>
      <w:r>
        <w:rPr>
          <w:rFonts w:hint="eastAsia" w:ascii="宋体" w:hAnsi="宋体" w:cs="宋体"/>
        </w:rPr>
        <w:t>位于无障碍游览路线上的院落内的公共绿地及其通道、休息凉亭等设施的地面应平整、防滑，有台阶处宜同时设置坡道；</w:t>
      </w:r>
    </w:p>
    <w:p>
      <w:pPr>
        <w:pStyle w:val="32"/>
        <w:numPr>
          <w:ilvl w:val="0"/>
          <w:numId w:val="77"/>
        </w:numPr>
        <w:spacing w:line="360" w:lineRule="auto"/>
        <w:ind w:firstLine="424" w:firstLineChars="202"/>
        <w:rPr>
          <w:rFonts w:hint="eastAsia" w:ascii="宋体" w:hAnsi="宋体" w:cs="宋体"/>
        </w:rPr>
      </w:pPr>
      <w:r>
        <w:rPr>
          <w:rFonts w:hint="eastAsia" w:ascii="宋体" w:hAnsi="宋体" w:cs="宋体"/>
        </w:rPr>
        <w:t>开放的文物保护单位内可不设置盲道，当特别需要时设置应与周围环境相协调；</w:t>
      </w:r>
    </w:p>
    <w:p>
      <w:pPr>
        <w:pStyle w:val="32"/>
        <w:numPr>
          <w:ilvl w:val="0"/>
          <w:numId w:val="77"/>
        </w:numPr>
        <w:spacing w:line="360" w:lineRule="auto"/>
        <w:ind w:firstLine="424" w:firstLineChars="202"/>
        <w:rPr>
          <w:rFonts w:ascii="宋体" w:hAnsi="宋体" w:cs="宋体"/>
        </w:rPr>
      </w:pPr>
      <w:r>
        <w:rPr>
          <w:rFonts w:hint="eastAsia" w:ascii="宋体" w:hAnsi="宋体" w:cs="宋体"/>
        </w:rPr>
        <w:t>无障碍游览路线上的游览通道的路面应平整、防滑，其纵坡不宜大于1：50，有台阶处应同时设置轮椅坡道，坡道、平台等可为可拆卸的活动设施；</w:t>
      </w:r>
    </w:p>
    <w:p>
      <w:pPr>
        <w:pStyle w:val="32"/>
        <w:numPr>
          <w:ilvl w:val="0"/>
          <w:numId w:val="77"/>
        </w:numPr>
        <w:spacing w:line="360" w:lineRule="auto"/>
        <w:ind w:firstLine="424" w:firstLineChars="202"/>
        <w:rPr>
          <w:rFonts w:ascii="宋体" w:hAnsi="宋体" w:cs="宋体"/>
        </w:rPr>
      </w:pPr>
      <w:r>
        <w:rPr>
          <w:rFonts w:hint="eastAsia" w:ascii="宋体" w:hAnsi="宋体" w:cs="宋体"/>
        </w:rPr>
        <w:t>院落内的休息座椅旁宜设轮椅停留空间；</w:t>
      </w:r>
    </w:p>
    <w:p>
      <w:pPr>
        <w:pStyle w:val="32"/>
        <w:numPr>
          <w:ilvl w:val="0"/>
          <w:numId w:val="77"/>
        </w:numPr>
        <w:spacing w:line="360" w:lineRule="auto"/>
        <w:ind w:firstLine="424" w:firstLineChars="202"/>
        <w:rPr>
          <w:rFonts w:ascii="宋体" w:hAnsi="宋体" w:cs="宋体"/>
        </w:rPr>
      </w:pPr>
      <w:r>
        <w:rPr>
          <w:rFonts w:hint="eastAsia" w:ascii="宋体" w:hAnsi="宋体" w:cs="宋体"/>
        </w:rPr>
        <w:t>供公众使用的男、女公共厕所至少应有1处满足本标准第</w:t>
      </w:r>
      <w:r>
        <w:rPr>
          <w:rFonts w:ascii="宋体" w:hAnsi="宋体" w:cs="宋体"/>
        </w:rPr>
        <w:t>4.2.3</w:t>
      </w:r>
      <w:r>
        <w:rPr>
          <w:rFonts w:hint="eastAsia" w:ascii="宋体" w:hAnsi="宋体" w:cs="宋体"/>
        </w:rPr>
        <w:t>条的有关规定；</w:t>
      </w:r>
    </w:p>
    <w:p>
      <w:pPr>
        <w:pStyle w:val="32"/>
        <w:numPr>
          <w:ilvl w:val="0"/>
          <w:numId w:val="77"/>
        </w:numPr>
        <w:spacing w:line="360" w:lineRule="auto"/>
        <w:ind w:firstLine="424" w:firstLineChars="202"/>
        <w:rPr>
          <w:rFonts w:ascii="宋体" w:hAnsi="宋体" w:cs="宋体"/>
        </w:rPr>
      </w:pPr>
      <w:r>
        <w:rPr>
          <w:rFonts w:hint="eastAsia" w:ascii="宋体" w:hAnsi="宋体" w:cs="宋体"/>
        </w:rPr>
        <w:t>售票处、服务台、公用电话、饮水器等应设置低位服务设施；纪念品商店如有开放式柜台、收银台，应配备低位柜台；</w:t>
      </w:r>
    </w:p>
    <w:p>
      <w:pPr>
        <w:pStyle w:val="32"/>
        <w:numPr>
          <w:ilvl w:val="0"/>
          <w:numId w:val="77"/>
        </w:numPr>
        <w:spacing w:line="360" w:lineRule="auto"/>
        <w:ind w:firstLine="424" w:firstLineChars="202"/>
        <w:rPr>
          <w:rFonts w:ascii="宋体" w:hAnsi="宋体" w:cs="宋体"/>
        </w:rPr>
      </w:pPr>
      <w:r>
        <w:rPr>
          <w:rFonts w:hint="eastAsia" w:ascii="宋体" w:hAnsi="宋体" w:cs="宋体"/>
        </w:rPr>
        <w:t>设有演播电视等服务设施的，其观众区应至少设置1个轮椅席位；</w:t>
      </w:r>
    </w:p>
    <w:p>
      <w:pPr>
        <w:pStyle w:val="32"/>
        <w:numPr>
          <w:ilvl w:val="0"/>
          <w:numId w:val="77"/>
        </w:numPr>
        <w:spacing w:line="360" w:lineRule="auto"/>
        <w:ind w:firstLine="424" w:firstLineChars="202"/>
        <w:rPr>
          <w:rFonts w:ascii="宋体" w:hAnsi="宋体" w:cs="宋体"/>
        </w:rPr>
      </w:pPr>
      <w:r>
        <w:rPr>
          <w:rFonts w:hint="eastAsia" w:ascii="宋体" w:hAnsi="宋体" w:cs="宋体"/>
        </w:rPr>
        <w:t>建筑基地内设有停车场的，应设置不少于1个无障碍机动车停车位；</w:t>
      </w:r>
    </w:p>
    <w:p>
      <w:pPr>
        <w:pStyle w:val="32"/>
        <w:numPr>
          <w:ilvl w:val="0"/>
          <w:numId w:val="77"/>
        </w:numPr>
        <w:spacing w:line="360" w:lineRule="auto"/>
        <w:ind w:firstLine="424" w:firstLineChars="202"/>
        <w:rPr>
          <w:rFonts w:ascii="宋体" w:hAnsi="宋体" w:cs="宋体"/>
        </w:rPr>
      </w:pPr>
      <w:r>
        <w:rPr>
          <w:rFonts w:hint="eastAsia" w:ascii="宋体" w:hAnsi="宋体" w:cs="宋体"/>
        </w:rPr>
        <w:t>主要出入口、无障碍通道、停车位、建筑出入口、厕所等无障碍设施的位置，应设置无障碍标识。无障碍标识应符合本标准第</w:t>
      </w:r>
      <w:r>
        <w:rPr>
          <w:rFonts w:ascii="宋体" w:hAnsi="宋体" w:cs="宋体"/>
        </w:rPr>
        <w:t>4.3</w:t>
      </w:r>
      <w:r>
        <w:rPr>
          <w:rFonts w:hint="eastAsia" w:ascii="宋体" w:hAnsi="宋体" w:cs="宋体"/>
        </w:rPr>
        <w:t>节的有关规定；重要的展览性陈设，宜设置盲文铭牌。</w:t>
      </w:r>
    </w:p>
    <w:p>
      <w:pPr>
        <w:pStyle w:val="32"/>
        <w:spacing w:line="360" w:lineRule="auto"/>
        <w:ind w:firstLine="0" w:firstLineChars="0"/>
        <w:outlineLvl w:val="3"/>
        <w:rPr>
          <w:b/>
          <w:i/>
        </w:rPr>
      </w:pPr>
      <w:r>
        <w:rPr>
          <w:rFonts w:hint="eastAsia"/>
          <w:b/>
          <w:i/>
        </w:rPr>
        <w:t>条文说明</w:t>
      </w:r>
    </w:p>
    <w:p>
      <w:pPr>
        <w:pStyle w:val="32"/>
        <w:spacing w:line="360" w:lineRule="auto"/>
        <w:rPr>
          <w:bCs/>
          <w:i/>
        </w:rPr>
      </w:pPr>
      <w:r>
        <w:rPr>
          <w:rFonts w:hint="eastAsia"/>
          <w:bCs/>
          <w:i/>
        </w:rPr>
        <w:t>由于文物保护建筑及其环境所具有的历史特殊性及不可再造性，在进行无障碍设施的建设与改造中存在很多困难，为保护文物不受到破坏必须遵循一些最基本的原则。</w:t>
      </w:r>
    </w:p>
    <w:p>
      <w:pPr>
        <w:pStyle w:val="32"/>
        <w:spacing w:line="360" w:lineRule="auto"/>
        <w:rPr>
          <w:bCs/>
          <w:i/>
        </w:rPr>
      </w:pPr>
      <w:r>
        <w:rPr>
          <w:rFonts w:hint="eastAsia"/>
          <w:bCs/>
          <w:i/>
        </w:rPr>
        <w:t>第一，文物保护建筑中建设与改造的无障碍设施，应为非永久性设施，遇有特殊情况时，可以将其移开或拆除；且无障碍设施与文物建筑应采取柔性接触或保护性接触，不可直接安装固定在原有建筑物上，也不可在原有建筑物上进行打孔、锚固、胶粘等辅助安装措施，不得对文物建筑本体造成任何损坏。</w:t>
      </w:r>
    </w:p>
    <w:p>
      <w:pPr>
        <w:pStyle w:val="32"/>
        <w:spacing w:line="360" w:lineRule="auto"/>
        <w:rPr>
          <w:bCs/>
          <w:i/>
        </w:rPr>
      </w:pPr>
      <w:r>
        <w:rPr>
          <w:rFonts w:hint="eastAsia"/>
          <w:bCs/>
          <w:i/>
        </w:rPr>
        <w:t>第二，文物保护建筑中建设与改造的无障碍设施，宜采用木材、有仿古做旧涂层的金属材料、防滑橡胶地面等，在色彩和质感上与原有建筑物相协调的材料；在设计及造型上，宜采用仿古风格；且无障碍设施的体量不宜过大，以免影响古建环境氛围。</w:t>
      </w:r>
    </w:p>
    <w:p>
      <w:pPr>
        <w:pStyle w:val="32"/>
        <w:spacing w:line="360" w:lineRule="auto"/>
        <w:rPr>
          <w:bCs/>
          <w:i/>
        </w:rPr>
      </w:pPr>
      <w:r>
        <w:rPr>
          <w:rFonts w:hint="eastAsia"/>
          <w:bCs/>
          <w:i/>
        </w:rPr>
        <w:t>第三，文物保护建筑基于历史的原因，受到其原有的、已建成因素的限制，在一些地形或环境复杂的区域无法设置无障碍设施。因此，应结合无障碍游览线路的设置，优先进行通路及服务类设施的无障碍建设和改造，使行动不便的游客可以按照设定的无障碍路线到达各主要景点外围参观游览。在游览线路上的，有条件进行无障碍设施建设和改造的主要景点内部，也可以进行相应的改造，使游客可以最大限度地游览设定在游览线路上的景点。</w:t>
      </w:r>
    </w:p>
    <w:p>
      <w:pPr>
        <w:pStyle w:val="32"/>
        <w:spacing w:line="360" w:lineRule="auto"/>
        <w:rPr>
          <w:rFonts w:ascii="宋体" w:hAnsi="宋体" w:cs="宋体"/>
        </w:rPr>
      </w:pPr>
      <w:r>
        <w:rPr>
          <w:rFonts w:hint="eastAsia"/>
          <w:bCs/>
          <w:i/>
        </w:rPr>
        <w:t>第四，各地各类各级文物保护建筑，由于其客观条件各不相同，因此无法以统一的标准进行无障碍设施的建设和改造，需要根据实际情况进行相应的个性化设计。对于一些保护等级高或情况比较特殊的文物保护建筑，在对其进行无障碍设施的建设和改造时，还应在文物保护部门的主持下，请相关专家作出可行性论证并给予专业性的建议，以确保改造的成功和文物不受到破坏。</w:t>
      </w:r>
    </w:p>
    <w:p>
      <w:pPr>
        <w:pStyle w:val="32"/>
        <w:numPr>
          <w:ilvl w:val="2"/>
          <w:numId w:val="43"/>
        </w:numPr>
        <w:spacing w:line="360" w:lineRule="auto"/>
        <w:ind w:firstLineChars="0"/>
        <w:outlineLvl w:val="2"/>
        <w:rPr>
          <w:rFonts w:ascii="宋体" w:hAnsi="宋体" w:cs="宋体"/>
        </w:rPr>
      </w:pPr>
      <w:r>
        <w:rPr>
          <w:rFonts w:hint="eastAsia" w:ascii="宋体" w:hAnsi="宋体" w:cs="宋体"/>
        </w:rPr>
        <w:t>公共停车场（库）的无障碍设计应符合下列规定：</w:t>
      </w:r>
    </w:p>
    <w:p>
      <w:pPr>
        <w:pStyle w:val="32"/>
        <w:numPr>
          <w:ilvl w:val="0"/>
          <w:numId w:val="78"/>
        </w:numPr>
        <w:spacing w:line="360" w:lineRule="auto"/>
        <w:ind w:firstLine="424" w:firstLineChars="202"/>
        <w:rPr>
          <w:rFonts w:ascii="宋体" w:hAnsi="宋体" w:cs="宋体"/>
        </w:rPr>
      </w:pPr>
      <w:r>
        <w:rPr>
          <w:rFonts w:hint="eastAsia" w:ascii="宋体" w:hAnsi="宋体" w:cs="宋体"/>
        </w:rPr>
        <w:t>公共停车场(库)应设置无障碍机动车停车位，其数量应符合下列规定：停车数在50辆以下时，应设置不少于1个无障碍机动车停车位；停车数在50辆～100辆时，应设置不少于2个无障碍机动车停车位；停车数在100辆以上时，应设置不少于总停车数2%的无障碍机动车停车位；</w:t>
      </w:r>
    </w:p>
    <w:p>
      <w:pPr>
        <w:pStyle w:val="32"/>
        <w:numPr>
          <w:ilvl w:val="0"/>
          <w:numId w:val="78"/>
        </w:numPr>
        <w:spacing w:line="360" w:lineRule="auto"/>
        <w:ind w:firstLine="424" w:firstLineChars="202"/>
        <w:rPr>
          <w:rFonts w:ascii="宋体" w:hAnsi="宋体" w:cs="宋体"/>
        </w:rPr>
      </w:pPr>
      <w:r>
        <w:rPr>
          <w:rFonts w:hint="eastAsia" w:ascii="宋体" w:hAnsi="宋体" w:cs="宋体"/>
        </w:rPr>
        <w:t>多层公共停车库的无障碍机动车停车位宜设在地面层，或通过无障碍电梯、</w:t>
      </w:r>
      <w:r>
        <w:rPr>
          <w:rFonts w:ascii="宋体" w:hAnsi="宋体" w:cs="宋体"/>
        </w:rPr>
        <w:t>通道</w:t>
      </w:r>
      <w:r>
        <w:rPr>
          <w:rFonts w:hint="eastAsia" w:ascii="宋体" w:hAnsi="宋体" w:cs="宋体"/>
        </w:rPr>
        <w:t>直接通往地面层。</w:t>
      </w:r>
    </w:p>
    <w:p>
      <w:pPr>
        <w:pStyle w:val="32"/>
        <w:spacing w:line="360" w:lineRule="auto"/>
        <w:ind w:firstLine="0" w:firstLineChars="0"/>
        <w:outlineLvl w:val="3"/>
        <w:rPr>
          <w:b/>
          <w:i/>
        </w:rPr>
      </w:pPr>
      <w:r>
        <w:rPr>
          <w:rFonts w:hint="eastAsia"/>
          <w:b/>
          <w:i/>
        </w:rPr>
        <w:t>条文说明</w:t>
      </w:r>
    </w:p>
    <w:p>
      <w:pPr>
        <w:pStyle w:val="32"/>
        <w:spacing w:line="360" w:lineRule="auto"/>
        <w:outlineLvl w:val="3"/>
        <w:rPr>
          <w:rFonts w:ascii="宋体" w:hAnsi="宋体" w:cs="宋体"/>
          <w:bCs/>
        </w:rPr>
      </w:pPr>
      <w:r>
        <w:rPr>
          <w:rFonts w:hint="eastAsia"/>
          <w:bCs/>
          <w:i/>
        </w:rPr>
        <w:t xml:space="preserve">第1款 </w:t>
      </w:r>
      <w:r>
        <w:rPr>
          <w:rFonts w:hint="eastAsia" w:ascii="宋体" w:hAnsi="宋体" w:cs="宋体"/>
          <w:bCs/>
          <w:i/>
          <w:iCs/>
        </w:rPr>
        <w:t>本款涉及的公共停车场(库)是指独立建设的社会公共停车场(库)，属于城市基础设施范畴。新修订的《机动车驾驶证申领和使用规定》，实施后有越来越多的残障人士可以自行驾驶汽车走出家门，此外，还有携带乘轮椅的老人、病人、残障人士驾车出行的情况。公共停车场(库)必须安排一定数量的无障碍机动车停车位以满足各方面的需求。本标准制定的无障碍停车的数量是一个下限标准，各地方可以根据自己实际的情况进行适当地增加。</w:t>
      </w:r>
    </w:p>
    <w:p>
      <w:pPr>
        <w:pStyle w:val="32"/>
        <w:spacing w:line="360" w:lineRule="auto"/>
        <w:outlineLvl w:val="3"/>
        <w:rPr>
          <w:rFonts w:ascii="宋体" w:hAnsi="宋体" w:cs="宋体"/>
        </w:rPr>
      </w:pPr>
      <w:r>
        <w:rPr>
          <w:rFonts w:hint="eastAsia"/>
          <w:bCs/>
          <w:i/>
        </w:rPr>
        <w:t xml:space="preserve">第2款 </w:t>
      </w:r>
      <w:r>
        <w:rPr>
          <w:rFonts w:hint="eastAsia" w:ascii="宋体" w:hAnsi="宋体" w:cs="宋体"/>
          <w:bCs/>
          <w:i/>
          <w:iCs/>
        </w:rPr>
        <w:t>多层公共停车库的无障碍机动车停车位宜设在与公共交通道路同层</w:t>
      </w:r>
      <w:r>
        <w:rPr>
          <w:rFonts w:hint="eastAsia" w:ascii="宋体" w:hAnsi="宋体" w:cs="宋体"/>
          <w:i/>
          <w:iCs/>
        </w:rPr>
        <w:t>的位置，这样乘轮椅者可以方便地出入停车库。如果受条件限制不能全部设在地面层，应能通过无障碍设施直接通往地面层。</w:t>
      </w:r>
    </w:p>
    <w:p>
      <w:pPr>
        <w:pStyle w:val="32"/>
        <w:numPr>
          <w:ilvl w:val="2"/>
          <w:numId w:val="43"/>
        </w:numPr>
        <w:spacing w:line="360" w:lineRule="auto"/>
        <w:ind w:firstLineChars="0"/>
        <w:outlineLvl w:val="2"/>
        <w:rPr>
          <w:rFonts w:ascii="宋体" w:hAnsi="宋体" w:cs="宋体"/>
        </w:rPr>
      </w:pPr>
      <w:r>
        <w:rPr>
          <w:rFonts w:hint="eastAsia" w:ascii="宋体" w:hAnsi="宋体" w:cs="宋体"/>
        </w:rPr>
        <w:t>公路服务区建筑的无障碍设计应符合下列规定：</w:t>
      </w:r>
    </w:p>
    <w:p>
      <w:pPr>
        <w:pStyle w:val="32"/>
        <w:numPr>
          <w:ilvl w:val="0"/>
          <w:numId w:val="79"/>
        </w:numPr>
        <w:spacing w:line="360" w:lineRule="auto"/>
        <w:ind w:firstLine="424" w:firstLineChars="202"/>
        <w:rPr>
          <w:rFonts w:ascii="宋体" w:hAnsi="宋体" w:cs="宋体"/>
        </w:rPr>
      </w:pPr>
      <w:r>
        <w:rPr>
          <w:rFonts w:hint="eastAsia" w:ascii="宋体" w:hAnsi="宋体" w:cs="宋体"/>
        </w:rPr>
        <w:t>汽车加油站、汽车充电站和高速公路服务区建筑等均应</w:t>
      </w:r>
      <w:r>
        <w:rPr>
          <w:rFonts w:ascii="宋体" w:hAnsi="宋体" w:cs="宋体"/>
        </w:rPr>
        <w:t>进行无障碍设计</w:t>
      </w:r>
      <w:r>
        <w:rPr>
          <w:rFonts w:hint="eastAsia" w:ascii="宋体" w:hAnsi="宋体" w:cs="宋体"/>
        </w:rPr>
        <w:t>；</w:t>
      </w:r>
    </w:p>
    <w:p>
      <w:pPr>
        <w:pStyle w:val="32"/>
        <w:numPr>
          <w:ilvl w:val="0"/>
          <w:numId w:val="79"/>
        </w:numPr>
        <w:spacing w:line="360" w:lineRule="auto"/>
        <w:ind w:firstLine="424" w:firstLineChars="202"/>
        <w:rPr>
          <w:rFonts w:ascii="宋体" w:hAnsi="宋体" w:cs="宋体"/>
        </w:rPr>
      </w:pPr>
      <w:r>
        <w:rPr>
          <w:rFonts w:hint="eastAsia" w:ascii="宋体" w:hAnsi="宋体" w:cs="宋体"/>
        </w:rPr>
        <w:t>建筑物至少应有1处主要</w:t>
      </w:r>
      <w:r>
        <w:rPr>
          <w:rFonts w:ascii="宋体" w:hAnsi="宋体" w:cs="宋体"/>
        </w:rPr>
        <w:t>出入口</w:t>
      </w:r>
      <w:r>
        <w:rPr>
          <w:rFonts w:hint="eastAsia" w:ascii="宋体" w:hAnsi="宋体" w:cs="宋体"/>
        </w:rPr>
        <w:t>为无障碍出入口；</w:t>
      </w:r>
    </w:p>
    <w:p>
      <w:pPr>
        <w:pStyle w:val="32"/>
        <w:numPr>
          <w:ilvl w:val="0"/>
          <w:numId w:val="79"/>
        </w:numPr>
        <w:spacing w:line="360" w:lineRule="auto"/>
        <w:ind w:firstLine="424" w:firstLineChars="202"/>
        <w:rPr>
          <w:rFonts w:ascii="宋体" w:hAnsi="宋体" w:cs="宋体"/>
        </w:rPr>
      </w:pPr>
      <w:r>
        <w:rPr>
          <w:rFonts w:hint="eastAsia" w:ascii="宋体" w:hAnsi="宋体" w:cs="宋体"/>
        </w:rPr>
        <w:t>供公众使用的休息座椅旁应设置无障碍休息区；</w:t>
      </w:r>
    </w:p>
    <w:p>
      <w:pPr>
        <w:pStyle w:val="32"/>
        <w:numPr>
          <w:ilvl w:val="0"/>
          <w:numId w:val="79"/>
        </w:numPr>
        <w:spacing w:line="360" w:lineRule="auto"/>
        <w:ind w:firstLine="424" w:firstLineChars="202"/>
        <w:rPr>
          <w:rFonts w:ascii="宋体" w:hAnsi="宋体" w:cs="宋体"/>
        </w:rPr>
      </w:pPr>
      <w:r>
        <w:rPr>
          <w:rFonts w:hint="eastAsia" w:ascii="宋体" w:hAnsi="宋体" w:cs="宋体"/>
        </w:rPr>
        <w:t>男、女公共厕所应满足本标准第</w:t>
      </w:r>
      <w:r>
        <w:rPr>
          <w:rFonts w:ascii="宋体" w:hAnsi="宋体" w:cs="宋体"/>
        </w:rPr>
        <w:t>4.2.3</w:t>
      </w:r>
      <w:r>
        <w:rPr>
          <w:rFonts w:hint="eastAsia" w:ascii="宋体" w:hAnsi="宋体" w:cs="宋体"/>
        </w:rPr>
        <w:t>条的有关规定。</w:t>
      </w:r>
    </w:p>
    <w:p>
      <w:pPr>
        <w:pStyle w:val="32"/>
        <w:numPr>
          <w:ilvl w:val="2"/>
          <w:numId w:val="43"/>
        </w:numPr>
        <w:spacing w:line="360" w:lineRule="auto"/>
        <w:ind w:firstLineChars="0"/>
        <w:outlineLvl w:val="2"/>
        <w:rPr>
          <w:rFonts w:ascii="宋体" w:hAnsi="宋体" w:cs="宋体"/>
        </w:rPr>
      </w:pPr>
      <w:r>
        <w:rPr>
          <w:rFonts w:hint="eastAsia" w:ascii="宋体" w:hAnsi="宋体" w:cs="宋体"/>
        </w:rPr>
        <w:t>城市公共厕所的无障碍设计应符合下列规定：</w:t>
      </w:r>
    </w:p>
    <w:p>
      <w:pPr>
        <w:pStyle w:val="32"/>
        <w:numPr>
          <w:ilvl w:val="0"/>
          <w:numId w:val="80"/>
        </w:numPr>
        <w:spacing w:line="360" w:lineRule="auto"/>
        <w:ind w:firstLine="424" w:firstLineChars="202"/>
        <w:rPr>
          <w:rFonts w:ascii="宋体" w:hAnsi="宋体" w:cs="宋体"/>
        </w:rPr>
      </w:pPr>
      <w:r>
        <w:rPr>
          <w:rFonts w:hint="eastAsia" w:ascii="宋体" w:hAnsi="宋体" w:cs="宋体"/>
        </w:rPr>
        <w:t>独立式、附属式公共厕所均应进行</w:t>
      </w:r>
      <w:r>
        <w:rPr>
          <w:rFonts w:ascii="宋体" w:hAnsi="宋体" w:cs="宋体"/>
        </w:rPr>
        <w:t>无障碍设计</w:t>
      </w:r>
      <w:r>
        <w:rPr>
          <w:rFonts w:hint="eastAsia" w:ascii="宋体" w:hAnsi="宋体" w:cs="宋体"/>
        </w:rPr>
        <w:t>；</w:t>
      </w:r>
    </w:p>
    <w:p>
      <w:pPr>
        <w:pStyle w:val="32"/>
        <w:numPr>
          <w:ilvl w:val="0"/>
          <w:numId w:val="80"/>
        </w:numPr>
        <w:spacing w:line="360" w:lineRule="auto"/>
        <w:ind w:firstLine="424" w:firstLineChars="202"/>
        <w:rPr>
          <w:rFonts w:ascii="宋体" w:hAnsi="宋体" w:cs="宋体"/>
        </w:rPr>
      </w:pPr>
      <w:r>
        <w:rPr>
          <w:rFonts w:hint="eastAsia" w:ascii="宋体" w:hAnsi="宋体" w:cs="宋体"/>
        </w:rPr>
        <w:t>公共厕所外道路应与出入口无障碍通道相连接，以利于残障人士通行使用；</w:t>
      </w:r>
    </w:p>
    <w:p>
      <w:pPr>
        <w:pStyle w:val="32"/>
        <w:numPr>
          <w:ilvl w:val="0"/>
          <w:numId w:val="80"/>
        </w:numPr>
        <w:spacing w:line="360" w:lineRule="auto"/>
        <w:ind w:firstLine="424" w:firstLineChars="202"/>
        <w:rPr>
          <w:rFonts w:ascii="宋体" w:hAnsi="宋体" w:cs="宋体"/>
        </w:rPr>
      </w:pPr>
      <w:r>
        <w:rPr>
          <w:rFonts w:hint="eastAsia" w:ascii="宋体" w:hAnsi="宋体" w:cs="宋体"/>
        </w:rPr>
        <w:t>多层公共厕所中，无障碍厕位应设在地面层；</w:t>
      </w:r>
    </w:p>
    <w:p>
      <w:pPr>
        <w:pStyle w:val="32"/>
        <w:numPr>
          <w:ilvl w:val="0"/>
          <w:numId w:val="80"/>
        </w:numPr>
        <w:spacing w:line="360" w:lineRule="auto"/>
        <w:ind w:firstLine="424" w:firstLineChars="202"/>
        <w:rPr>
          <w:rFonts w:ascii="宋体" w:hAnsi="宋体" w:cs="宋体"/>
        </w:rPr>
      </w:pPr>
      <w:r>
        <w:rPr>
          <w:rFonts w:hint="eastAsia" w:ascii="宋体" w:hAnsi="宋体" w:cs="宋体"/>
        </w:rPr>
        <w:t>公共厕所外应设置轮椅等候区,结合景观设置休息椅；出入口处应设置轮椅坡道，轮椅坡道的坡面应平整、防滑、无反光，轮椅坡道处应设置无障碍标识。</w:t>
      </w:r>
    </w:p>
    <w:p>
      <w:pPr>
        <w:pStyle w:val="32"/>
        <w:numPr>
          <w:ilvl w:val="0"/>
          <w:numId w:val="80"/>
        </w:numPr>
        <w:spacing w:line="360" w:lineRule="auto"/>
        <w:ind w:firstLine="424" w:firstLineChars="202"/>
        <w:rPr>
          <w:rFonts w:ascii="宋体" w:hAnsi="宋体" w:cs="宋体"/>
        </w:rPr>
      </w:pPr>
      <w:r>
        <w:rPr>
          <w:rFonts w:hint="eastAsia" w:ascii="宋体" w:hAnsi="宋体" w:cs="宋体"/>
        </w:rPr>
        <w:t>公共厕所内应布置低位洗手盆、低位小便区（男卫），厕间通道、厕位内应考虑无障碍通道宽度和回转空间。</w:t>
      </w:r>
    </w:p>
    <w:p>
      <w:pPr>
        <w:pStyle w:val="32"/>
        <w:numPr>
          <w:ilvl w:val="0"/>
          <w:numId w:val="80"/>
        </w:numPr>
        <w:spacing w:line="360" w:lineRule="auto"/>
        <w:ind w:firstLine="424" w:firstLineChars="202"/>
        <w:rPr>
          <w:rFonts w:ascii="宋体" w:hAnsi="宋体" w:cs="宋体"/>
        </w:rPr>
      </w:pPr>
      <w:r>
        <w:rPr>
          <w:rFonts w:hint="eastAsia" w:ascii="宋体" w:hAnsi="宋体" w:cs="宋体"/>
        </w:rPr>
        <w:t>女厕所的无障碍设施包括至少1个无障碍厕位和1个无障碍洗手盆；男厕所的无障碍设施包括至少1个无障碍厕位、1个无障碍小便器和1个无障碍洗手盆；并应满足本标准第</w:t>
      </w:r>
      <w:r>
        <w:rPr>
          <w:rFonts w:ascii="宋体" w:hAnsi="宋体" w:cs="宋体"/>
        </w:rPr>
        <w:t>4.2.3</w:t>
      </w:r>
      <w:r>
        <w:rPr>
          <w:rFonts w:hint="eastAsia" w:ascii="宋体" w:hAnsi="宋体" w:cs="宋体"/>
        </w:rPr>
        <w:t>条的有关规定；</w:t>
      </w:r>
    </w:p>
    <w:p>
      <w:pPr>
        <w:pStyle w:val="32"/>
        <w:numPr>
          <w:ilvl w:val="0"/>
          <w:numId w:val="80"/>
        </w:numPr>
        <w:spacing w:line="360" w:lineRule="auto"/>
        <w:ind w:firstLine="424" w:firstLineChars="202"/>
        <w:rPr>
          <w:rFonts w:ascii="宋体" w:hAnsi="宋体" w:cs="宋体"/>
        </w:rPr>
      </w:pPr>
      <w:r>
        <w:rPr>
          <w:rFonts w:hint="eastAsia" w:ascii="宋体" w:hAnsi="宋体" w:cs="宋体"/>
        </w:rPr>
        <w:t>公共厕所内宜设置无障碍厕位，应在公共厕所旁另设1处无障碍厕所；</w:t>
      </w:r>
    </w:p>
    <w:p>
      <w:pPr>
        <w:pStyle w:val="32"/>
        <w:numPr>
          <w:ilvl w:val="0"/>
          <w:numId w:val="80"/>
        </w:numPr>
        <w:spacing w:line="360" w:lineRule="auto"/>
        <w:ind w:firstLine="424" w:firstLineChars="202"/>
        <w:rPr>
          <w:rFonts w:ascii="宋体" w:hAnsi="宋体" w:cs="宋体"/>
        </w:rPr>
      </w:pPr>
      <w:r>
        <w:rPr>
          <w:rFonts w:hint="eastAsia" w:ascii="宋体" w:hAnsi="宋体" w:cs="宋体"/>
        </w:rPr>
        <w:t>厕所内的通道应方便轮椅使用</w:t>
      </w:r>
      <w:r>
        <w:rPr>
          <w:rFonts w:ascii="宋体" w:hAnsi="宋体" w:cs="宋体"/>
        </w:rPr>
        <w:t>者</w:t>
      </w:r>
      <w:r>
        <w:rPr>
          <w:rFonts w:hint="eastAsia" w:ascii="宋体" w:hAnsi="宋体" w:cs="宋体"/>
        </w:rPr>
        <w:t>进出和回转，回转直径不小于1．50m；门应方便开启，通行净宽度不应小于800mm；</w:t>
      </w:r>
    </w:p>
    <w:p>
      <w:pPr>
        <w:pStyle w:val="32"/>
        <w:numPr>
          <w:ilvl w:val="0"/>
          <w:numId w:val="80"/>
        </w:numPr>
        <w:spacing w:line="360" w:lineRule="auto"/>
        <w:ind w:firstLine="424" w:firstLineChars="202"/>
        <w:rPr>
          <w:rFonts w:ascii="宋体" w:hAnsi="宋体" w:cs="宋体"/>
        </w:rPr>
      </w:pPr>
      <w:r>
        <w:rPr>
          <w:rFonts w:hint="eastAsia" w:ascii="宋体" w:hAnsi="宋体" w:cs="宋体"/>
        </w:rPr>
        <w:t>地面应防滑、不积水；</w:t>
      </w:r>
    </w:p>
    <w:p>
      <w:pPr>
        <w:pStyle w:val="32"/>
        <w:numPr>
          <w:ilvl w:val="0"/>
          <w:numId w:val="80"/>
        </w:numPr>
        <w:spacing w:line="360" w:lineRule="auto"/>
        <w:ind w:firstLine="424" w:firstLineChars="202"/>
        <w:rPr>
          <w:rFonts w:ascii="宋体" w:hAnsi="宋体" w:cs="宋体"/>
        </w:rPr>
      </w:pPr>
      <w:r>
        <w:rPr>
          <w:rFonts w:hint="eastAsia" w:ascii="宋体" w:hAnsi="宋体" w:cs="宋体"/>
        </w:rPr>
        <w:t>公共厕所无障碍标识包括：室外指向牌、无障碍厕位标识、无障碍设施指示牌、第三卫生间入口专用标识等。标识应设置于明显处，并标示明确。</w:t>
      </w:r>
    </w:p>
    <w:p>
      <w:pPr>
        <w:pStyle w:val="32"/>
        <w:spacing w:line="360" w:lineRule="auto"/>
        <w:ind w:firstLine="0" w:firstLineChars="0"/>
        <w:outlineLvl w:val="3"/>
        <w:rPr>
          <w:rFonts w:ascii="宋体" w:hAnsi="宋体" w:cs="宋体"/>
          <w:b/>
          <w:i/>
        </w:rPr>
      </w:pPr>
      <w:r>
        <w:rPr>
          <w:rFonts w:hint="eastAsia" w:ascii="宋体" w:hAnsi="宋体" w:cs="宋体"/>
          <w:b/>
          <w:i/>
        </w:rPr>
        <w:t>条文说明</w:t>
      </w:r>
    </w:p>
    <w:p>
      <w:pPr>
        <w:pStyle w:val="32"/>
        <w:spacing w:line="360" w:lineRule="auto"/>
        <w:ind w:firstLine="424" w:firstLineChars="202"/>
        <w:rPr>
          <w:rFonts w:ascii="宋体" w:hAnsi="宋体" w:cs="宋体"/>
          <w:i/>
          <w:iCs/>
        </w:rPr>
      </w:pPr>
      <w:r>
        <w:rPr>
          <w:rFonts w:hint="eastAsia" w:ascii="宋体" w:hAnsi="宋体" w:cs="宋体"/>
          <w:i/>
          <w:iCs/>
        </w:rPr>
        <w:t>第4款 《无障碍设计规范》（GB50763-2012）8.13.4条标明公共厕所旁宜另设1处无障碍厕所。据调查表明无障碍厕所更便于轮椅使用者使用，本设计标准提高设计要求，城市公共厕所均应设置至少1个无障碍卫生间。</w:t>
      </w:r>
    </w:p>
    <w:p>
      <w:pPr>
        <w:widowControl/>
        <w:jc w:val="left"/>
        <w:rPr>
          <w:rFonts w:hint="eastAsia"/>
          <w:bCs/>
          <w:iCs/>
        </w:rPr>
      </w:pPr>
      <w:r>
        <w:rPr>
          <w:bCs/>
          <w:iCs/>
        </w:rPr>
        <w:br w:type="page"/>
      </w:r>
    </w:p>
    <w:bookmarkEnd w:id="255"/>
    <w:bookmarkEnd w:id="256"/>
    <w:p>
      <w:pPr>
        <w:spacing w:line="360" w:lineRule="auto"/>
        <w:outlineLvl w:val="0"/>
        <w:rPr>
          <w:rFonts w:ascii="Times New Roman" w:hAnsi="Times New Roman" w:cs="Times New Roman"/>
          <w:b/>
          <w:bCs/>
          <w:sz w:val="32"/>
          <w:szCs w:val="32"/>
        </w:rPr>
      </w:pPr>
      <w:bookmarkStart w:id="292" w:name="_Toc23437792"/>
      <w:bookmarkStart w:id="293" w:name="_Toc18069968"/>
      <w:bookmarkStart w:id="294" w:name="_Toc20420208"/>
      <w:bookmarkStart w:id="295" w:name="_Toc17740014"/>
      <w:bookmarkStart w:id="296" w:name="_Toc18069302"/>
      <w:r>
        <w:rPr>
          <w:rFonts w:hint="eastAsia" w:ascii="Times New Roman" w:hAnsi="Times New Roman" w:cs="Times New Roman"/>
          <w:b/>
          <w:bCs/>
          <w:sz w:val="32"/>
          <w:szCs w:val="32"/>
        </w:rPr>
        <w:t>本标准用词说明</w:t>
      </w:r>
      <w:bookmarkEnd w:id="292"/>
      <w:bookmarkEnd w:id="293"/>
      <w:bookmarkEnd w:id="294"/>
      <w:bookmarkEnd w:id="295"/>
      <w:bookmarkEnd w:id="296"/>
    </w:p>
    <w:p>
      <w:pPr>
        <w:pStyle w:val="32"/>
        <w:numPr>
          <w:ilvl w:val="0"/>
          <w:numId w:val="81"/>
        </w:numPr>
        <w:spacing w:line="360" w:lineRule="auto"/>
        <w:ind w:firstLineChars="0"/>
        <w:rPr>
          <w:rFonts w:ascii="宋体" w:hAnsi="宋体"/>
        </w:rPr>
      </w:pPr>
      <w:r>
        <w:rPr>
          <w:rFonts w:ascii="宋体" w:hAnsi="宋体"/>
        </w:rPr>
        <w:t>为便于在执行本标准条文时区别对待，对要求严格程度不同的用词说明如下：</w:t>
      </w:r>
    </w:p>
    <w:p>
      <w:pPr>
        <w:pStyle w:val="32"/>
        <w:spacing w:line="360" w:lineRule="auto"/>
        <w:ind w:firstLine="0" w:firstLineChars="0"/>
        <w:rPr>
          <w:rFonts w:ascii="宋体" w:hAnsi="宋体"/>
        </w:rPr>
      </w:pPr>
      <w:r>
        <w:rPr>
          <w:rFonts w:ascii="宋体" w:hAnsi="宋体"/>
        </w:rPr>
        <w:t>1)表示很严格，非这样做不可的：正面词采用“必须”，反面词采用“严禁”；</w:t>
      </w:r>
    </w:p>
    <w:p>
      <w:pPr>
        <w:pStyle w:val="32"/>
        <w:spacing w:line="360" w:lineRule="auto"/>
        <w:ind w:firstLine="0" w:firstLineChars="0"/>
        <w:rPr>
          <w:rFonts w:ascii="宋体" w:hAnsi="宋体"/>
        </w:rPr>
      </w:pPr>
      <w:r>
        <w:rPr>
          <w:rFonts w:ascii="宋体" w:hAnsi="宋体"/>
        </w:rPr>
        <w:t>2)表示严格，在正常情况下均应这样做的：正面词采用“应”，反面词采用“不应”或“不得”；</w:t>
      </w:r>
    </w:p>
    <w:p>
      <w:pPr>
        <w:pStyle w:val="32"/>
        <w:spacing w:line="360" w:lineRule="auto"/>
        <w:ind w:firstLine="0" w:firstLineChars="0"/>
        <w:rPr>
          <w:rFonts w:ascii="宋体" w:hAnsi="宋体"/>
        </w:rPr>
      </w:pPr>
      <w:r>
        <w:rPr>
          <w:rFonts w:ascii="宋体" w:hAnsi="宋体"/>
        </w:rPr>
        <w:t>3)表示允许稍有选择，在条件许可时首先应这样做的：正面词采用“宜”，反面词采用“不宜”；</w:t>
      </w:r>
    </w:p>
    <w:p>
      <w:pPr>
        <w:pStyle w:val="32"/>
        <w:spacing w:line="360" w:lineRule="auto"/>
        <w:ind w:firstLine="0" w:firstLineChars="0"/>
        <w:rPr>
          <w:rFonts w:ascii="宋体" w:hAnsi="宋体"/>
        </w:rPr>
      </w:pPr>
      <w:r>
        <w:rPr>
          <w:rFonts w:ascii="宋体" w:hAnsi="宋体"/>
        </w:rPr>
        <w:t>4)表示有选择，在一定条件下可以这样做的，采用“可”。</w:t>
      </w:r>
    </w:p>
    <w:p>
      <w:pPr>
        <w:pStyle w:val="32"/>
        <w:numPr>
          <w:ilvl w:val="0"/>
          <w:numId w:val="81"/>
        </w:numPr>
        <w:spacing w:line="360" w:lineRule="auto"/>
        <w:ind w:firstLineChars="0"/>
        <w:rPr>
          <w:rFonts w:ascii="宋体" w:hAnsi="宋体"/>
        </w:rPr>
      </w:pPr>
      <w:r>
        <w:rPr>
          <w:rFonts w:ascii="宋体" w:hAnsi="宋体"/>
        </w:rPr>
        <w:t>条文中指明应按其他有关标准执行的写法为：“应符合……的规定”或“应按……执行”。</w:t>
      </w:r>
    </w:p>
    <w:p>
      <w:pPr>
        <w:widowControl/>
        <w:rPr>
          <w:rFonts w:ascii="宋体" w:hAnsi="宋体"/>
        </w:rPr>
      </w:pPr>
      <w:r>
        <w:rPr>
          <w:rFonts w:ascii="宋体" w:hAnsi="宋体"/>
        </w:rPr>
        <w:br w:type="page"/>
      </w:r>
    </w:p>
    <w:p>
      <w:pPr>
        <w:spacing w:line="360" w:lineRule="auto"/>
        <w:outlineLvl w:val="0"/>
        <w:rPr>
          <w:rFonts w:hint="eastAsia" w:ascii="Times New Roman" w:hAnsi="Times New Roman" w:cs="Times New Roman"/>
          <w:b/>
          <w:bCs/>
          <w:sz w:val="32"/>
          <w:szCs w:val="32"/>
        </w:rPr>
      </w:pPr>
      <w:bookmarkStart w:id="297" w:name="_Toc18069303"/>
      <w:bookmarkStart w:id="298" w:name="_Toc23437793"/>
      <w:bookmarkStart w:id="299" w:name="_Toc18069969"/>
      <w:bookmarkStart w:id="300" w:name="_Toc20420209"/>
      <w:bookmarkStart w:id="301" w:name="_Toc17740015"/>
      <w:r>
        <w:rPr>
          <w:rFonts w:hint="eastAsia" w:ascii="Times New Roman" w:hAnsi="Times New Roman" w:cs="Times New Roman"/>
          <w:b/>
          <w:bCs/>
          <w:sz w:val="32"/>
          <w:szCs w:val="32"/>
        </w:rPr>
        <w:t>引用标准名录</w:t>
      </w:r>
      <w:bookmarkEnd w:id="297"/>
      <w:bookmarkEnd w:id="298"/>
      <w:bookmarkEnd w:id="299"/>
      <w:bookmarkEnd w:id="300"/>
      <w:bookmarkEnd w:id="301"/>
    </w:p>
    <w:p>
      <w:pPr>
        <w:pStyle w:val="32"/>
        <w:numPr>
          <w:ilvl w:val="0"/>
          <w:numId w:val="82"/>
        </w:numPr>
        <w:spacing w:line="360" w:lineRule="auto"/>
        <w:ind w:firstLineChars="0"/>
        <w:rPr>
          <w:rFonts w:hint="eastAsia" w:ascii="宋体" w:hAnsi="宋体"/>
        </w:rPr>
      </w:pPr>
      <w:r>
        <w:rPr>
          <w:rFonts w:hint="eastAsia" w:ascii="宋体" w:hAnsi="宋体"/>
        </w:rPr>
        <w:t>《无障碍设计规范》GB50763-2012</w:t>
      </w:r>
    </w:p>
    <w:p>
      <w:pPr>
        <w:pStyle w:val="32"/>
        <w:numPr>
          <w:ilvl w:val="0"/>
          <w:numId w:val="82"/>
        </w:numPr>
        <w:spacing w:line="360" w:lineRule="auto"/>
        <w:ind w:firstLineChars="0"/>
        <w:rPr>
          <w:rFonts w:hint="eastAsia" w:ascii="宋体" w:hAnsi="宋体"/>
        </w:rPr>
      </w:pPr>
      <w:r>
        <w:rPr>
          <w:rFonts w:hint="eastAsia" w:ascii="宋体" w:hAnsi="宋体"/>
        </w:rPr>
        <w:t>《无障碍设施施工验收及维护规范》GB 50642-2011</w:t>
      </w:r>
    </w:p>
    <w:p>
      <w:pPr>
        <w:pStyle w:val="32"/>
        <w:numPr>
          <w:ilvl w:val="0"/>
          <w:numId w:val="82"/>
        </w:numPr>
        <w:spacing w:line="360" w:lineRule="auto"/>
        <w:ind w:firstLineChars="0"/>
        <w:rPr>
          <w:rFonts w:hint="eastAsia" w:ascii="宋体" w:hAnsi="宋体"/>
        </w:rPr>
      </w:pPr>
      <w:r>
        <w:rPr>
          <w:rFonts w:hint="eastAsia" w:ascii="宋体" w:hAnsi="宋体"/>
        </w:rPr>
        <w:t>《无障碍设施设计施工及验收》GB 50763-2012</w:t>
      </w:r>
    </w:p>
    <w:p>
      <w:pPr>
        <w:pStyle w:val="32"/>
        <w:numPr>
          <w:ilvl w:val="0"/>
          <w:numId w:val="82"/>
        </w:numPr>
        <w:spacing w:line="360" w:lineRule="auto"/>
        <w:ind w:firstLineChars="0"/>
        <w:rPr>
          <w:rFonts w:hint="eastAsia" w:ascii="宋体" w:hAnsi="宋体"/>
        </w:rPr>
      </w:pPr>
      <w:r>
        <w:rPr>
          <w:rFonts w:hint="eastAsia" w:ascii="宋体" w:hAnsi="宋体"/>
        </w:rPr>
        <w:t>《特殊教育学校建筑设计规范》JGJ 76-2003</w:t>
      </w:r>
    </w:p>
    <w:p>
      <w:pPr>
        <w:pStyle w:val="32"/>
        <w:numPr>
          <w:ilvl w:val="0"/>
          <w:numId w:val="82"/>
        </w:numPr>
        <w:spacing w:line="360" w:lineRule="auto"/>
        <w:ind w:firstLineChars="0"/>
        <w:rPr>
          <w:rFonts w:hint="eastAsia" w:ascii="宋体" w:hAnsi="宋体"/>
        </w:rPr>
      </w:pPr>
      <w:r>
        <w:rPr>
          <w:rFonts w:hint="eastAsia" w:ascii="宋体" w:hAnsi="宋体"/>
        </w:rPr>
        <w:t>《住宅设计规范》GB 50096-2011</w:t>
      </w:r>
    </w:p>
    <w:p>
      <w:pPr>
        <w:pStyle w:val="32"/>
        <w:numPr>
          <w:ilvl w:val="0"/>
          <w:numId w:val="82"/>
        </w:numPr>
        <w:spacing w:line="360" w:lineRule="auto"/>
        <w:ind w:firstLineChars="0"/>
        <w:rPr>
          <w:rFonts w:hint="eastAsia" w:ascii="宋体" w:hAnsi="宋体"/>
        </w:rPr>
      </w:pPr>
      <w:r>
        <w:rPr>
          <w:rFonts w:hint="eastAsia" w:ascii="宋体" w:hAnsi="宋体"/>
        </w:rPr>
        <w:t>《建筑照明设计标准》GB 50034-2013</w:t>
      </w:r>
    </w:p>
    <w:p>
      <w:pPr>
        <w:pStyle w:val="32"/>
        <w:numPr>
          <w:ilvl w:val="0"/>
          <w:numId w:val="82"/>
        </w:numPr>
        <w:spacing w:line="360" w:lineRule="auto"/>
        <w:ind w:firstLineChars="0"/>
        <w:rPr>
          <w:rFonts w:hint="eastAsia" w:ascii="宋体" w:hAnsi="宋体"/>
        </w:rPr>
      </w:pPr>
      <w:r>
        <w:rPr>
          <w:rFonts w:hint="eastAsia" w:ascii="宋体" w:hAnsi="宋体"/>
        </w:rPr>
        <w:t>《室内工作场所照明》S008/E-2001</w:t>
      </w:r>
    </w:p>
    <w:p>
      <w:pPr>
        <w:pStyle w:val="32"/>
        <w:numPr>
          <w:ilvl w:val="0"/>
          <w:numId w:val="82"/>
        </w:numPr>
        <w:spacing w:line="360" w:lineRule="auto"/>
        <w:ind w:firstLineChars="0"/>
        <w:rPr>
          <w:rFonts w:hint="eastAsia" w:ascii="宋体" w:hAnsi="宋体"/>
        </w:rPr>
      </w:pPr>
      <w:r>
        <w:rPr>
          <w:rFonts w:hint="eastAsia" w:ascii="宋体" w:hAnsi="宋体"/>
        </w:rPr>
        <w:t>《城市公共厕所设计标准》CJJ 14-2016</w:t>
      </w:r>
    </w:p>
    <w:p>
      <w:pPr>
        <w:pStyle w:val="32"/>
        <w:numPr>
          <w:ilvl w:val="0"/>
          <w:numId w:val="82"/>
        </w:numPr>
        <w:spacing w:line="360" w:lineRule="auto"/>
        <w:ind w:firstLineChars="0"/>
        <w:rPr>
          <w:rFonts w:hint="eastAsia" w:ascii="宋体" w:hAnsi="宋体"/>
        </w:rPr>
      </w:pPr>
      <w:r>
        <w:rPr>
          <w:rFonts w:hint="eastAsia" w:ascii="宋体" w:hAnsi="宋体"/>
        </w:rPr>
        <w:t>《深圳市公共场所母婴室设计规程》SJG54-2019</w:t>
      </w:r>
    </w:p>
    <w:p>
      <w:pPr>
        <w:pStyle w:val="32"/>
        <w:numPr>
          <w:ilvl w:val="0"/>
          <w:numId w:val="82"/>
        </w:numPr>
        <w:spacing w:line="360" w:lineRule="auto"/>
        <w:ind w:firstLineChars="0"/>
        <w:rPr>
          <w:rFonts w:hint="eastAsia" w:ascii="宋体" w:hAnsi="宋体"/>
        </w:rPr>
      </w:pPr>
      <w:r>
        <w:rPr>
          <w:rFonts w:hint="eastAsia" w:ascii="宋体" w:hAnsi="宋体"/>
        </w:rPr>
        <w:t>《城市绿地分类标准》CJJ/T 85-2017</w:t>
      </w:r>
    </w:p>
    <w:p>
      <w:pPr>
        <w:pStyle w:val="32"/>
        <w:numPr>
          <w:ilvl w:val="0"/>
          <w:numId w:val="82"/>
        </w:numPr>
        <w:spacing w:line="360" w:lineRule="auto"/>
        <w:ind w:firstLineChars="0"/>
        <w:rPr>
          <w:rFonts w:hint="eastAsia" w:ascii="宋体" w:hAnsi="宋体"/>
        </w:rPr>
      </w:pPr>
      <w:r>
        <w:rPr>
          <w:rFonts w:hint="eastAsia" w:ascii="宋体" w:hAnsi="宋体"/>
        </w:rPr>
        <w:t>《城市绿地设计规范》GB 50420—2007</w:t>
      </w:r>
    </w:p>
    <w:p>
      <w:pPr>
        <w:pStyle w:val="32"/>
        <w:numPr>
          <w:ilvl w:val="0"/>
          <w:numId w:val="82"/>
        </w:numPr>
        <w:spacing w:line="360" w:lineRule="auto"/>
        <w:ind w:firstLineChars="0"/>
        <w:rPr>
          <w:rFonts w:hint="eastAsia" w:ascii="宋体" w:hAnsi="宋体"/>
        </w:rPr>
      </w:pPr>
      <w:r>
        <w:rPr>
          <w:rFonts w:hint="eastAsia" w:ascii="宋体" w:hAnsi="宋体"/>
        </w:rPr>
        <w:t>《城市道路工程设计规范》CJJ 37-2012（2016版）</w:t>
      </w:r>
    </w:p>
    <w:p>
      <w:pPr>
        <w:pStyle w:val="32"/>
        <w:numPr>
          <w:ilvl w:val="0"/>
          <w:numId w:val="82"/>
        </w:numPr>
        <w:spacing w:line="360" w:lineRule="auto"/>
        <w:ind w:firstLineChars="0"/>
        <w:rPr>
          <w:rFonts w:hint="eastAsia" w:ascii="宋体" w:hAnsi="宋体"/>
        </w:rPr>
      </w:pPr>
      <w:r>
        <w:rPr>
          <w:rFonts w:hint="eastAsia" w:ascii="宋体" w:hAnsi="宋体"/>
        </w:rPr>
        <w:t>《公共建筑标识系统技术规范》GB T51223-2017</w:t>
      </w:r>
    </w:p>
    <w:p>
      <w:pPr>
        <w:pStyle w:val="32"/>
        <w:numPr>
          <w:ilvl w:val="0"/>
          <w:numId w:val="82"/>
        </w:numPr>
        <w:spacing w:line="360" w:lineRule="auto"/>
        <w:ind w:firstLineChars="0"/>
        <w:rPr>
          <w:rFonts w:hint="eastAsia" w:ascii="宋体" w:hAnsi="宋体"/>
        </w:rPr>
      </w:pPr>
      <w:r>
        <w:rPr>
          <w:rFonts w:hint="eastAsia" w:ascii="宋体" w:hAnsi="宋体"/>
        </w:rPr>
        <w:t>《澳门特区无障碍通用设计建筑指引》 2017</w:t>
      </w:r>
    </w:p>
    <w:p>
      <w:pPr>
        <w:pStyle w:val="32"/>
        <w:numPr>
          <w:ilvl w:val="0"/>
          <w:numId w:val="82"/>
        </w:numPr>
        <w:spacing w:line="360" w:lineRule="auto"/>
        <w:ind w:firstLineChars="0"/>
        <w:rPr>
          <w:rFonts w:hint="eastAsia" w:ascii="宋体" w:hAnsi="宋体"/>
        </w:rPr>
      </w:pPr>
      <w:r>
        <w:rPr>
          <w:rFonts w:hint="eastAsia" w:ascii="宋体" w:hAnsi="宋体"/>
        </w:rPr>
        <w:t>《设计手册-畅通无阻的通道》 2008</w:t>
      </w:r>
    </w:p>
    <w:p>
      <w:pPr>
        <w:pStyle w:val="32"/>
        <w:numPr>
          <w:ilvl w:val="0"/>
          <w:numId w:val="82"/>
        </w:numPr>
        <w:spacing w:line="360" w:lineRule="auto"/>
        <w:ind w:firstLineChars="0"/>
        <w:rPr>
          <w:rFonts w:hint="eastAsia" w:ascii="宋体" w:hAnsi="宋体"/>
        </w:rPr>
      </w:pPr>
      <w:r>
        <w:rPr>
          <w:rFonts w:hint="eastAsia" w:ascii="宋体" w:hAnsi="宋体"/>
        </w:rPr>
        <w:t>《Building for Everyone: A Universal Design Approach》 Ireland,2002</w:t>
      </w:r>
    </w:p>
    <w:p>
      <w:pPr>
        <w:pStyle w:val="32"/>
        <w:numPr>
          <w:ilvl w:val="0"/>
          <w:numId w:val="82"/>
        </w:numPr>
        <w:spacing w:line="360" w:lineRule="auto"/>
        <w:ind w:firstLineChars="0"/>
        <w:rPr>
          <w:rFonts w:hint="eastAsia" w:ascii="宋体" w:hAnsi="宋体"/>
        </w:rPr>
      </w:pPr>
      <w:r>
        <w:rPr>
          <w:rFonts w:hint="eastAsia" w:ascii="宋体" w:hAnsi="宋体"/>
        </w:rPr>
        <w:t>《综合医院建筑设计规范》GB 51039-2014</w:t>
      </w:r>
    </w:p>
    <w:p>
      <w:pPr>
        <w:pStyle w:val="32"/>
        <w:numPr>
          <w:ilvl w:val="0"/>
          <w:numId w:val="82"/>
        </w:numPr>
        <w:spacing w:line="360" w:lineRule="auto"/>
        <w:ind w:firstLineChars="0"/>
        <w:rPr>
          <w:rFonts w:hint="eastAsia" w:ascii="宋体" w:hAnsi="宋体"/>
        </w:rPr>
      </w:pPr>
      <w:r>
        <w:rPr>
          <w:rFonts w:hint="eastAsia" w:ascii="宋体" w:hAnsi="宋体"/>
        </w:rPr>
        <w:t>《老年人建筑设计规范》JGJ 122-99</w:t>
      </w:r>
    </w:p>
    <w:p>
      <w:pPr>
        <w:pStyle w:val="32"/>
        <w:numPr>
          <w:ilvl w:val="0"/>
          <w:numId w:val="82"/>
        </w:numPr>
        <w:spacing w:line="360" w:lineRule="auto"/>
        <w:ind w:firstLineChars="0"/>
        <w:rPr>
          <w:rFonts w:hint="eastAsia" w:ascii="宋体" w:hAnsi="宋体"/>
        </w:rPr>
      </w:pPr>
      <w:r>
        <w:rPr>
          <w:rFonts w:hint="eastAsia" w:ascii="宋体" w:hAnsi="宋体"/>
        </w:rPr>
        <w:t>《老年人照料设施建筑设计标准》JGJ 450-2018</w:t>
      </w:r>
    </w:p>
    <w:p>
      <w:pPr>
        <w:pStyle w:val="32"/>
        <w:numPr>
          <w:ilvl w:val="0"/>
          <w:numId w:val="82"/>
        </w:numPr>
        <w:spacing w:line="360" w:lineRule="auto"/>
        <w:ind w:firstLineChars="0"/>
        <w:rPr>
          <w:rFonts w:hint="eastAsia" w:ascii="宋体" w:hAnsi="宋体"/>
        </w:rPr>
      </w:pPr>
      <w:r>
        <w:rPr>
          <w:rFonts w:hint="eastAsia" w:ascii="宋体" w:hAnsi="宋体"/>
        </w:rPr>
        <w:t>《社区老年人日间照料中心建设标准》建标143-2010</w:t>
      </w:r>
    </w:p>
    <w:p>
      <w:pPr>
        <w:pStyle w:val="32"/>
        <w:numPr>
          <w:ilvl w:val="0"/>
          <w:numId w:val="82"/>
        </w:numPr>
        <w:spacing w:line="360" w:lineRule="auto"/>
        <w:ind w:firstLineChars="0"/>
        <w:rPr>
          <w:rFonts w:hint="eastAsia" w:ascii="宋体" w:hAnsi="宋体"/>
        </w:rPr>
      </w:pPr>
      <w:r>
        <w:rPr>
          <w:rFonts w:hint="eastAsia" w:ascii="宋体" w:hAnsi="宋体"/>
        </w:rPr>
        <w:t>《老年养护院建设标准》建标144-2010</w:t>
      </w:r>
    </w:p>
    <w:p>
      <w:pPr>
        <w:pStyle w:val="32"/>
        <w:numPr>
          <w:ilvl w:val="0"/>
          <w:numId w:val="82"/>
        </w:numPr>
        <w:spacing w:line="360" w:lineRule="auto"/>
        <w:ind w:firstLineChars="0"/>
        <w:rPr>
          <w:rFonts w:hint="eastAsia" w:ascii="宋体" w:hAnsi="宋体"/>
        </w:rPr>
      </w:pPr>
      <w:r>
        <w:rPr>
          <w:rFonts w:hint="eastAsia" w:ascii="宋体" w:hAnsi="宋体"/>
        </w:rPr>
        <w:t>《儿童福利院建设标准》建标145-2010</w:t>
      </w:r>
    </w:p>
    <w:sectPr>
      <w:footerReference r:id="rId4" w:type="default"/>
      <w:footerReference r:id="rId5" w:type="even"/>
      <w:pgSz w:w="11906" w:h="16838"/>
      <w:pgMar w:top="1559" w:right="1134" w:bottom="1418"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仿宋_GB2312"/>
    <w:panose1 w:val="00000000000000000000"/>
    <w:charset w:val="86"/>
    <w:family w:val="auto"/>
    <w:pitch w:val="default"/>
    <w:sig w:usb0="00000000" w:usb1="00000000" w:usb2="00000016" w:usb3="00000000" w:csb0="0004000F" w:csb1="00000000"/>
  </w:font>
  <w:font w:name="黑体e眠副浡渀.">
    <w:altName w:val="黑体"/>
    <w:panose1 w:val="00000000000000000000"/>
    <w:charset w:val="86"/>
    <w:family w:val="auto"/>
    <w:pitch w:val="default"/>
    <w:sig w:usb0="00000000" w:usb1="00000000" w:usb2="0000001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华文中宋">
    <w:altName w:val="汉仪中宋简"/>
    <w:panose1 w:val="02010600040101010101"/>
    <w:charset w:val="86"/>
    <w:family w:val="auto"/>
    <w:pitch w:val="default"/>
    <w:sig w:usb0="00000000" w:usb1="00000000" w:usb2="00000010" w:usb3="00000000" w:csb0="0004009F" w:csb1="00000000"/>
  </w:font>
  <w:font w:name="等线">
    <w:altName w:val="仿宋_GB2312"/>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760816"/>
    </w:sdtPr>
    <w:sdtContent>
      <w:p>
        <w:pPr>
          <w:pStyle w:val="10"/>
          <w:jc w:val="center"/>
        </w:pPr>
        <w:r>
          <w:fldChar w:fldCharType="begin"/>
        </w:r>
        <w:r>
          <w:instrText xml:space="preserve">PAGE   \* MERGEFORMAT</w:instrText>
        </w:r>
        <w:r>
          <w:fldChar w:fldCharType="separate"/>
        </w:r>
        <w:r>
          <w:rPr>
            <w:lang w:val="zh-CN"/>
          </w:rPr>
          <w:t>5</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623071"/>
    </w:sdtPr>
    <w:sdtContent>
      <w:p>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0"/>
      <w:ind w:right="7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3DD7B"/>
    <w:multiLevelType w:val="multilevel"/>
    <w:tmpl w:val="8B33DD7B"/>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
    <w:nsid w:val="8BF4B3F8"/>
    <w:multiLevelType w:val="multilevel"/>
    <w:tmpl w:val="8BF4B3F8"/>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
    <w:nsid w:val="8E307442"/>
    <w:multiLevelType w:val="multilevel"/>
    <w:tmpl w:val="8E307442"/>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
    <w:nsid w:val="8F37D351"/>
    <w:multiLevelType w:val="multilevel"/>
    <w:tmpl w:val="8F37D351"/>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
    <w:nsid w:val="9129AFE6"/>
    <w:multiLevelType w:val="multilevel"/>
    <w:tmpl w:val="9129AFE6"/>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
    <w:nsid w:val="98549E79"/>
    <w:multiLevelType w:val="multilevel"/>
    <w:tmpl w:val="98549E79"/>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
    <w:nsid w:val="99FEA4BF"/>
    <w:multiLevelType w:val="multilevel"/>
    <w:tmpl w:val="99FEA4BF"/>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
    <w:nsid w:val="A554E480"/>
    <w:multiLevelType w:val="multilevel"/>
    <w:tmpl w:val="A554E480"/>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8">
    <w:nsid w:val="AD03EB28"/>
    <w:multiLevelType w:val="multilevel"/>
    <w:tmpl w:val="AD03EB28"/>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9">
    <w:nsid w:val="B2C7D06A"/>
    <w:multiLevelType w:val="multilevel"/>
    <w:tmpl w:val="B2C7D06A"/>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0">
    <w:nsid w:val="B6EB5F10"/>
    <w:multiLevelType w:val="multilevel"/>
    <w:tmpl w:val="B6EB5F10"/>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1">
    <w:nsid w:val="B7E47009"/>
    <w:multiLevelType w:val="multilevel"/>
    <w:tmpl w:val="B7E47009"/>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2">
    <w:nsid w:val="CB1089B7"/>
    <w:multiLevelType w:val="multilevel"/>
    <w:tmpl w:val="CB1089B7"/>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3">
    <w:nsid w:val="E2A94701"/>
    <w:multiLevelType w:val="multilevel"/>
    <w:tmpl w:val="E2A94701"/>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4">
    <w:nsid w:val="EDE90D5E"/>
    <w:multiLevelType w:val="multilevel"/>
    <w:tmpl w:val="EDE90D5E"/>
    <w:lvl w:ilvl="0" w:tentative="0">
      <w:start w:val="4"/>
      <w:numFmt w:val="decimal"/>
      <w:lvlText w:val="%1"/>
      <w:lvlJc w:val="left"/>
      <w:pPr>
        <w:ind w:left="0" w:firstLine="0"/>
      </w:pPr>
      <w:rPr>
        <w:rFonts w:hint="default" w:ascii="宋体" w:hAnsi="宋体" w:eastAsia="宋体" w:cs="宋体"/>
        <w:b/>
        <w:i w:val="0"/>
      </w:rPr>
    </w:lvl>
    <w:lvl w:ilvl="1" w:tentative="0">
      <w:start w:val="3"/>
      <w:numFmt w:val="decimal"/>
      <w:lvlRestart w:val="0"/>
      <w:lvlText w:val="%1.%2"/>
      <w:lvlJc w:val="left"/>
      <w:pPr>
        <w:ind w:left="0" w:firstLine="0"/>
      </w:pPr>
      <w:rPr>
        <w:rFonts w:hint="default" w:ascii="宋体" w:hAnsi="宋体" w:eastAsia="宋体" w:cs="宋体"/>
        <w:b/>
        <w:i w:val="0"/>
      </w:rPr>
    </w:lvl>
    <w:lvl w:ilvl="2" w:tentative="0">
      <w:start w:val="3"/>
      <w:numFmt w:val="decimal"/>
      <w:lvlText w:val="%1.%2.%3"/>
      <w:lvlJc w:val="left"/>
      <w:pPr>
        <w:ind w:left="0" w:firstLine="0"/>
      </w:pPr>
      <w:rPr>
        <w:rFonts w:hint="default" w:ascii="宋体" w:hAnsi="宋体" w:eastAsia="宋体" w:cs="宋体"/>
        <w:b/>
        <w:bCs w:val="0"/>
        <w:i w:val="0"/>
        <w:color w:val="auto"/>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5">
    <w:nsid w:val="01DE4B2A"/>
    <w:multiLevelType w:val="multilevel"/>
    <w:tmpl w:val="01DE4B2A"/>
    <w:lvl w:ilvl="0" w:tentative="0">
      <w:start w:val="1"/>
      <w:numFmt w:val="decimal"/>
      <w:lvlText w:val="%1"/>
      <w:lvlJc w:val="left"/>
      <w:pPr>
        <w:ind w:left="0" w:firstLine="0"/>
      </w:pPr>
      <w:rPr>
        <w:rFonts w:hint="eastAsia"/>
        <w:b/>
        <w:bCs w:val="0"/>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6">
    <w:nsid w:val="03822EC9"/>
    <w:multiLevelType w:val="multilevel"/>
    <w:tmpl w:val="03822EC9"/>
    <w:lvl w:ilvl="0" w:tentative="0">
      <w:start w:val="1"/>
      <w:numFmt w:val="decimal"/>
      <w:lvlText w:val="%1"/>
      <w:lvlJc w:val="left"/>
      <w:pPr>
        <w:ind w:left="0" w:firstLine="0"/>
      </w:pPr>
      <w:rPr>
        <w:rFonts w:hint="eastAsia"/>
        <w:b/>
        <w:i w:val="0"/>
      </w:rPr>
    </w:lvl>
    <w:lvl w:ilvl="1" w:tentative="0">
      <w:start w:val="0"/>
      <w:numFmt w:val="decimal"/>
      <w:lvlText w:val="%1.%2"/>
      <w:lvlJc w:val="left"/>
      <w:pPr>
        <w:ind w:left="0" w:firstLine="0"/>
      </w:pPr>
      <w:rPr>
        <w:rFonts w:hint="eastAsia"/>
        <w:b/>
        <w:i w:val="0"/>
        <w:color w:val="auto"/>
      </w:rPr>
    </w:lvl>
    <w:lvl w:ilvl="2" w:tentative="0">
      <w:start w:val="1"/>
      <w:numFmt w:val="decimal"/>
      <w:lvlText w:val="%1.%2.%3"/>
      <w:lvlJc w:val="left"/>
      <w:pPr>
        <w:ind w:left="0" w:firstLine="0"/>
      </w:pPr>
      <w:rPr>
        <w:rFonts w:hint="eastAsia" w:asciiTheme="minorEastAsia" w:hAnsiTheme="minorEastAsia" w:eastAsiaTheme="minorEastAsia"/>
        <w:b/>
        <w:bCs w:val="0"/>
        <w:i w:val="0"/>
        <w:color w:val="auto"/>
        <w:sz w:val="21"/>
        <w:szCs w:val="21"/>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7">
    <w:nsid w:val="05931016"/>
    <w:multiLevelType w:val="multilevel"/>
    <w:tmpl w:val="05931016"/>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8">
    <w:nsid w:val="059C606A"/>
    <w:multiLevelType w:val="multilevel"/>
    <w:tmpl w:val="059C606A"/>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19">
    <w:nsid w:val="0610476D"/>
    <w:multiLevelType w:val="multilevel"/>
    <w:tmpl w:val="0610476D"/>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0">
    <w:nsid w:val="07114094"/>
    <w:multiLevelType w:val="multilevel"/>
    <w:tmpl w:val="07114094"/>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1">
    <w:nsid w:val="083A3C25"/>
    <w:multiLevelType w:val="multilevel"/>
    <w:tmpl w:val="083A3C25"/>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2">
    <w:nsid w:val="08C0CAA9"/>
    <w:multiLevelType w:val="multilevel"/>
    <w:tmpl w:val="08C0CAA9"/>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3">
    <w:nsid w:val="08FA177D"/>
    <w:multiLevelType w:val="multilevel"/>
    <w:tmpl w:val="08FA177D"/>
    <w:lvl w:ilvl="0" w:tentative="0">
      <w:start w:val="5"/>
      <w:numFmt w:val="decimal"/>
      <w:lvlText w:val="%1"/>
      <w:lvlJc w:val="left"/>
      <w:pPr>
        <w:ind w:left="0" w:firstLine="0"/>
      </w:pPr>
      <w:rPr>
        <w:rFonts w:hint="default" w:ascii="宋体" w:hAnsi="宋体" w:eastAsia="宋体" w:cs="宋体"/>
        <w:b/>
        <w:i w:val="0"/>
      </w:rPr>
    </w:lvl>
    <w:lvl w:ilvl="1" w:tentative="0">
      <w:start w:val="0"/>
      <w:numFmt w:val="decimal"/>
      <w:lvlRestart w:val="0"/>
      <w:lvlText w:val="%1.%2"/>
      <w:lvlJc w:val="left"/>
      <w:pPr>
        <w:ind w:left="0" w:firstLine="0"/>
      </w:pPr>
      <w:rPr>
        <w:rFonts w:hint="default" w:ascii="宋体" w:hAnsi="宋体" w:eastAsia="宋体" w:cs="宋体"/>
        <w:b/>
        <w:i w:val="0"/>
      </w:rPr>
    </w:lvl>
    <w:lvl w:ilvl="2" w:tentative="0">
      <w:start w:val="1"/>
      <w:numFmt w:val="decimal"/>
      <w:lvlText w:val="%1.%2.%3"/>
      <w:lvlJc w:val="left"/>
      <w:pPr>
        <w:ind w:left="0" w:firstLine="0"/>
      </w:pPr>
      <w:rPr>
        <w:rFonts w:hint="default"/>
        <w:b/>
        <w:bCs w:val="0"/>
        <w:i w:val="0"/>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4">
    <w:nsid w:val="0AC714A9"/>
    <w:multiLevelType w:val="multilevel"/>
    <w:tmpl w:val="0AC714A9"/>
    <w:lvl w:ilvl="0" w:tentative="0">
      <w:start w:val="3"/>
      <w:numFmt w:val="decimal"/>
      <w:lvlText w:val="%1"/>
      <w:lvlJc w:val="left"/>
      <w:pPr>
        <w:ind w:left="0" w:firstLine="0"/>
      </w:pPr>
      <w:rPr>
        <w:rFonts w:hint="eastAsia"/>
        <w:b/>
        <w:i w:val="0"/>
      </w:rPr>
    </w:lvl>
    <w:lvl w:ilvl="1" w:tentative="0">
      <w:start w:val="2"/>
      <w:numFmt w:val="decimal"/>
      <w:lvlText w:val="%1.%2"/>
      <w:lvlJc w:val="left"/>
      <w:pPr>
        <w:ind w:left="0" w:firstLine="0"/>
      </w:pPr>
      <w:rPr>
        <w:rFonts w:hint="eastAsia"/>
        <w:b/>
        <w:i w:val="0"/>
        <w:color w:val="auto"/>
      </w:rPr>
    </w:lvl>
    <w:lvl w:ilvl="2" w:tentative="0">
      <w:start w:val="1"/>
      <w:numFmt w:val="decimal"/>
      <w:lvlText w:val="%1.%2.%3"/>
      <w:lvlJc w:val="left"/>
      <w:pPr>
        <w:ind w:left="0" w:firstLine="0"/>
      </w:pPr>
      <w:rPr>
        <w:rFonts w:hint="eastAsia" w:eastAsia="宋体" w:asciiTheme="minorEastAsia" w:hAnsiTheme="minorEastAsia"/>
        <w:b/>
        <w:bCs w:val="0"/>
        <w:i w:val="0"/>
        <w:color w:val="auto"/>
        <w:sz w:val="21"/>
        <w:szCs w:val="21"/>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5">
    <w:nsid w:val="0BE87496"/>
    <w:multiLevelType w:val="multilevel"/>
    <w:tmpl w:val="0BE87496"/>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6">
    <w:nsid w:val="0CAD4149"/>
    <w:multiLevelType w:val="multilevel"/>
    <w:tmpl w:val="0CAD4149"/>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7">
    <w:nsid w:val="0D5E6B66"/>
    <w:multiLevelType w:val="multilevel"/>
    <w:tmpl w:val="0D5E6B66"/>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8">
    <w:nsid w:val="11257837"/>
    <w:multiLevelType w:val="multilevel"/>
    <w:tmpl w:val="11257837"/>
    <w:lvl w:ilvl="0" w:tentative="0">
      <w:start w:val="3"/>
      <w:numFmt w:val="decimal"/>
      <w:lvlText w:val="%1"/>
      <w:lvlJc w:val="left"/>
      <w:pPr>
        <w:ind w:left="0" w:firstLine="0"/>
      </w:pPr>
      <w:rPr>
        <w:rFonts w:hint="eastAsia"/>
        <w:b/>
        <w:i w:val="0"/>
      </w:rPr>
    </w:lvl>
    <w:lvl w:ilvl="1" w:tentative="0">
      <w:start w:val="0"/>
      <w:numFmt w:val="decimal"/>
      <w:lvlText w:val="%1.%2"/>
      <w:lvlJc w:val="left"/>
      <w:pPr>
        <w:ind w:left="0" w:firstLine="0"/>
      </w:pPr>
      <w:rPr>
        <w:rFonts w:hint="eastAsia"/>
        <w:b/>
        <w:i w:val="0"/>
        <w:color w:val="auto"/>
      </w:rPr>
    </w:lvl>
    <w:lvl w:ilvl="2" w:tentative="0">
      <w:start w:val="1"/>
      <w:numFmt w:val="decimal"/>
      <w:lvlText w:val="%1.%2.%3"/>
      <w:lvlJc w:val="left"/>
      <w:pPr>
        <w:ind w:left="0" w:firstLine="0"/>
      </w:pPr>
      <w:rPr>
        <w:rFonts w:hint="eastAsia" w:eastAsia="宋体" w:asciiTheme="minorEastAsia" w:hAnsiTheme="minorEastAsia"/>
        <w:b/>
        <w:bCs w:val="0"/>
        <w:i w:val="0"/>
        <w:color w:val="auto"/>
        <w:sz w:val="21"/>
        <w:szCs w:val="21"/>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29">
    <w:nsid w:val="178B6142"/>
    <w:multiLevelType w:val="multilevel"/>
    <w:tmpl w:val="178B6142"/>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0">
    <w:nsid w:val="17C2F8F9"/>
    <w:multiLevelType w:val="multilevel"/>
    <w:tmpl w:val="17C2F8F9"/>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1">
    <w:nsid w:val="1E87EE11"/>
    <w:multiLevelType w:val="multilevel"/>
    <w:tmpl w:val="1E87EE11"/>
    <w:lvl w:ilvl="0" w:tentative="0">
      <w:start w:val="1"/>
      <w:numFmt w:val="decimal"/>
      <w:lvlText w:val="%1"/>
      <w:lvlJc w:val="left"/>
      <w:pPr>
        <w:ind w:left="0" w:firstLine="0"/>
      </w:pPr>
      <w:rPr>
        <w:b/>
        <w:color w:val="auto"/>
      </w:rPr>
    </w:lvl>
    <w:lvl w:ilvl="1" w:tentative="0">
      <w:start w:val="1"/>
      <w:numFmt w:val="decimal"/>
      <w:lvlText w:val="%1.%2"/>
      <w:lvlJc w:val="left"/>
      <w:pPr>
        <w:ind w:left="0" w:firstLine="0"/>
      </w:pPr>
      <w:rPr>
        <w:b/>
      </w:rPr>
    </w:lvl>
    <w:lvl w:ilvl="2" w:tentative="0">
      <w:start w:val="1"/>
      <w:numFmt w:val="decimal"/>
      <w:lvlText w:val="%1.%2.%3"/>
      <w:lvlJc w:val="left"/>
      <w:pPr>
        <w:ind w:left="0" w:firstLine="0"/>
      </w:pPr>
      <w:rPr>
        <w:b/>
        <w:bCs w:val="0"/>
      </w:rPr>
    </w:lvl>
    <w:lvl w:ilvl="3" w:tentative="0">
      <w:start w:val="1"/>
      <w:numFmt w:val="decimal"/>
      <w:lvlText w:val="%1 "/>
      <w:lvlJc w:val="left"/>
      <w:pPr>
        <w:ind w:left="0" w:firstLine="0"/>
      </w:pPr>
      <w:rPr>
        <w:b/>
      </w:rPr>
    </w:lvl>
    <w:lvl w:ilvl="4" w:tentative="0">
      <w:start w:val="1"/>
      <w:numFmt w:val="decimal"/>
      <w:lvlText w:val="%1.%2.%3.%4.%5"/>
      <w:lvlJc w:val="left"/>
      <w:pPr>
        <w:ind w:left="0" w:firstLine="0"/>
      </w:pPr>
      <w:rPr>
        <w:b/>
      </w:rPr>
    </w:lvl>
    <w:lvl w:ilvl="5" w:tentative="0">
      <w:start w:val="1"/>
      <w:numFmt w:val="decimal"/>
      <w:lvlText w:val="%1.%2.%3.%4.%5.%6"/>
      <w:lvlJc w:val="left"/>
      <w:pPr>
        <w:ind w:left="0" w:firstLine="0"/>
      </w:pPr>
      <w:rPr>
        <w:b/>
      </w:rPr>
    </w:lvl>
    <w:lvl w:ilvl="6" w:tentative="0">
      <w:start w:val="1"/>
      <w:numFmt w:val="decimal"/>
      <w:lvlText w:val="%1.%2.%3.%4.%5.%6.%7"/>
      <w:lvlJc w:val="left"/>
      <w:pPr>
        <w:ind w:left="0" w:firstLine="0"/>
      </w:pPr>
      <w:rPr>
        <w:b/>
      </w:rPr>
    </w:lvl>
    <w:lvl w:ilvl="7" w:tentative="0">
      <w:start w:val="1"/>
      <w:numFmt w:val="decimal"/>
      <w:lvlText w:val="%1.%2.%3.%4.%5.%6.%7.%8"/>
      <w:lvlJc w:val="left"/>
      <w:pPr>
        <w:ind w:left="0" w:firstLine="0"/>
      </w:pPr>
      <w:rPr>
        <w:b/>
      </w:rPr>
    </w:lvl>
    <w:lvl w:ilvl="8" w:tentative="0">
      <w:start w:val="1"/>
      <w:numFmt w:val="decimal"/>
      <w:lvlText w:val="%1.%2.%3.%4.%5.%6.%7.%8.%9"/>
      <w:lvlJc w:val="left"/>
      <w:pPr>
        <w:ind w:left="0" w:firstLine="0"/>
      </w:pPr>
      <w:rPr>
        <w:b/>
      </w:rPr>
    </w:lvl>
  </w:abstractNum>
  <w:abstractNum w:abstractNumId="32">
    <w:nsid w:val="21462C10"/>
    <w:multiLevelType w:val="multilevel"/>
    <w:tmpl w:val="21462C10"/>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3">
    <w:nsid w:val="2190538F"/>
    <w:multiLevelType w:val="multilevel"/>
    <w:tmpl w:val="2190538F"/>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4">
    <w:nsid w:val="22275A48"/>
    <w:multiLevelType w:val="multilevel"/>
    <w:tmpl w:val="22275A48"/>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5">
    <w:nsid w:val="26A54CCE"/>
    <w:multiLevelType w:val="multilevel"/>
    <w:tmpl w:val="26A54CCE"/>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6">
    <w:nsid w:val="2A37F5D1"/>
    <w:multiLevelType w:val="multilevel"/>
    <w:tmpl w:val="2A37F5D1"/>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7">
    <w:nsid w:val="2CFA216D"/>
    <w:multiLevelType w:val="multilevel"/>
    <w:tmpl w:val="2CFA216D"/>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8">
    <w:nsid w:val="2DAD0396"/>
    <w:multiLevelType w:val="multilevel"/>
    <w:tmpl w:val="2DAD0396"/>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39">
    <w:nsid w:val="2F4C42EB"/>
    <w:multiLevelType w:val="multilevel"/>
    <w:tmpl w:val="2F4C42EB"/>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0">
    <w:nsid w:val="2F981056"/>
    <w:multiLevelType w:val="multilevel"/>
    <w:tmpl w:val="2F981056"/>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1">
    <w:nsid w:val="32B5175F"/>
    <w:multiLevelType w:val="multilevel"/>
    <w:tmpl w:val="32B5175F"/>
    <w:lvl w:ilvl="0" w:tentative="0">
      <w:start w:val="4"/>
      <w:numFmt w:val="decimal"/>
      <w:lvlText w:val="%1"/>
      <w:lvlJc w:val="left"/>
      <w:pPr>
        <w:ind w:left="0" w:firstLine="0"/>
      </w:pPr>
      <w:rPr>
        <w:rFonts w:hint="default" w:ascii="宋体" w:hAnsi="宋体" w:eastAsia="宋体" w:cs="宋体"/>
        <w:b/>
        <w:i w:val="0"/>
      </w:rPr>
    </w:lvl>
    <w:lvl w:ilvl="1" w:tentative="0">
      <w:start w:val="1"/>
      <w:numFmt w:val="decimal"/>
      <w:lvlRestart w:val="0"/>
      <w:lvlText w:val="%1.%2"/>
      <w:lvlJc w:val="left"/>
      <w:pPr>
        <w:ind w:left="0" w:firstLine="0"/>
      </w:pPr>
      <w:rPr>
        <w:rFonts w:hint="default" w:ascii="宋体" w:hAnsi="宋体" w:eastAsia="宋体" w:cs="宋体"/>
        <w:b/>
        <w:i w:val="0"/>
      </w:rPr>
    </w:lvl>
    <w:lvl w:ilvl="2" w:tentative="0">
      <w:start w:val="1"/>
      <w:numFmt w:val="decimal"/>
      <w:lvlText w:val="%1.%2.%3"/>
      <w:lvlJc w:val="left"/>
      <w:pPr>
        <w:ind w:left="0" w:firstLine="0"/>
      </w:pPr>
      <w:rPr>
        <w:rFonts w:hint="default"/>
        <w:b/>
        <w:bCs w:val="0"/>
        <w:i w:val="0"/>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2">
    <w:nsid w:val="33C010EC"/>
    <w:multiLevelType w:val="multilevel"/>
    <w:tmpl w:val="33C010EC"/>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3">
    <w:nsid w:val="3503893C"/>
    <w:multiLevelType w:val="multilevel"/>
    <w:tmpl w:val="3503893C"/>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4">
    <w:nsid w:val="353C4359"/>
    <w:multiLevelType w:val="multilevel"/>
    <w:tmpl w:val="353C4359"/>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5">
    <w:nsid w:val="353E4FB2"/>
    <w:multiLevelType w:val="multilevel"/>
    <w:tmpl w:val="353E4FB2"/>
    <w:lvl w:ilvl="0" w:tentative="0">
      <w:start w:val="2"/>
      <w:numFmt w:val="decimal"/>
      <w:lvlText w:val="%1"/>
      <w:lvlJc w:val="left"/>
      <w:pPr>
        <w:ind w:left="0" w:firstLine="0"/>
      </w:pPr>
      <w:rPr>
        <w:rFonts w:hint="default" w:ascii="宋体" w:hAnsi="宋体" w:eastAsia="宋体" w:cs="宋体"/>
        <w:b/>
        <w:i w:val="0"/>
      </w:rPr>
    </w:lvl>
    <w:lvl w:ilvl="1" w:tentative="0">
      <w:start w:val="0"/>
      <w:numFmt w:val="decimal"/>
      <w:lvlRestart w:val="0"/>
      <w:lvlText w:val="%1.%2"/>
      <w:lvlJc w:val="left"/>
      <w:pPr>
        <w:ind w:left="0" w:firstLine="0"/>
      </w:pPr>
      <w:rPr>
        <w:rFonts w:hint="default" w:ascii="宋体" w:hAnsi="宋体" w:eastAsia="宋体" w:cs="宋体"/>
        <w:b/>
        <w:i w:val="0"/>
      </w:rPr>
    </w:lvl>
    <w:lvl w:ilvl="2" w:tentative="0">
      <w:start w:val="1"/>
      <w:numFmt w:val="decimal"/>
      <w:lvlText w:val="%1.%2.%3"/>
      <w:lvlJc w:val="left"/>
      <w:pPr>
        <w:ind w:left="0" w:firstLine="0"/>
      </w:pPr>
      <w:rPr>
        <w:rFonts w:hint="default" w:eastAsia="宋体" w:asciiTheme="minorEastAsia" w:hAnsiTheme="minorEastAsia"/>
        <w:b/>
        <w:bCs w:val="0"/>
        <w:i w:val="0"/>
        <w:lang w:eastAsia="zh-CN"/>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6">
    <w:nsid w:val="396A57E4"/>
    <w:multiLevelType w:val="multilevel"/>
    <w:tmpl w:val="396A57E4"/>
    <w:lvl w:ilvl="0" w:tentative="0">
      <w:start w:val="6"/>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color w:val="auto"/>
      </w:rPr>
    </w:lvl>
    <w:lvl w:ilvl="2" w:tentative="0">
      <w:start w:val="1"/>
      <w:numFmt w:val="decimal"/>
      <w:lvlText w:val="%1.%2.%3"/>
      <w:lvlJc w:val="left"/>
      <w:pPr>
        <w:ind w:left="0" w:firstLine="0"/>
      </w:pPr>
      <w:rPr>
        <w:rFonts w:hint="eastAsia" w:eastAsia="宋体" w:asciiTheme="minorEastAsia" w:hAnsiTheme="minorEastAsia"/>
        <w:b/>
        <w:bCs w:val="0"/>
        <w:i w:val="0"/>
        <w:color w:val="auto"/>
        <w:sz w:val="21"/>
        <w:szCs w:val="21"/>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7">
    <w:nsid w:val="3A482EF5"/>
    <w:multiLevelType w:val="multilevel"/>
    <w:tmpl w:val="3A482EF5"/>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8">
    <w:nsid w:val="3CCEFC43"/>
    <w:multiLevelType w:val="multilevel"/>
    <w:tmpl w:val="3CCEFC43"/>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49">
    <w:nsid w:val="3DE94A53"/>
    <w:multiLevelType w:val="multilevel"/>
    <w:tmpl w:val="3DE94A53"/>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0">
    <w:nsid w:val="401A5FA7"/>
    <w:multiLevelType w:val="multilevel"/>
    <w:tmpl w:val="401A5FA7"/>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1">
    <w:nsid w:val="4CA76749"/>
    <w:multiLevelType w:val="multilevel"/>
    <w:tmpl w:val="4CA76749"/>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2">
    <w:nsid w:val="4E2F13E6"/>
    <w:multiLevelType w:val="multilevel"/>
    <w:tmpl w:val="4E2F13E6"/>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3">
    <w:nsid w:val="4F1107CC"/>
    <w:multiLevelType w:val="multilevel"/>
    <w:tmpl w:val="4F1107CC"/>
    <w:lvl w:ilvl="0" w:tentative="0">
      <w:start w:val="6"/>
      <w:numFmt w:val="decimal"/>
      <w:lvlText w:val="%1"/>
      <w:lvlJc w:val="left"/>
      <w:pPr>
        <w:ind w:left="0" w:firstLine="0"/>
      </w:pPr>
      <w:rPr>
        <w:rFonts w:hint="default" w:ascii="宋体" w:hAnsi="宋体" w:eastAsia="宋体" w:cs="宋体"/>
        <w:b/>
        <w:i w:val="0"/>
      </w:rPr>
    </w:lvl>
    <w:lvl w:ilvl="1" w:tentative="0">
      <w:start w:val="1"/>
      <w:numFmt w:val="decimal"/>
      <w:lvlRestart w:val="0"/>
      <w:lvlText w:val="%1.%2"/>
      <w:lvlJc w:val="left"/>
      <w:pPr>
        <w:ind w:left="0" w:firstLine="0"/>
      </w:pPr>
      <w:rPr>
        <w:rFonts w:hint="default" w:ascii="宋体" w:hAnsi="宋体" w:eastAsia="宋体" w:cs="宋体"/>
        <w:b/>
        <w:i w:val="0"/>
      </w:rPr>
    </w:lvl>
    <w:lvl w:ilvl="2" w:tentative="0">
      <w:start w:val="1"/>
      <w:numFmt w:val="decimal"/>
      <w:lvlText w:val="%1.%2.%3"/>
      <w:lvlJc w:val="left"/>
      <w:pPr>
        <w:ind w:left="0" w:firstLine="0"/>
      </w:pPr>
      <w:rPr>
        <w:rFonts w:hint="default"/>
        <w:b/>
        <w:bCs w:val="0"/>
        <w:i w:val="0"/>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4">
    <w:nsid w:val="4FB3C387"/>
    <w:multiLevelType w:val="multilevel"/>
    <w:tmpl w:val="4FB3C387"/>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5">
    <w:nsid w:val="511B4BB0"/>
    <w:multiLevelType w:val="multilevel"/>
    <w:tmpl w:val="511B4BB0"/>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6">
    <w:nsid w:val="5148749C"/>
    <w:multiLevelType w:val="multilevel"/>
    <w:tmpl w:val="5148749C"/>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7">
    <w:nsid w:val="52026761"/>
    <w:multiLevelType w:val="multilevel"/>
    <w:tmpl w:val="52026761"/>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8">
    <w:nsid w:val="527D3B86"/>
    <w:multiLevelType w:val="multilevel"/>
    <w:tmpl w:val="527D3B86"/>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59">
    <w:nsid w:val="54A1A927"/>
    <w:multiLevelType w:val="multilevel"/>
    <w:tmpl w:val="54A1A927"/>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0">
    <w:nsid w:val="54FD2E27"/>
    <w:multiLevelType w:val="multilevel"/>
    <w:tmpl w:val="54FD2E27"/>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1">
    <w:nsid w:val="55D0CA91"/>
    <w:multiLevelType w:val="multilevel"/>
    <w:tmpl w:val="55D0CA91"/>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2">
    <w:nsid w:val="589647DD"/>
    <w:multiLevelType w:val="multilevel"/>
    <w:tmpl w:val="589647DD"/>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3">
    <w:nsid w:val="589C1554"/>
    <w:multiLevelType w:val="multilevel"/>
    <w:tmpl w:val="589C1554"/>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4">
    <w:nsid w:val="5C0F1854"/>
    <w:multiLevelType w:val="multilevel"/>
    <w:tmpl w:val="5C0F1854"/>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5">
    <w:nsid w:val="5D759B56"/>
    <w:multiLevelType w:val="multilevel"/>
    <w:tmpl w:val="5D759B56"/>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6">
    <w:nsid w:val="619E47FA"/>
    <w:multiLevelType w:val="multilevel"/>
    <w:tmpl w:val="619E47FA"/>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7">
    <w:nsid w:val="644B61FB"/>
    <w:multiLevelType w:val="multilevel"/>
    <w:tmpl w:val="644B61FB"/>
    <w:lvl w:ilvl="0" w:tentative="0">
      <w:start w:val="4"/>
      <w:numFmt w:val="decimal"/>
      <w:lvlText w:val="%1"/>
      <w:lvlJc w:val="left"/>
      <w:pPr>
        <w:ind w:left="0" w:firstLine="0"/>
      </w:pPr>
      <w:rPr>
        <w:rFonts w:hint="default" w:ascii="宋体" w:hAnsi="宋体" w:eastAsia="宋体" w:cs="宋体"/>
        <w:b/>
        <w:i w:val="0"/>
      </w:rPr>
    </w:lvl>
    <w:lvl w:ilvl="1" w:tentative="0">
      <w:start w:val="4"/>
      <w:numFmt w:val="decimal"/>
      <w:lvlRestart w:val="0"/>
      <w:lvlText w:val="%1.%2"/>
      <w:lvlJc w:val="left"/>
      <w:pPr>
        <w:ind w:left="0" w:firstLine="0"/>
      </w:pPr>
      <w:rPr>
        <w:rFonts w:hint="default" w:ascii="宋体" w:hAnsi="宋体" w:eastAsia="宋体" w:cs="宋体"/>
        <w:b/>
        <w:i w:val="0"/>
      </w:rPr>
    </w:lvl>
    <w:lvl w:ilvl="2" w:tentative="0">
      <w:start w:val="1"/>
      <w:numFmt w:val="decimal"/>
      <w:lvlText w:val="%1.%2.%3"/>
      <w:lvlJc w:val="left"/>
      <w:pPr>
        <w:ind w:left="0" w:firstLine="0"/>
      </w:pPr>
      <w:rPr>
        <w:rFonts w:hint="default" w:ascii="宋体" w:hAnsi="宋体" w:eastAsia="宋体" w:cs="宋体"/>
        <w:b/>
        <w:bCs w:val="0"/>
        <w:i w:val="0"/>
        <w:color w:val="auto"/>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8">
    <w:nsid w:val="68695FE9"/>
    <w:multiLevelType w:val="multilevel"/>
    <w:tmpl w:val="68695FE9"/>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69">
    <w:nsid w:val="6A2846C8"/>
    <w:multiLevelType w:val="multilevel"/>
    <w:tmpl w:val="6A2846C8"/>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0">
    <w:nsid w:val="6CE72BCA"/>
    <w:multiLevelType w:val="multilevel"/>
    <w:tmpl w:val="6CE72BCA"/>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1">
    <w:nsid w:val="6D2F7102"/>
    <w:multiLevelType w:val="multilevel"/>
    <w:tmpl w:val="6D2F7102"/>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2">
    <w:nsid w:val="6D8F4C10"/>
    <w:multiLevelType w:val="multilevel"/>
    <w:tmpl w:val="6D8F4C10"/>
    <w:lvl w:ilvl="0" w:tentative="0">
      <w:start w:val="4"/>
      <w:numFmt w:val="decimal"/>
      <w:lvlText w:val="%1"/>
      <w:lvlJc w:val="left"/>
      <w:pPr>
        <w:ind w:left="0" w:firstLine="0"/>
      </w:pPr>
      <w:rPr>
        <w:rFonts w:hint="default" w:ascii="宋体" w:hAnsi="宋体" w:eastAsia="宋体" w:cs="宋体"/>
        <w:b/>
        <w:i w:val="0"/>
      </w:rPr>
    </w:lvl>
    <w:lvl w:ilvl="1" w:tentative="0">
      <w:start w:val="1"/>
      <w:numFmt w:val="decimal"/>
      <w:lvlRestart w:val="0"/>
      <w:lvlText w:val="%1.%2"/>
      <w:lvlJc w:val="left"/>
      <w:pPr>
        <w:ind w:left="0" w:firstLine="0"/>
      </w:pPr>
      <w:rPr>
        <w:rFonts w:hint="default" w:ascii="宋体" w:hAnsi="宋体" w:eastAsia="宋体" w:cs="宋体"/>
        <w:b/>
        <w:i w:val="0"/>
        <w:color w:val="auto"/>
      </w:rPr>
    </w:lvl>
    <w:lvl w:ilvl="2" w:tentative="0">
      <w:start w:val="1"/>
      <w:numFmt w:val="decimal"/>
      <w:lvlText w:val="%1.%2.%3"/>
      <w:lvlJc w:val="left"/>
      <w:pPr>
        <w:ind w:left="0" w:firstLine="0"/>
      </w:pPr>
      <w:rPr>
        <w:rFonts w:hint="default"/>
        <w:b/>
        <w:bCs w:val="0"/>
        <w:i w:val="0"/>
        <w:color w:val="auto"/>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3">
    <w:nsid w:val="6E9B7E2D"/>
    <w:multiLevelType w:val="multilevel"/>
    <w:tmpl w:val="6E9B7E2D"/>
    <w:lvl w:ilvl="0" w:tentative="0">
      <w:start w:val="8"/>
      <w:numFmt w:val="decimal"/>
      <w:lvlText w:val="%1"/>
      <w:lvlJc w:val="left"/>
      <w:pPr>
        <w:ind w:left="0" w:firstLine="0"/>
      </w:pPr>
      <w:rPr>
        <w:rFonts w:hint="default" w:ascii="宋体" w:hAnsi="宋体" w:eastAsia="宋体" w:cs="宋体"/>
        <w:b/>
        <w:i w:val="0"/>
      </w:rPr>
    </w:lvl>
    <w:lvl w:ilvl="1" w:tentative="0">
      <w:start w:val="1"/>
      <w:numFmt w:val="decimal"/>
      <w:lvlRestart w:val="0"/>
      <w:lvlText w:val="%1.%2"/>
      <w:lvlJc w:val="left"/>
      <w:pPr>
        <w:ind w:left="0" w:firstLine="0"/>
      </w:pPr>
      <w:rPr>
        <w:rFonts w:hint="default" w:ascii="宋体" w:hAnsi="宋体" w:eastAsia="宋体" w:cs="宋体"/>
        <w:b/>
        <w:i w:val="0"/>
      </w:rPr>
    </w:lvl>
    <w:lvl w:ilvl="2" w:tentative="0">
      <w:start w:val="1"/>
      <w:numFmt w:val="decimal"/>
      <w:lvlText w:val="%1.%2.%3"/>
      <w:lvlJc w:val="left"/>
      <w:pPr>
        <w:ind w:left="0" w:firstLine="0"/>
      </w:pPr>
      <w:rPr>
        <w:rFonts w:hint="default"/>
        <w:b/>
        <w:bCs w:val="0"/>
        <w:i w:val="0"/>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4">
    <w:nsid w:val="7162921E"/>
    <w:multiLevelType w:val="multilevel"/>
    <w:tmpl w:val="7162921E"/>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2.%3.%4"/>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5">
    <w:nsid w:val="75BC6F8B"/>
    <w:multiLevelType w:val="multilevel"/>
    <w:tmpl w:val="75BC6F8B"/>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6">
    <w:nsid w:val="76572A8B"/>
    <w:multiLevelType w:val="multilevel"/>
    <w:tmpl w:val="76572A8B"/>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7">
    <w:nsid w:val="7816C9BB"/>
    <w:multiLevelType w:val="multilevel"/>
    <w:tmpl w:val="7816C9BB"/>
    <w:lvl w:ilvl="0" w:tentative="0">
      <w:start w:val="1"/>
      <w:numFmt w:val="decimal"/>
      <w:lvlText w:val="%1"/>
      <w:lvlJc w:val="left"/>
      <w:pPr>
        <w:ind w:left="0" w:firstLine="0"/>
      </w:pPr>
      <w:rPr>
        <w:rFonts w:hint="eastAsia"/>
        <w:b/>
        <w:i w:val="0"/>
        <w:color w:val="auto"/>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8">
    <w:nsid w:val="795D2DE2"/>
    <w:multiLevelType w:val="multilevel"/>
    <w:tmpl w:val="795D2DE2"/>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79">
    <w:nsid w:val="7B164275"/>
    <w:multiLevelType w:val="multilevel"/>
    <w:tmpl w:val="7B164275"/>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80">
    <w:nsid w:val="7E4031EB"/>
    <w:multiLevelType w:val="multilevel"/>
    <w:tmpl w:val="7E4031EB"/>
    <w:lvl w:ilvl="0" w:tentative="0">
      <w:start w:val="1"/>
      <w:numFmt w:val="decimal"/>
      <w:lvlText w:val="%1"/>
      <w:lvlJc w:val="left"/>
      <w:pPr>
        <w:ind w:left="0" w:firstLine="0"/>
      </w:pPr>
      <w:rPr>
        <w:rFonts w:hint="eastAsia"/>
        <w:b/>
        <w:i w:val="0"/>
      </w:rPr>
    </w:lvl>
    <w:lvl w:ilvl="1" w:tentative="0">
      <w:start w:val="1"/>
      <w:numFmt w:val="decimal"/>
      <w:lvlText w:val="%1.%2"/>
      <w:lvlJc w:val="left"/>
      <w:pPr>
        <w:ind w:left="0" w:firstLine="0"/>
      </w:pPr>
      <w:rPr>
        <w:rFonts w:hint="eastAsia"/>
        <w:b/>
        <w:i w:val="0"/>
      </w:rPr>
    </w:lvl>
    <w:lvl w:ilvl="2" w:tentative="0">
      <w:start w:val="1"/>
      <w:numFmt w:val="decimal"/>
      <w:lvlText w:val="%1.%2.%3"/>
      <w:lvlJc w:val="left"/>
      <w:pPr>
        <w:ind w:left="0" w:firstLine="0"/>
      </w:pPr>
      <w:rPr>
        <w:rFonts w:hint="eastAsia"/>
        <w:b/>
        <w:bCs w:val="0"/>
        <w:i w:val="0"/>
      </w:rPr>
    </w:lvl>
    <w:lvl w:ilvl="3" w:tentative="0">
      <w:start w:val="1"/>
      <w:numFmt w:val="decimal"/>
      <w:lvlText w:val="%1 "/>
      <w:lvlJc w:val="left"/>
      <w:pPr>
        <w:ind w:left="0" w:firstLine="0"/>
      </w:pPr>
      <w:rPr>
        <w:rFonts w:hint="eastAsia"/>
        <w:b/>
      </w:rPr>
    </w:lvl>
    <w:lvl w:ilvl="4" w:tentative="0">
      <w:start w:val="1"/>
      <w:numFmt w:val="decimal"/>
      <w:lvlText w:val="%1.%2.%3.%4.%5"/>
      <w:lvlJc w:val="left"/>
      <w:pPr>
        <w:ind w:left="0" w:firstLine="0"/>
      </w:pPr>
      <w:rPr>
        <w:rFonts w:hint="eastAsia"/>
        <w:b/>
      </w:rPr>
    </w:lvl>
    <w:lvl w:ilvl="5" w:tentative="0">
      <w:start w:val="1"/>
      <w:numFmt w:val="decimal"/>
      <w:lvlText w:val="%1.%2.%3.%4.%5.%6"/>
      <w:lvlJc w:val="left"/>
      <w:pPr>
        <w:ind w:left="0" w:firstLine="0"/>
      </w:pPr>
      <w:rPr>
        <w:rFonts w:hint="eastAsia"/>
        <w:b/>
      </w:rPr>
    </w:lvl>
    <w:lvl w:ilvl="6" w:tentative="0">
      <w:start w:val="1"/>
      <w:numFmt w:val="decimal"/>
      <w:lvlText w:val="%1.%2.%3.%4.%5.%6.%7"/>
      <w:lvlJc w:val="left"/>
      <w:pPr>
        <w:ind w:left="0" w:firstLine="0"/>
      </w:pPr>
      <w:rPr>
        <w:rFonts w:hint="eastAsia"/>
        <w:b/>
      </w:rPr>
    </w:lvl>
    <w:lvl w:ilvl="7" w:tentative="0">
      <w:start w:val="1"/>
      <w:numFmt w:val="decimal"/>
      <w:lvlText w:val="%1.%2.%3.%4.%5.%6.%7.%8"/>
      <w:lvlJc w:val="left"/>
      <w:pPr>
        <w:ind w:left="0" w:firstLine="0"/>
      </w:pPr>
      <w:rPr>
        <w:rFonts w:hint="eastAsia"/>
        <w:b/>
      </w:rPr>
    </w:lvl>
    <w:lvl w:ilvl="8" w:tentative="0">
      <w:start w:val="1"/>
      <w:numFmt w:val="decimal"/>
      <w:lvlText w:val="%1.%2.%3.%4.%5.%6.%7.%8.%9"/>
      <w:lvlJc w:val="left"/>
      <w:pPr>
        <w:ind w:left="0" w:firstLine="0"/>
      </w:pPr>
      <w:rPr>
        <w:rFonts w:hint="eastAsia"/>
        <w:b/>
      </w:rPr>
    </w:lvl>
  </w:abstractNum>
  <w:abstractNum w:abstractNumId="81">
    <w:nsid w:val="7E677FA5"/>
    <w:multiLevelType w:val="multilevel"/>
    <w:tmpl w:val="7E677FA5"/>
    <w:lvl w:ilvl="0" w:tentative="0">
      <w:start w:val="4"/>
      <w:numFmt w:val="decimal"/>
      <w:lvlText w:val="%1"/>
      <w:lvlJc w:val="left"/>
      <w:pPr>
        <w:ind w:left="420" w:hanging="420"/>
      </w:pPr>
      <w:rPr>
        <w:rFonts w:hint="default"/>
      </w:rPr>
    </w:lvl>
    <w:lvl w:ilvl="1" w:tentative="0">
      <w:start w:val="1"/>
      <w:numFmt w:val="decimal"/>
      <w:isLgl/>
      <w:lvlText w:val="%1.%2"/>
      <w:lvlJc w:val="left"/>
      <w:pPr>
        <w:ind w:left="645" w:hanging="645"/>
      </w:pPr>
      <w:rPr>
        <w:rFonts w:hint="default"/>
        <w:b/>
        <w:sz w:val="28"/>
        <w:szCs w:val="28"/>
      </w:rPr>
    </w:lvl>
    <w:lvl w:ilvl="2" w:tentative="0">
      <w:start w:val="1"/>
      <w:numFmt w:val="decimal"/>
      <w:isLgl/>
      <w:lvlText w:val="%1.%2.%3"/>
      <w:lvlJc w:val="left"/>
      <w:pPr>
        <w:ind w:left="720" w:hanging="720"/>
      </w:pPr>
      <w:rPr>
        <w:rFonts w:hint="default"/>
        <w:b w:val="0"/>
        <w:bCs/>
        <w:sz w:val="21"/>
        <w:szCs w:val="21"/>
      </w:rPr>
    </w:lvl>
    <w:lvl w:ilvl="3" w:tentative="0">
      <w:start w:val="1"/>
      <w:numFmt w:val="decimal"/>
      <w:isLgl/>
      <w:lvlText w:val="%1.%2.%3.%4"/>
      <w:lvlJc w:val="left"/>
      <w:pPr>
        <w:ind w:left="720" w:hanging="720"/>
      </w:pPr>
      <w:rPr>
        <w:rFonts w:hint="default"/>
        <w:b/>
      </w:rPr>
    </w:lvl>
    <w:lvl w:ilvl="4" w:tentative="0">
      <w:start w:val="1"/>
      <w:numFmt w:val="decimal"/>
      <w:isLgl/>
      <w:lvlText w:val="%1.%2.%3.%4.%5"/>
      <w:lvlJc w:val="left"/>
      <w:pPr>
        <w:ind w:left="1080" w:hanging="1080"/>
      </w:pPr>
      <w:rPr>
        <w:rFonts w:hint="default"/>
        <w:b/>
      </w:rPr>
    </w:lvl>
    <w:lvl w:ilvl="5" w:tentative="0">
      <w:start w:val="1"/>
      <w:numFmt w:val="decimal"/>
      <w:isLgl/>
      <w:lvlText w:val="%1.%2.%3.%4.%5.%6"/>
      <w:lvlJc w:val="left"/>
      <w:pPr>
        <w:ind w:left="1080" w:hanging="1080"/>
      </w:pPr>
      <w:rPr>
        <w:rFonts w:hint="default"/>
        <w:b/>
      </w:rPr>
    </w:lvl>
    <w:lvl w:ilvl="6" w:tentative="0">
      <w:start w:val="1"/>
      <w:numFmt w:val="decimal"/>
      <w:isLgl/>
      <w:lvlText w:val="%1.%2.%3.%4.%5.%6.%7"/>
      <w:lvlJc w:val="left"/>
      <w:pPr>
        <w:ind w:left="1080" w:hanging="1080"/>
      </w:pPr>
      <w:rPr>
        <w:rFonts w:hint="default"/>
        <w:b/>
      </w:rPr>
    </w:lvl>
    <w:lvl w:ilvl="7" w:tentative="0">
      <w:start w:val="1"/>
      <w:numFmt w:val="decimal"/>
      <w:isLgl/>
      <w:lvlText w:val="%1.%2.%3.%4.%5.%6.%7.%8"/>
      <w:lvlJc w:val="left"/>
      <w:pPr>
        <w:ind w:left="1440" w:hanging="1440"/>
      </w:pPr>
      <w:rPr>
        <w:rFonts w:hint="default"/>
        <w:b/>
      </w:rPr>
    </w:lvl>
    <w:lvl w:ilvl="8" w:tentative="0">
      <w:start w:val="1"/>
      <w:numFmt w:val="decimal"/>
      <w:isLgl/>
      <w:lvlText w:val="%1.%2.%3.%4.%5.%6.%7.%8.%9"/>
      <w:lvlJc w:val="left"/>
      <w:pPr>
        <w:ind w:left="1440" w:hanging="1440"/>
      </w:pPr>
      <w:rPr>
        <w:rFonts w:hint="default"/>
        <w:b/>
      </w:rPr>
    </w:lvl>
  </w:abstractNum>
  <w:num w:numId="1">
    <w:abstractNumId w:val="32"/>
  </w:num>
  <w:num w:numId="2">
    <w:abstractNumId w:val="16"/>
  </w:num>
  <w:num w:numId="3">
    <w:abstractNumId w:val="45"/>
  </w:num>
  <w:num w:numId="4">
    <w:abstractNumId w:val="81"/>
  </w:num>
  <w:num w:numId="5">
    <w:abstractNumId w:val="72"/>
  </w:num>
  <w:num w:numId="6">
    <w:abstractNumId w:val="80"/>
  </w:num>
  <w:num w:numId="7">
    <w:abstractNumId w:val="33"/>
  </w:num>
  <w:num w:numId="8">
    <w:abstractNumId w:val="49"/>
  </w:num>
  <w:num w:numId="9">
    <w:abstractNumId w:val="56"/>
  </w:num>
  <w:num w:numId="10">
    <w:abstractNumId w:val="60"/>
  </w:num>
  <w:num w:numId="11">
    <w:abstractNumId w:val="35"/>
  </w:num>
  <w:num w:numId="12">
    <w:abstractNumId w:val="19"/>
  </w:num>
  <w:num w:numId="13">
    <w:abstractNumId w:val="2"/>
  </w:num>
  <w:num w:numId="14">
    <w:abstractNumId w:val="31"/>
  </w:num>
  <w:num w:numId="15">
    <w:abstractNumId w:val="79"/>
  </w:num>
  <w:num w:numId="16">
    <w:abstractNumId w:val="64"/>
  </w:num>
  <w:num w:numId="17">
    <w:abstractNumId w:val="1"/>
  </w:num>
  <w:num w:numId="18">
    <w:abstractNumId w:val="0"/>
  </w:num>
  <w:num w:numId="19">
    <w:abstractNumId w:val="14"/>
  </w:num>
  <w:num w:numId="20">
    <w:abstractNumId w:val="77"/>
  </w:num>
  <w:num w:numId="21">
    <w:abstractNumId w:val="3"/>
  </w:num>
  <w:num w:numId="22">
    <w:abstractNumId w:val="9"/>
  </w:num>
  <w:num w:numId="23">
    <w:abstractNumId w:val="44"/>
  </w:num>
  <w:num w:numId="24">
    <w:abstractNumId w:val="7"/>
  </w:num>
  <w:num w:numId="25">
    <w:abstractNumId w:val="67"/>
  </w:num>
  <w:num w:numId="26">
    <w:abstractNumId w:val="75"/>
  </w:num>
  <w:num w:numId="27">
    <w:abstractNumId w:val="59"/>
  </w:num>
  <w:num w:numId="28">
    <w:abstractNumId w:val="43"/>
  </w:num>
  <w:num w:numId="29">
    <w:abstractNumId w:val="54"/>
  </w:num>
  <w:num w:numId="30">
    <w:abstractNumId w:val="66"/>
  </w:num>
  <w:num w:numId="31">
    <w:abstractNumId w:val="22"/>
  </w:num>
  <w:num w:numId="32">
    <w:abstractNumId w:val="11"/>
  </w:num>
  <w:num w:numId="33">
    <w:abstractNumId w:val="23"/>
  </w:num>
  <w:num w:numId="34">
    <w:abstractNumId w:val="41"/>
  </w:num>
  <w:num w:numId="35">
    <w:abstractNumId w:val="28"/>
  </w:num>
  <w:num w:numId="36">
    <w:abstractNumId w:val="24"/>
  </w:num>
  <w:num w:numId="37">
    <w:abstractNumId w:val="21"/>
  </w:num>
  <w:num w:numId="38">
    <w:abstractNumId w:val="69"/>
  </w:num>
  <w:num w:numId="39">
    <w:abstractNumId w:val="40"/>
  </w:num>
  <w:num w:numId="40">
    <w:abstractNumId w:val="37"/>
  </w:num>
  <w:num w:numId="41">
    <w:abstractNumId w:val="42"/>
  </w:num>
  <w:num w:numId="42">
    <w:abstractNumId w:val="53"/>
  </w:num>
  <w:num w:numId="43">
    <w:abstractNumId w:val="46"/>
  </w:num>
  <w:num w:numId="44">
    <w:abstractNumId w:val="17"/>
  </w:num>
  <w:num w:numId="45">
    <w:abstractNumId w:val="58"/>
  </w:num>
  <w:num w:numId="46">
    <w:abstractNumId w:val="52"/>
  </w:num>
  <w:num w:numId="47">
    <w:abstractNumId w:val="76"/>
  </w:num>
  <w:num w:numId="48">
    <w:abstractNumId w:val="68"/>
  </w:num>
  <w:num w:numId="49">
    <w:abstractNumId w:val="50"/>
  </w:num>
  <w:num w:numId="50">
    <w:abstractNumId w:val="34"/>
  </w:num>
  <w:num w:numId="51">
    <w:abstractNumId w:val="29"/>
  </w:num>
  <w:num w:numId="52">
    <w:abstractNumId w:val="62"/>
  </w:num>
  <w:num w:numId="53">
    <w:abstractNumId w:val="47"/>
  </w:num>
  <w:num w:numId="54">
    <w:abstractNumId w:val="25"/>
  </w:num>
  <w:num w:numId="55">
    <w:abstractNumId w:val="63"/>
  </w:num>
  <w:num w:numId="56">
    <w:abstractNumId w:val="57"/>
  </w:num>
  <w:num w:numId="57">
    <w:abstractNumId w:val="15"/>
  </w:num>
  <w:num w:numId="58">
    <w:abstractNumId w:val="38"/>
  </w:num>
  <w:num w:numId="59">
    <w:abstractNumId w:val="73"/>
  </w:num>
  <w:num w:numId="60">
    <w:abstractNumId w:val="36"/>
  </w:num>
  <w:num w:numId="61">
    <w:abstractNumId w:val="51"/>
  </w:num>
  <w:num w:numId="62">
    <w:abstractNumId w:val="18"/>
  </w:num>
  <w:num w:numId="63">
    <w:abstractNumId w:val="71"/>
  </w:num>
  <w:num w:numId="64">
    <w:abstractNumId w:val="78"/>
  </w:num>
  <w:num w:numId="65">
    <w:abstractNumId w:val="65"/>
  </w:num>
  <w:num w:numId="66">
    <w:abstractNumId w:val="12"/>
  </w:num>
  <w:num w:numId="67">
    <w:abstractNumId w:val="5"/>
  </w:num>
  <w:num w:numId="68">
    <w:abstractNumId w:val="6"/>
  </w:num>
  <w:num w:numId="69">
    <w:abstractNumId w:val="10"/>
  </w:num>
  <w:num w:numId="70">
    <w:abstractNumId w:val="61"/>
  </w:num>
  <w:num w:numId="71">
    <w:abstractNumId w:val="74"/>
  </w:num>
  <w:num w:numId="72">
    <w:abstractNumId w:val="26"/>
  </w:num>
  <w:num w:numId="73">
    <w:abstractNumId w:val="70"/>
  </w:num>
  <w:num w:numId="74">
    <w:abstractNumId w:val="39"/>
  </w:num>
  <w:num w:numId="75">
    <w:abstractNumId w:val="13"/>
  </w:num>
  <w:num w:numId="76">
    <w:abstractNumId w:val="48"/>
  </w:num>
  <w:num w:numId="77">
    <w:abstractNumId w:val="4"/>
  </w:num>
  <w:num w:numId="78">
    <w:abstractNumId w:val="8"/>
  </w:num>
  <w:num w:numId="79">
    <w:abstractNumId w:val="27"/>
  </w:num>
  <w:num w:numId="80">
    <w:abstractNumId w:val="30"/>
  </w:num>
  <w:num w:numId="81">
    <w:abstractNumId w:val="20"/>
  </w:num>
  <w:num w:numId="8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7B"/>
    <w:rsid w:val="000001DF"/>
    <w:rsid w:val="000062D8"/>
    <w:rsid w:val="00007481"/>
    <w:rsid w:val="000130A0"/>
    <w:rsid w:val="00015F98"/>
    <w:rsid w:val="000164D2"/>
    <w:rsid w:val="00016CBB"/>
    <w:rsid w:val="00023E52"/>
    <w:rsid w:val="00025F74"/>
    <w:rsid w:val="00032042"/>
    <w:rsid w:val="00033390"/>
    <w:rsid w:val="00047ECE"/>
    <w:rsid w:val="0005456B"/>
    <w:rsid w:val="00054C1D"/>
    <w:rsid w:val="00057311"/>
    <w:rsid w:val="00063776"/>
    <w:rsid w:val="0006433F"/>
    <w:rsid w:val="0007572E"/>
    <w:rsid w:val="00075FB0"/>
    <w:rsid w:val="000812D1"/>
    <w:rsid w:val="000905A6"/>
    <w:rsid w:val="000A3852"/>
    <w:rsid w:val="000A40A7"/>
    <w:rsid w:val="000B6003"/>
    <w:rsid w:val="000B7AEA"/>
    <w:rsid w:val="000D1500"/>
    <w:rsid w:val="000D4E8A"/>
    <w:rsid w:val="000D643F"/>
    <w:rsid w:val="000D6A7C"/>
    <w:rsid w:val="000D771C"/>
    <w:rsid w:val="000E2178"/>
    <w:rsid w:val="000E46A4"/>
    <w:rsid w:val="00102467"/>
    <w:rsid w:val="0010336B"/>
    <w:rsid w:val="00105E7B"/>
    <w:rsid w:val="00106A2A"/>
    <w:rsid w:val="00112645"/>
    <w:rsid w:val="00113C4D"/>
    <w:rsid w:val="00137E38"/>
    <w:rsid w:val="00144655"/>
    <w:rsid w:val="001566CA"/>
    <w:rsid w:val="00157012"/>
    <w:rsid w:val="00172E70"/>
    <w:rsid w:val="00181E97"/>
    <w:rsid w:val="00182412"/>
    <w:rsid w:val="001858D7"/>
    <w:rsid w:val="001861B2"/>
    <w:rsid w:val="00197E52"/>
    <w:rsid w:val="001A20F9"/>
    <w:rsid w:val="001A2E03"/>
    <w:rsid w:val="001A5646"/>
    <w:rsid w:val="001B0A29"/>
    <w:rsid w:val="001B42E3"/>
    <w:rsid w:val="001C2DEE"/>
    <w:rsid w:val="001C78FF"/>
    <w:rsid w:val="001D0267"/>
    <w:rsid w:val="001D64EA"/>
    <w:rsid w:val="001D6BAA"/>
    <w:rsid w:val="001E3883"/>
    <w:rsid w:val="001F5918"/>
    <w:rsid w:val="001F7089"/>
    <w:rsid w:val="001F7DC0"/>
    <w:rsid w:val="002040B4"/>
    <w:rsid w:val="0021300B"/>
    <w:rsid w:val="00213D82"/>
    <w:rsid w:val="002171A3"/>
    <w:rsid w:val="0023066A"/>
    <w:rsid w:val="00235202"/>
    <w:rsid w:val="00236655"/>
    <w:rsid w:val="0024193D"/>
    <w:rsid w:val="002447BF"/>
    <w:rsid w:val="00247747"/>
    <w:rsid w:val="0025507F"/>
    <w:rsid w:val="002554F0"/>
    <w:rsid w:val="00262276"/>
    <w:rsid w:val="002628A3"/>
    <w:rsid w:val="00276EC6"/>
    <w:rsid w:val="00276FCA"/>
    <w:rsid w:val="002778F8"/>
    <w:rsid w:val="00280611"/>
    <w:rsid w:val="00280A08"/>
    <w:rsid w:val="00283439"/>
    <w:rsid w:val="00293FB9"/>
    <w:rsid w:val="0029606E"/>
    <w:rsid w:val="002A5667"/>
    <w:rsid w:val="002A7343"/>
    <w:rsid w:val="002B2287"/>
    <w:rsid w:val="002B6F00"/>
    <w:rsid w:val="002C58A9"/>
    <w:rsid w:val="002C611B"/>
    <w:rsid w:val="002D02F3"/>
    <w:rsid w:val="002D5328"/>
    <w:rsid w:val="002D7F95"/>
    <w:rsid w:val="002E4093"/>
    <w:rsid w:val="002F6335"/>
    <w:rsid w:val="002F68C2"/>
    <w:rsid w:val="002F7920"/>
    <w:rsid w:val="003002A7"/>
    <w:rsid w:val="00301629"/>
    <w:rsid w:val="00307C17"/>
    <w:rsid w:val="0031063E"/>
    <w:rsid w:val="003236AE"/>
    <w:rsid w:val="003302E9"/>
    <w:rsid w:val="00332C28"/>
    <w:rsid w:val="00333EFC"/>
    <w:rsid w:val="00343048"/>
    <w:rsid w:val="003434DB"/>
    <w:rsid w:val="00351536"/>
    <w:rsid w:val="003559DA"/>
    <w:rsid w:val="0035706F"/>
    <w:rsid w:val="00363A3D"/>
    <w:rsid w:val="00364C81"/>
    <w:rsid w:val="0036603A"/>
    <w:rsid w:val="00370DDD"/>
    <w:rsid w:val="00371AB9"/>
    <w:rsid w:val="00376093"/>
    <w:rsid w:val="003771F1"/>
    <w:rsid w:val="00377B83"/>
    <w:rsid w:val="00382433"/>
    <w:rsid w:val="0038364C"/>
    <w:rsid w:val="00386096"/>
    <w:rsid w:val="003950E7"/>
    <w:rsid w:val="003A1345"/>
    <w:rsid w:val="003A4AE5"/>
    <w:rsid w:val="003A68E8"/>
    <w:rsid w:val="003B0FC9"/>
    <w:rsid w:val="003B2AF3"/>
    <w:rsid w:val="003B2BDE"/>
    <w:rsid w:val="003B761F"/>
    <w:rsid w:val="003C2027"/>
    <w:rsid w:val="003C407C"/>
    <w:rsid w:val="003C4A4A"/>
    <w:rsid w:val="003C52F8"/>
    <w:rsid w:val="003C5A1B"/>
    <w:rsid w:val="003C6751"/>
    <w:rsid w:val="003D3DF1"/>
    <w:rsid w:val="003D41DF"/>
    <w:rsid w:val="003D7DD6"/>
    <w:rsid w:val="003E02A9"/>
    <w:rsid w:val="003E2BF8"/>
    <w:rsid w:val="003E3FE2"/>
    <w:rsid w:val="003E48DA"/>
    <w:rsid w:val="003F14AE"/>
    <w:rsid w:val="003F4F3A"/>
    <w:rsid w:val="004023E5"/>
    <w:rsid w:val="004054E3"/>
    <w:rsid w:val="004067B6"/>
    <w:rsid w:val="00410E2C"/>
    <w:rsid w:val="00411259"/>
    <w:rsid w:val="00416B82"/>
    <w:rsid w:val="00416C58"/>
    <w:rsid w:val="00426F64"/>
    <w:rsid w:val="00427342"/>
    <w:rsid w:val="00436DB7"/>
    <w:rsid w:val="00447682"/>
    <w:rsid w:val="00452CEF"/>
    <w:rsid w:val="0045368C"/>
    <w:rsid w:val="004540CD"/>
    <w:rsid w:val="00461A37"/>
    <w:rsid w:val="00466E76"/>
    <w:rsid w:val="00470343"/>
    <w:rsid w:val="00471608"/>
    <w:rsid w:val="0047305F"/>
    <w:rsid w:val="00475575"/>
    <w:rsid w:val="00475821"/>
    <w:rsid w:val="00476D59"/>
    <w:rsid w:val="004808BA"/>
    <w:rsid w:val="004846C5"/>
    <w:rsid w:val="00484FB0"/>
    <w:rsid w:val="004869EC"/>
    <w:rsid w:val="00495077"/>
    <w:rsid w:val="004A4D10"/>
    <w:rsid w:val="004B3D69"/>
    <w:rsid w:val="004C52C1"/>
    <w:rsid w:val="004C7714"/>
    <w:rsid w:val="004D2CF1"/>
    <w:rsid w:val="004E1091"/>
    <w:rsid w:val="004E41BC"/>
    <w:rsid w:val="004E6A4C"/>
    <w:rsid w:val="004E6D9B"/>
    <w:rsid w:val="004F1422"/>
    <w:rsid w:val="004F321C"/>
    <w:rsid w:val="004F3CB5"/>
    <w:rsid w:val="00510F06"/>
    <w:rsid w:val="005127B5"/>
    <w:rsid w:val="00512D58"/>
    <w:rsid w:val="00513091"/>
    <w:rsid w:val="00513826"/>
    <w:rsid w:val="00522419"/>
    <w:rsid w:val="005231AE"/>
    <w:rsid w:val="00524460"/>
    <w:rsid w:val="005250D0"/>
    <w:rsid w:val="005258E3"/>
    <w:rsid w:val="00530610"/>
    <w:rsid w:val="00536F13"/>
    <w:rsid w:val="00536F42"/>
    <w:rsid w:val="00537F10"/>
    <w:rsid w:val="00553EF5"/>
    <w:rsid w:val="0056018A"/>
    <w:rsid w:val="00563D34"/>
    <w:rsid w:val="005644DC"/>
    <w:rsid w:val="005652DA"/>
    <w:rsid w:val="0057296A"/>
    <w:rsid w:val="00583C18"/>
    <w:rsid w:val="00584AAC"/>
    <w:rsid w:val="0058519D"/>
    <w:rsid w:val="00585BB5"/>
    <w:rsid w:val="0058677D"/>
    <w:rsid w:val="00590CD9"/>
    <w:rsid w:val="005944A2"/>
    <w:rsid w:val="005A4A81"/>
    <w:rsid w:val="005A77C6"/>
    <w:rsid w:val="005B2961"/>
    <w:rsid w:val="005B2B6B"/>
    <w:rsid w:val="005B71C9"/>
    <w:rsid w:val="005C0798"/>
    <w:rsid w:val="005C08F1"/>
    <w:rsid w:val="005C470C"/>
    <w:rsid w:val="005D0DDE"/>
    <w:rsid w:val="005E27E8"/>
    <w:rsid w:val="005F1218"/>
    <w:rsid w:val="00600556"/>
    <w:rsid w:val="006007D0"/>
    <w:rsid w:val="006021D1"/>
    <w:rsid w:val="00602769"/>
    <w:rsid w:val="006030F5"/>
    <w:rsid w:val="00605A13"/>
    <w:rsid w:val="00605D55"/>
    <w:rsid w:val="006073CB"/>
    <w:rsid w:val="006208D6"/>
    <w:rsid w:val="006212B1"/>
    <w:rsid w:val="00622291"/>
    <w:rsid w:val="0062572E"/>
    <w:rsid w:val="00626157"/>
    <w:rsid w:val="006308EB"/>
    <w:rsid w:val="006310E2"/>
    <w:rsid w:val="00636F8D"/>
    <w:rsid w:val="006458EA"/>
    <w:rsid w:val="00646362"/>
    <w:rsid w:val="00651BB5"/>
    <w:rsid w:val="00652CF0"/>
    <w:rsid w:val="0066210F"/>
    <w:rsid w:val="00665ACA"/>
    <w:rsid w:val="00672E3B"/>
    <w:rsid w:val="006825DF"/>
    <w:rsid w:val="006A1BDE"/>
    <w:rsid w:val="006A3702"/>
    <w:rsid w:val="006A60B5"/>
    <w:rsid w:val="006B2CF2"/>
    <w:rsid w:val="006B5A94"/>
    <w:rsid w:val="006B5F04"/>
    <w:rsid w:val="006E3587"/>
    <w:rsid w:val="006E4DF5"/>
    <w:rsid w:val="006F0061"/>
    <w:rsid w:val="006F197B"/>
    <w:rsid w:val="006F59B6"/>
    <w:rsid w:val="00700249"/>
    <w:rsid w:val="00710AF1"/>
    <w:rsid w:val="007118C8"/>
    <w:rsid w:val="007145AF"/>
    <w:rsid w:val="007147B7"/>
    <w:rsid w:val="00717FE2"/>
    <w:rsid w:val="00721C87"/>
    <w:rsid w:val="00723A59"/>
    <w:rsid w:val="00725572"/>
    <w:rsid w:val="00727296"/>
    <w:rsid w:val="00733D12"/>
    <w:rsid w:val="00741DDC"/>
    <w:rsid w:val="00745562"/>
    <w:rsid w:val="00751409"/>
    <w:rsid w:val="0075245B"/>
    <w:rsid w:val="0075257F"/>
    <w:rsid w:val="00755947"/>
    <w:rsid w:val="0075662D"/>
    <w:rsid w:val="007635EA"/>
    <w:rsid w:val="007666CB"/>
    <w:rsid w:val="00767939"/>
    <w:rsid w:val="0077078D"/>
    <w:rsid w:val="00777AEE"/>
    <w:rsid w:val="0078255A"/>
    <w:rsid w:val="00782EB5"/>
    <w:rsid w:val="007841FC"/>
    <w:rsid w:val="00784DB9"/>
    <w:rsid w:val="007850CD"/>
    <w:rsid w:val="00790EF3"/>
    <w:rsid w:val="00795115"/>
    <w:rsid w:val="007A1F1D"/>
    <w:rsid w:val="007B5AEE"/>
    <w:rsid w:val="007C02B1"/>
    <w:rsid w:val="007C4E32"/>
    <w:rsid w:val="007C6D8F"/>
    <w:rsid w:val="007C6F96"/>
    <w:rsid w:val="007C74E3"/>
    <w:rsid w:val="007C7939"/>
    <w:rsid w:val="007D16D0"/>
    <w:rsid w:val="007D1FBC"/>
    <w:rsid w:val="007D4216"/>
    <w:rsid w:val="007D5281"/>
    <w:rsid w:val="007D6067"/>
    <w:rsid w:val="007E0249"/>
    <w:rsid w:val="007E6EC6"/>
    <w:rsid w:val="007F287F"/>
    <w:rsid w:val="007F5A1A"/>
    <w:rsid w:val="007F6A29"/>
    <w:rsid w:val="007F772A"/>
    <w:rsid w:val="00806099"/>
    <w:rsid w:val="00811D09"/>
    <w:rsid w:val="00812553"/>
    <w:rsid w:val="0081255A"/>
    <w:rsid w:val="008234C5"/>
    <w:rsid w:val="0082476C"/>
    <w:rsid w:val="00827526"/>
    <w:rsid w:val="00847FA9"/>
    <w:rsid w:val="008531D1"/>
    <w:rsid w:val="00866F3D"/>
    <w:rsid w:val="00872BC5"/>
    <w:rsid w:val="00873B14"/>
    <w:rsid w:val="00873B34"/>
    <w:rsid w:val="008741D9"/>
    <w:rsid w:val="0087486D"/>
    <w:rsid w:val="008907A1"/>
    <w:rsid w:val="0089093D"/>
    <w:rsid w:val="008A4912"/>
    <w:rsid w:val="008A4984"/>
    <w:rsid w:val="008A5C7D"/>
    <w:rsid w:val="008B165F"/>
    <w:rsid w:val="008B358B"/>
    <w:rsid w:val="008B65F9"/>
    <w:rsid w:val="008B7055"/>
    <w:rsid w:val="008B7AD6"/>
    <w:rsid w:val="008C2F05"/>
    <w:rsid w:val="008D0EBF"/>
    <w:rsid w:val="008E19C7"/>
    <w:rsid w:val="008E6D54"/>
    <w:rsid w:val="008F0851"/>
    <w:rsid w:val="008F2F02"/>
    <w:rsid w:val="008F40C5"/>
    <w:rsid w:val="008F4D68"/>
    <w:rsid w:val="009100F4"/>
    <w:rsid w:val="00912690"/>
    <w:rsid w:val="0092663E"/>
    <w:rsid w:val="009269DF"/>
    <w:rsid w:val="00933759"/>
    <w:rsid w:val="00934AD7"/>
    <w:rsid w:val="00936D34"/>
    <w:rsid w:val="00941EEE"/>
    <w:rsid w:val="00942181"/>
    <w:rsid w:val="00942B5E"/>
    <w:rsid w:val="00942C3F"/>
    <w:rsid w:val="00943020"/>
    <w:rsid w:val="00952CE9"/>
    <w:rsid w:val="00962A7B"/>
    <w:rsid w:val="009670CE"/>
    <w:rsid w:val="00967F01"/>
    <w:rsid w:val="00971D1C"/>
    <w:rsid w:val="00974CBE"/>
    <w:rsid w:val="009776B0"/>
    <w:rsid w:val="009840CC"/>
    <w:rsid w:val="009B2270"/>
    <w:rsid w:val="009B64DC"/>
    <w:rsid w:val="009C56D7"/>
    <w:rsid w:val="009C6D32"/>
    <w:rsid w:val="009D0950"/>
    <w:rsid w:val="009D0ADA"/>
    <w:rsid w:val="009D1517"/>
    <w:rsid w:val="009E0105"/>
    <w:rsid w:val="009E4448"/>
    <w:rsid w:val="009E6CAC"/>
    <w:rsid w:val="009F49B4"/>
    <w:rsid w:val="00A058A6"/>
    <w:rsid w:val="00A06532"/>
    <w:rsid w:val="00A274D6"/>
    <w:rsid w:val="00A35636"/>
    <w:rsid w:val="00A44DA8"/>
    <w:rsid w:val="00A559E0"/>
    <w:rsid w:val="00A56C74"/>
    <w:rsid w:val="00A56FD3"/>
    <w:rsid w:val="00A60AC3"/>
    <w:rsid w:val="00A618C4"/>
    <w:rsid w:val="00A70969"/>
    <w:rsid w:val="00A72F66"/>
    <w:rsid w:val="00A771BB"/>
    <w:rsid w:val="00A824C0"/>
    <w:rsid w:val="00A91F24"/>
    <w:rsid w:val="00A9659A"/>
    <w:rsid w:val="00AA2804"/>
    <w:rsid w:val="00AA450A"/>
    <w:rsid w:val="00AA4ACE"/>
    <w:rsid w:val="00AB2829"/>
    <w:rsid w:val="00AC3B6E"/>
    <w:rsid w:val="00AD6581"/>
    <w:rsid w:val="00AF2466"/>
    <w:rsid w:val="00AF7383"/>
    <w:rsid w:val="00AF7B22"/>
    <w:rsid w:val="00B13432"/>
    <w:rsid w:val="00B176AE"/>
    <w:rsid w:val="00B24FF6"/>
    <w:rsid w:val="00B3071C"/>
    <w:rsid w:val="00B33100"/>
    <w:rsid w:val="00B37358"/>
    <w:rsid w:val="00B40B99"/>
    <w:rsid w:val="00B44FBF"/>
    <w:rsid w:val="00B4615C"/>
    <w:rsid w:val="00B4755C"/>
    <w:rsid w:val="00B5543B"/>
    <w:rsid w:val="00B568B5"/>
    <w:rsid w:val="00B654C9"/>
    <w:rsid w:val="00B743D5"/>
    <w:rsid w:val="00B749D6"/>
    <w:rsid w:val="00B8256D"/>
    <w:rsid w:val="00B83884"/>
    <w:rsid w:val="00B85C7D"/>
    <w:rsid w:val="00B878D8"/>
    <w:rsid w:val="00B87B71"/>
    <w:rsid w:val="00B90149"/>
    <w:rsid w:val="00BA0727"/>
    <w:rsid w:val="00BA4573"/>
    <w:rsid w:val="00BA476D"/>
    <w:rsid w:val="00BA4C2E"/>
    <w:rsid w:val="00BB143B"/>
    <w:rsid w:val="00BB2B35"/>
    <w:rsid w:val="00BB42DC"/>
    <w:rsid w:val="00BC7DA8"/>
    <w:rsid w:val="00BD1A7E"/>
    <w:rsid w:val="00BD1D3E"/>
    <w:rsid w:val="00BD2242"/>
    <w:rsid w:val="00BE33D3"/>
    <w:rsid w:val="00BE5F8A"/>
    <w:rsid w:val="00BF07C9"/>
    <w:rsid w:val="00BF1FA3"/>
    <w:rsid w:val="00BF240C"/>
    <w:rsid w:val="00BF412A"/>
    <w:rsid w:val="00BF6BE4"/>
    <w:rsid w:val="00BF6FE0"/>
    <w:rsid w:val="00C030A9"/>
    <w:rsid w:val="00C061CD"/>
    <w:rsid w:val="00C10F58"/>
    <w:rsid w:val="00C124E7"/>
    <w:rsid w:val="00C16581"/>
    <w:rsid w:val="00C168F1"/>
    <w:rsid w:val="00C1729A"/>
    <w:rsid w:val="00C2253C"/>
    <w:rsid w:val="00C26BBB"/>
    <w:rsid w:val="00C32C95"/>
    <w:rsid w:val="00C33286"/>
    <w:rsid w:val="00C429EB"/>
    <w:rsid w:val="00C47431"/>
    <w:rsid w:val="00C4749B"/>
    <w:rsid w:val="00C51D02"/>
    <w:rsid w:val="00C54A1E"/>
    <w:rsid w:val="00C601A7"/>
    <w:rsid w:val="00C65B69"/>
    <w:rsid w:val="00C677E3"/>
    <w:rsid w:val="00C76491"/>
    <w:rsid w:val="00C764A0"/>
    <w:rsid w:val="00C76BC5"/>
    <w:rsid w:val="00C76C33"/>
    <w:rsid w:val="00C8153B"/>
    <w:rsid w:val="00C83252"/>
    <w:rsid w:val="00C83577"/>
    <w:rsid w:val="00C86DCC"/>
    <w:rsid w:val="00C878BF"/>
    <w:rsid w:val="00C92E18"/>
    <w:rsid w:val="00C950C8"/>
    <w:rsid w:val="00C956D7"/>
    <w:rsid w:val="00C97002"/>
    <w:rsid w:val="00CA541D"/>
    <w:rsid w:val="00CA5D34"/>
    <w:rsid w:val="00CB54EB"/>
    <w:rsid w:val="00CC53F6"/>
    <w:rsid w:val="00CC6E25"/>
    <w:rsid w:val="00CE10FD"/>
    <w:rsid w:val="00CE197C"/>
    <w:rsid w:val="00CE3143"/>
    <w:rsid w:val="00CE4935"/>
    <w:rsid w:val="00CE4A8D"/>
    <w:rsid w:val="00CF01BD"/>
    <w:rsid w:val="00CF1657"/>
    <w:rsid w:val="00CF3AB7"/>
    <w:rsid w:val="00CF619C"/>
    <w:rsid w:val="00CF7359"/>
    <w:rsid w:val="00CF7EDC"/>
    <w:rsid w:val="00D127D0"/>
    <w:rsid w:val="00D304EB"/>
    <w:rsid w:val="00D36D68"/>
    <w:rsid w:val="00D37BE9"/>
    <w:rsid w:val="00D42CD1"/>
    <w:rsid w:val="00D5024F"/>
    <w:rsid w:val="00D5125F"/>
    <w:rsid w:val="00D54BDC"/>
    <w:rsid w:val="00D573C2"/>
    <w:rsid w:val="00D604ED"/>
    <w:rsid w:val="00D641FB"/>
    <w:rsid w:val="00D6501F"/>
    <w:rsid w:val="00D76578"/>
    <w:rsid w:val="00D8448D"/>
    <w:rsid w:val="00D872C6"/>
    <w:rsid w:val="00D95172"/>
    <w:rsid w:val="00DA1C05"/>
    <w:rsid w:val="00DA2DE3"/>
    <w:rsid w:val="00DA37A4"/>
    <w:rsid w:val="00DB4CB8"/>
    <w:rsid w:val="00DB6FB3"/>
    <w:rsid w:val="00DC266C"/>
    <w:rsid w:val="00DC6CA0"/>
    <w:rsid w:val="00DE1A71"/>
    <w:rsid w:val="00DE51F6"/>
    <w:rsid w:val="00DF1C0A"/>
    <w:rsid w:val="00DF2253"/>
    <w:rsid w:val="00E01265"/>
    <w:rsid w:val="00E0246D"/>
    <w:rsid w:val="00E075CE"/>
    <w:rsid w:val="00E07960"/>
    <w:rsid w:val="00E12CB5"/>
    <w:rsid w:val="00E15532"/>
    <w:rsid w:val="00E15C4C"/>
    <w:rsid w:val="00E2125E"/>
    <w:rsid w:val="00E21DB4"/>
    <w:rsid w:val="00E26515"/>
    <w:rsid w:val="00E308AB"/>
    <w:rsid w:val="00E34520"/>
    <w:rsid w:val="00E349DD"/>
    <w:rsid w:val="00E378EB"/>
    <w:rsid w:val="00E4206B"/>
    <w:rsid w:val="00E448AF"/>
    <w:rsid w:val="00E46635"/>
    <w:rsid w:val="00E50A93"/>
    <w:rsid w:val="00E51980"/>
    <w:rsid w:val="00E53105"/>
    <w:rsid w:val="00E55499"/>
    <w:rsid w:val="00E5696D"/>
    <w:rsid w:val="00E62676"/>
    <w:rsid w:val="00E62D35"/>
    <w:rsid w:val="00E64F75"/>
    <w:rsid w:val="00E71B24"/>
    <w:rsid w:val="00E74B40"/>
    <w:rsid w:val="00E8562D"/>
    <w:rsid w:val="00E856D1"/>
    <w:rsid w:val="00E85A4C"/>
    <w:rsid w:val="00E90B2A"/>
    <w:rsid w:val="00E91813"/>
    <w:rsid w:val="00E91F5E"/>
    <w:rsid w:val="00EA1479"/>
    <w:rsid w:val="00EB1961"/>
    <w:rsid w:val="00EB4788"/>
    <w:rsid w:val="00EB61D9"/>
    <w:rsid w:val="00EC1002"/>
    <w:rsid w:val="00EC26A0"/>
    <w:rsid w:val="00EC2801"/>
    <w:rsid w:val="00EC2C51"/>
    <w:rsid w:val="00ED298F"/>
    <w:rsid w:val="00EE58B1"/>
    <w:rsid w:val="00EF0908"/>
    <w:rsid w:val="00EF44E9"/>
    <w:rsid w:val="00EF7D4B"/>
    <w:rsid w:val="00F02F90"/>
    <w:rsid w:val="00F033DA"/>
    <w:rsid w:val="00F06491"/>
    <w:rsid w:val="00F1172C"/>
    <w:rsid w:val="00F21029"/>
    <w:rsid w:val="00F25BE6"/>
    <w:rsid w:val="00F35593"/>
    <w:rsid w:val="00F42AB6"/>
    <w:rsid w:val="00F5591C"/>
    <w:rsid w:val="00F57709"/>
    <w:rsid w:val="00F631E1"/>
    <w:rsid w:val="00F65F86"/>
    <w:rsid w:val="00F70278"/>
    <w:rsid w:val="00F7375D"/>
    <w:rsid w:val="00F754EB"/>
    <w:rsid w:val="00F778A8"/>
    <w:rsid w:val="00F80504"/>
    <w:rsid w:val="00F80AA9"/>
    <w:rsid w:val="00F82509"/>
    <w:rsid w:val="00F84233"/>
    <w:rsid w:val="00F84E73"/>
    <w:rsid w:val="00F90048"/>
    <w:rsid w:val="00F95D6A"/>
    <w:rsid w:val="00F97C36"/>
    <w:rsid w:val="00FA1A88"/>
    <w:rsid w:val="00FA44C0"/>
    <w:rsid w:val="00FA4C93"/>
    <w:rsid w:val="00FB4F1D"/>
    <w:rsid w:val="00FB76A0"/>
    <w:rsid w:val="00FD1217"/>
    <w:rsid w:val="00FD24C7"/>
    <w:rsid w:val="00FD7007"/>
    <w:rsid w:val="00FE0FDD"/>
    <w:rsid w:val="00FE254F"/>
    <w:rsid w:val="00FF65B0"/>
    <w:rsid w:val="05186D2B"/>
    <w:rsid w:val="06250FAF"/>
    <w:rsid w:val="0850035E"/>
    <w:rsid w:val="0931228C"/>
    <w:rsid w:val="0BF36E8E"/>
    <w:rsid w:val="146666B0"/>
    <w:rsid w:val="14E259B1"/>
    <w:rsid w:val="171674C8"/>
    <w:rsid w:val="1E0C3E1C"/>
    <w:rsid w:val="1E1D3020"/>
    <w:rsid w:val="216A4F97"/>
    <w:rsid w:val="21E94B7D"/>
    <w:rsid w:val="26284D64"/>
    <w:rsid w:val="267E15A7"/>
    <w:rsid w:val="27BB2937"/>
    <w:rsid w:val="27EF5B31"/>
    <w:rsid w:val="28412DD3"/>
    <w:rsid w:val="296857DB"/>
    <w:rsid w:val="2C6B2C66"/>
    <w:rsid w:val="2F1F4BD0"/>
    <w:rsid w:val="3567601C"/>
    <w:rsid w:val="38025B18"/>
    <w:rsid w:val="3FB54C4D"/>
    <w:rsid w:val="42D37F6C"/>
    <w:rsid w:val="437F133F"/>
    <w:rsid w:val="44041377"/>
    <w:rsid w:val="4A093641"/>
    <w:rsid w:val="4E652B3E"/>
    <w:rsid w:val="51F63B93"/>
    <w:rsid w:val="528642FD"/>
    <w:rsid w:val="5AA6034C"/>
    <w:rsid w:val="5E5766B5"/>
    <w:rsid w:val="5FDFD3CA"/>
    <w:rsid w:val="61433CA7"/>
    <w:rsid w:val="62196F02"/>
    <w:rsid w:val="666A31CC"/>
    <w:rsid w:val="671113E0"/>
    <w:rsid w:val="76231886"/>
    <w:rsid w:val="78083E54"/>
    <w:rsid w:val="7EF13227"/>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rFonts w:asciiTheme="minorHAnsi" w:hAnsiTheme="minorHAnsi" w:cstheme="minorHAnsi"/>
      <w:sz w:val="18"/>
      <w:szCs w:val="18"/>
    </w:rPr>
  </w:style>
  <w:style w:type="paragraph" w:styleId="4">
    <w:name w:val="Document Map"/>
    <w:basedOn w:val="1"/>
    <w:link w:val="37"/>
    <w:semiHidden/>
    <w:unhideWhenUsed/>
    <w:qFormat/>
    <w:uiPriority w:val="99"/>
    <w:rPr>
      <w:rFonts w:ascii="宋体"/>
      <w:sz w:val="18"/>
      <w:szCs w:val="18"/>
    </w:rPr>
  </w:style>
  <w:style w:type="paragraph" w:styleId="5">
    <w:name w:val="annotation text"/>
    <w:basedOn w:val="1"/>
    <w:link w:val="34"/>
    <w:semiHidden/>
    <w:unhideWhenUsed/>
    <w:qFormat/>
    <w:uiPriority w:val="99"/>
    <w:pPr>
      <w:jc w:val="left"/>
    </w:pPr>
    <w:rPr>
      <w:rFonts w:cs="Times New Roman"/>
    </w:rPr>
  </w:style>
  <w:style w:type="paragraph" w:styleId="6">
    <w:name w:val="toc 5"/>
    <w:basedOn w:val="1"/>
    <w:next w:val="1"/>
    <w:unhideWhenUsed/>
    <w:qFormat/>
    <w:uiPriority w:val="39"/>
    <w:pPr>
      <w:ind w:left="840"/>
      <w:jc w:val="left"/>
    </w:pPr>
    <w:rPr>
      <w:rFonts w:asciiTheme="minorHAnsi" w:hAnsiTheme="minorHAnsi" w:cstheme="minorHAnsi"/>
      <w:sz w:val="18"/>
      <w:szCs w:val="18"/>
    </w:rPr>
  </w:style>
  <w:style w:type="paragraph" w:styleId="7">
    <w:name w:val="toc 3"/>
    <w:basedOn w:val="1"/>
    <w:next w:val="1"/>
    <w:unhideWhenUsed/>
    <w:qFormat/>
    <w:uiPriority w:val="39"/>
    <w:pPr>
      <w:ind w:left="420"/>
      <w:jc w:val="left"/>
    </w:pPr>
    <w:rPr>
      <w:rFonts w:asciiTheme="minorHAnsi" w:hAnsiTheme="minorHAnsi" w:cstheme="minorHAnsi"/>
      <w:iCs/>
      <w:sz w:val="22"/>
      <w:szCs w:val="20"/>
    </w:rPr>
  </w:style>
  <w:style w:type="paragraph" w:styleId="8">
    <w:name w:val="toc 8"/>
    <w:basedOn w:val="1"/>
    <w:next w:val="1"/>
    <w:unhideWhenUsed/>
    <w:qFormat/>
    <w:uiPriority w:val="39"/>
    <w:pPr>
      <w:ind w:left="1470"/>
      <w:jc w:val="left"/>
    </w:pPr>
    <w:rPr>
      <w:rFonts w:asciiTheme="minorHAnsi" w:hAnsiTheme="minorHAnsi" w:cstheme="minorHAnsi"/>
      <w:sz w:val="18"/>
      <w:szCs w:val="18"/>
    </w:rPr>
  </w:style>
  <w:style w:type="paragraph" w:styleId="9">
    <w:name w:val="Balloon Text"/>
    <w:basedOn w:val="1"/>
    <w:link w:val="33"/>
    <w:semiHidden/>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3">
    <w:name w:val="toc 4"/>
    <w:basedOn w:val="1"/>
    <w:next w:val="1"/>
    <w:unhideWhenUsed/>
    <w:qFormat/>
    <w:uiPriority w:val="39"/>
    <w:pPr>
      <w:ind w:left="630"/>
      <w:jc w:val="left"/>
    </w:pPr>
    <w:rPr>
      <w:rFonts w:asciiTheme="minorHAnsi" w:hAnsiTheme="minorHAnsi" w:cstheme="minorHAnsi"/>
      <w:sz w:val="18"/>
      <w:szCs w:val="18"/>
    </w:rPr>
  </w:style>
  <w:style w:type="paragraph" w:styleId="14">
    <w:name w:val="toc 6"/>
    <w:basedOn w:val="1"/>
    <w:next w:val="1"/>
    <w:unhideWhenUsed/>
    <w:qFormat/>
    <w:uiPriority w:val="39"/>
    <w:pPr>
      <w:ind w:left="1050"/>
      <w:jc w:val="left"/>
    </w:pPr>
    <w:rPr>
      <w:rFonts w:asciiTheme="minorHAnsi" w:hAnsiTheme="minorHAnsi" w:cstheme="minorHAnsi"/>
      <w:sz w:val="18"/>
      <w:szCs w:val="18"/>
    </w:rPr>
  </w:style>
  <w:style w:type="paragraph" w:styleId="15">
    <w:name w:val="toc 2"/>
    <w:basedOn w:val="1"/>
    <w:next w:val="1"/>
    <w:qFormat/>
    <w:uiPriority w:val="39"/>
    <w:pPr>
      <w:ind w:left="210"/>
      <w:jc w:val="left"/>
    </w:pPr>
    <w:rPr>
      <w:rFonts w:asciiTheme="minorHAnsi" w:hAnsiTheme="minorHAnsi" w:cstheme="minorHAnsi"/>
      <w:smallCaps/>
      <w:sz w:val="20"/>
      <w:szCs w:val="20"/>
    </w:rPr>
  </w:style>
  <w:style w:type="paragraph" w:styleId="16">
    <w:name w:val="toc 9"/>
    <w:basedOn w:val="1"/>
    <w:next w:val="1"/>
    <w:unhideWhenUsed/>
    <w:qFormat/>
    <w:uiPriority w:val="39"/>
    <w:pPr>
      <w:ind w:left="1680"/>
      <w:jc w:val="left"/>
    </w:pPr>
    <w:rPr>
      <w:rFonts w:asciiTheme="minorHAnsi" w:hAnsiTheme="minorHAnsi" w:cstheme="minorHAnsi"/>
      <w:sz w:val="18"/>
      <w:szCs w:val="18"/>
    </w:rPr>
  </w:style>
  <w:style w:type="paragraph" w:styleId="17">
    <w:name w:val="Normal (Web)"/>
    <w:basedOn w:val="1"/>
    <w:unhideWhenUsed/>
    <w:qFormat/>
    <w:uiPriority w:val="99"/>
    <w:pPr>
      <w:spacing w:before="100" w:beforeAutospacing="1" w:after="100" w:afterAutospacing="1" w:line="330" w:lineRule="atLeast"/>
    </w:pPr>
    <w:rPr>
      <w:rFonts w:ascii="宋体" w:hAnsi="宋体" w:cs="Times New Roman"/>
    </w:rPr>
  </w:style>
  <w:style w:type="paragraph" w:styleId="18">
    <w:name w:val="annotation subject"/>
    <w:basedOn w:val="5"/>
    <w:next w:val="5"/>
    <w:link w:val="36"/>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basedOn w:val="21"/>
    <w:qFormat/>
    <w:uiPriority w:val="99"/>
    <w:rPr>
      <w:color w:val="0563C1"/>
      <w:u w:val="single"/>
    </w:rPr>
  </w:style>
  <w:style w:type="character" w:styleId="25">
    <w:name w:val="annotation reference"/>
    <w:basedOn w:val="21"/>
    <w:semiHidden/>
    <w:unhideWhenUsed/>
    <w:qFormat/>
    <w:uiPriority w:val="99"/>
    <w:rPr>
      <w:sz w:val="21"/>
      <w:szCs w:val="21"/>
    </w:rPr>
  </w:style>
  <w:style w:type="character" w:customStyle="1" w:styleId="26">
    <w:name w:val="标题 1 Char"/>
    <w:basedOn w:val="21"/>
    <w:link w:val="2"/>
    <w:qFormat/>
    <w:uiPriority w:val="9"/>
    <w:rPr>
      <w:rFonts w:ascii="Calibri" w:hAnsi="Calibri" w:eastAsia="宋体" w:cs="Calibri"/>
      <w:b/>
      <w:bCs/>
      <w:kern w:val="44"/>
      <w:sz w:val="44"/>
      <w:szCs w:val="44"/>
    </w:rPr>
  </w:style>
  <w:style w:type="paragraph" w:customStyle="1" w:styleId="27">
    <w:name w:val="TOC 标题1"/>
    <w:basedOn w:val="2"/>
    <w:next w:val="1"/>
    <w:qFormat/>
    <w:uiPriority w:val="39"/>
    <w:pPr>
      <w:widowControl/>
      <w:spacing w:before="240" w:after="0" w:line="259" w:lineRule="auto"/>
      <w:jc w:val="left"/>
      <w:outlineLvl w:val="9"/>
    </w:pPr>
    <w:rPr>
      <w:rFonts w:ascii="等线 Light" w:hAnsi="等线 Light" w:eastAsia="等线 Light" w:cs="宋体"/>
      <w:b w:val="0"/>
      <w:bCs w:val="0"/>
      <w:color w:val="2E74B5"/>
      <w:kern w:val="0"/>
      <w:sz w:val="32"/>
      <w:szCs w:val="32"/>
    </w:rPr>
  </w:style>
  <w:style w:type="character" w:customStyle="1" w:styleId="28">
    <w:name w:val="页眉 Char"/>
    <w:basedOn w:val="21"/>
    <w:link w:val="11"/>
    <w:qFormat/>
    <w:uiPriority w:val="99"/>
    <w:rPr>
      <w:rFonts w:ascii="Calibri" w:hAnsi="Calibri" w:eastAsia="宋体" w:cs="Calibri"/>
      <w:sz w:val="18"/>
      <w:szCs w:val="18"/>
    </w:rPr>
  </w:style>
  <w:style w:type="character" w:customStyle="1" w:styleId="29">
    <w:name w:val="页脚 Char"/>
    <w:basedOn w:val="21"/>
    <w:link w:val="10"/>
    <w:qFormat/>
    <w:uiPriority w:val="99"/>
    <w:rPr>
      <w:rFonts w:ascii="Calibri" w:hAnsi="Calibri" w:eastAsia="宋体" w:cs="Calibri"/>
      <w:sz w:val="18"/>
      <w:szCs w:val="18"/>
    </w:rPr>
  </w:style>
  <w:style w:type="paragraph" w:customStyle="1" w:styleId="30">
    <w:name w:val="条文"/>
    <w:basedOn w:val="1"/>
    <w:link w:val="31"/>
    <w:qFormat/>
    <w:uiPriority w:val="99"/>
    <w:pPr>
      <w:adjustRightInd w:val="0"/>
      <w:spacing w:beforeLines="50" w:afterLines="50" w:line="360" w:lineRule="auto"/>
      <w:jc w:val="left"/>
    </w:pPr>
    <w:rPr>
      <w:rFonts w:ascii="Times New Roman" w:hAnsi="Times New Roman" w:cs="Times New Roman"/>
      <w:bCs/>
      <w:sz w:val="24"/>
      <w:szCs w:val="24"/>
    </w:rPr>
  </w:style>
  <w:style w:type="character" w:customStyle="1" w:styleId="31">
    <w:name w:val="条文 Char"/>
    <w:link w:val="30"/>
    <w:qFormat/>
    <w:uiPriority w:val="99"/>
    <w:rPr>
      <w:rFonts w:ascii="Times New Roman" w:hAnsi="Times New Roman" w:eastAsia="宋体" w:cs="Times New Roman"/>
      <w:bCs/>
      <w:sz w:val="24"/>
      <w:szCs w:val="24"/>
    </w:rPr>
  </w:style>
  <w:style w:type="paragraph" w:styleId="32">
    <w:name w:val="List Paragraph"/>
    <w:basedOn w:val="1"/>
    <w:qFormat/>
    <w:uiPriority w:val="34"/>
    <w:pPr>
      <w:ind w:firstLine="420" w:firstLineChars="200"/>
    </w:pPr>
  </w:style>
  <w:style w:type="character" w:customStyle="1" w:styleId="33">
    <w:name w:val="批注框文本 Char"/>
    <w:basedOn w:val="21"/>
    <w:link w:val="9"/>
    <w:semiHidden/>
    <w:qFormat/>
    <w:uiPriority w:val="99"/>
    <w:rPr>
      <w:rFonts w:ascii="Calibri" w:hAnsi="Calibri" w:eastAsia="宋体" w:cs="Calibri"/>
      <w:kern w:val="2"/>
      <w:sz w:val="18"/>
      <w:szCs w:val="18"/>
    </w:rPr>
  </w:style>
  <w:style w:type="character" w:customStyle="1" w:styleId="34">
    <w:name w:val="批注文字 Char"/>
    <w:basedOn w:val="21"/>
    <w:link w:val="5"/>
    <w:semiHidden/>
    <w:qFormat/>
    <w:uiPriority w:val="99"/>
    <w:rPr>
      <w:rFonts w:ascii="Calibri" w:hAnsi="Calibri" w:eastAsia="宋体" w:cs="Calibri"/>
      <w:kern w:val="2"/>
      <w:sz w:val="21"/>
      <w:szCs w:val="21"/>
    </w:rPr>
  </w:style>
  <w:style w:type="character" w:customStyle="1" w:styleId="35">
    <w:name w:val="未处理的提及1"/>
    <w:basedOn w:val="21"/>
    <w:semiHidden/>
    <w:unhideWhenUsed/>
    <w:qFormat/>
    <w:uiPriority w:val="99"/>
    <w:rPr>
      <w:color w:val="605E5C"/>
      <w:shd w:val="clear" w:color="auto" w:fill="E1DFDD"/>
    </w:rPr>
  </w:style>
  <w:style w:type="character" w:customStyle="1" w:styleId="36">
    <w:name w:val="批注主题 Char"/>
    <w:basedOn w:val="34"/>
    <w:link w:val="18"/>
    <w:semiHidden/>
    <w:qFormat/>
    <w:uiPriority w:val="99"/>
    <w:rPr>
      <w:rFonts w:ascii="Calibri" w:hAnsi="Calibri" w:eastAsia="宋体" w:cs="Calibri"/>
      <w:b/>
      <w:bCs/>
      <w:kern w:val="2"/>
      <w:sz w:val="21"/>
      <w:szCs w:val="21"/>
    </w:rPr>
  </w:style>
  <w:style w:type="character" w:customStyle="1" w:styleId="37">
    <w:name w:val="文档结构图 Char"/>
    <w:basedOn w:val="21"/>
    <w:link w:val="4"/>
    <w:semiHidden/>
    <w:qFormat/>
    <w:uiPriority w:val="99"/>
    <w:rPr>
      <w:rFonts w:ascii="宋体" w:hAnsi="Calibri" w:eastAsia="宋体" w:cs="Calibri"/>
      <w:kern w:val="2"/>
      <w:sz w:val="18"/>
      <w:szCs w:val="18"/>
    </w:rPr>
  </w:style>
  <w:style w:type="paragraph" w:customStyle="1" w:styleId="38">
    <w:name w:val="msolistparagraph"/>
    <w:basedOn w:val="1"/>
    <w:qFormat/>
    <w:uiPriority w:val="0"/>
    <w:pPr>
      <w:ind w:firstLine="420" w:firstLineChars="200"/>
    </w:pPr>
    <w:rPr>
      <w:rFonts w:cs="Times New Roman"/>
    </w:rPr>
  </w:style>
  <w:style w:type="paragraph" w:customStyle="1" w:styleId="39">
    <w:name w:val="其他标准称谓"/>
    <w:qFormat/>
    <w:uiPriority w:val="99"/>
    <w:pPr>
      <w:spacing w:line="240" w:lineRule="atLeast"/>
      <w:jc w:val="distribute"/>
    </w:pPr>
    <w:rPr>
      <w:rFonts w:ascii="黑体" w:hAnsi="宋体" w:eastAsia="黑体" w:cs="Times New Roman"/>
      <w:sz w:val="52"/>
      <w:szCs w:val="52"/>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标准标志"/>
    <w:basedOn w:val="40"/>
    <w:next w:val="40"/>
    <w:qFormat/>
    <w:uiPriority w:val="99"/>
    <w:rPr>
      <w:color w:val="auto"/>
    </w:rPr>
  </w:style>
  <w:style w:type="paragraph" w:customStyle="1" w:styleId="42">
    <w:name w:val="发布日期"/>
    <w:basedOn w:val="40"/>
    <w:next w:val="40"/>
    <w:qFormat/>
    <w:uiPriority w:val="99"/>
    <w:rPr>
      <w:color w:val="auto"/>
    </w:rPr>
  </w:style>
  <w:style w:type="paragraph" w:customStyle="1" w:styleId="43">
    <w:name w:val="实施日期"/>
    <w:basedOn w:val="40"/>
    <w:next w:val="40"/>
    <w:qFormat/>
    <w:uiPriority w:val="99"/>
    <w:rPr>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6496</Words>
  <Characters>37030</Characters>
  <Lines>308</Lines>
  <Paragraphs>86</Paragraphs>
  <TotalTime>3</TotalTime>
  <ScaleCrop>false</ScaleCrop>
  <LinksUpToDate>false</LinksUpToDate>
  <CharactersWithSpaces>43440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2019-10-31T18:05:00Z</dcterms:created>
  <dc:creator>xie qiupeng</dc:creator>
  <cp:lastModifiedBy>L.Jie</cp:lastModifiedBy>
  <cp:lastPrinted>2019-09-26T20:39:00Z</cp:lastPrinted>
  <dcterms:modified xsi:type="dcterms:W3CDTF">2025-07-03T18:41:56Z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