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42" w:rightChars="-20"/>
        <w:jc w:val="center"/>
        <w:rPr>
          <w:rFonts w:eastAsia="黑体"/>
          <w:b/>
          <w:sz w:val="48"/>
          <w:szCs w:val="48"/>
        </w:rPr>
      </w:pPr>
    </w:p>
    <w:p>
      <w:pPr>
        <w:spacing w:line="360" w:lineRule="auto"/>
        <w:ind w:right="-42" w:rightChars="-20"/>
        <w:jc w:val="center"/>
        <w:rPr>
          <w:rFonts w:eastAsia="黑体"/>
          <w:b/>
          <w:sz w:val="48"/>
          <w:szCs w:val="48"/>
        </w:rPr>
      </w:pPr>
    </w:p>
    <w:p>
      <w:pPr>
        <w:spacing w:line="360" w:lineRule="auto"/>
        <w:ind w:right="-42" w:rightChars="-20"/>
        <w:jc w:val="center"/>
        <w:rPr>
          <w:b/>
          <w:sz w:val="48"/>
          <w:szCs w:val="44"/>
        </w:rPr>
      </w:pPr>
      <w:r>
        <w:rPr>
          <w:rFonts w:hint="eastAsia" w:eastAsia="黑体"/>
          <w:b/>
          <w:sz w:val="48"/>
          <w:szCs w:val="48"/>
        </w:rPr>
        <w:t>深圳市重点区域建设工程设计导则</w:t>
      </w:r>
    </w:p>
    <w:p>
      <w:pPr>
        <w:pStyle w:val="114"/>
        <w:spacing w:line="360" w:lineRule="auto"/>
        <w:jc w:val="center"/>
        <w:rPr>
          <w:b/>
          <w:color w:val="auto"/>
          <w:sz w:val="44"/>
        </w:rPr>
      </w:pPr>
      <w:r>
        <w:rPr>
          <w:b/>
          <w:color w:val="auto"/>
          <w:sz w:val="44"/>
        </w:rPr>
        <w:t>（</w:t>
      </w:r>
      <w:r>
        <w:rPr>
          <w:rFonts w:hint="eastAsia"/>
          <w:b/>
          <w:color w:val="auto"/>
          <w:sz w:val="44"/>
        </w:rPr>
        <w:t>征求意见稿</w:t>
      </w:r>
      <w:r>
        <w:rPr>
          <w:b/>
          <w:color w:val="auto"/>
          <w:sz w:val="44"/>
        </w:rPr>
        <w:t>）</w:t>
      </w:r>
    </w:p>
    <w:p>
      <w:pPr>
        <w:pStyle w:val="114"/>
        <w:spacing w:line="360" w:lineRule="auto"/>
        <w:jc w:val="center"/>
        <w:rPr>
          <w:b/>
          <w:color w:val="auto"/>
          <w:sz w:val="44"/>
        </w:rPr>
      </w:pPr>
    </w:p>
    <w:p>
      <w:pPr>
        <w:pStyle w:val="114"/>
        <w:spacing w:line="360" w:lineRule="auto"/>
        <w:rPr>
          <w:color w:val="auto"/>
        </w:rPr>
      </w:pPr>
    </w:p>
    <w:p>
      <w:pPr>
        <w:pStyle w:val="114"/>
        <w:spacing w:line="360" w:lineRule="auto"/>
        <w:rPr>
          <w:color w:val="auto"/>
        </w:rPr>
      </w:pPr>
    </w:p>
    <w:p>
      <w:pPr>
        <w:pStyle w:val="114"/>
        <w:spacing w:line="360" w:lineRule="auto"/>
        <w:rPr>
          <w:color w:val="auto"/>
        </w:rPr>
      </w:pPr>
    </w:p>
    <w:p>
      <w:pPr>
        <w:pStyle w:val="114"/>
        <w:spacing w:line="360" w:lineRule="auto"/>
        <w:rPr>
          <w:color w:val="auto"/>
        </w:rPr>
      </w:pPr>
    </w:p>
    <w:p>
      <w:pPr>
        <w:pStyle w:val="114"/>
        <w:spacing w:line="360" w:lineRule="auto"/>
        <w:rPr>
          <w:color w:val="auto"/>
        </w:rPr>
      </w:pPr>
    </w:p>
    <w:p>
      <w:pPr>
        <w:pStyle w:val="114"/>
        <w:spacing w:line="360" w:lineRule="auto"/>
        <w:rPr>
          <w:color w:val="auto"/>
        </w:rPr>
      </w:pPr>
    </w:p>
    <w:p>
      <w:pPr>
        <w:pStyle w:val="114"/>
        <w:spacing w:line="360" w:lineRule="auto"/>
        <w:rPr>
          <w:color w:val="auto"/>
        </w:rPr>
      </w:pPr>
    </w:p>
    <w:p>
      <w:pPr>
        <w:pStyle w:val="114"/>
        <w:spacing w:line="360" w:lineRule="auto"/>
        <w:rPr>
          <w:color w:val="auto"/>
        </w:rPr>
      </w:pPr>
    </w:p>
    <w:p>
      <w:pPr>
        <w:pStyle w:val="114"/>
        <w:spacing w:line="360" w:lineRule="auto"/>
        <w:rPr>
          <w:color w:val="auto"/>
        </w:rPr>
      </w:pPr>
    </w:p>
    <w:p>
      <w:pPr>
        <w:pStyle w:val="114"/>
        <w:spacing w:line="360" w:lineRule="auto"/>
        <w:rPr>
          <w:color w:val="auto"/>
        </w:rPr>
      </w:pPr>
    </w:p>
    <w:p>
      <w:pPr>
        <w:pStyle w:val="114"/>
        <w:spacing w:line="360" w:lineRule="auto"/>
        <w:rPr>
          <w:color w:val="auto"/>
        </w:rPr>
      </w:pPr>
    </w:p>
    <w:p>
      <w:pPr>
        <w:pStyle w:val="114"/>
        <w:spacing w:line="360" w:lineRule="auto"/>
        <w:rPr>
          <w:color w:val="auto"/>
        </w:rPr>
      </w:pPr>
    </w:p>
    <w:p>
      <w:pPr>
        <w:pStyle w:val="114"/>
        <w:spacing w:line="360" w:lineRule="auto"/>
        <w:rPr>
          <w:color w:val="auto"/>
        </w:rPr>
      </w:pPr>
    </w:p>
    <w:p>
      <w:pPr>
        <w:pStyle w:val="114"/>
        <w:spacing w:line="360" w:lineRule="auto"/>
        <w:rPr>
          <w:color w:val="auto"/>
        </w:rPr>
      </w:pPr>
    </w:p>
    <w:p>
      <w:pPr>
        <w:pStyle w:val="114"/>
        <w:spacing w:line="360" w:lineRule="auto"/>
        <w:rPr>
          <w:color w:val="auto"/>
        </w:rPr>
      </w:pPr>
    </w:p>
    <w:p>
      <w:pPr>
        <w:pStyle w:val="114"/>
        <w:spacing w:line="360" w:lineRule="auto"/>
        <w:rPr>
          <w:color w:val="auto"/>
        </w:rPr>
      </w:pPr>
    </w:p>
    <w:p>
      <w:pPr>
        <w:pStyle w:val="114"/>
        <w:spacing w:line="360" w:lineRule="auto"/>
        <w:rPr>
          <w:color w:val="auto"/>
        </w:rPr>
      </w:pPr>
    </w:p>
    <w:p>
      <w:pPr>
        <w:pStyle w:val="114"/>
        <w:spacing w:line="360" w:lineRule="auto"/>
        <w:rPr>
          <w:color w:val="auto"/>
        </w:rPr>
      </w:pPr>
    </w:p>
    <w:p>
      <w:pPr>
        <w:pStyle w:val="114"/>
        <w:spacing w:line="360" w:lineRule="auto"/>
        <w:rPr>
          <w:color w:val="auto"/>
        </w:rPr>
      </w:pPr>
    </w:p>
    <w:p>
      <w:pPr>
        <w:pStyle w:val="114"/>
        <w:spacing w:line="360" w:lineRule="auto"/>
        <w:rPr>
          <w:color w:val="auto"/>
        </w:rPr>
      </w:pPr>
      <w:r>
        <w:rPr>
          <w:rFonts w:eastAsia="黑体e眠副浡渀."/>
          <w:color w:val="auto"/>
          <w:sz w:val="28"/>
          <w:szCs w:val="28"/>
        </w:rPr>
        <w:pict>
          <v:shape id="_x0000_s2050" o:spid="_x0000_s2050" o:spt="32" type="#_x0000_t32" style="position:absolute;left:0pt;margin-left:0.15pt;margin-top:25.9pt;height:0pt;width:421.35pt;z-index:251660288;mso-width-relative:page;mso-height-relative:page;" filled="f" coordsize="21600,21600" o:gfxdata="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bTnh01AAAAAYB&#10;AAAPAAAAAAAAAAEAIAAAACIAAABkcnMvZG93bnJldi54bWxQSwECFAAUAAAACACHTuJAGX5inOYB&#10;AACsAwAADgAAAAAAAAABACAAAAAjAQAAZHJzL2Uyb0RvYy54bWxQSwUGAAAAAAYABgBZAQAAewUA&#10;AAAA&#10;">
            <v:path arrowok="t"/>
            <v:fill on="f" focussize="0,0"/>
            <v:stroke/>
            <v:imagedata o:title=""/>
            <o:lock v:ext="edit"/>
          </v:shape>
        </w:pict>
      </w:r>
      <w:r>
        <w:rPr>
          <w:color w:val="auto"/>
          <w:sz w:val="28"/>
          <w:szCs w:val="28"/>
        </w:rPr>
        <w:t>20</w:t>
      </w:r>
      <w:r>
        <w:rPr>
          <w:rFonts w:eastAsia="黑体e眠副浡渀."/>
          <w:color w:val="auto"/>
          <w:sz w:val="28"/>
          <w:szCs w:val="28"/>
        </w:rPr>
        <w:t>xx</w:t>
      </w:r>
      <w:r>
        <w:rPr>
          <w:color w:val="auto"/>
          <w:sz w:val="28"/>
          <w:szCs w:val="28"/>
        </w:rPr>
        <w:t>－ xx－xx发布                          20</w:t>
      </w:r>
      <w:r>
        <w:rPr>
          <w:rFonts w:eastAsia="黑体e眠副浡渀."/>
          <w:color w:val="auto"/>
          <w:sz w:val="28"/>
          <w:szCs w:val="28"/>
        </w:rPr>
        <w:t>xx</w:t>
      </w:r>
      <w:r>
        <w:rPr>
          <w:color w:val="auto"/>
          <w:sz w:val="28"/>
          <w:szCs w:val="28"/>
        </w:rPr>
        <w:t>－xx－xx实施</w:t>
      </w:r>
    </w:p>
    <w:p>
      <w:pPr>
        <w:spacing w:line="360" w:lineRule="auto"/>
        <w:jc w:val="center"/>
        <w:rPr>
          <w:rFonts w:eastAsia="黑体"/>
          <w:sz w:val="28"/>
          <w:szCs w:val="28"/>
        </w:rPr>
      </w:pPr>
      <w:r>
        <w:rPr>
          <w:rFonts w:eastAsia="黑体"/>
          <w:sz w:val="36"/>
          <w:szCs w:val="36"/>
        </w:rPr>
        <w:t>深圳市</w:t>
      </w:r>
      <w:r>
        <w:rPr>
          <w:rFonts w:hint="eastAsia" w:eastAsia="黑体"/>
          <w:sz w:val="36"/>
          <w:szCs w:val="36"/>
        </w:rPr>
        <w:t xml:space="preserve">住房和建设局    </w:t>
      </w:r>
      <w:r>
        <w:rPr>
          <w:rFonts w:hint="eastAsia"/>
          <w:sz w:val="28"/>
          <w:szCs w:val="28"/>
        </w:rPr>
        <w:t xml:space="preserve">               </w:t>
      </w:r>
      <w:r>
        <w:rPr>
          <w:rFonts w:eastAsia="黑体"/>
          <w:sz w:val="36"/>
          <w:szCs w:val="36"/>
        </w:rPr>
        <w:t>发布</w:t>
      </w:r>
    </w:p>
    <w:p>
      <w:pPr>
        <w:spacing w:line="360" w:lineRule="auto"/>
        <w:jc w:val="center"/>
        <w:rPr>
          <w:rFonts w:eastAsia="黑体"/>
          <w:sz w:val="28"/>
          <w:szCs w:val="28"/>
        </w:rPr>
      </w:pPr>
    </w:p>
    <w:p>
      <w:pPr>
        <w:pageBreakBefore/>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前 言</w:t>
      </w:r>
    </w:p>
    <w:p>
      <w:pPr>
        <w:spacing w:line="360" w:lineRule="auto"/>
        <w:ind w:firstLine="560" w:firstLineChars="200"/>
        <w:rPr>
          <w:rFonts w:asciiTheme="minorEastAsia" w:hAnsiTheme="minorEastAsia" w:eastAsiaTheme="minorEastAsia"/>
          <w:sz w:val="28"/>
          <w:szCs w:val="28"/>
        </w:rPr>
      </w:pPr>
      <w:r>
        <w:rPr>
          <w:rFonts w:ascii="宋体" w:hAnsi="宋体" w:cs="宋体"/>
          <w:kern w:val="0"/>
          <w:sz w:val="28"/>
          <w:szCs w:val="28"/>
        </w:rPr>
        <w:t>为</w:t>
      </w:r>
      <w:r>
        <w:rPr>
          <w:rFonts w:hint="eastAsia" w:ascii="宋体" w:hAnsi="宋体" w:cs="宋体"/>
          <w:kern w:val="0"/>
          <w:sz w:val="28"/>
          <w:szCs w:val="28"/>
        </w:rPr>
        <w:t>高质量、高水平推进本市重点区域工程建设，确立有关建设标准，引导及规范该区域</w:t>
      </w:r>
      <w:r>
        <w:rPr>
          <w:rFonts w:ascii="宋体" w:hAnsi="宋体" w:cs="宋体"/>
          <w:kern w:val="0"/>
          <w:sz w:val="28"/>
          <w:szCs w:val="28"/>
        </w:rPr>
        <w:t>工程设计，</w:t>
      </w:r>
      <w:r>
        <w:rPr>
          <w:rFonts w:hint="eastAsia" w:ascii="宋体" w:hAnsi="宋体" w:cs="宋体"/>
          <w:kern w:val="0"/>
          <w:sz w:val="28"/>
          <w:szCs w:val="28"/>
        </w:rPr>
        <w:t>打造精品工程项目，助建宜业宜居现代化国际化城市范例</w:t>
      </w:r>
      <w:r>
        <w:rPr>
          <w:rFonts w:hint="eastAsia" w:asciiTheme="minorEastAsia" w:hAnsiTheme="minorEastAsia" w:eastAsiaTheme="minorEastAsia"/>
          <w:sz w:val="28"/>
          <w:szCs w:val="28"/>
        </w:rPr>
        <w:t>，深圳市住房和建设局经广泛调查研究，认真总结国内外相关建设成果和实践经验，依据有关法律法规，以现行工程建设标准技术条款为基础，浓缩提炼、查缺补漏、强化提升、完善创新，并在充分征求相关方面意见的基础上，制定本导则。</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本导则技术内容主要包括9章，分别为：</w:t>
      </w:r>
      <w:r>
        <w:rPr>
          <w:rFonts w:asciiTheme="minorEastAsia" w:hAnsiTheme="minorEastAsia" w:eastAsiaTheme="minorEastAsia"/>
          <w:sz w:val="28"/>
          <w:szCs w:val="28"/>
        </w:rPr>
        <w:t>1</w:t>
      </w:r>
      <w:r>
        <w:rPr>
          <w:rFonts w:hint="eastAsia" w:asciiTheme="minorEastAsia" w:hAnsiTheme="minorEastAsia" w:eastAsiaTheme="minorEastAsia"/>
          <w:sz w:val="28"/>
          <w:szCs w:val="28"/>
        </w:rPr>
        <w:t>总则；2 术语；3基本</w:t>
      </w:r>
      <w:r>
        <w:rPr>
          <w:rFonts w:asciiTheme="minorEastAsia" w:hAnsiTheme="minorEastAsia" w:eastAsiaTheme="minorEastAsia"/>
          <w:sz w:val="28"/>
          <w:szCs w:val="28"/>
        </w:rPr>
        <w:t>规定</w:t>
      </w:r>
      <w:r>
        <w:rPr>
          <w:rFonts w:hint="eastAsia" w:asciiTheme="minorEastAsia" w:hAnsiTheme="minorEastAsia" w:eastAsiaTheme="minorEastAsia"/>
          <w:sz w:val="28"/>
          <w:szCs w:val="28"/>
        </w:rPr>
        <w:t>；4建设原则及标准；5建筑工程设计；6市政工程设计；7水利工程设计；8园林景观工程设计；9岩土工程设计。</w:t>
      </w:r>
    </w:p>
    <w:p>
      <w:pPr>
        <w:spacing w:line="360" w:lineRule="auto"/>
        <w:ind w:firstLine="555"/>
        <w:rPr>
          <w:rFonts w:asciiTheme="minorEastAsia" w:hAnsiTheme="minorEastAsia" w:eastAsiaTheme="minorEastAsia"/>
          <w:sz w:val="28"/>
          <w:szCs w:val="28"/>
        </w:rPr>
      </w:pPr>
    </w:p>
    <w:p>
      <w:pPr>
        <w:spacing w:line="360" w:lineRule="auto"/>
        <w:ind w:firstLine="555"/>
        <w:rPr>
          <w:rFonts w:asciiTheme="minorEastAsia" w:hAnsiTheme="minorEastAsia" w:eastAsiaTheme="minorEastAsia"/>
          <w:sz w:val="28"/>
          <w:szCs w:val="28"/>
        </w:rPr>
      </w:pPr>
    </w:p>
    <w:p>
      <w:pPr>
        <w:spacing w:line="360" w:lineRule="auto"/>
        <w:ind w:firstLine="555"/>
        <w:rPr>
          <w:rFonts w:asciiTheme="minorEastAsia" w:hAnsiTheme="minorEastAsia" w:eastAsiaTheme="minorEastAsia"/>
          <w:sz w:val="28"/>
          <w:szCs w:val="28"/>
        </w:rPr>
      </w:pPr>
    </w:p>
    <w:p>
      <w:pPr>
        <w:spacing w:line="360" w:lineRule="auto"/>
        <w:ind w:firstLine="555"/>
        <w:rPr>
          <w:rFonts w:asciiTheme="minorEastAsia" w:hAnsiTheme="minorEastAsia" w:eastAsiaTheme="minorEastAsia"/>
          <w:sz w:val="28"/>
          <w:szCs w:val="28"/>
        </w:rPr>
      </w:pPr>
    </w:p>
    <w:p>
      <w:pPr>
        <w:spacing w:line="360" w:lineRule="auto"/>
        <w:ind w:firstLine="555"/>
        <w:rPr>
          <w:rFonts w:eastAsia="黑体"/>
          <w:sz w:val="28"/>
          <w:szCs w:val="28"/>
        </w:rPr>
      </w:pPr>
    </w:p>
    <w:p>
      <w:pPr>
        <w:pStyle w:val="30"/>
        <w:pageBreakBefore/>
        <w:tabs>
          <w:tab w:val="right" w:leader="middleDot" w:pos="8296"/>
        </w:tabs>
        <w:spacing w:line="360" w:lineRule="auto"/>
        <w:jc w:val="center"/>
        <w:rPr>
          <w:rFonts w:asciiTheme="minorEastAsia" w:hAnsiTheme="minorEastAsia"/>
          <w:bCs w:val="0"/>
          <w:sz w:val="28"/>
          <w:szCs w:val="32"/>
        </w:rPr>
      </w:pPr>
      <w:r>
        <w:rPr>
          <w:rFonts w:hint="eastAsia" w:asciiTheme="minorEastAsia" w:hAnsiTheme="minorEastAsia"/>
          <w:bCs w:val="0"/>
          <w:sz w:val="28"/>
          <w:szCs w:val="32"/>
        </w:rPr>
        <w:t>目   录</w:t>
      </w:r>
    </w:p>
    <w:p>
      <w:pPr>
        <w:pStyle w:val="30"/>
        <w:tabs>
          <w:tab w:val="right" w:leader="dot" w:pos="8306"/>
        </w:tabs>
        <w:rPr>
          <w:rFonts w:ascii="Times New Roman" w:hAnsi="Times New Roman" w:cs="Times New Roman"/>
          <w:szCs w:val="24"/>
        </w:rPr>
      </w:pPr>
      <w:r>
        <w:rPr>
          <w:rFonts w:asciiTheme="minorEastAsia" w:hAnsiTheme="minorEastAsia"/>
          <w:b w:val="0"/>
          <w:bCs w:val="0"/>
          <w:sz w:val="28"/>
          <w:szCs w:val="32"/>
        </w:rPr>
        <w:fldChar w:fldCharType="begin"/>
      </w:r>
      <w:r>
        <w:rPr>
          <w:rFonts w:asciiTheme="minorEastAsia" w:hAnsiTheme="minorEastAsia"/>
          <w:b w:val="0"/>
          <w:bCs w:val="0"/>
          <w:sz w:val="28"/>
          <w:szCs w:val="32"/>
        </w:rPr>
        <w:instrText xml:space="preserve"> TOC \o "1-2" \h \z \u </w:instrText>
      </w:r>
      <w:r>
        <w:rPr>
          <w:rFonts w:asciiTheme="minorEastAsia" w:hAnsiTheme="minorEastAsia"/>
          <w:b w:val="0"/>
          <w:bCs w:val="0"/>
          <w:sz w:val="28"/>
          <w:szCs w:val="32"/>
        </w:rPr>
        <w:fldChar w:fldCharType="separate"/>
      </w:r>
      <w:r>
        <w:fldChar w:fldCharType="begin"/>
      </w:r>
      <w:r>
        <w:instrText xml:space="preserve"> HYPERLINK \l "_Toc27678" </w:instrText>
      </w:r>
      <w:r>
        <w:fldChar w:fldCharType="separate"/>
      </w:r>
      <w:r>
        <w:rPr>
          <w:rFonts w:hint="eastAsia" w:ascii="Times New Roman" w:hAnsi="Times New Roman" w:cs="Times New Roman"/>
          <w:szCs w:val="24"/>
        </w:rPr>
        <w:t>1 总 则</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_Toc27678 </w:instrText>
      </w:r>
      <w:r>
        <w:rPr>
          <w:rFonts w:ascii="Times New Roman" w:hAnsi="Times New Roman" w:cs="Times New Roman"/>
          <w:szCs w:val="24"/>
        </w:rPr>
        <w:fldChar w:fldCharType="separate"/>
      </w:r>
      <w:r>
        <w:rPr>
          <w:rFonts w:ascii="Times New Roman" w:hAnsi="Times New Roman" w:cs="Times New Roman"/>
          <w:szCs w:val="24"/>
        </w:rPr>
        <w:t>1</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0"/>
        <w:tabs>
          <w:tab w:val="right" w:leader="dot" w:pos="8306"/>
        </w:tabs>
        <w:rPr>
          <w:rFonts w:ascii="Times New Roman" w:hAnsi="Times New Roman" w:cs="Times New Roman"/>
          <w:szCs w:val="24"/>
        </w:rPr>
      </w:pPr>
      <w:r>
        <w:fldChar w:fldCharType="begin"/>
      </w:r>
      <w:r>
        <w:instrText xml:space="preserve"> HYPERLINK \l "_Toc15530" </w:instrText>
      </w:r>
      <w:r>
        <w:fldChar w:fldCharType="separate"/>
      </w:r>
      <w:r>
        <w:rPr>
          <w:rFonts w:hint="eastAsia" w:ascii="Times New Roman" w:hAnsi="Times New Roman" w:cs="Times New Roman"/>
          <w:szCs w:val="32"/>
        </w:rPr>
        <w:t>2 术 语</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_Toc15530 </w:instrText>
      </w:r>
      <w:r>
        <w:rPr>
          <w:rFonts w:ascii="Times New Roman" w:hAnsi="Times New Roman" w:cs="Times New Roman"/>
          <w:szCs w:val="24"/>
        </w:rPr>
        <w:fldChar w:fldCharType="separate"/>
      </w:r>
      <w:r>
        <w:rPr>
          <w:rFonts w:ascii="Times New Roman" w:hAnsi="Times New Roman" w:cs="Times New Roman"/>
          <w:szCs w:val="24"/>
        </w:rPr>
        <w:t>2</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0"/>
        <w:tabs>
          <w:tab w:val="right" w:leader="dot" w:pos="8306"/>
        </w:tabs>
        <w:rPr>
          <w:rFonts w:ascii="Times New Roman" w:hAnsi="Times New Roman" w:cs="Times New Roman"/>
          <w:szCs w:val="24"/>
        </w:rPr>
      </w:pPr>
      <w:r>
        <w:fldChar w:fldCharType="begin"/>
      </w:r>
      <w:r>
        <w:instrText xml:space="preserve"> HYPERLINK \l "_Toc12073" </w:instrText>
      </w:r>
      <w:r>
        <w:fldChar w:fldCharType="separate"/>
      </w:r>
      <w:r>
        <w:rPr>
          <w:rFonts w:hint="eastAsia" w:ascii="Times New Roman" w:hAnsi="Times New Roman" w:cs="Times New Roman"/>
          <w:szCs w:val="32"/>
        </w:rPr>
        <w:t>3 基本规定</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_Toc12073 </w:instrText>
      </w:r>
      <w:r>
        <w:rPr>
          <w:rFonts w:ascii="Times New Roman" w:hAnsi="Times New Roman" w:cs="Times New Roman"/>
          <w:szCs w:val="24"/>
        </w:rPr>
        <w:fldChar w:fldCharType="separate"/>
      </w:r>
      <w:r>
        <w:rPr>
          <w:rFonts w:ascii="Times New Roman" w:hAnsi="Times New Roman" w:cs="Times New Roman"/>
          <w:szCs w:val="24"/>
        </w:rPr>
        <w:t>7</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0"/>
        <w:tabs>
          <w:tab w:val="right" w:leader="dot" w:pos="8306"/>
        </w:tabs>
        <w:rPr>
          <w:rFonts w:ascii="Times New Roman" w:hAnsi="Times New Roman" w:cs="Times New Roman"/>
          <w:szCs w:val="24"/>
        </w:rPr>
      </w:pPr>
      <w:r>
        <w:fldChar w:fldCharType="begin"/>
      </w:r>
      <w:r>
        <w:instrText xml:space="preserve"> HYPERLINK \l "_Toc12470" </w:instrText>
      </w:r>
      <w:r>
        <w:fldChar w:fldCharType="separate"/>
      </w:r>
      <w:r>
        <w:rPr>
          <w:rFonts w:hint="eastAsia" w:ascii="Times New Roman" w:hAnsi="Times New Roman" w:cs="Times New Roman"/>
          <w:szCs w:val="32"/>
        </w:rPr>
        <w:t>4 建设原则及标准</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_Toc12470 </w:instrText>
      </w:r>
      <w:r>
        <w:rPr>
          <w:rFonts w:ascii="Times New Roman" w:hAnsi="Times New Roman" w:cs="Times New Roman"/>
          <w:szCs w:val="24"/>
        </w:rPr>
        <w:fldChar w:fldCharType="separate"/>
      </w:r>
      <w:r>
        <w:rPr>
          <w:rFonts w:ascii="Times New Roman" w:hAnsi="Times New Roman" w:cs="Times New Roman"/>
          <w:szCs w:val="24"/>
        </w:rPr>
        <w:t>12</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8"/>
        <w:tabs>
          <w:tab w:val="right" w:leader="dot" w:pos="8306"/>
        </w:tabs>
        <w:rPr>
          <w:rFonts w:ascii="Times New Roman" w:hAnsi="Times New Roman" w:cs="Times New Roman"/>
          <w:szCs w:val="24"/>
        </w:rPr>
      </w:pPr>
      <w:r>
        <w:fldChar w:fldCharType="begin"/>
      </w:r>
      <w:r>
        <w:instrText xml:space="preserve"> HYPERLINK \l "_Toc20646" </w:instrText>
      </w:r>
      <w:r>
        <w:fldChar w:fldCharType="separate"/>
      </w:r>
      <w:r>
        <w:rPr>
          <w:rFonts w:hint="eastAsia" w:ascii="Times New Roman" w:hAnsi="Times New Roman" w:cs="Times New Roman"/>
          <w:szCs w:val="24"/>
        </w:rPr>
        <w:t>4.1建筑工程</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_Toc20646 </w:instrText>
      </w:r>
      <w:r>
        <w:rPr>
          <w:rFonts w:ascii="Times New Roman" w:hAnsi="Times New Roman" w:cs="Times New Roman"/>
          <w:szCs w:val="24"/>
        </w:rPr>
        <w:fldChar w:fldCharType="separate"/>
      </w:r>
      <w:r>
        <w:rPr>
          <w:rFonts w:ascii="Times New Roman" w:hAnsi="Times New Roman" w:cs="Times New Roman"/>
          <w:szCs w:val="24"/>
        </w:rPr>
        <w:t>12</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8"/>
        <w:tabs>
          <w:tab w:val="right" w:leader="dot" w:pos="8306"/>
        </w:tabs>
        <w:rPr>
          <w:rFonts w:ascii="Times New Roman" w:hAnsi="Times New Roman" w:cs="Times New Roman"/>
          <w:szCs w:val="24"/>
        </w:rPr>
      </w:pPr>
      <w:r>
        <w:fldChar w:fldCharType="begin"/>
      </w:r>
      <w:r>
        <w:instrText xml:space="preserve"> HYPERLINK \l "_Toc13310" </w:instrText>
      </w:r>
      <w:r>
        <w:fldChar w:fldCharType="separate"/>
      </w:r>
      <w:r>
        <w:rPr>
          <w:rFonts w:hint="eastAsia" w:cs="Times New Roman" w:asciiTheme="minorEastAsia" w:hAnsiTheme="minorEastAsia" w:eastAsiaTheme="minorEastAsia"/>
          <w:bCs/>
          <w:kern w:val="44"/>
          <w:szCs w:val="28"/>
        </w:rPr>
        <w:t>4.2 市政工程</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_Toc13310 </w:instrText>
      </w:r>
      <w:r>
        <w:rPr>
          <w:rFonts w:ascii="Times New Roman" w:hAnsi="Times New Roman" w:cs="Times New Roman"/>
          <w:szCs w:val="24"/>
        </w:rPr>
        <w:fldChar w:fldCharType="separate"/>
      </w:r>
      <w:r>
        <w:rPr>
          <w:rFonts w:ascii="Times New Roman" w:hAnsi="Times New Roman" w:cs="Times New Roman"/>
          <w:szCs w:val="24"/>
        </w:rPr>
        <w:t>14</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8"/>
        <w:tabs>
          <w:tab w:val="right" w:leader="dot" w:pos="8306"/>
        </w:tabs>
        <w:rPr>
          <w:rFonts w:ascii="Times New Roman" w:hAnsi="Times New Roman" w:cs="Times New Roman"/>
          <w:szCs w:val="24"/>
        </w:rPr>
      </w:pPr>
      <w:r>
        <w:fldChar w:fldCharType="begin"/>
      </w:r>
      <w:r>
        <w:instrText xml:space="preserve"> HYPERLINK \l "_Toc28075" </w:instrText>
      </w:r>
      <w:r>
        <w:fldChar w:fldCharType="separate"/>
      </w:r>
      <w:r>
        <w:rPr>
          <w:rFonts w:hint="eastAsia" w:ascii="宋体" w:hAnsi="宋体" w:cs="宋体"/>
          <w:szCs w:val="28"/>
        </w:rPr>
        <w:t>4.3 水利工程</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_Toc28075 </w:instrText>
      </w:r>
      <w:r>
        <w:rPr>
          <w:rFonts w:ascii="Times New Roman" w:hAnsi="Times New Roman" w:cs="Times New Roman"/>
          <w:szCs w:val="24"/>
        </w:rPr>
        <w:fldChar w:fldCharType="separate"/>
      </w:r>
      <w:r>
        <w:rPr>
          <w:rFonts w:ascii="Times New Roman" w:hAnsi="Times New Roman" w:cs="Times New Roman"/>
          <w:szCs w:val="24"/>
        </w:rPr>
        <w:t>15</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8"/>
        <w:tabs>
          <w:tab w:val="right" w:leader="dot" w:pos="8306"/>
        </w:tabs>
        <w:rPr>
          <w:rFonts w:ascii="Times New Roman" w:hAnsi="Times New Roman" w:cs="Times New Roman"/>
          <w:szCs w:val="24"/>
        </w:rPr>
      </w:pPr>
      <w:r>
        <w:fldChar w:fldCharType="begin"/>
      </w:r>
      <w:r>
        <w:instrText xml:space="preserve"> HYPERLINK \l "_Toc19960" </w:instrText>
      </w:r>
      <w:r>
        <w:fldChar w:fldCharType="separate"/>
      </w:r>
      <w:r>
        <w:rPr>
          <w:rFonts w:hint="eastAsia" w:ascii="宋体" w:hAnsi="宋体" w:cs="宋体"/>
          <w:szCs w:val="28"/>
        </w:rPr>
        <w:t>4.4 园林景观工程</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_Toc19960 </w:instrText>
      </w:r>
      <w:r>
        <w:rPr>
          <w:rFonts w:ascii="Times New Roman" w:hAnsi="Times New Roman" w:cs="Times New Roman"/>
          <w:szCs w:val="24"/>
        </w:rPr>
        <w:fldChar w:fldCharType="separate"/>
      </w:r>
      <w:r>
        <w:rPr>
          <w:rFonts w:ascii="Times New Roman" w:hAnsi="Times New Roman" w:cs="Times New Roman"/>
          <w:szCs w:val="24"/>
        </w:rPr>
        <w:t>15</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8"/>
        <w:tabs>
          <w:tab w:val="right" w:leader="dot" w:pos="8306"/>
        </w:tabs>
        <w:rPr>
          <w:rFonts w:ascii="Times New Roman" w:hAnsi="Times New Roman" w:cs="Times New Roman"/>
          <w:szCs w:val="24"/>
        </w:rPr>
      </w:pPr>
      <w:r>
        <w:fldChar w:fldCharType="begin"/>
      </w:r>
      <w:r>
        <w:instrText xml:space="preserve"> HYPERLINK \l "_Toc7104" </w:instrText>
      </w:r>
      <w:r>
        <w:fldChar w:fldCharType="separate"/>
      </w:r>
      <w:r>
        <w:rPr>
          <w:rFonts w:hint="eastAsia" w:ascii="Times New Roman" w:hAnsi="Times New Roman" w:cs="Times New Roman"/>
          <w:szCs w:val="28"/>
        </w:rPr>
        <w:t>4.5 岩土工程</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_Toc7104 </w:instrText>
      </w:r>
      <w:r>
        <w:rPr>
          <w:rFonts w:ascii="Times New Roman" w:hAnsi="Times New Roman" w:cs="Times New Roman"/>
          <w:szCs w:val="24"/>
        </w:rPr>
        <w:fldChar w:fldCharType="separate"/>
      </w:r>
      <w:r>
        <w:rPr>
          <w:rFonts w:ascii="Times New Roman" w:hAnsi="Times New Roman" w:cs="Times New Roman"/>
          <w:szCs w:val="24"/>
        </w:rPr>
        <w:t>16</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0"/>
        <w:tabs>
          <w:tab w:val="right" w:leader="dot" w:pos="8306"/>
        </w:tabs>
        <w:rPr>
          <w:rFonts w:ascii="Times New Roman" w:hAnsi="Times New Roman" w:cs="Times New Roman"/>
          <w:szCs w:val="24"/>
        </w:rPr>
      </w:pPr>
      <w:r>
        <w:fldChar w:fldCharType="begin"/>
      </w:r>
      <w:r>
        <w:instrText xml:space="preserve"> HYPERLINK \l "_Toc25167" </w:instrText>
      </w:r>
      <w:r>
        <w:fldChar w:fldCharType="separate"/>
      </w:r>
      <w:r>
        <w:rPr>
          <w:rFonts w:hint="eastAsia" w:ascii="宋体" w:hAnsi="宋体" w:cs="宋体"/>
          <w:szCs w:val="28"/>
        </w:rPr>
        <w:t>5 建筑工程设计</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_Toc25167 </w:instrText>
      </w:r>
      <w:r>
        <w:rPr>
          <w:rFonts w:ascii="Times New Roman" w:hAnsi="Times New Roman" w:cs="Times New Roman"/>
          <w:szCs w:val="24"/>
        </w:rPr>
        <w:fldChar w:fldCharType="separate"/>
      </w:r>
      <w:r>
        <w:rPr>
          <w:rFonts w:ascii="Times New Roman" w:hAnsi="Times New Roman" w:cs="Times New Roman"/>
          <w:szCs w:val="24"/>
        </w:rPr>
        <w:t>18</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8"/>
        <w:tabs>
          <w:tab w:val="right" w:leader="dot" w:pos="8306"/>
        </w:tabs>
        <w:rPr>
          <w:rFonts w:ascii="Times New Roman" w:hAnsi="Times New Roman" w:cs="Times New Roman"/>
          <w:szCs w:val="24"/>
        </w:rPr>
      </w:pPr>
      <w:r>
        <w:fldChar w:fldCharType="begin"/>
      </w:r>
      <w:r>
        <w:instrText xml:space="preserve"> HYPERLINK \l "_Toc19233" </w:instrText>
      </w:r>
      <w:r>
        <w:fldChar w:fldCharType="separate"/>
      </w:r>
      <w:r>
        <w:rPr>
          <w:rFonts w:hint="eastAsia" w:cs="Times New Roman" w:asciiTheme="minorEastAsia" w:hAnsiTheme="minorEastAsia" w:eastAsiaTheme="minorEastAsia"/>
          <w:bCs/>
          <w:szCs w:val="28"/>
        </w:rPr>
        <w:t>5.1 一般规定</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_Toc19233 </w:instrText>
      </w:r>
      <w:r>
        <w:rPr>
          <w:rFonts w:ascii="Times New Roman" w:hAnsi="Times New Roman" w:cs="Times New Roman"/>
          <w:szCs w:val="24"/>
        </w:rPr>
        <w:fldChar w:fldCharType="separate"/>
      </w:r>
      <w:r>
        <w:rPr>
          <w:rFonts w:ascii="Times New Roman" w:hAnsi="Times New Roman" w:cs="Times New Roman"/>
          <w:szCs w:val="24"/>
        </w:rPr>
        <w:t>18</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8"/>
        <w:tabs>
          <w:tab w:val="right" w:leader="dot" w:pos="8306"/>
        </w:tabs>
        <w:rPr>
          <w:rFonts w:ascii="Times New Roman" w:hAnsi="Times New Roman" w:cs="Times New Roman"/>
          <w:szCs w:val="24"/>
        </w:rPr>
      </w:pPr>
      <w:r>
        <w:fldChar w:fldCharType="begin"/>
      </w:r>
      <w:r>
        <w:instrText xml:space="preserve"> HYPERLINK \l "_Toc13980" </w:instrText>
      </w:r>
      <w:r>
        <w:fldChar w:fldCharType="separate"/>
      </w:r>
      <w:r>
        <w:rPr>
          <w:rFonts w:hint="eastAsia" w:ascii="Times New Roman" w:hAnsi="Times New Roman" w:cs="Times New Roman"/>
          <w:szCs w:val="24"/>
        </w:rPr>
        <w:t>5.2 绿色建筑设计</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_Toc13980 </w:instrText>
      </w:r>
      <w:r>
        <w:rPr>
          <w:rFonts w:ascii="Times New Roman" w:hAnsi="Times New Roman" w:cs="Times New Roman"/>
          <w:szCs w:val="24"/>
        </w:rPr>
        <w:fldChar w:fldCharType="separate"/>
      </w:r>
      <w:r>
        <w:rPr>
          <w:rFonts w:ascii="Times New Roman" w:hAnsi="Times New Roman" w:cs="Times New Roman"/>
          <w:szCs w:val="24"/>
        </w:rPr>
        <w:t>18</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8"/>
        <w:tabs>
          <w:tab w:val="right" w:leader="dot" w:pos="8306"/>
        </w:tabs>
        <w:rPr>
          <w:rFonts w:ascii="Times New Roman" w:hAnsi="Times New Roman" w:cs="Times New Roman"/>
          <w:szCs w:val="24"/>
        </w:rPr>
      </w:pPr>
      <w:r>
        <w:fldChar w:fldCharType="begin"/>
      </w:r>
      <w:r>
        <w:instrText xml:space="preserve"> HYPERLINK \l "_Toc12299" </w:instrText>
      </w:r>
      <w:r>
        <w:fldChar w:fldCharType="separate"/>
      </w:r>
      <w:r>
        <w:rPr>
          <w:rFonts w:hint="eastAsia" w:ascii="Times New Roman" w:hAnsi="Times New Roman" w:cs="Times New Roman"/>
          <w:szCs w:val="24"/>
        </w:rPr>
        <w:t>5.3 智慧建筑设计</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_Toc12299 </w:instrText>
      </w:r>
      <w:r>
        <w:rPr>
          <w:rFonts w:ascii="Times New Roman" w:hAnsi="Times New Roman" w:cs="Times New Roman"/>
          <w:szCs w:val="24"/>
        </w:rPr>
        <w:fldChar w:fldCharType="separate"/>
      </w:r>
      <w:r>
        <w:rPr>
          <w:rFonts w:ascii="Times New Roman" w:hAnsi="Times New Roman" w:cs="Times New Roman"/>
          <w:szCs w:val="24"/>
        </w:rPr>
        <w:t>27</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8"/>
        <w:tabs>
          <w:tab w:val="right" w:leader="dot" w:pos="8306"/>
        </w:tabs>
        <w:rPr>
          <w:rFonts w:ascii="Times New Roman" w:hAnsi="Times New Roman" w:cs="Times New Roman"/>
          <w:szCs w:val="24"/>
        </w:rPr>
      </w:pPr>
      <w:r>
        <w:fldChar w:fldCharType="begin"/>
      </w:r>
      <w:r>
        <w:instrText xml:space="preserve"> HYPERLINK \l "_Toc18186" </w:instrText>
      </w:r>
      <w:r>
        <w:fldChar w:fldCharType="separate"/>
      </w:r>
      <w:r>
        <w:rPr>
          <w:rFonts w:hint="eastAsia" w:cs="Times New Roman" w:asciiTheme="minorEastAsia" w:hAnsiTheme="minorEastAsia" w:eastAsiaTheme="minorEastAsia"/>
          <w:szCs w:val="28"/>
        </w:rPr>
        <w:t>5.4 建筑安全设计</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_Toc18186 </w:instrText>
      </w:r>
      <w:r>
        <w:rPr>
          <w:rFonts w:ascii="Times New Roman" w:hAnsi="Times New Roman" w:cs="Times New Roman"/>
          <w:szCs w:val="24"/>
        </w:rPr>
        <w:fldChar w:fldCharType="separate"/>
      </w:r>
      <w:r>
        <w:rPr>
          <w:rFonts w:ascii="Times New Roman" w:hAnsi="Times New Roman" w:cs="Times New Roman"/>
          <w:szCs w:val="24"/>
        </w:rPr>
        <w:t>36</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8"/>
        <w:tabs>
          <w:tab w:val="right" w:leader="dot" w:pos="8306"/>
        </w:tabs>
        <w:rPr>
          <w:rFonts w:ascii="Times New Roman" w:hAnsi="Times New Roman" w:cs="Times New Roman"/>
          <w:szCs w:val="24"/>
        </w:rPr>
      </w:pPr>
      <w:r>
        <w:fldChar w:fldCharType="begin"/>
      </w:r>
      <w:r>
        <w:instrText xml:space="preserve"> HYPERLINK \l "_Toc4951" </w:instrText>
      </w:r>
      <w:r>
        <w:fldChar w:fldCharType="separate"/>
      </w:r>
      <w:r>
        <w:rPr>
          <w:rFonts w:hint="eastAsia" w:ascii="Times New Roman" w:hAnsi="Times New Roman" w:cs="Times New Roman"/>
          <w:bCs/>
          <w:szCs w:val="32"/>
        </w:rPr>
        <w:t>5.5 装配式建筑设计</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_Toc4951 </w:instrText>
      </w:r>
      <w:r>
        <w:rPr>
          <w:rFonts w:ascii="Times New Roman" w:hAnsi="Times New Roman" w:cs="Times New Roman"/>
          <w:szCs w:val="24"/>
        </w:rPr>
        <w:fldChar w:fldCharType="separate"/>
      </w:r>
      <w:r>
        <w:rPr>
          <w:rFonts w:ascii="Times New Roman" w:hAnsi="Times New Roman" w:cs="Times New Roman"/>
          <w:szCs w:val="24"/>
        </w:rPr>
        <w:t>43</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0"/>
        <w:tabs>
          <w:tab w:val="right" w:leader="dot" w:pos="8306"/>
        </w:tabs>
        <w:rPr>
          <w:rFonts w:ascii="Times New Roman" w:hAnsi="Times New Roman" w:cs="Times New Roman"/>
          <w:szCs w:val="24"/>
        </w:rPr>
      </w:pPr>
      <w:r>
        <w:fldChar w:fldCharType="begin"/>
      </w:r>
      <w:r>
        <w:instrText xml:space="preserve"> HYPERLINK \l "_Toc26885" </w:instrText>
      </w:r>
      <w:r>
        <w:fldChar w:fldCharType="separate"/>
      </w:r>
      <w:r>
        <w:rPr>
          <w:rFonts w:hint="eastAsia" w:cs="Times New Roman" w:asciiTheme="minorEastAsia" w:hAnsiTheme="minorEastAsia" w:eastAsiaTheme="minorEastAsia"/>
          <w:szCs w:val="28"/>
        </w:rPr>
        <w:t>6 市政工程设计</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_Toc26885 </w:instrText>
      </w:r>
      <w:r>
        <w:rPr>
          <w:rFonts w:ascii="Times New Roman" w:hAnsi="Times New Roman" w:cs="Times New Roman"/>
          <w:szCs w:val="24"/>
        </w:rPr>
        <w:fldChar w:fldCharType="separate"/>
      </w:r>
      <w:r>
        <w:rPr>
          <w:rFonts w:ascii="Times New Roman" w:hAnsi="Times New Roman" w:cs="Times New Roman"/>
          <w:szCs w:val="24"/>
        </w:rPr>
        <w:t>52</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8"/>
        <w:tabs>
          <w:tab w:val="right" w:leader="dot" w:pos="8306"/>
        </w:tabs>
        <w:rPr>
          <w:rFonts w:ascii="Times New Roman" w:hAnsi="Times New Roman" w:cs="Times New Roman"/>
          <w:szCs w:val="24"/>
        </w:rPr>
      </w:pPr>
      <w:r>
        <w:fldChar w:fldCharType="begin"/>
      </w:r>
      <w:r>
        <w:instrText xml:space="preserve"> HYPERLINK \l "_Toc11497" </w:instrText>
      </w:r>
      <w:r>
        <w:fldChar w:fldCharType="separate"/>
      </w:r>
      <w:r>
        <w:rPr>
          <w:rFonts w:hint="eastAsia" w:ascii="Times New Roman" w:hAnsi="Times New Roman" w:cs="Times New Roman"/>
          <w:szCs w:val="24"/>
        </w:rPr>
        <w:t>6.1 一般规定</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_Toc11497 </w:instrText>
      </w:r>
      <w:r>
        <w:rPr>
          <w:rFonts w:ascii="Times New Roman" w:hAnsi="Times New Roman" w:cs="Times New Roman"/>
          <w:szCs w:val="24"/>
        </w:rPr>
        <w:fldChar w:fldCharType="separate"/>
      </w:r>
      <w:r>
        <w:rPr>
          <w:rFonts w:ascii="Times New Roman" w:hAnsi="Times New Roman" w:cs="Times New Roman"/>
          <w:szCs w:val="24"/>
        </w:rPr>
        <w:t>52</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8"/>
        <w:tabs>
          <w:tab w:val="right" w:leader="dot" w:pos="8306"/>
        </w:tabs>
        <w:rPr>
          <w:rFonts w:ascii="Times New Roman" w:hAnsi="Times New Roman" w:cs="Times New Roman"/>
          <w:szCs w:val="24"/>
        </w:rPr>
      </w:pPr>
      <w:r>
        <w:fldChar w:fldCharType="begin"/>
      </w:r>
      <w:r>
        <w:instrText xml:space="preserve"> HYPERLINK \l "_Toc29791" </w:instrText>
      </w:r>
      <w:r>
        <w:fldChar w:fldCharType="separate"/>
      </w:r>
      <w:r>
        <w:rPr>
          <w:rFonts w:hint="eastAsia" w:ascii="Times New Roman" w:hAnsi="Times New Roman" w:cs="Times New Roman"/>
          <w:szCs w:val="24"/>
        </w:rPr>
        <w:t>6.2 道路桥隧工程</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_Toc29791 </w:instrText>
      </w:r>
      <w:r>
        <w:rPr>
          <w:rFonts w:ascii="Times New Roman" w:hAnsi="Times New Roman" w:cs="Times New Roman"/>
          <w:szCs w:val="24"/>
        </w:rPr>
        <w:fldChar w:fldCharType="separate"/>
      </w:r>
      <w:r>
        <w:rPr>
          <w:rFonts w:ascii="Times New Roman" w:hAnsi="Times New Roman" w:cs="Times New Roman"/>
          <w:szCs w:val="24"/>
        </w:rPr>
        <w:t>52</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8"/>
        <w:tabs>
          <w:tab w:val="right" w:leader="dot" w:pos="8306"/>
        </w:tabs>
        <w:rPr>
          <w:rFonts w:ascii="Times New Roman" w:hAnsi="Times New Roman" w:cs="Times New Roman"/>
          <w:szCs w:val="24"/>
        </w:rPr>
      </w:pPr>
      <w:r>
        <w:fldChar w:fldCharType="begin"/>
      </w:r>
      <w:r>
        <w:instrText xml:space="preserve"> HYPERLINK \l "_Toc32460" </w:instrText>
      </w:r>
      <w:r>
        <w:fldChar w:fldCharType="separate"/>
      </w:r>
      <w:r>
        <w:rPr>
          <w:rFonts w:hint="eastAsia" w:ascii="Times New Roman" w:hAnsi="Times New Roman" w:cs="Times New Roman"/>
          <w:szCs w:val="24"/>
        </w:rPr>
        <w:t>6.3 轨道交通工程</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_Toc32460 </w:instrText>
      </w:r>
      <w:r>
        <w:rPr>
          <w:rFonts w:ascii="Times New Roman" w:hAnsi="Times New Roman" w:cs="Times New Roman"/>
          <w:szCs w:val="24"/>
        </w:rPr>
        <w:fldChar w:fldCharType="separate"/>
      </w:r>
      <w:r>
        <w:rPr>
          <w:rFonts w:ascii="Times New Roman" w:hAnsi="Times New Roman" w:cs="Times New Roman"/>
          <w:szCs w:val="24"/>
        </w:rPr>
        <w:t>61</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8"/>
        <w:tabs>
          <w:tab w:val="right" w:leader="dot" w:pos="8306"/>
        </w:tabs>
        <w:rPr>
          <w:rFonts w:ascii="Times New Roman" w:hAnsi="Times New Roman" w:cs="Times New Roman"/>
          <w:szCs w:val="24"/>
        </w:rPr>
      </w:pPr>
      <w:r>
        <w:fldChar w:fldCharType="begin"/>
      </w:r>
      <w:r>
        <w:instrText xml:space="preserve"> HYPERLINK \l "_Toc11914" </w:instrText>
      </w:r>
      <w:r>
        <w:fldChar w:fldCharType="separate"/>
      </w:r>
      <w:r>
        <w:rPr>
          <w:rFonts w:hint="eastAsia" w:ascii="Times New Roman" w:hAnsi="Times New Roman" w:cs="Times New Roman"/>
          <w:szCs w:val="24"/>
        </w:rPr>
        <w:t>6.4 综合管廊工程</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_Toc11914 </w:instrText>
      </w:r>
      <w:r>
        <w:rPr>
          <w:rFonts w:ascii="Times New Roman" w:hAnsi="Times New Roman" w:cs="Times New Roman"/>
          <w:szCs w:val="24"/>
        </w:rPr>
        <w:fldChar w:fldCharType="separate"/>
      </w:r>
      <w:r>
        <w:rPr>
          <w:rFonts w:ascii="Times New Roman" w:hAnsi="Times New Roman" w:cs="Times New Roman"/>
          <w:szCs w:val="24"/>
        </w:rPr>
        <w:t>67</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0"/>
        <w:tabs>
          <w:tab w:val="right" w:leader="dot" w:pos="8306"/>
        </w:tabs>
        <w:rPr>
          <w:rFonts w:ascii="Times New Roman" w:hAnsi="Times New Roman" w:cs="Times New Roman"/>
          <w:szCs w:val="24"/>
        </w:rPr>
      </w:pPr>
      <w:r>
        <w:fldChar w:fldCharType="begin"/>
      </w:r>
      <w:r>
        <w:instrText xml:space="preserve"> HYPERLINK \l "_Toc7660" </w:instrText>
      </w:r>
      <w:r>
        <w:fldChar w:fldCharType="separate"/>
      </w:r>
      <w:r>
        <w:rPr>
          <w:rFonts w:hint="eastAsia" w:ascii="Times New Roman" w:hAnsi="Times New Roman" w:cs="Times New Roman"/>
          <w:szCs w:val="24"/>
        </w:rPr>
        <w:t>7 水利工程设计</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_Toc7660 </w:instrText>
      </w:r>
      <w:r>
        <w:rPr>
          <w:rFonts w:ascii="Times New Roman" w:hAnsi="Times New Roman" w:cs="Times New Roman"/>
          <w:szCs w:val="24"/>
        </w:rPr>
        <w:fldChar w:fldCharType="separate"/>
      </w:r>
      <w:r>
        <w:rPr>
          <w:rFonts w:ascii="Times New Roman" w:hAnsi="Times New Roman" w:cs="Times New Roman"/>
          <w:szCs w:val="24"/>
        </w:rPr>
        <w:t>72</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8"/>
        <w:tabs>
          <w:tab w:val="right" w:leader="dot" w:pos="8306"/>
        </w:tabs>
        <w:rPr>
          <w:rFonts w:ascii="Times New Roman" w:hAnsi="Times New Roman" w:cs="Times New Roman"/>
          <w:szCs w:val="24"/>
        </w:rPr>
      </w:pPr>
      <w:r>
        <w:fldChar w:fldCharType="begin"/>
      </w:r>
      <w:r>
        <w:instrText xml:space="preserve"> HYPERLINK \l "_Toc20711" </w:instrText>
      </w:r>
      <w:r>
        <w:fldChar w:fldCharType="separate"/>
      </w:r>
      <w:r>
        <w:rPr>
          <w:rFonts w:hint="eastAsia" w:ascii="Times New Roman" w:hAnsi="Times New Roman" w:cs="Times New Roman"/>
          <w:kern w:val="0"/>
          <w:szCs w:val="24"/>
        </w:rPr>
        <w:t>7.1一般规定</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_Toc20711 </w:instrText>
      </w:r>
      <w:r>
        <w:rPr>
          <w:rFonts w:ascii="Times New Roman" w:hAnsi="Times New Roman" w:cs="Times New Roman"/>
          <w:szCs w:val="24"/>
        </w:rPr>
        <w:fldChar w:fldCharType="separate"/>
      </w:r>
      <w:r>
        <w:rPr>
          <w:rFonts w:ascii="Times New Roman" w:hAnsi="Times New Roman" w:cs="Times New Roman"/>
          <w:szCs w:val="24"/>
        </w:rPr>
        <w:t>72</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8"/>
        <w:tabs>
          <w:tab w:val="right" w:leader="dot" w:pos="8306"/>
        </w:tabs>
        <w:rPr>
          <w:rFonts w:ascii="Times New Roman" w:hAnsi="Times New Roman" w:cs="Times New Roman"/>
          <w:szCs w:val="24"/>
        </w:rPr>
      </w:pPr>
      <w:r>
        <w:fldChar w:fldCharType="begin"/>
      </w:r>
      <w:r>
        <w:instrText xml:space="preserve"> HYPERLINK \l "_Toc32196" </w:instrText>
      </w:r>
      <w:r>
        <w:fldChar w:fldCharType="separate"/>
      </w:r>
      <w:r>
        <w:rPr>
          <w:rFonts w:hint="eastAsia" w:ascii="Times New Roman" w:hAnsi="Times New Roman" w:cs="Times New Roman"/>
          <w:kern w:val="0"/>
          <w:szCs w:val="24"/>
        </w:rPr>
        <w:t>7.2河道整治工程</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_Toc32196 </w:instrText>
      </w:r>
      <w:r>
        <w:rPr>
          <w:rFonts w:ascii="Times New Roman" w:hAnsi="Times New Roman" w:cs="Times New Roman"/>
          <w:szCs w:val="24"/>
        </w:rPr>
        <w:fldChar w:fldCharType="separate"/>
      </w:r>
      <w:r>
        <w:rPr>
          <w:rFonts w:ascii="Times New Roman" w:hAnsi="Times New Roman" w:cs="Times New Roman"/>
          <w:szCs w:val="24"/>
        </w:rPr>
        <w:t>72</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8"/>
        <w:tabs>
          <w:tab w:val="right" w:leader="dot" w:pos="8306"/>
        </w:tabs>
        <w:rPr>
          <w:rFonts w:ascii="Times New Roman" w:hAnsi="Times New Roman" w:cs="Times New Roman"/>
          <w:szCs w:val="24"/>
        </w:rPr>
      </w:pPr>
      <w:r>
        <w:fldChar w:fldCharType="begin"/>
      </w:r>
      <w:r>
        <w:instrText xml:space="preserve"> HYPERLINK \l "_Toc2609" </w:instrText>
      </w:r>
      <w:r>
        <w:fldChar w:fldCharType="separate"/>
      </w:r>
      <w:r>
        <w:rPr>
          <w:rFonts w:hint="eastAsia" w:ascii="Times New Roman" w:hAnsi="Times New Roman" w:cs="Times New Roman"/>
          <w:kern w:val="0"/>
          <w:szCs w:val="24"/>
        </w:rPr>
        <w:t>7</w:t>
      </w:r>
      <w:r>
        <w:rPr>
          <w:rFonts w:ascii="Times New Roman" w:hAnsi="Times New Roman" w:cs="Times New Roman"/>
          <w:kern w:val="0"/>
          <w:szCs w:val="24"/>
        </w:rPr>
        <w:t>.</w:t>
      </w:r>
      <w:r>
        <w:rPr>
          <w:rFonts w:hint="eastAsia" w:ascii="Times New Roman" w:hAnsi="Times New Roman" w:cs="Times New Roman"/>
          <w:kern w:val="0"/>
          <w:szCs w:val="24"/>
        </w:rPr>
        <w:t>3防洪排涝工程</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_Toc2609 </w:instrText>
      </w:r>
      <w:r>
        <w:rPr>
          <w:rFonts w:ascii="Times New Roman" w:hAnsi="Times New Roman" w:cs="Times New Roman"/>
          <w:szCs w:val="24"/>
        </w:rPr>
        <w:fldChar w:fldCharType="separate"/>
      </w:r>
      <w:r>
        <w:rPr>
          <w:rFonts w:ascii="Times New Roman" w:hAnsi="Times New Roman" w:cs="Times New Roman"/>
          <w:szCs w:val="24"/>
        </w:rPr>
        <w:t>73</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8"/>
        <w:tabs>
          <w:tab w:val="right" w:leader="dot" w:pos="8306"/>
        </w:tabs>
        <w:rPr>
          <w:rFonts w:ascii="Times New Roman" w:hAnsi="Times New Roman" w:cs="Times New Roman"/>
          <w:szCs w:val="24"/>
        </w:rPr>
      </w:pPr>
      <w:r>
        <w:fldChar w:fldCharType="begin"/>
      </w:r>
      <w:r>
        <w:instrText xml:space="preserve"> HYPERLINK \l "_Toc16011" </w:instrText>
      </w:r>
      <w:r>
        <w:fldChar w:fldCharType="separate"/>
      </w:r>
      <w:r>
        <w:rPr>
          <w:rFonts w:hint="eastAsia" w:ascii="Times New Roman" w:hAnsi="Times New Roman" w:cs="Times New Roman"/>
          <w:kern w:val="0"/>
          <w:szCs w:val="24"/>
        </w:rPr>
        <w:t>7</w:t>
      </w:r>
      <w:r>
        <w:rPr>
          <w:rFonts w:ascii="Times New Roman" w:hAnsi="Times New Roman" w:cs="Times New Roman"/>
          <w:kern w:val="0"/>
          <w:szCs w:val="24"/>
        </w:rPr>
        <w:t>.</w:t>
      </w:r>
      <w:r>
        <w:rPr>
          <w:rFonts w:hint="eastAsia" w:ascii="Times New Roman" w:hAnsi="Times New Roman" w:cs="Times New Roman"/>
          <w:kern w:val="0"/>
          <w:szCs w:val="24"/>
        </w:rPr>
        <w:t>4水土保持设计</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_Toc16011 </w:instrText>
      </w:r>
      <w:r>
        <w:rPr>
          <w:rFonts w:ascii="Times New Roman" w:hAnsi="Times New Roman" w:cs="Times New Roman"/>
          <w:szCs w:val="24"/>
        </w:rPr>
        <w:fldChar w:fldCharType="separate"/>
      </w:r>
      <w:r>
        <w:rPr>
          <w:rFonts w:ascii="Times New Roman" w:hAnsi="Times New Roman" w:cs="Times New Roman"/>
          <w:szCs w:val="24"/>
        </w:rPr>
        <w:t>75</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8"/>
        <w:tabs>
          <w:tab w:val="right" w:leader="dot" w:pos="8306"/>
        </w:tabs>
        <w:rPr>
          <w:rFonts w:ascii="Times New Roman" w:hAnsi="Times New Roman" w:cs="Times New Roman"/>
          <w:szCs w:val="24"/>
        </w:rPr>
      </w:pPr>
      <w:r>
        <w:fldChar w:fldCharType="begin"/>
      </w:r>
      <w:r>
        <w:instrText xml:space="preserve"> HYPERLINK \l "_Toc7306" </w:instrText>
      </w:r>
      <w:r>
        <w:fldChar w:fldCharType="separate"/>
      </w:r>
      <w:r>
        <w:rPr>
          <w:rFonts w:hint="eastAsia" w:ascii="Times New Roman" w:hAnsi="Times New Roman" w:cs="Times New Roman"/>
          <w:kern w:val="0"/>
          <w:szCs w:val="24"/>
        </w:rPr>
        <w:t>7</w:t>
      </w:r>
      <w:r>
        <w:rPr>
          <w:rFonts w:ascii="Times New Roman" w:hAnsi="Times New Roman" w:cs="Times New Roman"/>
          <w:kern w:val="0"/>
          <w:szCs w:val="24"/>
        </w:rPr>
        <w:t>.</w:t>
      </w:r>
      <w:r>
        <w:rPr>
          <w:rFonts w:hint="eastAsia" w:ascii="Times New Roman" w:hAnsi="Times New Roman" w:cs="Times New Roman"/>
          <w:kern w:val="0"/>
          <w:szCs w:val="24"/>
        </w:rPr>
        <w:t>5黑臭水体治理工程</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_Toc7306 </w:instrText>
      </w:r>
      <w:r>
        <w:rPr>
          <w:rFonts w:ascii="Times New Roman" w:hAnsi="Times New Roman" w:cs="Times New Roman"/>
          <w:szCs w:val="24"/>
        </w:rPr>
        <w:fldChar w:fldCharType="separate"/>
      </w:r>
      <w:r>
        <w:rPr>
          <w:rFonts w:ascii="Times New Roman" w:hAnsi="Times New Roman" w:cs="Times New Roman"/>
          <w:szCs w:val="24"/>
        </w:rPr>
        <w:t>76</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0"/>
        <w:tabs>
          <w:tab w:val="right" w:leader="dot" w:pos="8306"/>
        </w:tabs>
        <w:rPr>
          <w:rFonts w:ascii="Times New Roman" w:hAnsi="Times New Roman" w:cs="Times New Roman"/>
          <w:szCs w:val="24"/>
        </w:rPr>
      </w:pPr>
      <w:r>
        <w:fldChar w:fldCharType="begin"/>
      </w:r>
      <w:r>
        <w:instrText xml:space="preserve"> HYPERLINK \l "_Toc14745" </w:instrText>
      </w:r>
      <w:r>
        <w:fldChar w:fldCharType="separate"/>
      </w:r>
      <w:r>
        <w:rPr>
          <w:rFonts w:hint="eastAsia" w:ascii="Times New Roman" w:hAnsi="Times New Roman" w:cs="Times New Roman"/>
          <w:szCs w:val="24"/>
        </w:rPr>
        <w:t>8 园林景观工程设计</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_Toc14745 </w:instrText>
      </w:r>
      <w:r>
        <w:rPr>
          <w:rFonts w:ascii="Times New Roman" w:hAnsi="Times New Roman" w:cs="Times New Roman"/>
          <w:szCs w:val="24"/>
        </w:rPr>
        <w:fldChar w:fldCharType="separate"/>
      </w:r>
      <w:r>
        <w:rPr>
          <w:rFonts w:ascii="Times New Roman" w:hAnsi="Times New Roman" w:cs="Times New Roman"/>
          <w:szCs w:val="24"/>
        </w:rPr>
        <w:t>78</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8"/>
        <w:tabs>
          <w:tab w:val="right" w:leader="dot" w:pos="8306"/>
        </w:tabs>
        <w:rPr>
          <w:rFonts w:ascii="Times New Roman" w:hAnsi="Times New Roman" w:cs="Times New Roman"/>
          <w:szCs w:val="24"/>
        </w:rPr>
      </w:pPr>
      <w:r>
        <w:fldChar w:fldCharType="begin"/>
      </w:r>
      <w:r>
        <w:instrText xml:space="preserve"> HYPERLINK \l "_Toc1210" </w:instrText>
      </w:r>
      <w:r>
        <w:fldChar w:fldCharType="separate"/>
      </w:r>
      <w:r>
        <w:rPr>
          <w:rFonts w:hint="eastAsia" w:cs="Helvetica" w:asciiTheme="minorEastAsia" w:hAnsiTheme="minorEastAsia"/>
          <w:kern w:val="0"/>
          <w:szCs w:val="28"/>
        </w:rPr>
        <w:t>8.1 一 般 规 定</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_Toc1210 </w:instrText>
      </w:r>
      <w:r>
        <w:rPr>
          <w:rFonts w:ascii="Times New Roman" w:hAnsi="Times New Roman" w:cs="Times New Roman"/>
          <w:szCs w:val="24"/>
        </w:rPr>
        <w:fldChar w:fldCharType="separate"/>
      </w:r>
      <w:r>
        <w:rPr>
          <w:rFonts w:ascii="Times New Roman" w:hAnsi="Times New Roman" w:cs="Times New Roman"/>
          <w:szCs w:val="24"/>
        </w:rPr>
        <w:t>78</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8"/>
        <w:tabs>
          <w:tab w:val="right" w:leader="dot" w:pos="8306"/>
        </w:tabs>
        <w:rPr>
          <w:rFonts w:ascii="Times New Roman" w:hAnsi="Times New Roman" w:cs="Times New Roman"/>
          <w:szCs w:val="24"/>
        </w:rPr>
      </w:pPr>
      <w:r>
        <w:fldChar w:fldCharType="begin"/>
      </w:r>
      <w:r>
        <w:instrText xml:space="preserve"> HYPERLINK \l "_Toc9754" </w:instrText>
      </w:r>
      <w:r>
        <w:fldChar w:fldCharType="separate"/>
      </w:r>
      <w:r>
        <w:rPr>
          <w:rFonts w:hint="eastAsia" w:cs="Helvetica" w:asciiTheme="minorEastAsia" w:hAnsiTheme="minorEastAsia"/>
          <w:bCs/>
          <w:kern w:val="0"/>
          <w:szCs w:val="28"/>
        </w:rPr>
        <w:t xml:space="preserve">8.2 </w:t>
      </w:r>
      <w:r>
        <w:rPr>
          <w:rFonts w:hint="eastAsia" w:cs="Helvetica" w:asciiTheme="minorEastAsia" w:hAnsiTheme="minorEastAsia"/>
          <w:kern w:val="0"/>
          <w:szCs w:val="28"/>
        </w:rPr>
        <w:t>总体设计</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_Toc9754 </w:instrText>
      </w:r>
      <w:r>
        <w:rPr>
          <w:rFonts w:ascii="Times New Roman" w:hAnsi="Times New Roman" w:cs="Times New Roman"/>
          <w:szCs w:val="24"/>
        </w:rPr>
        <w:fldChar w:fldCharType="separate"/>
      </w:r>
      <w:r>
        <w:rPr>
          <w:rFonts w:ascii="Times New Roman" w:hAnsi="Times New Roman" w:cs="Times New Roman"/>
          <w:szCs w:val="24"/>
        </w:rPr>
        <w:t>78</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8"/>
        <w:tabs>
          <w:tab w:val="right" w:leader="dot" w:pos="8306"/>
        </w:tabs>
        <w:rPr>
          <w:rFonts w:ascii="Times New Roman" w:hAnsi="Times New Roman" w:cs="Times New Roman"/>
          <w:szCs w:val="24"/>
        </w:rPr>
      </w:pPr>
      <w:r>
        <w:fldChar w:fldCharType="begin"/>
      </w:r>
      <w:r>
        <w:instrText xml:space="preserve"> HYPERLINK \l "_Toc15520" </w:instrText>
      </w:r>
      <w:r>
        <w:fldChar w:fldCharType="separate"/>
      </w:r>
      <w:r>
        <w:rPr>
          <w:rFonts w:hint="eastAsia" w:cs="Helvetica" w:asciiTheme="minorEastAsia" w:hAnsiTheme="minorEastAsia"/>
          <w:kern w:val="0"/>
          <w:szCs w:val="28"/>
        </w:rPr>
        <w:t>8.3 地形、园路及铺装场地设计</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_Toc15520 </w:instrText>
      </w:r>
      <w:r>
        <w:rPr>
          <w:rFonts w:ascii="Times New Roman" w:hAnsi="Times New Roman" w:cs="Times New Roman"/>
          <w:szCs w:val="24"/>
        </w:rPr>
        <w:fldChar w:fldCharType="separate"/>
      </w:r>
      <w:r>
        <w:rPr>
          <w:rFonts w:ascii="Times New Roman" w:hAnsi="Times New Roman" w:cs="Times New Roman"/>
          <w:szCs w:val="24"/>
        </w:rPr>
        <w:t>80</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8"/>
        <w:tabs>
          <w:tab w:val="right" w:leader="dot" w:pos="8306"/>
        </w:tabs>
        <w:rPr>
          <w:rFonts w:ascii="Times New Roman" w:hAnsi="Times New Roman" w:cs="Times New Roman"/>
          <w:szCs w:val="24"/>
        </w:rPr>
      </w:pPr>
      <w:r>
        <w:fldChar w:fldCharType="begin"/>
      </w:r>
      <w:r>
        <w:instrText xml:space="preserve"> HYPERLINK \l "_Toc16466" </w:instrText>
      </w:r>
      <w:r>
        <w:fldChar w:fldCharType="separate"/>
      </w:r>
      <w:r>
        <w:rPr>
          <w:rFonts w:hint="eastAsia" w:cs="Helvetica" w:asciiTheme="minorEastAsia" w:hAnsiTheme="minorEastAsia"/>
          <w:kern w:val="0"/>
          <w:szCs w:val="28"/>
        </w:rPr>
        <w:t>8.4 种植设计</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_Toc16466 </w:instrText>
      </w:r>
      <w:r>
        <w:rPr>
          <w:rFonts w:ascii="Times New Roman" w:hAnsi="Times New Roman" w:cs="Times New Roman"/>
          <w:szCs w:val="24"/>
        </w:rPr>
        <w:fldChar w:fldCharType="separate"/>
      </w:r>
      <w:r>
        <w:rPr>
          <w:rFonts w:ascii="Times New Roman" w:hAnsi="Times New Roman" w:cs="Times New Roman"/>
          <w:szCs w:val="24"/>
        </w:rPr>
        <w:t>81</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8"/>
        <w:tabs>
          <w:tab w:val="right" w:leader="dot" w:pos="8306"/>
        </w:tabs>
        <w:rPr>
          <w:rFonts w:ascii="Times New Roman" w:hAnsi="Times New Roman" w:cs="Times New Roman"/>
          <w:szCs w:val="24"/>
        </w:rPr>
      </w:pPr>
      <w:r>
        <w:fldChar w:fldCharType="begin"/>
      </w:r>
      <w:r>
        <w:instrText xml:space="preserve"> HYPERLINK \l "_Toc31200" </w:instrText>
      </w:r>
      <w:r>
        <w:fldChar w:fldCharType="separate"/>
      </w:r>
      <w:r>
        <w:rPr>
          <w:rFonts w:hint="eastAsia" w:cs="Helvetica" w:asciiTheme="minorEastAsia" w:hAnsiTheme="minorEastAsia"/>
          <w:kern w:val="0"/>
          <w:szCs w:val="28"/>
        </w:rPr>
        <w:t>8.5 建（构）筑物及配套设施设计</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_Toc31200 </w:instrText>
      </w:r>
      <w:r>
        <w:rPr>
          <w:rFonts w:ascii="Times New Roman" w:hAnsi="Times New Roman" w:cs="Times New Roman"/>
          <w:szCs w:val="24"/>
        </w:rPr>
        <w:fldChar w:fldCharType="separate"/>
      </w:r>
      <w:r>
        <w:rPr>
          <w:rFonts w:ascii="Times New Roman" w:hAnsi="Times New Roman" w:cs="Times New Roman"/>
          <w:szCs w:val="24"/>
        </w:rPr>
        <w:t>83</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8"/>
        <w:tabs>
          <w:tab w:val="right" w:leader="dot" w:pos="8306"/>
        </w:tabs>
        <w:rPr>
          <w:rFonts w:ascii="Times New Roman" w:hAnsi="Times New Roman" w:cs="Times New Roman"/>
          <w:szCs w:val="24"/>
        </w:rPr>
      </w:pPr>
      <w:r>
        <w:fldChar w:fldCharType="begin"/>
      </w:r>
      <w:r>
        <w:instrText xml:space="preserve"> HYPERLINK \l "_Toc28665" </w:instrText>
      </w:r>
      <w:r>
        <w:fldChar w:fldCharType="separate"/>
      </w:r>
      <w:r>
        <w:rPr>
          <w:rFonts w:hint="eastAsia" w:cs="Helvetica" w:asciiTheme="minorEastAsia" w:hAnsiTheme="minorEastAsia"/>
          <w:kern w:val="0"/>
          <w:szCs w:val="28"/>
        </w:rPr>
        <w:t>8.6 给排水及电气设计</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_Toc28665 </w:instrText>
      </w:r>
      <w:r>
        <w:rPr>
          <w:rFonts w:ascii="Times New Roman" w:hAnsi="Times New Roman" w:cs="Times New Roman"/>
          <w:szCs w:val="24"/>
        </w:rPr>
        <w:fldChar w:fldCharType="separate"/>
      </w:r>
      <w:r>
        <w:rPr>
          <w:rFonts w:ascii="Times New Roman" w:hAnsi="Times New Roman" w:cs="Times New Roman"/>
          <w:szCs w:val="24"/>
        </w:rPr>
        <w:t>84</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8"/>
        <w:tabs>
          <w:tab w:val="right" w:leader="dot" w:pos="8306"/>
        </w:tabs>
        <w:rPr>
          <w:rFonts w:ascii="Times New Roman" w:hAnsi="Times New Roman" w:cs="Times New Roman"/>
          <w:szCs w:val="24"/>
        </w:rPr>
      </w:pPr>
      <w:r>
        <w:fldChar w:fldCharType="begin"/>
      </w:r>
      <w:r>
        <w:instrText xml:space="preserve"> HYPERLINK \l "_Toc4950" </w:instrText>
      </w:r>
      <w:r>
        <w:fldChar w:fldCharType="separate"/>
      </w:r>
      <w:r>
        <w:rPr>
          <w:rFonts w:hint="eastAsia" w:cs="Helvetica" w:asciiTheme="minorEastAsia" w:hAnsiTheme="minorEastAsia"/>
          <w:bCs/>
          <w:kern w:val="0"/>
          <w:szCs w:val="28"/>
        </w:rPr>
        <w:t>8.7 公园绿地海绵设施设计</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_Toc4950 </w:instrText>
      </w:r>
      <w:r>
        <w:rPr>
          <w:rFonts w:ascii="Times New Roman" w:hAnsi="Times New Roman" w:cs="Times New Roman"/>
          <w:szCs w:val="24"/>
        </w:rPr>
        <w:fldChar w:fldCharType="separate"/>
      </w:r>
      <w:r>
        <w:rPr>
          <w:rFonts w:ascii="Times New Roman" w:hAnsi="Times New Roman" w:cs="Times New Roman"/>
          <w:szCs w:val="24"/>
        </w:rPr>
        <w:t>86</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0"/>
        <w:tabs>
          <w:tab w:val="right" w:leader="dot" w:pos="8306"/>
        </w:tabs>
        <w:rPr>
          <w:rFonts w:ascii="Times New Roman" w:hAnsi="Times New Roman" w:cs="Times New Roman"/>
          <w:szCs w:val="24"/>
        </w:rPr>
      </w:pPr>
      <w:r>
        <w:fldChar w:fldCharType="begin"/>
      </w:r>
      <w:r>
        <w:instrText xml:space="preserve"> HYPERLINK \l "_Toc3702" </w:instrText>
      </w:r>
      <w:r>
        <w:fldChar w:fldCharType="separate"/>
      </w:r>
      <w:r>
        <w:rPr>
          <w:rFonts w:hint="eastAsia" w:ascii="Times New Roman" w:hAnsi="Times New Roman" w:cs="Times New Roman"/>
          <w:szCs w:val="24"/>
        </w:rPr>
        <w:t xml:space="preserve">9 </w:t>
      </w:r>
      <w:r>
        <w:rPr>
          <w:rFonts w:ascii="Times New Roman" w:hAnsi="Times New Roman" w:cs="Times New Roman"/>
          <w:szCs w:val="24"/>
        </w:rPr>
        <w:t>岩土工程</w:t>
      </w:r>
      <w:r>
        <w:rPr>
          <w:rFonts w:hint="eastAsia" w:ascii="Times New Roman" w:hAnsi="Times New Roman" w:cs="Times New Roman"/>
          <w:szCs w:val="24"/>
        </w:rPr>
        <w:t>设计</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_Toc3702 </w:instrText>
      </w:r>
      <w:r>
        <w:rPr>
          <w:rFonts w:ascii="Times New Roman" w:hAnsi="Times New Roman" w:cs="Times New Roman"/>
          <w:szCs w:val="24"/>
        </w:rPr>
        <w:fldChar w:fldCharType="separate"/>
      </w:r>
      <w:r>
        <w:rPr>
          <w:rFonts w:ascii="Times New Roman" w:hAnsi="Times New Roman" w:cs="Times New Roman"/>
          <w:szCs w:val="24"/>
        </w:rPr>
        <w:t>89</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8"/>
        <w:tabs>
          <w:tab w:val="right" w:leader="dot" w:pos="8306"/>
        </w:tabs>
        <w:rPr>
          <w:rFonts w:ascii="Times New Roman" w:hAnsi="Times New Roman" w:cs="Times New Roman"/>
          <w:szCs w:val="24"/>
        </w:rPr>
      </w:pPr>
      <w:r>
        <w:fldChar w:fldCharType="begin"/>
      </w:r>
      <w:r>
        <w:instrText xml:space="preserve"> HYPERLINK \l "_Toc19163" </w:instrText>
      </w:r>
      <w:r>
        <w:fldChar w:fldCharType="separate"/>
      </w:r>
      <w:r>
        <w:rPr>
          <w:rFonts w:hint="eastAsia" w:ascii="Times New Roman" w:hAnsi="Times New Roman" w:cs="Times New Roman"/>
          <w:szCs w:val="24"/>
        </w:rPr>
        <w:t>9.1一般规定</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_Toc19163 </w:instrText>
      </w:r>
      <w:r>
        <w:rPr>
          <w:rFonts w:ascii="Times New Roman" w:hAnsi="Times New Roman" w:cs="Times New Roman"/>
          <w:szCs w:val="24"/>
        </w:rPr>
        <w:fldChar w:fldCharType="separate"/>
      </w:r>
      <w:r>
        <w:rPr>
          <w:rFonts w:ascii="Times New Roman" w:hAnsi="Times New Roman" w:cs="Times New Roman"/>
          <w:szCs w:val="24"/>
        </w:rPr>
        <w:t>89</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8"/>
        <w:tabs>
          <w:tab w:val="right" w:leader="dot" w:pos="8306"/>
        </w:tabs>
        <w:rPr>
          <w:rFonts w:ascii="Times New Roman" w:hAnsi="Times New Roman" w:cs="Times New Roman"/>
          <w:szCs w:val="24"/>
        </w:rPr>
      </w:pPr>
      <w:r>
        <w:fldChar w:fldCharType="begin"/>
      </w:r>
      <w:r>
        <w:instrText xml:space="preserve"> HYPERLINK \l "_Toc13323" </w:instrText>
      </w:r>
      <w:r>
        <w:fldChar w:fldCharType="separate"/>
      </w:r>
      <w:r>
        <w:rPr>
          <w:rFonts w:hint="eastAsia" w:ascii="Times New Roman" w:hAnsi="Times New Roman" w:cs="Times New Roman"/>
          <w:szCs w:val="24"/>
        </w:rPr>
        <w:t>9.2边坡工程</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_Toc13323 </w:instrText>
      </w:r>
      <w:r>
        <w:rPr>
          <w:rFonts w:ascii="Times New Roman" w:hAnsi="Times New Roman" w:cs="Times New Roman"/>
          <w:szCs w:val="24"/>
        </w:rPr>
        <w:fldChar w:fldCharType="separate"/>
      </w:r>
      <w:r>
        <w:rPr>
          <w:rFonts w:ascii="Times New Roman" w:hAnsi="Times New Roman" w:cs="Times New Roman"/>
          <w:szCs w:val="24"/>
        </w:rPr>
        <w:t>89</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8"/>
        <w:tabs>
          <w:tab w:val="right" w:leader="dot" w:pos="8306"/>
        </w:tabs>
        <w:rPr>
          <w:rFonts w:ascii="Times New Roman" w:hAnsi="Times New Roman" w:cs="Times New Roman"/>
          <w:szCs w:val="24"/>
        </w:rPr>
      </w:pPr>
      <w:r>
        <w:fldChar w:fldCharType="begin"/>
      </w:r>
      <w:r>
        <w:instrText xml:space="preserve"> HYPERLINK \l "_Toc26195" </w:instrText>
      </w:r>
      <w:r>
        <w:fldChar w:fldCharType="separate"/>
      </w:r>
      <w:r>
        <w:rPr>
          <w:rFonts w:hint="eastAsia" w:ascii="Times New Roman" w:hAnsi="Times New Roman" w:cs="Times New Roman"/>
          <w:szCs w:val="24"/>
        </w:rPr>
        <w:t>9.3基坑工程</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_Toc26195 </w:instrText>
      </w:r>
      <w:r>
        <w:rPr>
          <w:rFonts w:ascii="Times New Roman" w:hAnsi="Times New Roman" w:cs="Times New Roman"/>
          <w:szCs w:val="24"/>
        </w:rPr>
        <w:fldChar w:fldCharType="separate"/>
      </w:r>
      <w:r>
        <w:rPr>
          <w:rFonts w:ascii="Times New Roman" w:hAnsi="Times New Roman" w:cs="Times New Roman"/>
          <w:szCs w:val="24"/>
        </w:rPr>
        <w:t>91</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8"/>
        <w:tabs>
          <w:tab w:val="right" w:leader="dot" w:pos="8306"/>
        </w:tabs>
        <w:rPr>
          <w:rFonts w:ascii="Times New Roman" w:hAnsi="Times New Roman" w:cs="Times New Roman"/>
          <w:szCs w:val="24"/>
        </w:rPr>
      </w:pPr>
      <w:r>
        <w:fldChar w:fldCharType="begin"/>
      </w:r>
      <w:r>
        <w:instrText xml:space="preserve"> HYPERLINK \l "_Toc27427" </w:instrText>
      </w:r>
      <w:r>
        <w:fldChar w:fldCharType="separate"/>
      </w:r>
      <w:r>
        <w:rPr>
          <w:rFonts w:hint="eastAsia" w:ascii="Times New Roman" w:hAnsi="Times New Roman" w:cs="Times New Roman"/>
          <w:szCs w:val="24"/>
        </w:rPr>
        <w:t>9.4填海及软基工程</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_Toc27427 </w:instrText>
      </w:r>
      <w:r>
        <w:rPr>
          <w:rFonts w:ascii="Times New Roman" w:hAnsi="Times New Roman" w:cs="Times New Roman"/>
          <w:szCs w:val="24"/>
        </w:rPr>
        <w:fldChar w:fldCharType="separate"/>
      </w:r>
      <w:r>
        <w:rPr>
          <w:rFonts w:ascii="Times New Roman" w:hAnsi="Times New Roman" w:cs="Times New Roman"/>
          <w:szCs w:val="24"/>
        </w:rPr>
        <w:t>94</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8"/>
        <w:tabs>
          <w:tab w:val="right" w:leader="dot" w:pos="8306"/>
        </w:tabs>
        <w:rPr>
          <w:rFonts w:ascii="Times New Roman" w:hAnsi="Times New Roman" w:cs="Times New Roman"/>
          <w:szCs w:val="24"/>
        </w:rPr>
      </w:pPr>
      <w:r>
        <w:fldChar w:fldCharType="begin"/>
      </w:r>
      <w:r>
        <w:instrText xml:space="preserve"> HYPERLINK \l "_Toc6697" </w:instrText>
      </w:r>
      <w:r>
        <w:fldChar w:fldCharType="separate"/>
      </w:r>
      <w:r>
        <w:rPr>
          <w:rFonts w:hint="eastAsia" w:ascii="Times New Roman" w:hAnsi="Times New Roman" w:cs="Times New Roman"/>
          <w:szCs w:val="24"/>
        </w:rPr>
        <w:t>9.5岩溶及采空区治理工程</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_Toc6697 </w:instrText>
      </w:r>
      <w:r>
        <w:rPr>
          <w:rFonts w:ascii="Times New Roman" w:hAnsi="Times New Roman" w:cs="Times New Roman"/>
          <w:szCs w:val="24"/>
        </w:rPr>
        <w:fldChar w:fldCharType="separate"/>
      </w:r>
      <w:r>
        <w:rPr>
          <w:rFonts w:ascii="Times New Roman" w:hAnsi="Times New Roman" w:cs="Times New Roman"/>
          <w:szCs w:val="24"/>
        </w:rPr>
        <w:t>95</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8"/>
        <w:tabs>
          <w:tab w:val="right" w:leader="dot" w:pos="8306"/>
        </w:tabs>
        <w:rPr>
          <w:rFonts w:ascii="Times New Roman" w:hAnsi="Times New Roman" w:cs="Times New Roman"/>
          <w:szCs w:val="24"/>
        </w:rPr>
      </w:pPr>
      <w:r>
        <w:fldChar w:fldCharType="begin"/>
      </w:r>
      <w:r>
        <w:instrText xml:space="preserve"> HYPERLINK \l "_Toc25449" </w:instrText>
      </w:r>
      <w:r>
        <w:fldChar w:fldCharType="separate"/>
      </w:r>
      <w:r>
        <w:rPr>
          <w:rFonts w:hint="eastAsia" w:ascii="Times New Roman" w:hAnsi="Times New Roman" w:cs="Times New Roman"/>
          <w:szCs w:val="24"/>
        </w:rPr>
        <w:t>9.6 临近地铁及特殊管线岩土工程</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_Toc25449 </w:instrText>
      </w:r>
      <w:r>
        <w:rPr>
          <w:rFonts w:ascii="Times New Roman" w:hAnsi="Times New Roman" w:cs="Times New Roman"/>
          <w:szCs w:val="24"/>
        </w:rPr>
        <w:fldChar w:fldCharType="separate"/>
      </w:r>
      <w:r>
        <w:rPr>
          <w:rFonts w:ascii="Times New Roman" w:hAnsi="Times New Roman" w:cs="Times New Roman"/>
          <w:szCs w:val="24"/>
        </w:rPr>
        <w:t>97</w:t>
      </w:r>
      <w:r>
        <w:rPr>
          <w:rFonts w:ascii="Times New Roman" w:hAnsi="Times New Roman" w:cs="Times New Roman"/>
          <w:szCs w:val="24"/>
        </w:rPr>
        <w:fldChar w:fldCharType="end"/>
      </w:r>
      <w:r>
        <w:rPr>
          <w:rFonts w:ascii="Times New Roman" w:hAnsi="Times New Roman" w:cs="Times New Roman"/>
          <w:szCs w:val="24"/>
        </w:rPr>
        <w:fldChar w:fldCharType="end"/>
      </w:r>
    </w:p>
    <w:p>
      <w:pPr>
        <w:pStyle w:val="30"/>
        <w:tabs>
          <w:tab w:val="right" w:leader="dot" w:pos="8306"/>
        </w:tabs>
        <w:rPr>
          <w:rFonts w:ascii="Times New Roman" w:hAnsi="Times New Roman" w:cs="Times New Roman"/>
          <w:szCs w:val="24"/>
        </w:rPr>
      </w:pPr>
      <w:r>
        <w:fldChar w:fldCharType="begin"/>
      </w:r>
      <w:r>
        <w:instrText xml:space="preserve"> HYPERLINK \l "_Toc6300" </w:instrText>
      </w:r>
      <w:r>
        <w:fldChar w:fldCharType="separate"/>
      </w:r>
      <w:r>
        <w:rPr>
          <w:rFonts w:hint="eastAsia" w:ascii="Times New Roman" w:hAnsi="Times New Roman" w:cs="Times New Roman"/>
          <w:szCs w:val="24"/>
        </w:rPr>
        <w:t>引用标准名录</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_Toc6300 </w:instrText>
      </w:r>
      <w:r>
        <w:rPr>
          <w:rFonts w:ascii="Times New Roman" w:hAnsi="Times New Roman" w:cs="Times New Roman"/>
          <w:szCs w:val="24"/>
        </w:rPr>
        <w:fldChar w:fldCharType="separate"/>
      </w:r>
      <w:r>
        <w:rPr>
          <w:rFonts w:ascii="Times New Roman" w:hAnsi="Times New Roman" w:cs="Times New Roman"/>
          <w:szCs w:val="24"/>
        </w:rPr>
        <w:t>99</w:t>
      </w:r>
      <w:r>
        <w:rPr>
          <w:rFonts w:ascii="Times New Roman" w:hAnsi="Times New Roman" w:cs="Times New Roman"/>
          <w:szCs w:val="24"/>
        </w:rPr>
        <w:fldChar w:fldCharType="end"/>
      </w:r>
      <w:r>
        <w:rPr>
          <w:rFonts w:ascii="Times New Roman" w:hAnsi="Times New Roman" w:cs="Times New Roman"/>
          <w:szCs w:val="24"/>
        </w:rPr>
        <w:fldChar w:fldCharType="end"/>
      </w:r>
    </w:p>
    <w:p>
      <w:pPr>
        <w:spacing w:line="360" w:lineRule="auto"/>
        <w:jc w:val="left"/>
        <w:outlineLvl w:val="0"/>
        <w:sectPr>
          <w:pgSz w:w="11906" w:h="16838"/>
          <w:pgMar w:top="1440" w:right="1800" w:bottom="1440" w:left="1800" w:header="851" w:footer="992" w:gutter="0"/>
          <w:pgNumType w:start="1"/>
          <w:cols w:space="720" w:num="1"/>
          <w:docGrid w:type="lines" w:linePitch="312" w:charSpace="0"/>
        </w:sectPr>
      </w:pPr>
      <w:r>
        <w:rPr>
          <w:rFonts w:asciiTheme="minorEastAsia" w:hAnsiTheme="minorEastAsia" w:cstheme="minorHAnsi"/>
          <w:bCs/>
          <w:szCs w:val="32"/>
        </w:rPr>
        <w:fldChar w:fldCharType="end"/>
      </w:r>
      <w:bookmarkStart w:id="0" w:name="_Toc137_WPSOffice_Level1"/>
    </w:p>
    <w:p>
      <w:pPr>
        <w:pStyle w:val="2"/>
      </w:pPr>
      <w:bookmarkStart w:id="1" w:name="_Toc27678"/>
      <w:r>
        <w:rPr>
          <w:rFonts w:hint="eastAsia"/>
        </w:rPr>
        <w:t>1 总 则</w:t>
      </w:r>
      <w:bookmarkEnd w:id="0"/>
      <w:bookmarkEnd w:id="1"/>
    </w:p>
    <w:p>
      <w:pPr>
        <w:spacing w:line="360" w:lineRule="auto"/>
        <w:jc w:val="left"/>
        <w:rPr>
          <w:rFonts w:ascii="宋体" w:hAnsi="宋体" w:cs="宋体"/>
          <w:kern w:val="0"/>
          <w:sz w:val="28"/>
          <w:szCs w:val="28"/>
        </w:rPr>
      </w:pPr>
      <w:r>
        <w:rPr>
          <w:rFonts w:hint="eastAsia" w:ascii="宋体" w:hAnsi="宋体" w:cs="宋体"/>
          <w:b/>
          <w:kern w:val="0"/>
          <w:sz w:val="28"/>
          <w:szCs w:val="28"/>
        </w:rPr>
        <w:t xml:space="preserve">1.0.1 </w:t>
      </w:r>
      <w:r>
        <w:rPr>
          <w:rFonts w:ascii="宋体" w:hAnsi="宋体" w:cs="宋体"/>
          <w:kern w:val="0"/>
          <w:sz w:val="28"/>
          <w:szCs w:val="28"/>
        </w:rPr>
        <w:t>为</w:t>
      </w:r>
      <w:r>
        <w:rPr>
          <w:rFonts w:hint="eastAsia" w:ascii="宋体" w:hAnsi="宋体" w:cs="宋体"/>
          <w:kern w:val="0"/>
          <w:sz w:val="28"/>
          <w:szCs w:val="28"/>
        </w:rPr>
        <w:t>高质量、高水平推进本市重点区域工程建设，确立有关建设标准，引导及规范该区域</w:t>
      </w:r>
      <w:r>
        <w:rPr>
          <w:rFonts w:ascii="宋体" w:hAnsi="宋体" w:cs="宋体"/>
          <w:kern w:val="0"/>
          <w:sz w:val="28"/>
          <w:szCs w:val="28"/>
        </w:rPr>
        <w:t>工程设计，</w:t>
      </w:r>
      <w:r>
        <w:rPr>
          <w:rFonts w:hint="eastAsia" w:ascii="宋体" w:hAnsi="宋体" w:cs="宋体"/>
          <w:kern w:val="0"/>
          <w:sz w:val="28"/>
          <w:szCs w:val="28"/>
        </w:rPr>
        <w:t>打造精品工程项目，助建宜业宜居现代化国际化城市范例</w:t>
      </w:r>
      <w:r>
        <w:rPr>
          <w:rFonts w:hint="eastAsia" w:asciiTheme="minorEastAsia" w:hAnsiTheme="minorEastAsia" w:eastAsiaTheme="minorEastAsia"/>
          <w:sz w:val="28"/>
          <w:szCs w:val="28"/>
        </w:rPr>
        <w:t>，</w:t>
      </w:r>
      <w:r>
        <w:rPr>
          <w:rFonts w:ascii="宋体" w:hAnsi="宋体" w:cs="宋体"/>
          <w:kern w:val="0"/>
          <w:sz w:val="28"/>
          <w:szCs w:val="28"/>
        </w:rPr>
        <w:t>制定本</w:t>
      </w:r>
      <w:r>
        <w:rPr>
          <w:rFonts w:hint="eastAsia" w:ascii="宋体" w:hAnsi="宋体" w:cs="宋体"/>
          <w:kern w:val="0"/>
          <w:sz w:val="28"/>
          <w:szCs w:val="28"/>
        </w:rPr>
        <w:t>导则</w:t>
      </w:r>
      <w:r>
        <w:rPr>
          <w:rFonts w:ascii="宋体" w:hAnsi="宋体" w:cs="宋体"/>
          <w:kern w:val="0"/>
          <w:sz w:val="28"/>
          <w:szCs w:val="28"/>
        </w:rPr>
        <w:t>。</w:t>
      </w:r>
    </w:p>
    <w:p>
      <w:pPr>
        <w:spacing w:line="360" w:lineRule="auto"/>
        <w:jc w:val="left"/>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【条文说明】</w:t>
      </w:r>
      <w:r>
        <w:rPr>
          <w:rFonts w:hint="eastAsia" w:ascii="微软雅黑" w:hAnsi="微软雅黑" w:eastAsia="微软雅黑" w:cs="微软雅黑"/>
          <w:b/>
          <w:kern w:val="0"/>
          <w:sz w:val="28"/>
          <w:szCs w:val="28"/>
        </w:rPr>
        <w:t xml:space="preserve">1.0.1 </w:t>
      </w:r>
      <w:r>
        <w:rPr>
          <w:rFonts w:hint="eastAsia" w:ascii="微软雅黑" w:hAnsi="微软雅黑" w:eastAsia="微软雅黑" w:cs="微软雅黑"/>
          <w:kern w:val="0"/>
          <w:sz w:val="28"/>
          <w:szCs w:val="28"/>
        </w:rPr>
        <w:t>本导则所称建设工程设计，是指根据建设工程的要求，对建设工程所需的技术、经济、资源、环境等条件进行综合分析、论证，编制建设工程设计文件的活动。</w:t>
      </w:r>
    </w:p>
    <w:p>
      <w:pPr>
        <w:spacing w:line="360" w:lineRule="auto"/>
        <w:jc w:val="left"/>
        <w:rPr>
          <w:rFonts w:ascii="宋体" w:hAnsi="宋体" w:cs="宋体"/>
          <w:kern w:val="0"/>
          <w:sz w:val="28"/>
          <w:szCs w:val="28"/>
        </w:rPr>
      </w:pPr>
      <w:r>
        <w:rPr>
          <w:rFonts w:hint="eastAsia" w:ascii="宋体" w:hAnsi="宋体" w:cs="宋体"/>
          <w:b/>
          <w:kern w:val="0"/>
          <w:sz w:val="28"/>
          <w:szCs w:val="28"/>
        </w:rPr>
        <w:t xml:space="preserve">1.0.2 </w:t>
      </w:r>
      <w:r>
        <w:rPr>
          <w:rFonts w:hint="eastAsia" w:ascii="宋体" w:hAnsi="宋体" w:cs="宋体"/>
          <w:kern w:val="0"/>
          <w:sz w:val="28"/>
          <w:szCs w:val="28"/>
        </w:rPr>
        <w:t>本导则适用于本市重点区域内新建的建筑工程、市政工程、水利工程、园林景观工程和岩土工程等工程设计。重点区域内扩建、改建的建设工程设计，参照本导则执行。</w:t>
      </w:r>
    </w:p>
    <w:p>
      <w:pPr>
        <w:spacing w:line="360" w:lineRule="auto"/>
        <w:jc w:val="left"/>
        <w:rPr>
          <w:rFonts w:ascii="宋体" w:hAnsi="宋体" w:cs="宋体"/>
          <w:b/>
          <w:color w:val="0000FF"/>
          <w:kern w:val="0"/>
          <w:sz w:val="28"/>
          <w:szCs w:val="28"/>
        </w:rPr>
      </w:pPr>
      <w:r>
        <w:rPr>
          <w:rFonts w:hint="eastAsia" w:ascii="宋体" w:hAnsi="宋体" w:cs="宋体"/>
          <w:b/>
          <w:kern w:val="0"/>
          <w:sz w:val="28"/>
          <w:szCs w:val="28"/>
        </w:rPr>
        <w:t xml:space="preserve">1.0.3 </w:t>
      </w:r>
      <w:r>
        <w:rPr>
          <w:rFonts w:hint="eastAsia" w:ascii="宋体" w:hAnsi="宋体" w:cs="宋体"/>
          <w:kern w:val="0"/>
          <w:sz w:val="28"/>
          <w:szCs w:val="28"/>
        </w:rPr>
        <w:t>建设</w:t>
      </w:r>
      <w:r>
        <w:rPr>
          <w:rFonts w:ascii="宋体" w:hAnsi="宋体" w:cs="宋体"/>
          <w:kern w:val="0"/>
          <w:sz w:val="28"/>
          <w:szCs w:val="28"/>
        </w:rPr>
        <w:t>工程设计除应</w:t>
      </w:r>
      <w:r>
        <w:rPr>
          <w:rFonts w:hint="eastAsia" w:ascii="宋体" w:hAnsi="宋体" w:cs="宋体"/>
          <w:kern w:val="0"/>
          <w:sz w:val="28"/>
          <w:szCs w:val="28"/>
        </w:rPr>
        <w:t>遵循</w:t>
      </w:r>
      <w:r>
        <w:rPr>
          <w:rFonts w:ascii="宋体" w:hAnsi="宋体" w:cs="宋体"/>
          <w:kern w:val="0"/>
          <w:sz w:val="28"/>
          <w:szCs w:val="28"/>
        </w:rPr>
        <w:t>本</w:t>
      </w:r>
      <w:r>
        <w:rPr>
          <w:rFonts w:hint="eastAsia" w:ascii="宋体" w:hAnsi="宋体" w:cs="宋体"/>
          <w:kern w:val="0"/>
          <w:sz w:val="28"/>
          <w:szCs w:val="28"/>
        </w:rPr>
        <w:t>导则</w:t>
      </w:r>
      <w:r>
        <w:rPr>
          <w:rFonts w:ascii="宋体" w:hAnsi="宋体" w:cs="宋体"/>
          <w:kern w:val="0"/>
          <w:sz w:val="28"/>
          <w:szCs w:val="28"/>
        </w:rPr>
        <w:t>外，尚应符合</w:t>
      </w:r>
      <w:r>
        <w:rPr>
          <w:rFonts w:hint="eastAsia" w:ascii="宋体" w:hAnsi="宋体" w:cs="宋体"/>
          <w:kern w:val="0"/>
          <w:sz w:val="28"/>
          <w:szCs w:val="28"/>
        </w:rPr>
        <w:t>现行</w:t>
      </w:r>
      <w:r>
        <w:rPr>
          <w:rFonts w:ascii="宋体" w:hAnsi="宋体" w:cs="宋体"/>
          <w:kern w:val="0"/>
          <w:sz w:val="28"/>
          <w:szCs w:val="28"/>
        </w:rPr>
        <w:t>国家</w:t>
      </w:r>
      <w:r>
        <w:rPr>
          <w:rFonts w:hint="eastAsia" w:ascii="宋体" w:hAnsi="宋体" w:cs="宋体"/>
          <w:kern w:val="0"/>
          <w:sz w:val="28"/>
          <w:szCs w:val="28"/>
        </w:rPr>
        <w:t>、行业和本省市</w:t>
      </w:r>
      <w:r>
        <w:rPr>
          <w:rFonts w:ascii="宋体" w:hAnsi="宋体" w:cs="宋体"/>
          <w:kern w:val="0"/>
          <w:sz w:val="28"/>
          <w:szCs w:val="28"/>
        </w:rPr>
        <w:t>有关</w:t>
      </w:r>
      <w:r>
        <w:rPr>
          <w:rFonts w:hint="eastAsia" w:ascii="宋体" w:hAnsi="宋体" w:cs="宋体"/>
          <w:kern w:val="0"/>
          <w:sz w:val="28"/>
          <w:szCs w:val="28"/>
        </w:rPr>
        <w:t>工程建设</w:t>
      </w:r>
      <w:r>
        <w:rPr>
          <w:rFonts w:ascii="宋体" w:hAnsi="宋体" w:cs="宋体"/>
          <w:kern w:val="0"/>
          <w:sz w:val="28"/>
          <w:szCs w:val="28"/>
        </w:rPr>
        <w:t>标准。</w:t>
      </w:r>
    </w:p>
    <w:p>
      <w:pPr>
        <w:spacing w:line="360" w:lineRule="auto"/>
        <w:rPr>
          <w:rFonts w:ascii="宋体" w:hAnsi="宋体"/>
          <w:bCs/>
          <w:color w:val="0000FF"/>
          <w:sz w:val="28"/>
          <w:szCs w:val="28"/>
        </w:rPr>
      </w:pPr>
    </w:p>
    <w:p>
      <w:pPr>
        <w:spacing w:line="360" w:lineRule="auto"/>
        <w:rPr>
          <w:rFonts w:ascii="宋体" w:hAnsi="宋体"/>
          <w:b/>
          <w:color w:val="0000FF"/>
          <w:sz w:val="32"/>
          <w:szCs w:val="32"/>
        </w:rPr>
      </w:pPr>
    </w:p>
    <w:p>
      <w:pPr>
        <w:pStyle w:val="2"/>
        <w:pageBreakBefore/>
        <w:rPr>
          <w:szCs w:val="32"/>
        </w:rPr>
      </w:pPr>
      <w:bookmarkStart w:id="2" w:name="_Toc15530"/>
      <w:bookmarkStart w:id="3" w:name="_Toc13640_WPSOffice_Level1"/>
      <w:r>
        <w:rPr>
          <w:rFonts w:hint="eastAsia"/>
          <w:szCs w:val="32"/>
        </w:rPr>
        <w:t>2 术 语</w:t>
      </w:r>
      <w:bookmarkEnd w:id="2"/>
    </w:p>
    <w:p>
      <w:pPr>
        <w:spacing w:line="360" w:lineRule="auto"/>
        <w:jc w:val="left"/>
        <w:rPr>
          <w:rFonts w:ascii="宋体" w:hAnsi="宋体" w:cs="宋体"/>
          <w:bCs/>
          <w:kern w:val="0"/>
          <w:sz w:val="28"/>
          <w:szCs w:val="28"/>
        </w:rPr>
      </w:pPr>
      <w:r>
        <w:rPr>
          <w:rFonts w:hint="eastAsia" w:ascii="宋体" w:hAnsi="宋体" w:cs="宋体"/>
          <w:b/>
          <w:bCs/>
          <w:kern w:val="0"/>
          <w:sz w:val="28"/>
          <w:szCs w:val="28"/>
        </w:rPr>
        <w:t>2.0.1 重点区域</w:t>
      </w:r>
      <w:r>
        <w:rPr>
          <w:rFonts w:hint="eastAsia" w:ascii="宋体" w:hAnsi="宋体" w:cs="宋体"/>
          <w:bCs/>
          <w:kern w:val="0"/>
          <w:sz w:val="28"/>
          <w:szCs w:val="28"/>
        </w:rPr>
        <w:t xml:space="preserve"> key area</w:t>
      </w:r>
    </w:p>
    <w:p>
      <w:pPr>
        <w:spacing w:line="360" w:lineRule="auto"/>
        <w:ind w:firstLine="560"/>
        <w:jc w:val="left"/>
        <w:rPr>
          <w:rFonts w:ascii="宋体" w:hAnsi="宋体" w:cs="宋体"/>
          <w:kern w:val="0"/>
          <w:sz w:val="28"/>
          <w:szCs w:val="28"/>
        </w:rPr>
      </w:pPr>
      <w:r>
        <w:rPr>
          <w:rFonts w:hint="eastAsia" w:ascii="宋体" w:hAnsi="宋体" w:cs="宋体"/>
          <w:bCs/>
          <w:kern w:val="0"/>
          <w:sz w:val="28"/>
          <w:szCs w:val="28"/>
        </w:rPr>
        <w:t>本导则中，特指本市政府划定的须重点推进城市规划和工程建设的区域。它主要包括已经划入的下列重点片区：</w:t>
      </w:r>
      <w:r>
        <w:rPr>
          <w:rFonts w:hint="eastAsia" w:ascii="宋体" w:hAnsi="宋体" w:cs="宋体"/>
          <w:kern w:val="0"/>
          <w:sz w:val="28"/>
          <w:szCs w:val="28"/>
        </w:rPr>
        <w:t>（福田区）</w:t>
      </w:r>
      <w:r>
        <w:rPr>
          <w:rFonts w:ascii="宋体" w:hAnsi="宋体" w:cs="宋体"/>
          <w:kern w:val="0"/>
          <w:sz w:val="28"/>
          <w:szCs w:val="28"/>
        </w:rPr>
        <w:t>福田保税区</w:t>
      </w:r>
      <w:r>
        <w:rPr>
          <w:rFonts w:hint="eastAsia" w:ascii="宋体" w:hAnsi="宋体" w:cs="宋体"/>
          <w:kern w:val="0"/>
          <w:sz w:val="28"/>
          <w:szCs w:val="28"/>
        </w:rPr>
        <w:t>、</w:t>
      </w:r>
      <w:r>
        <w:rPr>
          <w:rFonts w:ascii="宋体" w:hAnsi="宋体" w:cs="宋体"/>
          <w:kern w:val="0"/>
          <w:sz w:val="28"/>
          <w:szCs w:val="28"/>
        </w:rPr>
        <w:t>梅林-彩田片区</w:t>
      </w:r>
      <w:r>
        <w:rPr>
          <w:rFonts w:hint="eastAsia" w:ascii="宋体" w:hAnsi="宋体" w:cs="宋体"/>
          <w:kern w:val="0"/>
          <w:sz w:val="28"/>
          <w:szCs w:val="28"/>
        </w:rPr>
        <w:t>；（</w:t>
      </w:r>
      <w:r>
        <w:rPr>
          <w:rFonts w:ascii="宋体" w:hAnsi="宋体" w:cs="宋体"/>
          <w:kern w:val="0"/>
          <w:sz w:val="28"/>
          <w:szCs w:val="28"/>
        </w:rPr>
        <w:t>罗湖</w:t>
      </w:r>
      <w:r>
        <w:rPr>
          <w:rFonts w:hint="eastAsia" w:ascii="宋体" w:hAnsi="宋体" w:cs="宋体"/>
          <w:kern w:val="0"/>
          <w:sz w:val="28"/>
          <w:szCs w:val="28"/>
        </w:rPr>
        <w:t>区）</w:t>
      </w:r>
      <w:r>
        <w:rPr>
          <w:rFonts w:ascii="宋体" w:hAnsi="宋体" w:cs="宋体"/>
          <w:kern w:val="0"/>
          <w:sz w:val="28"/>
          <w:szCs w:val="28"/>
        </w:rPr>
        <w:t>笋岗-清水河片区</w:t>
      </w:r>
      <w:r>
        <w:rPr>
          <w:rFonts w:hint="eastAsia" w:ascii="宋体" w:hAnsi="宋体" w:cs="宋体"/>
          <w:kern w:val="0"/>
          <w:sz w:val="28"/>
          <w:szCs w:val="28"/>
        </w:rPr>
        <w:t>；（</w:t>
      </w:r>
      <w:r>
        <w:rPr>
          <w:rFonts w:ascii="宋体" w:hAnsi="宋体" w:cs="宋体"/>
          <w:kern w:val="0"/>
          <w:sz w:val="28"/>
          <w:szCs w:val="28"/>
        </w:rPr>
        <w:t>南山</w:t>
      </w:r>
      <w:r>
        <w:rPr>
          <w:rFonts w:hint="eastAsia" w:ascii="宋体" w:hAnsi="宋体" w:cs="宋体"/>
          <w:kern w:val="0"/>
          <w:sz w:val="28"/>
          <w:szCs w:val="28"/>
        </w:rPr>
        <w:t>区）</w:t>
      </w:r>
      <w:r>
        <w:rPr>
          <w:rFonts w:ascii="宋体" w:hAnsi="宋体" w:cs="宋体"/>
          <w:kern w:val="0"/>
          <w:sz w:val="28"/>
          <w:szCs w:val="28"/>
        </w:rPr>
        <w:t>深圳湾超级总部基地</w:t>
      </w:r>
      <w:r>
        <w:rPr>
          <w:rFonts w:hint="eastAsia" w:ascii="宋体" w:hAnsi="宋体" w:cs="宋体"/>
          <w:kern w:val="0"/>
          <w:sz w:val="28"/>
          <w:szCs w:val="28"/>
        </w:rPr>
        <w:t>、</w:t>
      </w:r>
      <w:r>
        <w:rPr>
          <w:rFonts w:ascii="宋体" w:hAnsi="宋体" w:cs="宋体"/>
          <w:kern w:val="0"/>
          <w:sz w:val="28"/>
          <w:szCs w:val="28"/>
        </w:rPr>
        <w:t>留仙洞总部基地</w:t>
      </w:r>
      <w:r>
        <w:rPr>
          <w:rFonts w:hint="eastAsia" w:ascii="宋体" w:hAnsi="宋体" w:cs="宋体"/>
          <w:kern w:val="0"/>
          <w:sz w:val="28"/>
          <w:szCs w:val="28"/>
        </w:rPr>
        <w:t>、</w:t>
      </w:r>
      <w:r>
        <w:rPr>
          <w:rFonts w:ascii="宋体" w:hAnsi="宋体" w:cs="宋体"/>
          <w:kern w:val="0"/>
          <w:sz w:val="28"/>
          <w:szCs w:val="28"/>
        </w:rPr>
        <w:t>高新区北区</w:t>
      </w:r>
      <w:r>
        <w:rPr>
          <w:rFonts w:hint="eastAsia" w:ascii="宋体" w:hAnsi="宋体" w:cs="宋体"/>
          <w:kern w:val="0"/>
          <w:sz w:val="28"/>
          <w:szCs w:val="28"/>
        </w:rPr>
        <w:t>；（</w:t>
      </w:r>
      <w:r>
        <w:rPr>
          <w:rFonts w:ascii="宋体" w:hAnsi="宋体" w:cs="宋体"/>
          <w:kern w:val="0"/>
          <w:sz w:val="28"/>
          <w:szCs w:val="28"/>
        </w:rPr>
        <w:t>盐田</w:t>
      </w:r>
      <w:r>
        <w:rPr>
          <w:rFonts w:hint="eastAsia" w:ascii="宋体" w:hAnsi="宋体" w:cs="宋体"/>
          <w:kern w:val="0"/>
          <w:sz w:val="28"/>
          <w:szCs w:val="28"/>
        </w:rPr>
        <w:t>区）</w:t>
      </w:r>
      <w:r>
        <w:rPr>
          <w:rFonts w:ascii="宋体" w:hAnsi="宋体" w:cs="宋体"/>
          <w:kern w:val="0"/>
          <w:sz w:val="28"/>
          <w:szCs w:val="28"/>
        </w:rPr>
        <w:t>盐田河临港产业带</w:t>
      </w:r>
      <w:r>
        <w:rPr>
          <w:rFonts w:hint="eastAsia" w:ascii="宋体" w:hAnsi="宋体" w:cs="宋体"/>
          <w:kern w:val="0"/>
          <w:sz w:val="28"/>
          <w:szCs w:val="28"/>
        </w:rPr>
        <w:t>；（</w:t>
      </w:r>
      <w:r>
        <w:rPr>
          <w:rFonts w:ascii="宋体" w:hAnsi="宋体" w:cs="宋体"/>
          <w:kern w:val="0"/>
          <w:sz w:val="28"/>
          <w:szCs w:val="28"/>
        </w:rPr>
        <w:t>宝安</w:t>
      </w:r>
      <w:r>
        <w:rPr>
          <w:rFonts w:hint="eastAsia" w:ascii="宋体" w:hAnsi="宋体" w:cs="宋体"/>
          <w:kern w:val="0"/>
          <w:sz w:val="28"/>
          <w:szCs w:val="28"/>
        </w:rPr>
        <w:t>区）</w:t>
      </w:r>
      <w:r>
        <w:rPr>
          <w:rFonts w:ascii="宋体" w:hAnsi="宋体" w:cs="宋体"/>
          <w:kern w:val="0"/>
          <w:sz w:val="28"/>
          <w:szCs w:val="28"/>
        </w:rPr>
        <w:t>宝安中心</w:t>
      </w:r>
      <w:r>
        <w:rPr>
          <w:rFonts w:hint="eastAsia" w:ascii="宋体" w:hAnsi="宋体" w:cs="宋体"/>
          <w:kern w:val="0"/>
          <w:sz w:val="28"/>
          <w:szCs w:val="28"/>
        </w:rPr>
        <w:t>区、</w:t>
      </w:r>
      <w:r>
        <w:rPr>
          <w:rFonts w:ascii="宋体" w:hAnsi="宋体" w:cs="宋体"/>
          <w:kern w:val="0"/>
          <w:sz w:val="28"/>
          <w:szCs w:val="28"/>
        </w:rPr>
        <w:t>空港新城</w:t>
      </w:r>
      <w:r>
        <w:rPr>
          <w:rFonts w:hint="eastAsia" w:ascii="宋体" w:hAnsi="宋体" w:cs="宋体"/>
          <w:kern w:val="0"/>
          <w:sz w:val="28"/>
          <w:szCs w:val="28"/>
        </w:rPr>
        <w:t>；（龙岗区）</w:t>
      </w:r>
      <w:r>
        <w:rPr>
          <w:rFonts w:ascii="宋体" w:hAnsi="宋体" w:cs="宋体"/>
          <w:kern w:val="0"/>
          <w:sz w:val="28"/>
          <w:szCs w:val="28"/>
        </w:rPr>
        <w:t>平湖金融与现代服务业基地</w:t>
      </w:r>
      <w:r>
        <w:rPr>
          <w:rFonts w:hint="eastAsia" w:ascii="宋体" w:hAnsi="宋体" w:cs="宋体"/>
          <w:kern w:val="0"/>
          <w:sz w:val="28"/>
          <w:szCs w:val="28"/>
        </w:rPr>
        <w:t>、</w:t>
      </w:r>
      <w:r>
        <w:rPr>
          <w:rFonts w:ascii="宋体" w:hAnsi="宋体" w:cs="宋体"/>
          <w:kern w:val="0"/>
          <w:sz w:val="28"/>
          <w:szCs w:val="28"/>
        </w:rPr>
        <w:t>大运新城</w:t>
      </w:r>
      <w:r>
        <w:rPr>
          <w:rFonts w:hint="eastAsia" w:ascii="宋体" w:hAnsi="宋体" w:cs="宋体"/>
          <w:kern w:val="0"/>
          <w:sz w:val="28"/>
          <w:szCs w:val="28"/>
        </w:rPr>
        <w:t>、</w:t>
      </w:r>
      <w:r>
        <w:rPr>
          <w:rFonts w:ascii="宋体" w:hAnsi="宋体" w:cs="宋体"/>
          <w:kern w:val="0"/>
          <w:sz w:val="28"/>
          <w:szCs w:val="28"/>
        </w:rPr>
        <w:t>坂雪岗科技城</w:t>
      </w:r>
      <w:r>
        <w:rPr>
          <w:rFonts w:hint="eastAsia" w:ascii="宋体" w:hAnsi="宋体" w:cs="宋体"/>
          <w:kern w:val="0"/>
          <w:sz w:val="28"/>
          <w:szCs w:val="28"/>
        </w:rPr>
        <w:t>、</w:t>
      </w:r>
      <w:r>
        <w:rPr>
          <w:rFonts w:ascii="宋体" w:hAnsi="宋体" w:cs="宋体"/>
          <w:kern w:val="0"/>
          <w:sz w:val="28"/>
          <w:szCs w:val="28"/>
        </w:rPr>
        <w:t>国际低碳城</w:t>
      </w:r>
      <w:r>
        <w:rPr>
          <w:rFonts w:hint="eastAsia" w:ascii="宋体" w:hAnsi="宋体" w:cs="宋体"/>
          <w:kern w:val="0"/>
          <w:sz w:val="28"/>
          <w:szCs w:val="28"/>
        </w:rPr>
        <w:t>；（龙华区）</w:t>
      </w:r>
      <w:r>
        <w:rPr>
          <w:rFonts w:ascii="宋体" w:hAnsi="宋体" w:cs="宋体"/>
          <w:kern w:val="0"/>
          <w:sz w:val="28"/>
          <w:szCs w:val="28"/>
        </w:rPr>
        <w:t>深圳北站商务中心区</w:t>
      </w:r>
      <w:r>
        <w:rPr>
          <w:rFonts w:hint="eastAsia" w:ascii="宋体" w:hAnsi="宋体" w:cs="宋体"/>
          <w:kern w:val="0"/>
          <w:sz w:val="28"/>
          <w:szCs w:val="28"/>
        </w:rPr>
        <w:t>；（坪山区）</w:t>
      </w:r>
      <w:r>
        <w:rPr>
          <w:rFonts w:ascii="宋体" w:hAnsi="宋体" w:cs="宋体"/>
          <w:kern w:val="0"/>
          <w:sz w:val="28"/>
          <w:szCs w:val="28"/>
        </w:rPr>
        <w:t>坪山中心区</w:t>
      </w:r>
      <w:r>
        <w:rPr>
          <w:rFonts w:hint="eastAsia" w:ascii="宋体" w:hAnsi="宋体" w:cs="宋体"/>
          <w:kern w:val="0"/>
          <w:sz w:val="28"/>
          <w:szCs w:val="28"/>
        </w:rPr>
        <w:t>；（光明区）</w:t>
      </w:r>
      <w:r>
        <w:rPr>
          <w:rFonts w:ascii="宋体" w:hAnsi="宋体" w:cs="宋体"/>
          <w:kern w:val="0"/>
          <w:sz w:val="28"/>
          <w:szCs w:val="28"/>
        </w:rPr>
        <w:t>光明凤凰城</w:t>
      </w:r>
      <w:r>
        <w:rPr>
          <w:rFonts w:hint="eastAsia" w:ascii="宋体" w:hAnsi="宋体" w:cs="宋体"/>
          <w:kern w:val="0"/>
          <w:sz w:val="28"/>
          <w:szCs w:val="28"/>
        </w:rPr>
        <w:t>；（大鹏新区）</w:t>
      </w:r>
      <w:r>
        <w:rPr>
          <w:rFonts w:ascii="宋体" w:hAnsi="宋体" w:cs="宋体"/>
          <w:kern w:val="0"/>
          <w:sz w:val="28"/>
          <w:szCs w:val="28"/>
        </w:rPr>
        <w:t>深圳国际生物谷坝光核心启动区</w:t>
      </w:r>
      <w:r>
        <w:rPr>
          <w:rFonts w:hint="eastAsia" w:ascii="宋体" w:hAnsi="宋体" w:cs="宋体"/>
          <w:kern w:val="0"/>
          <w:sz w:val="28"/>
          <w:szCs w:val="28"/>
        </w:rPr>
        <w:t>，也将包括后续纳入的须重点建设的片区（含区级政府划定的重点片区）。</w:t>
      </w:r>
    </w:p>
    <w:p>
      <w:pPr>
        <w:spacing w:line="360" w:lineRule="auto"/>
        <w:jc w:val="left"/>
        <w:rPr>
          <w:rFonts w:ascii="宋体" w:hAnsi="宋体" w:cs="宋体"/>
          <w:bCs/>
          <w:kern w:val="0"/>
          <w:sz w:val="28"/>
          <w:szCs w:val="28"/>
        </w:rPr>
      </w:pPr>
      <w:r>
        <w:rPr>
          <w:rFonts w:hint="eastAsia" w:ascii="宋体" w:hAnsi="宋体" w:cs="宋体"/>
          <w:b/>
          <w:bCs/>
          <w:kern w:val="0"/>
          <w:sz w:val="28"/>
          <w:szCs w:val="28"/>
        </w:rPr>
        <w:t>2.0.2</w:t>
      </w:r>
      <w:r>
        <w:rPr>
          <w:rFonts w:hint="eastAsia" w:ascii="宋体" w:hAnsi="宋体" w:cs="宋体"/>
          <w:bCs/>
          <w:kern w:val="0"/>
          <w:sz w:val="28"/>
          <w:szCs w:val="28"/>
        </w:rPr>
        <w:t xml:space="preserve"> </w:t>
      </w:r>
      <w:r>
        <w:rPr>
          <w:rFonts w:hint="eastAsia" w:ascii="宋体" w:hAnsi="宋体" w:cs="宋体"/>
          <w:b/>
          <w:kern w:val="0"/>
          <w:sz w:val="28"/>
          <w:szCs w:val="28"/>
        </w:rPr>
        <w:t>建设工程</w:t>
      </w:r>
      <w:r>
        <w:rPr>
          <w:rFonts w:hint="eastAsia" w:ascii="宋体" w:hAnsi="宋体" w:cs="宋体"/>
          <w:bCs/>
          <w:kern w:val="0"/>
          <w:sz w:val="28"/>
          <w:szCs w:val="28"/>
        </w:rPr>
        <w:t xml:space="preserve"> construction engineering</w:t>
      </w:r>
      <w:r>
        <w:rPr>
          <w:rFonts w:hint="eastAsia" w:ascii="微软雅黑" w:hAnsi="微软雅黑" w:eastAsia="微软雅黑" w:cs="微软雅黑"/>
          <w:sz w:val="22"/>
          <w:szCs w:val="22"/>
          <w:shd w:val="clear" w:color="auto" w:fill="FFFFFF"/>
        </w:rPr>
        <w:br w:type="textWrapping"/>
      </w:r>
      <w:r>
        <w:rPr>
          <w:rFonts w:hint="eastAsia" w:ascii="微软雅黑" w:hAnsi="微软雅黑" w:eastAsia="微软雅黑" w:cs="微软雅黑"/>
          <w:sz w:val="22"/>
          <w:szCs w:val="22"/>
          <w:shd w:val="clear" w:color="auto" w:fill="FFFFFF"/>
        </w:rPr>
        <w:t xml:space="preserve">     </w:t>
      </w:r>
      <w:r>
        <w:rPr>
          <w:rFonts w:hint="eastAsia" w:ascii="宋体" w:hAnsi="宋体" w:cs="宋体"/>
          <w:bCs/>
          <w:kern w:val="0"/>
          <w:sz w:val="28"/>
          <w:szCs w:val="28"/>
        </w:rPr>
        <w:t xml:space="preserve">人类构建的，能为人类生活、生产提供物质技术基础的各类建（构）筑物和工程设施。根据《工程设计资质标准》，建设工程可分为建筑工程、市政工程、水利工程等21个大类工程和风景园林工程（本市称为“园林景观工程”）等8个专项工程。                </w:t>
      </w:r>
    </w:p>
    <w:p>
      <w:pPr>
        <w:spacing w:line="360" w:lineRule="auto"/>
        <w:ind w:firstLine="560" w:firstLineChars="200"/>
        <w:jc w:val="left"/>
        <w:rPr>
          <w:rFonts w:ascii="宋体" w:hAnsi="宋体" w:eastAsia="微软雅黑" w:cs="宋体"/>
          <w:bCs/>
          <w:kern w:val="0"/>
          <w:sz w:val="28"/>
          <w:szCs w:val="28"/>
        </w:rPr>
      </w:pPr>
      <w:r>
        <w:rPr>
          <w:rFonts w:hint="eastAsia" w:ascii="宋体" w:hAnsi="宋体" w:cs="宋体"/>
          <w:bCs/>
          <w:kern w:val="0"/>
          <w:sz w:val="28"/>
          <w:szCs w:val="28"/>
        </w:rPr>
        <w:t>本导则中，建设工程仅指建筑工程、市政工程、水利工程和园林景观工程及其衍生或相关的岩土工程。</w:t>
      </w:r>
    </w:p>
    <w:p>
      <w:pPr>
        <w:spacing w:line="360" w:lineRule="auto"/>
        <w:jc w:val="left"/>
        <w:rPr>
          <w:rFonts w:ascii="宋体" w:hAnsi="宋体" w:cs="宋体"/>
          <w:bCs/>
          <w:kern w:val="0"/>
          <w:sz w:val="28"/>
          <w:szCs w:val="28"/>
        </w:rPr>
      </w:pPr>
      <w:r>
        <w:rPr>
          <w:rFonts w:hint="eastAsia" w:ascii="宋体" w:hAnsi="宋体" w:cs="宋体"/>
          <w:b/>
          <w:kern w:val="0"/>
          <w:sz w:val="28"/>
          <w:szCs w:val="28"/>
        </w:rPr>
        <w:t>2.0.3 建筑工程</w:t>
      </w:r>
      <w:r>
        <w:rPr>
          <w:rFonts w:hint="eastAsia" w:ascii="宋体" w:hAnsi="宋体" w:cs="宋体"/>
          <w:bCs/>
          <w:kern w:val="0"/>
          <w:sz w:val="28"/>
          <w:szCs w:val="28"/>
        </w:rPr>
        <w:t xml:space="preserve"> building engineering</w:t>
      </w:r>
    </w:p>
    <w:p>
      <w:pPr>
        <w:spacing w:line="360" w:lineRule="auto"/>
        <w:ind w:firstLine="560" w:firstLineChars="200"/>
        <w:jc w:val="left"/>
        <w:rPr>
          <w:rFonts w:ascii="宋体" w:hAnsi="宋体" w:cs="宋体"/>
          <w:bCs/>
          <w:kern w:val="0"/>
          <w:sz w:val="28"/>
          <w:szCs w:val="28"/>
        </w:rPr>
      </w:pPr>
      <w:r>
        <w:rPr>
          <w:rFonts w:hint="eastAsia" w:ascii="宋体" w:hAnsi="宋体" w:cs="宋体"/>
          <w:bCs/>
          <w:kern w:val="0"/>
          <w:sz w:val="28"/>
          <w:szCs w:val="28"/>
        </w:rPr>
        <w:t>由《工程设计资质标准》界定其设计内容的，供人们居住、进行公共活动或各类工业生产活动的房屋建筑的总称。它可分为民用建筑和工业建筑。</w:t>
      </w:r>
    </w:p>
    <w:p>
      <w:pPr>
        <w:spacing w:line="360" w:lineRule="auto"/>
        <w:jc w:val="left"/>
        <w:rPr>
          <w:rFonts w:ascii="宋体" w:hAnsi="宋体" w:cs="宋体"/>
          <w:bCs/>
          <w:kern w:val="0"/>
          <w:sz w:val="28"/>
          <w:szCs w:val="28"/>
        </w:rPr>
      </w:pPr>
      <w:r>
        <w:rPr>
          <w:rFonts w:hint="eastAsia" w:ascii="宋体" w:hAnsi="宋体" w:cs="宋体"/>
          <w:b/>
          <w:kern w:val="0"/>
          <w:sz w:val="28"/>
          <w:szCs w:val="28"/>
        </w:rPr>
        <w:t>2.0.4 民用建筑</w:t>
      </w:r>
      <w:r>
        <w:rPr>
          <w:rFonts w:hint="eastAsia" w:ascii="宋体" w:hAnsi="宋体" w:cs="宋体"/>
          <w:bCs/>
          <w:kern w:val="0"/>
          <w:sz w:val="28"/>
          <w:szCs w:val="28"/>
        </w:rPr>
        <w:t xml:space="preserve"> civil building </w:t>
      </w:r>
      <w:r>
        <w:rPr>
          <w:rFonts w:hint="eastAsia" w:ascii="宋体" w:hAnsi="宋体" w:cs="宋体"/>
          <w:bCs/>
          <w:kern w:val="0"/>
          <w:sz w:val="28"/>
          <w:szCs w:val="28"/>
        </w:rPr>
        <w:br w:type="textWrapping"/>
      </w:r>
      <w:r>
        <w:rPr>
          <w:rFonts w:hint="eastAsia" w:ascii="宋体" w:hAnsi="宋体" w:cs="宋体"/>
          <w:bCs/>
          <w:kern w:val="0"/>
          <w:sz w:val="28"/>
          <w:szCs w:val="28"/>
        </w:rPr>
        <w:t>  供人们居住和进行公共活动的建筑的总称。它可分为居住建筑和公共建筑。</w:t>
      </w:r>
      <w:r>
        <w:rPr>
          <w:rFonts w:hint="eastAsia" w:ascii="宋体" w:hAnsi="宋体" w:cs="宋体"/>
          <w:bCs/>
          <w:kern w:val="0"/>
          <w:sz w:val="28"/>
          <w:szCs w:val="28"/>
        </w:rPr>
        <w:br w:type="textWrapping"/>
      </w:r>
      <w:r>
        <w:rPr>
          <w:rFonts w:hint="eastAsia" w:ascii="宋体" w:hAnsi="宋体" w:cs="宋体"/>
          <w:b/>
          <w:kern w:val="0"/>
          <w:sz w:val="28"/>
          <w:szCs w:val="28"/>
        </w:rPr>
        <w:t>2.0.5</w:t>
      </w:r>
      <w:r>
        <w:rPr>
          <w:rFonts w:hint="eastAsia" w:ascii="宋体" w:hAnsi="宋体" w:cs="宋体"/>
          <w:bCs/>
          <w:kern w:val="0"/>
          <w:sz w:val="28"/>
          <w:szCs w:val="28"/>
        </w:rPr>
        <w:t xml:space="preserve"> </w:t>
      </w:r>
      <w:r>
        <w:rPr>
          <w:rFonts w:hint="eastAsia" w:ascii="宋体" w:hAnsi="宋体" w:cs="宋体"/>
          <w:b/>
          <w:kern w:val="0"/>
          <w:sz w:val="28"/>
          <w:szCs w:val="28"/>
        </w:rPr>
        <w:t>居住建筑</w:t>
      </w:r>
      <w:r>
        <w:rPr>
          <w:rFonts w:hint="eastAsia" w:ascii="宋体" w:hAnsi="宋体" w:cs="宋体"/>
          <w:bCs/>
          <w:kern w:val="0"/>
          <w:sz w:val="28"/>
          <w:szCs w:val="28"/>
        </w:rPr>
        <w:t xml:space="preserve"> residential building</w:t>
      </w:r>
      <w:r>
        <w:rPr>
          <w:rFonts w:hint="eastAsia" w:ascii="宋体" w:hAnsi="宋体" w:cs="宋体"/>
          <w:bCs/>
          <w:kern w:val="0"/>
          <w:sz w:val="28"/>
          <w:szCs w:val="28"/>
        </w:rPr>
        <w:br w:type="textWrapping"/>
      </w:r>
      <w:r>
        <w:rPr>
          <w:rFonts w:hint="eastAsia" w:ascii="宋体" w:hAnsi="宋体" w:cs="宋体"/>
          <w:bCs/>
          <w:kern w:val="0"/>
          <w:sz w:val="28"/>
          <w:szCs w:val="28"/>
        </w:rPr>
        <w:t>  供人们居住使用的建筑。它可分为住宅建筑和宿舍建筑。</w:t>
      </w:r>
      <w:r>
        <w:rPr>
          <w:rFonts w:hint="eastAsia" w:ascii="宋体" w:hAnsi="宋体" w:cs="宋体"/>
          <w:bCs/>
          <w:kern w:val="0"/>
          <w:sz w:val="28"/>
          <w:szCs w:val="28"/>
        </w:rPr>
        <w:br w:type="textWrapping"/>
      </w:r>
      <w:r>
        <w:rPr>
          <w:rFonts w:hint="eastAsia" w:ascii="宋体" w:hAnsi="宋体" w:cs="宋体"/>
          <w:b/>
          <w:kern w:val="0"/>
          <w:sz w:val="28"/>
          <w:szCs w:val="28"/>
        </w:rPr>
        <w:t>2.0.6公共建筑</w:t>
      </w:r>
      <w:r>
        <w:rPr>
          <w:rFonts w:hint="eastAsia" w:ascii="宋体" w:hAnsi="宋体" w:cs="宋体"/>
          <w:bCs/>
          <w:kern w:val="0"/>
          <w:sz w:val="28"/>
          <w:szCs w:val="28"/>
        </w:rPr>
        <w:t xml:space="preserve"> public building</w:t>
      </w:r>
      <w:r>
        <w:rPr>
          <w:rFonts w:hint="eastAsia" w:ascii="宋体" w:hAnsi="宋体" w:cs="宋体"/>
          <w:bCs/>
          <w:kern w:val="0"/>
          <w:sz w:val="28"/>
          <w:szCs w:val="28"/>
        </w:rPr>
        <w:br w:type="textWrapping"/>
      </w:r>
      <w:r>
        <w:rPr>
          <w:rFonts w:hint="eastAsia" w:ascii="宋体" w:hAnsi="宋体" w:cs="宋体"/>
          <w:bCs/>
          <w:kern w:val="0"/>
          <w:sz w:val="28"/>
          <w:szCs w:val="28"/>
        </w:rPr>
        <w:t>  供人们进行各种公共活动的建筑。</w:t>
      </w:r>
    </w:p>
    <w:p>
      <w:pPr>
        <w:spacing w:line="360" w:lineRule="auto"/>
        <w:jc w:val="left"/>
        <w:rPr>
          <w:rFonts w:ascii="宋体" w:hAnsi="宋体" w:cs="宋体"/>
          <w:bCs/>
          <w:kern w:val="0"/>
          <w:sz w:val="28"/>
          <w:szCs w:val="28"/>
        </w:rPr>
      </w:pPr>
      <w:r>
        <w:rPr>
          <w:rFonts w:hint="eastAsia" w:ascii="宋体" w:hAnsi="宋体" w:cs="宋体"/>
          <w:b/>
          <w:kern w:val="0"/>
          <w:sz w:val="28"/>
          <w:szCs w:val="28"/>
        </w:rPr>
        <w:t>2.0.7 工业建筑</w:t>
      </w:r>
      <w:r>
        <w:rPr>
          <w:rFonts w:hint="eastAsia" w:ascii="宋体" w:hAnsi="宋体" w:cs="宋体"/>
          <w:bCs/>
          <w:kern w:val="0"/>
          <w:sz w:val="28"/>
          <w:szCs w:val="28"/>
        </w:rPr>
        <w:t xml:space="preserve"> industry building</w:t>
      </w:r>
    </w:p>
    <w:p>
      <w:pPr>
        <w:spacing w:line="360" w:lineRule="auto"/>
        <w:ind w:firstLine="560" w:firstLineChars="200"/>
        <w:jc w:val="left"/>
        <w:rPr>
          <w:rFonts w:ascii="宋体" w:hAnsi="宋体" w:cs="宋体"/>
          <w:bCs/>
          <w:kern w:val="0"/>
          <w:sz w:val="28"/>
          <w:szCs w:val="28"/>
        </w:rPr>
      </w:pPr>
      <w:r>
        <w:rPr>
          <w:rFonts w:hint="eastAsia" w:ascii="宋体" w:hAnsi="宋体" w:cs="宋体"/>
          <w:bCs/>
          <w:kern w:val="0"/>
          <w:sz w:val="28"/>
          <w:szCs w:val="28"/>
        </w:rPr>
        <w:t>供人们从事各类工业生产活动的建筑。它可分为厂房、仓库、物流建筑和研发用房。</w:t>
      </w:r>
    </w:p>
    <w:p>
      <w:pPr>
        <w:spacing w:line="360" w:lineRule="auto"/>
        <w:jc w:val="left"/>
        <w:rPr>
          <w:rFonts w:ascii="微软雅黑" w:hAnsi="微软雅黑" w:eastAsia="微软雅黑" w:cs="微软雅黑"/>
          <w:bCs/>
          <w:kern w:val="0"/>
          <w:sz w:val="28"/>
          <w:szCs w:val="28"/>
        </w:rPr>
      </w:pPr>
      <w:r>
        <w:rPr>
          <w:rFonts w:hint="eastAsia" w:ascii="微软雅黑" w:hAnsi="微软雅黑" w:eastAsia="微软雅黑" w:cs="微软雅黑"/>
          <w:bCs/>
          <w:kern w:val="0"/>
          <w:sz w:val="28"/>
          <w:szCs w:val="28"/>
        </w:rPr>
        <w:t>【条文说明】</w:t>
      </w:r>
      <w:r>
        <w:rPr>
          <w:rFonts w:hint="eastAsia" w:ascii="微软雅黑" w:hAnsi="微软雅黑" w:eastAsia="微软雅黑" w:cs="微软雅黑"/>
          <w:b/>
          <w:kern w:val="0"/>
          <w:sz w:val="28"/>
          <w:szCs w:val="28"/>
        </w:rPr>
        <w:t xml:space="preserve">2.0.7 </w:t>
      </w:r>
      <w:r>
        <w:rPr>
          <w:rFonts w:hint="eastAsia" w:ascii="微软雅黑" w:hAnsi="微软雅黑" w:eastAsia="微软雅黑" w:cs="微软雅黑"/>
          <w:bCs/>
          <w:kern w:val="0"/>
          <w:sz w:val="28"/>
          <w:szCs w:val="28"/>
        </w:rPr>
        <w:t>（1）物流建筑，系指供人们进行物品储存、运输、配送、物流加工、物流管理及展销等综合性活动的建筑；（2）研发用房，也称为新型产业建筑，系指区别于传统产业建筑，供人们从事各类新型产业的研发、设计、推广和应用等活动的建筑。</w:t>
      </w:r>
    </w:p>
    <w:p>
      <w:pPr>
        <w:spacing w:line="360" w:lineRule="auto"/>
        <w:jc w:val="left"/>
        <w:rPr>
          <w:rFonts w:ascii="宋体" w:hAnsi="宋体" w:cs="宋体"/>
          <w:b/>
          <w:kern w:val="0"/>
          <w:sz w:val="28"/>
          <w:szCs w:val="28"/>
        </w:rPr>
      </w:pPr>
      <w:r>
        <w:rPr>
          <w:rFonts w:hint="eastAsia" w:ascii="宋体" w:hAnsi="宋体" w:cs="宋体"/>
          <w:b/>
          <w:kern w:val="0"/>
          <w:sz w:val="28"/>
          <w:szCs w:val="28"/>
        </w:rPr>
        <w:t xml:space="preserve">2.0.8 绿色建筑 </w:t>
      </w:r>
      <w:r>
        <w:rPr>
          <w:rFonts w:hint="eastAsia" w:ascii="宋体" w:hAnsi="宋体" w:cs="宋体"/>
          <w:bCs/>
          <w:kern w:val="0"/>
          <w:sz w:val="28"/>
          <w:szCs w:val="28"/>
        </w:rPr>
        <w:t xml:space="preserve">green building </w:t>
      </w:r>
    </w:p>
    <w:p>
      <w:pPr>
        <w:spacing w:line="360" w:lineRule="auto"/>
        <w:ind w:firstLine="560" w:firstLineChars="200"/>
        <w:jc w:val="left"/>
        <w:rPr>
          <w:rFonts w:ascii="宋体" w:hAnsi="宋体" w:cs="宋体"/>
          <w:b/>
          <w:kern w:val="0"/>
          <w:sz w:val="28"/>
          <w:szCs w:val="28"/>
        </w:rPr>
      </w:pPr>
      <w:r>
        <w:rPr>
          <w:rFonts w:hint="eastAsia" w:ascii="宋体" w:hAnsi="宋体" w:cs="宋体"/>
          <w:bCs/>
          <w:kern w:val="0"/>
          <w:sz w:val="28"/>
          <w:szCs w:val="28"/>
        </w:rPr>
        <w:t>在全寿命期内，能够节约资源、保护环境、减少污染，为人们提供健康、适用、高效的使用空间，最大限度地实现人与自然和谐共生的高质量建筑。</w:t>
      </w:r>
    </w:p>
    <w:p>
      <w:pPr>
        <w:spacing w:line="360" w:lineRule="auto"/>
        <w:jc w:val="left"/>
        <w:rPr>
          <w:rFonts w:ascii="宋体" w:hAnsi="宋体" w:cs="宋体"/>
          <w:bCs/>
          <w:kern w:val="0"/>
          <w:sz w:val="28"/>
          <w:szCs w:val="28"/>
        </w:rPr>
      </w:pPr>
      <w:r>
        <w:rPr>
          <w:rFonts w:hint="eastAsia" w:ascii="宋体" w:hAnsi="宋体" w:cs="宋体"/>
          <w:b/>
          <w:kern w:val="0"/>
          <w:sz w:val="28"/>
          <w:szCs w:val="28"/>
        </w:rPr>
        <w:t>2.0.9</w:t>
      </w:r>
      <w:r>
        <w:rPr>
          <w:rFonts w:hint="eastAsia" w:ascii="宋体" w:hAnsi="宋体" w:cs="宋体"/>
          <w:bCs/>
          <w:kern w:val="0"/>
          <w:sz w:val="28"/>
          <w:szCs w:val="28"/>
        </w:rPr>
        <w:t xml:space="preserve"> </w:t>
      </w:r>
      <w:r>
        <w:rPr>
          <w:rFonts w:hint="eastAsia" w:ascii="宋体" w:hAnsi="宋体" w:cs="宋体"/>
          <w:b/>
          <w:kern w:val="0"/>
          <w:sz w:val="28"/>
          <w:szCs w:val="28"/>
        </w:rPr>
        <w:t>智慧建筑</w:t>
      </w:r>
      <w:r>
        <w:rPr>
          <w:rFonts w:hint="eastAsia" w:ascii="宋体" w:hAnsi="宋体" w:cs="宋体"/>
          <w:bCs/>
          <w:kern w:val="0"/>
          <w:sz w:val="28"/>
          <w:szCs w:val="28"/>
        </w:rPr>
        <w:t xml:space="preserve">  smart building</w:t>
      </w:r>
    </w:p>
    <w:p>
      <w:pPr>
        <w:spacing w:line="360" w:lineRule="auto"/>
        <w:ind w:firstLine="560" w:firstLineChars="200"/>
        <w:jc w:val="left"/>
        <w:rPr>
          <w:rFonts w:ascii="宋体" w:hAnsi="宋体" w:cs="宋体"/>
          <w:bCs/>
          <w:kern w:val="0"/>
          <w:sz w:val="28"/>
          <w:szCs w:val="28"/>
        </w:rPr>
      </w:pPr>
      <w:r>
        <w:rPr>
          <w:rFonts w:hint="eastAsia" w:ascii="宋体" w:hAnsi="宋体" w:cs="宋体"/>
          <w:bCs/>
          <w:kern w:val="0"/>
          <w:sz w:val="28"/>
          <w:szCs w:val="28"/>
        </w:rPr>
        <w:t>基于物联网和5G移动互联网等网络，能为建筑用户提供定制化信息服务，并能与智慧城市实现快捷信息传递、数据交换和资源对接的智能建筑。</w:t>
      </w:r>
    </w:p>
    <w:p>
      <w:pPr>
        <w:spacing w:line="360" w:lineRule="auto"/>
        <w:jc w:val="left"/>
        <w:rPr>
          <w:rFonts w:ascii="微软雅黑" w:hAnsi="微软雅黑" w:eastAsia="微软雅黑" w:cs="微软雅黑"/>
          <w:bCs/>
          <w:kern w:val="0"/>
          <w:sz w:val="28"/>
          <w:szCs w:val="28"/>
        </w:rPr>
      </w:pPr>
      <w:r>
        <w:rPr>
          <w:rFonts w:hint="eastAsia" w:ascii="微软雅黑" w:hAnsi="微软雅黑" w:eastAsia="微软雅黑" w:cs="微软雅黑"/>
          <w:bCs/>
          <w:kern w:val="0"/>
          <w:sz w:val="28"/>
          <w:szCs w:val="28"/>
        </w:rPr>
        <w:t>【条文说明】</w:t>
      </w:r>
      <w:r>
        <w:rPr>
          <w:rFonts w:hint="eastAsia" w:ascii="微软雅黑" w:hAnsi="微软雅黑" w:eastAsia="微软雅黑" w:cs="微软雅黑"/>
          <w:b/>
          <w:kern w:val="0"/>
          <w:sz w:val="28"/>
          <w:szCs w:val="28"/>
        </w:rPr>
        <w:t xml:space="preserve">2.0.9 </w:t>
      </w:r>
      <w:r>
        <w:rPr>
          <w:rFonts w:hint="eastAsia" w:ascii="微软雅黑" w:hAnsi="微软雅黑" w:eastAsia="微软雅黑" w:cs="微软雅黑"/>
          <w:bCs/>
          <w:kern w:val="0"/>
          <w:sz w:val="28"/>
          <w:szCs w:val="28"/>
        </w:rPr>
        <w:t>智能建筑，系指根据《智能建筑设计标准》GB 50314-2015设置智能化系统的建筑。对于“智慧建筑”，目前国家、行业或地方均尚未制订相应标准，故无其详细定义。</w:t>
      </w:r>
    </w:p>
    <w:p>
      <w:pPr>
        <w:spacing w:line="360" w:lineRule="auto"/>
        <w:jc w:val="left"/>
        <w:rPr>
          <w:rFonts w:ascii="宋体" w:hAnsi="宋体" w:cs="宋体"/>
          <w:bCs/>
          <w:kern w:val="0"/>
          <w:sz w:val="28"/>
          <w:szCs w:val="28"/>
        </w:rPr>
      </w:pPr>
      <w:r>
        <w:rPr>
          <w:rFonts w:hint="eastAsia" w:ascii="宋体" w:hAnsi="宋体" w:cs="宋体"/>
          <w:b/>
          <w:kern w:val="0"/>
          <w:sz w:val="28"/>
          <w:szCs w:val="28"/>
        </w:rPr>
        <w:t>2.0.10</w:t>
      </w:r>
      <w:r>
        <w:rPr>
          <w:rFonts w:hint="eastAsia" w:ascii="宋体" w:hAnsi="宋体" w:cs="宋体"/>
          <w:bCs/>
          <w:kern w:val="0"/>
          <w:sz w:val="28"/>
          <w:szCs w:val="28"/>
        </w:rPr>
        <w:t xml:space="preserve"> </w:t>
      </w:r>
      <w:r>
        <w:rPr>
          <w:rFonts w:hint="eastAsia" w:ascii="宋体" w:hAnsi="宋体" w:cs="宋体"/>
          <w:b/>
          <w:kern w:val="0"/>
          <w:sz w:val="28"/>
          <w:szCs w:val="28"/>
        </w:rPr>
        <w:t xml:space="preserve">装配式建筑 </w:t>
      </w:r>
      <w:r>
        <w:rPr>
          <w:rFonts w:hint="eastAsia" w:ascii="宋体" w:hAnsi="宋体" w:cs="宋体"/>
          <w:bCs/>
          <w:kern w:val="0"/>
          <w:sz w:val="28"/>
          <w:szCs w:val="28"/>
        </w:rPr>
        <w:t>prefabricated building</w:t>
      </w:r>
      <w:r>
        <w:rPr>
          <w:rFonts w:hint="eastAsia" w:ascii="微软雅黑" w:hAnsi="微软雅黑" w:eastAsia="微软雅黑" w:cs="微软雅黑"/>
          <w:color w:val="000000"/>
          <w:sz w:val="22"/>
          <w:szCs w:val="22"/>
          <w:shd w:val="clear" w:color="auto" w:fill="FFFFFF"/>
        </w:rPr>
        <w:br w:type="textWrapping"/>
      </w:r>
      <w:r>
        <w:rPr>
          <w:rFonts w:hint="eastAsia" w:ascii="微软雅黑" w:hAnsi="微软雅黑" w:eastAsia="微软雅黑" w:cs="微软雅黑"/>
          <w:color w:val="000000"/>
          <w:sz w:val="22"/>
          <w:szCs w:val="22"/>
          <w:shd w:val="clear" w:color="auto" w:fill="FFFFFF"/>
        </w:rPr>
        <w:t>  </w:t>
      </w:r>
      <w:r>
        <w:rPr>
          <w:rFonts w:hint="eastAsia" w:ascii="宋体" w:hAnsi="宋体" w:cs="宋体"/>
          <w:bCs/>
          <w:kern w:val="0"/>
          <w:sz w:val="28"/>
          <w:szCs w:val="28"/>
        </w:rPr>
        <w:t>  由预制部品部件在工地装配而成的建筑。</w:t>
      </w:r>
    </w:p>
    <w:p>
      <w:pPr>
        <w:spacing w:line="360" w:lineRule="auto"/>
        <w:jc w:val="left"/>
        <w:rPr>
          <w:rFonts w:ascii="宋体" w:hAnsi="宋体" w:cs="宋体"/>
          <w:bCs/>
          <w:kern w:val="0"/>
          <w:sz w:val="28"/>
          <w:szCs w:val="28"/>
        </w:rPr>
      </w:pPr>
      <w:r>
        <w:rPr>
          <w:rFonts w:hint="eastAsia" w:ascii="宋体" w:hAnsi="宋体" w:cs="宋体"/>
          <w:b/>
          <w:kern w:val="0"/>
          <w:sz w:val="28"/>
          <w:szCs w:val="28"/>
        </w:rPr>
        <w:t>2.0.11</w:t>
      </w:r>
      <w:r>
        <w:rPr>
          <w:rFonts w:hint="eastAsia" w:ascii="宋体" w:hAnsi="宋体" w:cs="宋体"/>
          <w:bCs/>
          <w:kern w:val="0"/>
          <w:sz w:val="28"/>
          <w:szCs w:val="28"/>
        </w:rPr>
        <w:t xml:space="preserve"> </w:t>
      </w:r>
      <w:r>
        <w:rPr>
          <w:rFonts w:hint="eastAsia" w:ascii="宋体" w:hAnsi="宋体" w:cs="宋体"/>
          <w:b/>
          <w:kern w:val="0"/>
          <w:sz w:val="28"/>
          <w:szCs w:val="28"/>
        </w:rPr>
        <w:t>市政工程</w:t>
      </w:r>
      <w:r>
        <w:rPr>
          <w:rFonts w:hint="eastAsia" w:ascii="宋体" w:hAnsi="宋体" w:cs="宋体"/>
          <w:bCs/>
          <w:kern w:val="0"/>
          <w:sz w:val="28"/>
          <w:szCs w:val="28"/>
        </w:rPr>
        <w:t xml:space="preserve">  municipal engineering</w:t>
      </w:r>
    </w:p>
    <w:p>
      <w:pPr>
        <w:spacing w:line="360" w:lineRule="auto"/>
        <w:ind w:firstLine="560" w:firstLineChars="200"/>
        <w:jc w:val="left"/>
        <w:rPr>
          <w:rFonts w:ascii="宋体" w:hAnsi="宋体" w:cs="宋体"/>
          <w:bCs/>
          <w:kern w:val="0"/>
          <w:sz w:val="28"/>
          <w:szCs w:val="28"/>
        </w:rPr>
      </w:pPr>
      <w:r>
        <w:rPr>
          <w:rFonts w:hint="eastAsia" w:ascii="宋体" w:hAnsi="宋体" w:cs="宋体"/>
          <w:bCs/>
          <w:kern w:val="0"/>
          <w:sz w:val="28"/>
          <w:szCs w:val="28"/>
        </w:rPr>
        <w:t>道路桥隧工程、轨道交通工程、综合管廊工程等城市基础设施的统称。</w:t>
      </w:r>
    </w:p>
    <w:p>
      <w:pPr>
        <w:spacing w:line="360" w:lineRule="auto"/>
        <w:jc w:val="left"/>
        <w:rPr>
          <w:rFonts w:ascii="宋体" w:hAnsi="宋体" w:cs="宋体"/>
          <w:bCs/>
          <w:kern w:val="0"/>
          <w:sz w:val="28"/>
          <w:szCs w:val="28"/>
        </w:rPr>
      </w:pPr>
      <w:r>
        <w:rPr>
          <w:rFonts w:hint="eastAsia" w:ascii="宋体" w:hAnsi="宋体" w:cs="宋体"/>
          <w:b/>
          <w:kern w:val="0"/>
          <w:sz w:val="28"/>
          <w:szCs w:val="28"/>
        </w:rPr>
        <w:t>2.0.12 道路桥隧工程</w:t>
      </w:r>
      <w:r>
        <w:rPr>
          <w:rFonts w:hint="eastAsia" w:ascii="宋体" w:hAnsi="宋体" w:cs="宋体"/>
          <w:bCs/>
          <w:kern w:val="0"/>
          <w:sz w:val="28"/>
          <w:szCs w:val="28"/>
        </w:rPr>
        <w:t xml:space="preserve">  road-bridge-tunnel engineering</w:t>
      </w:r>
    </w:p>
    <w:p>
      <w:pPr>
        <w:spacing w:line="360" w:lineRule="auto"/>
        <w:ind w:firstLine="560" w:firstLineChars="200"/>
        <w:jc w:val="left"/>
        <w:rPr>
          <w:rFonts w:ascii="宋体" w:hAnsi="宋体" w:cs="宋体"/>
          <w:bCs/>
          <w:kern w:val="0"/>
          <w:sz w:val="28"/>
          <w:szCs w:val="28"/>
        </w:rPr>
      </w:pPr>
      <w:r>
        <w:rPr>
          <w:rFonts w:hint="eastAsia" w:ascii="宋体" w:hAnsi="宋体" w:cs="宋体"/>
          <w:bCs/>
          <w:kern w:val="0"/>
          <w:sz w:val="28"/>
          <w:szCs w:val="28"/>
        </w:rPr>
        <w:t>由城市道路、桥梁和隧道等构成的市政基础设施的统称。</w:t>
      </w:r>
    </w:p>
    <w:p>
      <w:pPr>
        <w:spacing w:line="360" w:lineRule="auto"/>
        <w:jc w:val="left"/>
        <w:rPr>
          <w:rFonts w:ascii="宋体" w:hAnsi="宋体" w:cs="宋体"/>
          <w:bCs/>
          <w:kern w:val="0"/>
          <w:sz w:val="28"/>
          <w:szCs w:val="28"/>
        </w:rPr>
      </w:pPr>
      <w:r>
        <w:rPr>
          <w:rFonts w:hint="eastAsia" w:ascii="宋体" w:hAnsi="宋体" w:cs="宋体"/>
          <w:b/>
          <w:kern w:val="0"/>
          <w:sz w:val="28"/>
          <w:szCs w:val="28"/>
        </w:rPr>
        <w:t>2.0.13 轨道交通工程</w:t>
      </w:r>
      <w:r>
        <w:rPr>
          <w:rFonts w:hint="eastAsia" w:ascii="宋体" w:hAnsi="宋体" w:cs="宋体"/>
          <w:bCs/>
          <w:kern w:val="0"/>
          <w:sz w:val="28"/>
          <w:szCs w:val="28"/>
        </w:rPr>
        <w:t xml:space="preserve"> rail transit engineering</w:t>
      </w:r>
    </w:p>
    <w:p>
      <w:pPr>
        <w:spacing w:line="360" w:lineRule="auto"/>
        <w:ind w:firstLine="560" w:firstLineChars="200"/>
        <w:jc w:val="left"/>
        <w:rPr>
          <w:rFonts w:ascii="宋体" w:hAnsi="宋体" w:cs="宋体"/>
          <w:bCs/>
          <w:kern w:val="0"/>
          <w:sz w:val="28"/>
          <w:szCs w:val="28"/>
        </w:rPr>
      </w:pPr>
      <w:r>
        <w:rPr>
          <w:rFonts w:hint="eastAsia" w:ascii="宋体" w:hAnsi="宋体" w:cs="宋体"/>
          <w:bCs/>
          <w:kern w:val="0"/>
          <w:sz w:val="28"/>
          <w:szCs w:val="28"/>
        </w:rPr>
        <w:t>城市建设中，采用轨道结构进行承重和导向，设置全封闭或部分封闭的专用轨道线路，以列车或单车形式，运送相当规模客流量的一种公共交通系统（地铁、轻轨、有轨电车）基础设施</w:t>
      </w:r>
      <w:r>
        <w:rPr>
          <w:rFonts w:ascii="宋体" w:hAnsi="宋体" w:cs="宋体"/>
          <w:bCs/>
          <w:kern w:val="0"/>
          <w:sz w:val="28"/>
          <w:szCs w:val="28"/>
        </w:rPr>
        <w:t>。</w:t>
      </w:r>
    </w:p>
    <w:p>
      <w:pPr>
        <w:spacing w:line="360" w:lineRule="auto"/>
        <w:jc w:val="left"/>
        <w:rPr>
          <w:rFonts w:ascii="宋体" w:hAnsi="宋体" w:cs="宋体"/>
          <w:bCs/>
          <w:kern w:val="0"/>
          <w:sz w:val="28"/>
          <w:szCs w:val="28"/>
        </w:rPr>
      </w:pPr>
      <w:r>
        <w:rPr>
          <w:rFonts w:hint="eastAsia" w:ascii="宋体" w:hAnsi="宋体" w:cs="宋体"/>
          <w:b/>
          <w:kern w:val="0"/>
          <w:sz w:val="28"/>
          <w:szCs w:val="28"/>
        </w:rPr>
        <w:t>2.0.14 综合管廊工程</w:t>
      </w:r>
      <w:r>
        <w:rPr>
          <w:rFonts w:hint="eastAsia" w:ascii="宋体" w:hAnsi="宋体" w:cs="宋体"/>
          <w:bCs/>
          <w:kern w:val="0"/>
          <w:sz w:val="28"/>
          <w:szCs w:val="28"/>
        </w:rPr>
        <w:t xml:space="preserve">  utility tunnel engineering</w:t>
      </w:r>
    </w:p>
    <w:p>
      <w:pPr>
        <w:spacing w:line="360" w:lineRule="auto"/>
        <w:ind w:firstLine="560" w:firstLineChars="200"/>
        <w:jc w:val="left"/>
        <w:rPr>
          <w:rFonts w:ascii="宋体" w:hAnsi="宋体" w:cs="宋体"/>
          <w:bCs/>
          <w:kern w:val="0"/>
          <w:sz w:val="28"/>
          <w:szCs w:val="28"/>
        </w:rPr>
      </w:pPr>
      <w:r>
        <w:rPr>
          <w:rFonts w:hint="eastAsia" w:ascii="宋体" w:hAnsi="宋体" w:cs="宋体"/>
          <w:bCs/>
          <w:kern w:val="0"/>
          <w:sz w:val="28"/>
          <w:szCs w:val="28"/>
        </w:rPr>
        <w:t>建于城市地下，用于容纳两类及以上城市工程管线的构筑物及附属设施工程的统称。</w:t>
      </w:r>
    </w:p>
    <w:p>
      <w:pPr>
        <w:spacing w:line="360" w:lineRule="auto"/>
        <w:jc w:val="left"/>
        <w:rPr>
          <w:rFonts w:ascii="宋体" w:hAnsi="宋体" w:cs="宋体"/>
          <w:bCs/>
          <w:kern w:val="0"/>
          <w:sz w:val="28"/>
          <w:szCs w:val="28"/>
        </w:rPr>
      </w:pPr>
      <w:r>
        <w:rPr>
          <w:rFonts w:hint="eastAsia" w:ascii="宋体" w:hAnsi="宋体" w:cs="宋体"/>
          <w:b/>
          <w:kern w:val="0"/>
          <w:sz w:val="28"/>
          <w:szCs w:val="28"/>
        </w:rPr>
        <w:t>2.0.15 水利工程</w:t>
      </w:r>
      <w:r>
        <w:rPr>
          <w:rFonts w:hint="eastAsia" w:ascii="宋体" w:hAnsi="宋体" w:cs="宋体"/>
          <w:bCs/>
          <w:kern w:val="0"/>
          <w:sz w:val="28"/>
          <w:szCs w:val="28"/>
        </w:rPr>
        <w:t xml:space="preserve">  water  engineering</w:t>
      </w:r>
    </w:p>
    <w:p>
      <w:pPr>
        <w:spacing w:line="360" w:lineRule="auto"/>
        <w:ind w:firstLine="560" w:firstLineChars="200"/>
        <w:jc w:val="left"/>
        <w:rPr>
          <w:rFonts w:ascii="宋体" w:hAnsi="宋体" w:cs="宋体"/>
          <w:bCs/>
          <w:kern w:val="0"/>
          <w:sz w:val="28"/>
          <w:szCs w:val="28"/>
        </w:rPr>
      </w:pPr>
      <w:r>
        <w:rPr>
          <w:rFonts w:hint="eastAsia" w:ascii="宋体" w:hAnsi="宋体" w:cs="宋体"/>
          <w:bCs/>
          <w:kern w:val="0"/>
          <w:sz w:val="28"/>
          <w:szCs w:val="28"/>
        </w:rPr>
        <w:t>本导则中，系指河道整治工程、防洪排涝工程、水土保持工程和黑臭水体治理工程的统称。</w:t>
      </w:r>
      <w:bookmarkStart w:id="129" w:name="_GoBack"/>
      <w:bookmarkEnd w:id="129"/>
    </w:p>
    <w:p>
      <w:pPr>
        <w:spacing w:line="360" w:lineRule="auto"/>
        <w:jc w:val="left"/>
        <w:rPr>
          <w:rFonts w:ascii="宋体" w:hAnsi="宋体" w:cs="宋体"/>
          <w:bCs/>
          <w:kern w:val="0"/>
          <w:sz w:val="28"/>
          <w:szCs w:val="28"/>
        </w:rPr>
      </w:pPr>
      <w:r>
        <w:rPr>
          <w:rFonts w:hint="eastAsia" w:ascii="宋体" w:hAnsi="宋体" w:cs="宋体"/>
          <w:b/>
          <w:kern w:val="0"/>
          <w:sz w:val="28"/>
          <w:szCs w:val="28"/>
        </w:rPr>
        <w:t>2.0.16</w:t>
      </w:r>
      <w:r>
        <w:rPr>
          <w:rFonts w:hint="eastAsia" w:ascii="宋体" w:hAnsi="宋体" w:cs="宋体"/>
          <w:bCs/>
          <w:kern w:val="0"/>
          <w:sz w:val="28"/>
          <w:szCs w:val="28"/>
        </w:rPr>
        <w:t xml:space="preserve"> </w:t>
      </w:r>
      <w:r>
        <w:rPr>
          <w:rFonts w:hint="eastAsia" w:ascii="宋体" w:hAnsi="宋体" w:cs="宋体"/>
          <w:b/>
          <w:kern w:val="0"/>
          <w:sz w:val="28"/>
          <w:szCs w:val="28"/>
        </w:rPr>
        <w:t>园林景观工程</w:t>
      </w:r>
      <w:r>
        <w:rPr>
          <w:rFonts w:hint="eastAsia" w:ascii="宋体" w:hAnsi="宋体" w:cs="宋体"/>
          <w:bCs/>
          <w:kern w:val="0"/>
          <w:sz w:val="28"/>
          <w:szCs w:val="28"/>
        </w:rPr>
        <w:t xml:space="preserve">  landscape engineering</w:t>
      </w:r>
    </w:p>
    <w:p>
      <w:pPr>
        <w:spacing w:line="360" w:lineRule="auto"/>
        <w:ind w:firstLine="560" w:firstLineChars="200"/>
        <w:jc w:val="left"/>
        <w:rPr>
          <w:rFonts w:ascii="宋体" w:hAnsi="宋体" w:cs="宋体"/>
          <w:bCs/>
          <w:kern w:val="0"/>
          <w:sz w:val="28"/>
          <w:szCs w:val="28"/>
        </w:rPr>
      </w:pPr>
      <w:r>
        <w:rPr>
          <w:rFonts w:hint="eastAsia" w:ascii="宋体" w:hAnsi="宋体" w:cs="宋体"/>
          <w:bCs/>
          <w:kern w:val="0"/>
          <w:sz w:val="28"/>
          <w:szCs w:val="28"/>
        </w:rPr>
        <w:t>在一定场地内，运用工程技术和艺术手段，通过改造地形、种植草木、营造建筑、布置园路等途径，创作而成的优美自然环境和游憩境域。《工程设计资质标准》称之为“风景园林工程”。</w:t>
      </w:r>
    </w:p>
    <w:p>
      <w:pPr>
        <w:spacing w:line="360" w:lineRule="auto"/>
        <w:jc w:val="left"/>
        <w:rPr>
          <w:rFonts w:ascii="宋体" w:hAnsi="宋体" w:cs="宋体"/>
          <w:bCs/>
          <w:kern w:val="0"/>
          <w:sz w:val="28"/>
          <w:szCs w:val="28"/>
        </w:rPr>
      </w:pPr>
      <w:r>
        <w:rPr>
          <w:rFonts w:hint="eastAsia" w:ascii="宋体" w:hAnsi="宋体" w:cs="宋体"/>
          <w:b/>
          <w:kern w:val="0"/>
          <w:sz w:val="28"/>
          <w:szCs w:val="28"/>
        </w:rPr>
        <w:t>2.0.17 岩土工程</w:t>
      </w:r>
      <w:r>
        <w:rPr>
          <w:rFonts w:hint="eastAsia" w:ascii="宋体" w:hAnsi="宋体" w:cs="宋体"/>
          <w:bCs/>
          <w:kern w:val="0"/>
          <w:sz w:val="28"/>
          <w:szCs w:val="28"/>
        </w:rPr>
        <w:t xml:space="preserve">  geotechnical engineering</w:t>
      </w:r>
    </w:p>
    <w:p>
      <w:pPr>
        <w:spacing w:line="360" w:lineRule="auto"/>
        <w:ind w:firstLine="560" w:firstLineChars="200"/>
        <w:jc w:val="left"/>
        <w:rPr>
          <w:rFonts w:ascii="宋体" w:hAnsi="宋体" w:cs="宋体"/>
          <w:b/>
          <w:bCs/>
          <w:kern w:val="0"/>
          <w:sz w:val="28"/>
          <w:szCs w:val="28"/>
        </w:rPr>
      </w:pPr>
      <w:r>
        <w:rPr>
          <w:rFonts w:hint="eastAsia" w:ascii="宋体" w:hAnsi="宋体" w:cs="宋体"/>
          <w:bCs/>
          <w:kern w:val="0"/>
          <w:sz w:val="28"/>
          <w:szCs w:val="28"/>
        </w:rPr>
        <w:t>涉及岩石和土的利用、整治或改造等工程技术的建设工程。</w:t>
      </w:r>
    </w:p>
    <w:p>
      <w:pPr>
        <w:spacing w:line="360" w:lineRule="auto"/>
        <w:jc w:val="left"/>
        <w:rPr>
          <w:rFonts w:ascii="宋体" w:hAnsi="宋体" w:cs="宋体"/>
          <w:bCs/>
          <w:kern w:val="0"/>
          <w:sz w:val="28"/>
          <w:szCs w:val="28"/>
        </w:rPr>
      </w:pPr>
      <w:r>
        <w:rPr>
          <w:rFonts w:hint="eastAsia" w:ascii="宋体" w:hAnsi="宋体" w:cs="宋体"/>
          <w:b/>
          <w:bCs/>
          <w:kern w:val="0"/>
          <w:sz w:val="28"/>
          <w:szCs w:val="28"/>
        </w:rPr>
        <w:t xml:space="preserve">2.0.18 </w:t>
      </w:r>
      <w:r>
        <w:rPr>
          <w:rFonts w:hint="eastAsia" w:ascii="宋体" w:hAnsi="宋体" w:cs="宋体"/>
          <w:bCs/>
          <w:kern w:val="0"/>
          <w:sz w:val="28"/>
          <w:szCs w:val="28"/>
        </w:rPr>
        <w:t xml:space="preserve"> </w:t>
      </w:r>
      <w:r>
        <w:rPr>
          <w:rFonts w:hint="eastAsia" w:ascii="宋体" w:hAnsi="宋体" w:cs="宋体"/>
          <w:b/>
          <w:kern w:val="0"/>
          <w:sz w:val="28"/>
          <w:szCs w:val="28"/>
        </w:rPr>
        <w:t>城市</w:t>
      </w:r>
      <w:r>
        <w:rPr>
          <w:rFonts w:ascii="宋体" w:hAnsi="宋体" w:cs="宋体"/>
          <w:b/>
          <w:kern w:val="0"/>
          <w:sz w:val="28"/>
          <w:szCs w:val="28"/>
        </w:rPr>
        <w:t>绿地</w:t>
      </w:r>
      <w:r>
        <w:rPr>
          <w:rFonts w:hint="eastAsia" w:ascii="宋体" w:hAnsi="宋体" w:cs="宋体"/>
          <w:bCs/>
          <w:kern w:val="0"/>
          <w:sz w:val="28"/>
          <w:szCs w:val="28"/>
        </w:rPr>
        <w:t>u</w:t>
      </w:r>
      <w:r>
        <w:rPr>
          <w:rFonts w:ascii="宋体" w:hAnsi="宋体" w:cs="宋体"/>
          <w:bCs/>
          <w:kern w:val="0"/>
          <w:sz w:val="28"/>
          <w:szCs w:val="28"/>
        </w:rPr>
        <w:t>rban green space</w:t>
      </w:r>
    </w:p>
    <w:p>
      <w:pPr>
        <w:spacing w:line="360" w:lineRule="auto"/>
        <w:ind w:firstLine="560" w:firstLineChars="200"/>
        <w:jc w:val="left"/>
        <w:rPr>
          <w:rFonts w:ascii="宋体" w:hAnsi="宋体" w:cs="宋体"/>
          <w:bCs/>
          <w:kern w:val="0"/>
          <w:sz w:val="28"/>
          <w:szCs w:val="28"/>
        </w:rPr>
      </w:pPr>
      <w:r>
        <w:rPr>
          <w:rFonts w:ascii="宋体" w:hAnsi="宋体" w:cs="宋体"/>
          <w:bCs/>
          <w:kern w:val="0"/>
          <w:sz w:val="28"/>
          <w:szCs w:val="28"/>
        </w:rPr>
        <w:t>以</w:t>
      </w:r>
      <w:r>
        <w:fldChar w:fldCharType="begin"/>
      </w:r>
      <w:r>
        <w:instrText xml:space="preserve"> HYPERLINK "https://baike.baidu.com/item/%E8%87%AA%E7%84%B6%E6%A4%8D%E8%A2%AB/869737" \t "_blank" </w:instrText>
      </w:r>
      <w:r>
        <w:fldChar w:fldCharType="separate"/>
      </w:r>
      <w:r>
        <w:rPr>
          <w:rFonts w:ascii="宋体" w:hAnsi="宋体" w:cs="宋体"/>
          <w:bCs/>
          <w:kern w:val="0"/>
          <w:sz w:val="28"/>
          <w:szCs w:val="28"/>
        </w:rPr>
        <w:t>自然植被</w:t>
      </w:r>
      <w:r>
        <w:rPr>
          <w:rFonts w:ascii="宋体" w:hAnsi="宋体" w:cs="宋体"/>
          <w:bCs/>
          <w:kern w:val="0"/>
          <w:sz w:val="28"/>
          <w:szCs w:val="28"/>
        </w:rPr>
        <w:fldChar w:fldCharType="end"/>
      </w:r>
      <w:r>
        <w:rPr>
          <w:rFonts w:ascii="宋体" w:hAnsi="宋体" w:cs="宋体"/>
          <w:bCs/>
          <w:kern w:val="0"/>
          <w:sz w:val="28"/>
          <w:szCs w:val="28"/>
        </w:rPr>
        <w:t>和</w:t>
      </w:r>
      <w:r>
        <w:fldChar w:fldCharType="begin"/>
      </w:r>
      <w:r>
        <w:instrText xml:space="preserve"> HYPERLINK "https://baike.baidu.com/item/%E4%BA%BA%E5%B7%A5%E6%A4%8D%E8%A2%AB/9424903" \t "_blank" </w:instrText>
      </w:r>
      <w:r>
        <w:fldChar w:fldCharType="separate"/>
      </w:r>
      <w:r>
        <w:rPr>
          <w:rFonts w:ascii="宋体" w:hAnsi="宋体" w:cs="宋体"/>
          <w:bCs/>
          <w:kern w:val="0"/>
          <w:sz w:val="28"/>
          <w:szCs w:val="28"/>
        </w:rPr>
        <w:t>人工植被</w:t>
      </w:r>
      <w:r>
        <w:rPr>
          <w:rFonts w:ascii="宋体" w:hAnsi="宋体" w:cs="宋体"/>
          <w:bCs/>
          <w:kern w:val="0"/>
          <w:sz w:val="28"/>
          <w:szCs w:val="28"/>
        </w:rPr>
        <w:fldChar w:fldCharType="end"/>
      </w:r>
      <w:r>
        <w:rPr>
          <w:rFonts w:ascii="宋体" w:hAnsi="宋体" w:cs="宋体"/>
          <w:bCs/>
          <w:kern w:val="0"/>
          <w:sz w:val="28"/>
          <w:szCs w:val="28"/>
        </w:rPr>
        <w:t>为主要存在形态的城市用地</w:t>
      </w:r>
      <w:r>
        <w:rPr>
          <w:rFonts w:hint="eastAsia" w:ascii="宋体" w:hAnsi="宋体" w:cs="宋体"/>
          <w:bCs/>
          <w:kern w:val="0"/>
          <w:sz w:val="28"/>
          <w:szCs w:val="28"/>
        </w:rPr>
        <w:t>。它包括</w:t>
      </w:r>
      <w:r>
        <w:rPr>
          <w:rFonts w:ascii="宋体" w:hAnsi="宋体" w:cs="宋体"/>
          <w:bCs/>
          <w:kern w:val="0"/>
          <w:sz w:val="28"/>
          <w:szCs w:val="28"/>
        </w:rPr>
        <w:t>城市公园</w:t>
      </w:r>
      <w:r>
        <w:rPr>
          <w:rFonts w:hint="eastAsia" w:ascii="宋体" w:hAnsi="宋体" w:cs="宋体"/>
          <w:bCs/>
          <w:kern w:val="0"/>
          <w:sz w:val="28"/>
          <w:szCs w:val="28"/>
        </w:rPr>
        <w:t>、</w:t>
      </w:r>
      <w:r>
        <w:rPr>
          <w:rFonts w:ascii="宋体" w:hAnsi="宋体" w:cs="宋体"/>
          <w:bCs/>
          <w:kern w:val="0"/>
          <w:sz w:val="28"/>
          <w:szCs w:val="28"/>
        </w:rPr>
        <w:t>社区公园</w:t>
      </w:r>
      <w:r>
        <w:rPr>
          <w:rFonts w:hint="eastAsia" w:ascii="宋体" w:hAnsi="宋体" w:cs="宋体"/>
          <w:bCs/>
          <w:kern w:val="0"/>
          <w:sz w:val="28"/>
          <w:szCs w:val="28"/>
        </w:rPr>
        <w:t>、防护</w:t>
      </w:r>
      <w:r>
        <w:rPr>
          <w:rFonts w:ascii="宋体" w:hAnsi="宋体" w:cs="宋体"/>
          <w:bCs/>
          <w:kern w:val="0"/>
          <w:sz w:val="28"/>
          <w:szCs w:val="28"/>
        </w:rPr>
        <w:t>绿地</w:t>
      </w:r>
      <w:r>
        <w:rPr>
          <w:rFonts w:hint="eastAsia" w:ascii="宋体" w:hAnsi="宋体" w:cs="宋体"/>
          <w:bCs/>
          <w:kern w:val="0"/>
          <w:sz w:val="28"/>
          <w:szCs w:val="28"/>
        </w:rPr>
        <w:t>和</w:t>
      </w:r>
      <w:r>
        <w:rPr>
          <w:rFonts w:ascii="宋体" w:hAnsi="宋体" w:cs="宋体"/>
          <w:bCs/>
          <w:kern w:val="0"/>
          <w:sz w:val="28"/>
          <w:szCs w:val="28"/>
        </w:rPr>
        <w:t>附属绿地</w:t>
      </w:r>
      <w:r>
        <w:rPr>
          <w:rFonts w:hint="eastAsia" w:ascii="宋体" w:hAnsi="宋体" w:cs="宋体"/>
          <w:bCs/>
          <w:kern w:val="0"/>
          <w:sz w:val="28"/>
          <w:szCs w:val="28"/>
        </w:rPr>
        <w:t>。其中，</w:t>
      </w:r>
      <w:r>
        <w:rPr>
          <w:rFonts w:ascii="宋体" w:hAnsi="宋体" w:cs="宋体"/>
          <w:bCs/>
          <w:kern w:val="0"/>
          <w:sz w:val="28"/>
          <w:szCs w:val="28"/>
        </w:rPr>
        <w:t>城市公园</w:t>
      </w:r>
      <w:r>
        <w:rPr>
          <w:rFonts w:hint="eastAsia" w:ascii="宋体" w:hAnsi="宋体" w:cs="宋体"/>
          <w:bCs/>
          <w:kern w:val="0"/>
          <w:sz w:val="28"/>
          <w:szCs w:val="28"/>
        </w:rPr>
        <w:t>包括</w:t>
      </w:r>
      <w:r>
        <w:rPr>
          <w:rFonts w:ascii="宋体" w:hAnsi="宋体" w:cs="宋体"/>
          <w:bCs/>
          <w:kern w:val="0"/>
          <w:sz w:val="28"/>
          <w:szCs w:val="28"/>
        </w:rPr>
        <w:t>综合公园和专类公园</w:t>
      </w:r>
      <w:r>
        <w:rPr>
          <w:rFonts w:hint="eastAsia" w:ascii="宋体" w:hAnsi="宋体" w:cs="宋体"/>
          <w:bCs/>
          <w:kern w:val="0"/>
          <w:sz w:val="28"/>
          <w:szCs w:val="28"/>
        </w:rPr>
        <w:t>，</w:t>
      </w:r>
      <w:r>
        <w:rPr>
          <w:rFonts w:ascii="宋体" w:hAnsi="宋体" w:cs="宋体"/>
          <w:bCs/>
          <w:kern w:val="0"/>
          <w:sz w:val="28"/>
          <w:szCs w:val="28"/>
        </w:rPr>
        <w:t>社区公园</w:t>
      </w:r>
      <w:r>
        <w:rPr>
          <w:rFonts w:hint="eastAsia" w:ascii="宋体" w:hAnsi="宋体" w:cs="宋体"/>
          <w:bCs/>
          <w:kern w:val="0"/>
          <w:sz w:val="28"/>
          <w:szCs w:val="28"/>
        </w:rPr>
        <w:t>包括</w:t>
      </w:r>
      <w:r>
        <w:rPr>
          <w:rFonts w:ascii="宋体" w:hAnsi="宋体" w:cs="宋体"/>
          <w:bCs/>
          <w:kern w:val="0"/>
          <w:sz w:val="28"/>
          <w:szCs w:val="28"/>
        </w:rPr>
        <w:t>集中绿地</w:t>
      </w:r>
      <w:r>
        <w:rPr>
          <w:rFonts w:hint="eastAsia" w:ascii="宋体" w:hAnsi="宋体" w:cs="宋体"/>
          <w:bCs/>
          <w:kern w:val="0"/>
          <w:sz w:val="28"/>
          <w:szCs w:val="28"/>
        </w:rPr>
        <w:t>和</w:t>
      </w:r>
      <w:r>
        <w:rPr>
          <w:rFonts w:ascii="宋体" w:hAnsi="宋体" w:cs="宋体"/>
          <w:bCs/>
          <w:kern w:val="0"/>
          <w:sz w:val="28"/>
          <w:szCs w:val="28"/>
        </w:rPr>
        <w:t>带状绿地。</w:t>
      </w:r>
    </w:p>
    <w:p>
      <w:pPr>
        <w:spacing w:line="360" w:lineRule="auto"/>
        <w:jc w:val="left"/>
        <w:rPr>
          <w:rFonts w:ascii="宋体" w:hAnsi="宋体" w:cs="宋体"/>
          <w:bCs/>
          <w:kern w:val="0"/>
          <w:sz w:val="28"/>
          <w:szCs w:val="28"/>
        </w:rPr>
      </w:pPr>
      <w:r>
        <w:rPr>
          <w:rFonts w:hint="eastAsia" w:ascii="宋体" w:hAnsi="宋体" w:cs="宋体"/>
          <w:b/>
          <w:kern w:val="0"/>
          <w:sz w:val="28"/>
          <w:szCs w:val="28"/>
        </w:rPr>
        <w:t>2.0.20</w:t>
      </w:r>
      <w:r>
        <w:rPr>
          <w:rFonts w:hint="eastAsia" w:ascii="宋体" w:hAnsi="宋体" w:cs="宋体"/>
          <w:bCs/>
          <w:kern w:val="0"/>
          <w:sz w:val="28"/>
          <w:szCs w:val="28"/>
        </w:rPr>
        <w:t xml:space="preserve">  </w:t>
      </w:r>
      <w:r>
        <w:rPr>
          <w:rFonts w:hint="eastAsia" w:ascii="宋体" w:hAnsi="宋体" w:cs="宋体"/>
          <w:b/>
          <w:kern w:val="0"/>
          <w:sz w:val="28"/>
          <w:szCs w:val="28"/>
        </w:rPr>
        <w:t>海绵城市</w:t>
      </w:r>
      <w:r>
        <w:rPr>
          <w:rFonts w:hint="eastAsia" w:ascii="宋体" w:hAnsi="宋体" w:cs="宋体"/>
          <w:bCs/>
          <w:kern w:val="0"/>
          <w:sz w:val="28"/>
          <w:szCs w:val="28"/>
        </w:rPr>
        <w:t xml:space="preserve">  sponge city</w:t>
      </w:r>
    </w:p>
    <w:p>
      <w:pPr>
        <w:spacing w:line="360" w:lineRule="auto"/>
        <w:ind w:firstLine="560" w:firstLineChars="200"/>
        <w:jc w:val="left"/>
        <w:rPr>
          <w:rFonts w:ascii="宋体" w:hAnsi="宋体" w:cs="宋体"/>
          <w:bCs/>
          <w:kern w:val="0"/>
          <w:sz w:val="28"/>
          <w:szCs w:val="28"/>
        </w:rPr>
      </w:pPr>
      <w:r>
        <w:rPr>
          <w:rFonts w:hint="eastAsia" w:ascii="宋体" w:hAnsi="宋体" w:cs="宋体"/>
          <w:bCs/>
          <w:kern w:val="0"/>
          <w:sz w:val="28"/>
          <w:szCs w:val="28"/>
        </w:rPr>
        <w:t>基于“源头减排、过程控制、系统治理”原则，综合采用“渗、滞、蓄、净、用、排”等工程技术措施，有效控制城市降雨径流，最大限度减少开发建设行为对原有自然水文特征和水生态环境造成的不利影响，使得城市具有 “海绵”一样的“弹性”，实现自然积存、自然渗透、自然净化的可持续发展方式。</w:t>
      </w:r>
    </w:p>
    <w:p>
      <w:pPr>
        <w:spacing w:line="360" w:lineRule="auto"/>
        <w:jc w:val="left"/>
        <w:rPr>
          <w:rFonts w:ascii="宋体" w:hAnsi="宋体" w:cs="宋体"/>
          <w:bCs/>
          <w:kern w:val="0"/>
          <w:sz w:val="28"/>
          <w:szCs w:val="28"/>
        </w:rPr>
      </w:pPr>
      <w:r>
        <w:rPr>
          <w:rFonts w:hint="eastAsia" w:ascii="宋体" w:hAnsi="宋体" w:cs="宋体"/>
          <w:b/>
          <w:kern w:val="0"/>
          <w:sz w:val="28"/>
          <w:szCs w:val="28"/>
        </w:rPr>
        <w:t xml:space="preserve">2.0.21 慢行系统 </w:t>
      </w:r>
      <w:r>
        <w:rPr>
          <w:rFonts w:hint="eastAsia" w:ascii="宋体" w:hAnsi="宋体" w:cs="宋体"/>
          <w:bCs/>
          <w:kern w:val="0"/>
          <w:sz w:val="28"/>
          <w:szCs w:val="28"/>
        </w:rPr>
        <w:t>slow-moving system</w:t>
      </w:r>
    </w:p>
    <w:p>
      <w:pPr>
        <w:spacing w:line="360" w:lineRule="auto"/>
        <w:ind w:firstLine="560" w:firstLineChars="200"/>
        <w:jc w:val="left"/>
        <w:rPr>
          <w:rFonts w:ascii="宋体" w:hAnsi="宋体" w:cs="宋体"/>
          <w:bCs/>
          <w:kern w:val="0"/>
          <w:sz w:val="28"/>
          <w:szCs w:val="28"/>
        </w:rPr>
      </w:pPr>
      <w:r>
        <w:rPr>
          <w:rFonts w:hint="eastAsia" w:ascii="宋体" w:hAnsi="宋体" w:cs="宋体"/>
          <w:bCs/>
          <w:kern w:val="0"/>
          <w:sz w:val="28"/>
          <w:szCs w:val="28"/>
        </w:rPr>
        <w:t>由人行道、人行地道、人行天桥、步行街、绿地园路、城市广场等构成的步行公共空间和自行车道等慢行交通空间。</w:t>
      </w:r>
    </w:p>
    <w:p>
      <w:pPr>
        <w:spacing w:line="360" w:lineRule="auto"/>
        <w:jc w:val="left"/>
        <w:rPr>
          <w:rFonts w:cs="微软雅黑" w:asciiTheme="minorEastAsia" w:hAnsiTheme="minorEastAsia" w:eastAsiaTheme="minorEastAsia"/>
          <w:sz w:val="28"/>
          <w:szCs w:val="28"/>
          <w:shd w:val="clear" w:color="auto" w:fill="FFFFFF"/>
        </w:rPr>
      </w:pPr>
      <w:r>
        <w:rPr>
          <w:rFonts w:hint="eastAsia" w:ascii="宋体" w:hAnsi="宋体" w:cs="宋体"/>
          <w:b/>
          <w:kern w:val="0"/>
          <w:sz w:val="28"/>
          <w:szCs w:val="28"/>
        </w:rPr>
        <w:t xml:space="preserve">2.0.22 </w:t>
      </w:r>
      <w:r>
        <w:rPr>
          <w:rFonts w:cs="微软雅黑" w:asciiTheme="minorEastAsia" w:hAnsiTheme="minorEastAsia" w:eastAsiaTheme="minorEastAsia"/>
          <w:sz w:val="28"/>
          <w:szCs w:val="28"/>
          <w:shd w:val="clear" w:color="auto" w:fill="FFFFFF"/>
        </w:rPr>
        <w:t xml:space="preserve"> </w:t>
      </w:r>
      <w:r>
        <w:rPr>
          <w:rFonts w:cs="微软雅黑" w:asciiTheme="minorEastAsia" w:hAnsiTheme="minorEastAsia" w:eastAsiaTheme="minorEastAsia"/>
          <w:b/>
          <w:sz w:val="28"/>
          <w:szCs w:val="28"/>
          <w:shd w:val="clear" w:color="auto" w:fill="FFFFFF"/>
        </w:rPr>
        <w:t>建筑信息模型</w:t>
      </w:r>
      <w:r>
        <w:rPr>
          <w:rFonts w:cs="微软雅黑" w:asciiTheme="minorEastAsia" w:hAnsiTheme="minorEastAsia" w:eastAsiaTheme="minorEastAsia"/>
          <w:sz w:val="28"/>
          <w:szCs w:val="28"/>
          <w:shd w:val="clear" w:color="auto" w:fill="FFFFFF"/>
        </w:rPr>
        <w:t xml:space="preserve"> building information model</w:t>
      </w:r>
      <w:r>
        <w:rPr>
          <w:rFonts w:hint="eastAsia" w:cs="微软雅黑" w:asciiTheme="minorEastAsia" w:hAnsiTheme="minorEastAsia" w:eastAsiaTheme="minorEastAsia"/>
          <w:sz w:val="28"/>
          <w:szCs w:val="28"/>
          <w:shd w:val="clear" w:color="auto" w:fill="FFFFFF"/>
        </w:rPr>
        <w:t>(BIM)，</w:t>
      </w:r>
      <w:r>
        <w:rPr>
          <w:rFonts w:hint="eastAsia" w:cs="微软雅黑" w:asciiTheme="minorEastAsia" w:hAnsiTheme="minorEastAsia" w:eastAsiaTheme="minorEastAsia"/>
          <w:sz w:val="28"/>
          <w:szCs w:val="28"/>
          <w:shd w:val="clear" w:color="auto" w:fill="FFFFFF"/>
        </w:rPr>
        <w:br w:type="textWrapping"/>
      </w:r>
      <w:r>
        <w:rPr>
          <w:rFonts w:hint="eastAsia" w:cs="微软雅黑" w:asciiTheme="minorEastAsia" w:hAnsiTheme="minorEastAsia" w:eastAsiaTheme="minorEastAsia"/>
          <w:sz w:val="28"/>
          <w:szCs w:val="28"/>
          <w:shd w:val="clear" w:color="auto" w:fill="FFFFFF"/>
        </w:rPr>
        <w:t>  在建设工程及设施全生命期内，对其物理特征和功能特性予以数字化表达的一种三维可视化设计技术。</w:t>
      </w:r>
    </w:p>
    <w:p>
      <w:pPr>
        <w:spacing w:line="360" w:lineRule="auto"/>
        <w:jc w:val="left"/>
        <w:rPr>
          <w:rFonts w:cs="微软雅黑" w:asciiTheme="minorEastAsia" w:hAnsiTheme="minorEastAsia" w:eastAsiaTheme="minorEastAsia"/>
          <w:sz w:val="28"/>
          <w:szCs w:val="28"/>
          <w:shd w:val="clear" w:color="auto" w:fill="FFFFFF"/>
        </w:rPr>
      </w:pPr>
      <w:r>
        <w:rPr>
          <w:rFonts w:hint="eastAsia" w:ascii="微软雅黑" w:hAnsi="微软雅黑" w:eastAsia="微软雅黑" w:cs="微软雅黑"/>
          <w:sz w:val="28"/>
          <w:szCs w:val="28"/>
          <w:shd w:val="clear" w:color="auto" w:fill="FFFFFF"/>
        </w:rPr>
        <w:t>【条文说明】</w:t>
      </w:r>
      <w:r>
        <w:rPr>
          <w:rFonts w:hint="eastAsia" w:ascii="微软雅黑" w:hAnsi="微软雅黑" w:eastAsia="微软雅黑" w:cs="微软雅黑"/>
          <w:b/>
          <w:bCs/>
          <w:sz w:val="28"/>
          <w:szCs w:val="28"/>
          <w:shd w:val="clear" w:color="auto" w:fill="FFFFFF"/>
        </w:rPr>
        <w:t xml:space="preserve">2.0.22 </w:t>
      </w:r>
      <w:r>
        <w:rPr>
          <w:rFonts w:hint="eastAsia" w:cs="微软雅黑" w:asciiTheme="minorEastAsia" w:hAnsiTheme="minorEastAsia" w:eastAsiaTheme="minorEastAsia"/>
          <w:sz w:val="28"/>
          <w:szCs w:val="28"/>
          <w:shd w:val="clear" w:color="auto" w:fill="FFFFFF"/>
        </w:rPr>
        <w:t>在工程实践中，建筑信息模型有时也可能英译为building information modeling。此时，它表示以勘察、设计阶段创建信息模型为起点，历经施工、运维等阶段，对模型不断扩展、更新、应用或管理的过程和结果的总称。</w:t>
      </w:r>
    </w:p>
    <w:p>
      <w:pPr>
        <w:spacing w:line="360" w:lineRule="auto"/>
        <w:jc w:val="left"/>
        <w:rPr>
          <w:rFonts w:cs="微软雅黑" w:asciiTheme="minorEastAsia" w:hAnsiTheme="minorEastAsia" w:eastAsiaTheme="minorEastAsia"/>
          <w:sz w:val="28"/>
          <w:szCs w:val="28"/>
          <w:shd w:val="clear" w:color="auto" w:fill="FFFFFF"/>
        </w:rPr>
      </w:pPr>
      <w:r>
        <w:rPr>
          <w:rFonts w:hint="eastAsia" w:cs="微软雅黑" w:asciiTheme="minorEastAsia" w:hAnsiTheme="minorEastAsia" w:eastAsiaTheme="minorEastAsia"/>
          <w:b/>
          <w:bCs/>
          <w:sz w:val="28"/>
          <w:szCs w:val="28"/>
          <w:shd w:val="clear" w:color="auto" w:fill="FFFFFF"/>
        </w:rPr>
        <w:t>2.0.23物联网</w:t>
      </w:r>
      <w:r>
        <w:rPr>
          <w:rFonts w:hint="eastAsia" w:cs="微软雅黑" w:asciiTheme="minorEastAsia" w:hAnsiTheme="minorEastAsia" w:eastAsiaTheme="minorEastAsia"/>
          <w:sz w:val="28"/>
          <w:szCs w:val="28"/>
          <w:shd w:val="clear" w:color="auto" w:fill="FFFFFF"/>
        </w:rPr>
        <w:t xml:space="preserve"> internet of things（IoT）</w:t>
      </w:r>
    </w:p>
    <w:p>
      <w:pPr>
        <w:spacing w:line="360" w:lineRule="auto"/>
        <w:ind w:firstLine="560" w:firstLineChars="200"/>
        <w:jc w:val="left"/>
        <w:rPr>
          <w:rFonts w:cs="微软雅黑" w:asciiTheme="minorEastAsia" w:hAnsiTheme="minorEastAsia" w:eastAsiaTheme="minorEastAsia"/>
          <w:sz w:val="28"/>
          <w:szCs w:val="28"/>
          <w:shd w:val="clear" w:color="auto" w:fill="FFFFFF"/>
        </w:rPr>
      </w:pPr>
      <w:r>
        <w:rPr>
          <w:rFonts w:hint="eastAsia" w:cs="微软雅黑" w:asciiTheme="minorEastAsia" w:hAnsiTheme="minorEastAsia" w:eastAsiaTheme="minorEastAsia"/>
          <w:sz w:val="28"/>
          <w:szCs w:val="28"/>
          <w:shd w:val="clear" w:color="auto" w:fill="FFFFFF"/>
        </w:rPr>
        <w:t>主要采用</w:t>
      </w:r>
      <w:r>
        <w:rPr>
          <w:rFonts w:cs="微软雅黑" w:asciiTheme="minorEastAsia" w:hAnsiTheme="minorEastAsia" w:eastAsiaTheme="minorEastAsia"/>
          <w:sz w:val="28"/>
          <w:szCs w:val="28"/>
          <w:shd w:val="clear" w:color="auto" w:fill="FFFFFF"/>
        </w:rPr>
        <w:t>信息传感</w:t>
      </w:r>
      <w:r>
        <w:rPr>
          <w:rFonts w:hint="eastAsia" w:cs="微软雅黑" w:asciiTheme="minorEastAsia" w:hAnsiTheme="minorEastAsia" w:eastAsiaTheme="minorEastAsia"/>
          <w:sz w:val="28"/>
          <w:szCs w:val="28"/>
          <w:shd w:val="clear" w:color="auto" w:fill="FFFFFF"/>
        </w:rPr>
        <w:t>装置与技术，</w:t>
      </w:r>
      <w:r>
        <w:rPr>
          <w:rFonts w:cs="微软雅黑" w:asciiTheme="minorEastAsia" w:hAnsiTheme="minorEastAsia" w:eastAsiaTheme="minorEastAsia"/>
          <w:sz w:val="28"/>
          <w:szCs w:val="28"/>
          <w:shd w:val="clear" w:color="auto" w:fill="FFFFFF"/>
        </w:rPr>
        <w:t>按约定协议，</w:t>
      </w:r>
      <w:r>
        <w:rPr>
          <w:rFonts w:hint="eastAsia" w:cs="微软雅黑" w:asciiTheme="minorEastAsia" w:hAnsiTheme="minorEastAsia" w:eastAsiaTheme="minorEastAsia"/>
          <w:sz w:val="28"/>
          <w:szCs w:val="28"/>
          <w:shd w:val="clear" w:color="auto" w:fill="FFFFFF"/>
        </w:rPr>
        <w:t>通过各类可能的既有网络接入，实现对于</w:t>
      </w:r>
      <w:r>
        <w:rPr>
          <w:rFonts w:cs="微软雅黑" w:asciiTheme="minorEastAsia" w:hAnsiTheme="minorEastAsia" w:eastAsiaTheme="minorEastAsia"/>
          <w:sz w:val="28"/>
          <w:szCs w:val="28"/>
          <w:shd w:val="clear" w:color="auto" w:fill="FFFFFF"/>
        </w:rPr>
        <w:t>任何物品的智能化</w:t>
      </w:r>
      <w:r>
        <w:rPr>
          <w:rFonts w:hint="eastAsia" w:cs="微软雅黑" w:asciiTheme="minorEastAsia" w:hAnsiTheme="minorEastAsia" w:eastAsiaTheme="minorEastAsia"/>
          <w:sz w:val="28"/>
          <w:szCs w:val="28"/>
          <w:shd w:val="clear" w:color="auto" w:fill="FFFFFF"/>
        </w:rPr>
        <w:t>、动态化的感知、</w:t>
      </w:r>
      <w:r>
        <w:rPr>
          <w:rFonts w:cs="微软雅黑" w:asciiTheme="minorEastAsia" w:hAnsiTheme="minorEastAsia" w:eastAsiaTheme="minorEastAsia"/>
          <w:sz w:val="28"/>
          <w:szCs w:val="28"/>
          <w:shd w:val="clear" w:color="auto" w:fill="FFFFFF"/>
        </w:rPr>
        <w:t>识别、定位、跟踪、监控和管理的一种</w:t>
      </w:r>
      <w:r>
        <w:rPr>
          <w:rFonts w:hint="eastAsia" w:cs="微软雅黑" w:asciiTheme="minorEastAsia" w:hAnsiTheme="minorEastAsia" w:eastAsiaTheme="minorEastAsia"/>
          <w:sz w:val="28"/>
          <w:szCs w:val="28"/>
          <w:shd w:val="clear" w:color="auto" w:fill="FFFFFF"/>
        </w:rPr>
        <w:t>信息化</w:t>
      </w:r>
      <w:r>
        <w:rPr>
          <w:rFonts w:cs="微软雅黑" w:asciiTheme="minorEastAsia" w:hAnsiTheme="minorEastAsia" w:eastAsiaTheme="minorEastAsia"/>
          <w:sz w:val="28"/>
          <w:szCs w:val="28"/>
          <w:shd w:val="clear" w:color="auto" w:fill="FFFFFF"/>
        </w:rPr>
        <w:t>网络</w:t>
      </w:r>
      <w:r>
        <w:rPr>
          <w:rFonts w:hint="eastAsia" w:cs="微软雅黑" w:asciiTheme="minorEastAsia" w:hAnsiTheme="minorEastAsia" w:eastAsiaTheme="minorEastAsia"/>
          <w:sz w:val="28"/>
          <w:szCs w:val="28"/>
          <w:shd w:val="clear" w:color="auto" w:fill="FFFFFF"/>
        </w:rPr>
        <w:t>。</w:t>
      </w:r>
    </w:p>
    <w:p>
      <w:pPr>
        <w:spacing w:line="360" w:lineRule="auto"/>
        <w:jc w:val="left"/>
        <w:rPr>
          <w:rFonts w:ascii="微软雅黑" w:hAnsi="微软雅黑" w:eastAsia="微软雅黑" w:cs="微软雅黑"/>
          <w:sz w:val="28"/>
          <w:szCs w:val="28"/>
          <w:shd w:val="clear" w:color="auto" w:fill="FFFFFF"/>
        </w:rPr>
      </w:pPr>
      <w:r>
        <w:rPr>
          <w:rFonts w:hint="eastAsia" w:ascii="微软雅黑" w:hAnsi="微软雅黑" w:eastAsia="微软雅黑" w:cs="微软雅黑"/>
          <w:sz w:val="28"/>
          <w:szCs w:val="28"/>
          <w:shd w:val="clear" w:color="auto" w:fill="FFFFFF"/>
        </w:rPr>
        <w:t>【条文说明】</w:t>
      </w:r>
      <w:r>
        <w:rPr>
          <w:rFonts w:hint="eastAsia" w:ascii="微软雅黑" w:hAnsi="微软雅黑" w:eastAsia="微软雅黑" w:cs="微软雅黑"/>
          <w:b/>
          <w:bCs/>
          <w:sz w:val="28"/>
          <w:szCs w:val="28"/>
          <w:shd w:val="clear" w:color="auto" w:fill="FFFFFF"/>
        </w:rPr>
        <w:t xml:space="preserve">2.0.23  </w:t>
      </w:r>
      <w:r>
        <w:rPr>
          <w:rFonts w:hint="eastAsia" w:ascii="微软雅黑" w:hAnsi="微软雅黑" w:eastAsia="微软雅黑" w:cs="微软雅黑"/>
          <w:sz w:val="28"/>
          <w:szCs w:val="28"/>
          <w:shd w:val="clear" w:color="auto" w:fill="FFFFFF"/>
        </w:rPr>
        <w:t>针对建筑工程而言，物联网技术可以通过各种探测器、传感器、激光扫描器、</w:t>
      </w:r>
      <w:r>
        <w:rPr>
          <w:rFonts w:hint="eastAsia"/>
        </w:rPr>
        <w:fldChar w:fldCharType="begin"/>
      </w:r>
      <w:r>
        <w:instrText xml:space="preserve"> HYPERLINK "https://baike.baidu.com/item/%E5%B0%84%E9%A2%91%E8%AF%86%E5%88%AB%E6%8A%80%E6%9C%AF/9524139" \t "https://baike.baidu.com/item/%E7%89%A9%E8%81%94%E7%BD%91/_blank" </w:instrText>
      </w:r>
      <w:r>
        <w:rPr>
          <w:rFonts w:hint="eastAsia"/>
        </w:rPr>
        <w:fldChar w:fldCharType="separate"/>
      </w:r>
      <w:r>
        <w:rPr>
          <w:rFonts w:hint="eastAsia" w:ascii="微软雅黑" w:hAnsi="微软雅黑" w:eastAsia="微软雅黑" w:cs="微软雅黑"/>
          <w:sz w:val="28"/>
          <w:szCs w:val="28"/>
          <w:shd w:val="clear" w:color="auto" w:fill="FFFFFF"/>
        </w:rPr>
        <w:t>射频识别</w:t>
      </w:r>
      <w:r>
        <w:rPr>
          <w:rFonts w:hint="eastAsia" w:ascii="微软雅黑" w:hAnsi="微软雅黑" w:eastAsia="微软雅黑" w:cs="微软雅黑"/>
          <w:sz w:val="28"/>
          <w:szCs w:val="28"/>
          <w:shd w:val="clear" w:color="auto" w:fill="FFFFFF"/>
        </w:rPr>
        <w:fldChar w:fldCharType="end"/>
      </w:r>
      <w:r>
        <w:rPr>
          <w:rFonts w:hint="eastAsia" w:ascii="微软雅黑" w:hAnsi="微软雅黑" w:eastAsia="微软雅黑" w:cs="微软雅黑"/>
          <w:sz w:val="28"/>
          <w:szCs w:val="28"/>
          <w:shd w:val="clear" w:color="auto" w:fill="FFFFFF"/>
        </w:rPr>
        <w:t>、</w:t>
      </w:r>
      <w:r>
        <w:fldChar w:fldCharType="begin"/>
      </w:r>
      <w:r>
        <w:instrText xml:space="preserve"> HYPERLINK "https://baike.baidu.com/item/%E5%85%A8%E7%90%83%E5%AE%9A%E4%BD%8D%E7%B3%BB%E7%BB%9F/1240960" \t "https://baike.baidu.com/item/%E7%89%A9%E8%81%94%E7%BD%91/_blank" </w:instrText>
      </w:r>
      <w:r>
        <w:fldChar w:fldCharType="separate"/>
      </w:r>
      <w:r>
        <w:rPr>
          <w:rFonts w:hint="eastAsia" w:ascii="微软雅黑" w:hAnsi="微软雅黑" w:eastAsia="微软雅黑" w:cs="微软雅黑"/>
          <w:sz w:val="28"/>
          <w:szCs w:val="28"/>
          <w:shd w:val="clear" w:color="auto" w:fill="FFFFFF"/>
        </w:rPr>
        <w:t>全球定位系统</w:t>
      </w:r>
      <w:r>
        <w:rPr>
          <w:rFonts w:hint="eastAsia" w:ascii="微软雅黑" w:hAnsi="微软雅黑" w:eastAsia="微软雅黑" w:cs="微软雅黑"/>
          <w:sz w:val="28"/>
          <w:szCs w:val="28"/>
          <w:shd w:val="clear" w:color="auto" w:fill="FFFFFF"/>
        </w:rPr>
        <w:fldChar w:fldCharType="end"/>
      </w:r>
      <w:r>
        <w:rPr>
          <w:rFonts w:hint="eastAsia" w:ascii="微软雅黑" w:hAnsi="微软雅黑" w:eastAsia="微软雅黑" w:cs="微软雅黑"/>
          <w:sz w:val="28"/>
          <w:szCs w:val="28"/>
          <w:shd w:val="clear" w:color="auto" w:fill="FFFFFF"/>
        </w:rPr>
        <w:t>等装置与技术，实时采集土建设施（装置）和机电设备（材料）的声、光、热、电、力学、位置、化学、生物等各类信息，并基于建筑内自设智能化信息网络和接入有线/无线互联网，实施物与物、物与人、建筑与城市的泛在连接，实现对建筑内物品（构件）及有关过程的智能化、动态化感知、识别和管理。</w:t>
      </w:r>
    </w:p>
    <w:p>
      <w:pPr>
        <w:spacing w:line="360" w:lineRule="auto"/>
        <w:jc w:val="left"/>
        <w:rPr>
          <w:rFonts w:ascii="Arial" w:hAnsi="Arial" w:cs="Arial"/>
          <w:color w:val="333333"/>
          <w:szCs w:val="21"/>
          <w:shd w:val="clear" w:color="auto" w:fill="FFFFFF"/>
        </w:rPr>
      </w:pPr>
    </w:p>
    <w:p>
      <w:pPr>
        <w:spacing w:line="360" w:lineRule="auto"/>
        <w:jc w:val="left"/>
        <w:rPr>
          <w:rFonts w:ascii="宋体" w:hAnsi="宋体" w:cs="宋体"/>
          <w:bCs/>
          <w:kern w:val="0"/>
          <w:sz w:val="28"/>
          <w:szCs w:val="28"/>
        </w:rPr>
      </w:pPr>
    </w:p>
    <w:p>
      <w:pPr>
        <w:spacing w:line="360" w:lineRule="auto"/>
        <w:ind w:firstLine="560" w:firstLineChars="200"/>
        <w:jc w:val="left"/>
        <w:rPr>
          <w:rFonts w:ascii="宋体" w:hAnsi="宋体" w:cs="宋体"/>
          <w:bCs/>
          <w:color w:val="0000FF"/>
          <w:kern w:val="0"/>
          <w:sz w:val="28"/>
          <w:szCs w:val="28"/>
        </w:rPr>
      </w:pPr>
    </w:p>
    <w:p>
      <w:pPr>
        <w:spacing w:line="360" w:lineRule="auto"/>
        <w:ind w:firstLine="560" w:firstLineChars="200"/>
        <w:jc w:val="left"/>
        <w:rPr>
          <w:rFonts w:ascii="宋体" w:hAnsi="宋体" w:cs="宋体"/>
          <w:bCs/>
          <w:kern w:val="0"/>
          <w:sz w:val="28"/>
          <w:szCs w:val="28"/>
        </w:rPr>
      </w:pPr>
    </w:p>
    <w:p>
      <w:pPr>
        <w:spacing w:line="360" w:lineRule="auto"/>
        <w:jc w:val="left"/>
        <w:rPr>
          <w:rFonts w:ascii="宋体" w:hAnsi="宋体" w:cs="宋体"/>
          <w:color w:val="FF0000"/>
          <w:kern w:val="0"/>
          <w:sz w:val="28"/>
          <w:szCs w:val="28"/>
        </w:rPr>
      </w:pPr>
    </w:p>
    <w:p>
      <w:pPr>
        <w:pStyle w:val="2"/>
        <w:pageBreakBefore/>
        <w:rPr>
          <w:szCs w:val="32"/>
        </w:rPr>
      </w:pPr>
      <w:bookmarkStart w:id="4" w:name="_Toc12073"/>
      <w:r>
        <w:rPr>
          <w:rFonts w:hint="eastAsia"/>
          <w:szCs w:val="32"/>
        </w:rPr>
        <w:t>3 基本规定</w:t>
      </w:r>
      <w:bookmarkEnd w:id="3"/>
      <w:bookmarkEnd w:id="4"/>
    </w:p>
    <w:p>
      <w:pPr>
        <w:spacing w:line="360" w:lineRule="auto"/>
        <w:jc w:val="left"/>
        <w:rPr>
          <w:rFonts w:ascii="宋体" w:hAnsi="宋体" w:cs="宋体"/>
          <w:kern w:val="0"/>
          <w:sz w:val="28"/>
          <w:szCs w:val="28"/>
        </w:rPr>
      </w:pPr>
      <w:r>
        <w:rPr>
          <w:rFonts w:hint="eastAsia" w:ascii="宋体" w:hAnsi="宋体" w:cs="宋体"/>
          <w:b/>
          <w:kern w:val="0"/>
          <w:sz w:val="28"/>
          <w:szCs w:val="28"/>
        </w:rPr>
        <w:t xml:space="preserve">3.0.1 </w:t>
      </w:r>
      <w:r>
        <w:rPr>
          <w:rFonts w:hint="eastAsia" w:ascii="宋体" w:hAnsi="宋体" w:cs="宋体"/>
          <w:kern w:val="0"/>
          <w:sz w:val="28"/>
          <w:szCs w:val="28"/>
        </w:rPr>
        <w:t>开展建设工程设计，应以适用、经济、绿色、美观、智慧、安全、人文为基本遵循方针。</w:t>
      </w:r>
    </w:p>
    <w:p>
      <w:pPr>
        <w:spacing w:line="360" w:lineRule="auto"/>
        <w:jc w:val="left"/>
        <w:rPr>
          <w:rFonts w:ascii="宋体" w:hAnsi="宋体" w:cs="宋体"/>
          <w:bCs/>
          <w:kern w:val="0"/>
          <w:sz w:val="28"/>
          <w:szCs w:val="28"/>
        </w:rPr>
      </w:pPr>
      <w:r>
        <w:rPr>
          <w:rFonts w:hint="eastAsia" w:ascii="宋体" w:hAnsi="宋体" w:cs="宋体"/>
          <w:b/>
          <w:kern w:val="0"/>
          <w:sz w:val="28"/>
          <w:szCs w:val="28"/>
        </w:rPr>
        <w:t xml:space="preserve">3.0.2 </w:t>
      </w:r>
      <w:r>
        <w:rPr>
          <w:rFonts w:hint="eastAsia" w:ascii="宋体" w:hAnsi="宋体" w:cs="宋体"/>
          <w:kern w:val="0"/>
          <w:sz w:val="28"/>
          <w:szCs w:val="28"/>
        </w:rPr>
        <w:t>开展</w:t>
      </w:r>
      <w:r>
        <w:rPr>
          <w:rFonts w:hint="eastAsia" w:ascii="宋体" w:hAnsi="宋体" w:cs="宋体"/>
          <w:bCs/>
          <w:kern w:val="0"/>
          <w:sz w:val="28"/>
          <w:szCs w:val="28"/>
        </w:rPr>
        <w:t>建设工程设计，应在满足各类工程功能性、安全性和经济性的基础上，侧重于设置建筑节能及集约生态环保设施、海绵城市设施、无障碍设施、全龄全民关怀设施、公共空间、慢行系统、智慧化系统和标识系统，融合园林景观和工程美学设计，保护利用自然生态环境，传承建筑文化，塑造城市风貌。</w:t>
      </w:r>
    </w:p>
    <w:p>
      <w:pPr>
        <w:pStyle w:val="44"/>
        <w:spacing w:before="0" w:beforeAutospacing="0" w:after="0" w:afterAutospacing="0" w:line="360" w:lineRule="auto"/>
        <w:rPr>
          <w:bCs/>
          <w:sz w:val="28"/>
          <w:szCs w:val="28"/>
        </w:rPr>
      </w:pPr>
      <w:r>
        <w:rPr>
          <w:rFonts w:hint="eastAsia"/>
          <w:b/>
          <w:sz w:val="28"/>
          <w:szCs w:val="28"/>
        </w:rPr>
        <w:t xml:space="preserve">3.0.3 </w:t>
      </w:r>
      <w:r>
        <w:rPr>
          <w:rFonts w:hint="eastAsia"/>
          <w:bCs/>
          <w:sz w:val="28"/>
          <w:szCs w:val="28"/>
        </w:rPr>
        <w:t>开展建设工程设计，提倡探索以新理念、新模式引领，鼓励采用先进技术、先进工艺、先进设备、新型材料；应当多专业、全流程、精细化应用建筑信息模型（BIM）技术，因地制宜应用预制装配式技术。</w:t>
      </w:r>
    </w:p>
    <w:p>
      <w:pPr>
        <w:spacing w:line="360" w:lineRule="auto"/>
        <w:jc w:val="left"/>
        <w:rPr>
          <w:rFonts w:ascii="微软雅黑" w:hAnsi="微软雅黑" w:eastAsia="微软雅黑" w:cs="微软雅黑"/>
          <w:bCs/>
          <w:sz w:val="28"/>
          <w:szCs w:val="28"/>
        </w:rPr>
      </w:pPr>
      <w:r>
        <w:rPr>
          <w:rFonts w:hint="eastAsia" w:ascii="微软雅黑" w:hAnsi="微软雅黑" w:eastAsia="微软雅黑" w:cs="微软雅黑"/>
          <w:bCs/>
          <w:kern w:val="0"/>
          <w:sz w:val="28"/>
          <w:szCs w:val="28"/>
        </w:rPr>
        <w:t>【条文说明】</w:t>
      </w:r>
      <w:r>
        <w:rPr>
          <w:rFonts w:hint="eastAsia" w:ascii="微软雅黑" w:hAnsi="微软雅黑" w:eastAsia="微软雅黑" w:cs="微软雅黑"/>
          <w:b/>
          <w:kern w:val="0"/>
          <w:sz w:val="28"/>
          <w:szCs w:val="28"/>
        </w:rPr>
        <w:t>3.0.3 “</w:t>
      </w:r>
      <w:r>
        <w:rPr>
          <w:rFonts w:hint="eastAsia" w:ascii="微软雅黑" w:hAnsi="微软雅黑" w:eastAsia="微软雅黑" w:cs="微软雅黑"/>
          <w:kern w:val="0"/>
          <w:sz w:val="28"/>
          <w:szCs w:val="28"/>
        </w:rPr>
        <w:t>多专业</w:t>
      </w:r>
      <w:r>
        <w:rPr>
          <w:rFonts w:hint="eastAsia" w:ascii="微软雅黑" w:hAnsi="微软雅黑" w:eastAsia="微软雅黑" w:cs="微软雅黑"/>
          <w:b/>
          <w:kern w:val="0"/>
          <w:sz w:val="28"/>
          <w:szCs w:val="28"/>
        </w:rPr>
        <w:t>”</w:t>
      </w:r>
      <w:r>
        <w:rPr>
          <w:rFonts w:hint="eastAsia" w:ascii="微软雅黑" w:hAnsi="微软雅黑" w:eastAsia="微软雅黑" w:cs="微软雅黑"/>
          <w:kern w:val="0"/>
          <w:sz w:val="28"/>
          <w:szCs w:val="28"/>
        </w:rPr>
        <w:t>就建筑工程而言，系指建筑、结构、电气、给排水、通风空调等专业。“全流程”就工程设计而言，系指方案设计、初步设计和施工图设计三阶段；就整个建设过程而言，系指设计、建造和运维三阶段。</w:t>
      </w:r>
    </w:p>
    <w:p>
      <w:pPr>
        <w:pStyle w:val="114"/>
        <w:spacing w:line="360" w:lineRule="auto"/>
        <w:outlineLvl w:val="3"/>
        <w:rPr>
          <w:rFonts w:asciiTheme="minorEastAsia" w:hAnsiTheme="minorEastAsia" w:eastAsiaTheme="minorEastAsia"/>
          <w:color w:val="auto"/>
          <w:kern w:val="2"/>
          <w:sz w:val="28"/>
          <w:szCs w:val="28"/>
        </w:rPr>
      </w:pPr>
      <w:r>
        <w:rPr>
          <w:rFonts w:hint="eastAsia" w:asciiTheme="minorEastAsia" w:hAnsiTheme="minorEastAsia" w:eastAsiaTheme="minorEastAsia"/>
          <w:b/>
          <w:bCs/>
          <w:color w:val="auto"/>
          <w:kern w:val="2"/>
          <w:sz w:val="28"/>
          <w:szCs w:val="28"/>
        </w:rPr>
        <w:t>3.0.4</w:t>
      </w:r>
      <w:r>
        <w:rPr>
          <w:rFonts w:hint="eastAsia" w:asciiTheme="minorEastAsia" w:hAnsiTheme="minorEastAsia" w:eastAsiaTheme="minorEastAsia"/>
          <w:color w:val="auto"/>
          <w:kern w:val="2"/>
          <w:sz w:val="28"/>
          <w:szCs w:val="28"/>
        </w:rPr>
        <w:t xml:space="preserve"> 开展建设工程设计，应积极选用质量优、耐久性好、环保性能佳、便于保养维修的可再循环材料、可再利用材料、利废建材（含设备）和绿色建材（含设备）。</w:t>
      </w:r>
    </w:p>
    <w:p>
      <w:pPr>
        <w:spacing w:line="360" w:lineRule="auto"/>
        <w:jc w:val="left"/>
        <w:rPr>
          <w:rFonts w:ascii="宋体" w:hAnsi="宋体" w:cs="宋体"/>
          <w:kern w:val="0"/>
          <w:sz w:val="28"/>
          <w:szCs w:val="28"/>
        </w:rPr>
      </w:pPr>
      <w:r>
        <w:rPr>
          <w:rFonts w:hint="eastAsia" w:ascii="宋体" w:hAnsi="宋体" w:cs="宋体"/>
          <w:b/>
          <w:bCs/>
          <w:kern w:val="0"/>
          <w:sz w:val="28"/>
          <w:szCs w:val="28"/>
        </w:rPr>
        <w:t>3.0.5</w:t>
      </w:r>
      <w:r>
        <w:rPr>
          <w:rFonts w:hint="eastAsia" w:ascii="宋体" w:hAnsi="宋体" w:cs="宋体"/>
          <w:kern w:val="0"/>
          <w:sz w:val="28"/>
          <w:szCs w:val="28"/>
        </w:rPr>
        <w:t>建筑工程、市政工程和水利工程等各类工程设计，应在保持各自专业领域分工相对独立的同时，密切配合并有效衔接。</w:t>
      </w:r>
    </w:p>
    <w:p>
      <w:pPr>
        <w:spacing w:line="360" w:lineRule="auto"/>
        <w:jc w:val="left"/>
        <w:rPr>
          <w:rFonts w:ascii="宋体" w:hAnsi="宋体" w:cs="宋体"/>
          <w:kern w:val="0"/>
          <w:sz w:val="28"/>
          <w:szCs w:val="28"/>
        </w:rPr>
      </w:pPr>
      <w:r>
        <w:rPr>
          <w:rFonts w:hint="eastAsia" w:ascii="宋体" w:hAnsi="宋体" w:cs="宋体"/>
          <w:b/>
          <w:bCs/>
          <w:kern w:val="0"/>
          <w:sz w:val="28"/>
          <w:szCs w:val="28"/>
        </w:rPr>
        <w:t xml:space="preserve">3.0.6 </w:t>
      </w:r>
      <w:r>
        <w:rPr>
          <w:rFonts w:hint="eastAsia" w:ascii="宋体" w:hAnsi="宋体" w:cs="宋体"/>
          <w:kern w:val="0"/>
          <w:sz w:val="28"/>
          <w:szCs w:val="28"/>
        </w:rPr>
        <w:t>海绵城市设施和附建式园林景观工程应与建筑工程、市政工程、水利工程、岩土工程一体化或同步设计。</w:t>
      </w:r>
    </w:p>
    <w:p>
      <w:pPr>
        <w:spacing w:line="360" w:lineRule="auto"/>
        <w:jc w:val="left"/>
        <w:rPr>
          <w:rFonts w:asciiTheme="minorEastAsia" w:hAnsiTheme="minorEastAsia" w:eastAsiaTheme="minorEastAsia"/>
          <w:bCs/>
          <w:sz w:val="28"/>
          <w:szCs w:val="28"/>
        </w:rPr>
      </w:pPr>
      <w:r>
        <w:rPr>
          <w:rFonts w:hint="eastAsia" w:asciiTheme="minorEastAsia" w:hAnsiTheme="minorEastAsia" w:eastAsiaTheme="minorEastAsia"/>
          <w:b/>
          <w:bCs/>
          <w:sz w:val="28"/>
          <w:szCs w:val="28"/>
        </w:rPr>
        <w:t xml:space="preserve">3.0.7 </w:t>
      </w:r>
      <w:r>
        <w:rPr>
          <w:rFonts w:hint="eastAsia" w:asciiTheme="minorEastAsia" w:hAnsiTheme="minorEastAsia" w:eastAsiaTheme="minorEastAsia"/>
          <w:bCs/>
          <w:sz w:val="28"/>
          <w:szCs w:val="28"/>
        </w:rPr>
        <w:t>地下空间工程设计，应与地面、地上工程统筹规划，并充分考虑节能、环保、通风、减灾、安全和防淹等设计要素。</w:t>
      </w:r>
    </w:p>
    <w:p>
      <w:pPr>
        <w:pStyle w:val="77"/>
        <w:widowControl/>
        <w:spacing w:line="360" w:lineRule="auto"/>
        <w:ind w:firstLine="0" w:firstLineChars="0"/>
        <w:jc w:val="left"/>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 xml:space="preserve">3.0.8 </w:t>
      </w:r>
      <w:r>
        <w:rPr>
          <w:rFonts w:hint="eastAsia" w:cs="宋体" w:asciiTheme="minorEastAsia" w:hAnsiTheme="minorEastAsia" w:eastAsiaTheme="minorEastAsia"/>
          <w:sz w:val="28"/>
          <w:szCs w:val="28"/>
        </w:rPr>
        <w:t>建设地块内公共空间设计，应符合下列规定：</w:t>
      </w:r>
    </w:p>
    <w:p>
      <w:pPr>
        <w:pStyle w:val="77"/>
        <w:widowControl/>
        <w:spacing w:line="360" w:lineRule="auto"/>
        <w:ind w:firstLine="562"/>
        <w:jc w:val="left"/>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1</w:t>
      </w:r>
      <w:r>
        <w:rPr>
          <w:rFonts w:hint="eastAsia" w:cs="宋体" w:asciiTheme="minorEastAsia" w:hAnsiTheme="minorEastAsia" w:eastAsiaTheme="minorEastAsia"/>
          <w:sz w:val="28"/>
          <w:szCs w:val="28"/>
        </w:rPr>
        <w:t>相邻地块内公共空间设置，应统筹规划及协调设计，实现互联互通、共处共生；</w:t>
      </w:r>
    </w:p>
    <w:p>
      <w:pPr>
        <w:pStyle w:val="77"/>
        <w:widowControl/>
        <w:spacing w:line="360" w:lineRule="auto"/>
        <w:ind w:firstLine="562"/>
        <w:jc w:val="left"/>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2</w:t>
      </w:r>
      <w:r>
        <w:rPr>
          <w:rFonts w:hint="eastAsia" w:cs="宋体" w:asciiTheme="minorEastAsia" w:hAnsiTheme="minorEastAsia" w:eastAsiaTheme="minorEastAsia"/>
          <w:sz w:val="28"/>
          <w:szCs w:val="28"/>
        </w:rPr>
        <w:t>公共空间有关设施设计应符合无障碍要求，并满足全龄全民使用需求；</w:t>
      </w:r>
    </w:p>
    <w:p>
      <w:pPr>
        <w:widowControl/>
        <w:tabs>
          <w:tab w:val="left" w:pos="993"/>
        </w:tabs>
        <w:spacing w:line="360" w:lineRule="auto"/>
        <w:ind w:firstLine="562" w:firstLineChars="200"/>
        <w:jc w:val="left"/>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 xml:space="preserve">3 </w:t>
      </w:r>
      <w:r>
        <w:rPr>
          <w:rFonts w:hint="eastAsia" w:cs="宋体" w:asciiTheme="minorEastAsia" w:hAnsiTheme="minorEastAsia" w:eastAsiaTheme="minorEastAsia"/>
          <w:sz w:val="28"/>
          <w:szCs w:val="28"/>
        </w:rPr>
        <w:t>公共空间内空中步道设计时，应充分考虑由其衔接的不同地块工程的建设时序；</w:t>
      </w:r>
    </w:p>
    <w:p>
      <w:pPr>
        <w:pStyle w:val="77"/>
        <w:widowControl/>
        <w:spacing w:line="360" w:lineRule="auto"/>
        <w:ind w:firstLine="562"/>
        <w:jc w:val="left"/>
        <w:rPr>
          <w:rFonts w:cs="宋体" w:asciiTheme="minorEastAsia" w:hAnsiTheme="minorEastAsia" w:eastAsiaTheme="minorEastAsia"/>
          <w:sz w:val="28"/>
          <w:szCs w:val="28"/>
        </w:rPr>
      </w:pPr>
      <w:r>
        <w:rPr>
          <w:rFonts w:hint="eastAsia" w:asciiTheme="minorEastAsia" w:hAnsiTheme="minorEastAsia" w:eastAsiaTheme="minorEastAsia" w:cstheme="minorEastAsia"/>
          <w:b/>
          <w:bCs/>
          <w:sz w:val="28"/>
          <w:szCs w:val="28"/>
        </w:rPr>
        <w:t>4</w:t>
      </w:r>
      <w:r>
        <w:rPr>
          <w:rFonts w:hint="eastAsia" w:cs="宋体" w:asciiTheme="minorEastAsia" w:hAnsiTheme="minorEastAsia" w:eastAsiaTheme="minorEastAsia"/>
          <w:sz w:val="28"/>
          <w:szCs w:val="28"/>
        </w:rPr>
        <w:t>公共空间内建筑小品、雕塑和公共艺术</w:t>
      </w:r>
      <w:r>
        <w:rPr>
          <w:rFonts w:hint="eastAsia" w:asciiTheme="minorEastAsia" w:hAnsiTheme="minorEastAsia" w:eastAsiaTheme="minorEastAsia" w:cstheme="minorEastAsia"/>
          <w:bCs/>
          <w:sz w:val="28"/>
          <w:szCs w:val="28"/>
        </w:rPr>
        <w:t>设计，应</w:t>
      </w:r>
      <w:r>
        <w:rPr>
          <w:rFonts w:hint="eastAsia" w:cs="宋体" w:asciiTheme="minorEastAsia" w:hAnsiTheme="minorEastAsia" w:eastAsiaTheme="minorEastAsia"/>
          <w:sz w:val="28"/>
          <w:szCs w:val="28"/>
        </w:rPr>
        <w:t>兼顾周边建筑体量和场所尺度，合理确定自身形式和规模；</w:t>
      </w:r>
    </w:p>
    <w:p>
      <w:pPr>
        <w:pStyle w:val="77"/>
        <w:widowControl/>
        <w:spacing w:line="360" w:lineRule="auto"/>
        <w:ind w:firstLine="562"/>
        <w:jc w:val="left"/>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5</w:t>
      </w:r>
      <w:r>
        <w:rPr>
          <w:rFonts w:hint="eastAsia" w:cs="宋体" w:asciiTheme="minorEastAsia" w:hAnsiTheme="minorEastAsia" w:eastAsiaTheme="minorEastAsia"/>
          <w:sz w:val="28"/>
          <w:szCs w:val="28"/>
        </w:rPr>
        <w:t>公共空间设计应体现岭南地域特色，契合深圳气候特征，彰显时代风貌，传承历史文脉；</w:t>
      </w:r>
    </w:p>
    <w:p>
      <w:pPr>
        <w:pStyle w:val="77"/>
        <w:widowControl/>
        <w:spacing w:line="360" w:lineRule="auto"/>
        <w:ind w:firstLine="562"/>
        <w:jc w:val="left"/>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6</w:t>
      </w:r>
      <w:r>
        <w:rPr>
          <w:rFonts w:hint="eastAsia" w:cs="宋体" w:asciiTheme="minorEastAsia" w:hAnsiTheme="minorEastAsia" w:eastAsiaTheme="minorEastAsia"/>
          <w:sz w:val="28"/>
          <w:szCs w:val="28"/>
        </w:rPr>
        <w:t>公共空间设计，宜充分考虑灰空间和灰表面的设计美化与合理利用；</w:t>
      </w:r>
    </w:p>
    <w:p>
      <w:pPr>
        <w:pStyle w:val="77"/>
        <w:widowControl/>
        <w:spacing w:line="360" w:lineRule="auto"/>
        <w:ind w:firstLine="562"/>
        <w:jc w:val="left"/>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7</w:t>
      </w:r>
      <w:r>
        <w:rPr>
          <w:rFonts w:hint="eastAsia" w:cs="宋体" w:asciiTheme="minorEastAsia" w:hAnsiTheme="minorEastAsia" w:eastAsiaTheme="minorEastAsia"/>
          <w:sz w:val="28"/>
          <w:szCs w:val="28"/>
        </w:rPr>
        <w:t>公共空间宜考虑外文标识系统设计；</w:t>
      </w:r>
    </w:p>
    <w:p>
      <w:pPr>
        <w:pStyle w:val="77"/>
        <w:widowControl/>
        <w:tabs>
          <w:tab w:val="left" w:pos="1134"/>
        </w:tabs>
        <w:spacing w:line="360" w:lineRule="auto"/>
        <w:ind w:firstLine="562"/>
        <w:jc w:val="left"/>
        <w:rPr>
          <w:rFonts w:cs="宋体" w:asciiTheme="minorEastAsia" w:hAnsiTheme="minorEastAsia" w:eastAsiaTheme="minorEastAsia"/>
          <w:sz w:val="28"/>
          <w:szCs w:val="28"/>
        </w:rPr>
      </w:pPr>
      <w:r>
        <w:rPr>
          <w:rFonts w:hint="eastAsia" w:asciiTheme="minorEastAsia" w:hAnsiTheme="minorEastAsia" w:eastAsiaTheme="minorEastAsia" w:cstheme="minorEastAsia"/>
          <w:b/>
          <w:bCs/>
          <w:sz w:val="28"/>
          <w:szCs w:val="28"/>
        </w:rPr>
        <w:t>8</w:t>
      </w:r>
      <w:r>
        <w:rPr>
          <w:rFonts w:hint="eastAsia" w:cs="宋体" w:asciiTheme="minorEastAsia" w:hAnsiTheme="minorEastAsia" w:eastAsiaTheme="minorEastAsia"/>
          <w:sz w:val="28"/>
          <w:szCs w:val="28"/>
        </w:rPr>
        <w:t>学校</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医院</w:t>
      </w:r>
      <w:r>
        <w:rPr>
          <w:rFonts w:cs="宋体" w:asciiTheme="minorEastAsia" w:hAnsiTheme="minorEastAsia" w:eastAsiaTheme="minorEastAsia"/>
          <w:sz w:val="28"/>
          <w:szCs w:val="28"/>
        </w:rPr>
        <w:t>、老年人建筑</w:t>
      </w:r>
      <w:r>
        <w:rPr>
          <w:rFonts w:hint="eastAsia" w:cs="宋体" w:asciiTheme="minorEastAsia" w:hAnsiTheme="minorEastAsia" w:eastAsiaTheme="minorEastAsia"/>
          <w:sz w:val="28"/>
          <w:szCs w:val="28"/>
        </w:rPr>
        <w:t>和大中型</w:t>
      </w:r>
      <w:r>
        <w:rPr>
          <w:rFonts w:cs="宋体" w:asciiTheme="minorEastAsia" w:hAnsiTheme="minorEastAsia" w:eastAsiaTheme="minorEastAsia"/>
          <w:sz w:val="28"/>
          <w:szCs w:val="28"/>
        </w:rPr>
        <w:t>公共建筑</w:t>
      </w:r>
      <w:r>
        <w:rPr>
          <w:rFonts w:hint="eastAsia" w:cs="宋体" w:asciiTheme="minorEastAsia" w:hAnsiTheme="minorEastAsia" w:eastAsiaTheme="minorEastAsia"/>
          <w:sz w:val="28"/>
          <w:szCs w:val="28"/>
        </w:rPr>
        <w:t>等通往附近地铁站出入口、公交站点或的士站点，应设慢行系统，并宜结合绿化景观、建筑</w:t>
      </w:r>
      <w:r>
        <w:rPr>
          <w:rFonts w:cs="宋体" w:asciiTheme="minorEastAsia" w:hAnsiTheme="minorEastAsia" w:eastAsiaTheme="minorEastAsia"/>
          <w:sz w:val="28"/>
          <w:szCs w:val="28"/>
        </w:rPr>
        <w:t>骑楼</w:t>
      </w: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挑檐</w:t>
      </w:r>
      <w:r>
        <w:rPr>
          <w:rFonts w:hint="eastAsia" w:cs="宋体" w:asciiTheme="minorEastAsia" w:hAnsiTheme="minorEastAsia" w:eastAsiaTheme="minorEastAsia"/>
          <w:sz w:val="28"/>
          <w:szCs w:val="28"/>
        </w:rPr>
        <w:t>，配置连续的防晒遮雨设施。</w:t>
      </w:r>
    </w:p>
    <w:p>
      <w:pPr>
        <w:spacing w:line="360" w:lineRule="auto"/>
        <w:rPr>
          <w:rFonts w:ascii="微软雅黑" w:hAnsi="微软雅黑" w:eastAsia="微软雅黑" w:cs="微软雅黑"/>
          <w:sz w:val="28"/>
          <w:szCs w:val="28"/>
        </w:rPr>
      </w:pPr>
      <w:r>
        <w:rPr>
          <w:rFonts w:hint="eastAsia" w:ascii="微软雅黑" w:hAnsi="微软雅黑" w:eastAsia="微软雅黑" w:cs="微软雅黑"/>
          <w:kern w:val="0"/>
          <w:sz w:val="28"/>
          <w:szCs w:val="28"/>
        </w:rPr>
        <w:t>【条文说明】</w:t>
      </w:r>
      <w:r>
        <w:rPr>
          <w:rFonts w:hint="eastAsia" w:ascii="微软雅黑" w:hAnsi="微软雅黑" w:eastAsia="微软雅黑" w:cs="微软雅黑"/>
          <w:b/>
          <w:bCs/>
          <w:kern w:val="0"/>
          <w:sz w:val="28"/>
          <w:szCs w:val="28"/>
        </w:rPr>
        <w:t xml:space="preserve">3.0.8 </w:t>
      </w:r>
      <w:r>
        <w:rPr>
          <w:rFonts w:hint="eastAsia" w:ascii="微软雅黑" w:hAnsi="微软雅黑" w:eastAsia="微软雅黑" w:cs="微软雅黑"/>
          <w:bCs/>
          <w:kern w:val="0"/>
          <w:sz w:val="28"/>
          <w:szCs w:val="28"/>
        </w:rPr>
        <w:t xml:space="preserve">第1款 </w:t>
      </w:r>
      <w:r>
        <w:rPr>
          <w:rFonts w:hint="eastAsia" w:ascii="微软雅黑" w:hAnsi="微软雅黑" w:eastAsia="微软雅黑" w:cs="微软雅黑"/>
          <w:kern w:val="0"/>
          <w:sz w:val="28"/>
          <w:szCs w:val="28"/>
        </w:rPr>
        <w:t>由于用地权属往往不同，城市公共空间设计经常出现仅考虑自身用地红线内情况，而忽略与周边地块和毗邻城市公共空间的顺畅衔接。为避免重点区域重现上述弊端，本款要求设计时应掌握及统筹相邻地块关系，创造互联互通、衔接顺畅的一体化公共空间。</w:t>
      </w:r>
    </w:p>
    <w:p>
      <w:pPr>
        <w:pStyle w:val="77"/>
        <w:widowControl/>
        <w:spacing w:line="360" w:lineRule="auto"/>
        <w:ind w:firstLine="700" w:firstLineChars="250"/>
        <w:jc w:val="left"/>
        <w:rPr>
          <w:rFonts w:ascii="微软雅黑" w:hAnsi="微软雅黑" w:eastAsia="微软雅黑" w:cs="微软雅黑"/>
          <w:sz w:val="28"/>
          <w:szCs w:val="28"/>
        </w:rPr>
      </w:pPr>
      <w:r>
        <w:rPr>
          <w:rFonts w:hint="eastAsia" w:ascii="微软雅黑" w:hAnsi="微软雅黑" w:eastAsia="微软雅黑" w:cs="微软雅黑"/>
          <w:kern w:val="0"/>
          <w:sz w:val="28"/>
          <w:szCs w:val="28"/>
        </w:rPr>
        <w:t>第2款 针对本市无障碍设施贯通性较差、设计细节考虑不周、民众体验不佳的通病，本款特提出无障碍设计原则性要求。</w:t>
      </w:r>
    </w:p>
    <w:p>
      <w:pPr>
        <w:pStyle w:val="77"/>
        <w:widowControl/>
        <w:tabs>
          <w:tab w:val="left" w:pos="993"/>
        </w:tabs>
        <w:spacing w:line="360" w:lineRule="auto"/>
        <w:ind w:left="142" w:firstLineChars="150"/>
        <w:jc w:val="left"/>
        <w:rPr>
          <w:rFonts w:ascii="微软雅黑" w:hAnsi="微软雅黑" w:eastAsia="微软雅黑" w:cs="微软雅黑"/>
          <w:sz w:val="28"/>
          <w:szCs w:val="28"/>
        </w:rPr>
      </w:pPr>
      <w:r>
        <w:rPr>
          <w:rFonts w:hint="eastAsia" w:ascii="微软雅黑" w:hAnsi="微软雅黑" w:eastAsia="微软雅黑" w:cs="微软雅黑"/>
          <w:sz w:val="28"/>
          <w:szCs w:val="28"/>
        </w:rPr>
        <w:t>第3款 当所衔接建设工程晚于空中步道建设的，空中步道设计应预留连接口，标注连接口坐标、标高、净宽和净高等参数，以便后续工程的顺接。</w:t>
      </w:r>
    </w:p>
    <w:p>
      <w:pPr>
        <w:spacing w:line="360" w:lineRule="auto"/>
        <w:ind w:firstLine="560" w:firstLineChars="200"/>
        <w:rPr>
          <w:rFonts w:cs="宋体" w:asciiTheme="minorEastAsia" w:hAnsiTheme="minorEastAsia" w:eastAsiaTheme="minorEastAsia"/>
          <w:color w:val="00B050"/>
          <w:sz w:val="28"/>
          <w:szCs w:val="28"/>
        </w:rPr>
      </w:pPr>
      <w:r>
        <w:rPr>
          <w:rFonts w:hint="eastAsia" w:ascii="微软雅黑" w:hAnsi="微软雅黑" w:eastAsia="微软雅黑" w:cs="微软雅黑"/>
          <w:sz w:val="28"/>
          <w:szCs w:val="28"/>
        </w:rPr>
        <w:t xml:space="preserve">第6款 </w:t>
      </w:r>
      <w:r>
        <w:rPr>
          <w:rFonts w:hint="eastAsia" w:ascii="微软雅黑" w:hAnsi="微软雅黑" w:eastAsia="微软雅黑" w:cs="微软雅黑"/>
          <w:kern w:val="0"/>
          <w:sz w:val="28"/>
          <w:szCs w:val="28"/>
        </w:rPr>
        <w:t>公共空间应注重精细化设计。本条要求，对于通常易被忽略但又影响城市形象的“三不管”空间（表面），宜进行统筹美化设计和合理利用。</w:t>
      </w:r>
      <w:r>
        <w:rPr>
          <w:rFonts w:hint="eastAsia" w:ascii="微软雅黑" w:hAnsi="微软雅黑" w:eastAsia="微软雅黑" w:cs="微软雅黑"/>
          <w:sz w:val="28"/>
          <w:szCs w:val="28"/>
        </w:rPr>
        <w:t>本条灰空间系指地下空间，以及诸如桥梁、人行天桥、空中步道等工程设施的下方空间，灰表面系指室外设备房、桥墩、栏杆、电箱、灯杆、井盖、盖板等公共设备设施的外表面。“设计美化”手法可包括增设绿化景观和公共艺术表现等；“合理利用”主要是指开辟休闲活动或自行车停放场地等。</w:t>
      </w:r>
    </w:p>
    <w:p>
      <w:pPr>
        <w:pStyle w:val="77"/>
        <w:widowControl/>
        <w:spacing w:line="360" w:lineRule="auto"/>
        <w:ind w:firstLine="560"/>
        <w:jc w:val="left"/>
        <w:rPr>
          <w:rFonts w:eastAsia="微软雅黑" w:cs="宋体" w:asciiTheme="minorEastAsia" w:hAnsiTheme="minorEastAsia"/>
          <w:sz w:val="28"/>
          <w:szCs w:val="28"/>
        </w:rPr>
      </w:pPr>
      <w:r>
        <w:rPr>
          <w:rFonts w:hint="eastAsia" w:ascii="微软雅黑" w:hAnsi="微软雅黑" w:eastAsia="微软雅黑" w:cs="微软雅黑"/>
          <w:sz w:val="28"/>
          <w:szCs w:val="28"/>
        </w:rPr>
        <w:t xml:space="preserve">第7款 </w:t>
      </w:r>
      <w:r>
        <w:rPr>
          <w:rFonts w:hint="eastAsia" w:ascii="微软雅黑" w:hAnsi="微软雅黑" w:eastAsia="微软雅黑" w:cs="微软雅黑"/>
          <w:kern w:val="0"/>
          <w:sz w:val="28"/>
          <w:szCs w:val="28"/>
        </w:rPr>
        <w:t>为建设国际化现代化城市，公共空间外文标识系统设计至关重要。</w:t>
      </w:r>
    </w:p>
    <w:p>
      <w:pPr>
        <w:pStyle w:val="77"/>
        <w:widowControl/>
        <w:tabs>
          <w:tab w:val="left" w:pos="1134"/>
        </w:tabs>
        <w:spacing w:line="360" w:lineRule="auto"/>
        <w:ind w:firstLine="560"/>
        <w:jc w:val="left"/>
        <w:rPr>
          <w:rFonts w:ascii="微软雅黑" w:hAnsi="微软雅黑" w:eastAsia="微软雅黑" w:cs="微软雅黑"/>
          <w:sz w:val="28"/>
          <w:szCs w:val="28"/>
        </w:rPr>
      </w:pPr>
      <w:r>
        <w:rPr>
          <w:rFonts w:hint="eastAsia" w:ascii="微软雅黑" w:hAnsi="微软雅黑" w:eastAsia="微软雅黑" w:cs="微软雅黑"/>
          <w:kern w:val="0"/>
          <w:sz w:val="28"/>
          <w:szCs w:val="28"/>
        </w:rPr>
        <w:t>第8款 本条对于通往交通站点的人行道设置作出原则性规定，并结合本市地域气候特点，提出设置遮荫等人性化设施，便于全天候出行。</w:t>
      </w:r>
    </w:p>
    <w:p>
      <w:pPr>
        <w:spacing w:line="360" w:lineRule="auto"/>
        <w:rPr>
          <w:rFonts w:ascii="宋体" w:hAnsi="宋体"/>
          <w:b/>
          <w:bCs/>
          <w:sz w:val="28"/>
          <w:szCs w:val="28"/>
        </w:rPr>
      </w:pPr>
      <w:bookmarkStart w:id="5" w:name="_Toc1556927"/>
      <w:bookmarkStart w:id="6" w:name="_Toc263782945"/>
      <w:bookmarkStart w:id="7" w:name="_Toc250383292"/>
      <w:bookmarkStart w:id="8" w:name="_Toc246431513"/>
      <w:bookmarkStart w:id="9" w:name="_Toc246155679"/>
      <w:bookmarkStart w:id="10" w:name="_Toc231009966"/>
      <w:bookmarkStart w:id="11" w:name="_Toc248809015"/>
      <w:bookmarkStart w:id="12" w:name="_Toc263782946"/>
      <w:bookmarkStart w:id="13" w:name="_Toc231009969"/>
      <w:r>
        <w:rPr>
          <w:rFonts w:hint="eastAsia" w:ascii="宋体" w:hAnsi="宋体"/>
          <w:b/>
          <w:bCs/>
          <w:sz w:val="28"/>
          <w:szCs w:val="28"/>
        </w:rPr>
        <w:t xml:space="preserve">3.0.9 </w:t>
      </w:r>
      <w:r>
        <w:rPr>
          <w:rFonts w:hint="eastAsia" w:ascii="宋体" w:hAnsi="宋体"/>
          <w:bCs/>
          <w:sz w:val="28"/>
          <w:szCs w:val="28"/>
        </w:rPr>
        <w:t>建设工程海绵城市设施设计，应符合下列规定：</w:t>
      </w:r>
    </w:p>
    <w:p>
      <w:pPr>
        <w:spacing w:line="360" w:lineRule="auto"/>
        <w:ind w:firstLine="702" w:firstLineChars="250"/>
        <w:rPr>
          <w:rFonts w:ascii="宋体" w:hAnsi="宋体" w:cs="宋体"/>
          <w:bCs/>
          <w:kern w:val="0"/>
          <w:sz w:val="28"/>
          <w:szCs w:val="28"/>
        </w:rPr>
      </w:pPr>
      <w:r>
        <w:rPr>
          <w:rFonts w:hint="eastAsia" w:ascii="宋体" w:hAnsi="宋体" w:cs="宋体"/>
          <w:b/>
          <w:kern w:val="0"/>
          <w:sz w:val="28"/>
          <w:szCs w:val="28"/>
        </w:rPr>
        <w:t>1</w:t>
      </w:r>
      <w:r>
        <w:rPr>
          <w:rFonts w:hint="eastAsia" w:ascii="宋体" w:hAnsi="宋体" w:cs="宋体"/>
          <w:bCs/>
          <w:kern w:val="0"/>
          <w:sz w:val="28"/>
          <w:szCs w:val="28"/>
        </w:rPr>
        <w:t>未列入海绵</w:t>
      </w:r>
      <w:r>
        <w:rPr>
          <w:rFonts w:ascii="宋体" w:hAnsi="宋体" w:cs="宋体"/>
          <w:bCs/>
          <w:kern w:val="0"/>
          <w:sz w:val="28"/>
          <w:szCs w:val="28"/>
        </w:rPr>
        <w:t>城市建设</w:t>
      </w:r>
      <w:r>
        <w:rPr>
          <w:rFonts w:hint="eastAsia" w:ascii="宋体" w:hAnsi="宋体" w:cs="宋体"/>
          <w:bCs/>
          <w:kern w:val="0"/>
          <w:sz w:val="28"/>
          <w:szCs w:val="28"/>
        </w:rPr>
        <w:t>豁免清单的建筑工程（含房屋建筑本体和建筑小区）、城市道路、</w:t>
      </w:r>
      <w:r>
        <w:rPr>
          <w:rFonts w:ascii="宋体" w:hAnsi="宋体" w:cs="宋体"/>
          <w:bCs/>
          <w:kern w:val="0"/>
          <w:sz w:val="28"/>
          <w:szCs w:val="28"/>
        </w:rPr>
        <w:t>公园绿地、</w:t>
      </w:r>
      <w:r>
        <w:rPr>
          <w:rFonts w:hint="eastAsia" w:ascii="宋体" w:hAnsi="宋体" w:cs="宋体"/>
          <w:bCs/>
          <w:kern w:val="0"/>
          <w:sz w:val="28"/>
          <w:szCs w:val="28"/>
        </w:rPr>
        <w:t>城市水系等</w:t>
      </w:r>
      <w:r>
        <w:rPr>
          <w:rFonts w:ascii="宋体" w:hAnsi="宋体" w:cs="宋体"/>
          <w:bCs/>
          <w:kern w:val="0"/>
          <w:sz w:val="28"/>
          <w:szCs w:val="28"/>
        </w:rPr>
        <w:t>建设</w:t>
      </w:r>
      <w:r>
        <w:rPr>
          <w:rFonts w:hint="eastAsia" w:ascii="宋体" w:hAnsi="宋体" w:cs="宋体"/>
          <w:bCs/>
          <w:kern w:val="0"/>
          <w:sz w:val="28"/>
          <w:szCs w:val="28"/>
        </w:rPr>
        <w:t>项目，应进行海绵城市设施（可简称海绵设施）设计；</w:t>
      </w:r>
    </w:p>
    <w:p>
      <w:pPr>
        <w:spacing w:line="360" w:lineRule="auto"/>
        <w:ind w:firstLine="562" w:firstLineChars="200"/>
        <w:rPr>
          <w:rFonts w:ascii="宋体" w:hAnsi="宋体" w:cs="宋体"/>
          <w:kern w:val="0"/>
          <w:sz w:val="28"/>
          <w:szCs w:val="28"/>
        </w:rPr>
      </w:pPr>
      <w:r>
        <w:rPr>
          <w:rFonts w:hint="eastAsia" w:ascii="宋体" w:hAnsi="宋体" w:cs="宋体"/>
          <w:b/>
          <w:kern w:val="0"/>
          <w:sz w:val="28"/>
          <w:szCs w:val="28"/>
        </w:rPr>
        <w:t xml:space="preserve">2 </w:t>
      </w:r>
      <w:r>
        <w:rPr>
          <w:rFonts w:hint="eastAsia" w:ascii="宋体" w:hAnsi="宋体" w:cs="宋体"/>
          <w:kern w:val="0"/>
          <w:sz w:val="28"/>
          <w:szCs w:val="28"/>
        </w:rPr>
        <w:t>未列于海绵</w:t>
      </w:r>
      <w:r>
        <w:rPr>
          <w:rFonts w:ascii="宋体" w:hAnsi="宋体" w:cs="宋体"/>
          <w:kern w:val="0"/>
          <w:sz w:val="28"/>
          <w:szCs w:val="28"/>
        </w:rPr>
        <w:t>城市建设</w:t>
      </w:r>
      <w:r>
        <w:rPr>
          <w:rFonts w:hint="eastAsia" w:ascii="宋体" w:hAnsi="宋体" w:cs="宋体"/>
          <w:kern w:val="0"/>
          <w:sz w:val="28"/>
          <w:szCs w:val="28"/>
        </w:rPr>
        <w:t>豁免清单的建设项目，设计应遵循本市相应海绵城市建设控制性指标，并可因地制宜提高指标要求；</w:t>
      </w:r>
    </w:p>
    <w:p>
      <w:pPr>
        <w:spacing w:line="360" w:lineRule="auto"/>
        <w:ind w:firstLine="562" w:firstLineChars="200"/>
        <w:rPr>
          <w:rFonts w:ascii="宋体" w:hAnsi="宋体" w:cs="宋体"/>
          <w:bCs/>
          <w:kern w:val="0"/>
          <w:sz w:val="28"/>
          <w:szCs w:val="28"/>
        </w:rPr>
      </w:pPr>
      <w:r>
        <w:rPr>
          <w:rFonts w:hint="eastAsia" w:ascii="宋体" w:hAnsi="宋体" w:cs="宋体"/>
          <w:b/>
          <w:kern w:val="0"/>
          <w:sz w:val="28"/>
          <w:szCs w:val="28"/>
        </w:rPr>
        <w:t>3</w:t>
      </w:r>
      <w:r>
        <w:rPr>
          <w:rFonts w:hint="eastAsia" w:ascii="宋体" w:hAnsi="宋体" w:cs="宋体"/>
          <w:kern w:val="0"/>
          <w:sz w:val="28"/>
          <w:szCs w:val="28"/>
        </w:rPr>
        <w:t xml:space="preserve"> </w:t>
      </w:r>
      <w:r>
        <w:rPr>
          <w:rFonts w:hint="eastAsia" w:ascii="宋体" w:hAnsi="宋体" w:cs="宋体"/>
          <w:bCs/>
          <w:kern w:val="0"/>
          <w:sz w:val="28"/>
          <w:szCs w:val="28"/>
        </w:rPr>
        <w:t>海绵设施设计，应通过模型模拟等方法对方案进行评估比选；</w:t>
      </w:r>
    </w:p>
    <w:p>
      <w:pPr>
        <w:spacing w:line="360" w:lineRule="auto"/>
        <w:ind w:firstLine="562" w:firstLineChars="200"/>
        <w:rPr>
          <w:rFonts w:ascii="宋体" w:hAnsi="宋体" w:cs="宋体"/>
          <w:kern w:val="0"/>
          <w:sz w:val="28"/>
          <w:szCs w:val="28"/>
        </w:rPr>
      </w:pPr>
      <w:r>
        <w:rPr>
          <w:rFonts w:hint="eastAsia" w:ascii="宋体" w:hAnsi="宋体" w:cs="宋体"/>
          <w:b/>
          <w:kern w:val="0"/>
          <w:sz w:val="28"/>
          <w:szCs w:val="28"/>
        </w:rPr>
        <w:t xml:space="preserve">4 </w:t>
      </w:r>
      <w:r>
        <w:rPr>
          <w:rFonts w:hint="eastAsia" w:ascii="宋体" w:hAnsi="宋体" w:cs="宋体"/>
          <w:kern w:val="0"/>
          <w:sz w:val="28"/>
          <w:szCs w:val="28"/>
        </w:rPr>
        <w:t>海绵城市设计，应优先利用自然海绵城市设施；</w:t>
      </w:r>
    </w:p>
    <w:p>
      <w:pPr>
        <w:spacing w:line="360" w:lineRule="auto"/>
        <w:ind w:firstLine="562" w:firstLineChars="200"/>
        <w:rPr>
          <w:rFonts w:ascii="宋体" w:hAnsi="宋体" w:cs="宋体"/>
          <w:kern w:val="0"/>
          <w:sz w:val="28"/>
          <w:szCs w:val="28"/>
        </w:rPr>
      </w:pPr>
      <w:r>
        <w:rPr>
          <w:rFonts w:hint="eastAsia" w:ascii="宋体" w:hAnsi="宋体" w:cs="宋体"/>
          <w:b/>
          <w:kern w:val="0"/>
          <w:sz w:val="28"/>
          <w:szCs w:val="28"/>
        </w:rPr>
        <w:t>5</w:t>
      </w:r>
      <w:r>
        <w:rPr>
          <w:rFonts w:hint="eastAsia" w:ascii="宋体" w:hAnsi="宋体" w:cs="宋体"/>
          <w:kern w:val="0"/>
          <w:sz w:val="28"/>
          <w:szCs w:val="28"/>
        </w:rPr>
        <w:t xml:space="preserve"> 海绵设施设置，不应降低自身常规排水系统设计标准，不应妨碍建设工程安全和人身安全；</w:t>
      </w:r>
    </w:p>
    <w:p>
      <w:pPr>
        <w:spacing w:line="360" w:lineRule="auto"/>
        <w:ind w:firstLine="562" w:firstLineChars="200"/>
        <w:rPr>
          <w:rFonts w:ascii="宋体" w:hAnsi="宋体" w:cs="宋体"/>
          <w:kern w:val="0"/>
          <w:sz w:val="28"/>
          <w:szCs w:val="28"/>
        </w:rPr>
      </w:pPr>
      <w:r>
        <w:rPr>
          <w:rFonts w:hint="eastAsia" w:ascii="宋体" w:hAnsi="宋体" w:cs="宋体"/>
          <w:b/>
          <w:kern w:val="0"/>
          <w:sz w:val="28"/>
          <w:szCs w:val="28"/>
        </w:rPr>
        <w:t xml:space="preserve">6 </w:t>
      </w:r>
      <w:r>
        <w:rPr>
          <w:rFonts w:hint="eastAsia" w:ascii="宋体" w:hAnsi="宋体" w:cs="宋体"/>
          <w:kern w:val="0"/>
          <w:sz w:val="28"/>
          <w:szCs w:val="28"/>
        </w:rPr>
        <w:t>海绵城市设计所选用植物，应与海绵设施匹配。</w:t>
      </w:r>
    </w:p>
    <w:p>
      <w:pPr>
        <w:spacing w:line="360" w:lineRule="auto"/>
        <w:jc w:val="left"/>
        <w:rPr>
          <w:rFonts w:ascii="宋体" w:hAnsi="宋体" w:cs="宋体"/>
          <w:bCs/>
          <w:kern w:val="0"/>
          <w:sz w:val="28"/>
          <w:szCs w:val="28"/>
        </w:rPr>
      </w:pPr>
      <w:r>
        <w:rPr>
          <w:rFonts w:hint="eastAsia" w:ascii="微软雅黑" w:hAnsi="微软雅黑" w:eastAsia="微软雅黑" w:cs="微软雅黑"/>
          <w:bCs/>
          <w:kern w:val="0"/>
          <w:sz w:val="28"/>
          <w:szCs w:val="28"/>
        </w:rPr>
        <w:t>【条文说明】</w:t>
      </w:r>
      <w:r>
        <w:rPr>
          <w:rFonts w:hint="eastAsia" w:ascii="微软雅黑" w:hAnsi="微软雅黑" w:eastAsia="微软雅黑" w:cs="微软雅黑"/>
          <w:b/>
          <w:kern w:val="0"/>
          <w:sz w:val="28"/>
          <w:szCs w:val="28"/>
        </w:rPr>
        <w:t xml:space="preserve">3.0.9  </w:t>
      </w:r>
      <w:r>
        <w:rPr>
          <w:rFonts w:hint="eastAsia" w:ascii="微软雅黑" w:hAnsi="微软雅黑" w:eastAsia="微软雅黑" w:cs="微软雅黑"/>
          <w:kern w:val="0"/>
          <w:sz w:val="28"/>
          <w:szCs w:val="28"/>
        </w:rPr>
        <w:t>第1款 本款所谓海绵城市建设豁免清单，由市教育局、市工业和信息化局、市住房建设局、市交通运输局、市水务局、市卫生健康委、市城管和综合执法局、市建筑工务署等8家部门联合印发。</w:t>
      </w:r>
    </w:p>
    <w:p>
      <w:pPr>
        <w:spacing w:line="360" w:lineRule="auto"/>
        <w:ind w:firstLine="700" w:firstLineChars="250"/>
        <w:jc w:val="left"/>
        <w:rPr>
          <w:rFonts w:ascii="微软雅黑" w:hAnsi="微软雅黑" w:eastAsia="微软雅黑" w:cs="微软雅黑"/>
          <w:kern w:val="0"/>
          <w:sz w:val="28"/>
          <w:szCs w:val="28"/>
        </w:rPr>
      </w:pPr>
      <w:r>
        <w:rPr>
          <w:rFonts w:hint="eastAsia" w:ascii="微软雅黑" w:hAnsi="微软雅黑" w:eastAsia="微软雅黑" w:cs="微软雅黑"/>
          <w:bCs/>
          <w:kern w:val="0"/>
          <w:sz w:val="28"/>
          <w:szCs w:val="28"/>
        </w:rPr>
        <w:t xml:space="preserve">第2款 </w:t>
      </w:r>
      <w:r>
        <w:rPr>
          <w:rFonts w:hint="eastAsia" w:ascii="微软雅黑" w:hAnsi="微软雅黑" w:eastAsia="微软雅黑" w:cs="微软雅黑"/>
          <w:kern w:val="0"/>
          <w:sz w:val="28"/>
          <w:szCs w:val="28"/>
        </w:rPr>
        <w:t>对于列入海绵城市建设豁免清单的特殊建设项目，应参照《关于实施本市建设项目海绵城市管控指标豁免清单管理的意见》（深海绵办2018〔110〕号）执行。其他各类建设项目在进行海绵设施设计时，应满足该项目规划指标要求或本市有关工程建设标准的指标要求（也应符合本导则要求）。</w:t>
      </w:r>
    </w:p>
    <w:p>
      <w:pPr>
        <w:spacing w:line="360" w:lineRule="auto"/>
        <w:ind w:firstLine="560" w:firstLineChars="200"/>
        <w:jc w:val="left"/>
        <w:rPr>
          <w:rFonts w:ascii="微软雅黑" w:hAnsi="微软雅黑" w:eastAsia="微软雅黑" w:cs="微软雅黑"/>
          <w:bCs/>
          <w:kern w:val="0"/>
          <w:sz w:val="28"/>
          <w:szCs w:val="28"/>
        </w:rPr>
      </w:pPr>
      <w:r>
        <w:rPr>
          <w:rFonts w:hint="eastAsia" w:ascii="微软雅黑" w:hAnsi="微软雅黑" w:eastAsia="微软雅黑" w:cs="微软雅黑"/>
          <w:bCs/>
          <w:kern w:val="0"/>
          <w:sz w:val="28"/>
          <w:szCs w:val="28"/>
        </w:rPr>
        <w:t xml:space="preserve">第3款 </w:t>
      </w:r>
      <w:r>
        <w:rPr>
          <w:rFonts w:hint="eastAsia" w:ascii="微软雅黑" w:hAnsi="微软雅黑" w:eastAsia="微软雅黑" w:cs="微软雅黑"/>
          <w:kern w:val="0"/>
          <w:sz w:val="28"/>
          <w:szCs w:val="28"/>
        </w:rPr>
        <w:t>本款源自《海绵城市建设评价标准》GB 51345-2018第5.1.1条。</w:t>
      </w:r>
    </w:p>
    <w:p>
      <w:pPr>
        <w:spacing w:line="360" w:lineRule="auto"/>
        <w:ind w:firstLine="560" w:firstLineChars="200"/>
        <w:jc w:val="left"/>
        <w:rPr>
          <w:rFonts w:ascii="微软雅黑" w:hAnsi="微软雅黑" w:eastAsia="微软雅黑" w:cs="微软雅黑"/>
          <w:kern w:val="0"/>
          <w:sz w:val="28"/>
          <w:szCs w:val="28"/>
        </w:rPr>
      </w:pPr>
      <w:r>
        <w:rPr>
          <w:rFonts w:hint="eastAsia" w:ascii="微软雅黑" w:hAnsi="微软雅黑" w:eastAsia="微软雅黑" w:cs="微软雅黑"/>
          <w:bCs/>
          <w:kern w:val="0"/>
          <w:sz w:val="28"/>
          <w:szCs w:val="28"/>
        </w:rPr>
        <w:t xml:space="preserve">第4款 </w:t>
      </w:r>
      <w:r>
        <w:rPr>
          <w:rFonts w:hint="eastAsia" w:ascii="微软雅黑" w:hAnsi="微软雅黑" w:eastAsia="微软雅黑" w:cs="微软雅黑"/>
          <w:kern w:val="0"/>
          <w:sz w:val="28"/>
          <w:szCs w:val="28"/>
        </w:rPr>
        <w:t>海绵设施设计，应充分结合现状地形地貌，进行场地与设施布局，注意保护并合理利用场地内原有湿地、坑塘、沟渠等。</w:t>
      </w:r>
    </w:p>
    <w:p>
      <w:pPr>
        <w:spacing w:line="360" w:lineRule="auto"/>
        <w:ind w:firstLine="420" w:firstLineChars="150"/>
        <w:jc w:val="left"/>
        <w:rPr>
          <w:rFonts w:ascii="微软雅黑" w:hAnsi="微软雅黑" w:eastAsia="微软雅黑" w:cs="微软雅黑"/>
          <w:kern w:val="0"/>
          <w:sz w:val="28"/>
          <w:szCs w:val="28"/>
        </w:rPr>
      </w:pPr>
      <w:r>
        <w:rPr>
          <w:rFonts w:hint="eastAsia" w:ascii="微软雅黑" w:hAnsi="微软雅黑" w:eastAsia="微软雅黑" w:cs="微软雅黑"/>
          <w:bCs/>
          <w:kern w:val="0"/>
          <w:sz w:val="28"/>
          <w:szCs w:val="28"/>
        </w:rPr>
        <w:t xml:space="preserve">第5款 </w:t>
      </w:r>
      <w:r>
        <w:rPr>
          <w:rFonts w:hint="eastAsia" w:ascii="微软雅黑" w:hAnsi="微软雅黑" w:eastAsia="微软雅黑" w:cs="微软雅黑"/>
          <w:kern w:val="0"/>
          <w:sz w:val="28"/>
          <w:szCs w:val="28"/>
        </w:rPr>
        <w:t>本款旨在防止因持续或超量降雨使得海绵设施可能超负荷而造成内涝。在设置海绵设施时，尚应合理选用构造措施和种植植物等，保障本体结构安全、防水安全和人身安全。</w:t>
      </w:r>
    </w:p>
    <w:p>
      <w:pPr>
        <w:spacing w:line="360" w:lineRule="auto"/>
        <w:ind w:firstLine="700" w:firstLineChars="250"/>
        <w:rPr>
          <w:rFonts w:ascii="微软雅黑" w:hAnsi="微软雅黑" w:eastAsia="微软雅黑" w:cs="微软雅黑"/>
          <w:kern w:val="0"/>
          <w:sz w:val="28"/>
          <w:szCs w:val="28"/>
        </w:rPr>
      </w:pPr>
      <w:r>
        <w:rPr>
          <w:rFonts w:hint="eastAsia" w:ascii="微软雅黑" w:hAnsi="微软雅黑" w:eastAsia="微软雅黑" w:cs="微软雅黑"/>
          <w:bCs/>
          <w:kern w:val="0"/>
          <w:sz w:val="28"/>
          <w:szCs w:val="28"/>
        </w:rPr>
        <w:t xml:space="preserve">第6款 </w:t>
      </w:r>
      <w:r>
        <w:rPr>
          <w:rFonts w:hint="eastAsia" w:ascii="微软雅黑" w:hAnsi="微软雅黑" w:eastAsia="微软雅黑" w:cs="微软雅黑"/>
          <w:kern w:val="0"/>
          <w:sz w:val="28"/>
          <w:szCs w:val="28"/>
        </w:rPr>
        <w:t>海绵设施相匹配植物的</w:t>
      </w:r>
      <w:r>
        <w:rPr>
          <w:rFonts w:hint="eastAsia" w:ascii="微软雅黑" w:hAnsi="微软雅黑" w:eastAsia="微软雅黑" w:cs="微软雅黑"/>
          <w:bCs/>
          <w:kern w:val="0"/>
          <w:sz w:val="28"/>
          <w:szCs w:val="28"/>
        </w:rPr>
        <w:t>设计选用</w:t>
      </w:r>
      <w:r>
        <w:rPr>
          <w:rFonts w:hint="eastAsia" w:ascii="微软雅黑" w:hAnsi="微软雅黑" w:eastAsia="微软雅黑" w:cs="微软雅黑"/>
          <w:kern w:val="0"/>
          <w:sz w:val="28"/>
          <w:szCs w:val="28"/>
        </w:rPr>
        <w:t>，一般应符合下列规定：（1）应以乡土植物为主；（2）应能适应海绵设施环境条件生长，并利于海绵设施发挥相应的雨洪管理功效；（3）斜坡、向阳面等小气候较干燥地区，尽量选择抗风、耐旱的植物种类；（4）以草本植物配置为主的海绵设施，应注重不同颜色、质感、植株高矮的搭配（通常而言，草本种植密度越大，净化效果越显著）；（5）宜以卵石、细碎石、石块或木屑作为土壤覆盖层，降低蒸发量，并与植物搭配，营造细部景观；（6）传输设施宜种植草皮、地被等低矮植物，增强型传输设施可增加草本花卉、观赏草等植物种类；传输设施不应种植乔木及较大灌木；（7）调蓄水塘宜种植水生植物或湿生植物。表面流雨水湿地，宜在深水区、浅水区、护坡、出水池周边种植水生植物。调蓄水塘和雨水湿地护坡上部铺设草皮的，宜优先采用草皮移植。</w:t>
      </w:r>
    </w:p>
    <w:p>
      <w:pPr>
        <w:widowControl/>
        <w:spacing w:line="360" w:lineRule="auto"/>
        <w:outlineLvl w:val="0"/>
        <w:rPr>
          <w:rFonts w:asciiTheme="minorEastAsia" w:hAnsiTheme="minorEastAsia" w:eastAsiaTheme="minorEastAsia"/>
          <w:b/>
          <w:bCs/>
          <w:kern w:val="44"/>
          <w:sz w:val="28"/>
          <w:szCs w:val="28"/>
        </w:rPr>
      </w:pPr>
    </w:p>
    <w:p>
      <w:pPr>
        <w:pStyle w:val="2"/>
        <w:pageBreakBefore/>
        <w:rPr>
          <w:szCs w:val="32"/>
        </w:rPr>
      </w:pPr>
      <w:bookmarkStart w:id="14" w:name="_Toc12470"/>
      <w:r>
        <w:rPr>
          <w:rFonts w:hint="eastAsia"/>
          <w:szCs w:val="32"/>
        </w:rPr>
        <w:t>4 建设原则及标准</w:t>
      </w:r>
      <w:bookmarkEnd w:id="14"/>
      <w:r>
        <w:rPr>
          <w:rFonts w:hint="eastAsia"/>
          <w:szCs w:val="32"/>
        </w:rPr>
        <w:t xml:space="preserve"> </w:t>
      </w:r>
    </w:p>
    <w:p>
      <w:pPr>
        <w:pStyle w:val="3"/>
      </w:pPr>
      <w:bookmarkStart w:id="15" w:name="_Toc20646"/>
      <w:r>
        <w:rPr>
          <w:rFonts w:hint="eastAsia"/>
        </w:rPr>
        <w:t>4.1</w:t>
      </w:r>
      <w:bookmarkEnd w:id="5"/>
      <w:bookmarkEnd w:id="6"/>
      <w:bookmarkEnd w:id="7"/>
      <w:r>
        <w:rPr>
          <w:rFonts w:hint="eastAsia"/>
        </w:rPr>
        <w:t>建筑工程</w:t>
      </w:r>
      <w:bookmarkEnd w:id="15"/>
    </w:p>
    <w:p>
      <w:pPr>
        <w:spacing w:line="360" w:lineRule="auto"/>
        <w:jc w:val="left"/>
        <w:rPr>
          <w:rFonts w:ascii="宋体" w:hAnsi="宋体" w:cs="宋体"/>
          <w:kern w:val="0"/>
          <w:sz w:val="28"/>
          <w:szCs w:val="28"/>
        </w:rPr>
      </w:pPr>
      <w:r>
        <w:rPr>
          <w:rFonts w:hint="eastAsia" w:ascii="宋体" w:hAnsi="宋体" w:cs="宋体"/>
          <w:b/>
          <w:kern w:val="0"/>
          <w:sz w:val="28"/>
          <w:szCs w:val="28"/>
        </w:rPr>
        <w:t>4.1.1</w:t>
      </w:r>
      <w:r>
        <w:rPr>
          <w:rFonts w:hint="eastAsia" w:ascii="宋体" w:hAnsi="宋体" w:cs="宋体"/>
          <w:kern w:val="0"/>
          <w:sz w:val="28"/>
          <w:szCs w:val="28"/>
        </w:rPr>
        <w:t xml:space="preserve"> 建筑工程设计，应以适用、经济、绿色、美观、智慧和安全为基本原则。</w:t>
      </w:r>
    </w:p>
    <w:p>
      <w:pPr>
        <w:spacing w:line="360" w:lineRule="auto"/>
        <w:jc w:val="left"/>
        <w:rPr>
          <w:rFonts w:ascii="宋体" w:hAnsi="宋体" w:cs="宋体"/>
          <w:kern w:val="0"/>
          <w:sz w:val="28"/>
          <w:szCs w:val="28"/>
        </w:rPr>
      </w:pPr>
      <w:r>
        <w:rPr>
          <w:rFonts w:hint="eastAsia" w:ascii="宋体" w:hAnsi="宋体" w:cs="宋体"/>
          <w:b/>
          <w:kern w:val="0"/>
          <w:sz w:val="28"/>
          <w:szCs w:val="28"/>
        </w:rPr>
        <w:t xml:space="preserve">4.1.2 </w:t>
      </w:r>
      <w:r>
        <w:rPr>
          <w:rFonts w:hint="eastAsia" w:ascii="宋体" w:hAnsi="宋体" w:cs="宋体"/>
          <w:kern w:val="0"/>
          <w:sz w:val="28"/>
          <w:szCs w:val="28"/>
        </w:rPr>
        <w:t>建筑工程应按下列绿色建筑标准进行设计：</w:t>
      </w:r>
    </w:p>
    <w:p>
      <w:pPr>
        <w:pStyle w:val="44"/>
        <w:spacing w:before="0" w:beforeAutospacing="0" w:after="0" w:afterAutospacing="0" w:line="360" w:lineRule="auto"/>
        <w:ind w:firstLine="421" w:firstLineChars="150"/>
        <w:rPr>
          <w:kern w:val="2"/>
          <w:sz w:val="28"/>
          <w:szCs w:val="28"/>
        </w:rPr>
      </w:pPr>
      <w:r>
        <w:rPr>
          <w:rFonts w:hint="eastAsia"/>
          <w:b/>
          <w:kern w:val="2"/>
          <w:sz w:val="28"/>
          <w:szCs w:val="28"/>
        </w:rPr>
        <w:t>1</w:t>
      </w:r>
      <w:r>
        <w:rPr>
          <w:rFonts w:hint="eastAsia"/>
          <w:kern w:val="2"/>
          <w:sz w:val="28"/>
          <w:szCs w:val="28"/>
        </w:rPr>
        <w:t>居住建筑、公共建筑和新型产业建筑，应至少达到现行国标绿色建筑评价一星级；</w:t>
      </w:r>
    </w:p>
    <w:p>
      <w:pPr>
        <w:pStyle w:val="44"/>
        <w:spacing w:before="0" w:beforeAutospacing="0" w:after="0" w:afterAutospacing="0" w:line="360" w:lineRule="auto"/>
        <w:ind w:firstLine="421" w:firstLineChars="150"/>
        <w:rPr>
          <w:kern w:val="2"/>
          <w:sz w:val="28"/>
          <w:szCs w:val="28"/>
        </w:rPr>
      </w:pPr>
      <w:r>
        <w:rPr>
          <w:rFonts w:hint="eastAsia"/>
          <w:b/>
          <w:kern w:val="2"/>
          <w:sz w:val="28"/>
          <w:szCs w:val="28"/>
        </w:rPr>
        <w:t>2</w:t>
      </w:r>
      <w:r>
        <w:rPr>
          <w:rFonts w:hint="eastAsia"/>
          <w:kern w:val="2"/>
          <w:sz w:val="28"/>
          <w:szCs w:val="28"/>
        </w:rPr>
        <w:t>大型公共建筑和标志性公共建筑，应至少达到现行国标绿色建筑评价二星级；</w:t>
      </w:r>
    </w:p>
    <w:p>
      <w:pPr>
        <w:pStyle w:val="44"/>
        <w:spacing w:before="0" w:beforeAutospacing="0" w:after="0" w:afterAutospacing="0" w:line="360" w:lineRule="auto"/>
        <w:ind w:firstLine="421" w:firstLineChars="150"/>
        <w:rPr>
          <w:sz w:val="28"/>
          <w:szCs w:val="28"/>
        </w:rPr>
      </w:pPr>
      <w:r>
        <w:rPr>
          <w:rFonts w:hint="eastAsia"/>
          <w:b/>
          <w:kern w:val="2"/>
          <w:sz w:val="28"/>
          <w:szCs w:val="28"/>
        </w:rPr>
        <w:t xml:space="preserve">3 </w:t>
      </w:r>
      <w:r>
        <w:rPr>
          <w:rFonts w:hint="eastAsia"/>
          <w:kern w:val="2"/>
          <w:sz w:val="28"/>
          <w:szCs w:val="28"/>
        </w:rPr>
        <w:t>厂房、仓库和物流建筑，应至少达到现行国标绿色工业建筑评价一星级。</w:t>
      </w:r>
    </w:p>
    <w:p>
      <w:pPr>
        <w:spacing w:line="360" w:lineRule="auto"/>
        <w:jc w:val="left"/>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【条文说明】</w:t>
      </w:r>
      <w:r>
        <w:rPr>
          <w:rFonts w:hint="eastAsia" w:ascii="微软雅黑" w:hAnsi="微软雅黑" w:eastAsia="微软雅黑" w:cs="微软雅黑"/>
          <w:b/>
          <w:bCs/>
          <w:kern w:val="0"/>
          <w:sz w:val="28"/>
          <w:szCs w:val="28"/>
        </w:rPr>
        <w:t xml:space="preserve">4.1.2 </w:t>
      </w:r>
      <w:r>
        <w:rPr>
          <w:rFonts w:hint="eastAsia" w:ascii="微软雅黑" w:hAnsi="微软雅黑" w:eastAsia="微软雅黑" w:cs="微软雅黑"/>
          <w:kern w:val="0"/>
          <w:sz w:val="28"/>
          <w:szCs w:val="28"/>
        </w:rPr>
        <w:t>《深圳市绿色建筑促进办法》（深圳市人民政府令第253号)第六条规定：“本市行政区域内新建民用建筑，应当依照本办法规定进行规划、建设和运营，遵守国家和本市绿色建筑的技术标准和技术规范，至少达到绿色建筑评价标识国家一星级或者深圳市铜级的要求。鼓励大型公共建筑和标志性建筑按照绿色建筑评价标识国家二星级以上或者深圳市金级以上标准进行规划、建设和运营。鼓励其他建筑按照绿色建筑标准进行规划、建设和运营”。</w:t>
      </w:r>
    </w:p>
    <w:p>
      <w:pPr>
        <w:pStyle w:val="77"/>
        <w:widowControl/>
        <w:tabs>
          <w:tab w:val="left" w:pos="1276"/>
        </w:tabs>
        <w:spacing w:line="360" w:lineRule="auto"/>
        <w:ind w:firstLine="0" w:firstLineChars="0"/>
        <w:jc w:val="left"/>
        <w:rPr>
          <w:rFonts w:ascii="微软雅黑" w:hAnsi="微软雅黑" w:eastAsia="微软雅黑" w:cs="微软雅黑"/>
          <w:b/>
          <w:sz w:val="28"/>
          <w:szCs w:val="28"/>
        </w:rPr>
      </w:pPr>
      <w:r>
        <w:rPr>
          <w:rFonts w:hint="eastAsia" w:ascii="微软雅黑" w:hAnsi="微软雅黑" w:eastAsia="微软雅黑" w:cs="微软雅黑"/>
          <w:b/>
          <w:sz w:val="28"/>
          <w:szCs w:val="28"/>
        </w:rPr>
        <w:t xml:space="preserve">   </w:t>
      </w:r>
      <w:r>
        <w:rPr>
          <w:rFonts w:hint="eastAsia" w:ascii="微软雅黑" w:hAnsi="微软雅黑" w:eastAsia="微软雅黑" w:cs="微软雅黑"/>
          <w:bCs/>
          <w:sz w:val="28"/>
          <w:szCs w:val="28"/>
        </w:rPr>
        <w:t xml:space="preserve"> 本条明确新型产业建筑应至少达到现行国标绿色建筑评价一星级，而厂房、仓库和物流建筑则应至少达到现行国标绿色工业建筑评价一星级。</w:t>
      </w:r>
    </w:p>
    <w:p>
      <w:pPr>
        <w:pStyle w:val="77"/>
        <w:widowControl/>
        <w:tabs>
          <w:tab w:val="left" w:pos="1276"/>
        </w:tabs>
        <w:spacing w:line="360" w:lineRule="auto"/>
        <w:ind w:firstLine="0" w:firstLineChars="0"/>
        <w:jc w:val="left"/>
        <w:rPr>
          <w:rFonts w:ascii="宋体" w:hAnsi="宋体" w:cs="宋体"/>
          <w:color w:val="00B0F0"/>
          <w:sz w:val="28"/>
          <w:szCs w:val="28"/>
        </w:rPr>
      </w:pPr>
      <w:r>
        <w:rPr>
          <w:rFonts w:hint="eastAsia" w:ascii="宋体" w:hAnsi="宋体" w:cs="宋体"/>
          <w:b/>
          <w:sz w:val="28"/>
          <w:szCs w:val="28"/>
        </w:rPr>
        <w:t xml:space="preserve">4.1.3 </w:t>
      </w:r>
      <w:r>
        <w:rPr>
          <w:rFonts w:hint="eastAsia" w:ascii="宋体" w:hAnsi="宋体" w:cs="宋体"/>
          <w:sz w:val="28"/>
          <w:szCs w:val="28"/>
        </w:rPr>
        <w:t>重要节点处和地标性公共建筑，可进行建筑立面专题研究及设计。</w:t>
      </w:r>
    </w:p>
    <w:p>
      <w:pPr>
        <w:spacing w:line="360" w:lineRule="auto"/>
        <w:rPr>
          <w:rFonts w:ascii="微软雅黑" w:hAnsi="微软雅黑" w:eastAsia="微软雅黑" w:cs="微软雅黑"/>
          <w:sz w:val="28"/>
          <w:szCs w:val="28"/>
        </w:rPr>
      </w:pPr>
      <w:r>
        <w:rPr>
          <w:rFonts w:hint="eastAsia" w:ascii="微软雅黑" w:hAnsi="微软雅黑" w:eastAsia="微软雅黑" w:cs="微软雅黑"/>
          <w:b/>
          <w:bCs/>
          <w:sz w:val="28"/>
          <w:szCs w:val="28"/>
        </w:rPr>
        <w:t>【条文说明】</w:t>
      </w:r>
      <w:r>
        <w:rPr>
          <w:rFonts w:hint="eastAsia" w:ascii="微软雅黑" w:hAnsi="微软雅黑" w:eastAsia="微软雅黑" w:cs="微软雅黑"/>
          <w:b/>
          <w:sz w:val="28"/>
          <w:szCs w:val="28"/>
        </w:rPr>
        <w:t xml:space="preserve">4.1.3 </w:t>
      </w:r>
      <w:r>
        <w:rPr>
          <w:rFonts w:hint="eastAsia" w:ascii="微软雅黑" w:hAnsi="微软雅黑" w:eastAsia="微软雅黑" w:cs="微软雅黑"/>
          <w:kern w:val="0"/>
          <w:sz w:val="28"/>
          <w:szCs w:val="28"/>
        </w:rPr>
        <w:t>为全面落实“适用、经济、绿色、美观”新时代建筑方针，本条提出重点区域应探索多种举措，着力创造富有吸引力、具有充分工程美感的公共空间，提升建筑综合品质。</w:t>
      </w:r>
    </w:p>
    <w:p>
      <w:pPr>
        <w:pStyle w:val="77"/>
        <w:widowControl/>
        <w:tabs>
          <w:tab w:val="left" w:pos="1276"/>
        </w:tabs>
        <w:spacing w:line="360" w:lineRule="auto"/>
        <w:ind w:firstLine="0" w:firstLineChars="0"/>
        <w:jc w:val="left"/>
        <w:rPr>
          <w:rFonts w:ascii="宋体" w:hAnsi="宋体" w:cs="宋体"/>
          <w:b/>
          <w:sz w:val="28"/>
          <w:szCs w:val="28"/>
        </w:rPr>
      </w:pPr>
      <w:r>
        <w:rPr>
          <w:rFonts w:hint="eastAsia" w:ascii="宋体" w:hAnsi="宋体" w:cs="宋体"/>
          <w:b/>
          <w:bCs/>
          <w:sz w:val="28"/>
          <w:szCs w:val="28"/>
        </w:rPr>
        <w:t xml:space="preserve">4.1.4 </w:t>
      </w:r>
      <w:r>
        <w:rPr>
          <w:rFonts w:hint="eastAsia" w:ascii="宋体" w:hAnsi="宋体" w:cs="宋体"/>
          <w:sz w:val="28"/>
          <w:szCs w:val="28"/>
        </w:rPr>
        <w:t>建筑工程设计，</w:t>
      </w:r>
      <w:r>
        <w:rPr>
          <w:rFonts w:hint="eastAsia" w:cs="宋体"/>
          <w:sz w:val="28"/>
          <w:szCs w:val="28"/>
        </w:rPr>
        <w:t>应</w:t>
      </w:r>
      <w:r>
        <w:rPr>
          <w:rFonts w:hint="eastAsia" w:ascii="宋体" w:hAnsi="宋体" w:cs="宋体"/>
          <w:sz w:val="28"/>
          <w:szCs w:val="28"/>
        </w:rPr>
        <w:t>以提升建筑本体智能层级、优化建筑科技体验、强化建筑安全措施、</w:t>
      </w:r>
      <w:r>
        <w:rPr>
          <w:rFonts w:hint="eastAsia" w:cs="宋体"/>
          <w:sz w:val="28"/>
          <w:szCs w:val="28"/>
        </w:rPr>
        <w:t>无缝对接</w:t>
      </w:r>
      <w:r>
        <w:rPr>
          <w:rFonts w:hint="eastAsia" w:ascii="宋体" w:hAnsi="宋体" w:cs="宋体"/>
          <w:sz w:val="28"/>
          <w:szCs w:val="28"/>
        </w:rPr>
        <w:t>智慧城市为</w:t>
      </w:r>
      <w:r>
        <w:rPr>
          <w:rFonts w:hint="eastAsia" w:cs="宋体"/>
          <w:sz w:val="28"/>
          <w:szCs w:val="28"/>
        </w:rPr>
        <w:t>重要</w:t>
      </w:r>
      <w:r>
        <w:rPr>
          <w:rFonts w:hint="eastAsia" w:ascii="宋体" w:hAnsi="宋体" w:cs="宋体"/>
          <w:sz w:val="28"/>
          <w:szCs w:val="28"/>
        </w:rPr>
        <w:t>原则，并</w:t>
      </w:r>
      <w:r>
        <w:rPr>
          <w:rFonts w:hint="eastAsia" w:ascii="宋体" w:hAnsi="宋体" w:cs="宋体"/>
          <w:kern w:val="0"/>
          <w:sz w:val="28"/>
          <w:szCs w:val="28"/>
        </w:rPr>
        <w:t>按本导则智慧建筑标准进行设计。</w:t>
      </w:r>
    </w:p>
    <w:p>
      <w:pPr>
        <w:pStyle w:val="77"/>
        <w:widowControl/>
        <w:tabs>
          <w:tab w:val="left" w:pos="1276"/>
        </w:tabs>
        <w:spacing w:line="360" w:lineRule="auto"/>
        <w:ind w:firstLine="0" w:firstLineChars="0"/>
        <w:jc w:val="left"/>
        <w:rPr>
          <w:rFonts w:ascii="微软雅黑" w:hAnsi="微软雅黑" w:eastAsia="微软雅黑" w:cs="微软雅黑"/>
          <w:sz w:val="28"/>
          <w:szCs w:val="28"/>
        </w:rPr>
      </w:pPr>
      <w:r>
        <w:rPr>
          <w:rFonts w:hint="eastAsia" w:ascii="微软雅黑" w:hAnsi="微软雅黑" w:eastAsia="微软雅黑" w:cs="微软雅黑"/>
          <w:sz w:val="28"/>
          <w:szCs w:val="28"/>
        </w:rPr>
        <w:t>【条文说明】</w:t>
      </w:r>
      <w:r>
        <w:rPr>
          <w:rFonts w:hint="eastAsia" w:ascii="微软雅黑" w:hAnsi="微软雅黑" w:eastAsia="微软雅黑" w:cs="微软雅黑"/>
          <w:b/>
          <w:bCs/>
          <w:sz w:val="28"/>
          <w:szCs w:val="28"/>
        </w:rPr>
        <w:t xml:space="preserve">4.1.4 </w:t>
      </w:r>
      <w:r>
        <w:rPr>
          <w:rFonts w:hint="eastAsia" w:ascii="微软雅黑" w:hAnsi="微软雅黑" w:eastAsia="微软雅黑" w:cs="微软雅黑"/>
          <w:sz w:val="28"/>
          <w:szCs w:val="28"/>
        </w:rPr>
        <w:t>智慧建筑所设智能化系统应能实现技术先进、功能实用、安全高效、经济合理、运营顺畅和体验上佳。其具体配置标准，原则上可将现行《智能建筑设计标准》GB 50314相应建设标准（“可”条或“宜”条）适当提升。此外，本导则条款中也增设有若干新兴智能化系统和BIM、物联网等技术应用内容。</w:t>
      </w:r>
    </w:p>
    <w:p>
      <w:pPr>
        <w:widowControl/>
        <w:spacing w:line="360" w:lineRule="auto"/>
        <w:jc w:val="left"/>
        <w:rPr>
          <w:rFonts w:ascii="宋体" w:hAnsi="宋体" w:cs="宋体"/>
          <w:bCs/>
          <w:kern w:val="0"/>
          <w:sz w:val="28"/>
          <w:szCs w:val="28"/>
        </w:rPr>
      </w:pPr>
      <w:r>
        <w:rPr>
          <w:rFonts w:hint="eastAsia" w:ascii="宋体" w:hAnsi="宋体" w:cs="宋体"/>
          <w:b/>
          <w:bCs/>
          <w:kern w:val="0"/>
          <w:sz w:val="28"/>
          <w:szCs w:val="28"/>
        </w:rPr>
        <w:t xml:space="preserve">4.1.5 </w:t>
      </w:r>
      <w:r>
        <w:rPr>
          <w:rFonts w:hint="eastAsia" w:ascii="宋体" w:hAnsi="宋体" w:cs="宋体"/>
          <w:bCs/>
          <w:kern w:val="0"/>
          <w:sz w:val="28"/>
          <w:szCs w:val="28"/>
        </w:rPr>
        <w:t>居住建筑和建筑面积达到《深圳市装配式建筑发展专项规划（2018-2020）》规定规模的公共建筑、厂房和研发用房，应按装配式建筑进行设计和建造。鼓励单体建筑面积3万平方米及以上新建仓库和物流建筑，按装配式建筑进行设计和建造。</w:t>
      </w:r>
    </w:p>
    <w:p>
      <w:pPr>
        <w:widowControl/>
        <w:spacing w:line="360" w:lineRule="auto"/>
        <w:jc w:val="left"/>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【条文说明】</w:t>
      </w:r>
      <w:r>
        <w:rPr>
          <w:rFonts w:hint="eastAsia" w:ascii="微软雅黑" w:hAnsi="微软雅黑" w:eastAsia="微软雅黑" w:cs="微软雅黑"/>
          <w:b/>
          <w:bCs/>
          <w:kern w:val="0"/>
          <w:sz w:val="28"/>
          <w:szCs w:val="28"/>
        </w:rPr>
        <w:t xml:space="preserve">4.1.5 </w:t>
      </w:r>
      <w:r>
        <w:rPr>
          <w:rFonts w:hint="eastAsia" w:ascii="微软雅黑" w:hAnsi="微软雅黑" w:eastAsia="微软雅黑" w:cs="微软雅黑"/>
          <w:kern w:val="0"/>
          <w:sz w:val="28"/>
          <w:szCs w:val="28"/>
        </w:rPr>
        <w:t>根据《深圳市装配式建筑发展专项规划（2018-2020）》（深建字〔2018〕27号）要求，在新出让的住宅用地项目和人才房、保障性住房项目全面实施装配式建筑的基础上，2019年起，建筑面积5万平方米及以上新建公共建筑、厂房和研发用房100%实施装配式建筑；2020年起，建筑面积3万平方米及以上新建公共建筑、厂房和研发用房100%实施装配式建筑。</w:t>
      </w:r>
    </w:p>
    <w:p>
      <w:pPr>
        <w:widowControl/>
        <w:spacing w:line="360" w:lineRule="auto"/>
        <w:jc w:val="left"/>
        <w:rPr>
          <w:rFonts w:ascii="宋体" w:hAnsi="宋体" w:cs="宋体"/>
          <w:b/>
          <w:bCs/>
          <w:color w:val="00B050"/>
          <w:kern w:val="0"/>
          <w:sz w:val="28"/>
          <w:szCs w:val="28"/>
        </w:rPr>
      </w:pPr>
      <w:r>
        <w:rPr>
          <w:rFonts w:hint="eastAsia" w:ascii="宋体" w:hAnsi="宋体" w:cs="宋体"/>
          <w:b/>
          <w:bCs/>
          <w:color w:val="00B050"/>
          <w:kern w:val="0"/>
          <w:sz w:val="28"/>
          <w:szCs w:val="28"/>
        </w:rPr>
        <w:t xml:space="preserve">   </w:t>
      </w:r>
      <w:r>
        <w:rPr>
          <w:rFonts w:hint="eastAsia" w:ascii="微软雅黑" w:hAnsi="微软雅黑" w:eastAsia="微软雅黑" w:cs="微软雅黑"/>
          <w:kern w:val="0"/>
          <w:sz w:val="28"/>
          <w:szCs w:val="28"/>
        </w:rPr>
        <w:t>本条侧重对于仓库和物流建筑的建造模式提出建议。</w:t>
      </w:r>
    </w:p>
    <w:p>
      <w:pPr>
        <w:pStyle w:val="114"/>
        <w:spacing w:line="360" w:lineRule="auto"/>
        <w:outlineLvl w:val="3"/>
        <w:rPr>
          <w:rFonts w:ascii="宋体" w:hAnsi="宋体" w:eastAsia="宋体" w:cs="宋体"/>
          <w:color w:val="auto"/>
          <w:kern w:val="2"/>
          <w:sz w:val="28"/>
          <w:szCs w:val="28"/>
        </w:rPr>
      </w:pPr>
      <w:r>
        <w:rPr>
          <w:rFonts w:hint="eastAsia" w:ascii="宋体" w:hAnsi="宋体" w:eastAsia="宋体" w:cs="宋体"/>
          <w:b/>
          <w:color w:val="auto"/>
          <w:kern w:val="2"/>
          <w:sz w:val="28"/>
          <w:szCs w:val="28"/>
        </w:rPr>
        <w:t xml:space="preserve">4.1.6 </w:t>
      </w:r>
      <w:r>
        <w:rPr>
          <w:rFonts w:hint="eastAsia" w:ascii="宋体" w:hAnsi="宋体" w:eastAsia="宋体" w:cs="宋体"/>
          <w:color w:val="auto"/>
          <w:kern w:val="2"/>
          <w:sz w:val="28"/>
          <w:szCs w:val="28"/>
        </w:rPr>
        <w:t>建筑工程设计应保障工程及使用安全。建筑、结构、机电等各专业应进行精细化设计，并采取经济可靠的技术措施。</w:t>
      </w:r>
    </w:p>
    <w:p>
      <w:pPr>
        <w:pStyle w:val="114"/>
        <w:spacing w:line="360" w:lineRule="auto"/>
        <w:outlineLvl w:val="1"/>
        <w:rPr>
          <w:rFonts w:ascii="宋体" w:hAnsi="宋体" w:eastAsia="宋体" w:cs="宋体"/>
          <w:b/>
          <w:color w:val="00B050"/>
          <w:kern w:val="2"/>
          <w:sz w:val="28"/>
          <w:szCs w:val="28"/>
        </w:rPr>
      </w:pPr>
      <w:r>
        <w:rPr>
          <w:rFonts w:hint="eastAsia" w:ascii="宋体" w:hAnsi="宋体" w:eastAsia="宋体" w:cs="宋体"/>
          <w:color w:val="00B050"/>
          <w:kern w:val="2"/>
          <w:sz w:val="28"/>
          <w:szCs w:val="28"/>
        </w:rPr>
        <w:t xml:space="preserve">                   </w:t>
      </w:r>
      <w:r>
        <w:rPr>
          <w:rFonts w:hint="eastAsia" w:ascii="宋体" w:hAnsi="宋体" w:eastAsia="宋体" w:cs="宋体"/>
          <w:b/>
          <w:color w:val="00B050"/>
          <w:kern w:val="2"/>
          <w:sz w:val="28"/>
          <w:szCs w:val="28"/>
        </w:rPr>
        <w:t xml:space="preserve">     </w:t>
      </w:r>
      <w:r>
        <w:rPr>
          <w:rFonts w:hint="eastAsia" w:cs="Times New Roman" w:asciiTheme="minorEastAsia" w:hAnsiTheme="minorEastAsia" w:eastAsiaTheme="minorEastAsia"/>
          <w:b/>
          <w:bCs/>
          <w:kern w:val="44"/>
          <w:sz w:val="28"/>
          <w:szCs w:val="28"/>
        </w:rPr>
        <w:t xml:space="preserve"> </w:t>
      </w:r>
      <w:bookmarkStart w:id="16" w:name="_Toc13310"/>
      <w:r>
        <w:rPr>
          <w:rFonts w:hint="eastAsia" w:cs="Times New Roman" w:asciiTheme="minorEastAsia" w:hAnsiTheme="minorEastAsia" w:eastAsiaTheme="minorEastAsia"/>
          <w:b/>
          <w:bCs/>
          <w:kern w:val="44"/>
          <w:sz w:val="28"/>
          <w:szCs w:val="28"/>
        </w:rPr>
        <w:t>4.2 市政工程</w:t>
      </w:r>
      <w:bookmarkEnd w:id="16"/>
    </w:p>
    <w:p>
      <w:pPr>
        <w:pStyle w:val="44"/>
        <w:spacing w:before="0" w:beforeAutospacing="0" w:after="0" w:afterAutospacing="0" w:line="360" w:lineRule="auto"/>
        <w:rPr>
          <w:sz w:val="28"/>
          <w:szCs w:val="28"/>
        </w:rPr>
      </w:pPr>
      <w:r>
        <w:rPr>
          <w:rFonts w:hint="eastAsia"/>
          <w:b/>
          <w:sz w:val="28"/>
          <w:szCs w:val="28"/>
        </w:rPr>
        <w:t>4.2.1</w:t>
      </w:r>
      <w:r>
        <w:rPr>
          <w:rFonts w:hint="eastAsia"/>
          <w:sz w:val="28"/>
          <w:szCs w:val="28"/>
        </w:rPr>
        <w:t xml:space="preserve"> </w:t>
      </w:r>
      <w:r>
        <w:rPr>
          <w:rFonts w:hint="eastAsia"/>
          <w:bCs/>
          <w:sz w:val="28"/>
          <w:szCs w:val="28"/>
        </w:rPr>
        <w:t>道路桥隧工程设计，</w:t>
      </w:r>
      <w:r>
        <w:rPr>
          <w:rFonts w:hint="eastAsia"/>
          <w:sz w:val="28"/>
          <w:szCs w:val="28"/>
        </w:rPr>
        <w:t>应符合下列原则：</w:t>
      </w:r>
    </w:p>
    <w:p>
      <w:pPr>
        <w:pStyle w:val="44"/>
        <w:spacing w:before="0" w:beforeAutospacing="0" w:after="0" w:afterAutospacing="0" w:line="360" w:lineRule="auto"/>
        <w:ind w:firstLine="562" w:firstLineChars="200"/>
        <w:rPr>
          <w:sz w:val="28"/>
          <w:szCs w:val="28"/>
        </w:rPr>
      </w:pPr>
      <w:r>
        <w:rPr>
          <w:rFonts w:hint="eastAsia"/>
          <w:b/>
          <w:sz w:val="28"/>
          <w:szCs w:val="28"/>
        </w:rPr>
        <w:t>1</w:t>
      </w:r>
      <w:r>
        <w:rPr>
          <w:rFonts w:hint="eastAsia"/>
          <w:sz w:val="28"/>
          <w:szCs w:val="28"/>
        </w:rPr>
        <w:t xml:space="preserve"> 除道路车行功能外，应注重慢行系统完善，为道路各类使用主体提供公平路权；</w:t>
      </w:r>
    </w:p>
    <w:p>
      <w:pPr>
        <w:pStyle w:val="44"/>
        <w:spacing w:before="0" w:beforeAutospacing="0" w:after="0" w:afterAutospacing="0" w:line="360" w:lineRule="auto"/>
        <w:ind w:firstLine="562" w:firstLineChars="200"/>
        <w:rPr>
          <w:sz w:val="28"/>
          <w:szCs w:val="28"/>
        </w:rPr>
      </w:pPr>
      <w:r>
        <w:rPr>
          <w:rFonts w:hint="eastAsia"/>
          <w:b/>
          <w:sz w:val="28"/>
          <w:szCs w:val="28"/>
        </w:rPr>
        <w:t>2</w:t>
      </w:r>
      <w:r>
        <w:rPr>
          <w:rFonts w:hint="eastAsia"/>
          <w:sz w:val="28"/>
          <w:szCs w:val="28"/>
        </w:rPr>
        <w:t>应注重保护、利用、美化自然生态环境和历史文化资源，与周边环境融合,促进城市和谐发展；</w:t>
      </w:r>
    </w:p>
    <w:p>
      <w:pPr>
        <w:pStyle w:val="44"/>
        <w:spacing w:before="0" w:beforeAutospacing="0" w:after="0" w:afterAutospacing="0" w:line="360" w:lineRule="auto"/>
        <w:ind w:firstLine="562" w:firstLineChars="200"/>
        <w:rPr>
          <w:sz w:val="28"/>
          <w:szCs w:val="28"/>
        </w:rPr>
      </w:pPr>
      <w:bookmarkStart w:id="17" w:name="OLE_LINK3"/>
      <w:bookmarkStart w:id="18" w:name="OLE_LINK5"/>
      <w:bookmarkStart w:id="19" w:name="OLE_LINK4"/>
      <w:bookmarkStart w:id="20" w:name="OLE_LINK6"/>
      <w:r>
        <w:rPr>
          <w:rFonts w:hint="eastAsia"/>
          <w:b/>
          <w:sz w:val="28"/>
          <w:szCs w:val="28"/>
        </w:rPr>
        <w:t>3</w:t>
      </w:r>
      <w:bookmarkEnd w:id="17"/>
      <w:bookmarkEnd w:id="18"/>
      <w:bookmarkEnd w:id="19"/>
      <w:bookmarkEnd w:id="20"/>
      <w:r>
        <w:rPr>
          <w:rFonts w:hint="eastAsia"/>
          <w:sz w:val="28"/>
          <w:szCs w:val="28"/>
        </w:rPr>
        <w:t>应符合海绵城市建设和水土保持的要求；</w:t>
      </w:r>
    </w:p>
    <w:p>
      <w:pPr>
        <w:pStyle w:val="44"/>
        <w:spacing w:before="0" w:beforeAutospacing="0" w:after="0" w:afterAutospacing="0" w:line="360" w:lineRule="auto"/>
        <w:ind w:firstLine="562" w:firstLineChars="200"/>
        <w:rPr>
          <w:sz w:val="28"/>
          <w:szCs w:val="28"/>
        </w:rPr>
      </w:pPr>
      <w:r>
        <w:rPr>
          <w:rFonts w:hint="eastAsia"/>
          <w:b/>
          <w:sz w:val="28"/>
          <w:szCs w:val="28"/>
        </w:rPr>
        <w:t>4</w:t>
      </w:r>
      <w:r>
        <w:rPr>
          <w:rFonts w:hint="eastAsia"/>
          <w:sz w:val="28"/>
          <w:szCs w:val="28"/>
        </w:rPr>
        <w:t>桥梁工程设计应树立全寿命周期可持续发展的理念，并宜优先采用预制装配式技术。</w:t>
      </w:r>
    </w:p>
    <w:p>
      <w:pPr>
        <w:pStyle w:val="44"/>
        <w:spacing w:before="0" w:beforeAutospacing="0" w:after="0" w:afterAutospacing="0" w:line="360" w:lineRule="auto"/>
        <w:rPr>
          <w:rFonts w:ascii="微软雅黑" w:hAnsi="微软雅黑" w:eastAsia="微软雅黑" w:cs="微软雅黑"/>
          <w:bCs/>
          <w:sz w:val="28"/>
          <w:szCs w:val="28"/>
        </w:rPr>
      </w:pPr>
      <w:r>
        <w:rPr>
          <w:rFonts w:hint="eastAsia" w:ascii="微软雅黑" w:hAnsi="微软雅黑" w:eastAsia="微软雅黑" w:cs="微软雅黑"/>
          <w:sz w:val="28"/>
          <w:szCs w:val="28"/>
        </w:rPr>
        <w:t>【条文说明】</w:t>
      </w:r>
      <w:r>
        <w:rPr>
          <w:rFonts w:hint="eastAsia" w:ascii="微软雅黑" w:hAnsi="微软雅黑" w:eastAsia="微软雅黑" w:cs="微软雅黑"/>
          <w:b/>
          <w:sz w:val="28"/>
          <w:szCs w:val="28"/>
        </w:rPr>
        <w:t>4.2.1</w:t>
      </w:r>
      <w:r>
        <w:rPr>
          <w:rFonts w:hint="eastAsia" w:ascii="微软雅黑" w:hAnsi="微软雅黑" w:eastAsia="微软雅黑" w:cs="微软雅黑"/>
          <w:sz w:val="28"/>
          <w:szCs w:val="28"/>
        </w:rPr>
        <w:t xml:space="preserve"> </w:t>
      </w:r>
      <w:r>
        <w:rPr>
          <w:rFonts w:hint="eastAsia" w:ascii="微软雅黑" w:hAnsi="微软雅黑" w:eastAsia="微软雅黑" w:cs="微软雅黑"/>
          <w:bCs/>
          <w:sz w:val="28"/>
          <w:szCs w:val="28"/>
        </w:rPr>
        <w:t>第4款 桥梁工程设计方案的确定，应综合考虑建设、运营、管理养护和拆除再利用等各类成本，并从自然资源、社会资源和社会效益等方面进行综合研究。为减少对城市交通和周边环境的影响，加快施工进度、保证施工质量和桥型美观，新建城市桥梁宜优先采用预制装配式技术。</w:t>
      </w:r>
    </w:p>
    <w:p>
      <w:pPr>
        <w:pStyle w:val="44"/>
        <w:spacing w:before="0" w:beforeAutospacing="0" w:after="0" w:afterAutospacing="0" w:line="360" w:lineRule="auto"/>
        <w:rPr>
          <w:sz w:val="28"/>
          <w:szCs w:val="28"/>
        </w:rPr>
      </w:pPr>
      <w:r>
        <w:rPr>
          <w:rFonts w:hint="eastAsia"/>
          <w:b/>
          <w:bCs/>
          <w:sz w:val="28"/>
          <w:szCs w:val="28"/>
        </w:rPr>
        <w:t xml:space="preserve">4.2.2 </w:t>
      </w:r>
      <w:r>
        <w:rPr>
          <w:rFonts w:hint="eastAsia"/>
          <w:sz w:val="28"/>
          <w:szCs w:val="28"/>
        </w:rPr>
        <w:t>轨道交通工程设计，应符合下列原则：</w:t>
      </w:r>
    </w:p>
    <w:p>
      <w:pPr>
        <w:pStyle w:val="44"/>
        <w:spacing w:before="0" w:beforeAutospacing="0" w:after="0" w:afterAutospacing="0" w:line="360" w:lineRule="auto"/>
        <w:ind w:firstLine="562" w:firstLineChars="200"/>
        <w:rPr>
          <w:sz w:val="28"/>
          <w:szCs w:val="28"/>
        </w:rPr>
      </w:pPr>
      <w:r>
        <w:rPr>
          <w:rFonts w:hint="eastAsia"/>
          <w:b/>
          <w:bCs/>
          <w:sz w:val="28"/>
          <w:szCs w:val="28"/>
        </w:rPr>
        <w:t>1</w:t>
      </w:r>
      <w:r>
        <w:rPr>
          <w:rFonts w:hint="eastAsia"/>
          <w:sz w:val="28"/>
          <w:szCs w:val="28"/>
        </w:rPr>
        <w:t>应预留后续建设接口；</w:t>
      </w:r>
    </w:p>
    <w:p>
      <w:pPr>
        <w:pStyle w:val="44"/>
        <w:spacing w:before="0" w:beforeAutospacing="0" w:after="0" w:afterAutospacing="0" w:line="360" w:lineRule="auto"/>
        <w:ind w:firstLine="562" w:firstLineChars="200"/>
        <w:rPr>
          <w:sz w:val="28"/>
          <w:szCs w:val="28"/>
        </w:rPr>
      </w:pPr>
      <w:r>
        <w:rPr>
          <w:rFonts w:hint="eastAsia"/>
          <w:b/>
          <w:bCs/>
          <w:sz w:val="28"/>
          <w:szCs w:val="28"/>
        </w:rPr>
        <w:t xml:space="preserve">2 </w:t>
      </w:r>
      <w:r>
        <w:rPr>
          <w:rFonts w:hint="eastAsia"/>
          <w:sz w:val="28"/>
          <w:szCs w:val="28"/>
        </w:rPr>
        <w:t>应采取降噪、减振、防淹和泄压等环保安全措施；</w:t>
      </w:r>
    </w:p>
    <w:p>
      <w:pPr>
        <w:pStyle w:val="44"/>
        <w:spacing w:before="0" w:beforeAutospacing="0" w:after="0" w:afterAutospacing="0" w:line="360" w:lineRule="auto"/>
        <w:ind w:firstLine="562" w:firstLineChars="200"/>
        <w:rPr>
          <w:sz w:val="28"/>
          <w:szCs w:val="28"/>
        </w:rPr>
      </w:pPr>
      <w:r>
        <w:rPr>
          <w:rFonts w:hint="eastAsia"/>
          <w:b/>
          <w:bCs/>
          <w:sz w:val="28"/>
          <w:szCs w:val="28"/>
        </w:rPr>
        <w:t xml:space="preserve">3 </w:t>
      </w:r>
      <w:r>
        <w:rPr>
          <w:rFonts w:hint="eastAsia"/>
          <w:sz w:val="28"/>
          <w:szCs w:val="28"/>
        </w:rPr>
        <w:t>车站应做好人性化关怀设施、标识系统和工程美学的设计；</w:t>
      </w:r>
    </w:p>
    <w:p>
      <w:pPr>
        <w:pStyle w:val="44"/>
        <w:spacing w:before="0" w:beforeAutospacing="0" w:after="0" w:afterAutospacing="0" w:line="360" w:lineRule="auto"/>
        <w:ind w:firstLine="562" w:firstLineChars="200"/>
        <w:rPr>
          <w:sz w:val="28"/>
          <w:szCs w:val="28"/>
        </w:rPr>
      </w:pPr>
      <w:r>
        <w:rPr>
          <w:rFonts w:hint="eastAsia"/>
          <w:b/>
          <w:bCs/>
          <w:sz w:val="28"/>
          <w:szCs w:val="28"/>
        </w:rPr>
        <w:t xml:space="preserve">4 </w:t>
      </w:r>
      <w:r>
        <w:rPr>
          <w:rFonts w:hint="eastAsia"/>
          <w:sz w:val="28"/>
          <w:szCs w:val="28"/>
        </w:rPr>
        <w:t>应为智慧化运营配置（或预留）物理空间和基础设施。</w:t>
      </w:r>
    </w:p>
    <w:p>
      <w:pPr>
        <w:pStyle w:val="114"/>
        <w:spacing w:line="360" w:lineRule="auto"/>
        <w:outlineLvl w:val="3"/>
        <w:rPr>
          <w:rFonts w:ascii="宋体" w:hAnsi="宋体" w:eastAsia="宋体" w:cs="宋体"/>
          <w:color w:val="auto"/>
          <w:sz w:val="28"/>
          <w:szCs w:val="28"/>
        </w:rPr>
      </w:pPr>
      <w:r>
        <w:rPr>
          <w:rFonts w:hint="eastAsia" w:ascii="宋体" w:hAnsi="宋体" w:eastAsia="宋体" w:cs="宋体"/>
          <w:b/>
          <w:color w:val="auto"/>
          <w:sz w:val="28"/>
          <w:szCs w:val="28"/>
        </w:rPr>
        <w:t>4.2.3</w:t>
      </w:r>
      <w:r>
        <w:rPr>
          <w:rFonts w:hint="eastAsia" w:ascii="宋体" w:hAnsi="宋体" w:eastAsia="宋体" w:cs="宋体"/>
          <w:color w:val="auto"/>
          <w:sz w:val="28"/>
          <w:szCs w:val="28"/>
        </w:rPr>
        <w:t xml:space="preserve"> 综合管廊工程设计，应符合下列原则：</w:t>
      </w:r>
    </w:p>
    <w:p>
      <w:pPr>
        <w:pStyle w:val="114"/>
        <w:spacing w:line="360" w:lineRule="auto"/>
        <w:ind w:firstLine="562" w:firstLineChars="200"/>
        <w:outlineLvl w:val="3"/>
        <w:rPr>
          <w:rFonts w:ascii="宋体" w:hAnsi="宋体" w:eastAsia="宋体" w:cs="宋体"/>
          <w:color w:val="auto"/>
          <w:sz w:val="28"/>
          <w:szCs w:val="28"/>
        </w:rPr>
      </w:pPr>
      <w:r>
        <w:rPr>
          <w:rFonts w:hint="eastAsia" w:ascii="宋体" w:hAnsi="宋体" w:eastAsia="宋体" w:cs="宋体"/>
          <w:b/>
          <w:bCs/>
          <w:color w:val="auto"/>
          <w:sz w:val="28"/>
          <w:szCs w:val="28"/>
        </w:rPr>
        <w:t>1</w:t>
      </w:r>
      <w:r>
        <w:rPr>
          <w:rFonts w:hint="eastAsia" w:ascii="宋体" w:hAnsi="宋体" w:eastAsia="宋体" w:cs="宋体"/>
          <w:color w:val="auto"/>
          <w:sz w:val="28"/>
          <w:szCs w:val="28"/>
        </w:rPr>
        <w:t xml:space="preserve"> 应保障管廊工程适用性和安全性；</w:t>
      </w:r>
    </w:p>
    <w:p>
      <w:pPr>
        <w:pStyle w:val="114"/>
        <w:spacing w:line="360" w:lineRule="auto"/>
        <w:ind w:firstLine="562" w:firstLineChars="200"/>
        <w:outlineLvl w:val="3"/>
        <w:rPr>
          <w:rFonts w:ascii="宋体" w:hAnsi="宋体" w:eastAsia="宋体" w:cs="宋体"/>
          <w:color w:val="auto"/>
          <w:sz w:val="28"/>
          <w:szCs w:val="28"/>
        </w:rPr>
      </w:pPr>
      <w:r>
        <w:rPr>
          <w:rFonts w:hint="eastAsia" w:ascii="宋体" w:hAnsi="宋体" w:eastAsia="宋体" w:cs="宋体"/>
          <w:b/>
          <w:bCs/>
          <w:color w:val="auto"/>
          <w:sz w:val="28"/>
          <w:szCs w:val="28"/>
        </w:rPr>
        <w:t xml:space="preserve">2 </w:t>
      </w:r>
      <w:r>
        <w:rPr>
          <w:rFonts w:hint="eastAsia" w:ascii="宋体" w:hAnsi="宋体" w:eastAsia="宋体" w:cs="宋体"/>
          <w:color w:val="auto"/>
          <w:sz w:val="28"/>
          <w:szCs w:val="28"/>
        </w:rPr>
        <w:t>宜与比邻的地下道路工程、轨道交通工程、地下空间工程集成化建设；</w:t>
      </w:r>
    </w:p>
    <w:p>
      <w:pPr>
        <w:pStyle w:val="114"/>
        <w:spacing w:line="360" w:lineRule="auto"/>
        <w:ind w:firstLine="562" w:firstLineChars="200"/>
        <w:outlineLvl w:val="3"/>
        <w:rPr>
          <w:rFonts w:ascii="宋体" w:hAnsi="宋体" w:eastAsia="宋体" w:cs="宋体"/>
          <w:color w:val="auto"/>
          <w:sz w:val="28"/>
          <w:szCs w:val="28"/>
        </w:rPr>
      </w:pPr>
      <w:r>
        <w:rPr>
          <w:rFonts w:hint="eastAsia" w:ascii="宋体" w:hAnsi="宋体" w:eastAsia="宋体" w:cs="宋体"/>
          <w:b/>
          <w:bCs/>
          <w:color w:val="auto"/>
          <w:sz w:val="28"/>
          <w:szCs w:val="28"/>
        </w:rPr>
        <w:t xml:space="preserve">3 </w:t>
      </w:r>
      <w:r>
        <w:rPr>
          <w:rFonts w:hint="eastAsia" w:ascii="宋体" w:hAnsi="宋体" w:eastAsia="宋体" w:cs="宋体"/>
          <w:color w:val="auto"/>
          <w:sz w:val="28"/>
          <w:szCs w:val="28"/>
        </w:rPr>
        <w:t>口部设施应与城市景观协调；</w:t>
      </w:r>
    </w:p>
    <w:p>
      <w:pPr>
        <w:pStyle w:val="114"/>
        <w:spacing w:line="360" w:lineRule="auto"/>
        <w:ind w:firstLine="562" w:firstLineChars="200"/>
        <w:outlineLvl w:val="3"/>
        <w:rPr>
          <w:rFonts w:ascii="宋体" w:hAnsi="宋体" w:eastAsia="宋体" w:cs="宋体"/>
          <w:color w:val="auto"/>
          <w:sz w:val="28"/>
          <w:szCs w:val="28"/>
        </w:rPr>
      </w:pPr>
      <w:r>
        <w:rPr>
          <w:rFonts w:hint="eastAsia" w:ascii="宋体" w:hAnsi="宋体" w:eastAsia="宋体" w:cs="宋体"/>
          <w:b/>
          <w:bCs/>
          <w:color w:val="auto"/>
          <w:sz w:val="28"/>
          <w:szCs w:val="28"/>
        </w:rPr>
        <w:t>4</w:t>
      </w:r>
      <w:r>
        <w:rPr>
          <w:rFonts w:hint="eastAsia" w:ascii="宋体" w:hAnsi="宋体" w:eastAsia="宋体" w:cs="宋体"/>
          <w:color w:val="auto"/>
          <w:sz w:val="28"/>
          <w:szCs w:val="28"/>
        </w:rPr>
        <w:t xml:space="preserve"> 管廊结构应积极应用预制装配式技术。</w:t>
      </w:r>
    </w:p>
    <w:p>
      <w:pPr>
        <w:pStyle w:val="114"/>
        <w:spacing w:line="360" w:lineRule="auto"/>
        <w:ind w:firstLine="3092" w:firstLineChars="1100"/>
        <w:outlineLvl w:val="1"/>
        <w:rPr>
          <w:rFonts w:eastAsia="宋体"/>
          <w:sz w:val="28"/>
          <w:szCs w:val="28"/>
        </w:rPr>
      </w:pPr>
      <w:r>
        <w:rPr>
          <w:rFonts w:hint="eastAsia" w:ascii="宋体" w:hAnsi="宋体" w:eastAsia="宋体" w:cs="宋体"/>
          <w:b/>
          <w:color w:val="auto"/>
          <w:kern w:val="2"/>
          <w:sz w:val="28"/>
          <w:szCs w:val="28"/>
        </w:rPr>
        <w:t xml:space="preserve"> </w:t>
      </w:r>
      <w:bookmarkStart w:id="21" w:name="_Toc28075"/>
      <w:r>
        <w:rPr>
          <w:rFonts w:hint="eastAsia" w:ascii="宋体" w:hAnsi="宋体" w:eastAsia="宋体" w:cs="宋体"/>
          <w:b/>
          <w:color w:val="auto"/>
          <w:kern w:val="2"/>
          <w:sz w:val="28"/>
          <w:szCs w:val="28"/>
        </w:rPr>
        <w:t>4.3 水利工程</w:t>
      </w:r>
      <w:bookmarkEnd w:id="21"/>
    </w:p>
    <w:p>
      <w:pPr>
        <w:pStyle w:val="114"/>
        <w:spacing w:line="360" w:lineRule="auto"/>
        <w:outlineLvl w:val="3"/>
        <w:rPr>
          <w:rFonts w:ascii="宋体" w:hAnsi="宋体" w:eastAsia="宋体" w:cs="宋体"/>
          <w:color w:val="auto"/>
          <w:sz w:val="28"/>
          <w:szCs w:val="28"/>
        </w:rPr>
      </w:pPr>
      <w:r>
        <w:rPr>
          <w:rFonts w:hint="eastAsia" w:ascii="宋体" w:hAnsi="宋体" w:eastAsia="宋体" w:cs="宋体"/>
          <w:b/>
          <w:color w:val="auto"/>
          <w:sz w:val="28"/>
          <w:szCs w:val="28"/>
        </w:rPr>
        <w:t xml:space="preserve">4.3.1 </w:t>
      </w:r>
      <w:r>
        <w:rPr>
          <w:rFonts w:hint="eastAsia" w:ascii="宋体" w:hAnsi="宋体" w:eastAsia="宋体" w:cs="宋体"/>
          <w:color w:val="auto"/>
          <w:sz w:val="28"/>
          <w:szCs w:val="28"/>
        </w:rPr>
        <w:t>河道整治工程设计，城郊山区河道（段）应以生态保护为主，城市河道（段）应以综合治理为主。</w:t>
      </w:r>
    </w:p>
    <w:p>
      <w:pPr>
        <w:pStyle w:val="114"/>
        <w:spacing w:line="360" w:lineRule="auto"/>
        <w:outlineLvl w:val="3"/>
        <w:rPr>
          <w:rFonts w:ascii="宋体" w:hAnsi="宋体" w:eastAsia="宋体" w:cs="宋体"/>
          <w:color w:val="auto"/>
          <w:sz w:val="28"/>
          <w:szCs w:val="28"/>
        </w:rPr>
      </w:pPr>
      <w:r>
        <w:rPr>
          <w:rFonts w:hint="eastAsia" w:ascii="宋体" w:hAnsi="宋体" w:eastAsia="宋体" w:cs="宋体"/>
          <w:b/>
          <w:color w:val="auto"/>
          <w:sz w:val="28"/>
          <w:szCs w:val="28"/>
        </w:rPr>
        <w:t xml:space="preserve">4.3.2 </w:t>
      </w:r>
      <w:r>
        <w:rPr>
          <w:rFonts w:hint="eastAsia" w:ascii="宋体" w:hAnsi="宋体" w:eastAsia="宋体" w:cs="宋体"/>
          <w:color w:val="auto"/>
          <w:sz w:val="28"/>
          <w:szCs w:val="28"/>
        </w:rPr>
        <w:t>防洪排涝工程设计，应在满足现行工程建设标准和保障城市安全的基础上，与周边环境融合，美化城市景观。</w:t>
      </w:r>
    </w:p>
    <w:p>
      <w:pPr>
        <w:pStyle w:val="114"/>
        <w:spacing w:line="360" w:lineRule="auto"/>
        <w:outlineLvl w:val="3"/>
        <w:rPr>
          <w:rFonts w:ascii="宋体" w:hAnsi="宋体" w:eastAsia="宋体" w:cs="宋体"/>
          <w:color w:val="auto"/>
          <w:sz w:val="28"/>
          <w:szCs w:val="28"/>
        </w:rPr>
      </w:pPr>
      <w:r>
        <w:rPr>
          <w:rFonts w:hint="eastAsia" w:ascii="宋体" w:hAnsi="宋体" w:eastAsia="宋体" w:cs="宋体"/>
          <w:b/>
          <w:color w:val="auto"/>
          <w:sz w:val="28"/>
          <w:szCs w:val="28"/>
        </w:rPr>
        <w:t xml:space="preserve">4.3.3 </w:t>
      </w:r>
      <w:r>
        <w:rPr>
          <w:rFonts w:hint="eastAsia" w:ascii="宋体" w:hAnsi="宋体" w:eastAsia="宋体" w:cs="宋体"/>
          <w:color w:val="auto"/>
          <w:sz w:val="28"/>
          <w:szCs w:val="28"/>
        </w:rPr>
        <w:t>建设工程项目应先作水土流失隐患风险等级评估，再按相应要求进行水土保持设计。</w:t>
      </w:r>
    </w:p>
    <w:p>
      <w:pPr>
        <w:pStyle w:val="114"/>
        <w:spacing w:line="360" w:lineRule="auto"/>
        <w:outlineLvl w:val="3"/>
        <w:rPr>
          <w:rFonts w:ascii="宋体" w:hAnsi="宋体" w:eastAsia="宋体" w:cs="宋体"/>
          <w:color w:val="auto"/>
          <w:sz w:val="28"/>
          <w:szCs w:val="28"/>
        </w:rPr>
      </w:pPr>
      <w:r>
        <w:rPr>
          <w:rFonts w:hint="eastAsia" w:ascii="宋体" w:hAnsi="宋体" w:eastAsia="宋体" w:cs="宋体"/>
          <w:b/>
          <w:color w:val="auto"/>
          <w:sz w:val="28"/>
          <w:szCs w:val="28"/>
        </w:rPr>
        <w:t xml:space="preserve">4.3.4 </w:t>
      </w:r>
      <w:r>
        <w:rPr>
          <w:rFonts w:hint="eastAsia" w:ascii="宋体" w:hAnsi="宋体" w:eastAsia="宋体" w:cs="宋体"/>
          <w:color w:val="auto"/>
          <w:sz w:val="28"/>
          <w:szCs w:val="28"/>
        </w:rPr>
        <w:t>黑臭水体治理工程，应按照</w:t>
      </w:r>
      <w:r>
        <w:rPr>
          <w:rFonts w:ascii="宋体" w:hAnsi="宋体" w:eastAsia="宋体" w:cs="宋体"/>
          <w:color w:val="auto"/>
          <w:sz w:val="28"/>
          <w:szCs w:val="28"/>
        </w:rPr>
        <w:t>分类分级治理</w:t>
      </w:r>
      <w:r>
        <w:rPr>
          <w:rFonts w:hint="eastAsia" w:ascii="宋体" w:hAnsi="宋体" w:eastAsia="宋体" w:cs="宋体"/>
          <w:color w:val="auto"/>
          <w:sz w:val="28"/>
          <w:szCs w:val="28"/>
        </w:rPr>
        <w:t>原则和“一河一策”方针，采取有效的截污、清淤和水质保持等技术措施。</w:t>
      </w:r>
    </w:p>
    <w:p>
      <w:pPr>
        <w:pStyle w:val="114"/>
        <w:spacing w:line="360" w:lineRule="auto"/>
        <w:ind w:firstLine="3092" w:firstLineChars="1100"/>
        <w:outlineLvl w:val="1"/>
        <w:rPr>
          <w:rFonts w:ascii="宋体" w:hAnsi="宋体" w:eastAsia="宋体" w:cs="宋体"/>
          <w:b/>
          <w:color w:val="auto"/>
          <w:kern w:val="2"/>
          <w:sz w:val="28"/>
          <w:szCs w:val="28"/>
        </w:rPr>
      </w:pPr>
      <w:bookmarkStart w:id="22" w:name="_Toc19960"/>
      <w:r>
        <w:rPr>
          <w:rFonts w:hint="eastAsia" w:ascii="宋体" w:hAnsi="宋体" w:eastAsia="宋体" w:cs="宋体"/>
          <w:b/>
          <w:color w:val="auto"/>
          <w:kern w:val="2"/>
          <w:sz w:val="28"/>
          <w:szCs w:val="28"/>
        </w:rPr>
        <w:t>4.4 园林景观工程</w:t>
      </w:r>
      <w:bookmarkEnd w:id="22"/>
    </w:p>
    <w:p>
      <w:pPr>
        <w:pStyle w:val="44"/>
        <w:spacing w:before="0" w:beforeAutospacing="0" w:after="0" w:afterAutospacing="0" w:line="360" w:lineRule="auto"/>
        <w:rPr>
          <w:sz w:val="28"/>
          <w:szCs w:val="28"/>
        </w:rPr>
      </w:pPr>
      <w:r>
        <w:rPr>
          <w:rFonts w:hint="eastAsia"/>
          <w:b/>
          <w:sz w:val="28"/>
          <w:szCs w:val="28"/>
        </w:rPr>
        <w:t xml:space="preserve">4.4.1 </w:t>
      </w:r>
      <w:r>
        <w:rPr>
          <w:rFonts w:hint="eastAsia"/>
          <w:sz w:val="28"/>
          <w:szCs w:val="28"/>
        </w:rPr>
        <w:t>园林景观工程设计，应以生态、美观、人文、艺术、智慧和安全为基本原则。</w:t>
      </w:r>
    </w:p>
    <w:p>
      <w:pPr>
        <w:pStyle w:val="44"/>
        <w:spacing w:before="0" w:beforeAutospacing="0" w:after="0" w:afterAutospacing="0" w:line="360" w:lineRule="auto"/>
        <w:rPr>
          <w:sz w:val="28"/>
          <w:szCs w:val="28"/>
        </w:rPr>
      </w:pPr>
      <w:r>
        <w:rPr>
          <w:rFonts w:hint="eastAsia"/>
          <w:b/>
          <w:sz w:val="28"/>
          <w:szCs w:val="28"/>
        </w:rPr>
        <w:t>4.4.2</w:t>
      </w:r>
      <w:r>
        <w:rPr>
          <w:sz w:val="28"/>
          <w:szCs w:val="28"/>
        </w:rPr>
        <w:t xml:space="preserve"> </w:t>
      </w:r>
      <w:r>
        <w:rPr>
          <w:rFonts w:hint="eastAsia"/>
          <w:sz w:val="28"/>
          <w:szCs w:val="28"/>
        </w:rPr>
        <w:t>园林景观工程设计宜与建筑工程、市政工程、水利工程和岩土工程设计同步进行。</w:t>
      </w:r>
    </w:p>
    <w:p>
      <w:pPr>
        <w:pStyle w:val="44"/>
        <w:spacing w:before="0" w:beforeAutospacing="0" w:after="0" w:afterAutospacing="0" w:line="360" w:lineRule="auto"/>
        <w:rPr>
          <w:rFonts w:ascii="微软雅黑" w:hAnsi="微软雅黑" w:eastAsia="微软雅黑" w:cs="微软雅黑"/>
          <w:sz w:val="28"/>
          <w:szCs w:val="28"/>
        </w:rPr>
      </w:pPr>
      <w:r>
        <w:rPr>
          <w:rFonts w:hint="eastAsia" w:ascii="微软雅黑" w:hAnsi="微软雅黑" w:eastAsia="微软雅黑" w:cs="微软雅黑"/>
          <w:sz w:val="28"/>
          <w:szCs w:val="28"/>
        </w:rPr>
        <w:t>【条文说明】</w:t>
      </w:r>
      <w:r>
        <w:rPr>
          <w:rFonts w:hint="eastAsia" w:ascii="微软雅黑" w:hAnsi="微软雅黑" w:eastAsia="微软雅黑" w:cs="微软雅黑"/>
          <w:b/>
          <w:sz w:val="28"/>
          <w:szCs w:val="28"/>
        </w:rPr>
        <w:t xml:space="preserve">4.4.2 </w:t>
      </w:r>
      <w:r>
        <w:rPr>
          <w:rFonts w:hint="eastAsia" w:ascii="微软雅黑" w:hAnsi="微软雅黑" w:eastAsia="微软雅黑" w:cs="微软雅黑"/>
          <w:sz w:val="28"/>
          <w:szCs w:val="28"/>
        </w:rPr>
        <w:t>园林景观工程设计与其它各类建设工程协同推进，可避免工程建设上难以逆转的生态性、景观性、艺术性和系统性的缺失。</w:t>
      </w:r>
    </w:p>
    <w:p>
      <w:pPr>
        <w:pStyle w:val="44"/>
        <w:spacing w:before="0" w:beforeAutospacing="0" w:after="0" w:afterAutospacing="0" w:line="360" w:lineRule="auto"/>
        <w:rPr>
          <w:sz w:val="28"/>
          <w:szCs w:val="28"/>
        </w:rPr>
      </w:pPr>
      <w:r>
        <w:rPr>
          <w:rFonts w:hint="eastAsia"/>
          <w:b/>
          <w:sz w:val="28"/>
          <w:szCs w:val="28"/>
        </w:rPr>
        <w:t xml:space="preserve">4.4.3 </w:t>
      </w:r>
      <w:r>
        <w:rPr>
          <w:rFonts w:hint="eastAsia"/>
          <w:sz w:val="28"/>
          <w:szCs w:val="28"/>
        </w:rPr>
        <w:t>原则上建筑工程、桥梁工程和边坡工程应实施立体绿化。鼓励城市更新或旧改区域适地建设袖珍公园。</w:t>
      </w:r>
    </w:p>
    <w:p>
      <w:pPr>
        <w:pStyle w:val="44"/>
        <w:spacing w:before="0" w:beforeAutospacing="0" w:after="0" w:afterAutospacing="0" w:line="360" w:lineRule="auto"/>
        <w:rPr>
          <w:rFonts w:ascii="微软雅黑" w:hAnsi="微软雅黑" w:eastAsia="微软雅黑" w:cs="微软雅黑"/>
          <w:sz w:val="28"/>
          <w:szCs w:val="28"/>
        </w:rPr>
      </w:pPr>
      <w:r>
        <w:rPr>
          <w:rFonts w:hint="eastAsia" w:ascii="微软雅黑" w:hAnsi="微软雅黑" w:eastAsia="微软雅黑" w:cs="微软雅黑"/>
          <w:sz w:val="28"/>
          <w:szCs w:val="28"/>
        </w:rPr>
        <w:t>【条文说明】</w:t>
      </w:r>
      <w:r>
        <w:rPr>
          <w:rFonts w:hint="eastAsia" w:ascii="微软雅黑" w:hAnsi="微软雅黑" w:eastAsia="微软雅黑" w:cs="微软雅黑"/>
          <w:b/>
          <w:sz w:val="28"/>
          <w:szCs w:val="28"/>
        </w:rPr>
        <w:t>4.4.3</w:t>
      </w:r>
      <w:r>
        <w:rPr>
          <w:rFonts w:hint="eastAsia" w:ascii="微软雅黑" w:hAnsi="微软雅黑" w:eastAsia="微软雅黑" w:cs="微软雅黑"/>
          <w:sz w:val="28"/>
          <w:szCs w:val="28"/>
        </w:rPr>
        <w:t>建筑工程中厂房建筑和仓库建筑是否立体绿化，可视实际需要而定。袖珍公园（也叫口袋公园）具有选址灵活、面积较小、离散分布等特点，若得以见缝插针地出现在城市建筑“森林”中，将有效改观高楼云集、灰色机械的城市环境。</w:t>
      </w:r>
    </w:p>
    <w:p>
      <w:pPr>
        <w:pStyle w:val="44"/>
        <w:spacing w:before="0" w:beforeAutospacing="0" w:after="0" w:afterAutospacing="0" w:line="360" w:lineRule="auto"/>
        <w:rPr>
          <w:sz w:val="28"/>
          <w:szCs w:val="28"/>
        </w:rPr>
      </w:pPr>
      <w:r>
        <w:rPr>
          <w:rFonts w:hint="eastAsia"/>
          <w:b/>
          <w:sz w:val="28"/>
          <w:szCs w:val="28"/>
        </w:rPr>
        <w:t xml:space="preserve">4.4.4 </w:t>
      </w:r>
      <w:r>
        <w:rPr>
          <w:rFonts w:hint="eastAsia"/>
          <w:sz w:val="28"/>
          <w:szCs w:val="28"/>
        </w:rPr>
        <w:t>城市绿化覆盖率不宜低于45%。鼓励合理提高道路及铺装场地的遮荫率。</w:t>
      </w:r>
    </w:p>
    <w:p>
      <w:pPr>
        <w:spacing w:line="360" w:lineRule="auto"/>
        <w:rPr>
          <w:color w:val="00B050"/>
          <w:sz w:val="28"/>
          <w:szCs w:val="28"/>
        </w:rPr>
      </w:pPr>
      <w:r>
        <w:rPr>
          <w:rFonts w:hint="eastAsia" w:ascii="微软雅黑" w:hAnsi="微软雅黑" w:eastAsia="微软雅黑" w:cs="微软雅黑"/>
          <w:sz w:val="28"/>
          <w:szCs w:val="28"/>
        </w:rPr>
        <w:t>【条文说明】</w:t>
      </w:r>
      <w:r>
        <w:rPr>
          <w:rFonts w:hint="eastAsia" w:ascii="微软雅黑" w:hAnsi="微软雅黑" w:eastAsia="微软雅黑" w:cs="微软雅黑"/>
          <w:b/>
          <w:sz w:val="28"/>
          <w:szCs w:val="28"/>
        </w:rPr>
        <w:t>4.4.4</w:t>
      </w:r>
      <w:r>
        <w:rPr>
          <w:rFonts w:hint="eastAsia" w:ascii="微软雅黑" w:hAnsi="微软雅黑" w:eastAsia="微软雅黑" w:cs="微软雅黑"/>
          <w:sz w:val="28"/>
          <w:szCs w:val="28"/>
        </w:rPr>
        <w:t xml:space="preserve"> 深圳属于南亚热带海洋性季风气候。城市较高的绿化覆盖率和遮荫率能极大改善出行环境，提高人们在户外空间活动的舒适度。参照《国家生态园林城市标准》41%的城市绿化覆盖率要求，本市重点区域可适当提高。  </w:t>
      </w:r>
      <w:r>
        <w:rPr>
          <w:rFonts w:hint="eastAsia"/>
          <w:sz w:val="28"/>
          <w:szCs w:val="28"/>
        </w:rPr>
        <w:t xml:space="preserve"> </w:t>
      </w:r>
      <w:r>
        <w:rPr>
          <w:rFonts w:hint="eastAsia"/>
          <w:color w:val="00B050"/>
          <w:sz w:val="28"/>
          <w:szCs w:val="28"/>
        </w:rPr>
        <w:t xml:space="preserve">  </w:t>
      </w:r>
    </w:p>
    <w:p>
      <w:pPr>
        <w:pStyle w:val="44"/>
        <w:spacing w:before="0" w:beforeAutospacing="0" w:after="0" w:afterAutospacing="0" w:line="360" w:lineRule="auto"/>
        <w:ind w:firstLine="2800" w:firstLineChars="1000"/>
        <w:outlineLvl w:val="1"/>
        <w:rPr>
          <w:b/>
          <w:color w:val="00B050"/>
          <w:sz w:val="28"/>
          <w:szCs w:val="28"/>
        </w:rPr>
      </w:pPr>
      <w:r>
        <w:rPr>
          <w:rFonts w:hint="eastAsia"/>
          <w:color w:val="00B050"/>
          <w:sz w:val="28"/>
          <w:szCs w:val="28"/>
        </w:rPr>
        <w:t xml:space="preserve">   </w:t>
      </w:r>
      <w:bookmarkStart w:id="23" w:name="_Toc7104"/>
      <w:r>
        <w:rPr>
          <w:rFonts w:hint="eastAsia"/>
          <w:b/>
          <w:sz w:val="28"/>
          <w:szCs w:val="28"/>
        </w:rPr>
        <w:t>4.5 岩土工程</w:t>
      </w:r>
      <w:bookmarkEnd w:id="23"/>
    </w:p>
    <w:p>
      <w:pPr>
        <w:pStyle w:val="44"/>
        <w:spacing w:before="0" w:beforeAutospacing="0" w:after="0" w:afterAutospacing="0" w:line="360" w:lineRule="auto"/>
        <w:rPr>
          <w:sz w:val="28"/>
          <w:szCs w:val="28"/>
        </w:rPr>
      </w:pPr>
      <w:r>
        <w:rPr>
          <w:rFonts w:hint="eastAsia"/>
          <w:b/>
          <w:bCs/>
          <w:sz w:val="28"/>
          <w:szCs w:val="28"/>
        </w:rPr>
        <w:t xml:space="preserve">4.5.1 </w:t>
      </w:r>
      <w:r>
        <w:rPr>
          <w:rFonts w:hint="eastAsia"/>
          <w:sz w:val="28"/>
          <w:szCs w:val="28"/>
        </w:rPr>
        <w:t>边坡工程应协调开展治坡、治水和园林景观的设计。安全等级为一级的边坡工程，应设置自动化监测系统。</w:t>
      </w:r>
    </w:p>
    <w:p>
      <w:pPr>
        <w:pStyle w:val="44"/>
        <w:spacing w:before="0" w:beforeAutospacing="0" w:after="0" w:afterAutospacing="0" w:line="360" w:lineRule="auto"/>
        <w:rPr>
          <w:sz w:val="28"/>
          <w:szCs w:val="28"/>
        </w:rPr>
      </w:pPr>
      <w:r>
        <w:rPr>
          <w:rFonts w:hint="eastAsia"/>
          <w:b/>
          <w:bCs/>
          <w:sz w:val="28"/>
          <w:szCs w:val="28"/>
        </w:rPr>
        <w:t>4.5.2</w:t>
      </w:r>
      <w:r>
        <w:rPr>
          <w:rFonts w:hint="eastAsia"/>
          <w:sz w:val="28"/>
          <w:szCs w:val="28"/>
        </w:rPr>
        <w:t xml:space="preserve"> 建设工程基坑支护设计，应同时保障自身和周边建（构）筑物的安全。深度大于20m或周边环境复杂的基坑工程应设置自动化监测系统。</w:t>
      </w:r>
    </w:p>
    <w:p>
      <w:pPr>
        <w:pStyle w:val="44"/>
        <w:spacing w:before="0" w:beforeAutospacing="0" w:after="0" w:afterAutospacing="0" w:line="360" w:lineRule="auto"/>
        <w:rPr>
          <w:sz w:val="28"/>
          <w:szCs w:val="28"/>
        </w:rPr>
      </w:pPr>
    </w:p>
    <w:p>
      <w:pPr>
        <w:pStyle w:val="44"/>
        <w:spacing w:before="0" w:beforeAutospacing="0" w:after="0" w:afterAutospacing="0" w:line="360" w:lineRule="auto"/>
        <w:rPr>
          <w:sz w:val="28"/>
          <w:szCs w:val="28"/>
        </w:rPr>
      </w:pPr>
      <w:r>
        <w:rPr>
          <w:rFonts w:hint="eastAsia"/>
          <w:b/>
          <w:bCs/>
          <w:sz w:val="28"/>
          <w:szCs w:val="28"/>
        </w:rPr>
        <w:t>4.5.3</w:t>
      </w:r>
      <w:r>
        <w:rPr>
          <w:rFonts w:hint="eastAsia"/>
          <w:sz w:val="28"/>
          <w:szCs w:val="28"/>
        </w:rPr>
        <w:t xml:space="preserve"> 填海及软基工程处理应根据场地用途、确保工后沉降满足使用要求，采用安全、经济、合理的技术措施。</w:t>
      </w:r>
    </w:p>
    <w:p>
      <w:pPr>
        <w:pStyle w:val="44"/>
        <w:spacing w:before="0" w:beforeAutospacing="0" w:after="0" w:afterAutospacing="0" w:line="360" w:lineRule="auto"/>
        <w:rPr>
          <w:sz w:val="28"/>
          <w:szCs w:val="28"/>
        </w:rPr>
      </w:pPr>
      <w:r>
        <w:rPr>
          <w:rFonts w:hint="eastAsia"/>
          <w:b/>
          <w:bCs/>
          <w:sz w:val="28"/>
          <w:szCs w:val="28"/>
        </w:rPr>
        <w:t>4.5.4</w:t>
      </w:r>
      <w:r>
        <w:rPr>
          <w:rFonts w:hint="eastAsia"/>
          <w:sz w:val="28"/>
          <w:szCs w:val="28"/>
        </w:rPr>
        <w:t xml:space="preserve"> 岩溶或采空区地区岩土工程，应充分考虑地下水的影响，采取确保建设工程安全的设计措施。</w:t>
      </w:r>
    </w:p>
    <w:p>
      <w:pPr>
        <w:pStyle w:val="114"/>
        <w:spacing w:line="360" w:lineRule="auto"/>
        <w:outlineLvl w:val="3"/>
        <w:rPr>
          <w:color w:val="auto"/>
          <w:sz w:val="28"/>
          <w:szCs w:val="28"/>
        </w:rPr>
      </w:pPr>
      <w:r>
        <w:rPr>
          <w:rFonts w:hint="eastAsia" w:ascii="宋体" w:hAnsi="宋体" w:eastAsia="宋体" w:cs="宋体"/>
          <w:b/>
          <w:bCs/>
          <w:color w:val="auto"/>
          <w:sz w:val="28"/>
          <w:szCs w:val="28"/>
        </w:rPr>
        <w:t xml:space="preserve">4.5.5 </w:t>
      </w:r>
      <w:r>
        <w:rPr>
          <w:rFonts w:hint="eastAsia" w:ascii="宋体" w:hAnsi="宋体" w:eastAsia="宋体" w:cs="宋体"/>
          <w:color w:val="auto"/>
          <w:sz w:val="28"/>
          <w:szCs w:val="28"/>
        </w:rPr>
        <w:t>轨道交通工程及特殊市政管线安全保护区内，应谨慎开展岩土工程有关作业，并事先进行设计方案评价或签订相关协议。</w:t>
      </w:r>
    </w:p>
    <w:p>
      <w:pPr>
        <w:pStyle w:val="44"/>
        <w:spacing w:before="0" w:beforeAutospacing="0" w:after="0" w:afterAutospacing="0" w:line="360" w:lineRule="auto"/>
        <w:rPr>
          <w:sz w:val="28"/>
          <w:szCs w:val="28"/>
        </w:rPr>
      </w:pPr>
    </w:p>
    <w:p>
      <w:pPr>
        <w:pStyle w:val="44"/>
        <w:spacing w:before="0" w:beforeAutospacing="0" w:after="0" w:afterAutospacing="0" w:line="360" w:lineRule="auto"/>
        <w:ind w:left="750"/>
        <w:rPr>
          <w:b/>
          <w:sz w:val="28"/>
          <w:szCs w:val="28"/>
        </w:rPr>
      </w:pPr>
    </w:p>
    <w:p>
      <w:pPr>
        <w:pStyle w:val="114"/>
        <w:spacing w:line="360" w:lineRule="auto"/>
        <w:outlineLvl w:val="3"/>
        <w:rPr>
          <w:sz w:val="28"/>
          <w:szCs w:val="28"/>
        </w:rPr>
      </w:pPr>
    </w:p>
    <w:p>
      <w:pPr>
        <w:pStyle w:val="114"/>
        <w:pageBreakBefore/>
        <w:spacing w:line="360" w:lineRule="auto"/>
        <w:outlineLvl w:val="0"/>
        <w:rPr>
          <w:rFonts w:ascii="宋体" w:hAnsi="宋体" w:eastAsia="宋体" w:cs="宋体"/>
          <w:b/>
          <w:color w:val="auto"/>
          <w:kern w:val="2"/>
          <w:sz w:val="28"/>
          <w:szCs w:val="28"/>
        </w:rPr>
      </w:pPr>
      <w:r>
        <w:rPr>
          <w:rFonts w:hint="eastAsia" w:ascii="宋体" w:hAnsi="宋体" w:eastAsia="宋体" w:cs="宋体"/>
          <w:b/>
          <w:color w:val="00B050"/>
          <w:kern w:val="2"/>
          <w:sz w:val="28"/>
          <w:szCs w:val="28"/>
        </w:rPr>
        <w:t xml:space="preserve">                   </w:t>
      </w:r>
      <w:r>
        <w:rPr>
          <w:rFonts w:hint="eastAsia" w:ascii="宋体" w:hAnsi="宋体" w:eastAsia="宋体" w:cs="宋体"/>
          <w:b/>
          <w:color w:val="auto"/>
          <w:kern w:val="2"/>
          <w:sz w:val="28"/>
          <w:szCs w:val="28"/>
        </w:rPr>
        <w:t xml:space="preserve">  </w:t>
      </w:r>
      <w:bookmarkStart w:id="24" w:name="_Toc25167"/>
      <w:r>
        <w:rPr>
          <w:rFonts w:hint="eastAsia" w:ascii="宋体" w:hAnsi="宋体" w:eastAsia="宋体" w:cs="宋体"/>
          <w:b/>
          <w:color w:val="auto"/>
          <w:kern w:val="2"/>
          <w:sz w:val="28"/>
          <w:szCs w:val="28"/>
        </w:rPr>
        <w:t>5 建筑工程设计</w:t>
      </w:r>
      <w:bookmarkEnd w:id="24"/>
    </w:p>
    <w:p>
      <w:pPr>
        <w:pStyle w:val="114"/>
        <w:spacing w:line="360" w:lineRule="auto"/>
        <w:outlineLvl w:val="1"/>
        <w:rPr>
          <w:rFonts w:asciiTheme="minorEastAsia" w:hAnsiTheme="minorEastAsia" w:eastAsiaTheme="minorEastAsia"/>
          <w:b/>
          <w:bCs/>
          <w:color w:val="auto"/>
          <w:kern w:val="2"/>
          <w:sz w:val="28"/>
          <w:szCs w:val="28"/>
        </w:rPr>
      </w:pPr>
      <w:r>
        <w:rPr>
          <w:rFonts w:hint="eastAsia" w:asciiTheme="minorEastAsia" w:hAnsiTheme="minorEastAsia" w:eastAsiaTheme="minorEastAsia"/>
          <w:b/>
          <w:bCs/>
          <w:color w:val="auto"/>
          <w:kern w:val="2"/>
          <w:sz w:val="28"/>
          <w:szCs w:val="28"/>
        </w:rPr>
        <w:t xml:space="preserve">                     </w:t>
      </w:r>
      <w:bookmarkStart w:id="25" w:name="_Toc19233"/>
      <w:r>
        <w:rPr>
          <w:rFonts w:hint="eastAsia" w:asciiTheme="minorEastAsia" w:hAnsiTheme="minorEastAsia" w:eastAsiaTheme="minorEastAsia"/>
          <w:b/>
          <w:bCs/>
          <w:color w:val="auto"/>
          <w:kern w:val="2"/>
          <w:sz w:val="28"/>
          <w:szCs w:val="28"/>
        </w:rPr>
        <w:t>5.1 一般规定</w:t>
      </w:r>
      <w:bookmarkEnd w:id="25"/>
    </w:p>
    <w:p>
      <w:pPr>
        <w:adjustRightInd w:val="0"/>
        <w:snapToGrid w:val="0"/>
        <w:spacing w:line="360" w:lineRule="auto"/>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 xml:space="preserve">5.1.1 </w:t>
      </w:r>
      <w:r>
        <w:rPr>
          <w:rFonts w:hint="eastAsia" w:asciiTheme="minorEastAsia" w:hAnsiTheme="minorEastAsia" w:eastAsiaTheme="minorEastAsia"/>
          <w:bCs/>
          <w:sz w:val="28"/>
          <w:szCs w:val="28"/>
        </w:rPr>
        <w:t>建筑工程设计，应全面融合绿色建筑、海绵城市、智慧建筑和建筑安全等设计要素。</w:t>
      </w:r>
    </w:p>
    <w:p>
      <w:pPr>
        <w:adjustRightInd w:val="0"/>
        <w:snapToGrid w:val="0"/>
        <w:spacing w:line="360" w:lineRule="auto"/>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5.1.2</w:t>
      </w:r>
      <w:r>
        <w:rPr>
          <w:rFonts w:hint="eastAsia" w:asciiTheme="minorEastAsia" w:hAnsiTheme="minorEastAsia" w:eastAsiaTheme="minorEastAsia"/>
          <w:bCs/>
          <w:sz w:val="28"/>
          <w:szCs w:val="28"/>
        </w:rPr>
        <w:t xml:space="preserve"> 建筑工程设计应因地制宜，选用有利于可持续发展的场地布局、建筑形式和技术措施。</w:t>
      </w:r>
    </w:p>
    <w:p>
      <w:pPr>
        <w:adjustRightInd w:val="0"/>
        <w:snapToGrid w:val="0"/>
        <w:spacing w:line="360" w:lineRule="auto"/>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5.1.3</w:t>
      </w:r>
      <w:r>
        <w:rPr>
          <w:rFonts w:hint="eastAsia" w:asciiTheme="minorEastAsia" w:hAnsiTheme="minorEastAsia" w:eastAsiaTheme="minorEastAsia"/>
          <w:bCs/>
          <w:sz w:val="28"/>
          <w:szCs w:val="28"/>
        </w:rPr>
        <w:t xml:space="preserve"> 建筑工程设计应全专业采用BIM技术，并鼓励正向设计。</w:t>
      </w:r>
    </w:p>
    <w:p>
      <w:pPr>
        <w:adjustRightInd w:val="0"/>
        <w:snapToGrid w:val="0"/>
        <w:spacing w:line="360" w:lineRule="auto"/>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 xml:space="preserve">5.1.4 </w:t>
      </w:r>
      <w:r>
        <w:rPr>
          <w:rFonts w:hint="eastAsia" w:asciiTheme="minorEastAsia" w:hAnsiTheme="minorEastAsia" w:eastAsiaTheme="minorEastAsia"/>
          <w:bCs/>
          <w:sz w:val="28"/>
          <w:szCs w:val="28"/>
        </w:rPr>
        <w:t>建筑工程设计应体现岭南特色和滨海风貌，融入城市景观。重要节点和标志性建筑设计，应彰显大气、现代、纯净、美观。</w:t>
      </w:r>
    </w:p>
    <w:p>
      <w:pPr>
        <w:adjustRightInd w:val="0"/>
        <w:snapToGrid w:val="0"/>
        <w:spacing w:line="360" w:lineRule="auto"/>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5.1.5</w:t>
      </w:r>
      <w:r>
        <w:rPr>
          <w:rFonts w:hint="eastAsia" w:asciiTheme="minorEastAsia" w:hAnsiTheme="minorEastAsia" w:eastAsiaTheme="minorEastAsia"/>
          <w:bCs/>
          <w:sz w:val="28"/>
          <w:szCs w:val="28"/>
        </w:rPr>
        <w:t xml:space="preserve"> 建筑、结构、给水排水、通风空调、电气及智能化、建筑装饰和景观等相关专业宜同步或一体化设计。</w:t>
      </w:r>
    </w:p>
    <w:p>
      <w:pPr>
        <w:pStyle w:val="3"/>
      </w:pPr>
      <w:bookmarkStart w:id="26" w:name="_Toc13980"/>
      <w:bookmarkStart w:id="27" w:name="_Toc522115428"/>
      <w:bookmarkStart w:id="28" w:name="_Toc520364047"/>
      <w:bookmarkStart w:id="29" w:name="_Toc522877839"/>
      <w:bookmarkStart w:id="30" w:name="_Toc257579595"/>
      <w:bookmarkStart w:id="31" w:name="_Toc277755078"/>
      <w:r>
        <w:rPr>
          <w:rFonts w:hint="eastAsia"/>
        </w:rPr>
        <w:t>5.2 绿色建筑设计</w:t>
      </w:r>
      <w:bookmarkEnd w:id="26"/>
    </w:p>
    <w:p>
      <w:pPr>
        <w:pStyle w:val="114"/>
        <w:snapToGrid w:val="0"/>
        <w:spacing w:line="360" w:lineRule="auto"/>
        <w:outlineLvl w:val="3"/>
        <w:rPr>
          <w:rFonts w:asciiTheme="minorEastAsia" w:hAnsiTheme="minorEastAsia" w:eastAsiaTheme="minorEastAsia"/>
          <w:bCs/>
          <w:color w:val="auto"/>
          <w:sz w:val="28"/>
          <w:szCs w:val="28"/>
        </w:rPr>
      </w:pPr>
      <w:r>
        <w:rPr>
          <w:rFonts w:hint="eastAsia" w:asciiTheme="minorEastAsia" w:hAnsiTheme="minorEastAsia" w:eastAsiaTheme="minorEastAsia"/>
          <w:b/>
          <w:color w:val="auto"/>
          <w:kern w:val="2"/>
          <w:sz w:val="28"/>
          <w:szCs w:val="28"/>
        </w:rPr>
        <w:t xml:space="preserve">5.2.1 </w:t>
      </w:r>
      <w:r>
        <w:rPr>
          <w:rFonts w:hint="eastAsia" w:asciiTheme="minorEastAsia" w:hAnsiTheme="minorEastAsia" w:eastAsiaTheme="minorEastAsia"/>
          <w:bCs/>
          <w:color w:val="auto"/>
          <w:kern w:val="2"/>
          <w:sz w:val="28"/>
          <w:szCs w:val="28"/>
        </w:rPr>
        <w:t>绿色</w:t>
      </w:r>
      <w:r>
        <w:rPr>
          <w:rFonts w:hint="eastAsia" w:asciiTheme="minorEastAsia" w:hAnsiTheme="minorEastAsia" w:eastAsiaTheme="minorEastAsia"/>
          <w:color w:val="auto"/>
          <w:kern w:val="2"/>
          <w:sz w:val="28"/>
          <w:szCs w:val="28"/>
        </w:rPr>
        <w:t>建筑设计应</w:t>
      </w:r>
      <w:r>
        <w:rPr>
          <w:rFonts w:hint="eastAsia" w:asciiTheme="minorEastAsia" w:hAnsiTheme="minorEastAsia" w:eastAsiaTheme="minorEastAsia"/>
          <w:bCs/>
          <w:color w:val="auto"/>
          <w:sz w:val="28"/>
          <w:szCs w:val="28"/>
        </w:rPr>
        <w:t>优先采用被动建筑技术。</w:t>
      </w:r>
    </w:p>
    <w:p>
      <w:pPr>
        <w:spacing w:line="360" w:lineRule="auto"/>
        <w:jc w:val="left"/>
        <w:outlineLvl w:val="3"/>
        <w:rPr>
          <w:rFonts w:asciiTheme="minorEastAsia" w:hAnsiTheme="minorEastAsia" w:eastAsiaTheme="minorEastAsia"/>
          <w:bCs/>
          <w:sz w:val="28"/>
          <w:szCs w:val="28"/>
        </w:rPr>
      </w:pPr>
      <w:r>
        <w:rPr>
          <w:rFonts w:hint="eastAsia" w:asciiTheme="minorEastAsia" w:hAnsiTheme="minorEastAsia" w:eastAsiaTheme="minorEastAsia"/>
          <w:b/>
          <w:sz w:val="28"/>
          <w:szCs w:val="28"/>
        </w:rPr>
        <w:t>5.2</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2</w:t>
      </w:r>
      <w:r>
        <w:rPr>
          <w:rFonts w:hint="eastAsia" w:asciiTheme="minorEastAsia" w:hAnsiTheme="minorEastAsia" w:eastAsiaTheme="minorEastAsia"/>
          <w:bCs/>
          <w:sz w:val="28"/>
          <w:szCs w:val="28"/>
        </w:rPr>
        <w:t xml:space="preserve"> 场地内建筑布局应满足日照要求，且不得降低周边建筑的日照标准。</w:t>
      </w:r>
    </w:p>
    <w:p>
      <w:pPr>
        <w:spacing w:line="360" w:lineRule="auto"/>
        <w:jc w:val="left"/>
        <w:outlineLvl w:val="3"/>
        <w:rPr>
          <w:rFonts w:asciiTheme="minorEastAsia" w:hAnsiTheme="minorEastAsia" w:eastAsiaTheme="minorEastAsia"/>
          <w:kern w:val="0"/>
          <w:sz w:val="28"/>
          <w:szCs w:val="28"/>
        </w:rPr>
      </w:pPr>
      <w:r>
        <w:rPr>
          <w:rFonts w:hint="eastAsia" w:asciiTheme="minorEastAsia" w:hAnsiTheme="minorEastAsia" w:eastAsiaTheme="minorEastAsia"/>
          <w:b/>
          <w:sz w:val="28"/>
          <w:szCs w:val="28"/>
        </w:rPr>
        <w:t>5.2.3</w:t>
      </w:r>
      <w:r>
        <w:rPr>
          <w:rFonts w:hint="eastAsia" w:asciiTheme="minorEastAsia" w:hAnsiTheme="minorEastAsia" w:eastAsiaTheme="minorEastAsia"/>
          <w:bCs/>
          <w:sz w:val="28"/>
          <w:szCs w:val="28"/>
        </w:rPr>
        <w:t xml:space="preserve"> 应进行</w:t>
      </w:r>
      <w:r>
        <w:rPr>
          <w:rFonts w:asciiTheme="minorEastAsia" w:hAnsiTheme="minorEastAsia" w:eastAsiaTheme="minorEastAsia"/>
          <w:bCs/>
          <w:sz w:val="28"/>
          <w:szCs w:val="28"/>
        </w:rPr>
        <w:t>场地风环境</w:t>
      </w:r>
      <w:r>
        <w:rPr>
          <w:rFonts w:hint="eastAsia" w:asciiTheme="minorEastAsia" w:hAnsiTheme="minorEastAsia" w:eastAsiaTheme="minorEastAsia"/>
          <w:bCs/>
          <w:sz w:val="28"/>
          <w:szCs w:val="28"/>
        </w:rPr>
        <w:t>分析，充分考虑自然通风，优化建筑布局，满足卫生间距等要求。</w:t>
      </w:r>
    </w:p>
    <w:p>
      <w:pPr>
        <w:adjustRightInd w:val="0"/>
        <w:spacing w:line="360" w:lineRule="auto"/>
        <w:jc w:val="left"/>
        <w:outlineLvl w:val="3"/>
        <w:rPr>
          <w:rFonts w:asciiTheme="minorEastAsia" w:hAnsiTheme="minorEastAsia" w:eastAsiaTheme="minorEastAsia"/>
          <w:bCs/>
          <w:color w:val="00B050"/>
          <w:sz w:val="28"/>
          <w:szCs w:val="28"/>
        </w:rPr>
      </w:pPr>
      <w:bookmarkStart w:id="32" w:name="_Toc529639456"/>
      <w:bookmarkStart w:id="33" w:name="_Toc531013909"/>
      <w:bookmarkStart w:id="34" w:name="_Toc528865549"/>
      <w:bookmarkStart w:id="35" w:name="_Toc531009130"/>
      <w:bookmarkStart w:id="36" w:name="_Toc530690353"/>
      <w:r>
        <w:rPr>
          <w:rFonts w:hint="eastAsia" w:asciiTheme="minorEastAsia" w:hAnsiTheme="minorEastAsia" w:eastAsiaTheme="minorEastAsia"/>
          <w:b/>
          <w:sz w:val="28"/>
          <w:szCs w:val="28"/>
        </w:rPr>
        <w:t>5.2.4</w:t>
      </w:r>
      <w:r>
        <w:rPr>
          <w:rFonts w:hint="eastAsia" w:asciiTheme="minorEastAsia" w:hAnsiTheme="minorEastAsia" w:eastAsiaTheme="minorEastAsia"/>
          <w:bCs/>
          <w:sz w:val="28"/>
          <w:szCs w:val="28"/>
        </w:rPr>
        <w:t xml:space="preserve"> 应进行场地声环境分析。在交通干线两侧的4类声环境功能区内建筑物，以及在已超标的 1 类、2 类和 3 类声环境功能区内建设噪声敏感建筑物的，应采取声屏障、建（构）筑物防护等有效噪声污染防治措施。</w:t>
      </w:r>
    </w:p>
    <w:bookmarkEnd w:id="32"/>
    <w:bookmarkEnd w:id="33"/>
    <w:bookmarkEnd w:id="34"/>
    <w:bookmarkEnd w:id="35"/>
    <w:bookmarkEnd w:id="36"/>
    <w:p>
      <w:pPr>
        <w:spacing w:line="360" w:lineRule="auto"/>
        <w:jc w:val="left"/>
        <w:rPr>
          <w:rFonts w:ascii="微软雅黑" w:hAnsi="微软雅黑" w:eastAsia="微软雅黑" w:cs="微软雅黑"/>
          <w:bCs/>
          <w:sz w:val="28"/>
          <w:szCs w:val="28"/>
        </w:rPr>
      </w:pPr>
      <w:r>
        <w:rPr>
          <w:rFonts w:hint="eastAsia" w:ascii="微软雅黑" w:hAnsi="微软雅黑" w:eastAsia="微软雅黑" w:cs="微软雅黑"/>
          <w:bCs/>
          <w:kern w:val="0"/>
          <w:sz w:val="28"/>
          <w:szCs w:val="28"/>
        </w:rPr>
        <w:t>【条文说明】</w:t>
      </w:r>
      <w:r>
        <w:rPr>
          <w:rFonts w:hint="eastAsia" w:ascii="微软雅黑" w:hAnsi="微软雅黑" w:eastAsia="微软雅黑" w:cs="微软雅黑"/>
          <w:b/>
          <w:sz w:val="28"/>
          <w:szCs w:val="28"/>
        </w:rPr>
        <w:t xml:space="preserve">5.2.4 </w:t>
      </w:r>
      <w:r>
        <w:rPr>
          <w:rFonts w:hint="eastAsia" w:ascii="微软雅黑" w:hAnsi="微软雅黑" w:eastAsia="微软雅黑" w:cs="微软雅黑"/>
          <w:bCs/>
          <w:kern w:val="0"/>
          <w:sz w:val="28"/>
          <w:szCs w:val="28"/>
        </w:rPr>
        <w:t>按本市生态环境部门所提要求，</w:t>
      </w:r>
      <w:r>
        <w:rPr>
          <w:rFonts w:hint="eastAsia" w:ascii="微软雅黑" w:hAnsi="微软雅黑" w:eastAsia="微软雅黑" w:cs="微软雅黑"/>
          <w:bCs/>
          <w:sz w:val="28"/>
          <w:szCs w:val="28"/>
        </w:rPr>
        <w:t>住宅、学校、医院等噪声敏感</w:t>
      </w:r>
      <w:r>
        <w:rPr>
          <w:rFonts w:hint="eastAsia" w:ascii="微软雅黑" w:hAnsi="微软雅黑" w:eastAsia="微软雅黑" w:cs="微软雅黑"/>
          <w:bCs/>
          <w:kern w:val="0"/>
          <w:sz w:val="28"/>
          <w:szCs w:val="28"/>
        </w:rPr>
        <w:t>建筑工程</w:t>
      </w:r>
      <w:r>
        <w:rPr>
          <w:rFonts w:hint="eastAsia" w:ascii="微软雅黑" w:hAnsi="微软雅黑" w:eastAsia="微软雅黑" w:cs="微软雅黑"/>
          <w:bCs/>
          <w:sz w:val="28"/>
          <w:szCs w:val="28"/>
        </w:rPr>
        <w:t>不应建设在4类声环境功能区内；建筑物应与既有高速路、快速路、主干路、次干路和轨道交通露天段等交通干线保持15m以上的退让距离。</w:t>
      </w:r>
    </w:p>
    <w:p>
      <w:pPr>
        <w:adjustRightInd w:val="0"/>
        <w:snapToGrid w:val="0"/>
        <w:spacing w:line="360" w:lineRule="auto"/>
        <w:jc w:val="left"/>
        <w:outlineLvl w:val="3"/>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5.2.5 </w:t>
      </w:r>
      <w:r>
        <w:rPr>
          <w:rFonts w:hint="eastAsia" w:asciiTheme="minorEastAsia" w:hAnsiTheme="minorEastAsia" w:eastAsiaTheme="minorEastAsia"/>
          <w:bCs/>
          <w:sz w:val="28"/>
          <w:szCs w:val="28"/>
        </w:rPr>
        <w:t>建筑室内外</w:t>
      </w:r>
      <w:r>
        <w:rPr>
          <w:rFonts w:asciiTheme="minorEastAsia" w:hAnsiTheme="minorEastAsia" w:eastAsiaTheme="minorEastAsia"/>
          <w:bCs/>
          <w:sz w:val="28"/>
          <w:szCs w:val="28"/>
        </w:rPr>
        <w:t>公共区域</w:t>
      </w:r>
      <w:r>
        <w:rPr>
          <w:rFonts w:hint="eastAsia" w:asciiTheme="minorEastAsia" w:hAnsiTheme="minorEastAsia" w:eastAsiaTheme="minorEastAsia"/>
          <w:bCs/>
          <w:sz w:val="28"/>
          <w:szCs w:val="28"/>
        </w:rPr>
        <w:t>设计，应满足全龄全民友好需求：</w:t>
      </w:r>
    </w:p>
    <w:p>
      <w:pPr>
        <w:spacing w:line="360" w:lineRule="auto"/>
        <w:ind w:firstLine="562" w:firstLineChars="200"/>
        <w:jc w:val="left"/>
        <w:rPr>
          <w:rFonts w:asciiTheme="minorEastAsia" w:hAnsiTheme="minorEastAsia" w:eastAsiaTheme="minorEastAsia"/>
          <w:sz w:val="28"/>
          <w:szCs w:val="28"/>
        </w:rPr>
      </w:pPr>
      <w:r>
        <w:rPr>
          <w:rFonts w:hint="eastAsia" w:asciiTheme="minorEastAsia" w:hAnsiTheme="minorEastAsia" w:eastAsiaTheme="minorEastAsia"/>
          <w:b/>
          <w:bCs/>
          <w:sz w:val="28"/>
          <w:szCs w:val="28"/>
        </w:rPr>
        <w:t xml:space="preserve">1 </w:t>
      </w:r>
      <w:r>
        <w:rPr>
          <w:rFonts w:hint="eastAsia" w:asciiTheme="minorEastAsia" w:hAnsiTheme="minorEastAsia" w:eastAsiaTheme="minorEastAsia"/>
          <w:sz w:val="28"/>
          <w:szCs w:val="28"/>
        </w:rPr>
        <w:t>建筑小区宜</w:t>
      </w:r>
      <w:r>
        <w:rPr>
          <w:rFonts w:hint="eastAsia" w:asciiTheme="minorEastAsia" w:hAnsiTheme="minorEastAsia" w:eastAsiaTheme="minorEastAsia"/>
          <w:bCs/>
          <w:sz w:val="28"/>
          <w:szCs w:val="28"/>
        </w:rPr>
        <w:t>人车分流</w:t>
      </w:r>
      <w:r>
        <w:rPr>
          <w:rFonts w:hint="eastAsia" w:asciiTheme="minorEastAsia" w:hAnsiTheme="minorEastAsia" w:eastAsiaTheme="minorEastAsia"/>
          <w:b/>
          <w:sz w:val="28"/>
          <w:szCs w:val="28"/>
        </w:rPr>
        <w:t>；</w:t>
      </w:r>
    </w:p>
    <w:p>
      <w:pPr>
        <w:spacing w:line="360" w:lineRule="auto"/>
        <w:ind w:firstLine="562" w:firstLineChars="200"/>
        <w:jc w:val="left"/>
        <w:rPr>
          <w:rFonts w:asciiTheme="minorEastAsia" w:hAnsiTheme="minorEastAsia" w:eastAsiaTheme="minorEastAsia"/>
          <w:sz w:val="28"/>
          <w:szCs w:val="28"/>
        </w:rPr>
      </w:pPr>
      <w:r>
        <w:rPr>
          <w:rFonts w:hint="eastAsia" w:asciiTheme="minorEastAsia" w:hAnsiTheme="minorEastAsia" w:eastAsiaTheme="minorEastAsia"/>
          <w:b/>
          <w:bCs/>
          <w:sz w:val="28"/>
          <w:szCs w:val="28"/>
        </w:rPr>
        <w:t>2</w:t>
      </w:r>
      <w:r>
        <w:rPr>
          <w:rFonts w:hint="eastAsia" w:asciiTheme="minorEastAsia" w:hAnsiTheme="minorEastAsia" w:eastAsiaTheme="minorEastAsia"/>
          <w:sz w:val="28"/>
          <w:szCs w:val="28"/>
        </w:rPr>
        <w:t>公共</w:t>
      </w:r>
      <w:r>
        <w:rPr>
          <w:rFonts w:asciiTheme="minorEastAsia" w:hAnsiTheme="minorEastAsia" w:eastAsiaTheme="minorEastAsia"/>
          <w:sz w:val="28"/>
          <w:szCs w:val="28"/>
        </w:rPr>
        <w:t>活动</w:t>
      </w:r>
      <w:r>
        <w:rPr>
          <w:rFonts w:hint="eastAsia" w:asciiTheme="minorEastAsia" w:hAnsiTheme="minorEastAsia" w:eastAsiaTheme="minorEastAsia"/>
          <w:sz w:val="28"/>
          <w:szCs w:val="28"/>
        </w:rPr>
        <w:t>场地、</w:t>
      </w:r>
      <w:r>
        <w:rPr>
          <w:rFonts w:asciiTheme="minorEastAsia" w:hAnsiTheme="minorEastAsia" w:eastAsiaTheme="minorEastAsia"/>
          <w:sz w:val="28"/>
          <w:szCs w:val="28"/>
        </w:rPr>
        <w:t>道路</w:t>
      </w:r>
      <w:r>
        <w:rPr>
          <w:rFonts w:hint="eastAsia" w:asciiTheme="minorEastAsia" w:hAnsiTheme="minorEastAsia" w:eastAsiaTheme="minorEastAsia"/>
          <w:sz w:val="28"/>
          <w:szCs w:val="28"/>
        </w:rPr>
        <w:t>或通道，应满足无障碍设计要求；</w:t>
      </w:r>
    </w:p>
    <w:p>
      <w:pPr>
        <w:spacing w:line="360" w:lineRule="auto"/>
        <w:ind w:firstLine="562" w:firstLineChars="200"/>
        <w:jc w:val="left"/>
        <w:outlineLvl w:val="3"/>
        <w:rPr>
          <w:rFonts w:asciiTheme="minorEastAsia" w:hAnsiTheme="minorEastAsia" w:eastAsiaTheme="minorEastAsia"/>
          <w:sz w:val="28"/>
          <w:szCs w:val="28"/>
        </w:rPr>
      </w:pPr>
      <w:r>
        <w:rPr>
          <w:rFonts w:hint="eastAsia" w:asciiTheme="minorEastAsia" w:hAnsiTheme="minorEastAsia" w:eastAsiaTheme="minorEastAsia"/>
          <w:b/>
          <w:sz w:val="28"/>
          <w:szCs w:val="28"/>
        </w:rPr>
        <w:t>3</w:t>
      </w:r>
      <w:r>
        <w:rPr>
          <w:rFonts w:hint="eastAsia" w:asciiTheme="minorEastAsia" w:hAnsiTheme="minorEastAsia" w:eastAsiaTheme="minorEastAsia"/>
          <w:sz w:val="28"/>
          <w:szCs w:val="28"/>
        </w:rPr>
        <w:t>地面和路面应采取防滑措施；</w:t>
      </w:r>
    </w:p>
    <w:p>
      <w:pPr>
        <w:spacing w:line="360" w:lineRule="auto"/>
        <w:ind w:firstLine="562" w:firstLineChars="200"/>
        <w:jc w:val="left"/>
        <w:rPr>
          <w:rFonts w:asciiTheme="minorEastAsia" w:hAnsiTheme="minorEastAsia" w:eastAsiaTheme="minorEastAsia"/>
          <w:sz w:val="28"/>
          <w:szCs w:val="28"/>
        </w:rPr>
      </w:pPr>
      <w:r>
        <w:rPr>
          <w:rFonts w:hint="eastAsia" w:asciiTheme="minorEastAsia" w:hAnsiTheme="minorEastAsia" w:eastAsiaTheme="minorEastAsia"/>
          <w:b/>
          <w:bCs/>
          <w:sz w:val="28"/>
          <w:szCs w:val="28"/>
        </w:rPr>
        <w:t>4</w:t>
      </w:r>
      <w:r>
        <w:rPr>
          <w:rFonts w:hint="eastAsia" w:asciiTheme="minorEastAsia" w:hAnsiTheme="minorEastAsia" w:eastAsiaTheme="minorEastAsia"/>
          <w:sz w:val="28"/>
          <w:szCs w:val="28"/>
        </w:rPr>
        <w:t>位于距地高度2.0m以下部位的工程设施阳角，应为圆角/钝角设计或另设防护；</w:t>
      </w:r>
    </w:p>
    <w:p>
      <w:pPr>
        <w:spacing w:line="360" w:lineRule="auto"/>
        <w:ind w:firstLine="562" w:firstLineChars="200"/>
        <w:jc w:val="left"/>
        <w:outlineLvl w:val="3"/>
        <w:rPr>
          <w:rFonts w:asciiTheme="minorEastAsia" w:hAnsiTheme="minorEastAsia" w:eastAsiaTheme="minorEastAsia"/>
          <w:bCs/>
          <w:sz w:val="28"/>
          <w:szCs w:val="28"/>
        </w:rPr>
      </w:pPr>
      <w:r>
        <w:rPr>
          <w:rFonts w:hint="eastAsia" w:asciiTheme="minorEastAsia" w:hAnsiTheme="minorEastAsia" w:eastAsiaTheme="minorEastAsia"/>
          <w:b/>
          <w:sz w:val="28"/>
          <w:szCs w:val="28"/>
        </w:rPr>
        <w:t>5</w:t>
      </w:r>
      <w:r>
        <w:rPr>
          <w:rFonts w:hint="eastAsia" w:asciiTheme="minorEastAsia" w:hAnsiTheme="minorEastAsia" w:eastAsiaTheme="minorEastAsia"/>
          <w:bCs/>
          <w:sz w:val="28"/>
          <w:szCs w:val="28"/>
        </w:rPr>
        <w:t>生态敏感区或人居敏感区内，以及城市主干路两侧的建筑物，其距地高度 20m以下的建筑外立面，审慎设置玻璃幕墙。</w:t>
      </w:r>
    </w:p>
    <w:p>
      <w:pPr>
        <w:adjustRightInd w:val="0"/>
        <w:snapToGrid w:val="0"/>
        <w:spacing w:line="360" w:lineRule="auto"/>
        <w:jc w:val="left"/>
        <w:rPr>
          <w:rFonts w:ascii="微软雅黑" w:hAnsi="微软雅黑" w:eastAsia="微软雅黑" w:cs="微软雅黑"/>
          <w:bCs/>
          <w:sz w:val="28"/>
          <w:szCs w:val="28"/>
        </w:rPr>
      </w:pPr>
      <w:r>
        <w:rPr>
          <w:rFonts w:hint="eastAsia" w:ascii="微软雅黑" w:hAnsi="微软雅黑" w:eastAsia="微软雅黑" w:cs="微软雅黑"/>
          <w:sz w:val="28"/>
          <w:szCs w:val="28"/>
        </w:rPr>
        <w:t>【条文说明】</w:t>
      </w:r>
      <w:r>
        <w:rPr>
          <w:rFonts w:hint="eastAsia" w:ascii="微软雅黑" w:hAnsi="微软雅黑" w:eastAsia="微软雅黑" w:cs="微软雅黑"/>
          <w:b/>
          <w:bCs/>
          <w:sz w:val="28"/>
          <w:szCs w:val="28"/>
        </w:rPr>
        <w:t xml:space="preserve">5.2.5 </w:t>
      </w:r>
      <w:r>
        <w:rPr>
          <w:rFonts w:hint="eastAsia" w:ascii="微软雅黑" w:hAnsi="微软雅黑" w:eastAsia="微软雅黑" w:cs="微软雅黑"/>
          <w:bCs/>
          <w:sz w:val="28"/>
          <w:szCs w:val="28"/>
        </w:rPr>
        <w:t>营造全龄市民友好的生产及生活居住环境，是新时期城市建设应当考量的首要问题。本条旨在为包括老年人、婴幼儿和行动不便者等群体在内的全体市民，提供公共活动场地和相应服务设施，打造方便、安全、无障碍的友好环境。</w:t>
      </w:r>
    </w:p>
    <w:p>
      <w:pPr>
        <w:adjustRightInd w:val="0"/>
        <w:snapToGrid w:val="0"/>
        <w:spacing w:line="360" w:lineRule="auto"/>
        <w:ind w:firstLine="560" w:firstLineChars="200"/>
        <w:jc w:val="left"/>
        <w:rPr>
          <w:rFonts w:ascii="微软雅黑" w:hAnsi="微软雅黑" w:eastAsia="微软雅黑" w:cs="微软雅黑"/>
          <w:bCs/>
          <w:sz w:val="28"/>
          <w:szCs w:val="28"/>
        </w:rPr>
      </w:pPr>
      <w:r>
        <w:rPr>
          <w:rFonts w:hint="eastAsia" w:ascii="微软雅黑" w:hAnsi="微软雅黑" w:eastAsia="微软雅黑" w:cs="微软雅黑"/>
          <w:bCs/>
          <w:sz w:val="28"/>
          <w:szCs w:val="28"/>
        </w:rPr>
        <w:t>第1款，建筑内公共空间形成连续的无障碍通道，不仅能满足老人使用需求，同时也为行为障碍者、推婴儿车及搬运行李的普通市民提供方便。建筑内公共空间包括出入口、门厅、走廊、楼梯、电梯等无障碍设计，应符合现行《无障碍设计规范》GB 50763相关规定。</w:t>
      </w:r>
    </w:p>
    <w:p>
      <w:pPr>
        <w:adjustRightInd w:val="0"/>
        <w:snapToGrid w:val="0"/>
        <w:spacing w:line="360" w:lineRule="auto"/>
        <w:ind w:firstLine="560" w:firstLineChars="200"/>
        <w:jc w:val="left"/>
        <w:rPr>
          <w:rFonts w:ascii="微软雅黑" w:hAnsi="微软雅黑" w:eastAsia="微软雅黑" w:cs="微软雅黑"/>
          <w:bCs/>
          <w:sz w:val="28"/>
          <w:szCs w:val="28"/>
        </w:rPr>
      </w:pPr>
      <w:r>
        <w:rPr>
          <w:rFonts w:hint="eastAsia" w:ascii="微软雅黑" w:hAnsi="微软雅黑" w:eastAsia="微软雅黑" w:cs="微软雅黑"/>
          <w:bCs/>
          <w:sz w:val="28"/>
          <w:szCs w:val="28"/>
        </w:rPr>
        <w:t>第4款，建筑公共区域应当充分考虑墙面或者易接触面不应有明显棱角或尖锐突出物，保证其使用者特别是行动不便的老人、残疾人和儿童的行走安全。</w:t>
      </w:r>
    </w:p>
    <w:p>
      <w:pPr>
        <w:adjustRightInd w:val="0"/>
        <w:snapToGrid w:val="0"/>
        <w:spacing w:line="360" w:lineRule="auto"/>
        <w:ind w:firstLine="560" w:firstLineChars="200"/>
        <w:jc w:val="left"/>
        <w:rPr>
          <w:rFonts w:asciiTheme="minorEastAsia" w:hAnsiTheme="minorEastAsia" w:eastAsiaTheme="minorEastAsia"/>
          <w:b/>
          <w:bCs/>
          <w:sz w:val="28"/>
          <w:szCs w:val="28"/>
        </w:rPr>
      </w:pPr>
      <w:r>
        <w:rPr>
          <w:rFonts w:hint="eastAsia" w:ascii="微软雅黑" w:hAnsi="微软雅黑" w:eastAsia="微软雅黑" w:cs="微软雅黑"/>
          <w:sz w:val="28"/>
          <w:szCs w:val="28"/>
        </w:rPr>
        <w:t xml:space="preserve">第5款 </w:t>
      </w:r>
      <w:r>
        <w:rPr>
          <w:rFonts w:hint="eastAsia" w:ascii="微软雅黑" w:hAnsi="微软雅黑" w:eastAsia="微软雅黑" w:cs="微软雅黑"/>
          <w:bCs/>
          <w:sz w:val="28"/>
          <w:szCs w:val="28"/>
        </w:rPr>
        <w:t>生态敏感区系指自然保护区、森林公园，人居敏感区系指居住、医疗、文化教育、科研功能区域。本条“城市主干路”包括市政立交和高架道路。</w:t>
      </w:r>
    </w:p>
    <w:p>
      <w:pPr>
        <w:adjustRightInd w:val="0"/>
        <w:snapToGrid w:val="0"/>
        <w:spacing w:line="360" w:lineRule="auto"/>
        <w:jc w:val="left"/>
        <w:rPr>
          <w:rFonts w:asciiTheme="minorEastAsia" w:hAnsiTheme="minorEastAsia" w:eastAsiaTheme="minorEastAsia"/>
          <w:sz w:val="28"/>
          <w:szCs w:val="28"/>
        </w:rPr>
      </w:pPr>
      <w:r>
        <w:rPr>
          <w:rFonts w:hint="eastAsia" w:asciiTheme="minorEastAsia" w:hAnsiTheme="minorEastAsia" w:eastAsiaTheme="minorEastAsia"/>
          <w:b/>
          <w:bCs/>
          <w:sz w:val="28"/>
          <w:szCs w:val="28"/>
        </w:rPr>
        <w:t>5.2.6</w:t>
      </w:r>
      <w:r>
        <w:rPr>
          <w:rFonts w:hint="eastAsia" w:asciiTheme="minorEastAsia" w:hAnsiTheme="minorEastAsia" w:eastAsiaTheme="minorEastAsia"/>
          <w:sz w:val="28"/>
          <w:szCs w:val="28"/>
        </w:rPr>
        <w:t xml:space="preserve"> 建筑有关设施配置，应符合下列规定：</w:t>
      </w:r>
    </w:p>
    <w:p>
      <w:pPr>
        <w:spacing w:line="360" w:lineRule="auto"/>
        <w:ind w:firstLine="421" w:firstLineChars="150"/>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1</w:t>
      </w:r>
      <w:r>
        <w:rPr>
          <w:rFonts w:hint="eastAsia" w:asciiTheme="minorEastAsia" w:hAnsiTheme="minorEastAsia" w:eastAsiaTheme="minorEastAsia"/>
          <w:bCs/>
          <w:sz w:val="28"/>
          <w:szCs w:val="28"/>
        </w:rPr>
        <w:t>应在居住建筑首层、地下层或小区内，</w:t>
      </w:r>
      <w:r>
        <w:rPr>
          <w:rFonts w:asciiTheme="minorEastAsia" w:hAnsiTheme="minorEastAsia" w:eastAsiaTheme="minorEastAsia"/>
          <w:bCs/>
          <w:sz w:val="28"/>
          <w:szCs w:val="28"/>
        </w:rPr>
        <w:t>设置</w:t>
      </w:r>
      <w:r>
        <w:rPr>
          <w:rFonts w:hint="eastAsia" w:asciiTheme="minorEastAsia" w:hAnsiTheme="minorEastAsia" w:eastAsiaTheme="minorEastAsia"/>
          <w:bCs/>
          <w:sz w:val="28"/>
          <w:szCs w:val="28"/>
        </w:rPr>
        <w:t>与周围环境相协调的智能垃圾分类收集专门场所；</w:t>
      </w:r>
    </w:p>
    <w:p>
      <w:pPr>
        <w:spacing w:line="360" w:lineRule="auto"/>
        <w:ind w:firstLine="421" w:firstLineChars="150"/>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2</w:t>
      </w:r>
      <w:r>
        <w:rPr>
          <w:rFonts w:hint="eastAsia" w:asciiTheme="minorEastAsia" w:hAnsiTheme="minorEastAsia" w:eastAsiaTheme="minorEastAsia"/>
          <w:bCs/>
          <w:sz w:val="28"/>
          <w:szCs w:val="28"/>
        </w:rPr>
        <w:t xml:space="preserve"> 条件适宜的住宅建筑，其厨房可设置优质厨余垃圾处理器；</w:t>
      </w:r>
    </w:p>
    <w:p>
      <w:pPr>
        <w:spacing w:line="360" w:lineRule="auto"/>
        <w:ind w:firstLine="421" w:firstLineChars="150"/>
        <w:jc w:val="left"/>
        <w:outlineLvl w:val="3"/>
        <w:rPr>
          <w:rFonts w:asciiTheme="minorEastAsia" w:hAnsiTheme="minorEastAsia"/>
          <w:bCs/>
          <w:sz w:val="28"/>
          <w:szCs w:val="28"/>
        </w:rPr>
      </w:pPr>
      <w:r>
        <w:rPr>
          <w:rFonts w:hint="eastAsia" w:asciiTheme="minorEastAsia" w:hAnsiTheme="minorEastAsia" w:eastAsiaTheme="minorEastAsia"/>
          <w:b/>
          <w:sz w:val="28"/>
          <w:szCs w:val="28"/>
        </w:rPr>
        <w:t>3</w:t>
      </w:r>
      <w:r>
        <w:rPr>
          <w:rFonts w:hint="eastAsia" w:asciiTheme="minorEastAsia" w:hAnsiTheme="minorEastAsia" w:eastAsiaTheme="minorEastAsia"/>
          <w:bCs/>
          <w:sz w:val="28"/>
          <w:szCs w:val="28"/>
        </w:rPr>
        <w:t xml:space="preserve"> 应考虑设置智慧快件收寄投递专门场所；</w:t>
      </w:r>
    </w:p>
    <w:p>
      <w:pPr>
        <w:spacing w:line="360" w:lineRule="auto"/>
        <w:ind w:firstLine="421" w:firstLineChars="150"/>
        <w:jc w:val="left"/>
        <w:outlineLvl w:val="3"/>
        <w:rPr>
          <w:rFonts w:asciiTheme="minorEastAsia" w:hAnsiTheme="minorEastAsia" w:eastAsiaTheme="minorEastAsia"/>
          <w:bCs/>
          <w:sz w:val="28"/>
          <w:szCs w:val="28"/>
        </w:rPr>
      </w:pPr>
      <w:r>
        <w:rPr>
          <w:rFonts w:hint="eastAsia" w:asciiTheme="minorEastAsia" w:hAnsiTheme="minorEastAsia" w:eastAsiaTheme="minorEastAsia"/>
          <w:b/>
          <w:sz w:val="28"/>
          <w:szCs w:val="28"/>
        </w:rPr>
        <w:t>4</w:t>
      </w:r>
      <w:r>
        <w:rPr>
          <w:rFonts w:hint="eastAsia" w:asciiTheme="minorEastAsia" w:hAnsiTheme="minorEastAsia" w:eastAsiaTheme="minorEastAsia"/>
          <w:bCs/>
          <w:sz w:val="28"/>
          <w:szCs w:val="28"/>
        </w:rPr>
        <w:t>住宅建筑和大型公共建筑的停车场应按不少于汽车停车位数量的3</w:t>
      </w:r>
      <w:r>
        <w:rPr>
          <w:rFonts w:asciiTheme="minorEastAsia" w:hAnsiTheme="minorEastAsia" w:eastAsiaTheme="minorEastAsia"/>
          <w:bCs/>
          <w:sz w:val="28"/>
          <w:szCs w:val="28"/>
        </w:rPr>
        <w:t>0%</w:t>
      </w:r>
      <w:r>
        <w:rPr>
          <w:rFonts w:hint="eastAsia" w:asciiTheme="minorEastAsia" w:hAnsiTheme="minorEastAsia" w:eastAsiaTheme="minorEastAsia"/>
          <w:bCs/>
          <w:sz w:val="28"/>
          <w:szCs w:val="28"/>
        </w:rPr>
        <w:t>配建充电设备，其余停车位应预留建设安装条件；</w:t>
      </w:r>
    </w:p>
    <w:p>
      <w:pPr>
        <w:adjustRightInd w:val="0"/>
        <w:snapToGrid w:val="0"/>
        <w:spacing w:line="360" w:lineRule="auto"/>
        <w:ind w:firstLine="421" w:firstLineChars="150"/>
        <w:jc w:val="left"/>
        <w:rPr>
          <w:rFonts w:asciiTheme="minorEastAsia" w:hAnsiTheme="minorEastAsia" w:eastAsiaTheme="minorEastAsia"/>
          <w:sz w:val="28"/>
          <w:szCs w:val="28"/>
        </w:rPr>
      </w:pPr>
      <w:r>
        <w:rPr>
          <w:rFonts w:hint="eastAsia" w:asciiTheme="minorEastAsia" w:hAnsiTheme="minorEastAsia" w:eastAsiaTheme="minorEastAsia"/>
          <w:b/>
          <w:bCs/>
          <w:sz w:val="28"/>
          <w:szCs w:val="28"/>
        </w:rPr>
        <w:t>5</w:t>
      </w:r>
      <w:r>
        <w:rPr>
          <w:rFonts w:hint="eastAsia" w:asciiTheme="minorEastAsia" w:hAnsiTheme="minorEastAsia" w:eastAsiaTheme="minorEastAsia"/>
          <w:sz w:val="28"/>
          <w:szCs w:val="28"/>
        </w:rPr>
        <w:t>公共场所母婴室设置，应符合《深圳市公共场所母婴室设计规程》SJG 54有关规定；</w:t>
      </w:r>
    </w:p>
    <w:p>
      <w:pPr>
        <w:adjustRightInd w:val="0"/>
        <w:snapToGrid w:val="0"/>
        <w:spacing w:line="360" w:lineRule="auto"/>
        <w:ind w:firstLine="421" w:firstLineChars="150"/>
        <w:jc w:val="left"/>
        <w:rPr>
          <w:rFonts w:asciiTheme="minorEastAsia" w:hAnsiTheme="minorEastAsia" w:eastAsiaTheme="minorEastAsia"/>
          <w:bCs/>
          <w:color w:val="00B050"/>
          <w:sz w:val="28"/>
          <w:szCs w:val="28"/>
        </w:rPr>
      </w:pPr>
      <w:r>
        <w:rPr>
          <w:rFonts w:hint="eastAsia" w:asciiTheme="minorEastAsia" w:hAnsiTheme="minorEastAsia" w:eastAsiaTheme="minorEastAsia"/>
          <w:b/>
          <w:bCs/>
          <w:sz w:val="28"/>
          <w:szCs w:val="28"/>
        </w:rPr>
        <w:t>6</w:t>
      </w:r>
      <w:r>
        <w:rPr>
          <w:rFonts w:hint="eastAsia" w:asciiTheme="minorEastAsia" w:hAnsiTheme="minorEastAsia" w:eastAsiaTheme="minorEastAsia"/>
          <w:sz w:val="28"/>
          <w:szCs w:val="28"/>
        </w:rPr>
        <w:t xml:space="preserve"> 男女使用人数基本均衡的公共厕所，女厕位宜为男厕位（大、小便器之和）的1.5倍以上；</w:t>
      </w:r>
    </w:p>
    <w:p>
      <w:pPr>
        <w:spacing w:line="360" w:lineRule="auto"/>
        <w:ind w:firstLine="562" w:firstLineChars="200"/>
        <w:jc w:val="left"/>
        <w:rPr>
          <w:rFonts w:asciiTheme="minorEastAsia" w:hAnsiTheme="minorEastAsia" w:eastAsiaTheme="minorEastAsia"/>
          <w:sz w:val="28"/>
          <w:szCs w:val="28"/>
        </w:rPr>
      </w:pPr>
      <w:r>
        <w:rPr>
          <w:rFonts w:hint="eastAsia" w:asciiTheme="minorEastAsia" w:hAnsiTheme="minorEastAsia" w:eastAsiaTheme="minorEastAsia"/>
          <w:b/>
          <w:bCs/>
          <w:sz w:val="28"/>
          <w:szCs w:val="28"/>
        </w:rPr>
        <w:t>7</w:t>
      </w:r>
      <w:r>
        <w:rPr>
          <w:rFonts w:hint="eastAsia" w:asciiTheme="minorEastAsia" w:hAnsiTheme="minorEastAsia" w:eastAsiaTheme="minorEastAsia"/>
          <w:sz w:val="28"/>
          <w:szCs w:val="28"/>
        </w:rPr>
        <w:t>公共场所自动扶梯宜根据负载状态(无人、少人、多数人、载满人)自动调节运行速度。</w:t>
      </w:r>
    </w:p>
    <w:p>
      <w:pPr>
        <w:pStyle w:val="114"/>
        <w:spacing w:line="360" w:lineRule="auto"/>
        <w:outlineLvl w:val="3"/>
        <w:rPr>
          <w:rFonts w:ascii="微软雅黑" w:hAnsi="微软雅黑" w:eastAsia="微软雅黑" w:cs="微软雅黑"/>
          <w:bCs/>
          <w:color w:val="auto"/>
          <w:sz w:val="28"/>
          <w:szCs w:val="28"/>
        </w:rPr>
      </w:pPr>
      <w:r>
        <w:rPr>
          <w:rFonts w:hint="eastAsia" w:ascii="微软雅黑" w:hAnsi="微软雅黑" w:eastAsia="微软雅黑" w:cs="微软雅黑"/>
          <w:bCs/>
          <w:color w:val="auto"/>
          <w:sz w:val="28"/>
          <w:szCs w:val="28"/>
        </w:rPr>
        <w:t>【条文说明】5.2.6  第2款 厨余垃圾处理器，系指装于厨房洗涤盆下部，能将食物残余物通过小型电动机进行研磨、粉碎，并经厨房排水管排放的一款卫生清洁器具。为避免堵塞，要求此时排水管设计管径适当放大。</w:t>
      </w:r>
    </w:p>
    <w:p>
      <w:pPr>
        <w:snapToGrid w:val="0"/>
        <w:spacing w:line="360" w:lineRule="auto"/>
        <w:ind w:firstLine="560" w:firstLineChars="200"/>
        <w:outlineLvl w:val="3"/>
        <w:rPr>
          <w:rFonts w:ascii="微软雅黑" w:hAnsi="微软雅黑" w:eastAsia="微软雅黑" w:cs="微软雅黑"/>
          <w:bCs/>
          <w:sz w:val="28"/>
          <w:szCs w:val="28"/>
        </w:rPr>
      </w:pPr>
      <w:r>
        <w:rPr>
          <w:rFonts w:hint="eastAsia" w:ascii="微软雅黑" w:hAnsi="微软雅黑" w:eastAsia="微软雅黑" w:cs="微软雅黑"/>
          <w:bCs/>
          <w:kern w:val="0"/>
          <w:sz w:val="28"/>
          <w:szCs w:val="28"/>
        </w:rPr>
        <w:t>第4款，根据《深圳市2016-2020年新能源汽车推广应用工作方案》要求，新建住宅、大型公共建筑物和社会公共停车场应按停车位数量的30%配建慢速充电桩，并100%预留建设安装条件。“预留建设安装条件”是指：对于给全部电动汽车提供充电电源的变压器及其高低压配电装置，至少应预留其安装空间；条件适宜的，也可将变压器及其高低压配电装置一次性设置到位。</w:t>
      </w:r>
    </w:p>
    <w:p>
      <w:pPr>
        <w:snapToGrid w:val="0"/>
        <w:spacing w:line="360" w:lineRule="auto"/>
        <w:ind w:firstLine="560" w:firstLineChars="200"/>
        <w:outlineLvl w:val="3"/>
        <w:rPr>
          <w:rFonts w:ascii="微软雅黑" w:hAnsi="微软雅黑" w:eastAsia="微软雅黑" w:cs="微软雅黑"/>
          <w:bCs/>
          <w:kern w:val="0"/>
          <w:sz w:val="28"/>
          <w:szCs w:val="28"/>
        </w:rPr>
      </w:pPr>
      <w:r>
        <w:rPr>
          <w:rFonts w:hint="eastAsia" w:ascii="微软雅黑" w:hAnsi="微软雅黑" w:eastAsia="微软雅黑" w:cs="微软雅黑"/>
          <w:bCs/>
          <w:kern w:val="0"/>
          <w:sz w:val="28"/>
          <w:szCs w:val="28"/>
        </w:rPr>
        <w:t>第5款，公共区域设置母婴室，可为婴幼儿哺育提供安全和便利的环境，其设计应符合现行《深圳市公共场所母婴室设计规程》SJG 54。</w:t>
      </w:r>
    </w:p>
    <w:p>
      <w:pPr>
        <w:adjustRightInd w:val="0"/>
        <w:spacing w:line="360" w:lineRule="auto"/>
        <w:ind w:firstLine="560" w:firstLineChars="200"/>
        <w:jc w:val="left"/>
        <w:rPr>
          <w:rFonts w:ascii="微软雅黑" w:hAnsi="微软雅黑" w:eastAsia="微软雅黑" w:cs="微软雅黑"/>
          <w:bCs/>
          <w:sz w:val="28"/>
          <w:szCs w:val="28"/>
        </w:rPr>
      </w:pPr>
      <w:r>
        <w:rPr>
          <w:rFonts w:hint="eastAsia" w:ascii="微软雅黑" w:hAnsi="微软雅黑" w:eastAsia="微软雅黑" w:cs="微软雅黑"/>
          <w:bCs/>
          <w:sz w:val="28"/>
          <w:szCs w:val="28"/>
        </w:rPr>
        <w:t xml:space="preserve">第6款 </w:t>
      </w:r>
      <w:r>
        <w:rPr>
          <w:rFonts w:hint="eastAsia" w:ascii="微软雅黑" w:hAnsi="微软雅黑" w:eastAsia="微软雅黑" w:cs="微软雅黑"/>
          <w:bCs/>
          <w:kern w:val="0"/>
          <w:sz w:val="28"/>
          <w:szCs w:val="28"/>
        </w:rPr>
        <w:t>常规公共场所男女厕位比例设置失当，已成为社会普遍诟病的话题。根据现行《民用建筑设计统一标准》GB 50352（自2019年10月1日起实施）第6.6.2条：“在男女使用人数基本均衡时，男厕厕位(含大、小便器)与女厕厕位数量的比例宜为1：1～1：1．5；在商场、体育场馆、学校、观演建筑、交通建筑、公园等场所，厕位数量比不宜小于1：1．5～1：2”。本导则本款规定稍严于国标要求。</w:t>
      </w:r>
    </w:p>
    <w:p>
      <w:pPr>
        <w:adjustRightInd w:val="0"/>
        <w:spacing w:line="360" w:lineRule="auto"/>
        <w:ind w:firstLine="420" w:firstLineChars="150"/>
        <w:jc w:val="left"/>
        <w:rPr>
          <w:rFonts w:asciiTheme="minorEastAsia" w:hAnsiTheme="minorEastAsia" w:eastAsiaTheme="minorEastAsia"/>
          <w:bCs/>
          <w:color w:val="00B050"/>
          <w:sz w:val="28"/>
          <w:szCs w:val="28"/>
        </w:rPr>
      </w:pPr>
      <w:r>
        <w:rPr>
          <w:rFonts w:hint="eastAsia" w:ascii="微软雅黑" w:hAnsi="微软雅黑" w:eastAsia="微软雅黑" w:cs="微软雅黑"/>
          <w:bCs/>
          <w:sz w:val="28"/>
          <w:szCs w:val="28"/>
        </w:rPr>
        <w:t>第7款 本款源自《民用建筑设计统一标准》GB 50352-2019有关规定。</w:t>
      </w:r>
    </w:p>
    <w:p>
      <w:pPr>
        <w:spacing w:line="360" w:lineRule="auto"/>
        <w:jc w:val="left"/>
        <w:outlineLvl w:val="3"/>
        <w:rPr>
          <w:rFonts w:asciiTheme="minorEastAsia" w:hAnsiTheme="minorEastAsia" w:eastAsiaTheme="minorEastAsia"/>
          <w:b/>
          <w:sz w:val="28"/>
          <w:szCs w:val="28"/>
        </w:rPr>
      </w:pPr>
      <w:bookmarkStart w:id="37" w:name="_Toc533506229"/>
      <w:bookmarkStart w:id="38" w:name="_Toc533441657"/>
      <w:r>
        <w:rPr>
          <w:rFonts w:hint="eastAsia" w:asciiTheme="minorEastAsia" w:hAnsiTheme="minorEastAsia" w:eastAsiaTheme="minorEastAsia"/>
          <w:b/>
          <w:sz w:val="28"/>
          <w:szCs w:val="28"/>
        </w:rPr>
        <w:t xml:space="preserve">5.2.7 </w:t>
      </w:r>
      <w:r>
        <w:rPr>
          <w:rFonts w:hint="eastAsia" w:asciiTheme="minorEastAsia" w:hAnsiTheme="minorEastAsia" w:eastAsiaTheme="minorEastAsia"/>
          <w:sz w:val="28"/>
          <w:szCs w:val="28"/>
        </w:rPr>
        <w:t>建筑设计应充分利用自然采光。常规功能的日常工作房间，其室内各表面反射比应符合表5.2.7的规定。</w:t>
      </w:r>
    </w:p>
    <w:p>
      <w:pPr>
        <w:spacing w:line="360" w:lineRule="auto"/>
        <w:ind w:firstLine="2670" w:firstLineChars="95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表5</w:t>
      </w:r>
      <w:r>
        <w:rPr>
          <w:rFonts w:asciiTheme="minorEastAsia" w:hAnsiTheme="minorEastAsia" w:eastAsiaTheme="minorEastAsia"/>
          <w:b/>
          <w:sz w:val="28"/>
          <w:szCs w:val="28"/>
        </w:rPr>
        <w:t>.2.</w:t>
      </w:r>
      <w:r>
        <w:rPr>
          <w:rFonts w:hint="eastAsia" w:asciiTheme="minorEastAsia" w:hAnsiTheme="minorEastAsia" w:eastAsiaTheme="minorEastAsia"/>
          <w:b/>
          <w:sz w:val="28"/>
          <w:szCs w:val="28"/>
        </w:rPr>
        <w:t>7  室内表面反射比</w:t>
      </w:r>
    </w:p>
    <w:tbl>
      <w:tblPr>
        <w:tblStyle w:val="5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表面名称</w:t>
            </w:r>
          </w:p>
        </w:tc>
        <w:tc>
          <w:tcPr>
            <w:tcW w:w="4261" w:type="dxa"/>
          </w:tcPr>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反射比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顶棚</w:t>
            </w:r>
          </w:p>
        </w:tc>
        <w:tc>
          <w:tcPr>
            <w:tcW w:w="4261" w:type="dxa"/>
          </w:tcPr>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0.60~</w:t>
            </w:r>
            <w:r>
              <w:rPr>
                <w:rFonts w:asciiTheme="minorEastAsia" w:hAnsiTheme="minorEastAsia" w:eastAsiaTheme="minorEastAsia"/>
                <w:sz w:val="28"/>
                <w:szCs w:val="28"/>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墙面</w:t>
            </w:r>
          </w:p>
        </w:tc>
        <w:tc>
          <w:tcPr>
            <w:tcW w:w="4261" w:type="dxa"/>
          </w:tcPr>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0.30~0.80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地面</w:t>
            </w:r>
          </w:p>
        </w:tc>
        <w:tc>
          <w:tcPr>
            <w:tcW w:w="4261" w:type="dxa"/>
          </w:tcPr>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0.10~0.50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桌面、工作面</w:t>
            </w:r>
          </w:p>
        </w:tc>
        <w:tc>
          <w:tcPr>
            <w:tcW w:w="4261" w:type="dxa"/>
          </w:tcPr>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0.20~0.60</w:t>
            </w:r>
          </w:p>
        </w:tc>
      </w:tr>
    </w:tbl>
    <w:p>
      <w:pPr>
        <w:adjustRightInd w:val="0"/>
        <w:spacing w:line="360" w:lineRule="auto"/>
        <w:jc w:val="left"/>
        <w:outlineLvl w:val="3"/>
        <w:rPr>
          <w:rFonts w:ascii="微软雅黑" w:hAnsi="微软雅黑" w:eastAsia="微软雅黑" w:cs="微软雅黑"/>
          <w:b/>
          <w:bCs/>
          <w:sz w:val="28"/>
          <w:szCs w:val="28"/>
        </w:rPr>
      </w:pPr>
      <w:r>
        <w:rPr>
          <w:rFonts w:hint="eastAsia" w:ascii="微软雅黑" w:hAnsi="微软雅黑" w:eastAsia="微软雅黑" w:cs="微软雅黑"/>
          <w:bCs/>
          <w:sz w:val="28"/>
          <w:szCs w:val="28"/>
        </w:rPr>
        <w:t>【条文说明】</w:t>
      </w:r>
      <w:r>
        <w:rPr>
          <w:rFonts w:hint="eastAsia" w:ascii="微软雅黑" w:hAnsi="微软雅黑" w:eastAsia="微软雅黑" w:cs="微软雅黑"/>
          <w:b/>
          <w:sz w:val="28"/>
          <w:szCs w:val="28"/>
        </w:rPr>
        <w:t xml:space="preserve"> 5.2.7 </w:t>
      </w:r>
      <w:r>
        <w:rPr>
          <w:rFonts w:hint="eastAsia" w:ascii="微软雅黑" w:hAnsi="微软雅黑" w:eastAsia="微软雅黑" w:cs="微软雅黑"/>
          <w:kern w:val="0"/>
          <w:sz w:val="28"/>
          <w:szCs w:val="28"/>
        </w:rPr>
        <w:t>表</w:t>
      </w:r>
      <w:r>
        <w:rPr>
          <w:rFonts w:hint="eastAsia" w:ascii="微软雅黑" w:hAnsi="微软雅黑" w:eastAsia="微软雅黑" w:cs="微软雅黑"/>
          <w:bCs/>
          <w:sz w:val="28"/>
          <w:szCs w:val="28"/>
        </w:rPr>
        <w:t>5.2.7</w:t>
      </w:r>
      <w:r>
        <w:rPr>
          <w:rFonts w:hint="eastAsia" w:ascii="微软雅黑" w:hAnsi="微软雅黑" w:eastAsia="微软雅黑" w:cs="微软雅黑"/>
          <w:kern w:val="0"/>
          <w:sz w:val="28"/>
          <w:szCs w:val="28"/>
        </w:rPr>
        <w:t>源自现行《建筑照明设计标准》GB 50034。房间在满足使用功能的前提下，其室内各表面采用较高的反射比，将有利于照明节能。</w:t>
      </w:r>
    </w:p>
    <w:p>
      <w:pPr>
        <w:adjustRightInd w:val="0"/>
        <w:spacing w:line="360" w:lineRule="auto"/>
        <w:jc w:val="left"/>
        <w:outlineLvl w:val="3"/>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5.2.8 </w:t>
      </w:r>
      <w:r>
        <w:rPr>
          <w:rFonts w:hint="eastAsia" w:asciiTheme="minorEastAsia" w:hAnsiTheme="minorEastAsia" w:eastAsiaTheme="minorEastAsia"/>
          <w:sz w:val="28"/>
          <w:szCs w:val="28"/>
        </w:rPr>
        <w:t>对于</w:t>
      </w:r>
      <w:r>
        <w:rPr>
          <w:rFonts w:hint="eastAsia" w:asciiTheme="minorEastAsia" w:hAnsiTheme="minorEastAsia" w:eastAsiaTheme="minorEastAsia"/>
          <w:bCs/>
          <w:sz w:val="28"/>
          <w:szCs w:val="28"/>
        </w:rPr>
        <w:t>邻近交通干线的噪声敏感建筑物，设计应合理安排房间使用功能，减少交通噪声干扰。</w:t>
      </w:r>
    </w:p>
    <w:p>
      <w:pPr>
        <w:spacing w:line="360" w:lineRule="auto"/>
        <w:jc w:val="left"/>
        <w:rPr>
          <w:rFonts w:ascii="微软雅黑" w:hAnsi="微软雅黑" w:eastAsia="微软雅黑" w:cs="微软雅黑"/>
          <w:b/>
          <w:bCs/>
          <w:sz w:val="28"/>
          <w:szCs w:val="28"/>
        </w:rPr>
      </w:pPr>
      <w:r>
        <w:rPr>
          <w:rFonts w:hint="eastAsia" w:ascii="微软雅黑" w:hAnsi="微软雅黑" w:eastAsia="微软雅黑" w:cs="微软雅黑"/>
          <w:kern w:val="0"/>
          <w:sz w:val="28"/>
          <w:szCs w:val="28"/>
        </w:rPr>
        <w:t xml:space="preserve">【条文说明】 </w:t>
      </w:r>
      <w:r>
        <w:rPr>
          <w:rFonts w:hint="eastAsia" w:ascii="微软雅黑" w:hAnsi="微软雅黑" w:eastAsia="微软雅黑" w:cs="微软雅黑"/>
          <w:b/>
          <w:bCs/>
          <w:sz w:val="28"/>
          <w:szCs w:val="28"/>
        </w:rPr>
        <w:t xml:space="preserve">5.2.8 </w:t>
      </w:r>
      <w:r>
        <w:rPr>
          <w:rFonts w:hint="eastAsia" w:ascii="微软雅黑" w:hAnsi="微软雅黑" w:eastAsia="微软雅黑" w:cs="微软雅黑"/>
          <w:kern w:val="0"/>
          <w:sz w:val="28"/>
          <w:szCs w:val="28"/>
        </w:rPr>
        <w:t>比如，设计可将住宅面向交通干线一侧设置厨房、卫生间等非居住功能用房。</w:t>
      </w:r>
    </w:p>
    <w:p>
      <w:pPr>
        <w:spacing w:line="360" w:lineRule="auto"/>
        <w:jc w:val="left"/>
        <w:outlineLvl w:val="3"/>
        <w:rPr>
          <w:rFonts w:cs="Arial" w:asciiTheme="minorEastAsia" w:hAnsiTheme="minorEastAsia" w:eastAsiaTheme="minorEastAsia"/>
          <w:bCs/>
          <w:sz w:val="28"/>
          <w:szCs w:val="28"/>
        </w:rPr>
      </w:pPr>
      <w:r>
        <w:rPr>
          <w:rFonts w:hint="eastAsia" w:asciiTheme="minorEastAsia" w:hAnsiTheme="minorEastAsia" w:eastAsiaTheme="minorEastAsia"/>
          <w:b/>
          <w:bCs/>
          <w:sz w:val="28"/>
          <w:szCs w:val="28"/>
        </w:rPr>
        <w:t>5.2.9</w:t>
      </w:r>
      <w:r>
        <w:rPr>
          <w:rFonts w:hint="eastAsia" w:cs="Arial" w:asciiTheme="minorEastAsia" w:hAnsiTheme="minorEastAsia" w:eastAsiaTheme="minorEastAsia"/>
          <w:b/>
          <w:sz w:val="28"/>
          <w:szCs w:val="28"/>
        </w:rPr>
        <w:t xml:space="preserve"> </w:t>
      </w:r>
      <w:r>
        <w:rPr>
          <w:rFonts w:hint="eastAsia" w:cs="Arial" w:asciiTheme="minorEastAsia" w:hAnsiTheme="minorEastAsia" w:eastAsiaTheme="minorEastAsia"/>
          <w:bCs/>
          <w:sz w:val="28"/>
          <w:szCs w:val="28"/>
        </w:rPr>
        <w:t>建筑工程防水设计应与主体设计同步进行，并应采取与下列规定相适应的设计措施：</w:t>
      </w:r>
    </w:p>
    <w:p>
      <w:pPr>
        <w:adjustRightInd w:val="0"/>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1</w:t>
      </w:r>
      <w:r>
        <w:rPr>
          <w:rFonts w:hint="eastAsia" w:asciiTheme="minorEastAsia" w:hAnsiTheme="minorEastAsia" w:eastAsiaTheme="minorEastAsia"/>
          <w:bCs/>
          <w:sz w:val="28"/>
          <w:szCs w:val="28"/>
        </w:rPr>
        <w:t xml:space="preserve"> 地下工程防水设计工作年限不低于工程结构设计工作年限；</w:t>
      </w:r>
    </w:p>
    <w:p>
      <w:pPr>
        <w:adjustRightInd w:val="0"/>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2</w:t>
      </w:r>
      <w:r>
        <w:rPr>
          <w:rFonts w:hint="eastAsia" w:asciiTheme="minorEastAsia" w:hAnsiTheme="minorEastAsia" w:eastAsiaTheme="minorEastAsia"/>
          <w:bCs/>
          <w:sz w:val="28"/>
          <w:szCs w:val="28"/>
        </w:rPr>
        <w:t xml:space="preserve"> 屋面工程和外墙工程防水设计工作年限均不低于25 年；</w:t>
      </w:r>
    </w:p>
    <w:p>
      <w:pPr>
        <w:adjustRightInd w:val="0"/>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3</w:t>
      </w:r>
      <w:r>
        <w:rPr>
          <w:rFonts w:hint="eastAsia" w:asciiTheme="minorEastAsia" w:hAnsiTheme="minorEastAsia" w:eastAsiaTheme="minorEastAsia"/>
          <w:bCs/>
          <w:sz w:val="28"/>
          <w:szCs w:val="28"/>
        </w:rPr>
        <w:t xml:space="preserve"> 室内工程防水设计工作年限不低于30 年。</w:t>
      </w:r>
    </w:p>
    <w:p>
      <w:pPr>
        <w:pStyle w:val="114"/>
        <w:spacing w:line="360" w:lineRule="auto"/>
        <w:outlineLvl w:val="3"/>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【条文说明】</w:t>
      </w:r>
      <w:r>
        <w:rPr>
          <w:rFonts w:hint="eastAsia" w:ascii="微软雅黑" w:hAnsi="微软雅黑" w:eastAsia="微软雅黑" w:cs="微软雅黑"/>
          <w:b/>
          <w:bCs/>
          <w:color w:val="auto"/>
          <w:sz w:val="28"/>
          <w:szCs w:val="28"/>
        </w:rPr>
        <w:t xml:space="preserve">5.2.9 </w:t>
      </w:r>
      <w:r>
        <w:rPr>
          <w:rFonts w:hint="eastAsia" w:ascii="微软雅黑" w:hAnsi="微软雅黑" w:eastAsia="微软雅黑" w:cs="微软雅黑"/>
          <w:color w:val="auto"/>
          <w:sz w:val="28"/>
          <w:szCs w:val="28"/>
        </w:rPr>
        <w:t>本条源自《建筑和市政工程通用防水规范》（征求意见稿）。</w:t>
      </w:r>
    </w:p>
    <w:p>
      <w:pPr>
        <w:adjustRightInd w:val="0"/>
        <w:spacing w:line="360" w:lineRule="auto"/>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5.2.10</w:t>
      </w:r>
      <w:r>
        <w:rPr>
          <w:rFonts w:hint="eastAsia" w:asciiTheme="minorEastAsia" w:hAnsiTheme="minorEastAsia" w:eastAsiaTheme="minorEastAsia"/>
          <w:bCs/>
          <w:sz w:val="28"/>
          <w:szCs w:val="28"/>
        </w:rPr>
        <w:t xml:space="preserve"> 结构设计，应符合下列规定：</w:t>
      </w:r>
    </w:p>
    <w:p>
      <w:pPr>
        <w:adjustRightInd w:val="0"/>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 xml:space="preserve">1 </w:t>
      </w:r>
      <w:r>
        <w:rPr>
          <w:rFonts w:hint="eastAsia" w:asciiTheme="minorEastAsia" w:hAnsiTheme="minorEastAsia" w:eastAsiaTheme="minorEastAsia"/>
          <w:bCs/>
          <w:sz w:val="28"/>
          <w:szCs w:val="28"/>
        </w:rPr>
        <w:t>鼓励建筑工程采用钢结构体系；</w:t>
      </w:r>
    </w:p>
    <w:p>
      <w:pPr>
        <w:adjustRightInd w:val="0"/>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 xml:space="preserve">2 </w:t>
      </w:r>
      <w:r>
        <w:rPr>
          <w:rFonts w:hint="eastAsia" w:asciiTheme="minorEastAsia" w:hAnsiTheme="minorEastAsia" w:eastAsiaTheme="minorEastAsia"/>
          <w:bCs/>
          <w:sz w:val="28"/>
          <w:szCs w:val="28"/>
        </w:rPr>
        <w:t>钢结构工程应积极采用Q345及以上高强钢材、非现场焊接节点（如螺栓连接）和施工时免支撑的楼屋面板；</w:t>
      </w:r>
    </w:p>
    <w:p>
      <w:pPr>
        <w:adjustRightInd w:val="0"/>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3</w:t>
      </w:r>
      <w:r>
        <w:rPr>
          <w:rFonts w:hint="eastAsia" w:asciiTheme="minorEastAsia" w:hAnsiTheme="minorEastAsia" w:eastAsiaTheme="minorEastAsia"/>
          <w:bCs/>
          <w:sz w:val="28"/>
          <w:szCs w:val="28"/>
        </w:rPr>
        <w:t>钢筋混凝土结构应积极采用400MPa级及以上强度等级钢筋，超高层建筑混凝土竖向承重结构应积极采用强度等级不小于C50混凝土；</w:t>
      </w:r>
    </w:p>
    <w:p>
      <w:pPr>
        <w:adjustRightInd w:val="0"/>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bCs/>
          <w:sz w:val="28"/>
          <w:szCs w:val="28"/>
        </w:rPr>
        <w:t xml:space="preserve">4 </w:t>
      </w:r>
      <w:r>
        <w:rPr>
          <w:rFonts w:hint="eastAsia" w:asciiTheme="minorEastAsia" w:hAnsiTheme="minorEastAsia" w:eastAsiaTheme="minorEastAsia"/>
          <w:bCs/>
          <w:sz w:val="28"/>
          <w:szCs w:val="28"/>
        </w:rPr>
        <w:t>抗震与减隔震设计，尚应符合《深圳市抗震与消能减震技术规程》SJG 56有关规定。</w:t>
      </w:r>
    </w:p>
    <w:p>
      <w:pPr>
        <w:pStyle w:val="114"/>
        <w:spacing w:line="360" w:lineRule="auto"/>
        <w:outlineLvl w:val="3"/>
        <w:rPr>
          <w:rFonts w:asciiTheme="minorEastAsia" w:hAnsiTheme="minorEastAsia" w:eastAsiaTheme="minorEastAsia"/>
          <w:bCs/>
          <w:sz w:val="28"/>
          <w:szCs w:val="28"/>
        </w:rPr>
      </w:pPr>
      <w:r>
        <w:rPr>
          <w:rFonts w:hint="eastAsia" w:ascii="微软雅黑" w:hAnsi="微软雅黑" w:eastAsia="微软雅黑" w:cs="微软雅黑"/>
          <w:color w:val="auto"/>
          <w:sz w:val="28"/>
          <w:szCs w:val="28"/>
        </w:rPr>
        <w:t>【条文说明】</w:t>
      </w:r>
      <w:r>
        <w:rPr>
          <w:rFonts w:hint="eastAsia" w:ascii="微软雅黑" w:hAnsi="微软雅黑" w:eastAsia="微软雅黑" w:cs="微软雅黑"/>
          <w:b/>
          <w:bCs/>
          <w:sz w:val="28"/>
          <w:szCs w:val="28"/>
        </w:rPr>
        <w:t xml:space="preserve">5.2.10 </w:t>
      </w:r>
      <w:r>
        <w:rPr>
          <w:rFonts w:hint="eastAsia" w:ascii="微软雅黑" w:hAnsi="微软雅黑" w:eastAsia="微软雅黑" w:cs="微软雅黑"/>
          <w:sz w:val="28"/>
          <w:szCs w:val="28"/>
        </w:rPr>
        <w:t xml:space="preserve">第1款 </w:t>
      </w:r>
      <w:r>
        <w:rPr>
          <w:rFonts w:hint="eastAsia" w:ascii="微软雅黑" w:hAnsi="微软雅黑" w:eastAsia="微软雅黑" w:cs="微软雅黑"/>
          <w:color w:val="auto"/>
          <w:sz w:val="28"/>
          <w:szCs w:val="28"/>
        </w:rPr>
        <w:t>钢结构具有强度高、自重轻、整体刚性好、变形能力强、施工简便等特点，在提高结构安全性能和节约资源方面均具有较大优势，故提倡发展应用钢结构。</w:t>
      </w:r>
    </w:p>
    <w:p>
      <w:pPr>
        <w:pStyle w:val="114"/>
        <w:spacing w:line="360" w:lineRule="auto"/>
        <w:outlineLvl w:val="3"/>
        <w:rPr>
          <w:rFonts w:cs="Times New Roman" w:asciiTheme="minorEastAsia" w:hAnsiTheme="minorEastAsia" w:eastAsiaTheme="minorEastAsia"/>
          <w:bCs/>
          <w:color w:val="auto"/>
          <w:kern w:val="2"/>
          <w:sz w:val="28"/>
          <w:szCs w:val="28"/>
        </w:rPr>
      </w:pPr>
      <w:r>
        <w:rPr>
          <w:rFonts w:hint="eastAsia" w:cs="Times New Roman" w:asciiTheme="minorEastAsia" w:hAnsiTheme="minorEastAsia" w:eastAsiaTheme="minorEastAsia"/>
          <w:b/>
          <w:bCs/>
          <w:color w:val="auto"/>
          <w:kern w:val="2"/>
          <w:sz w:val="28"/>
          <w:szCs w:val="28"/>
        </w:rPr>
        <w:t xml:space="preserve">5.2.11 </w:t>
      </w:r>
      <w:r>
        <w:rPr>
          <w:rFonts w:hint="eastAsia" w:cs="Times New Roman" w:asciiTheme="minorEastAsia" w:hAnsiTheme="minorEastAsia" w:eastAsiaTheme="minorEastAsia"/>
          <w:color w:val="auto"/>
          <w:kern w:val="2"/>
          <w:sz w:val="28"/>
          <w:szCs w:val="28"/>
        </w:rPr>
        <w:t>给水排水设计，应</w:t>
      </w:r>
      <w:r>
        <w:rPr>
          <w:rFonts w:hint="eastAsia" w:cs="Times New Roman" w:asciiTheme="minorEastAsia" w:hAnsiTheme="minorEastAsia" w:eastAsiaTheme="minorEastAsia"/>
          <w:bCs/>
          <w:color w:val="auto"/>
          <w:kern w:val="2"/>
          <w:sz w:val="28"/>
          <w:szCs w:val="28"/>
        </w:rPr>
        <w:t>符合下列规定：</w:t>
      </w:r>
    </w:p>
    <w:p>
      <w:pPr>
        <w:tabs>
          <w:tab w:val="left" w:pos="993"/>
        </w:tabs>
        <w:spacing w:line="360" w:lineRule="auto"/>
        <w:ind w:firstLine="421" w:firstLineChars="150"/>
        <w:jc w:val="left"/>
        <w:outlineLvl w:val="3"/>
        <w:rPr>
          <w:rFonts w:asciiTheme="minorEastAsia" w:hAnsiTheme="minorEastAsia" w:eastAsiaTheme="minorEastAsia"/>
          <w:bCs/>
          <w:sz w:val="28"/>
          <w:szCs w:val="28"/>
        </w:rPr>
      </w:pPr>
      <w:bookmarkStart w:id="39" w:name="_Toc522877860"/>
      <w:bookmarkStart w:id="40" w:name="_Toc523824017"/>
      <w:bookmarkStart w:id="41" w:name="_Toc528865563"/>
      <w:bookmarkStart w:id="42" w:name="_Toc524207778"/>
      <w:bookmarkStart w:id="43" w:name="_Toc524708438"/>
      <w:bookmarkStart w:id="44" w:name="_Toc523765203"/>
      <w:bookmarkStart w:id="45" w:name="_Toc529639470"/>
      <w:bookmarkStart w:id="46" w:name="_Toc524946557"/>
      <w:r>
        <w:rPr>
          <w:rFonts w:hint="eastAsia" w:asciiTheme="minorEastAsia" w:hAnsiTheme="minorEastAsia" w:eastAsiaTheme="minorEastAsia"/>
          <w:b/>
          <w:sz w:val="28"/>
          <w:szCs w:val="28"/>
        </w:rPr>
        <w:t>1</w:t>
      </w:r>
      <w:r>
        <w:rPr>
          <w:rFonts w:hint="eastAsia" w:asciiTheme="minorEastAsia" w:hAnsiTheme="minorEastAsia" w:eastAsiaTheme="minorEastAsia"/>
          <w:bCs/>
          <w:sz w:val="28"/>
          <w:szCs w:val="28"/>
        </w:rPr>
        <w:t>住宅建筑应实施优质饮用水入户工程；</w:t>
      </w:r>
    </w:p>
    <w:p>
      <w:pPr>
        <w:tabs>
          <w:tab w:val="left" w:pos="993"/>
        </w:tabs>
        <w:spacing w:line="360" w:lineRule="auto"/>
        <w:ind w:firstLine="421" w:firstLineChars="150"/>
        <w:jc w:val="left"/>
        <w:outlineLvl w:val="3"/>
        <w:rPr>
          <w:rFonts w:asciiTheme="minorEastAsia" w:hAnsiTheme="minorEastAsia" w:eastAsiaTheme="minorEastAsia"/>
          <w:bCs/>
          <w:sz w:val="28"/>
          <w:szCs w:val="28"/>
        </w:rPr>
      </w:pPr>
      <w:r>
        <w:rPr>
          <w:rFonts w:hint="eastAsia" w:asciiTheme="minorEastAsia" w:hAnsiTheme="minorEastAsia" w:eastAsiaTheme="minorEastAsia"/>
          <w:b/>
          <w:sz w:val="28"/>
          <w:szCs w:val="28"/>
        </w:rPr>
        <w:t>2</w:t>
      </w:r>
      <w:r>
        <w:rPr>
          <w:rFonts w:hint="eastAsia" w:asciiTheme="minorEastAsia" w:hAnsiTheme="minorEastAsia" w:eastAsiaTheme="minorEastAsia"/>
          <w:bCs/>
          <w:sz w:val="28"/>
          <w:szCs w:val="28"/>
        </w:rPr>
        <w:t>绿化灌溉应采用智能节水灌溉系统；</w:t>
      </w:r>
    </w:p>
    <w:p>
      <w:pPr>
        <w:tabs>
          <w:tab w:val="left" w:pos="993"/>
        </w:tabs>
        <w:spacing w:line="360" w:lineRule="auto"/>
        <w:ind w:firstLine="421" w:firstLineChars="150"/>
        <w:jc w:val="left"/>
        <w:outlineLvl w:val="3"/>
        <w:rPr>
          <w:rFonts w:asciiTheme="minorEastAsia" w:hAnsiTheme="minorEastAsia" w:eastAsiaTheme="minorEastAsia"/>
          <w:bCs/>
          <w:sz w:val="28"/>
          <w:szCs w:val="28"/>
        </w:rPr>
      </w:pPr>
      <w:r>
        <w:rPr>
          <w:rFonts w:hint="eastAsia" w:asciiTheme="minorEastAsia" w:hAnsiTheme="minorEastAsia" w:eastAsiaTheme="minorEastAsia"/>
          <w:b/>
          <w:sz w:val="28"/>
          <w:szCs w:val="28"/>
        </w:rPr>
        <w:t>3</w:t>
      </w:r>
      <w:r>
        <w:rPr>
          <w:rFonts w:hint="eastAsia" w:asciiTheme="minorEastAsia" w:hAnsiTheme="minorEastAsia" w:eastAsiaTheme="minorEastAsia"/>
          <w:bCs/>
          <w:sz w:val="28"/>
          <w:szCs w:val="28"/>
        </w:rPr>
        <w:t>应选用节水型用水器具和设备，应使用用水效率等级较高的卫生器具；</w:t>
      </w:r>
    </w:p>
    <w:p>
      <w:pPr>
        <w:tabs>
          <w:tab w:val="left" w:pos="993"/>
        </w:tabs>
        <w:spacing w:line="360" w:lineRule="auto"/>
        <w:ind w:firstLine="421" w:firstLineChars="150"/>
        <w:jc w:val="left"/>
        <w:outlineLvl w:val="3"/>
        <w:rPr>
          <w:rFonts w:asciiTheme="minorEastAsia" w:hAnsiTheme="minorEastAsia" w:eastAsiaTheme="minorEastAsia"/>
          <w:bCs/>
          <w:sz w:val="28"/>
          <w:szCs w:val="28"/>
        </w:rPr>
      </w:pPr>
      <w:bookmarkStart w:id="47" w:name="_Toc531009139"/>
      <w:bookmarkStart w:id="48" w:name="_Toc530690362"/>
      <w:bookmarkStart w:id="49" w:name="_Toc1556936"/>
      <w:bookmarkStart w:id="50" w:name="_Toc531013918"/>
      <w:r>
        <w:rPr>
          <w:rFonts w:hint="eastAsia" w:asciiTheme="minorEastAsia" w:hAnsiTheme="minorEastAsia" w:eastAsiaTheme="minorEastAsia"/>
          <w:b/>
          <w:sz w:val="28"/>
          <w:szCs w:val="28"/>
        </w:rPr>
        <w:t>4</w:t>
      </w:r>
      <w:r>
        <w:rPr>
          <w:rFonts w:hint="eastAsia" w:asciiTheme="minorEastAsia" w:hAnsiTheme="minorEastAsia" w:eastAsiaTheme="minorEastAsia"/>
          <w:bCs/>
          <w:sz w:val="28"/>
          <w:szCs w:val="28"/>
        </w:rPr>
        <w:t>非传统水源管道、设备和设施，应设置清晰的永久性标识</w:t>
      </w:r>
      <w:bookmarkEnd w:id="47"/>
      <w:bookmarkEnd w:id="48"/>
      <w:bookmarkEnd w:id="49"/>
      <w:bookmarkEnd w:id="50"/>
      <w:r>
        <w:rPr>
          <w:rFonts w:hint="eastAsia" w:asciiTheme="minorEastAsia" w:hAnsiTheme="minorEastAsia" w:eastAsiaTheme="minorEastAsia"/>
          <w:bCs/>
          <w:sz w:val="28"/>
          <w:szCs w:val="28"/>
        </w:rPr>
        <w:t>；</w:t>
      </w:r>
    </w:p>
    <w:bookmarkEnd w:id="39"/>
    <w:bookmarkEnd w:id="40"/>
    <w:bookmarkEnd w:id="41"/>
    <w:bookmarkEnd w:id="42"/>
    <w:bookmarkEnd w:id="43"/>
    <w:bookmarkEnd w:id="44"/>
    <w:bookmarkEnd w:id="45"/>
    <w:bookmarkEnd w:id="46"/>
    <w:p>
      <w:pPr>
        <w:tabs>
          <w:tab w:val="left" w:pos="993"/>
        </w:tabs>
        <w:spacing w:line="360" w:lineRule="auto"/>
        <w:ind w:firstLine="421" w:firstLineChars="150"/>
        <w:jc w:val="left"/>
        <w:outlineLvl w:val="3"/>
        <w:rPr>
          <w:rFonts w:asciiTheme="minorEastAsia" w:hAnsiTheme="minorEastAsia" w:eastAsiaTheme="minorEastAsia"/>
          <w:bCs/>
          <w:sz w:val="28"/>
          <w:szCs w:val="28"/>
        </w:rPr>
      </w:pPr>
      <w:r>
        <w:rPr>
          <w:rFonts w:hint="eastAsia" w:asciiTheme="minorEastAsia" w:hAnsiTheme="minorEastAsia" w:eastAsiaTheme="minorEastAsia"/>
          <w:b/>
          <w:sz w:val="28"/>
          <w:szCs w:val="28"/>
        </w:rPr>
        <w:t xml:space="preserve">5 </w:t>
      </w:r>
      <w:r>
        <w:rPr>
          <w:rFonts w:hint="eastAsia" w:asciiTheme="minorEastAsia" w:hAnsiTheme="minorEastAsia" w:eastAsiaTheme="minorEastAsia"/>
          <w:bCs/>
          <w:sz w:val="28"/>
          <w:szCs w:val="28"/>
        </w:rPr>
        <w:t>不因场地内设置海绵城市设施而降低常规排水系统设计标准；</w:t>
      </w:r>
    </w:p>
    <w:p>
      <w:pPr>
        <w:tabs>
          <w:tab w:val="left" w:pos="993"/>
        </w:tabs>
        <w:spacing w:line="360" w:lineRule="auto"/>
        <w:ind w:firstLine="421" w:firstLineChars="150"/>
        <w:jc w:val="left"/>
        <w:outlineLvl w:val="3"/>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6 </w:t>
      </w:r>
      <w:r>
        <w:rPr>
          <w:rFonts w:hint="eastAsia" w:asciiTheme="minorEastAsia" w:hAnsiTheme="minorEastAsia" w:eastAsiaTheme="minorEastAsia"/>
          <w:bCs/>
          <w:sz w:val="28"/>
          <w:szCs w:val="28"/>
        </w:rPr>
        <w:t>室外埋地给水管道宜采用球墨铸铁管（须有防腐措施）；当管径DN﹤100mm时，也可采用覆塑薄壁不锈钢管；</w:t>
      </w:r>
    </w:p>
    <w:p>
      <w:pPr>
        <w:tabs>
          <w:tab w:val="left" w:pos="993"/>
        </w:tabs>
        <w:spacing w:line="360" w:lineRule="auto"/>
        <w:ind w:firstLine="421" w:firstLineChars="150"/>
        <w:jc w:val="left"/>
        <w:outlineLvl w:val="3"/>
        <w:rPr>
          <w:rFonts w:asciiTheme="minorEastAsia" w:hAnsiTheme="minorEastAsia" w:eastAsiaTheme="minorEastAsia"/>
          <w:bCs/>
          <w:sz w:val="28"/>
          <w:szCs w:val="28"/>
        </w:rPr>
      </w:pPr>
      <w:r>
        <w:rPr>
          <w:rFonts w:hint="eastAsia" w:asciiTheme="minorEastAsia" w:hAnsiTheme="minorEastAsia" w:eastAsiaTheme="minorEastAsia"/>
          <w:b/>
          <w:bCs/>
          <w:sz w:val="28"/>
          <w:szCs w:val="28"/>
        </w:rPr>
        <w:t xml:space="preserve">7 </w:t>
      </w:r>
      <w:r>
        <w:rPr>
          <w:rFonts w:hint="eastAsia" w:asciiTheme="minorEastAsia" w:hAnsiTheme="minorEastAsia" w:eastAsiaTheme="minorEastAsia"/>
          <w:bCs/>
          <w:sz w:val="28"/>
          <w:szCs w:val="28"/>
        </w:rPr>
        <w:t>给水管道埋设，严禁穿越化粪池、排水检查井、垃圾处理站等重大污染源及腐蚀性地段。</w:t>
      </w:r>
    </w:p>
    <w:p>
      <w:pPr>
        <w:pStyle w:val="114"/>
        <w:spacing w:line="360" w:lineRule="auto"/>
        <w:outlineLvl w:val="3"/>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 xml:space="preserve">【条文说明】 </w:t>
      </w:r>
      <w:r>
        <w:rPr>
          <w:rFonts w:hint="eastAsia" w:ascii="微软雅黑" w:hAnsi="微软雅黑" w:eastAsia="微软雅黑" w:cs="微软雅黑"/>
          <w:b/>
          <w:bCs/>
          <w:color w:val="auto"/>
          <w:kern w:val="2"/>
          <w:sz w:val="28"/>
          <w:szCs w:val="28"/>
        </w:rPr>
        <w:t xml:space="preserve">5.2.11 </w:t>
      </w:r>
      <w:r>
        <w:rPr>
          <w:rFonts w:hint="eastAsia" w:ascii="微软雅黑" w:hAnsi="微软雅黑" w:eastAsia="微软雅黑" w:cs="微软雅黑"/>
          <w:bCs/>
          <w:color w:val="auto"/>
          <w:sz w:val="28"/>
          <w:szCs w:val="28"/>
        </w:rPr>
        <w:t>第1款</w:t>
      </w:r>
      <w:r>
        <w:rPr>
          <w:rFonts w:hint="eastAsia" w:ascii="微软雅黑" w:hAnsi="微软雅黑" w:eastAsia="微软雅黑" w:cs="微软雅黑"/>
          <w:b/>
          <w:color w:val="auto"/>
          <w:sz w:val="28"/>
          <w:szCs w:val="28"/>
        </w:rPr>
        <w:t xml:space="preserve"> </w:t>
      </w:r>
      <w:r>
        <w:rPr>
          <w:rFonts w:hint="eastAsia" w:ascii="微软雅黑" w:hAnsi="微软雅黑" w:eastAsia="微软雅黑" w:cs="微软雅黑"/>
          <w:color w:val="auto"/>
          <w:sz w:val="28"/>
          <w:szCs w:val="28"/>
        </w:rPr>
        <w:t>本条系根据本市水务管理部门有关要求而提出。</w:t>
      </w:r>
    </w:p>
    <w:p>
      <w:pPr>
        <w:pStyle w:val="114"/>
        <w:spacing w:line="360" w:lineRule="auto"/>
        <w:ind w:firstLine="840" w:firstLineChars="300"/>
        <w:outlineLvl w:val="3"/>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第3款 参考《绿色建筑评价标准》GB/T50378-2019第7.2.10条。某些卫生器具用水效率等级虽然很高，但要么不易采购，要么用户体验感欠佳，从而影响其应用推广。故本条实事求是，仅提出原则性设计要求。</w:t>
      </w:r>
    </w:p>
    <w:p>
      <w:pPr>
        <w:adjustRightInd w:val="0"/>
        <w:spacing w:line="360" w:lineRule="auto"/>
        <w:ind w:firstLine="700" w:firstLineChars="250"/>
        <w:jc w:val="left"/>
        <w:rPr>
          <w:rFonts w:ascii="微软雅黑" w:hAnsi="微软雅黑" w:eastAsia="微软雅黑" w:cs="微软雅黑"/>
          <w:sz w:val="28"/>
          <w:szCs w:val="28"/>
        </w:rPr>
      </w:pPr>
      <w:r>
        <w:rPr>
          <w:rFonts w:hint="eastAsia" w:ascii="微软雅黑" w:hAnsi="微软雅黑" w:eastAsia="微软雅黑" w:cs="微软雅黑"/>
          <w:sz w:val="28"/>
          <w:szCs w:val="28"/>
        </w:rPr>
        <w:t>第6、7款 源自《深圳市优质饮用水入户工程建设指引（修订）》。</w:t>
      </w:r>
    </w:p>
    <w:p>
      <w:pPr>
        <w:spacing w:line="360" w:lineRule="auto"/>
        <w:jc w:val="left"/>
        <w:outlineLvl w:val="3"/>
        <w:rPr>
          <w:rFonts w:asciiTheme="minorEastAsia" w:hAnsiTheme="minorEastAsia" w:eastAsiaTheme="minorEastAsia"/>
          <w:bCs/>
          <w:sz w:val="28"/>
          <w:szCs w:val="28"/>
        </w:rPr>
      </w:pPr>
      <w:r>
        <w:rPr>
          <w:rFonts w:hint="eastAsia" w:asciiTheme="minorEastAsia" w:hAnsiTheme="minorEastAsia" w:eastAsiaTheme="minorEastAsia"/>
          <w:b/>
          <w:bCs/>
          <w:sz w:val="28"/>
          <w:szCs w:val="28"/>
        </w:rPr>
        <w:t xml:space="preserve">5.2.12 </w:t>
      </w:r>
      <w:r>
        <w:rPr>
          <w:rFonts w:hint="eastAsia" w:asciiTheme="minorEastAsia" w:hAnsiTheme="minorEastAsia" w:eastAsiaTheme="minorEastAsia"/>
          <w:sz w:val="28"/>
          <w:szCs w:val="28"/>
        </w:rPr>
        <w:t>通风空调设计，</w:t>
      </w:r>
      <w:r>
        <w:rPr>
          <w:rFonts w:hint="eastAsia" w:asciiTheme="minorEastAsia" w:hAnsiTheme="minorEastAsia" w:eastAsiaTheme="minorEastAsia"/>
          <w:bCs/>
          <w:sz w:val="28"/>
          <w:szCs w:val="28"/>
        </w:rPr>
        <w:t>应符合下列规定：</w:t>
      </w:r>
    </w:p>
    <w:p>
      <w:pPr>
        <w:spacing w:line="360" w:lineRule="auto"/>
        <w:ind w:firstLine="421" w:firstLineChars="150"/>
        <w:jc w:val="left"/>
        <w:outlineLvl w:val="3"/>
        <w:rPr>
          <w:rFonts w:asciiTheme="minorEastAsia" w:hAnsiTheme="minorEastAsia" w:eastAsiaTheme="minorEastAsia"/>
          <w:bCs/>
          <w:sz w:val="28"/>
          <w:szCs w:val="28"/>
        </w:rPr>
      </w:pPr>
      <w:r>
        <w:rPr>
          <w:rFonts w:hint="eastAsia" w:asciiTheme="minorEastAsia" w:hAnsiTheme="minorEastAsia" w:eastAsiaTheme="minorEastAsia"/>
          <w:b/>
          <w:sz w:val="28"/>
          <w:szCs w:val="28"/>
        </w:rPr>
        <w:t xml:space="preserve">1 </w:t>
      </w:r>
      <w:r>
        <w:rPr>
          <w:rFonts w:hint="eastAsia" w:asciiTheme="minorEastAsia" w:hAnsiTheme="minorEastAsia" w:eastAsiaTheme="minorEastAsia"/>
          <w:bCs/>
          <w:sz w:val="28"/>
          <w:szCs w:val="28"/>
        </w:rPr>
        <w:t>应充分利用自然通风系统；</w:t>
      </w:r>
    </w:p>
    <w:p>
      <w:pPr>
        <w:spacing w:line="360" w:lineRule="auto"/>
        <w:ind w:firstLine="421" w:firstLineChars="150"/>
        <w:jc w:val="left"/>
        <w:outlineLvl w:val="3"/>
        <w:rPr>
          <w:rFonts w:asciiTheme="minorEastAsia" w:hAnsiTheme="minorEastAsia" w:eastAsiaTheme="minorEastAsia"/>
          <w:bCs/>
          <w:sz w:val="28"/>
          <w:szCs w:val="28"/>
        </w:rPr>
      </w:pPr>
      <w:r>
        <w:rPr>
          <w:rFonts w:hint="eastAsia" w:asciiTheme="minorEastAsia" w:hAnsiTheme="minorEastAsia" w:eastAsiaTheme="minorEastAsia"/>
          <w:b/>
          <w:sz w:val="28"/>
          <w:szCs w:val="28"/>
        </w:rPr>
        <w:t xml:space="preserve">2 </w:t>
      </w:r>
      <w:r>
        <w:rPr>
          <w:rFonts w:hint="eastAsia" w:asciiTheme="minorEastAsia" w:hAnsiTheme="minorEastAsia" w:eastAsiaTheme="minorEastAsia"/>
          <w:bCs/>
          <w:sz w:val="28"/>
          <w:szCs w:val="28"/>
        </w:rPr>
        <w:t>主要功能房间应设置现场控制（手动/自动）的热环境调节装置；</w:t>
      </w:r>
    </w:p>
    <w:p>
      <w:pPr>
        <w:spacing w:line="360" w:lineRule="auto"/>
        <w:ind w:firstLine="421" w:firstLineChars="150"/>
        <w:jc w:val="left"/>
        <w:outlineLvl w:val="3"/>
        <w:rPr>
          <w:rFonts w:asciiTheme="minorEastAsia" w:hAnsiTheme="minorEastAsia" w:eastAsiaTheme="minorEastAsia"/>
          <w:bCs/>
          <w:sz w:val="28"/>
          <w:szCs w:val="28"/>
        </w:rPr>
      </w:pPr>
      <w:r>
        <w:rPr>
          <w:rFonts w:hint="eastAsia" w:asciiTheme="minorEastAsia" w:hAnsiTheme="minorEastAsia" w:eastAsiaTheme="minorEastAsia"/>
          <w:b/>
          <w:sz w:val="28"/>
          <w:szCs w:val="28"/>
        </w:rPr>
        <w:t>3</w:t>
      </w:r>
      <w:r>
        <w:rPr>
          <w:rFonts w:hint="eastAsia" w:asciiTheme="minorEastAsia" w:hAnsiTheme="minorEastAsia" w:eastAsiaTheme="minorEastAsia"/>
          <w:bCs/>
          <w:sz w:val="28"/>
          <w:szCs w:val="28"/>
        </w:rPr>
        <w:t xml:space="preserve"> 应控制卫生间、餐厅、专业打印复印室、地下车库等区域空气及污染物串到其他空间，防止厨房排气倒灌。</w:t>
      </w:r>
    </w:p>
    <w:p>
      <w:pPr>
        <w:adjustRightInd w:val="0"/>
        <w:spacing w:line="360" w:lineRule="auto"/>
        <w:jc w:val="left"/>
        <w:rPr>
          <w:rFonts w:ascii="微软雅黑" w:hAnsi="微软雅黑" w:eastAsia="微软雅黑" w:cs="微软雅黑"/>
          <w:sz w:val="28"/>
          <w:szCs w:val="28"/>
        </w:rPr>
      </w:pPr>
      <w:r>
        <w:rPr>
          <w:rFonts w:hint="eastAsia" w:ascii="微软雅黑" w:hAnsi="微软雅黑" w:eastAsia="微软雅黑" w:cs="微软雅黑"/>
          <w:sz w:val="28"/>
          <w:szCs w:val="28"/>
        </w:rPr>
        <w:t>【条文说明】</w:t>
      </w:r>
      <w:r>
        <w:rPr>
          <w:rFonts w:hint="eastAsia" w:ascii="微软雅黑" w:hAnsi="微软雅黑" w:eastAsia="微软雅黑" w:cs="微软雅黑"/>
          <w:b/>
          <w:bCs/>
          <w:sz w:val="28"/>
          <w:szCs w:val="28"/>
        </w:rPr>
        <w:t>5.2.12</w:t>
      </w:r>
      <w:r>
        <w:rPr>
          <w:rFonts w:hint="eastAsia" w:ascii="微软雅黑" w:hAnsi="微软雅黑" w:eastAsia="微软雅黑" w:cs="微软雅黑"/>
          <w:sz w:val="28"/>
          <w:szCs w:val="28"/>
        </w:rPr>
        <w:t>第3款 专业打印复印室等气味较浓的房间，可装设自动闭门器，避免异味外溢。</w:t>
      </w:r>
    </w:p>
    <w:p>
      <w:pPr>
        <w:spacing w:line="360" w:lineRule="auto"/>
        <w:jc w:val="left"/>
        <w:outlineLvl w:val="3"/>
        <w:rPr>
          <w:rFonts w:asciiTheme="minorEastAsia" w:hAnsiTheme="minorEastAsia" w:eastAsiaTheme="minorEastAsia"/>
          <w:sz w:val="28"/>
          <w:szCs w:val="28"/>
        </w:rPr>
      </w:pPr>
      <w:r>
        <w:rPr>
          <w:rFonts w:hint="eastAsia" w:asciiTheme="minorEastAsia" w:hAnsiTheme="minorEastAsia" w:eastAsiaTheme="minorEastAsia"/>
          <w:b/>
          <w:bCs/>
          <w:sz w:val="28"/>
          <w:szCs w:val="28"/>
        </w:rPr>
        <w:t xml:space="preserve">5.2.13 </w:t>
      </w:r>
      <w:r>
        <w:rPr>
          <w:rFonts w:hint="eastAsia" w:asciiTheme="minorEastAsia" w:hAnsiTheme="minorEastAsia" w:eastAsiaTheme="minorEastAsia"/>
          <w:sz w:val="28"/>
          <w:szCs w:val="28"/>
        </w:rPr>
        <w:t>电气设计，应符合下列规定：</w:t>
      </w:r>
    </w:p>
    <w:p>
      <w:pPr>
        <w:pStyle w:val="77"/>
        <w:spacing w:line="360" w:lineRule="auto"/>
        <w:ind w:firstLine="562"/>
        <w:jc w:val="left"/>
        <w:rPr>
          <w:rFonts w:ascii="宋体" w:hAnsi="宋体" w:cs="宋体"/>
          <w:sz w:val="28"/>
          <w:szCs w:val="28"/>
        </w:rPr>
      </w:pPr>
      <w:r>
        <w:rPr>
          <w:rFonts w:hint="eastAsia" w:asciiTheme="minorEastAsia" w:hAnsiTheme="minorEastAsia" w:eastAsiaTheme="minorEastAsia"/>
          <w:b/>
          <w:bCs/>
          <w:sz w:val="28"/>
          <w:szCs w:val="28"/>
        </w:rPr>
        <w:t>1</w:t>
      </w:r>
      <w:r>
        <w:rPr>
          <w:rFonts w:hint="eastAsia" w:ascii="宋体" w:hAnsi="宋体" w:cs="宋体"/>
          <w:sz w:val="28"/>
          <w:szCs w:val="28"/>
        </w:rPr>
        <w:t>公共建筑和工业建筑，应设置建筑能效监管系统；</w:t>
      </w:r>
    </w:p>
    <w:p>
      <w:pPr>
        <w:spacing w:line="360" w:lineRule="auto"/>
        <w:ind w:firstLine="562" w:firstLineChars="200"/>
        <w:jc w:val="left"/>
        <w:rPr>
          <w:rFonts w:asciiTheme="minorEastAsia" w:hAnsiTheme="minorEastAsia" w:eastAsiaTheme="minorEastAsia"/>
          <w:sz w:val="28"/>
          <w:szCs w:val="28"/>
        </w:rPr>
      </w:pPr>
      <w:r>
        <w:rPr>
          <w:rFonts w:hint="eastAsia" w:asciiTheme="minorEastAsia" w:hAnsiTheme="minorEastAsia" w:eastAsiaTheme="minorEastAsia"/>
          <w:b/>
          <w:bCs/>
          <w:sz w:val="28"/>
          <w:szCs w:val="28"/>
        </w:rPr>
        <w:t>2</w:t>
      </w:r>
      <w:r>
        <w:rPr>
          <w:rFonts w:hint="eastAsia" w:asciiTheme="minorEastAsia" w:hAnsiTheme="minorEastAsia" w:eastAsiaTheme="minorEastAsia"/>
          <w:sz w:val="28"/>
          <w:szCs w:val="28"/>
        </w:rPr>
        <w:t>公共区域照明系统应采用分区、定时和感应等节能控制；</w:t>
      </w:r>
    </w:p>
    <w:p>
      <w:pPr>
        <w:pStyle w:val="77"/>
        <w:spacing w:line="360" w:lineRule="auto"/>
        <w:ind w:firstLine="562"/>
        <w:jc w:val="left"/>
        <w:rPr>
          <w:rFonts w:asciiTheme="minorEastAsia" w:hAnsiTheme="minorEastAsia" w:eastAsiaTheme="minorEastAsia"/>
          <w:sz w:val="28"/>
          <w:szCs w:val="28"/>
        </w:rPr>
      </w:pPr>
      <w:r>
        <w:rPr>
          <w:rFonts w:hint="eastAsia" w:asciiTheme="minorEastAsia" w:hAnsiTheme="minorEastAsia" w:eastAsiaTheme="minorEastAsia"/>
          <w:b/>
          <w:bCs/>
          <w:sz w:val="28"/>
          <w:szCs w:val="28"/>
        </w:rPr>
        <w:t xml:space="preserve">3 </w:t>
      </w:r>
      <w:r>
        <w:rPr>
          <w:rFonts w:hint="eastAsia" w:asciiTheme="minorEastAsia" w:hAnsiTheme="minorEastAsia" w:eastAsiaTheme="minorEastAsia"/>
          <w:bCs/>
          <w:sz w:val="28"/>
          <w:szCs w:val="28"/>
        </w:rPr>
        <w:t>建筑冷热源及输配系统和照明系统等各部分能耗，应分项计量；</w:t>
      </w:r>
    </w:p>
    <w:p>
      <w:pPr>
        <w:pStyle w:val="77"/>
        <w:spacing w:line="360" w:lineRule="auto"/>
        <w:ind w:firstLine="562"/>
        <w:jc w:val="left"/>
        <w:rPr>
          <w:rFonts w:asciiTheme="minorEastAsia" w:hAnsiTheme="minorEastAsia" w:eastAsiaTheme="minorEastAsia"/>
          <w:sz w:val="28"/>
          <w:szCs w:val="28"/>
        </w:rPr>
      </w:pPr>
      <w:r>
        <w:rPr>
          <w:rFonts w:hint="eastAsia" w:asciiTheme="minorEastAsia" w:hAnsiTheme="minorEastAsia" w:eastAsiaTheme="minorEastAsia"/>
          <w:b/>
          <w:bCs/>
          <w:sz w:val="28"/>
          <w:szCs w:val="28"/>
        </w:rPr>
        <w:t>4</w:t>
      </w:r>
      <w:r>
        <w:rPr>
          <w:rFonts w:hint="eastAsia" w:asciiTheme="minorEastAsia" w:hAnsiTheme="minorEastAsia" w:eastAsiaTheme="minorEastAsia"/>
          <w:sz w:val="28"/>
          <w:szCs w:val="28"/>
        </w:rPr>
        <w:t xml:space="preserve"> 地下车库应按通风专业所提要求，设置与排风设备联动的一氧化碳浓度探测装置</w:t>
      </w:r>
      <w:bookmarkStart w:id="51" w:name="_Toc1556939"/>
      <w:bookmarkStart w:id="52" w:name="_Toc22545"/>
      <w:r>
        <w:rPr>
          <w:rFonts w:hint="eastAsia" w:asciiTheme="minorEastAsia" w:hAnsiTheme="minorEastAsia" w:eastAsiaTheme="minorEastAsia"/>
          <w:sz w:val="28"/>
          <w:szCs w:val="28"/>
        </w:rPr>
        <w:t>；</w:t>
      </w:r>
    </w:p>
    <w:p>
      <w:pPr>
        <w:spacing w:line="360" w:lineRule="auto"/>
        <w:ind w:firstLine="562" w:firstLineChars="200"/>
        <w:jc w:val="left"/>
        <w:outlineLvl w:val="3"/>
        <w:rPr>
          <w:rFonts w:asciiTheme="minorEastAsia" w:hAnsiTheme="minorEastAsia" w:eastAsiaTheme="minorEastAsia"/>
          <w:sz w:val="28"/>
          <w:szCs w:val="28"/>
        </w:rPr>
      </w:pPr>
      <w:r>
        <w:rPr>
          <w:rFonts w:hint="eastAsia" w:asciiTheme="minorEastAsia" w:hAnsiTheme="minorEastAsia" w:eastAsiaTheme="minorEastAsia"/>
          <w:b/>
          <w:bCs/>
          <w:sz w:val="28"/>
          <w:szCs w:val="28"/>
        </w:rPr>
        <w:t>5</w:t>
      </w:r>
      <w:r>
        <w:rPr>
          <w:rFonts w:hint="eastAsia" w:asciiTheme="minorEastAsia" w:hAnsiTheme="minorEastAsia" w:eastAsiaTheme="minorEastAsia"/>
          <w:sz w:val="28"/>
          <w:szCs w:val="28"/>
        </w:rPr>
        <w:t>生态敏感区不宜设置夜景照明。人居敏感区反射比小于 0.2 的幕墙，不宜采用泛光照明。</w:t>
      </w:r>
    </w:p>
    <w:p>
      <w:pPr>
        <w:spacing w:line="360" w:lineRule="auto"/>
        <w:jc w:val="left"/>
        <w:outlineLvl w:val="3"/>
        <w:rPr>
          <w:rFonts w:asciiTheme="minorEastAsia" w:hAnsiTheme="minorEastAsia" w:eastAsiaTheme="minorEastAsia"/>
          <w:sz w:val="28"/>
          <w:szCs w:val="28"/>
        </w:rPr>
      </w:pPr>
      <w:r>
        <w:rPr>
          <w:rFonts w:hint="eastAsia" w:asciiTheme="minorEastAsia" w:hAnsiTheme="minorEastAsia" w:eastAsiaTheme="minorEastAsia"/>
          <w:sz w:val="28"/>
          <w:szCs w:val="28"/>
        </w:rPr>
        <w:t>【条文说明】第4款 一氧化碳浓度探测器设置部位和密度，宜结合排风机服务范围而统筹考虑。</w:t>
      </w:r>
    </w:p>
    <w:p>
      <w:pPr>
        <w:spacing w:line="360" w:lineRule="auto"/>
        <w:jc w:val="left"/>
        <w:outlineLvl w:val="3"/>
        <w:rPr>
          <w:rFonts w:asciiTheme="minorEastAsia" w:hAnsiTheme="minorEastAsia" w:eastAsiaTheme="minorEastAsia"/>
          <w:sz w:val="28"/>
          <w:szCs w:val="28"/>
        </w:rPr>
      </w:pPr>
      <w:r>
        <w:rPr>
          <w:rFonts w:hint="eastAsia" w:asciiTheme="minorEastAsia" w:hAnsiTheme="minorEastAsia" w:eastAsiaTheme="minorEastAsia"/>
          <w:sz w:val="28"/>
          <w:szCs w:val="28"/>
        </w:rPr>
        <w:t>第5款 城市广场夜景照明配置的灯具及其上射光通比，应符合现行《城市夜景照明设计规范》</w:t>
      </w:r>
      <w:r>
        <w:rPr>
          <w:rFonts w:asciiTheme="minorEastAsia" w:hAnsiTheme="minorEastAsia" w:eastAsiaTheme="minorEastAsia"/>
          <w:sz w:val="28"/>
          <w:szCs w:val="28"/>
        </w:rPr>
        <w:t>JGJ/T 163</w:t>
      </w:r>
      <w:r>
        <w:rPr>
          <w:rFonts w:hint="eastAsia" w:asciiTheme="minorEastAsia" w:hAnsiTheme="minorEastAsia" w:eastAsiaTheme="minorEastAsia"/>
          <w:sz w:val="28"/>
          <w:szCs w:val="28"/>
        </w:rPr>
        <w:t>。</w:t>
      </w:r>
    </w:p>
    <w:p>
      <w:pPr>
        <w:spacing w:line="360" w:lineRule="auto"/>
        <w:jc w:val="left"/>
        <w:outlineLvl w:val="3"/>
        <w:rPr>
          <w:rFonts w:asciiTheme="minorEastAsia" w:hAnsiTheme="minorEastAsia" w:eastAsiaTheme="minorEastAsia"/>
          <w:sz w:val="28"/>
          <w:szCs w:val="28"/>
        </w:rPr>
      </w:pPr>
      <w:r>
        <w:rPr>
          <w:rFonts w:hint="eastAsia" w:asciiTheme="minorEastAsia" w:hAnsiTheme="minorEastAsia" w:eastAsiaTheme="minorEastAsia"/>
          <w:sz w:val="28"/>
          <w:szCs w:val="28"/>
        </w:rPr>
        <w:t>5.2.14 建筑装饰</w:t>
      </w:r>
      <w:bookmarkEnd w:id="51"/>
      <w:r>
        <w:rPr>
          <w:rFonts w:hint="eastAsia" w:asciiTheme="minorEastAsia" w:hAnsiTheme="minorEastAsia" w:eastAsiaTheme="minorEastAsia"/>
          <w:sz w:val="28"/>
          <w:szCs w:val="28"/>
        </w:rPr>
        <w:t>设计</w:t>
      </w:r>
      <w:bookmarkEnd w:id="52"/>
      <w:r>
        <w:rPr>
          <w:rFonts w:hint="eastAsia" w:asciiTheme="minorEastAsia" w:hAnsiTheme="minorEastAsia" w:eastAsiaTheme="minorEastAsia"/>
          <w:sz w:val="28"/>
          <w:szCs w:val="28"/>
        </w:rPr>
        <w:t>，应符合下列规定：</w:t>
      </w:r>
      <w:bookmarkEnd w:id="37"/>
      <w:bookmarkEnd w:id="38"/>
      <w:bookmarkStart w:id="53" w:name="_Hlk531002568"/>
      <w:bookmarkStart w:id="54" w:name="_Hlk531003072"/>
    </w:p>
    <w:p>
      <w:pPr>
        <w:adjustRightInd w:val="0"/>
        <w:spacing w:line="360" w:lineRule="auto"/>
        <w:ind w:firstLine="562" w:firstLineChars="200"/>
        <w:jc w:val="left"/>
        <w:outlineLvl w:val="3"/>
        <w:rPr>
          <w:rFonts w:asciiTheme="minorEastAsia" w:hAnsiTheme="minorEastAsia" w:eastAsiaTheme="minorEastAsia"/>
          <w:sz w:val="28"/>
          <w:szCs w:val="28"/>
        </w:rPr>
      </w:pPr>
      <w:r>
        <w:rPr>
          <w:rFonts w:hint="eastAsia" w:asciiTheme="minorEastAsia" w:hAnsiTheme="minorEastAsia" w:eastAsiaTheme="minorEastAsia"/>
          <w:b/>
          <w:bCs/>
          <w:sz w:val="28"/>
          <w:szCs w:val="28"/>
        </w:rPr>
        <w:t>1</w:t>
      </w:r>
      <w:r>
        <w:rPr>
          <w:rFonts w:hint="eastAsia" w:asciiTheme="minorEastAsia" w:hAnsiTheme="minorEastAsia" w:eastAsiaTheme="minorEastAsia"/>
          <w:sz w:val="28"/>
          <w:szCs w:val="28"/>
        </w:rPr>
        <w:t xml:space="preserve"> 应经预评估，控制建成后室内</w:t>
      </w:r>
      <w:r>
        <w:rPr>
          <w:rFonts w:asciiTheme="minorEastAsia" w:hAnsiTheme="minorEastAsia" w:eastAsiaTheme="minorEastAsia"/>
          <w:sz w:val="28"/>
          <w:szCs w:val="28"/>
        </w:rPr>
        <w:t>空气中</w:t>
      </w:r>
      <w:r>
        <w:rPr>
          <w:rFonts w:hint="eastAsia" w:asciiTheme="minorEastAsia" w:hAnsiTheme="minorEastAsia" w:eastAsiaTheme="minorEastAsia"/>
          <w:sz w:val="28"/>
          <w:szCs w:val="28"/>
        </w:rPr>
        <w:t>氨、</w:t>
      </w:r>
      <w:bookmarkStart w:id="55" w:name="_Hlk530991385"/>
      <w:r>
        <w:rPr>
          <w:rFonts w:asciiTheme="minorEastAsia" w:hAnsiTheme="minorEastAsia" w:eastAsiaTheme="minorEastAsia"/>
          <w:sz w:val="28"/>
          <w:szCs w:val="28"/>
        </w:rPr>
        <w:t>甲醛</w:t>
      </w:r>
      <w:bookmarkEnd w:id="55"/>
      <w:r>
        <w:rPr>
          <w:rFonts w:hint="eastAsia" w:asciiTheme="minorEastAsia" w:hAnsiTheme="minorEastAsia" w:eastAsiaTheme="minorEastAsia"/>
          <w:sz w:val="28"/>
          <w:szCs w:val="28"/>
        </w:rPr>
        <w:t>等污染物</w:t>
      </w:r>
      <w:bookmarkEnd w:id="53"/>
      <w:r>
        <w:rPr>
          <w:rFonts w:hint="eastAsia" w:asciiTheme="minorEastAsia" w:hAnsiTheme="minorEastAsia" w:eastAsiaTheme="minorEastAsia"/>
          <w:sz w:val="28"/>
          <w:szCs w:val="28"/>
        </w:rPr>
        <w:t>浓度</w:t>
      </w:r>
      <w:bookmarkEnd w:id="54"/>
      <w:r>
        <w:rPr>
          <w:rFonts w:hint="eastAsia" w:asciiTheme="minorEastAsia" w:hAnsiTheme="minorEastAsia" w:eastAsiaTheme="minorEastAsia"/>
          <w:sz w:val="28"/>
          <w:szCs w:val="28"/>
        </w:rPr>
        <w:t>，使之</w:t>
      </w:r>
      <w:r>
        <w:rPr>
          <w:rFonts w:asciiTheme="minorEastAsia" w:hAnsiTheme="minorEastAsia" w:eastAsiaTheme="minorEastAsia"/>
          <w:sz w:val="28"/>
          <w:szCs w:val="28"/>
        </w:rPr>
        <w:t>符合</w:t>
      </w:r>
      <w:r>
        <w:rPr>
          <w:rFonts w:hint="eastAsia" w:asciiTheme="minorEastAsia" w:hAnsiTheme="minorEastAsia" w:eastAsiaTheme="minorEastAsia"/>
          <w:sz w:val="28"/>
          <w:szCs w:val="28"/>
        </w:rPr>
        <w:t>现行</w:t>
      </w:r>
      <w:r>
        <w:rPr>
          <w:rFonts w:asciiTheme="minorEastAsia" w:hAnsiTheme="minorEastAsia" w:eastAsiaTheme="minorEastAsia"/>
          <w:sz w:val="28"/>
          <w:szCs w:val="28"/>
        </w:rPr>
        <w:t>《室内空气质量标准》GB/T 18883规定</w:t>
      </w:r>
      <w:bookmarkStart w:id="56" w:name="_Toc522115487"/>
      <w:r>
        <w:rPr>
          <w:rFonts w:hint="eastAsia" w:asciiTheme="minorEastAsia" w:hAnsiTheme="minorEastAsia" w:eastAsiaTheme="minorEastAsia"/>
          <w:sz w:val="28"/>
          <w:szCs w:val="28"/>
        </w:rPr>
        <w:t>；</w:t>
      </w:r>
    </w:p>
    <w:p>
      <w:pPr>
        <w:adjustRightInd w:val="0"/>
        <w:spacing w:line="360" w:lineRule="auto"/>
        <w:ind w:firstLine="562" w:firstLineChars="200"/>
        <w:jc w:val="left"/>
        <w:outlineLvl w:val="3"/>
        <w:rPr>
          <w:rFonts w:asciiTheme="minorEastAsia" w:hAnsiTheme="minorEastAsia" w:eastAsiaTheme="minorEastAsia"/>
          <w:sz w:val="28"/>
          <w:szCs w:val="28"/>
        </w:rPr>
      </w:pPr>
      <w:bookmarkStart w:id="57" w:name="_Toc520364124"/>
      <w:bookmarkStart w:id="58" w:name="_Toc522115485"/>
      <w:bookmarkStart w:id="59" w:name="_Toc516576929"/>
      <w:bookmarkStart w:id="60" w:name="_Toc520364208"/>
      <w:r>
        <w:rPr>
          <w:rFonts w:hint="eastAsia" w:asciiTheme="minorEastAsia" w:hAnsiTheme="minorEastAsia" w:eastAsiaTheme="minorEastAsia"/>
          <w:b/>
          <w:bCs/>
          <w:sz w:val="28"/>
          <w:szCs w:val="28"/>
        </w:rPr>
        <w:t>2</w:t>
      </w:r>
      <w:r>
        <w:rPr>
          <w:rFonts w:hint="eastAsia" w:asciiTheme="minorEastAsia" w:hAnsiTheme="minorEastAsia" w:eastAsiaTheme="minorEastAsia"/>
          <w:sz w:val="28"/>
          <w:szCs w:val="28"/>
        </w:rPr>
        <w:t xml:space="preserve"> 建筑室内宜作安全标识设计。建筑主出入口和室内公共场所醒目位置，应设置控烟标识</w:t>
      </w:r>
      <w:bookmarkEnd w:id="57"/>
      <w:bookmarkEnd w:id="58"/>
      <w:bookmarkEnd w:id="59"/>
      <w:r>
        <w:rPr>
          <w:rFonts w:hint="eastAsia" w:asciiTheme="minorEastAsia" w:hAnsiTheme="minorEastAsia" w:eastAsiaTheme="minorEastAsia"/>
          <w:sz w:val="28"/>
          <w:szCs w:val="28"/>
        </w:rPr>
        <w:t>；</w:t>
      </w:r>
    </w:p>
    <w:bookmarkEnd w:id="60"/>
    <w:p>
      <w:pPr>
        <w:spacing w:line="360" w:lineRule="auto"/>
        <w:ind w:firstLine="562" w:firstLineChars="200"/>
        <w:jc w:val="left"/>
        <w:outlineLvl w:val="3"/>
        <w:rPr>
          <w:rFonts w:asciiTheme="minorEastAsia" w:hAnsiTheme="minorEastAsia" w:eastAsiaTheme="minorEastAsia"/>
          <w:sz w:val="28"/>
          <w:szCs w:val="28"/>
        </w:rPr>
      </w:pPr>
      <w:r>
        <w:rPr>
          <w:rFonts w:hint="eastAsia" w:asciiTheme="minorEastAsia" w:hAnsiTheme="minorEastAsia" w:eastAsiaTheme="minorEastAsia"/>
          <w:b/>
          <w:bCs/>
          <w:sz w:val="28"/>
          <w:szCs w:val="28"/>
        </w:rPr>
        <w:t xml:space="preserve">3 </w:t>
      </w:r>
      <w:r>
        <w:rPr>
          <w:rFonts w:hint="eastAsia" w:asciiTheme="minorEastAsia" w:hAnsiTheme="minorEastAsia" w:eastAsiaTheme="minorEastAsia"/>
          <w:sz w:val="28"/>
          <w:szCs w:val="28"/>
        </w:rPr>
        <w:t>应采用绿色环保、耐久性好、性能佳、易维护的外饰面材料、防水及密封材料、室内装修装饰材料。</w:t>
      </w:r>
    </w:p>
    <w:p>
      <w:pPr>
        <w:adjustRightInd w:val="0"/>
        <w:spacing w:line="360" w:lineRule="auto"/>
        <w:jc w:val="left"/>
        <w:rPr>
          <w:rFonts w:ascii="微软雅黑" w:hAnsi="微软雅黑" w:eastAsia="微软雅黑" w:cs="微软雅黑"/>
          <w:sz w:val="28"/>
          <w:szCs w:val="28"/>
        </w:rPr>
      </w:pPr>
      <w:r>
        <w:rPr>
          <w:rFonts w:hint="eastAsia" w:ascii="微软雅黑" w:hAnsi="微软雅黑" w:eastAsia="微软雅黑" w:cs="微软雅黑"/>
          <w:sz w:val="28"/>
          <w:szCs w:val="28"/>
        </w:rPr>
        <w:t>【条文说明】</w:t>
      </w:r>
      <w:r>
        <w:rPr>
          <w:rFonts w:hint="eastAsia" w:ascii="微软雅黑" w:hAnsi="微软雅黑" w:eastAsia="微软雅黑" w:cs="微软雅黑"/>
          <w:b/>
          <w:sz w:val="28"/>
          <w:szCs w:val="28"/>
        </w:rPr>
        <w:t xml:space="preserve">5.2.14 </w:t>
      </w:r>
      <w:r>
        <w:rPr>
          <w:rFonts w:hint="eastAsia" w:ascii="微软雅黑" w:hAnsi="微软雅黑" w:eastAsia="微软雅黑" w:cs="微软雅黑"/>
          <w:bCs/>
          <w:sz w:val="28"/>
          <w:szCs w:val="28"/>
        </w:rPr>
        <w:t xml:space="preserve">第2款 </w:t>
      </w:r>
      <w:r>
        <w:rPr>
          <w:rFonts w:hint="eastAsia" w:ascii="微软雅黑" w:hAnsi="微软雅黑" w:eastAsia="微软雅黑" w:cs="微软雅黑"/>
          <w:sz w:val="28"/>
          <w:szCs w:val="28"/>
        </w:rPr>
        <w:t>警示标志内容可包括禁止攀爬、禁止倚靠、禁止伸出窗外、禁止抛物、注意安全、当心碰头、当心夹手、当心车辆、当心坠落、当心滑倒和当心落水等。警示标志一般设置于人员流动大的场所、青少年和儿童经常活动场所，以及容易碰撞、夹伤、湿滑及危险的部位和场所等处。</w:t>
      </w:r>
    </w:p>
    <w:p>
      <w:pPr>
        <w:adjustRightInd w:val="0"/>
        <w:spacing w:line="360" w:lineRule="auto"/>
        <w:ind w:firstLine="840" w:firstLineChars="300"/>
        <w:jc w:val="left"/>
        <w:rPr>
          <w:rFonts w:ascii="微软雅黑" w:hAnsi="微软雅黑" w:eastAsia="微软雅黑" w:cs="微软雅黑"/>
          <w:sz w:val="28"/>
          <w:szCs w:val="28"/>
        </w:rPr>
      </w:pPr>
      <w:r>
        <w:rPr>
          <w:rFonts w:hint="eastAsia" w:ascii="微软雅黑" w:hAnsi="微软雅黑" w:eastAsia="微软雅黑" w:cs="微软雅黑"/>
          <w:sz w:val="28"/>
          <w:szCs w:val="28"/>
        </w:rPr>
        <w:t>安全引导标识，包括紧急出口标志、避险处标志、应急避难场所标志、急救点标志、报警点标志等，以及其他促进建筑安全使用的引导标志等。关于设置部位，比如紧急出口标志，一般设在便于安全疏散的紧急出口处，结合方向箭头设置于通向紧急出口的通道、楼梯口等处。</w:t>
      </w:r>
    </w:p>
    <w:p>
      <w:pPr>
        <w:adjustRightInd w:val="0"/>
        <w:spacing w:line="360" w:lineRule="auto"/>
        <w:ind w:firstLine="840" w:firstLineChars="300"/>
        <w:jc w:val="left"/>
        <w:rPr>
          <w:rFonts w:asciiTheme="minorEastAsia" w:hAnsiTheme="minorEastAsia" w:eastAsiaTheme="minorEastAsia"/>
          <w:sz w:val="28"/>
          <w:szCs w:val="28"/>
        </w:rPr>
      </w:pPr>
      <w:r>
        <w:rPr>
          <w:rFonts w:hint="eastAsia" w:ascii="微软雅黑" w:hAnsi="微软雅黑" w:eastAsia="微软雅黑" w:cs="微软雅黑"/>
          <w:sz w:val="28"/>
          <w:szCs w:val="28"/>
        </w:rPr>
        <w:t>吸烟及二手烟均对人身健康造成较大危害。根据《深圳经济特区控制吸烟条例》（修订征求意见稿）要求，“室内工作场所、室内公共场所和公共交通工具内禁止吸烟”，故本款作此规定。</w:t>
      </w:r>
    </w:p>
    <w:bookmarkEnd w:id="27"/>
    <w:bookmarkEnd w:id="28"/>
    <w:bookmarkEnd w:id="29"/>
    <w:bookmarkEnd w:id="56"/>
    <w:p>
      <w:pPr>
        <w:widowControl/>
        <w:spacing w:line="360" w:lineRule="auto"/>
        <w:rPr>
          <w:sz w:val="28"/>
          <w:szCs w:val="28"/>
        </w:rPr>
      </w:pPr>
      <w:r>
        <w:rPr>
          <w:rFonts w:hint="eastAsia"/>
          <w:sz w:val="28"/>
          <w:szCs w:val="28"/>
        </w:rPr>
        <w:t>5.2.15 建筑景观设计，应符合下列规定：</w:t>
      </w:r>
    </w:p>
    <w:p>
      <w:pPr>
        <w:adjustRightInd w:val="0"/>
        <w:snapToGrid w:val="0"/>
        <w:spacing w:line="360" w:lineRule="auto"/>
        <w:ind w:firstLine="562" w:firstLineChars="200"/>
        <w:jc w:val="left"/>
        <w:outlineLvl w:val="3"/>
        <w:rPr>
          <w:rFonts w:asciiTheme="minorEastAsia" w:hAnsiTheme="minorEastAsia" w:eastAsiaTheme="minorEastAsia"/>
          <w:sz w:val="28"/>
          <w:szCs w:val="28"/>
        </w:rPr>
      </w:pPr>
      <w:r>
        <w:rPr>
          <w:rFonts w:hint="eastAsia" w:asciiTheme="minorEastAsia" w:hAnsiTheme="minorEastAsia" w:eastAsiaTheme="minorEastAsia"/>
          <w:b/>
          <w:bCs/>
          <w:sz w:val="28"/>
          <w:szCs w:val="28"/>
        </w:rPr>
        <w:t>1</w:t>
      </w:r>
      <w:r>
        <w:rPr>
          <w:rFonts w:hint="eastAsia" w:asciiTheme="minorEastAsia" w:hAnsiTheme="minorEastAsia" w:eastAsiaTheme="minorEastAsia"/>
          <w:sz w:val="28"/>
          <w:szCs w:val="28"/>
        </w:rPr>
        <w:t>应因地制宜，考虑建筑屋顶绿化、垂直绿化和阳台绿化；</w:t>
      </w:r>
    </w:p>
    <w:p>
      <w:pPr>
        <w:spacing w:line="360" w:lineRule="auto"/>
        <w:ind w:firstLine="562" w:firstLineChars="200"/>
        <w:jc w:val="left"/>
        <w:outlineLvl w:val="3"/>
        <w:rPr>
          <w:rFonts w:asciiTheme="minorEastAsia" w:hAnsiTheme="minorEastAsia" w:eastAsiaTheme="minorEastAsia"/>
          <w:kern w:val="0"/>
          <w:sz w:val="28"/>
          <w:szCs w:val="28"/>
        </w:rPr>
      </w:pPr>
      <w:r>
        <w:rPr>
          <w:rFonts w:hint="eastAsia" w:asciiTheme="minorEastAsia" w:hAnsiTheme="minorEastAsia" w:eastAsiaTheme="minorEastAsia"/>
          <w:b/>
          <w:bCs/>
          <w:sz w:val="28"/>
          <w:szCs w:val="28"/>
        </w:rPr>
        <w:t>2</w:t>
      </w:r>
      <w:r>
        <w:rPr>
          <w:rFonts w:asciiTheme="minorEastAsia" w:hAnsiTheme="minorEastAsia" w:eastAsiaTheme="minorEastAsia"/>
          <w:kern w:val="0"/>
          <w:sz w:val="28"/>
          <w:szCs w:val="28"/>
        </w:rPr>
        <w:t>处于建筑阴影区外的室外活动场地</w:t>
      </w:r>
      <w:r>
        <w:rPr>
          <w:rFonts w:hint="eastAsia" w:asciiTheme="minorEastAsia" w:hAnsiTheme="minorEastAsia" w:eastAsiaTheme="minorEastAsia"/>
          <w:kern w:val="0"/>
          <w:sz w:val="28"/>
          <w:szCs w:val="28"/>
        </w:rPr>
        <w:t>，应设置</w:t>
      </w:r>
      <w:r>
        <w:rPr>
          <w:rFonts w:asciiTheme="minorEastAsia" w:hAnsiTheme="minorEastAsia" w:eastAsiaTheme="minorEastAsia"/>
          <w:kern w:val="0"/>
          <w:sz w:val="28"/>
          <w:szCs w:val="28"/>
        </w:rPr>
        <w:t>乔木、花架等</w:t>
      </w:r>
      <w:r>
        <w:rPr>
          <w:rFonts w:hint="eastAsia" w:asciiTheme="minorEastAsia" w:hAnsiTheme="minorEastAsia" w:eastAsiaTheme="minorEastAsia"/>
          <w:kern w:val="0"/>
          <w:sz w:val="28"/>
          <w:szCs w:val="28"/>
        </w:rPr>
        <w:t>遮荫避雨设施；</w:t>
      </w:r>
    </w:p>
    <w:p>
      <w:pPr>
        <w:adjustRightInd w:val="0"/>
        <w:snapToGrid w:val="0"/>
        <w:spacing w:line="360" w:lineRule="auto"/>
        <w:ind w:firstLine="562" w:firstLineChars="200"/>
        <w:jc w:val="left"/>
        <w:outlineLvl w:val="3"/>
        <w:rPr>
          <w:rFonts w:asciiTheme="minorEastAsia" w:hAnsiTheme="minorEastAsia" w:eastAsiaTheme="minorEastAsia"/>
          <w:sz w:val="28"/>
          <w:szCs w:val="28"/>
        </w:rPr>
      </w:pPr>
      <w:r>
        <w:rPr>
          <w:rFonts w:hint="eastAsia" w:asciiTheme="minorEastAsia" w:hAnsiTheme="minorEastAsia" w:eastAsiaTheme="minorEastAsia"/>
          <w:b/>
          <w:bCs/>
          <w:sz w:val="28"/>
          <w:szCs w:val="28"/>
        </w:rPr>
        <w:t xml:space="preserve">3 </w:t>
      </w:r>
      <w:r>
        <w:rPr>
          <w:rFonts w:hint="eastAsia" w:asciiTheme="minorEastAsia" w:hAnsiTheme="minorEastAsia" w:eastAsiaTheme="minorEastAsia"/>
          <w:sz w:val="28"/>
          <w:szCs w:val="28"/>
        </w:rPr>
        <w:t>景观</w:t>
      </w:r>
      <w:r>
        <w:rPr>
          <w:rFonts w:asciiTheme="minorEastAsia" w:hAnsiTheme="minorEastAsia" w:eastAsiaTheme="minorEastAsia"/>
          <w:sz w:val="28"/>
          <w:szCs w:val="28"/>
        </w:rPr>
        <w:t>植物应</w:t>
      </w:r>
      <w:r>
        <w:rPr>
          <w:rFonts w:hint="eastAsia" w:asciiTheme="minorEastAsia" w:hAnsiTheme="minorEastAsia" w:eastAsiaTheme="minorEastAsia"/>
          <w:sz w:val="28"/>
          <w:szCs w:val="28"/>
        </w:rPr>
        <w:t>能</w:t>
      </w:r>
      <w:r>
        <w:rPr>
          <w:rFonts w:asciiTheme="minorEastAsia" w:hAnsiTheme="minorEastAsia" w:eastAsiaTheme="minorEastAsia"/>
          <w:sz w:val="28"/>
          <w:szCs w:val="28"/>
        </w:rPr>
        <w:t>适应</w:t>
      </w:r>
      <w:r>
        <w:rPr>
          <w:rFonts w:hint="eastAsia" w:asciiTheme="minorEastAsia" w:hAnsiTheme="minorEastAsia" w:eastAsiaTheme="minorEastAsia"/>
          <w:sz w:val="28"/>
          <w:szCs w:val="28"/>
        </w:rPr>
        <w:t>本地</w:t>
      </w:r>
      <w:r>
        <w:rPr>
          <w:rFonts w:asciiTheme="minorEastAsia" w:hAnsiTheme="minorEastAsia" w:eastAsiaTheme="minorEastAsia"/>
          <w:sz w:val="28"/>
          <w:szCs w:val="28"/>
        </w:rPr>
        <w:t>气候</w:t>
      </w:r>
      <w:r>
        <w:rPr>
          <w:rFonts w:hint="eastAsia" w:asciiTheme="minorEastAsia" w:hAnsiTheme="minorEastAsia" w:eastAsiaTheme="minorEastAsia"/>
          <w:sz w:val="28"/>
          <w:szCs w:val="28"/>
        </w:rPr>
        <w:t>和</w:t>
      </w:r>
      <w:r>
        <w:rPr>
          <w:rFonts w:asciiTheme="minorEastAsia" w:hAnsiTheme="minorEastAsia" w:eastAsiaTheme="minorEastAsia"/>
          <w:sz w:val="28"/>
          <w:szCs w:val="28"/>
        </w:rPr>
        <w:t>土壤</w:t>
      </w:r>
      <w:r>
        <w:rPr>
          <w:rFonts w:hint="eastAsia" w:asciiTheme="minorEastAsia" w:hAnsiTheme="minorEastAsia" w:eastAsiaTheme="minorEastAsia"/>
          <w:sz w:val="28"/>
          <w:szCs w:val="28"/>
        </w:rPr>
        <w:t>，抗台风、</w:t>
      </w:r>
      <w:r>
        <w:rPr>
          <w:rFonts w:asciiTheme="minorEastAsia" w:hAnsiTheme="minorEastAsia" w:eastAsiaTheme="minorEastAsia"/>
          <w:sz w:val="28"/>
          <w:szCs w:val="28"/>
        </w:rPr>
        <w:t>无毒害</w:t>
      </w:r>
      <w:r>
        <w:rPr>
          <w:rFonts w:hint="eastAsia" w:asciiTheme="minorEastAsia" w:hAnsiTheme="minorEastAsia" w:eastAsiaTheme="minorEastAsia"/>
          <w:sz w:val="28"/>
          <w:szCs w:val="28"/>
        </w:rPr>
        <w:t>、</w:t>
      </w:r>
      <w:r>
        <w:rPr>
          <w:rFonts w:asciiTheme="minorEastAsia" w:hAnsiTheme="minorEastAsia" w:eastAsiaTheme="minorEastAsia"/>
          <w:sz w:val="28"/>
          <w:szCs w:val="28"/>
        </w:rPr>
        <w:t>易维护</w:t>
      </w:r>
      <w:r>
        <w:rPr>
          <w:rFonts w:hint="eastAsia" w:asciiTheme="minorEastAsia" w:hAnsiTheme="minorEastAsia" w:eastAsiaTheme="minorEastAsia"/>
          <w:sz w:val="28"/>
          <w:szCs w:val="28"/>
        </w:rPr>
        <w:t>、姿态优美，并有利于营造良好的场地声环境；</w:t>
      </w:r>
    </w:p>
    <w:p>
      <w:pPr>
        <w:spacing w:line="360" w:lineRule="auto"/>
        <w:ind w:firstLine="562" w:firstLineChars="200"/>
        <w:jc w:val="left"/>
        <w:outlineLvl w:val="3"/>
        <w:rPr>
          <w:rFonts w:asciiTheme="minorEastAsia" w:hAnsiTheme="minorEastAsia" w:eastAsiaTheme="minorEastAsia"/>
          <w:sz w:val="28"/>
          <w:szCs w:val="28"/>
        </w:rPr>
      </w:pPr>
      <w:r>
        <w:rPr>
          <w:rFonts w:hint="eastAsia" w:asciiTheme="minorEastAsia" w:hAnsiTheme="minorEastAsia" w:eastAsiaTheme="minorEastAsia"/>
          <w:b/>
          <w:bCs/>
          <w:sz w:val="28"/>
          <w:szCs w:val="28"/>
        </w:rPr>
        <w:t>4</w:t>
      </w:r>
      <w:r>
        <w:rPr>
          <w:rFonts w:hint="eastAsia" w:asciiTheme="minorEastAsia" w:hAnsiTheme="minorEastAsia" w:eastAsiaTheme="minorEastAsia"/>
          <w:sz w:val="28"/>
          <w:szCs w:val="28"/>
        </w:rPr>
        <w:t>室外应结合景观设计，设置必要的标识系统。</w:t>
      </w:r>
    </w:p>
    <w:p>
      <w:pPr>
        <w:snapToGrid w:val="0"/>
        <w:spacing w:line="360" w:lineRule="auto"/>
        <w:outlineLvl w:val="3"/>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【条文说明】</w:t>
      </w:r>
      <w:r>
        <w:rPr>
          <w:rFonts w:hint="eastAsia" w:ascii="微软雅黑" w:hAnsi="微软雅黑" w:eastAsia="微软雅黑" w:cs="微软雅黑"/>
          <w:b/>
          <w:bCs/>
          <w:kern w:val="0"/>
          <w:sz w:val="28"/>
          <w:szCs w:val="28"/>
        </w:rPr>
        <w:t xml:space="preserve">5.2.15 </w:t>
      </w:r>
      <w:r>
        <w:rPr>
          <w:rFonts w:hint="eastAsia" w:ascii="微软雅黑" w:hAnsi="微软雅黑" w:eastAsia="微软雅黑" w:cs="微软雅黑"/>
          <w:kern w:val="0"/>
          <w:sz w:val="28"/>
          <w:szCs w:val="28"/>
        </w:rPr>
        <w:t>第2款 根据本市地理区位和气候特点，遮荫避雨应作为建筑设计优先遵循的重要原则。</w:t>
      </w:r>
    </w:p>
    <w:p>
      <w:pPr>
        <w:adjustRightInd w:val="0"/>
        <w:spacing w:line="360" w:lineRule="auto"/>
        <w:jc w:val="left"/>
        <w:rPr>
          <w:rFonts w:ascii="微软雅黑" w:hAnsi="微软雅黑" w:eastAsia="微软雅黑" w:cs="微软雅黑"/>
          <w:sz w:val="28"/>
          <w:szCs w:val="28"/>
        </w:rPr>
      </w:pPr>
      <w:r>
        <w:rPr>
          <w:rFonts w:hint="eastAsia" w:ascii="微软雅黑" w:hAnsi="微软雅黑" w:eastAsia="微软雅黑" w:cs="微软雅黑"/>
          <w:kern w:val="0"/>
          <w:sz w:val="28"/>
          <w:szCs w:val="28"/>
        </w:rPr>
        <w:t xml:space="preserve">    第4款 </w:t>
      </w:r>
      <w:r>
        <w:rPr>
          <w:rFonts w:hint="eastAsia" w:ascii="微软雅黑" w:hAnsi="微软雅黑" w:eastAsia="微软雅黑" w:cs="微软雅黑"/>
          <w:sz w:val="28"/>
          <w:szCs w:val="28"/>
        </w:rPr>
        <w:t>建筑小区设置便于识别和使用的标识系统，包括导向标识和定位标识等，能够为建筑使用者带来便捷正面的良好体验。标识一般有人车分流标识、公共交通接驳引导标识、易于老年人识别的标识、满足儿童使用需求与身高匹配的标识、无障碍标识、楼座及配套设施定位标识、健身慢行道导向标识、健身楼梯间导向标识、公共卫生间导向标识，以及其他促进建筑便捷使用的导向标识等。公共建筑标识系统应遵循现行《公共建筑标识系统技术规范》GB/T 51223，住宅建筑可参照执行。</w:t>
      </w:r>
    </w:p>
    <w:p>
      <w:pPr>
        <w:adjustRightInd w:val="0"/>
        <w:spacing w:line="360" w:lineRule="auto"/>
        <w:ind w:firstLine="560" w:firstLineChars="200"/>
        <w:jc w:val="left"/>
        <w:rPr>
          <w:rFonts w:ascii="微软雅黑" w:hAnsi="微软雅黑" w:eastAsia="微软雅黑" w:cs="微软雅黑"/>
          <w:sz w:val="28"/>
          <w:szCs w:val="28"/>
        </w:rPr>
      </w:pPr>
      <w:r>
        <w:rPr>
          <w:rFonts w:hint="eastAsia" w:ascii="微软雅黑" w:hAnsi="微软雅黑" w:eastAsia="微软雅黑" w:cs="微软雅黑"/>
          <w:sz w:val="28"/>
          <w:szCs w:val="28"/>
        </w:rPr>
        <w:t>在标识系统设计和设置时，应考虑建筑使用者的识别习惯，通过色彩、形式、字体和符号等整体进行设计，形成统一性，增强可辨识度。比如，考虑老年人由于视觉能力下降，需要采用较大的文字、较易识别的色彩系统等；而儿童由于身高较低、识字量不够等，需要采用高度适合、色彩与图形化结合等方式的识别系统等。总之，根据不同使用人群特点设置适宜的标识引导系统，体现对不同群体的关爱。</w:t>
      </w:r>
    </w:p>
    <w:p>
      <w:pPr>
        <w:adjustRightInd w:val="0"/>
        <w:spacing w:line="360" w:lineRule="auto"/>
        <w:jc w:val="left"/>
        <w:rPr>
          <w:rFonts w:ascii="宋体" w:hAnsi="宋体" w:cs="宋体"/>
          <w:color w:val="00B050"/>
          <w:kern w:val="0"/>
          <w:sz w:val="28"/>
          <w:szCs w:val="28"/>
        </w:rPr>
      </w:pPr>
      <w:r>
        <w:rPr>
          <w:rFonts w:hint="eastAsia" w:ascii="微软雅黑" w:hAnsi="微软雅黑" w:eastAsia="微软雅黑" w:cs="微软雅黑"/>
          <w:sz w:val="28"/>
          <w:szCs w:val="28"/>
        </w:rPr>
        <w:t>同时，可在场地内通行路径上和主要节点处设置标识，反映一定区域范围内的建筑与设施分布情况，并提示当前所在位置等。</w:t>
      </w:r>
    </w:p>
    <w:p>
      <w:pPr>
        <w:pStyle w:val="114"/>
        <w:spacing w:line="360" w:lineRule="auto"/>
        <w:rPr>
          <w:rFonts w:cs="Times New Roman" w:asciiTheme="minorEastAsia" w:hAnsiTheme="minorEastAsia" w:eastAsiaTheme="minorEastAsia"/>
          <w:b/>
          <w:bCs/>
          <w:color w:val="auto"/>
          <w:kern w:val="2"/>
          <w:sz w:val="28"/>
          <w:szCs w:val="28"/>
        </w:rPr>
      </w:pPr>
      <w:r>
        <w:rPr>
          <w:rFonts w:hint="eastAsia" w:cs="Times New Roman" w:asciiTheme="minorEastAsia" w:hAnsiTheme="minorEastAsia" w:eastAsiaTheme="minorEastAsia"/>
          <w:b/>
          <w:bCs/>
          <w:color w:val="auto"/>
          <w:kern w:val="2"/>
          <w:sz w:val="28"/>
          <w:szCs w:val="28"/>
        </w:rPr>
        <w:t xml:space="preserve">5.2.16 </w:t>
      </w:r>
      <w:r>
        <w:rPr>
          <w:rFonts w:hint="eastAsia" w:cs="Times New Roman" w:asciiTheme="minorEastAsia" w:hAnsiTheme="minorEastAsia" w:eastAsiaTheme="minorEastAsia"/>
          <w:bCs/>
          <w:color w:val="auto"/>
          <w:kern w:val="2"/>
          <w:sz w:val="28"/>
          <w:szCs w:val="28"/>
        </w:rPr>
        <w:t>海绵城市</w:t>
      </w:r>
      <w:r>
        <w:rPr>
          <w:rFonts w:hint="eastAsia" w:cs="Times New Roman" w:asciiTheme="minorEastAsia" w:hAnsiTheme="minorEastAsia" w:eastAsiaTheme="minorEastAsia"/>
          <w:color w:val="auto"/>
          <w:kern w:val="2"/>
          <w:sz w:val="28"/>
          <w:szCs w:val="28"/>
        </w:rPr>
        <w:t>设计</w:t>
      </w:r>
      <w:r>
        <w:rPr>
          <w:rFonts w:hint="eastAsia" w:cs="Times New Roman" w:asciiTheme="minorEastAsia" w:hAnsiTheme="minorEastAsia" w:eastAsiaTheme="minorEastAsia"/>
          <w:b/>
          <w:bCs/>
          <w:color w:val="auto"/>
          <w:kern w:val="2"/>
          <w:sz w:val="28"/>
          <w:szCs w:val="28"/>
        </w:rPr>
        <w:t>，</w:t>
      </w:r>
      <w:r>
        <w:rPr>
          <w:rFonts w:hint="eastAsia" w:cs="Times New Roman" w:asciiTheme="minorEastAsia" w:hAnsiTheme="minorEastAsia" w:eastAsiaTheme="minorEastAsia"/>
          <w:bCs/>
          <w:color w:val="auto"/>
          <w:kern w:val="2"/>
          <w:sz w:val="28"/>
          <w:szCs w:val="28"/>
        </w:rPr>
        <w:t>应符合下列规定：</w:t>
      </w:r>
    </w:p>
    <w:p>
      <w:pPr>
        <w:pStyle w:val="114"/>
        <w:spacing w:line="360" w:lineRule="auto"/>
        <w:ind w:firstLine="562" w:firstLineChars="200"/>
        <w:outlineLvl w:val="3"/>
        <w:rPr>
          <w:rFonts w:cs="Times New Roman" w:asciiTheme="minorEastAsia" w:hAnsiTheme="minorEastAsia" w:eastAsiaTheme="minorEastAsia"/>
          <w:bCs/>
          <w:color w:val="auto"/>
          <w:kern w:val="2"/>
          <w:sz w:val="28"/>
          <w:szCs w:val="28"/>
        </w:rPr>
      </w:pPr>
      <w:r>
        <w:rPr>
          <w:rFonts w:hint="eastAsia" w:cs="Times New Roman" w:asciiTheme="minorEastAsia" w:hAnsiTheme="minorEastAsia" w:eastAsiaTheme="minorEastAsia"/>
          <w:b/>
          <w:color w:val="auto"/>
          <w:kern w:val="2"/>
          <w:sz w:val="28"/>
          <w:szCs w:val="28"/>
        </w:rPr>
        <w:t xml:space="preserve">1 </w:t>
      </w:r>
      <w:r>
        <w:rPr>
          <w:rFonts w:hint="eastAsia" w:cs="Times New Roman" w:asciiTheme="minorEastAsia" w:hAnsiTheme="minorEastAsia" w:eastAsiaTheme="minorEastAsia"/>
          <w:bCs/>
          <w:color w:val="auto"/>
          <w:kern w:val="2"/>
          <w:sz w:val="28"/>
          <w:szCs w:val="28"/>
        </w:rPr>
        <w:t>建筑工程海绵设施设置，宜优先考虑雨水下渗；条件适合的，可集蓄回用；超标雨水可考虑错峰缓排；</w:t>
      </w:r>
    </w:p>
    <w:p>
      <w:pPr>
        <w:pStyle w:val="114"/>
        <w:spacing w:line="360" w:lineRule="auto"/>
        <w:ind w:firstLine="562" w:firstLineChars="200"/>
        <w:outlineLvl w:val="3"/>
        <w:rPr>
          <w:rFonts w:cs="Times New Roman" w:asciiTheme="minorEastAsia" w:hAnsiTheme="minorEastAsia" w:eastAsiaTheme="minorEastAsia"/>
          <w:bCs/>
          <w:color w:val="auto"/>
          <w:kern w:val="2"/>
          <w:sz w:val="28"/>
          <w:szCs w:val="28"/>
        </w:rPr>
      </w:pPr>
      <w:r>
        <w:rPr>
          <w:rFonts w:hint="eastAsia" w:cs="Times New Roman" w:asciiTheme="minorEastAsia" w:hAnsiTheme="minorEastAsia" w:eastAsiaTheme="minorEastAsia"/>
          <w:b/>
          <w:color w:val="auto"/>
          <w:kern w:val="2"/>
          <w:sz w:val="28"/>
          <w:szCs w:val="28"/>
        </w:rPr>
        <w:t xml:space="preserve">2 </w:t>
      </w:r>
      <w:r>
        <w:rPr>
          <w:rFonts w:hint="eastAsia" w:cs="Times New Roman" w:asciiTheme="minorEastAsia" w:hAnsiTheme="minorEastAsia" w:eastAsiaTheme="minorEastAsia"/>
          <w:bCs/>
          <w:color w:val="auto"/>
          <w:kern w:val="2"/>
          <w:sz w:val="28"/>
          <w:szCs w:val="28"/>
        </w:rPr>
        <w:t>列于海绵城市建设豁免清单之外的建筑工程，可合理提高年径流总量控制率和面源污染总削减率的既有标准要求值；</w:t>
      </w:r>
    </w:p>
    <w:p>
      <w:pPr>
        <w:pStyle w:val="114"/>
        <w:spacing w:line="360" w:lineRule="auto"/>
        <w:ind w:firstLine="562"/>
        <w:outlineLvl w:val="3"/>
        <w:rPr>
          <w:rFonts w:asciiTheme="minorEastAsia" w:hAnsiTheme="minorEastAsia" w:eastAsiaTheme="minorEastAsia"/>
          <w:color w:val="auto"/>
          <w:sz w:val="28"/>
          <w:szCs w:val="28"/>
        </w:rPr>
      </w:pPr>
      <w:r>
        <w:rPr>
          <w:rFonts w:hint="eastAsia" w:asciiTheme="minorEastAsia" w:hAnsiTheme="minorEastAsia" w:eastAsiaTheme="minorEastAsia"/>
          <w:b/>
          <w:bCs/>
          <w:color w:val="auto"/>
          <w:sz w:val="28"/>
          <w:szCs w:val="28"/>
        </w:rPr>
        <w:t xml:space="preserve">3 </w:t>
      </w:r>
      <w:r>
        <w:rPr>
          <w:rFonts w:hint="eastAsia" w:asciiTheme="minorEastAsia" w:hAnsiTheme="minorEastAsia" w:eastAsiaTheme="minorEastAsia"/>
          <w:color w:val="auto"/>
          <w:sz w:val="28"/>
          <w:szCs w:val="28"/>
        </w:rPr>
        <w:t>海绵城市设施应种植与之匹配的景观植物。</w:t>
      </w:r>
    </w:p>
    <w:p>
      <w:pPr>
        <w:spacing w:line="360" w:lineRule="auto"/>
        <w:jc w:val="left"/>
        <w:rPr>
          <w:rFonts w:ascii="微软雅黑" w:hAnsi="微软雅黑" w:eastAsia="微软雅黑" w:cs="微软雅黑"/>
          <w:kern w:val="0"/>
          <w:sz w:val="28"/>
          <w:szCs w:val="28"/>
        </w:rPr>
      </w:pPr>
      <w:r>
        <w:rPr>
          <w:rFonts w:hint="eastAsia" w:ascii="微软雅黑" w:hAnsi="微软雅黑" w:eastAsia="微软雅黑" w:cs="微软雅黑"/>
          <w:bCs/>
          <w:sz w:val="28"/>
          <w:szCs w:val="28"/>
        </w:rPr>
        <w:t>【条文说明】</w:t>
      </w:r>
      <w:r>
        <w:rPr>
          <w:rFonts w:hint="eastAsia" w:ascii="微软雅黑" w:hAnsi="微软雅黑" w:eastAsia="微软雅黑" w:cs="微软雅黑"/>
          <w:b/>
          <w:bCs/>
          <w:sz w:val="28"/>
          <w:szCs w:val="28"/>
        </w:rPr>
        <w:t>5.2.16</w:t>
      </w:r>
      <w:r>
        <w:rPr>
          <w:rFonts w:hint="eastAsia" w:ascii="微软雅黑" w:hAnsi="微软雅黑" w:eastAsia="微软雅黑" w:cs="微软雅黑"/>
          <w:bCs/>
          <w:sz w:val="28"/>
          <w:szCs w:val="28"/>
        </w:rPr>
        <w:t xml:space="preserve">  </w:t>
      </w:r>
      <w:r>
        <w:rPr>
          <w:rFonts w:hint="eastAsia" w:ascii="微软雅黑" w:hAnsi="微软雅黑" w:eastAsia="微软雅黑" w:cs="微软雅黑"/>
          <w:kern w:val="0"/>
          <w:sz w:val="28"/>
          <w:szCs w:val="28"/>
        </w:rPr>
        <w:t>第1款 鉴于建筑小区内雨水去向主要为下渗土壤和集蓄回用，所设海绵设施功能应以渗、蓄、滞、用为主；对于超过海绵设施建设控制性指标之外的雨水，则考虑暂时集蓄后，在雨峰过后适时排放。</w:t>
      </w:r>
    </w:p>
    <w:p>
      <w:pPr>
        <w:pStyle w:val="114"/>
        <w:spacing w:line="360" w:lineRule="auto"/>
        <w:ind w:firstLine="560" w:firstLineChars="200"/>
        <w:outlineLvl w:val="3"/>
        <w:rPr>
          <w:rFonts w:asciiTheme="minorEastAsia" w:hAnsiTheme="minorEastAsia" w:eastAsiaTheme="minorEastAsia"/>
          <w:bCs/>
          <w:color w:val="00B050"/>
          <w:sz w:val="28"/>
          <w:szCs w:val="28"/>
        </w:rPr>
      </w:pPr>
      <w:r>
        <w:rPr>
          <w:rFonts w:hint="eastAsia" w:ascii="微软雅黑" w:hAnsi="微软雅黑" w:eastAsia="微软雅黑" w:cs="微软雅黑"/>
          <w:bCs/>
          <w:color w:val="auto"/>
          <w:kern w:val="2"/>
          <w:sz w:val="28"/>
          <w:szCs w:val="28"/>
        </w:rPr>
        <w:t>第2款 开展</w:t>
      </w:r>
      <w:r>
        <w:rPr>
          <w:rFonts w:hint="eastAsia" w:ascii="微软雅黑" w:hAnsi="微软雅黑" w:eastAsia="微软雅黑" w:cs="微软雅黑"/>
          <w:bCs/>
          <w:color w:val="auto"/>
          <w:sz w:val="28"/>
          <w:szCs w:val="28"/>
        </w:rPr>
        <w:t>建筑工程海绵城市设计，年径流总量控制率和面源污染总削减率的既有标准要求值，可详见《深圳市房屋建筑工程海绵设施设计规程》SJG 38-2017有关规定。</w:t>
      </w:r>
    </w:p>
    <w:bookmarkEnd w:id="8"/>
    <w:bookmarkEnd w:id="9"/>
    <w:bookmarkEnd w:id="10"/>
    <w:bookmarkEnd w:id="11"/>
    <w:bookmarkEnd w:id="12"/>
    <w:bookmarkEnd w:id="13"/>
    <w:bookmarkEnd w:id="30"/>
    <w:bookmarkEnd w:id="31"/>
    <w:p>
      <w:pPr>
        <w:pStyle w:val="3"/>
        <w:keepNext/>
        <w:keepLines/>
        <w:widowControl w:val="0"/>
        <w:tabs>
          <w:tab w:val="left" w:pos="567"/>
        </w:tabs>
        <w:spacing w:before="340" w:after="330"/>
        <w:ind w:firstLine="2389" w:firstLineChars="850"/>
        <w:jc w:val="both"/>
      </w:pPr>
      <w:bookmarkStart w:id="61" w:name="_Toc23800_WPSOffice_Level1"/>
      <w:bookmarkStart w:id="62" w:name="_Toc12299"/>
      <w:r>
        <w:rPr>
          <w:rFonts w:hint="eastAsia"/>
        </w:rPr>
        <w:t>5.3 智慧建筑</w:t>
      </w:r>
      <w:bookmarkEnd w:id="61"/>
      <w:r>
        <w:rPr>
          <w:rFonts w:hint="eastAsia"/>
        </w:rPr>
        <w:t>设计</w:t>
      </w:r>
      <w:bookmarkEnd w:id="62"/>
    </w:p>
    <w:p>
      <w:pPr>
        <w:widowControl/>
        <w:spacing w:line="360" w:lineRule="auto"/>
        <w:jc w:val="left"/>
        <w:rPr>
          <w:rFonts w:eastAsiaTheme="minorEastAsia"/>
          <w:sz w:val="28"/>
          <w:szCs w:val="28"/>
        </w:rPr>
      </w:pPr>
      <w:r>
        <w:rPr>
          <w:rFonts w:hint="eastAsia" w:asciiTheme="minorEastAsia" w:hAnsiTheme="minorEastAsia" w:eastAsiaTheme="minorEastAsia"/>
          <w:b/>
          <w:sz w:val="28"/>
          <w:szCs w:val="28"/>
        </w:rPr>
        <w:t xml:space="preserve">5.3.1 </w:t>
      </w:r>
      <w:r>
        <w:rPr>
          <w:rFonts w:hint="eastAsia" w:asciiTheme="minorEastAsia" w:hAnsiTheme="minorEastAsia" w:eastAsiaTheme="minorEastAsia"/>
          <w:sz w:val="28"/>
          <w:szCs w:val="28"/>
        </w:rPr>
        <w:t>智慧建筑设计,应主要基于建筑智能化系统和5G移动互联网，融合BIM、物联网和云计算等技术，打造增强版智能建筑，对接智慧城市建设。</w:t>
      </w:r>
    </w:p>
    <w:p>
      <w:pPr>
        <w:widowControl/>
        <w:spacing w:line="360" w:lineRule="auto"/>
        <w:jc w:val="left"/>
        <w:rPr>
          <w:rFonts w:ascii="微软雅黑" w:hAnsi="微软雅黑" w:eastAsia="微软雅黑" w:cs="微软雅黑"/>
          <w:b/>
        </w:rPr>
      </w:pPr>
      <w:r>
        <w:rPr>
          <w:rFonts w:hint="eastAsia" w:ascii="微软雅黑" w:hAnsi="微软雅黑" w:eastAsia="微软雅黑" w:cs="微软雅黑"/>
          <w:sz w:val="28"/>
          <w:szCs w:val="28"/>
        </w:rPr>
        <w:t>【条文说明】</w:t>
      </w:r>
      <w:r>
        <w:rPr>
          <w:rFonts w:hint="eastAsia" w:ascii="微软雅黑" w:hAnsi="微软雅黑" w:eastAsia="微软雅黑" w:cs="微软雅黑"/>
          <w:b/>
          <w:sz w:val="28"/>
          <w:szCs w:val="28"/>
        </w:rPr>
        <w:t>5.3.1</w:t>
      </w:r>
      <w:r>
        <w:rPr>
          <w:rFonts w:hint="eastAsia" w:ascii="微软雅黑" w:hAnsi="微软雅黑" w:eastAsia="微软雅黑" w:cs="微软雅黑"/>
          <w:sz w:val="28"/>
          <w:szCs w:val="28"/>
        </w:rPr>
        <w:t>智慧建筑设计及其智能化系统设置，应确保功能实用、技术先进、安全高效、运营顺畅、经济合理和可持续发展。</w:t>
      </w:r>
    </w:p>
    <w:p>
      <w:pPr>
        <w:widowControl/>
        <w:spacing w:line="360" w:lineRule="auto"/>
        <w:jc w:val="left"/>
        <w:rPr>
          <w:rFonts w:ascii="宋体" w:hAnsi="宋体" w:cs="宋体"/>
          <w:bCs/>
          <w:kern w:val="0"/>
          <w:sz w:val="28"/>
          <w:szCs w:val="28"/>
        </w:rPr>
      </w:pPr>
      <w:r>
        <w:rPr>
          <w:rFonts w:hint="eastAsia" w:ascii="宋体" w:hAnsi="宋体" w:cs="宋体"/>
          <w:b/>
          <w:kern w:val="0"/>
          <w:sz w:val="28"/>
          <w:szCs w:val="28"/>
        </w:rPr>
        <w:t xml:space="preserve">5.3.2 </w:t>
      </w:r>
      <w:r>
        <w:rPr>
          <w:rFonts w:hint="eastAsia" w:asciiTheme="minorEastAsia" w:hAnsiTheme="minorEastAsia" w:eastAsiaTheme="minorEastAsia"/>
          <w:sz w:val="28"/>
          <w:szCs w:val="28"/>
        </w:rPr>
        <w:t>智慧建筑</w:t>
      </w:r>
      <w:r>
        <w:rPr>
          <w:rFonts w:hint="eastAsia"/>
          <w:sz w:val="28"/>
          <w:szCs w:val="28"/>
        </w:rPr>
        <w:t>智能化</w:t>
      </w:r>
      <w:r>
        <w:rPr>
          <w:sz w:val="28"/>
          <w:szCs w:val="28"/>
        </w:rPr>
        <w:t>系统</w:t>
      </w:r>
      <w:r>
        <w:rPr>
          <w:rFonts w:hint="eastAsia" w:ascii="宋体" w:hAnsi="宋体" w:cs="宋体"/>
          <w:kern w:val="0"/>
          <w:sz w:val="28"/>
          <w:szCs w:val="28"/>
        </w:rPr>
        <w:t>一般应</w:t>
      </w:r>
      <w:r>
        <w:rPr>
          <w:rFonts w:ascii="宋体" w:hAnsi="宋体" w:cs="宋体"/>
          <w:kern w:val="0"/>
          <w:sz w:val="28"/>
          <w:szCs w:val="28"/>
        </w:rPr>
        <w:t>包括公共安全系统、建筑设备管理系统、信息设施系统、信息化应用系统、智能化集成系统</w:t>
      </w:r>
      <w:r>
        <w:rPr>
          <w:rFonts w:hint="eastAsia" w:ascii="宋体" w:hAnsi="宋体" w:cs="宋体"/>
          <w:kern w:val="0"/>
          <w:sz w:val="28"/>
          <w:szCs w:val="28"/>
        </w:rPr>
        <w:t>和智慧城市对接系统</w:t>
      </w:r>
      <w:r>
        <w:rPr>
          <w:rFonts w:ascii="宋体" w:hAnsi="宋体" w:cs="宋体"/>
          <w:kern w:val="0"/>
          <w:sz w:val="28"/>
          <w:szCs w:val="28"/>
        </w:rPr>
        <w:t>。</w:t>
      </w:r>
      <w:r>
        <w:rPr>
          <w:rFonts w:ascii="宋体" w:hAnsi="宋体" w:cs="宋体"/>
          <w:kern w:val="0"/>
          <w:sz w:val="28"/>
          <w:szCs w:val="28"/>
        </w:rPr>
        <w:br w:type="textWrapping"/>
      </w:r>
      <w:r>
        <w:rPr>
          <w:rFonts w:hint="eastAsia" w:ascii="宋体" w:hAnsi="宋体" w:cs="宋体"/>
          <w:b/>
          <w:kern w:val="0"/>
          <w:sz w:val="28"/>
          <w:szCs w:val="28"/>
        </w:rPr>
        <w:t>5.3.3</w:t>
      </w:r>
      <w:r>
        <w:rPr>
          <w:rFonts w:ascii="宋体" w:hAnsi="宋体" w:cs="宋体"/>
          <w:kern w:val="0"/>
          <w:sz w:val="28"/>
          <w:szCs w:val="28"/>
        </w:rPr>
        <w:t>公共安全系统</w:t>
      </w:r>
      <w:r>
        <w:rPr>
          <w:rFonts w:hint="eastAsia" w:ascii="宋体" w:hAnsi="宋体" w:cs="宋体"/>
          <w:kern w:val="0"/>
          <w:sz w:val="28"/>
          <w:szCs w:val="28"/>
        </w:rPr>
        <w:t>一般应</w:t>
      </w:r>
      <w:r>
        <w:rPr>
          <w:rFonts w:ascii="宋体" w:hAnsi="宋体" w:cs="宋体"/>
          <w:kern w:val="0"/>
          <w:sz w:val="28"/>
          <w:szCs w:val="28"/>
        </w:rPr>
        <w:t>包括火灾自动报警系统、安全技术防范系统和应急响应系统。</w:t>
      </w:r>
      <w:r>
        <w:rPr>
          <w:rFonts w:ascii="宋体" w:hAnsi="宋体" w:cs="宋体"/>
          <w:kern w:val="0"/>
          <w:sz w:val="28"/>
          <w:szCs w:val="28"/>
        </w:rPr>
        <w:br w:type="textWrapping"/>
      </w:r>
      <w:r>
        <w:rPr>
          <w:rFonts w:hint="eastAsia" w:ascii="宋体" w:hAnsi="宋体" w:cs="宋体"/>
          <w:b/>
          <w:kern w:val="0"/>
          <w:sz w:val="28"/>
          <w:szCs w:val="28"/>
        </w:rPr>
        <w:t xml:space="preserve">5.3.4 </w:t>
      </w:r>
      <w:r>
        <w:rPr>
          <w:rFonts w:ascii="宋体" w:hAnsi="宋体" w:cs="宋体"/>
          <w:kern w:val="0"/>
          <w:sz w:val="28"/>
          <w:szCs w:val="28"/>
        </w:rPr>
        <w:t>火灾自动报警系统</w:t>
      </w:r>
      <w:r>
        <w:rPr>
          <w:rFonts w:hint="eastAsia" w:ascii="宋体" w:hAnsi="宋体" w:cs="宋体"/>
          <w:kern w:val="0"/>
          <w:sz w:val="28"/>
          <w:szCs w:val="28"/>
        </w:rPr>
        <w:t>设计，</w:t>
      </w:r>
      <w:r>
        <w:rPr>
          <w:rFonts w:ascii="宋体" w:hAnsi="宋体" w:cs="宋体"/>
          <w:kern w:val="0"/>
          <w:sz w:val="28"/>
          <w:szCs w:val="28"/>
        </w:rPr>
        <w:t>应</w:t>
      </w:r>
      <w:r>
        <w:rPr>
          <w:rFonts w:hint="eastAsia" w:ascii="宋体" w:hAnsi="宋体" w:cs="宋体"/>
          <w:kern w:val="0"/>
          <w:sz w:val="28"/>
          <w:szCs w:val="28"/>
        </w:rPr>
        <w:t>符合下列规定</w:t>
      </w:r>
      <w:r>
        <w:rPr>
          <w:rFonts w:ascii="宋体" w:hAnsi="宋体" w:cs="宋体"/>
          <w:kern w:val="0"/>
          <w:sz w:val="28"/>
          <w:szCs w:val="28"/>
        </w:rPr>
        <w:t>：</w:t>
      </w:r>
      <w:r>
        <w:rPr>
          <w:rFonts w:ascii="宋体" w:hAnsi="宋体" w:cs="宋体"/>
          <w:kern w:val="0"/>
          <w:sz w:val="28"/>
          <w:szCs w:val="28"/>
        </w:rPr>
        <w:br w:type="textWrapping"/>
      </w:r>
      <w:r>
        <w:rPr>
          <w:rFonts w:ascii="宋体" w:hAnsi="宋体" w:cs="宋体"/>
          <w:kern w:val="0"/>
          <w:sz w:val="28"/>
          <w:szCs w:val="28"/>
        </w:rPr>
        <w:t> </w:t>
      </w:r>
      <w:r>
        <w:rPr>
          <w:rFonts w:hint="eastAsia" w:ascii="宋体" w:hAnsi="宋体" w:cs="宋体"/>
          <w:bCs/>
          <w:kern w:val="0"/>
          <w:sz w:val="28"/>
          <w:szCs w:val="28"/>
        </w:rPr>
        <w:t xml:space="preserve"> </w:t>
      </w:r>
      <w:r>
        <w:rPr>
          <w:rFonts w:hint="eastAsia" w:ascii="宋体" w:hAnsi="宋体" w:cs="宋体"/>
          <w:b/>
          <w:bCs/>
          <w:kern w:val="0"/>
          <w:sz w:val="28"/>
          <w:szCs w:val="28"/>
        </w:rPr>
        <w:t xml:space="preserve"> 1</w:t>
      </w:r>
      <w:r>
        <w:rPr>
          <w:rFonts w:hint="eastAsia" w:ascii="宋体" w:hAnsi="宋体" w:cs="宋体"/>
          <w:bCs/>
          <w:kern w:val="0"/>
          <w:sz w:val="28"/>
          <w:szCs w:val="28"/>
        </w:rPr>
        <w:t xml:space="preserve"> 电气井道间内应设置火灾探测器和声报警器；</w:t>
      </w:r>
    </w:p>
    <w:p>
      <w:pPr>
        <w:widowControl/>
        <w:spacing w:line="360" w:lineRule="auto"/>
        <w:ind w:firstLine="562" w:firstLineChars="200"/>
        <w:jc w:val="left"/>
        <w:rPr>
          <w:rFonts w:ascii="宋体" w:hAnsi="宋体" w:cs="宋体"/>
          <w:bCs/>
          <w:kern w:val="0"/>
          <w:sz w:val="28"/>
          <w:szCs w:val="28"/>
        </w:rPr>
      </w:pPr>
      <w:r>
        <w:rPr>
          <w:rFonts w:hint="eastAsia" w:ascii="宋体" w:hAnsi="宋体" w:cs="宋体"/>
          <w:b/>
          <w:bCs/>
          <w:kern w:val="0"/>
          <w:sz w:val="28"/>
          <w:szCs w:val="28"/>
        </w:rPr>
        <w:t>2</w:t>
      </w:r>
      <w:r>
        <w:rPr>
          <w:rFonts w:hint="eastAsia" w:ascii="宋体" w:hAnsi="宋体" w:cs="宋体"/>
          <w:bCs/>
          <w:kern w:val="0"/>
          <w:sz w:val="28"/>
          <w:szCs w:val="28"/>
        </w:rPr>
        <w:t>电动车室内充电场所，应设置火灾探测器、声光报警器和视频监控系统；</w:t>
      </w:r>
    </w:p>
    <w:p>
      <w:pPr>
        <w:widowControl/>
        <w:spacing w:line="360" w:lineRule="auto"/>
        <w:ind w:firstLine="562" w:firstLineChars="200"/>
        <w:jc w:val="left"/>
        <w:rPr>
          <w:rFonts w:ascii="宋体" w:hAnsi="宋体" w:cs="宋体"/>
          <w:bCs/>
          <w:kern w:val="0"/>
          <w:sz w:val="28"/>
          <w:szCs w:val="28"/>
        </w:rPr>
      </w:pPr>
      <w:r>
        <w:rPr>
          <w:rFonts w:hint="eastAsia" w:ascii="宋体" w:hAnsi="宋体" w:cs="宋体"/>
          <w:b/>
          <w:bCs/>
          <w:kern w:val="0"/>
          <w:sz w:val="28"/>
          <w:szCs w:val="28"/>
        </w:rPr>
        <w:t xml:space="preserve">3 </w:t>
      </w:r>
      <w:r>
        <w:rPr>
          <w:rFonts w:hint="eastAsia" w:ascii="宋体" w:hAnsi="宋体" w:cs="宋体"/>
          <w:bCs/>
          <w:kern w:val="0"/>
          <w:sz w:val="28"/>
          <w:szCs w:val="28"/>
        </w:rPr>
        <w:t>屋顶300冷吨以上玻璃钢冷却塔布置处，应设置视频监控系统；</w:t>
      </w:r>
    </w:p>
    <w:p>
      <w:pPr>
        <w:widowControl/>
        <w:spacing w:line="360" w:lineRule="auto"/>
        <w:ind w:left="-141" w:leftChars="-67" w:firstLine="702" w:firstLineChars="250"/>
        <w:jc w:val="left"/>
        <w:rPr>
          <w:rFonts w:ascii="宋体" w:hAnsi="宋体" w:cs="宋体"/>
          <w:kern w:val="0"/>
          <w:sz w:val="28"/>
          <w:szCs w:val="28"/>
        </w:rPr>
      </w:pPr>
      <w:r>
        <w:rPr>
          <w:rFonts w:hint="eastAsia" w:ascii="宋体" w:hAnsi="宋体" w:cs="宋体"/>
          <w:b/>
          <w:bCs/>
          <w:kern w:val="0"/>
          <w:sz w:val="28"/>
          <w:szCs w:val="28"/>
        </w:rPr>
        <w:t>4</w:t>
      </w:r>
      <w:r>
        <w:rPr>
          <w:rFonts w:hint="eastAsia" w:ascii="宋体" w:hAnsi="宋体" w:cs="宋体"/>
          <w:bCs/>
          <w:kern w:val="0"/>
          <w:sz w:val="28"/>
          <w:szCs w:val="28"/>
        </w:rPr>
        <w:t xml:space="preserve"> 前述1~3款火灾探测、声报警和视频图像等信息，应实时传至消防控制室等日常有人值班的场所。</w:t>
      </w:r>
    </w:p>
    <w:p>
      <w:pPr>
        <w:widowControl/>
        <w:spacing w:line="360" w:lineRule="auto"/>
        <w:jc w:val="left"/>
        <w:rPr>
          <w:rFonts w:ascii="宋体" w:hAnsi="宋体" w:cs="宋体"/>
          <w:kern w:val="0"/>
          <w:sz w:val="28"/>
          <w:szCs w:val="28"/>
        </w:rPr>
      </w:pPr>
      <w:r>
        <w:rPr>
          <w:rFonts w:hint="eastAsia" w:ascii="宋体" w:hAnsi="宋体" w:cs="宋体"/>
          <w:b/>
          <w:kern w:val="0"/>
          <w:sz w:val="28"/>
          <w:szCs w:val="28"/>
        </w:rPr>
        <w:t>5.3.5</w:t>
      </w:r>
      <w:r>
        <w:rPr>
          <w:rFonts w:hint="eastAsia" w:ascii="宋体" w:hAnsi="宋体" w:cs="宋体"/>
          <w:kern w:val="0"/>
          <w:sz w:val="28"/>
          <w:szCs w:val="28"/>
        </w:rPr>
        <w:t xml:space="preserve"> </w:t>
      </w:r>
      <w:r>
        <w:rPr>
          <w:rFonts w:ascii="宋体" w:hAnsi="宋体" w:cs="宋体"/>
          <w:kern w:val="0"/>
          <w:sz w:val="28"/>
          <w:szCs w:val="28"/>
        </w:rPr>
        <w:t>安全技术防范系统</w:t>
      </w:r>
      <w:r>
        <w:rPr>
          <w:rFonts w:hint="eastAsia" w:ascii="宋体" w:hAnsi="宋体" w:cs="宋体"/>
          <w:kern w:val="0"/>
          <w:sz w:val="28"/>
          <w:szCs w:val="28"/>
        </w:rPr>
        <w:t>设计，</w:t>
      </w:r>
      <w:r>
        <w:rPr>
          <w:rFonts w:ascii="宋体" w:hAnsi="宋体" w:cs="宋体"/>
          <w:kern w:val="0"/>
          <w:sz w:val="28"/>
          <w:szCs w:val="28"/>
        </w:rPr>
        <w:t>应</w:t>
      </w:r>
      <w:r>
        <w:rPr>
          <w:rFonts w:hint="eastAsia" w:ascii="宋体" w:hAnsi="宋体" w:cs="宋体"/>
          <w:kern w:val="0"/>
          <w:sz w:val="28"/>
          <w:szCs w:val="28"/>
        </w:rPr>
        <w:t>符合下列规定</w:t>
      </w:r>
      <w:r>
        <w:rPr>
          <w:rFonts w:ascii="宋体" w:hAnsi="宋体" w:cs="宋体"/>
          <w:kern w:val="0"/>
          <w:sz w:val="28"/>
          <w:szCs w:val="28"/>
        </w:rPr>
        <w:t>：</w:t>
      </w:r>
    </w:p>
    <w:p>
      <w:pPr>
        <w:widowControl/>
        <w:spacing w:line="360" w:lineRule="auto"/>
        <w:ind w:firstLine="562" w:firstLineChars="200"/>
        <w:jc w:val="left"/>
        <w:rPr>
          <w:rFonts w:ascii="宋体" w:hAnsi="宋体" w:cs="宋体"/>
          <w:bCs/>
          <w:kern w:val="0"/>
          <w:sz w:val="28"/>
          <w:szCs w:val="28"/>
        </w:rPr>
      </w:pPr>
      <w:r>
        <w:rPr>
          <w:rFonts w:hint="eastAsia" w:ascii="宋体" w:hAnsi="宋体" w:cs="宋体"/>
          <w:b/>
          <w:bCs/>
          <w:kern w:val="0"/>
          <w:sz w:val="28"/>
          <w:szCs w:val="28"/>
        </w:rPr>
        <w:t>1</w:t>
      </w:r>
      <w:r>
        <w:rPr>
          <w:rFonts w:hint="eastAsia" w:ascii="宋体" w:hAnsi="宋体" w:cs="宋体"/>
          <w:bCs/>
          <w:kern w:val="0"/>
          <w:sz w:val="28"/>
          <w:szCs w:val="28"/>
        </w:rPr>
        <w:t>建筑物距地10m以上外立面，应设置高空坠（抛）物高清视频安防监控系统；</w:t>
      </w:r>
    </w:p>
    <w:p>
      <w:pPr>
        <w:widowControl/>
        <w:spacing w:line="360" w:lineRule="auto"/>
        <w:ind w:firstLine="562" w:firstLineChars="200"/>
        <w:jc w:val="left"/>
        <w:rPr>
          <w:rFonts w:ascii="宋体" w:hAnsi="宋体" w:cs="宋体"/>
          <w:bCs/>
          <w:kern w:val="0"/>
          <w:sz w:val="28"/>
          <w:szCs w:val="28"/>
        </w:rPr>
      </w:pPr>
      <w:r>
        <w:rPr>
          <w:rFonts w:hint="eastAsia" w:ascii="宋体" w:hAnsi="宋体" w:cs="宋体"/>
          <w:b/>
          <w:bCs/>
          <w:kern w:val="0"/>
          <w:sz w:val="28"/>
          <w:szCs w:val="28"/>
        </w:rPr>
        <w:t>2</w:t>
      </w:r>
      <w:r>
        <w:rPr>
          <w:rFonts w:hint="eastAsia" w:ascii="宋体" w:hAnsi="宋体" w:cs="宋体"/>
          <w:bCs/>
          <w:kern w:val="0"/>
          <w:sz w:val="28"/>
          <w:szCs w:val="28"/>
        </w:rPr>
        <w:t xml:space="preserve"> </w:t>
      </w:r>
      <w:r>
        <w:rPr>
          <w:rFonts w:ascii="宋体" w:hAnsi="宋体" w:cs="宋体"/>
          <w:bCs/>
          <w:kern w:val="0"/>
          <w:sz w:val="28"/>
          <w:szCs w:val="28"/>
        </w:rPr>
        <w:t>停车库</w:t>
      </w:r>
      <w:r>
        <w:rPr>
          <w:rFonts w:hint="eastAsia" w:ascii="宋体" w:hAnsi="宋体" w:cs="宋体"/>
          <w:bCs/>
          <w:kern w:val="0"/>
          <w:sz w:val="28"/>
          <w:szCs w:val="28"/>
        </w:rPr>
        <w:t>（场）应设置无人或少人值守的智慧停车管理系统；</w:t>
      </w:r>
    </w:p>
    <w:p>
      <w:pPr>
        <w:widowControl/>
        <w:spacing w:line="360" w:lineRule="auto"/>
        <w:ind w:firstLine="562" w:firstLineChars="200"/>
        <w:jc w:val="left"/>
        <w:rPr>
          <w:rFonts w:ascii="宋体" w:hAnsi="宋体" w:cs="宋体"/>
          <w:bCs/>
          <w:kern w:val="0"/>
          <w:sz w:val="28"/>
          <w:szCs w:val="28"/>
        </w:rPr>
      </w:pPr>
      <w:r>
        <w:rPr>
          <w:rFonts w:hint="eastAsia" w:ascii="宋体" w:hAnsi="宋体" w:cs="宋体"/>
          <w:b/>
          <w:bCs/>
          <w:kern w:val="0"/>
          <w:sz w:val="28"/>
          <w:szCs w:val="28"/>
        </w:rPr>
        <w:t xml:space="preserve">3 </w:t>
      </w:r>
      <w:r>
        <w:rPr>
          <w:rFonts w:hint="eastAsia" w:ascii="宋体" w:hAnsi="宋体" w:cs="宋体"/>
          <w:bCs/>
          <w:kern w:val="0"/>
          <w:sz w:val="28"/>
          <w:szCs w:val="28"/>
        </w:rPr>
        <w:t>住宅建筑停车库、楼梯间等公共区域应纳入</w:t>
      </w:r>
      <w:r>
        <w:rPr>
          <w:rFonts w:ascii="宋体" w:hAnsi="宋体" w:cs="宋体"/>
          <w:bCs/>
          <w:kern w:val="0"/>
          <w:sz w:val="28"/>
          <w:szCs w:val="28"/>
        </w:rPr>
        <w:t>视频安防监控</w:t>
      </w:r>
      <w:r>
        <w:rPr>
          <w:rFonts w:hint="eastAsia" w:ascii="宋体" w:hAnsi="宋体" w:cs="宋体"/>
          <w:bCs/>
          <w:kern w:val="0"/>
          <w:sz w:val="28"/>
          <w:szCs w:val="28"/>
        </w:rPr>
        <w:t>系统；</w:t>
      </w:r>
    </w:p>
    <w:p>
      <w:pPr>
        <w:widowControl/>
        <w:spacing w:line="360" w:lineRule="auto"/>
        <w:ind w:firstLine="562" w:firstLineChars="200"/>
        <w:jc w:val="left"/>
        <w:rPr>
          <w:rFonts w:ascii="宋体" w:hAnsi="宋体" w:cs="宋体"/>
          <w:bCs/>
          <w:kern w:val="0"/>
          <w:sz w:val="28"/>
          <w:szCs w:val="28"/>
        </w:rPr>
      </w:pPr>
      <w:r>
        <w:rPr>
          <w:rFonts w:hint="eastAsia" w:ascii="宋体" w:hAnsi="宋体" w:cs="宋体"/>
          <w:b/>
          <w:bCs/>
          <w:kern w:val="0"/>
          <w:sz w:val="28"/>
          <w:szCs w:val="28"/>
        </w:rPr>
        <w:t xml:space="preserve">4 </w:t>
      </w:r>
      <w:r>
        <w:rPr>
          <w:rFonts w:hint="eastAsia" w:ascii="宋体" w:hAnsi="宋体" w:cs="宋体"/>
          <w:bCs/>
          <w:kern w:val="0"/>
          <w:sz w:val="28"/>
          <w:szCs w:val="28"/>
        </w:rPr>
        <w:t>安全防范综合管理（平台）系统配置标准，因地制宜，可将现行《智能建筑设计标准》GB 50314相应配置等级提升；</w:t>
      </w:r>
    </w:p>
    <w:p>
      <w:pPr>
        <w:widowControl/>
        <w:spacing w:line="360" w:lineRule="auto"/>
        <w:ind w:firstLine="562" w:firstLineChars="200"/>
        <w:jc w:val="left"/>
        <w:rPr>
          <w:rFonts w:ascii="宋体" w:hAnsi="宋体" w:cs="宋体"/>
          <w:bCs/>
          <w:kern w:val="0"/>
          <w:sz w:val="28"/>
          <w:szCs w:val="28"/>
        </w:rPr>
      </w:pPr>
      <w:r>
        <w:rPr>
          <w:rFonts w:hint="eastAsia" w:ascii="宋体" w:hAnsi="宋体" w:cs="宋体"/>
          <w:b/>
          <w:bCs/>
          <w:kern w:val="0"/>
          <w:sz w:val="28"/>
          <w:szCs w:val="28"/>
        </w:rPr>
        <w:t>5</w:t>
      </w:r>
      <w:r>
        <w:rPr>
          <w:rFonts w:hint="eastAsia" w:ascii="宋体" w:hAnsi="宋体" w:cs="宋体"/>
          <w:bCs/>
          <w:kern w:val="0"/>
          <w:sz w:val="28"/>
          <w:szCs w:val="28"/>
        </w:rPr>
        <w:t>重要公共建筑和物业管理完善的住宅小区，可设置基于视频图像和大数据的智能分析系统。</w:t>
      </w:r>
    </w:p>
    <w:p>
      <w:pPr>
        <w:widowControl/>
        <w:spacing w:line="360" w:lineRule="auto"/>
        <w:jc w:val="left"/>
        <w:rPr>
          <w:rFonts w:ascii="微软雅黑" w:hAnsi="微软雅黑" w:eastAsia="微软雅黑" w:cs="微软雅黑"/>
          <w:kern w:val="0"/>
          <w:sz w:val="28"/>
          <w:szCs w:val="28"/>
        </w:rPr>
      </w:pPr>
      <w:r>
        <w:rPr>
          <w:rFonts w:hint="eastAsia" w:ascii="微软雅黑" w:hAnsi="微软雅黑" w:eastAsia="微软雅黑" w:cs="微软雅黑"/>
          <w:bCs/>
          <w:kern w:val="0"/>
          <w:sz w:val="28"/>
          <w:szCs w:val="28"/>
        </w:rPr>
        <w:t>【条文说明】</w:t>
      </w:r>
      <w:r>
        <w:rPr>
          <w:rFonts w:hint="eastAsia" w:ascii="微软雅黑" w:hAnsi="微软雅黑" w:eastAsia="微软雅黑" w:cs="微软雅黑"/>
          <w:b/>
          <w:bCs/>
          <w:kern w:val="0"/>
          <w:sz w:val="28"/>
          <w:szCs w:val="28"/>
        </w:rPr>
        <w:t xml:space="preserve">5.3.5 </w:t>
      </w:r>
      <w:r>
        <w:rPr>
          <w:rFonts w:hint="eastAsia" w:ascii="微软雅黑" w:hAnsi="微软雅黑" w:eastAsia="微软雅黑" w:cs="微软雅黑"/>
          <w:kern w:val="0"/>
          <w:sz w:val="28"/>
          <w:szCs w:val="28"/>
        </w:rPr>
        <w:t>安全技术防范系统一般可分为安全防范综合管理（平台）系统、入侵报警系统、视频安防监控系统、出入口控制系统、电子巡查系统、访客对讲系统、停车库(场)管理系统等</w:t>
      </w:r>
      <w:r>
        <w:rPr>
          <w:rFonts w:hint="eastAsia" w:ascii="微软雅黑" w:hAnsi="微软雅黑" w:eastAsia="微软雅黑" w:cs="微软雅黑"/>
          <w:sz w:val="28"/>
          <w:szCs w:val="28"/>
        </w:rPr>
        <w:t>子系统</w:t>
      </w:r>
      <w:r>
        <w:rPr>
          <w:rFonts w:hint="eastAsia" w:ascii="微软雅黑" w:hAnsi="微软雅黑" w:eastAsia="微软雅黑" w:cs="微软雅黑"/>
          <w:kern w:val="0"/>
          <w:sz w:val="28"/>
          <w:szCs w:val="28"/>
        </w:rPr>
        <w:t>。</w:t>
      </w:r>
    </w:p>
    <w:p>
      <w:pPr>
        <w:widowControl/>
        <w:spacing w:line="360" w:lineRule="auto"/>
        <w:ind w:firstLine="840" w:firstLineChars="300"/>
        <w:jc w:val="left"/>
        <w:rPr>
          <w:rFonts w:ascii="微软雅黑" w:hAnsi="微软雅黑" w:eastAsia="微软雅黑" w:cs="微软雅黑"/>
          <w:bCs/>
          <w:kern w:val="0"/>
          <w:sz w:val="28"/>
          <w:szCs w:val="28"/>
        </w:rPr>
      </w:pPr>
      <w:r>
        <w:rPr>
          <w:rFonts w:hint="eastAsia" w:ascii="微软雅黑" w:hAnsi="微软雅黑" w:eastAsia="微软雅黑" w:cs="微软雅黑"/>
          <w:kern w:val="0"/>
          <w:sz w:val="28"/>
          <w:szCs w:val="28"/>
        </w:rPr>
        <w:t>第1款 工程建设与人民生命及财产安全休戚相关。时至今日，高空坠物视频监控系统和视频安防监控系统均可谓技术成熟、性能优越、造价低廉，分别在新建所有建筑工程和新建住宅建筑中推广应用，必要且可行。具体设计高空坠物视频监控系统时，应注意恰当保护建筑用户隐私；本款“公共区域”主要是指楼梯间、公共走道、电梯和停车库等处。</w:t>
      </w:r>
    </w:p>
    <w:p>
      <w:pPr>
        <w:widowControl/>
        <w:spacing w:line="360" w:lineRule="auto"/>
        <w:ind w:firstLine="560" w:firstLineChars="200"/>
        <w:jc w:val="left"/>
        <w:rPr>
          <w:rFonts w:ascii="微软雅黑" w:hAnsi="微软雅黑" w:eastAsia="微软雅黑" w:cs="微软雅黑"/>
          <w:bCs/>
          <w:kern w:val="0"/>
          <w:sz w:val="28"/>
          <w:szCs w:val="28"/>
        </w:rPr>
      </w:pPr>
      <w:r>
        <w:rPr>
          <w:rFonts w:hint="eastAsia" w:ascii="微软雅黑" w:hAnsi="微软雅黑" w:eastAsia="微软雅黑" w:cs="微软雅黑"/>
          <w:bCs/>
          <w:kern w:val="0"/>
          <w:sz w:val="28"/>
          <w:szCs w:val="28"/>
        </w:rPr>
        <w:t>第4款 本款“提升”系指：现行GB 50314原“可”条提为“宜”条或“应” 条，原“宜”条提为“应”条。本导则类似所称，均指此义，不另赘述。</w:t>
      </w:r>
    </w:p>
    <w:p>
      <w:pPr>
        <w:widowControl/>
        <w:spacing w:line="360" w:lineRule="auto"/>
        <w:ind w:firstLine="560" w:firstLineChars="200"/>
        <w:jc w:val="left"/>
        <w:rPr>
          <w:rFonts w:ascii="宋体" w:hAnsi="宋体" w:cs="宋体"/>
          <w:kern w:val="0"/>
          <w:sz w:val="28"/>
          <w:szCs w:val="28"/>
        </w:rPr>
      </w:pPr>
      <w:r>
        <w:rPr>
          <w:rFonts w:hint="eastAsia" w:ascii="微软雅黑" w:hAnsi="微软雅黑" w:eastAsia="微软雅黑" w:cs="微软雅黑"/>
          <w:bCs/>
          <w:kern w:val="0"/>
          <w:sz w:val="28"/>
          <w:szCs w:val="28"/>
        </w:rPr>
        <w:t xml:space="preserve">第5款 </w:t>
      </w:r>
      <w:r>
        <w:rPr>
          <w:rFonts w:hint="eastAsia" w:ascii="微软雅黑" w:hAnsi="微软雅黑" w:eastAsia="微软雅黑" w:cs="微软雅黑"/>
          <w:kern w:val="0"/>
          <w:sz w:val="28"/>
          <w:szCs w:val="28"/>
        </w:rPr>
        <w:t>目前视频大数据分析技术已取得突破性进展，具备人脸识别、行为分析和情感判断等智慧化功能，极大丰富安全技术防范手段，提高建筑安全水平，满足城市安全管理需要，因此建议在重点公共建筑与住宅小区推广应用。</w:t>
      </w:r>
      <w:r>
        <w:rPr>
          <w:rFonts w:hint="eastAsia" w:ascii="微软雅黑" w:hAnsi="微软雅黑" w:eastAsia="微软雅黑" w:cs="微软雅黑"/>
          <w:bCs/>
          <w:kern w:val="0"/>
          <w:sz w:val="28"/>
          <w:szCs w:val="28"/>
        </w:rPr>
        <w:t>本款可实现人物形象和行为特征的辨识，自动完成身份认证和行为预判，提升入侵报警、出入管制、车库管理和电子巡查等安防性能。</w:t>
      </w:r>
      <w:r>
        <w:rPr>
          <w:rFonts w:ascii="宋体" w:hAnsi="宋体" w:cs="宋体"/>
          <w:kern w:val="0"/>
          <w:sz w:val="28"/>
          <w:szCs w:val="28"/>
        </w:rPr>
        <w:br w:type="textWrapping"/>
      </w:r>
      <w:r>
        <w:rPr>
          <w:rFonts w:hint="eastAsia" w:ascii="宋体" w:hAnsi="宋体" w:cs="宋体"/>
          <w:b/>
          <w:bCs/>
          <w:kern w:val="0"/>
          <w:sz w:val="28"/>
          <w:szCs w:val="28"/>
        </w:rPr>
        <w:t xml:space="preserve">5.3.6 </w:t>
      </w:r>
      <w:r>
        <w:rPr>
          <w:rFonts w:ascii="宋体" w:hAnsi="宋体" w:cs="宋体"/>
          <w:kern w:val="0"/>
          <w:sz w:val="28"/>
          <w:szCs w:val="28"/>
        </w:rPr>
        <w:t>应急响应系统</w:t>
      </w:r>
      <w:r>
        <w:rPr>
          <w:rFonts w:hint="eastAsia" w:ascii="宋体" w:hAnsi="宋体" w:cs="宋体"/>
          <w:kern w:val="0"/>
          <w:sz w:val="28"/>
          <w:szCs w:val="28"/>
        </w:rPr>
        <w:t>设计，</w:t>
      </w:r>
      <w:r>
        <w:rPr>
          <w:rFonts w:ascii="宋体" w:hAnsi="宋体" w:cs="宋体"/>
          <w:kern w:val="0"/>
          <w:sz w:val="28"/>
          <w:szCs w:val="28"/>
        </w:rPr>
        <w:t>应</w:t>
      </w:r>
      <w:r>
        <w:rPr>
          <w:rFonts w:hint="eastAsia" w:ascii="宋体" w:hAnsi="宋体" w:cs="宋体"/>
          <w:kern w:val="0"/>
          <w:sz w:val="28"/>
          <w:szCs w:val="28"/>
        </w:rPr>
        <w:t>符合下列规定</w:t>
      </w:r>
      <w:r>
        <w:rPr>
          <w:rFonts w:ascii="宋体" w:hAnsi="宋体" w:cs="宋体"/>
          <w:kern w:val="0"/>
          <w:sz w:val="28"/>
          <w:szCs w:val="28"/>
        </w:rPr>
        <w:t>：</w:t>
      </w:r>
      <w:r>
        <w:rPr>
          <w:rFonts w:ascii="宋体" w:hAnsi="宋体" w:cs="宋体"/>
          <w:kern w:val="0"/>
          <w:sz w:val="28"/>
          <w:szCs w:val="28"/>
        </w:rPr>
        <w:br w:type="textWrapping"/>
      </w:r>
      <w:r>
        <w:rPr>
          <w:rFonts w:ascii="宋体" w:hAnsi="宋体" w:cs="宋体"/>
          <w:kern w:val="0"/>
          <w:sz w:val="28"/>
          <w:szCs w:val="28"/>
        </w:rPr>
        <w:t> </w:t>
      </w:r>
      <w:r>
        <w:rPr>
          <w:rFonts w:ascii="宋体" w:hAnsi="宋体" w:cs="宋体"/>
          <w:b/>
          <w:bCs/>
          <w:kern w:val="0"/>
          <w:sz w:val="28"/>
          <w:szCs w:val="28"/>
        </w:rPr>
        <w:t> 1</w:t>
      </w:r>
      <w:r>
        <w:rPr>
          <w:rFonts w:hint="eastAsia" w:ascii="宋体" w:hAnsi="宋体" w:cs="宋体"/>
          <w:bCs/>
          <w:kern w:val="0"/>
          <w:sz w:val="28"/>
          <w:szCs w:val="28"/>
        </w:rPr>
        <w:t>宜</w:t>
      </w:r>
      <w:r>
        <w:rPr>
          <w:rFonts w:hint="eastAsia" w:ascii="宋体" w:hAnsi="宋体" w:cs="宋体"/>
          <w:kern w:val="0"/>
          <w:sz w:val="28"/>
          <w:szCs w:val="28"/>
        </w:rPr>
        <w:t>配置基于</w:t>
      </w:r>
      <w:r>
        <w:rPr>
          <w:rFonts w:ascii="宋体" w:hAnsi="宋体" w:cs="宋体"/>
          <w:kern w:val="0"/>
          <w:sz w:val="28"/>
          <w:szCs w:val="28"/>
        </w:rPr>
        <w:t>有线／无线通信指挥调度系统</w:t>
      </w:r>
      <w:r>
        <w:rPr>
          <w:rFonts w:hint="eastAsia" w:ascii="宋体" w:hAnsi="宋体" w:cs="宋体"/>
          <w:kern w:val="0"/>
          <w:sz w:val="28"/>
          <w:szCs w:val="28"/>
        </w:rPr>
        <w:t>、</w:t>
      </w:r>
      <w:r>
        <w:rPr>
          <w:rFonts w:ascii="宋体" w:hAnsi="宋体" w:cs="宋体"/>
          <w:kern w:val="0"/>
          <w:sz w:val="28"/>
          <w:szCs w:val="28"/>
        </w:rPr>
        <w:t>紧急报警系统</w:t>
      </w:r>
      <w:r>
        <w:rPr>
          <w:rFonts w:hint="eastAsia" w:ascii="宋体" w:hAnsi="宋体" w:cs="宋体"/>
          <w:kern w:val="0"/>
          <w:sz w:val="28"/>
          <w:szCs w:val="28"/>
        </w:rPr>
        <w:t>和</w:t>
      </w:r>
      <w:r>
        <w:rPr>
          <w:rFonts w:ascii="宋体" w:hAnsi="宋体" w:cs="宋体"/>
          <w:kern w:val="0"/>
          <w:sz w:val="28"/>
          <w:szCs w:val="28"/>
        </w:rPr>
        <w:t>基于BIM</w:t>
      </w:r>
      <w:r>
        <w:rPr>
          <w:rFonts w:hint="eastAsia" w:ascii="宋体" w:hAnsi="宋体" w:cs="宋体"/>
          <w:kern w:val="0"/>
          <w:sz w:val="28"/>
          <w:szCs w:val="28"/>
        </w:rPr>
        <w:t>/VR/AR</w:t>
      </w:r>
      <w:r>
        <w:rPr>
          <w:rFonts w:ascii="宋体" w:hAnsi="宋体" w:cs="宋体"/>
          <w:kern w:val="0"/>
          <w:sz w:val="28"/>
          <w:szCs w:val="28"/>
        </w:rPr>
        <w:t>分析决策支持系统</w:t>
      </w:r>
      <w:r>
        <w:rPr>
          <w:rFonts w:hint="eastAsia" w:ascii="宋体" w:hAnsi="宋体" w:cs="宋体"/>
          <w:kern w:val="0"/>
          <w:sz w:val="28"/>
          <w:szCs w:val="28"/>
        </w:rPr>
        <w:t>；</w:t>
      </w:r>
      <w:r>
        <w:rPr>
          <w:rFonts w:ascii="宋体" w:hAnsi="宋体" w:cs="宋体"/>
          <w:kern w:val="0"/>
          <w:sz w:val="28"/>
          <w:szCs w:val="28"/>
        </w:rPr>
        <w:br w:type="textWrapping"/>
      </w:r>
      <w:r>
        <w:rPr>
          <w:rFonts w:ascii="宋体" w:hAnsi="宋体" w:cs="宋体"/>
          <w:kern w:val="0"/>
          <w:sz w:val="28"/>
          <w:szCs w:val="28"/>
        </w:rPr>
        <w:t>  </w:t>
      </w:r>
      <w:r>
        <w:rPr>
          <w:rFonts w:hint="eastAsia" w:ascii="宋体" w:hAnsi="宋体" w:cs="宋体"/>
          <w:b/>
          <w:bCs/>
          <w:kern w:val="0"/>
          <w:sz w:val="28"/>
          <w:szCs w:val="28"/>
        </w:rPr>
        <w:t>2</w:t>
      </w:r>
      <w:r>
        <w:rPr>
          <w:rFonts w:ascii="宋体" w:hAnsi="宋体" w:cs="宋体"/>
          <w:kern w:val="0"/>
          <w:sz w:val="28"/>
          <w:szCs w:val="28"/>
        </w:rPr>
        <w:t>应纳入建筑物所在</w:t>
      </w:r>
      <w:r>
        <w:rPr>
          <w:rFonts w:hint="eastAsia" w:ascii="宋体" w:hAnsi="宋体" w:cs="宋体"/>
          <w:kern w:val="0"/>
          <w:sz w:val="28"/>
          <w:szCs w:val="28"/>
        </w:rPr>
        <w:t>片区的</w:t>
      </w:r>
      <w:r>
        <w:rPr>
          <w:rFonts w:ascii="宋体" w:hAnsi="宋体" w:cs="宋体"/>
          <w:kern w:val="0"/>
          <w:sz w:val="28"/>
          <w:szCs w:val="28"/>
        </w:rPr>
        <w:t>应急管理体系</w:t>
      </w:r>
      <w:r>
        <w:rPr>
          <w:rFonts w:hint="eastAsia" w:ascii="宋体" w:hAnsi="宋体" w:cs="宋体"/>
          <w:kern w:val="0"/>
          <w:sz w:val="28"/>
          <w:szCs w:val="28"/>
        </w:rPr>
        <w:t>，并预留与区级或市级应急管理体系的通信接口。</w:t>
      </w:r>
    </w:p>
    <w:p>
      <w:pPr>
        <w:widowControl/>
        <w:spacing w:line="360" w:lineRule="auto"/>
        <w:jc w:val="left"/>
        <w:rPr>
          <w:rFonts w:ascii="宋体" w:hAnsi="宋体" w:cs="宋体"/>
          <w:kern w:val="0"/>
          <w:sz w:val="28"/>
          <w:szCs w:val="28"/>
        </w:rPr>
      </w:pPr>
      <w:r>
        <w:rPr>
          <w:rFonts w:hint="eastAsia" w:ascii="微软雅黑" w:hAnsi="微软雅黑" w:eastAsia="微软雅黑" w:cs="微软雅黑"/>
          <w:kern w:val="0"/>
          <w:sz w:val="28"/>
          <w:szCs w:val="28"/>
        </w:rPr>
        <w:t>【条文说明】</w:t>
      </w:r>
      <w:r>
        <w:rPr>
          <w:rFonts w:hint="eastAsia" w:ascii="微软雅黑" w:hAnsi="微软雅黑" w:eastAsia="微软雅黑" w:cs="微软雅黑"/>
          <w:b/>
          <w:bCs/>
          <w:kern w:val="0"/>
          <w:sz w:val="28"/>
          <w:szCs w:val="28"/>
        </w:rPr>
        <w:t xml:space="preserve">5.3.6 </w:t>
      </w:r>
      <w:r>
        <w:rPr>
          <w:rFonts w:hint="eastAsia" w:ascii="微软雅黑" w:hAnsi="微软雅黑" w:eastAsia="微软雅黑" w:cs="微软雅黑"/>
          <w:kern w:val="0"/>
          <w:sz w:val="28"/>
          <w:szCs w:val="28"/>
        </w:rPr>
        <w:t>第1款 应用BIM、VR、AR等数字模型，构建三维可视化的集成管理平台，将极大方便建筑管控，提高针对突发事件的处置效率，创新建筑物应急响应措施。</w:t>
      </w:r>
    </w:p>
    <w:p>
      <w:pPr>
        <w:widowControl/>
        <w:spacing w:line="360" w:lineRule="auto"/>
        <w:jc w:val="left"/>
        <w:rPr>
          <w:rFonts w:ascii="宋体" w:hAnsi="宋体" w:cs="宋体"/>
          <w:kern w:val="0"/>
          <w:sz w:val="28"/>
          <w:szCs w:val="28"/>
        </w:rPr>
      </w:pPr>
      <w:r>
        <w:rPr>
          <w:rFonts w:hint="eastAsia" w:ascii="宋体" w:hAnsi="宋体" w:cs="宋体"/>
          <w:b/>
          <w:kern w:val="0"/>
          <w:sz w:val="28"/>
          <w:szCs w:val="28"/>
        </w:rPr>
        <w:t xml:space="preserve">5.3.7  </w:t>
      </w:r>
      <w:r>
        <w:rPr>
          <w:rFonts w:ascii="宋体" w:hAnsi="宋体" w:cs="宋体"/>
          <w:kern w:val="0"/>
          <w:sz w:val="28"/>
          <w:szCs w:val="28"/>
        </w:rPr>
        <w:t>建筑设备管理系统</w:t>
      </w:r>
      <w:r>
        <w:rPr>
          <w:rFonts w:hint="eastAsia" w:ascii="宋体" w:hAnsi="宋体" w:cs="宋体"/>
          <w:kern w:val="0"/>
          <w:sz w:val="28"/>
          <w:szCs w:val="28"/>
        </w:rPr>
        <w:t>一般应</w:t>
      </w:r>
      <w:r>
        <w:rPr>
          <w:rFonts w:ascii="宋体" w:hAnsi="宋体" w:cs="宋体"/>
          <w:kern w:val="0"/>
          <w:sz w:val="28"/>
          <w:szCs w:val="28"/>
        </w:rPr>
        <w:t>包括建筑设备监控系统</w:t>
      </w:r>
      <w:r>
        <w:rPr>
          <w:rFonts w:hint="eastAsia" w:ascii="宋体" w:hAnsi="宋体" w:cs="宋体"/>
          <w:kern w:val="0"/>
          <w:sz w:val="28"/>
          <w:szCs w:val="28"/>
        </w:rPr>
        <w:t>和</w:t>
      </w:r>
      <w:r>
        <w:rPr>
          <w:rFonts w:ascii="宋体" w:hAnsi="宋体" w:cs="宋体"/>
          <w:kern w:val="0"/>
          <w:sz w:val="28"/>
          <w:szCs w:val="28"/>
        </w:rPr>
        <w:t>建筑能效监管系统，</w:t>
      </w:r>
      <w:r>
        <w:rPr>
          <w:rFonts w:hint="eastAsia" w:ascii="宋体" w:hAnsi="宋体" w:cs="宋体"/>
          <w:kern w:val="0"/>
          <w:sz w:val="28"/>
          <w:szCs w:val="28"/>
        </w:rPr>
        <w:t>也可包括</w:t>
      </w:r>
      <w:r>
        <w:rPr>
          <w:rFonts w:ascii="宋体" w:hAnsi="宋体" w:cs="宋体"/>
          <w:kern w:val="0"/>
          <w:sz w:val="28"/>
          <w:szCs w:val="28"/>
        </w:rPr>
        <w:t>其他业务</w:t>
      </w:r>
      <w:r>
        <w:rPr>
          <w:rFonts w:hint="eastAsia" w:ascii="宋体" w:hAnsi="宋体" w:cs="宋体"/>
          <w:kern w:val="0"/>
          <w:sz w:val="28"/>
          <w:szCs w:val="28"/>
        </w:rPr>
        <w:t>设备</w:t>
      </w:r>
      <w:r>
        <w:rPr>
          <w:rFonts w:ascii="宋体" w:hAnsi="宋体" w:cs="宋体"/>
          <w:kern w:val="0"/>
          <w:sz w:val="28"/>
          <w:szCs w:val="28"/>
        </w:rPr>
        <w:t>设施</w:t>
      </w:r>
      <w:r>
        <w:rPr>
          <w:rFonts w:hint="eastAsia" w:ascii="宋体" w:hAnsi="宋体" w:cs="宋体"/>
          <w:kern w:val="0"/>
          <w:sz w:val="28"/>
          <w:szCs w:val="28"/>
        </w:rPr>
        <w:t>管理</w:t>
      </w:r>
      <w:r>
        <w:rPr>
          <w:rFonts w:ascii="宋体" w:hAnsi="宋体" w:cs="宋体"/>
          <w:kern w:val="0"/>
          <w:sz w:val="28"/>
          <w:szCs w:val="28"/>
        </w:rPr>
        <w:t>系统。</w:t>
      </w:r>
    </w:p>
    <w:p>
      <w:pPr>
        <w:widowControl/>
        <w:spacing w:line="360" w:lineRule="auto"/>
        <w:jc w:val="left"/>
        <w:rPr>
          <w:rFonts w:ascii="宋体" w:hAnsi="宋体" w:cs="宋体"/>
          <w:kern w:val="0"/>
          <w:sz w:val="28"/>
          <w:szCs w:val="28"/>
        </w:rPr>
      </w:pPr>
      <w:r>
        <w:rPr>
          <w:rFonts w:hint="eastAsia" w:ascii="宋体" w:hAnsi="宋体" w:cs="宋体"/>
          <w:b/>
          <w:kern w:val="0"/>
          <w:sz w:val="28"/>
          <w:szCs w:val="28"/>
        </w:rPr>
        <w:t xml:space="preserve">5.3.8  </w:t>
      </w:r>
      <w:r>
        <w:rPr>
          <w:rFonts w:ascii="宋体" w:hAnsi="宋体" w:cs="宋体"/>
          <w:kern w:val="0"/>
          <w:sz w:val="28"/>
          <w:szCs w:val="28"/>
        </w:rPr>
        <w:t>建筑设备监控系统</w:t>
      </w:r>
      <w:r>
        <w:rPr>
          <w:rFonts w:hint="eastAsia" w:ascii="宋体" w:hAnsi="宋体" w:cs="宋体"/>
          <w:kern w:val="0"/>
          <w:sz w:val="28"/>
          <w:szCs w:val="28"/>
        </w:rPr>
        <w:t>设计，</w:t>
      </w:r>
      <w:r>
        <w:rPr>
          <w:rFonts w:ascii="宋体" w:hAnsi="宋体" w:cs="宋体"/>
          <w:kern w:val="0"/>
          <w:sz w:val="28"/>
          <w:szCs w:val="28"/>
        </w:rPr>
        <w:t>应</w:t>
      </w:r>
      <w:r>
        <w:rPr>
          <w:rFonts w:hint="eastAsia" w:ascii="宋体" w:hAnsi="宋体" w:cs="宋体"/>
          <w:kern w:val="0"/>
          <w:sz w:val="28"/>
          <w:szCs w:val="28"/>
        </w:rPr>
        <w:t>符合下列规定</w:t>
      </w:r>
      <w:r>
        <w:rPr>
          <w:rFonts w:ascii="宋体" w:hAnsi="宋体" w:cs="宋体"/>
          <w:kern w:val="0"/>
          <w:sz w:val="28"/>
          <w:szCs w:val="28"/>
        </w:rPr>
        <w:t>：</w:t>
      </w:r>
    </w:p>
    <w:p>
      <w:pPr>
        <w:widowControl/>
        <w:spacing w:line="360" w:lineRule="auto"/>
        <w:ind w:firstLine="562" w:firstLineChars="200"/>
        <w:jc w:val="left"/>
        <w:rPr>
          <w:rFonts w:ascii="宋体" w:hAnsi="宋体" w:cs="宋体"/>
          <w:bCs/>
          <w:kern w:val="0"/>
          <w:sz w:val="28"/>
          <w:szCs w:val="28"/>
        </w:rPr>
      </w:pPr>
      <w:r>
        <w:rPr>
          <w:rFonts w:hint="eastAsia" w:ascii="宋体" w:hAnsi="宋体" w:cs="宋体"/>
          <w:b/>
          <w:bCs/>
          <w:kern w:val="0"/>
          <w:sz w:val="28"/>
          <w:szCs w:val="28"/>
        </w:rPr>
        <w:t xml:space="preserve">1 </w:t>
      </w:r>
      <w:r>
        <w:rPr>
          <w:rFonts w:hint="eastAsia" w:ascii="宋体" w:hAnsi="宋体" w:cs="宋体"/>
          <w:kern w:val="0"/>
          <w:sz w:val="28"/>
          <w:szCs w:val="28"/>
        </w:rPr>
        <w:t>其</w:t>
      </w:r>
      <w:r>
        <w:rPr>
          <w:rFonts w:hint="eastAsia" w:ascii="宋体" w:hAnsi="宋体" w:cs="宋体"/>
          <w:bCs/>
          <w:kern w:val="0"/>
          <w:sz w:val="28"/>
          <w:szCs w:val="28"/>
        </w:rPr>
        <w:t>配置标准因地制宜，可将现行《智能建筑设计标准》GB 50314相应配置等级提升；</w:t>
      </w:r>
    </w:p>
    <w:p>
      <w:pPr>
        <w:widowControl/>
        <w:spacing w:line="360" w:lineRule="auto"/>
        <w:ind w:firstLine="562" w:firstLineChars="200"/>
        <w:jc w:val="left"/>
        <w:rPr>
          <w:rFonts w:ascii="宋体" w:hAnsi="宋体" w:cs="宋体"/>
          <w:bCs/>
          <w:kern w:val="0"/>
          <w:sz w:val="28"/>
          <w:szCs w:val="28"/>
        </w:rPr>
      </w:pPr>
      <w:r>
        <w:rPr>
          <w:rFonts w:hint="eastAsia" w:ascii="宋体" w:hAnsi="宋体" w:cs="宋体"/>
          <w:b/>
          <w:bCs/>
          <w:kern w:val="0"/>
          <w:sz w:val="28"/>
          <w:szCs w:val="28"/>
        </w:rPr>
        <w:t>2</w:t>
      </w:r>
      <w:r>
        <w:rPr>
          <w:rFonts w:hint="eastAsia" w:ascii="宋体" w:hAnsi="宋体" w:cs="宋体"/>
          <w:bCs/>
          <w:kern w:val="0"/>
          <w:sz w:val="28"/>
          <w:szCs w:val="28"/>
        </w:rPr>
        <w:t xml:space="preserve"> 建筑面积为500m</w:t>
      </w:r>
      <w:r>
        <w:rPr>
          <w:rFonts w:hint="eastAsia" w:ascii="宋体" w:hAnsi="宋体" w:cs="宋体"/>
          <w:bCs/>
          <w:kern w:val="0"/>
          <w:sz w:val="28"/>
          <w:szCs w:val="28"/>
          <w:vertAlign w:val="superscript"/>
        </w:rPr>
        <w:t>2</w:t>
      </w:r>
      <w:r>
        <w:rPr>
          <w:rFonts w:hint="eastAsia" w:ascii="宋体" w:hAnsi="宋体" w:cs="宋体"/>
          <w:bCs/>
          <w:kern w:val="0"/>
          <w:sz w:val="28"/>
          <w:szCs w:val="28"/>
        </w:rPr>
        <w:t>以上的室内公共场所（停车库、公共通道、大堂等），宜设置智能照明系统；</w:t>
      </w:r>
    </w:p>
    <w:p>
      <w:pPr>
        <w:widowControl/>
        <w:spacing w:line="360" w:lineRule="auto"/>
        <w:ind w:firstLine="562" w:firstLineChars="200"/>
        <w:jc w:val="left"/>
        <w:rPr>
          <w:rFonts w:ascii="宋体" w:hAnsi="宋体" w:cs="宋体"/>
          <w:bCs/>
          <w:kern w:val="0"/>
          <w:sz w:val="28"/>
          <w:szCs w:val="28"/>
        </w:rPr>
      </w:pPr>
      <w:r>
        <w:rPr>
          <w:rFonts w:hint="eastAsia" w:ascii="宋体" w:hAnsi="宋体" w:cs="宋体"/>
          <w:b/>
          <w:bCs/>
          <w:kern w:val="0"/>
          <w:sz w:val="28"/>
          <w:szCs w:val="28"/>
        </w:rPr>
        <w:t xml:space="preserve">3 </w:t>
      </w:r>
      <w:r>
        <w:rPr>
          <w:rFonts w:hint="eastAsia" w:ascii="宋体" w:hAnsi="宋体" w:cs="宋体"/>
          <w:bCs/>
          <w:kern w:val="0"/>
          <w:sz w:val="28"/>
          <w:szCs w:val="28"/>
        </w:rPr>
        <w:t>鼓励设计采用自带成套化、专业化的自动控制系统和物联网通讯接口的智慧机电设备（含供配电装置）或工艺系统，并集成接入建筑设备监控系统。</w:t>
      </w:r>
    </w:p>
    <w:p>
      <w:pPr>
        <w:widowControl/>
        <w:spacing w:line="360" w:lineRule="auto"/>
        <w:jc w:val="left"/>
        <w:rPr>
          <w:rFonts w:ascii="微软雅黑" w:hAnsi="微软雅黑" w:eastAsia="微软雅黑" w:cs="微软雅黑"/>
          <w:kern w:val="0"/>
          <w:sz w:val="28"/>
          <w:szCs w:val="28"/>
        </w:rPr>
      </w:pPr>
      <w:r>
        <w:rPr>
          <w:rFonts w:hint="eastAsia" w:ascii="微软雅黑" w:hAnsi="微软雅黑" w:eastAsia="微软雅黑" w:cs="微软雅黑"/>
          <w:bCs/>
          <w:kern w:val="0"/>
          <w:sz w:val="28"/>
          <w:szCs w:val="28"/>
        </w:rPr>
        <w:t>【条文说明】</w:t>
      </w:r>
      <w:r>
        <w:rPr>
          <w:rFonts w:hint="eastAsia" w:ascii="微软雅黑" w:hAnsi="微软雅黑" w:eastAsia="微软雅黑" w:cs="微软雅黑"/>
          <w:b/>
          <w:kern w:val="0"/>
          <w:sz w:val="28"/>
          <w:szCs w:val="28"/>
        </w:rPr>
        <w:t xml:space="preserve">5.3.8 </w:t>
      </w:r>
      <w:r>
        <w:rPr>
          <w:rFonts w:hint="eastAsia" w:ascii="微软雅黑" w:hAnsi="微软雅黑" w:eastAsia="微软雅黑" w:cs="微软雅黑"/>
          <w:kern w:val="0"/>
          <w:sz w:val="28"/>
          <w:szCs w:val="28"/>
        </w:rPr>
        <w:t>第2款 采用智能照明系统控制公共场所照明，可有效提高照明环境能源利用效率。另外，若采用BAS现场控制器（DDC）实施照明控制，则难以提供多场景模式管控，且对于建成项目尚须改造及加大照明配电箱箱体（增加二次回路），增加安装及实施难度，故此推荐设计直接采用通常独立于BAS的智能照明系统。</w:t>
      </w:r>
    </w:p>
    <w:p>
      <w:pPr>
        <w:widowControl/>
        <w:spacing w:line="360" w:lineRule="auto"/>
        <w:ind w:firstLine="560" w:firstLineChars="200"/>
        <w:jc w:val="left"/>
        <w:rPr>
          <w:rFonts w:ascii="宋体" w:hAnsi="宋体" w:cs="宋体"/>
          <w:bCs/>
          <w:kern w:val="0"/>
          <w:sz w:val="28"/>
          <w:szCs w:val="28"/>
        </w:rPr>
      </w:pPr>
      <w:r>
        <w:rPr>
          <w:rFonts w:hint="eastAsia" w:ascii="微软雅黑" w:hAnsi="微软雅黑" w:eastAsia="微软雅黑" w:cs="微软雅黑"/>
          <w:kern w:val="0"/>
          <w:sz w:val="28"/>
          <w:szCs w:val="28"/>
        </w:rPr>
        <w:t>第3款 随着工业化与信息化的深度融合，智能机电设备开始普及应用。智能机电系统具备自主运行能力，且配置网络接口，满足物联网发展基本需要。因此，鼓励设计直接采用智慧型、智能化机电设备。</w:t>
      </w:r>
      <w:r>
        <w:rPr>
          <w:rFonts w:ascii="宋体" w:hAnsi="宋体" w:cs="宋体"/>
          <w:kern w:val="0"/>
          <w:sz w:val="28"/>
          <w:szCs w:val="28"/>
        </w:rPr>
        <w:br w:type="textWrapping"/>
      </w:r>
      <w:r>
        <w:rPr>
          <w:rFonts w:hint="eastAsia" w:ascii="宋体" w:hAnsi="宋体" w:cs="宋体"/>
          <w:b/>
          <w:kern w:val="0"/>
          <w:sz w:val="28"/>
          <w:szCs w:val="28"/>
        </w:rPr>
        <w:t xml:space="preserve">5.3.9  </w:t>
      </w:r>
      <w:r>
        <w:rPr>
          <w:rFonts w:ascii="宋体" w:hAnsi="宋体" w:cs="宋体"/>
          <w:kern w:val="0"/>
          <w:sz w:val="28"/>
          <w:szCs w:val="28"/>
        </w:rPr>
        <w:t>建筑能效监管系统</w:t>
      </w:r>
      <w:r>
        <w:rPr>
          <w:rFonts w:hint="eastAsia" w:ascii="宋体" w:hAnsi="宋体" w:cs="宋体"/>
          <w:kern w:val="0"/>
          <w:sz w:val="28"/>
          <w:szCs w:val="28"/>
        </w:rPr>
        <w:t>设计，</w:t>
      </w:r>
      <w:r>
        <w:rPr>
          <w:rFonts w:ascii="宋体" w:hAnsi="宋体" w:cs="宋体"/>
          <w:kern w:val="0"/>
          <w:sz w:val="28"/>
          <w:szCs w:val="28"/>
        </w:rPr>
        <w:t>应</w:t>
      </w:r>
      <w:r>
        <w:rPr>
          <w:rFonts w:hint="eastAsia" w:ascii="宋体" w:hAnsi="宋体" w:cs="宋体"/>
          <w:kern w:val="0"/>
          <w:sz w:val="28"/>
          <w:szCs w:val="28"/>
        </w:rPr>
        <w:t>符合下列规定</w:t>
      </w:r>
      <w:r>
        <w:rPr>
          <w:rFonts w:ascii="宋体" w:hAnsi="宋体" w:cs="宋体"/>
          <w:kern w:val="0"/>
          <w:sz w:val="28"/>
          <w:szCs w:val="28"/>
        </w:rPr>
        <w:t>：</w:t>
      </w:r>
    </w:p>
    <w:p>
      <w:pPr>
        <w:widowControl/>
        <w:spacing w:line="360" w:lineRule="auto"/>
        <w:ind w:firstLine="562" w:firstLineChars="200"/>
        <w:jc w:val="left"/>
        <w:rPr>
          <w:rFonts w:ascii="宋体" w:hAnsi="宋体" w:cs="宋体"/>
          <w:bCs/>
          <w:kern w:val="0"/>
          <w:sz w:val="28"/>
          <w:szCs w:val="28"/>
        </w:rPr>
      </w:pPr>
      <w:r>
        <w:rPr>
          <w:rFonts w:hint="eastAsia" w:ascii="宋体" w:hAnsi="宋体" w:cs="宋体"/>
          <w:b/>
          <w:bCs/>
          <w:kern w:val="0"/>
          <w:sz w:val="28"/>
          <w:szCs w:val="28"/>
        </w:rPr>
        <w:t xml:space="preserve">1 </w:t>
      </w:r>
      <w:r>
        <w:rPr>
          <w:rFonts w:hint="eastAsia" w:ascii="宋体" w:hAnsi="宋体" w:cs="宋体"/>
          <w:bCs/>
          <w:kern w:val="0"/>
          <w:sz w:val="28"/>
          <w:szCs w:val="28"/>
        </w:rPr>
        <w:t>其配置标准，宜将现行《智能建筑设计标准》GB 50314相应配置等级提升；</w:t>
      </w:r>
    </w:p>
    <w:p>
      <w:pPr>
        <w:widowControl/>
        <w:spacing w:line="360" w:lineRule="auto"/>
        <w:ind w:firstLine="562" w:firstLineChars="200"/>
        <w:jc w:val="left"/>
        <w:rPr>
          <w:rFonts w:ascii="宋体" w:hAnsi="宋体" w:cs="宋体"/>
          <w:bCs/>
          <w:kern w:val="0"/>
          <w:sz w:val="28"/>
          <w:szCs w:val="28"/>
        </w:rPr>
      </w:pPr>
      <w:r>
        <w:rPr>
          <w:rFonts w:hint="eastAsia" w:ascii="宋体" w:hAnsi="宋体" w:cs="宋体"/>
          <w:b/>
          <w:bCs/>
          <w:kern w:val="0"/>
          <w:sz w:val="28"/>
          <w:szCs w:val="28"/>
        </w:rPr>
        <w:t>2</w:t>
      </w:r>
      <w:r>
        <w:rPr>
          <w:rFonts w:hint="eastAsia" w:ascii="宋体" w:hAnsi="宋体" w:cs="宋体"/>
          <w:bCs/>
          <w:kern w:val="0"/>
          <w:sz w:val="28"/>
          <w:szCs w:val="28"/>
        </w:rPr>
        <w:t>应为水、电、气终端用户设置物联网智能远程抄表系统。</w:t>
      </w:r>
    </w:p>
    <w:p>
      <w:pPr>
        <w:widowControl/>
        <w:spacing w:line="360" w:lineRule="auto"/>
        <w:jc w:val="left"/>
        <w:rPr>
          <w:rFonts w:ascii="宋体" w:hAnsi="宋体" w:cs="宋体"/>
          <w:b/>
          <w:bCs/>
          <w:kern w:val="0"/>
          <w:sz w:val="28"/>
          <w:szCs w:val="28"/>
        </w:rPr>
      </w:pPr>
      <w:r>
        <w:rPr>
          <w:rFonts w:hint="eastAsia" w:ascii="宋体" w:hAnsi="宋体" w:cs="宋体"/>
          <w:b/>
          <w:bCs/>
          <w:kern w:val="0"/>
          <w:sz w:val="28"/>
          <w:szCs w:val="28"/>
        </w:rPr>
        <w:t xml:space="preserve">5.3.10 </w:t>
      </w:r>
      <w:r>
        <w:rPr>
          <w:rFonts w:ascii="宋体" w:hAnsi="宋体" w:cs="宋体"/>
          <w:kern w:val="0"/>
          <w:sz w:val="28"/>
          <w:szCs w:val="28"/>
        </w:rPr>
        <w:t>其他业务设备设施</w:t>
      </w:r>
      <w:r>
        <w:rPr>
          <w:rFonts w:hint="eastAsia" w:ascii="宋体" w:hAnsi="宋体" w:cs="宋体"/>
          <w:kern w:val="0"/>
          <w:sz w:val="28"/>
          <w:szCs w:val="28"/>
        </w:rPr>
        <w:t>管理</w:t>
      </w:r>
      <w:r>
        <w:rPr>
          <w:rFonts w:ascii="宋体" w:hAnsi="宋体" w:cs="宋体"/>
          <w:kern w:val="0"/>
          <w:sz w:val="28"/>
          <w:szCs w:val="28"/>
        </w:rPr>
        <w:t>系统</w:t>
      </w:r>
      <w:r>
        <w:rPr>
          <w:rFonts w:hint="eastAsia" w:ascii="宋体" w:hAnsi="宋体" w:cs="宋体"/>
          <w:kern w:val="0"/>
          <w:sz w:val="28"/>
          <w:szCs w:val="28"/>
        </w:rPr>
        <w:t>设计，应符合下列规定</w:t>
      </w:r>
      <w:r>
        <w:rPr>
          <w:rFonts w:ascii="宋体" w:hAnsi="宋体" w:cs="宋体"/>
          <w:b/>
          <w:bCs/>
          <w:kern w:val="0"/>
          <w:sz w:val="28"/>
          <w:szCs w:val="28"/>
        </w:rPr>
        <w:t>：</w:t>
      </w:r>
    </w:p>
    <w:p>
      <w:pPr>
        <w:widowControl/>
        <w:spacing w:line="360" w:lineRule="auto"/>
        <w:ind w:firstLine="562" w:firstLineChars="200"/>
        <w:jc w:val="left"/>
        <w:rPr>
          <w:rFonts w:ascii="宋体" w:hAnsi="宋体" w:cs="宋体"/>
          <w:b/>
          <w:bCs/>
          <w:kern w:val="0"/>
          <w:sz w:val="28"/>
          <w:szCs w:val="28"/>
        </w:rPr>
      </w:pPr>
      <w:r>
        <w:rPr>
          <w:rFonts w:hint="eastAsia" w:ascii="宋体" w:hAnsi="宋体" w:cs="宋体"/>
          <w:b/>
          <w:bCs/>
          <w:kern w:val="0"/>
          <w:sz w:val="28"/>
          <w:szCs w:val="28"/>
        </w:rPr>
        <w:t>1</w:t>
      </w:r>
      <w:r>
        <w:rPr>
          <w:rFonts w:hint="eastAsia" w:ascii="宋体" w:hAnsi="宋体" w:cs="宋体"/>
          <w:kern w:val="0"/>
          <w:sz w:val="28"/>
          <w:szCs w:val="28"/>
        </w:rPr>
        <w:t>宾馆建筑应设置客房集控系统；</w:t>
      </w:r>
    </w:p>
    <w:p>
      <w:pPr>
        <w:widowControl/>
        <w:spacing w:line="360" w:lineRule="auto"/>
        <w:ind w:firstLine="562" w:firstLineChars="200"/>
        <w:jc w:val="left"/>
        <w:rPr>
          <w:rFonts w:ascii="宋体" w:hAnsi="宋体" w:cs="宋体"/>
          <w:b/>
          <w:bCs/>
          <w:kern w:val="0"/>
          <w:sz w:val="28"/>
          <w:szCs w:val="28"/>
        </w:rPr>
      </w:pPr>
      <w:r>
        <w:rPr>
          <w:rFonts w:hint="eastAsia" w:ascii="宋体" w:hAnsi="宋体" w:cs="宋体"/>
          <w:b/>
          <w:bCs/>
          <w:kern w:val="0"/>
          <w:sz w:val="28"/>
          <w:szCs w:val="28"/>
        </w:rPr>
        <w:t xml:space="preserve">2 </w:t>
      </w:r>
      <w:r>
        <w:rPr>
          <w:rFonts w:hint="eastAsia" w:ascii="宋体" w:hAnsi="宋体" w:cs="宋体"/>
          <w:bCs/>
          <w:kern w:val="0"/>
          <w:sz w:val="28"/>
          <w:szCs w:val="28"/>
        </w:rPr>
        <w:t>可配置智慧办公系统和智能家居。</w:t>
      </w:r>
    </w:p>
    <w:p>
      <w:pPr>
        <w:widowControl/>
        <w:spacing w:line="360" w:lineRule="auto"/>
        <w:jc w:val="left"/>
        <w:rPr>
          <w:rFonts w:ascii="宋体" w:hAnsi="宋体" w:cs="宋体"/>
          <w:bCs/>
          <w:kern w:val="0"/>
          <w:sz w:val="28"/>
          <w:szCs w:val="28"/>
        </w:rPr>
      </w:pPr>
      <w:r>
        <w:rPr>
          <w:rFonts w:hint="eastAsia" w:ascii="宋体" w:hAnsi="宋体" w:cs="宋体"/>
          <w:b/>
          <w:bCs/>
          <w:kern w:val="0"/>
          <w:sz w:val="28"/>
          <w:szCs w:val="28"/>
        </w:rPr>
        <w:t>5.3.11</w:t>
      </w:r>
      <w:r>
        <w:rPr>
          <w:rFonts w:hint="eastAsia" w:ascii="宋体" w:hAnsi="宋体" w:cs="宋体"/>
          <w:bCs/>
          <w:kern w:val="0"/>
          <w:sz w:val="28"/>
          <w:szCs w:val="28"/>
        </w:rPr>
        <w:t xml:space="preserve"> 信息设施系统设计，应符合下列规定：</w:t>
      </w:r>
    </w:p>
    <w:p>
      <w:pPr>
        <w:widowControl/>
        <w:spacing w:line="360" w:lineRule="auto"/>
        <w:ind w:firstLine="562" w:firstLineChars="200"/>
        <w:jc w:val="left"/>
        <w:rPr>
          <w:rFonts w:ascii="宋体" w:hAnsi="宋体" w:cs="宋体"/>
          <w:bCs/>
          <w:kern w:val="0"/>
          <w:sz w:val="28"/>
          <w:szCs w:val="28"/>
        </w:rPr>
      </w:pPr>
      <w:r>
        <w:rPr>
          <w:rFonts w:hint="eastAsia" w:ascii="宋体" w:hAnsi="宋体" w:cs="宋体"/>
          <w:b/>
          <w:bCs/>
          <w:kern w:val="0"/>
          <w:sz w:val="28"/>
          <w:szCs w:val="28"/>
        </w:rPr>
        <w:t>1</w:t>
      </w:r>
      <w:r>
        <w:rPr>
          <w:rFonts w:hint="eastAsia" w:ascii="宋体" w:hAnsi="宋体" w:cs="宋体"/>
          <w:bCs/>
          <w:kern w:val="0"/>
          <w:sz w:val="28"/>
          <w:szCs w:val="28"/>
        </w:rPr>
        <w:t>采用无源光分配网络（xPON）：居住建筑应光纤入户。公共建筑内确定工作卡位的，应光纤接至桌面；非确定工作卡位的，应光纤接入房间或楼层。工业建筑应光纤接入楼层；</w:t>
      </w:r>
    </w:p>
    <w:p>
      <w:pPr>
        <w:widowControl/>
        <w:spacing w:line="360" w:lineRule="auto"/>
        <w:ind w:firstLine="562" w:firstLineChars="200"/>
        <w:jc w:val="left"/>
        <w:rPr>
          <w:rFonts w:ascii="宋体" w:hAnsi="宋体" w:cs="宋体"/>
          <w:bCs/>
          <w:kern w:val="0"/>
          <w:sz w:val="28"/>
          <w:szCs w:val="28"/>
        </w:rPr>
      </w:pPr>
      <w:r>
        <w:rPr>
          <w:rFonts w:hint="eastAsia" w:ascii="宋体" w:hAnsi="宋体" w:cs="宋体"/>
          <w:b/>
          <w:bCs/>
          <w:kern w:val="0"/>
          <w:sz w:val="28"/>
          <w:szCs w:val="28"/>
        </w:rPr>
        <w:t>2</w:t>
      </w:r>
      <w:r>
        <w:rPr>
          <w:rFonts w:hint="eastAsia" w:ascii="宋体" w:hAnsi="宋体" w:cs="宋体"/>
          <w:bCs/>
          <w:kern w:val="0"/>
          <w:sz w:val="28"/>
          <w:szCs w:val="28"/>
        </w:rPr>
        <w:t>设置无线接入网：建筑应由5G移动互联网全覆盖，且因地制宜设置W</w:t>
      </w:r>
      <w:r>
        <w:rPr>
          <w:rFonts w:ascii="宋体" w:hAnsi="宋体" w:cs="宋体"/>
          <w:bCs/>
          <w:kern w:val="0"/>
          <w:sz w:val="28"/>
          <w:szCs w:val="28"/>
        </w:rPr>
        <w:t>IFI</w:t>
      </w:r>
      <w:r>
        <w:rPr>
          <w:rFonts w:hint="eastAsia" w:ascii="宋体" w:hAnsi="宋体" w:cs="宋体"/>
          <w:bCs/>
          <w:kern w:val="0"/>
          <w:sz w:val="28"/>
          <w:szCs w:val="28"/>
        </w:rPr>
        <w:t>、ZigBee、Bluetooth、UWB等多元化无线网络，并为物联网接入提供可能；</w:t>
      </w:r>
    </w:p>
    <w:p>
      <w:pPr>
        <w:widowControl/>
        <w:spacing w:line="360" w:lineRule="auto"/>
        <w:ind w:firstLine="562" w:firstLineChars="200"/>
        <w:jc w:val="left"/>
        <w:rPr>
          <w:rFonts w:ascii="宋体" w:hAnsi="宋体" w:cs="宋体"/>
          <w:bCs/>
          <w:kern w:val="0"/>
          <w:sz w:val="28"/>
          <w:szCs w:val="28"/>
        </w:rPr>
      </w:pPr>
      <w:r>
        <w:rPr>
          <w:rFonts w:hint="eastAsia" w:ascii="宋体" w:hAnsi="宋体" w:cs="宋体"/>
          <w:b/>
          <w:bCs/>
          <w:kern w:val="0"/>
          <w:sz w:val="28"/>
          <w:szCs w:val="28"/>
        </w:rPr>
        <w:t>3</w:t>
      </w:r>
      <w:r>
        <w:rPr>
          <w:rFonts w:hint="eastAsia" w:ascii="宋体" w:hAnsi="宋体" w:cs="宋体"/>
          <w:bCs/>
          <w:kern w:val="0"/>
          <w:sz w:val="28"/>
          <w:szCs w:val="28"/>
        </w:rPr>
        <w:t>应基于广播、电视和电话等业务I</w:t>
      </w:r>
      <w:r>
        <w:rPr>
          <w:rFonts w:ascii="宋体" w:hAnsi="宋体" w:cs="宋体"/>
          <w:bCs/>
          <w:kern w:val="0"/>
          <w:sz w:val="28"/>
          <w:szCs w:val="28"/>
        </w:rPr>
        <w:t>P</w:t>
      </w:r>
      <w:r>
        <w:rPr>
          <w:rFonts w:hint="eastAsia" w:ascii="宋体" w:hAnsi="宋体" w:cs="宋体"/>
          <w:bCs/>
          <w:kern w:val="0"/>
          <w:sz w:val="28"/>
          <w:szCs w:val="28"/>
        </w:rPr>
        <w:t>化，进行信息设施系统组网设计；</w:t>
      </w:r>
    </w:p>
    <w:p>
      <w:pPr>
        <w:widowControl/>
        <w:spacing w:line="360" w:lineRule="auto"/>
        <w:ind w:firstLine="562" w:firstLineChars="200"/>
        <w:jc w:val="left"/>
        <w:rPr>
          <w:rFonts w:ascii="宋体" w:hAnsi="宋体" w:cs="宋体"/>
          <w:bCs/>
          <w:kern w:val="0"/>
          <w:sz w:val="28"/>
          <w:szCs w:val="28"/>
        </w:rPr>
      </w:pPr>
      <w:r>
        <w:rPr>
          <w:rFonts w:hint="eastAsia" w:ascii="宋体" w:hAnsi="宋体" w:cs="宋体"/>
          <w:b/>
          <w:bCs/>
          <w:kern w:val="0"/>
          <w:sz w:val="28"/>
          <w:szCs w:val="28"/>
        </w:rPr>
        <w:t>4</w:t>
      </w:r>
      <w:r>
        <w:rPr>
          <w:rFonts w:hint="eastAsia" w:ascii="宋体" w:hAnsi="宋体" w:cs="宋体"/>
          <w:bCs/>
          <w:kern w:val="0"/>
          <w:sz w:val="28"/>
          <w:szCs w:val="28"/>
        </w:rPr>
        <w:t>应为物联网接入，</w:t>
      </w:r>
      <w:r>
        <w:rPr>
          <w:rFonts w:hint="eastAsia" w:ascii="宋体" w:hAnsi="宋体" w:cs="宋体"/>
          <w:kern w:val="0"/>
          <w:sz w:val="28"/>
          <w:szCs w:val="28"/>
        </w:rPr>
        <w:t>配置（或预留）</w:t>
      </w:r>
      <w:r>
        <w:rPr>
          <w:rFonts w:hint="eastAsia" w:ascii="宋体" w:hAnsi="宋体" w:cs="宋体"/>
          <w:bCs/>
          <w:kern w:val="0"/>
          <w:sz w:val="28"/>
          <w:szCs w:val="28"/>
        </w:rPr>
        <w:t>物理空间和管路等条件；</w:t>
      </w:r>
    </w:p>
    <w:p>
      <w:pPr>
        <w:widowControl/>
        <w:spacing w:line="360" w:lineRule="auto"/>
        <w:ind w:firstLine="562" w:firstLineChars="200"/>
        <w:jc w:val="left"/>
        <w:rPr>
          <w:rFonts w:ascii="宋体" w:hAnsi="宋体" w:cs="宋体"/>
          <w:bCs/>
          <w:kern w:val="0"/>
          <w:sz w:val="28"/>
          <w:szCs w:val="28"/>
        </w:rPr>
      </w:pPr>
      <w:r>
        <w:rPr>
          <w:rFonts w:hint="eastAsia" w:ascii="宋体" w:hAnsi="宋体" w:cs="宋体"/>
          <w:b/>
          <w:bCs/>
          <w:kern w:val="0"/>
          <w:sz w:val="28"/>
          <w:szCs w:val="28"/>
        </w:rPr>
        <w:t xml:space="preserve">5 </w:t>
      </w:r>
      <w:r>
        <w:rPr>
          <w:rFonts w:hint="eastAsia" w:ascii="宋体" w:hAnsi="宋体" w:cs="宋体"/>
          <w:bCs/>
          <w:kern w:val="0"/>
          <w:sz w:val="28"/>
          <w:szCs w:val="28"/>
        </w:rPr>
        <w:t>顺应云端化，因地制宜</w:t>
      </w:r>
      <w:r>
        <w:rPr>
          <w:rFonts w:hint="eastAsia" w:ascii="宋体" w:hAnsi="宋体" w:cs="宋体"/>
          <w:kern w:val="0"/>
          <w:sz w:val="28"/>
          <w:szCs w:val="28"/>
        </w:rPr>
        <w:t>配置（或预留）</w:t>
      </w:r>
      <w:r>
        <w:rPr>
          <w:rFonts w:hint="eastAsia" w:ascii="宋体" w:hAnsi="宋体" w:cs="宋体"/>
          <w:bCs/>
          <w:kern w:val="0"/>
          <w:sz w:val="28"/>
          <w:szCs w:val="28"/>
        </w:rPr>
        <w:t>云机房、主干管路和收发装置等基础设施；</w:t>
      </w:r>
    </w:p>
    <w:p>
      <w:pPr>
        <w:widowControl/>
        <w:spacing w:line="360" w:lineRule="auto"/>
        <w:ind w:firstLine="562" w:firstLineChars="200"/>
        <w:jc w:val="left"/>
        <w:rPr>
          <w:sz w:val="28"/>
          <w:szCs w:val="28"/>
        </w:rPr>
      </w:pPr>
      <w:r>
        <w:rPr>
          <w:rFonts w:hint="eastAsia" w:ascii="宋体" w:hAnsi="宋体" w:cs="宋体"/>
          <w:b/>
          <w:kern w:val="0"/>
          <w:sz w:val="28"/>
          <w:szCs w:val="28"/>
        </w:rPr>
        <w:t>6</w:t>
      </w:r>
      <w:r>
        <w:rPr>
          <w:bCs/>
          <w:sz w:val="28"/>
          <w:szCs w:val="28"/>
        </w:rPr>
        <w:t>信息设施系统</w:t>
      </w:r>
      <w:r>
        <w:rPr>
          <w:rFonts w:hint="eastAsia" w:ascii="宋体" w:hAnsi="宋体" w:cs="宋体"/>
          <w:bCs/>
          <w:kern w:val="0"/>
          <w:sz w:val="28"/>
          <w:szCs w:val="28"/>
        </w:rPr>
        <w:t>配置标准，因地制宜，可将现行《智能建筑设计标准》GB 50314相应配置等级提升</w:t>
      </w:r>
      <w:r>
        <w:rPr>
          <w:rFonts w:hint="eastAsia"/>
          <w:sz w:val="28"/>
          <w:szCs w:val="28"/>
        </w:rPr>
        <w:t>。</w:t>
      </w:r>
    </w:p>
    <w:p>
      <w:pPr>
        <w:widowControl/>
        <w:spacing w:line="360" w:lineRule="auto"/>
        <w:ind w:left="274" w:hanging="274" w:hangingChars="98"/>
        <w:jc w:val="left"/>
        <w:rPr>
          <w:rFonts w:ascii="微软雅黑" w:hAnsi="微软雅黑" w:eastAsia="微软雅黑" w:cs="微软雅黑"/>
          <w:sz w:val="28"/>
          <w:szCs w:val="28"/>
        </w:rPr>
      </w:pPr>
      <w:r>
        <w:rPr>
          <w:rFonts w:hint="eastAsia" w:ascii="微软雅黑" w:hAnsi="微软雅黑" w:eastAsia="微软雅黑" w:cs="微软雅黑"/>
          <w:bCs/>
          <w:kern w:val="0"/>
          <w:sz w:val="28"/>
          <w:szCs w:val="28"/>
        </w:rPr>
        <w:t>【条文说明】</w:t>
      </w:r>
      <w:r>
        <w:rPr>
          <w:rFonts w:hint="eastAsia" w:ascii="微软雅黑" w:hAnsi="微软雅黑" w:eastAsia="微软雅黑" w:cs="微软雅黑"/>
          <w:b/>
          <w:bCs/>
          <w:kern w:val="0"/>
          <w:sz w:val="28"/>
          <w:szCs w:val="28"/>
        </w:rPr>
        <w:t>5.3.11</w:t>
      </w:r>
      <w:r>
        <w:rPr>
          <w:rFonts w:hint="eastAsia" w:ascii="微软雅黑" w:hAnsi="微软雅黑" w:eastAsia="微软雅黑" w:cs="微软雅黑"/>
          <w:bCs/>
          <w:kern w:val="0"/>
          <w:sz w:val="28"/>
          <w:szCs w:val="28"/>
        </w:rPr>
        <w:t xml:space="preserve"> </w:t>
      </w:r>
      <w:r>
        <w:rPr>
          <w:rFonts w:hint="eastAsia" w:ascii="微软雅黑" w:hAnsi="微软雅黑" w:eastAsia="微软雅黑" w:cs="微软雅黑"/>
          <w:sz w:val="28"/>
          <w:szCs w:val="28"/>
        </w:rPr>
        <w:t>信息设施系统一般应包括信息接入系统、布线系统、移动通信室内信号覆盖系统、卫星通信系统、用户电话交换系统、无线对讲系统、信息网络系统、有线电视及卫星电视接收系统、公共广播系统、会议系统、信息导引及发布系统、时钟系统等子系统。</w:t>
      </w:r>
    </w:p>
    <w:p>
      <w:pPr>
        <w:widowControl/>
        <w:spacing w:line="360" w:lineRule="auto"/>
        <w:ind w:firstLine="840" w:firstLineChars="300"/>
        <w:jc w:val="left"/>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第1款 使用无源全光网络，实施多网融合和光进铜退策略，将大幅优化信息传输体系结构，提高系统可用度与易维护性，有效降低信息传输环境单位能耗，提供足够带宽与传输速率，支持各种业务应用灵活选择，因此提出本款要求。</w:t>
      </w:r>
    </w:p>
    <w:p>
      <w:pPr>
        <w:widowControl/>
        <w:spacing w:line="360" w:lineRule="auto"/>
        <w:ind w:firstLine="560" w:firstLineChars="200"/>
        <w:jc w:val="left"/>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第2款 鉴于5G终端设备尚未普及，且预计5G不会提供免费商用模式，现有智能化设计宜考虑采用WIFI、ZigBee、Bluetooth、UWB等多元化无线技术。</w:t>
      </w:r>
    </w:p>
    <w:p>
      <w:pPr>
        <w:widowControl/>
        <w:spacing w:line="360" w:lineRule="auto"/>
        <w:ind w:firstLine="560" w:firstLineChars="200"/>
        <w:jc w:val="left"/>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第3款 随着数字广播、数字电视和网络电话等技术的日益普及，IP化已越发成为信息传媒的既成事实，因此提出本款要求。</w:t>
      </w:r>
    </w:p>
    <w:p>
      <w:pPr>
        <w:widowControl/>
        <w:spacing w:line="360" w:lineRule="auto"/>
        <w:ind w:firstLine="560" w:firstLineChars="200"/>
        <w:jc w:val="left"/>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第4款 预计物联网技术未来应用普及势不可挡，但考虑其现有技术还有待于实践检验，因此本款不对物联网应用作出强制规定，仅要求预留物联网接入及传输条件，以适应建筑物可持续发展需要。</w:t>
      </w:r>
    </w:p>
    <w:p>
      <w:pPr>
        <w:widowControl/>
        <w:spacing w:line="360" w:lineRule="auto"/>
        <w:ind w:firstLine="560" w:firstLineChars="200"/>
        <w:jc w:val="left"/>
        <w:rPr>
          <w:color w:val="00B050"/>
          <w:sz w:val="28"/>
          <w:szCs w:val="28"/>
        </w:rPr>
      </w:pPr>
      <w:r>
        <w:rPr>
          <w:rFonts w:hint="eastAsia" w:ascii="微软雅黑" w:hAnsi="微软雅黑" w:eastAsia="微软雅黑" w:cs="微软雅黑"/>
          <w:kern w:val="0"/>
          <w:sz w:val="28"/>
          <w:szCs w:val="28"/>
        </w:rPr>
        <w:t>第5款 伴随云计算技术的应用发展和云生态系统的逐渐形成，云化系统日益降低建筑数字化应用成本，显著提高建筑物智慧化程度，因此要求设计提供云接入基本条件。</w:t>
      </w:r>
    </w:p>
    <w:p>
      <w:pPr>
        <w:widowControl/>
        <w:spacing w:line="360" w:lineRule="auto"/>
        <w:ind w:left="105" w:leftChars="50"/>
        <w:jc w:val="left"/>
        <w:rPr>
          <w:rFonts w:ascii="宋体" w:hAnsi="宋体" w:cs="宋体"/>
          <w:bCs/>
          <w:kern w:val="0"/>
          <w:sz w:val="28"/>
          <w:szCs w:val="28"/>
        </w:rPr>
      </w:pPr>
      <w:r>
        <w:rPr>
          <w:rFonts w:hint="eastAsia" w:ascii="宋体" w:hAnsi="宋体" w:cs="宋体"/>
          <w:b/>
          <w:kern w:val="0"/>
          <w:sz w:val="28"/>
          <w:szCs w:val="28"/>
        </w:rPr>
        <w:t xml:space="preserve">5.3.12 </w:t>
      </w:r>
      <w:r>
        <w:rPr>
          <w:sz w:val="28"/>
          <w:szCs w:val="28"/>
        </w:rPr>
        <w:t>信息化应用系统</w:t>
      </w:r>
      <w:r>
        <w:rPr>
          <w:rFonts w:hint="eastAsia"/>
          <w:sz w:val="28"/>
          <w:szCs w:val="28"/>
        </w:rPr>
        <w:t>设计，并符合下列规定：</w:t>
      </w:r>
      <w:r>
        <w:rPr>
          <w:sz w:val="28"/>
          <w:szCs w:val="28"/>
        </w:rPr>
        <w:br w:type="textWrapping"/>
      </w:r>
      <w:r>
        <w:rPr>
          <w:rFonts w:hint="eastAsia" w:ascii="宋体" w:hAnsi="宋体" w:cs="宋体"/>
          <w:bCs/>
          <w:kern w:val="0"/>
          <w:sz w:val="28"/>
          <w:szCs w:val="28"/>
        </w:rPr>
        <w:t xml:space="preserve"> </w:t>
      </w:r>
      <w:r>
        <w:rPr>
          <w:rFonts w:hint="eastAsia" w:ascii="宋体" w:hAnsi="宋体" w:cs="宋体"/>
          <w:b/>
          <w:bCs/>
          <w:kern w:val="0"/>
          <w:sz w:val="28"/>
          <w:szCs w:val="28"/>
        </w:rPr>
        <w:t xml:space="preserve"> 1 </w:t>
      </w:r>
      <w:r>
        <w:rPr>
          <w:rFonts w:ascii="宋体" w:hAnsi="宋体" w:cs="宋体"/>
          <w:bCs/>
          <w:kern w:val="0"/>
          <w:sz w:val="28"/>
          <w:szCs w:val="28"/>
        </w:rPr>
        <w:t>公共服务系统应具有将各类公共服务事务纳入规范运行程序的管理功能</w:t>
      </w:r>
      <w:r>
        <w:rPr>
          <w:rFonts w:hint="eastAsia" w:ascii="宋体" w:hAnsi="宋体" w:cs="宋体"/>
          <w:bCs/>
          <w:kern w:val="0"/>
          <w:sz w:val="28"/>
          <w:szCs w:val="28"/>
        </w:rPr>
        <w:t>；</w:t>
      </w:r>
      <w:r>
        <w:rPr>
          <w:rFonts w:ascii="宋体" w:hAnsi="宋体" w:cs="宋体"/>
          <w:bCs/>
          <w:kern w:val="0"/>
          <w:sz w:val="28"/>
          <w:szCs w:val="28"/>
        </w:rPr>
        <w:br w:type="textWrapping"/>
      </w:r>
      <w:r>
        <w:rPr>
          <w:rFonts w:hint="eastAsia" w:ascii="宋体" w:hAnsi="宋体" w:cs="宋体"/>
          <w:bCs/>
          <w:kern w:val="0"/>
          <w:sz w:val="28"/>
          <w:szCs w:val="28"/>
        </w:rPr>
        <w:t xml:space="preserve">  </w:t>
      </w:r>
      <w:r>
        <w:rPr>
          <w:rFonts w:hint="eastAsia" w:ascii="宋体" w:hAnsi="宋体" w:cs="宋体"/>
          <w:b/>
          <w:bCs/>
          <w:kern w:val="0"/>
          <w:sz w:val="28"/>
          <w:szCs w:val="28"/>
        </w:rPr>
        <w:t xml:space="preserve">2 </w:t>
      </w:r>
      <w:r>
        <w:rPr>
          <w:rFonts w:ascii="宋体" w:hAnsi="宋体" w:cs="宋体"/>
          <w:bCs/>
          <w:kern w:val="0"/>
          <w:sz w:val="28"/>
          <w:szCs w:val="28"/>
        </w:rPr>
        <w:t>智能卡应用系统应具有</w:t>
      </w:r>
      <w:r>
        <w:rPr>
          <w:rFonts w:hint="eastAsia" w:ascii="宋体" w:hAnsi="宋体" w:cs="宋体"/>
          <w:bCs/>
          <w:kern w:val="0"/>
          <w:sz w:val="28"/>
          <w:szCs w:val="28"/>
        </w:rPr>
        <w:t>视频识别身份功能；</w:t>
      </w:r>
      <w:r>
        <w:rPr>
          <w:rFonts w:ascii="宋体" w:hAnsi="宋体" w:cs="宋体"/>
          <w:bCs/>
          <w:kern w:val="0"/>
          <w:sz w:val="28"/>
          <w:szCs w:val="28"/>
        </w:rPr>
        <w:br w:type="textWrapping"/>
      </w:r>
      <w:r>
        <w:rPr>
          <w:rFonts w:hint="eastAsia" w:ascii="宋体" w:hAnsi="宋体" w:cs="宋体"/>
          <w:b/>
          <w:bCs/>
          <w:kern w:val="0"/>
          <w:sz w:val="28"/>
          <w:szCs w:val="28"/>
        </w:rPr>
        <w:t xml:space="preserve">  3 </w:t>
      </w:r>
      <w:r>
        <w:rPr>
          <w:rFonts w:ascii="宋体" w:hAnsi="宋体" w:cs="宋体"/>
          <w:bCs/>
          <w:kern w:val="0"/>
          <w:sz w:val="28"/>
          <w:szCs w:val="28"/>
        </w:rPr>
        <w:t>物业管理系统</w:t>
      </w:r>
      <w:r>
        <w:rPr>
          <w:rFonts w:hint="eastAsia" w:ascii="宋体" w:hAnsi="宋体" w:cs="宋体"/>
          <w:bCs/>
          <w:kern w:val="0"/>
          <w:sz w:val="28"/>
          <w:szCs w:val="28"/>
        </w:rPr>
        <w:t>应充分利用本工程BIM应用成果；</w:t>
      </w:r>
    </w:p>
    <w:p>
      <w:pPr>
        <w:widowControl/>
        <w:spacing w:line="360" w:lineRule="auto"/>
        <w:ind w:left="105" w:leftChars="50" w:firstLine="281" w:firstLineChars="100"/>
        <w:jc w:val="left"/>
        <w:rPr>
          <w:rFonts w:ascii="宋体" w:hAnsi="宋体" w:cs="宋体"/>
          <w:bCs/>
          <w:kern w:val="0"/>
          <w:sz w:val="28"/>
          <w:szCs w:val="28"/>
        </w:rPr>
      </w:pPr>
      <w:r>
        <w:rPr>
          <w:rFonts w:hint="eastAsia" w:ascii="宋体" w:hAnsi="宋体" w:cs="宋体"/>
          <w:b/>
          <w:bCs/>
          <w:kern w:val="0"/>
          <w:sz w:val="28"/>
          <w:szCs w:val="28"/>
        </w:rPr>
        <w:t>4</w:t>
      </w:r>
      <w:r>
        <w:rPr>
          <w:rFonts w:hint="eastAsia" w:ascii="宋体" w:hAnsi="宋体" w:cs="宋体"/>
          <w:bCs/>
          <w:kern w:val="0"/>
          <w:sz w:val="28"/>
          <w:szCs w:val="28"/>
        </w:rPr>
        <w:t xml:space="preserve"> 可充分应用多媒体增强现实（AR）/虚拟现实(VR)技术，研发定制APP，拓展设计价值链，满足个性化信息业务需求。</w:t>
      </w:r>
    </w:p>
    <w:p>
      <w:pPr>
        <w:widowControl/>
        <w:spacing w:line="360" w:lineRule="auto"/>
        <w:jc w:val="left"/>
        <w:rPr>
          <w:rFonts w:ascii="微软雅黑" w:hAnsi="微软雅黑" w:eastAsia="微软雅黑" w:cs="微软雅黑"/>
          <w:sz w:val="28"/>
          <w:szCs w:val="28"/>
        </w:rPr>
      </w:pPr>
      <w:r>
        <w:rPr>
          <w:rFonts w:hint="eastAsia" w:ascii="微软雅黑" w:hAnsi="微软雅黑" w:eastAsia="微软雅黑" w:cs="微软雅黑"/>
          <w:kern w:val="0"/>
          <w:sz w:val="28"/>
          <w:szCs w:val="28"/>
        </w:rPr>
        <w:t xml:space="preserve">【条文说明】 </w:t>
      </w:r>
      <w:r>
        <w:rPr>
          <w:rFonts w:hint="eastAsia" w:ascii="微软雅黑" w:hAnsi="微软雅黑" w:eastAsia="微软雅黑" w:cs="微软雅黑"/>
          <w:b/>
          <w:kern w:val="0"/>
          <w:sz w:val="28"/>
          <w:szCs w:val="28"/>
        </w:rPr>
        <w:t xml:space="preserve">5.3.12 </w:t>
      </w:r>
      <w:r>
        <w:rPr>
          <w:rFonts w:hint="eastAsia" w:ascii="微软雅黑" w:hAnsi="微软雅黑" w:eastAsia="微软雅黑" w:cs="微软雅黑"/>
          <w:sz w:val="28"/>
          <w:szCs w:val="28"/>
        </w:rPr>
        <w:t>信息化应用系统一般应包括公共服务、智能“卡”应用、物业管理、信息设施运行管理、信息安全管理、通用业务和专业业务等子系统。</w:t>
      </w:r>
    </w:p>
    <w:p>
      <w:pPr>
        <w:widowControl/>
        <w:spacing w:line="360" w:lineRule="auto"/>
        <w:ind w:firstLine="560" w:firstLineChars="200"/>
        <w:jc w:val="left"/>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第2款 随着视频识别技术的应用普及，智能卡系统已开启“去卡化”进程。当然，智能卡系统并非被视频监控系统所替代，而是融合视频识别技术，获得新生。考虑智能卡系统可提供丰富的后勤、人事和物业管理等多项功能，弥补传统视频监控技术的不足，故提倡设计采用内含视频识别技术的智能卡系统。</w:t>
      </w:r>
    </w:p>
    <w:p>
      <w:pPr>
        <w:widowControl/>
        <w:spacing w:line="360" w:lineRule="auto"/>
        <w:ind w:firstLine="560" w:firstLineChars="200"/>
        <w:jc w:val="left"/>
        <w:rPr>
          <w:sz w:val="28"/>
          <w:szCs w:val="28"/>
        </w:rPr>
      </w:pPr>
      <w:r>
        <w:rPr>
          <w:rFonts w:hint="eastAsia" w:ascii="微软雅黑" w:hAnsi="微软雅黑" w:eastAsia="微软雅黑" w:cs="微软雅黑"/>
          <w:kern w:val="0"/>
          <w:sz w:val="28"/>
          <w:szCs w:val="28"/>
        </w:rPr>
        <w:t>第4款 随着各种虚拟化技术的普及应用，实现虚实结合的创新发展，提升人们建筑科技体验感，极大方便人们生产、生活及出行。因此本款提出，要结合建筑业务特点和人们普遍反映的痛点及难点，设计定制满足前述需求的各类智慧化应用系统，侧重改善建筑服务体验感。</w:t>
      </w:r>
      <w:r>
        <w:rPr>
          <w:rFonts w:ascii="宋体" w:hAnsi="宋体" w:cs="宋体"/>
          <w:kern w:val="0"/>
          <w:sz w:val="28"/>
          <w:szCs w:val="28"/>
        </w:rPr>
        <w:br w:type="textWrapping"/>
      </w:r>
      <w:r>
        <w:rPr>
          <w:rFonts w:hint="eastAsia" w:ascii="宋体" w:hAnsi="宋体" w:cs="宋体"/>
          <w:b/>
          <w:kern w:val="0"/>
          <w:sz w:val="28"/>
          <w:szCs w:val="28"/>
        </w:rPr>
        <w:t xml:space="preserve">5.3.13 </w:t>
      </w:r>
      <w:r>
        <w:rPr>
          <w:rFonts w:ascii="宋体" w:hAnsi="宋体" w:cs="宋体"/>
          <w:kern w:val="0"/>
          <w:sz w:val="28"/>
          <w:szCs w:val="28"/>
        </w:rPr>
        <w:t>智能化集成系统</w:t>
      </w:r>
      <w:r>
        <w:rPr>
          <w:rFonts w:hint="eastAsia" w:ascii="宋体" w:hAnsi="宋体" w:cs="宋体"/>
          <w:kern w:val="0"/>
          <w:sz w:val="28"/>
          <w:szCs w:val="28"/>
        </w:rPr>
        <w:t>构建，</w:t>
      </w:r>
      <w:r>
        <w:rPr>
          <w:rFonts w:ascii="宋体" w:hAnsi="宋体" w:cs="宋体"/>
          <w:kern w:val="0"/>
          <w:sz w:val="28"/>
          <w:szCs w:val="28"/>
        </w:rPr>
        <w:t>应符合下列规定：</w:t>
      </w:r>
      <w:r>
        <w:rPr>
          <w:rFonts w:ascii="宋体" w:hAnsi="宋体" w:cs="宋体"/>
          <w:kern w:val="0"/>
          <w:sz w:val="28"/>
          <w:szCs w:val="28"/>
        </w:rPr>
        <w:br w:type="textWrapping"/>
      </w:r>
      <w:r>
        <w:rPr>
          <w:rFonts w:ascii="宋体" w:hAnsi="宋体" w:cs="宋体"/>
          <w:bCs/>
          <w:kern w:val="0"/>
          <w:sz w:val="28"/>
          <w:szCs w:val="28"/>
        </w:rPr>
        <w:t> </w:t>
      </w:r>
      <w:r>
        <w:rPr>
          <w:rFonts w:hint="eastAsia" w:ascii="宋体" w:hAnsi="宋体" w:cs="宋体"/>
          <w:bCs/>
          <w:kern w:val="0"/>
          <w:sz w:val="28"/>
          <w:szCs w:val="28"/>
        </w:rPr>
        <w:t xml:space="preserve"> </w:t>
      </w:r>
      <w:r>
        <w:rPr>
          <w:rFonts w:hint="eastAsia" w:ascii="宋体" w:hAnsi="宋体" w:cs="宋体"/>
          <w:b/>
          <w:bCs/>
          <w:kern w:val="0"/>
          <w:sz w:val="28"/>
          <w:szCs w:val="28"/>
        </w:rPr>
        <w:t>1</w:t>
      </w:r>
      <w:r>
        <w:rPr>
          <w:rFonts w:hint="eastAsia" w:ascii="宋体" w:hAnsi="宋体" w:cs="宋体"/>
          <w:bCs/>
          <w:kern w:val="0"/>
          <w:sz w:val="28"/>
          <w:szCs w:val="28"/>
        </w:rPr>
        <w:t>接入建筑的市政水、电、气总管线和建筑内总供配电设备（回路），宜配置智能化监控系统，为满足“遥测、遥控、遥视、遥信”等城市智慧管理要求创造条件；</w:t>
      </w:r>
    </w:p>
    <w:p>
      <w:pPr>
        <w:widowControl/>
        <w:spacing w:line="360" w:lineRule="auto"/>
        <w:ind w:left="105" w:leftChars="50" w:firstLine="281" w:firstLineChars="100"/>
        <w:jc w:val="left"/>
        <w:rPr>
          <w:rFonts w:ascii="宋体" w:hAnsi="宋体" w:cs="宋体"/>
          <w:bCs/>
          <w:kern w:val="0"/>
          <w:sz w:val="28"/>
          <w:szCs w:val="28"/>
        </w:rPr>
      </w:pPr>
      <w:r>
        <w:rPr>
          <w:rFonts w:hint="eastAsia" w:ascii="宋体" w:hAnsi="宋体" w:cs="宋体"/>
          <w:b/>
          <w:bCs/>
          <w:kern w:val="0"/>
          <w:sz w:val="28"/>
          <w:szCs w:val="28"/>
        </w:rPr>
        <w:t xml:space="preserve">2 </w:t>
      </w:r>
      <w:r>
        <w:rPr>
          <w:rFonts w:hint="eastAsia" w:ascii="宋体" w:hAnsi="宋体" w:cs="宋体"/>
          <w:bCs/>
          <w:kern w:val="0"/>
          <w:sz w:val="28"/>
          <w:szCs w:val="28"/>
        </w:rPr>
        <w:t>可实时集成人群聚散、越界报警、轨迹追踪、高空坠物和建筑空间等信息，完善技术手段，提升公共安全管理水平；</w:t>
      </w:r>
    </w:p>
    <w:p>
      <w:pPr>
        <w:widowControl/>
        <w:spacing w:line="360" w:lineRule="auto"/>
        <w:ind w:left="105" w:leftChars="50" w:firstLine="281" w:firstLineChars="100"/>
        <w:jc w:val="left"/>
        <w:rPr>
          <w:rFonts w:ascii="宋体" w:hAnsi="宋体" w:cs="宋体"/>
          <w:bCs/>
          <w:kern w:val="0"/>
          <w:sz w:val="28"/>
          <w:szCs w:val="28"/>
        </w:rPr>
      </w:pPr>
      <w:r>
        <w:rPr>
          <w:rFonts w:hint="eastAsia" w:ascii="宋体" w:hAnsi="宋体" w:cs="宋体"/>
          <w:b/>
          <w:bCs/>
          <w:kern w:val="0"/>
          <w:sz w:val="28"/>
          <w:szCs w:val="28"/>
        </w:rPr>
        <w:t>3</w:t>
      </w:r>
      <w:r>
        <w:rPr>
          <w:rFonts w:hint="eastAsia" w:ascii="宋体" w:hAnsi="宋体" w:cs="宋体"/>
          <w:bCs/>
          <w:kern w:val="0"/>
          <w:sz w:val="28"/>
          <w:szCs w:val="28"/>
        </w:rPr>
        <w:t>可探索基于智能化监测系统，实时采集建筑环境参数和土建本体形变信息等，探究建筑运行规律，提高建筑健康自诊断能力；</w:t>
      </w:r>
    </w:p>
    <w:p>
      <w:pPr>
        <w:widowControl/>
        <w:spacing w:line="360" w:lineRule="auto"/>
        <w:ind w:left="105" w:leftChars="50" w:firstLine="281" w:firstLineChars="100"/>
        <w:jc w:val="left"/>
        <w:rPr>
          <w:rFonts w:ascii="宋体" w:hAnsi="宋体" w:cs="宋体"/>
          <w:bCs/>
          <w:kern w:val="0"/>
          <w:sz w:val="28"/>
          <w:szCs w:val="28"/>
        </w:rPr>
      </w:pPr>
      <w:r>
        <w:rPr>
          <w:rFonts w:hint="eastAsia" w:ascii="宋体" w:hAnsi="宋体" w:cs="宋体"/>
          <w:b/>
          <w:bCs/>
          <w:kern w:val="0"/>
          <w:sz w:val="28"/>
          <w:szCs w:val="28"/>
        </w:rPr>
        <w:t xml:space="preserve">4 </w:t>
      </w:r>
      <w:r>
        <w:rPr>
          <w:rFonts w:hint="eastAsia" w:ascii="宋体" w:hAnsi="宋体" w:cs="宋体"/>
          <w:bCs/>
          <w:kern w:val="0"/>
          <w:sz w:val="28"/>
          <w:szCs w:val="28"/>
        </w:rPr>
        <w:t>宜建立建筑内垃圾清运视频监控和数据采集处理系统，助推建筑清洁化运行；</w:t>
      </w:r>
    </w:p>
    <w:p>
      <w:pPr>
        <w:widowControl/>
        <w:spacing w:line="360" w:lineRule="auto"/>
        <w:ind w:left="105" w:leftChars="50" w:firstLine="421" w:firstLineChars="150"/>
        <w:jc w:val="left"/>
        <w:rPr>
          <w:rFonts w:ascii="宋体" w:hAnsi="宋体" w:cs="宋体"/>
          <w:bCs/>
          <w:kern w:val="0"/>
          <w:sz w:val="28"/>
          <w:szCs w:val="28"/>
        </w:rPr>
      </w:pPr>
      <w:r>
        <w:rPr>
          <w:rFonts w:hint="eastAsia" w:ascii="宋体" w:hAnsi="宋体" w:cs="宋体"/>
          <w:b/>
          <w:bCs/>
          <w:kern w:val="0"/>
          <w:sz w:val="28"/>
          <w:szCs w:val="28"/>
        </w:rPr>
        <w:t xml:space="preserve">5 </w:t>
      </w:r>
      <w:r>
        <w:rPr>
          <w:rFonts w:hint="eastAsia" w:ascii="宋体" w:hAnsi="宋体" w:cs="宋体"/>
          <w:bCs/>
          <w:kern w:val="0"/>
          <w:sz w:val="28"/>
          <w:szCs w:val="28"/>
        </w:rPr>
        <w:t>应基于BIM技术（含AI辅助设计），富集建筑各专业构件及其信息，构建三维可视化模型和数字化建筑；</w:t>
      </w:r>
    </w:p>
    <w:p>
      <w:pPr>
        <w:widowControl/>
        <w:spacing w:line="360" w:lineRule="auto"/>
        <w:ind w:left="105" w:leftChars="50" w:firstLine="421" w:firstLineChars="150"/>
        <w:jc w:val="left"/>
        <w:rPr>
          <w:rFonts w:ascii="宋体" w:hAnsi="宋体" w:cs="宋体"/>
          <w:bCs/>
          <w:kern w:val="0"/>
          <w:sz w:val="28"/>
          <w:szCs w:val="28"/>
        </w:rPr>
      </w:pPr>
      <w:r>
        <w:rPr>
          <w:rFonts w:hint="eastAsia" w:ascii="宋体" w:hAnsi="宋体" w:cs="宋体"/>
          <w:b/>
          <w:bCs/>
          <w:kern w:val="0"/>
          <w:sz w:val="28"/>
          <w:szCs w:val="28"/>
        </w:rPr>
        <w:t>6</w:t>
      </w:r>
      <w:r>
        <w:rPr>
          <w:rFonts w:hint="eastAsia" w:ascii="宋体" w:hAnsi="宋体" w:cs="宋体"/>
          <w:bCs/>
          <w:kern w:val="0"/>
          <w:sz w:val="28"/>
          <w:szCs w:val="28"/>
        </w:rPr>
        <w:t xml:space="preserve"> 宜结合BIM三维可视化模型和物联网技术，构建智能化集成系统应用平台。该平台宜动态展示建筑形态、空间、设备、设施、功能和服务；</w:t>
      </w:r>
    </w:p>
    <w:p>
      <w:pPr>
        <w:widowControl/>
        <w:spacing w:line="360" w:lineRule="auto"/>
        <w:ind w:left="105" w:leftChars="50" w:firstLine="421" w:firstLineChars="150"/>
        <w:jc w:val="left"/>
        <w:rPr>
          <w:rFonts w:ascii="宋体" w:hAnsi="宋体" w:cs="宋体"/>
          <w:bCs/>
          <w:kern w:val="0"/>
          <w:sz w:val="28"/>
          <w:szCs w:val="28"/>
        </w:rPr>
      </w:pPr>
      <w:r>
        <w:rPr>
          <w:rFonts w:hint="eastAsia" w:ascii="宋体" w:hAnsi="宋体" w:cs="宋体"/>
          <w:b/>
          <w:bCs/>
          <w:kern w:val="0"/>
          <w:sz w:val="28"/>
          <w:szCs w:val="28"/>
        </w:rPr>
        <w:t>7</w:t>
      </w:r>
      <w:r>
        <w:rPr>
          <w:rFonts w:hint="eastAsia" w:ascii="宋体" w:hAnsi="宋体" w:cs="宋体"/>
          <w:bCs/>
          <w:kern w:val="0"/>
          <w:sz w:val="28"/>
          <w:szCs w:val="28"/>
        </w:rPr>
        <w:t xml:space="preserve"> 智能化集成系统应用平台宜集成植入防灾减灾、交通组织、能耗管理、设备管理、资产管理、场景应用、媒体互动等功能，并为对接智慧城市预留通信接口。</w:t>
      </w:r>
    </w:p>
    <w:p>
      <w:pPr>
        <w:spacing w:line="360" w:lineRule="auto"/>
        <w:jc w:val="left"/>
        <w:rPr>
          <w:rFonts w:ascii="微软雅黑" w:hAnsi="微软雅黑" w:eastAsia="微软雅黑" w:cs="微软雅黑"/>
          <w:bCs/>
          <w:kern w:val="0"/>
          <w:sz w:val="28"/>
          <w:szCs w:val="28"/>
        </w:rPr>
      </w:pPr>
      <w:r>
        <w:rPr>
          <w:rFonts w:hint="eastAsia" w:ascii="微软雅黑" w:hAnsi="微软雅黑" w:eastAsia="微软雅黑" w:cs="微软雅黑"/>
          <w:bCs/>
          <w:kern w:val="0"/>
          <w:sz w:val="28"/>
          <w:szCs w:val="28"/>
        </w:rPr>
        <w:t>【条文说明】</w:t>
      </w:r>
      <w:r>
        <w:rPr>
          <w:rFonts w:hint="eastAsia" w:ascii="微软雅黑" w:hAnsi="微软雅黑" w:eastAsia="微软雅黑" w:cs="微软雅黑"/>
          <w:b/>
          <w:kern w:val="0"/>
          <w:sz w:val="28"/>
          <w:szCs w:val="28"/>
        </w:rPr>
        <w:t xml:space="preserve">5.3.13  </w:t>
      </w:r>
      <w:r>
        <w:rPr>
          <w:rFonts w:hint="eastAsia" w:ascii="微软雅黑" w:hAnsi="微软雅黑" w:eastAsia="微软雅黑" w:cs="微软雅黑"/>
          <w:kern w:val="0"/>
          <w:sz w:val="28"/>
          <w:szCs w:val="28"/>
        </w:rPr>
        <w:t>第5款，BIM作为可实现建筑可视化、数字化和智能化的现代信息技术，将为推进智能建筑和智慧城市建设作出重大贡献。</w:t>
      </w:r>
    </w:p>
    <w:p>
      <w:pPr>
        <w:spacing w:line="360" w:lineRule="auto"/>
        <w:ind w:firstLine="560" w:firstLineChars="200"/>
        <w:jc w:val="left"/>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第7款 智能化集成系统不应单单作为三维可视化的应用平台，仅展示建筑场景、管控建筑设备、供给建筑资源、实施资产管理和组织建筑交通等，还需要强化建筑物防灾减灾等功能，实现人机交互多元化应用，对接智慧城市云生态体系。</w:t>
      </w:r>
    </w:p>
    <w:p>
      <w:pPr>
        <w:widowControl/>
        <w:spacing w:line="360" w:lineRule="auto"/>
        <w:jc w:val="left"/>
        <w:rPr>
          <w:rFonts w:ascii="宋体" w:hAnsi="宋体" w:cs="宋体"/>
          <w:bCs/>
          <w:kern w:val="0"/>
          <w:sz w:val="28"/>
          <w:szCs w:val="28"/>
        </w:rPr>
      </w:pPr>
      <w:r>
        <w:rPr>
          <w:rFonts w:hint="eastAsia" w:ascii="宋体" w:hAnsi="宋体" w:cs="宋体"/>
          <w:b/>
          <w:kern w:val="0"/>
          <w:sz w:val="28"/>
          <w:szCs w:val="28"/>
        </w:rPr>
        <w:t xml:space="preserve">5.3.14 </w:t>
      </w:r>
      <w:r>
        <w:rPr>
          <w:rFonts w:hint="eastAsia" w:ascii="宋体" w:hAnsi="宋体" w:cs="宋体"/>
          <w:kern w:val="0"/>
          <w:sz w:val="28"/>
          <w:szCs w:val="28"/>
        </w:rPr>
        <w:t>为对接智慧城市建设，设计</w:t>
      </w:r>
      <w:r>
        <w:rPr>
          <w:rFonts w:ascii="宋体" w:hAnsi="宋体" w:cs="宋体"/>
          <w:kern w:val="0"/>
          <w:sz w:val="28"/>
          <w:szCs w:val="28"/>
        </w:rPr>
        <w:t>应符合下列规定：</w:t>
      </w:r>
    </w:p>
    <w:p>
      <w:pPr>
        <w:widowControl/>
        <w:spacing w:line="360" w:lineRule="auto"/>
        <w:ind w:left="105" w:leftChars="50" w:firstLine="281" w:firstLineChars="100"/>
        <w:jc w:val="left"/>
        <w:rPr>
          <w:rFonts w:ascii="宋体" w:hAnsi="宋体" w:cs="宋体"/>
          <w:bCs/>
          <w:kern w:val="0"/>
          <w:sz w:val="28"/>
          <w:szCs w:val="28"/>
        </w:rPr>
      </w:pPr>
      <w:r>
        <w:rPr>
          <w:rFonts w:hint="eastAsia" w:ascii="宋体" w:hAnsi="宋体" w:cs="宋体"/>
          <w:b/>
          <w:bCs/>
          <w:kern w:val="0"/>
          <w:sz w:val="28"/>
          <w:szCs w:val="28"/>
        </w:rPr>
        <w:t>1</w:t>
      </w:r>
      <w:r>
        <w:rPr>
          <w:rFonts w:hint="eastAsia" w:ascii="宋体" w:hAnsi="宋体" w:cs="宋体"/>
          <w:bCs/>
          <w:kern w:val="0"/>
          <w:sz w:val="28"/>
          <w:szCs w:val="28"/>
        </w:rPr>
        <w:t xml:space="preserve"> 构建完善的无源光分配网络和5G移动互联网，链接用户、建筑和城市；</w:t>
      </w:r>
    </w:p>
    <w:p>
      <w:pPr>
        <w:widowControl/>
        <w:spacing w:line="360" w:lineRule="auto"/>
        <w:ind w:firstLine="421" w:firstLineChars="150"/>
        <w:jc w:val="left"/>
        <w:rPr>
          <w:rFonts w:ascii="宋体" w:hAnsi="宋体" w:cs="宋体"/>
          <w:bCs/>
          <w:kern w:val="0"/>
          <w:sz w:val="28"/>
          <w:szCs w:val="28"/>
        </w:rPr>
      </w:pPr>
      <w:r>
        <w:rPr>
          <w:rFonts w:hint="eastAsia" w:ascii="宋体" w:hAnsi="宋体" w:cs="宋体"/>
          <w:b/>
          <w:bCs/>
          <w:kern w:val="0"/>
          <w:sz w:val="28"/>
          <w:szCs w:val="28"/>
        </w:rPr>
        <w:t xml:space="preserve">2 </w:t>
      </w:r>
      <w:r>
        <w:rPr>
          <w:rFonts w:hint="eastAsia" w:ascii="宋体" w:hAnsi="宋体" w:cs="宋体"/>
          <w:bCs/>
          <w:kern w:val="0"/>
          <w:sz w:val="28"/>
          <w:szCs w:val="28"/>
        </w:rPr>
        <w:t>建筑智能化系统应顺接</w:t>
      </w:r>
      <w:r>
        <w:rPr>
          <w:rFonts w:ascii="宋体" w:hAnsi="宋体" w:cs="宋体"/>
          <w:bCs/>
          <w:kern w:val="0"/>
          <w:sz w:val="28"/>
          <w:szCs w:val="28"/>
        </w:rPr>
        <w:t>物联网、云计算</w:t>
      </w:r>
      <w:r>
        <w:rPr>
          <w:rFonts w:hint="eastAsia" w:ascii="宋体" w:hAnsi="宋体" w:cs="宋体"/>
          <w:bCs/>
          <w:kern w:val="0"/>
          <w:sz w:val="28"/>
          <w:szCs w:val="28"/>
        </w:rPr>
        <w:t>和</w:t>
      </w:r>
      <w:r>
        <w:rPr>
          <w:rFonts w:ascii="宋体" w:hAnsi="宋体" w:cs="宋体"/>
          <w:bCs/>
          <w:kern w:val="0"/>
          <w:sz w:val="28"/>
          <w:szCs w:val="28"/>
        </w:rPr>
        <w:t>大数据等</w:t>
      </w:r>
      <w:r>
        <w:rPr>
          <w:rFonts w:hint="eastAsia" w:ascii="宋体" w:hAnsi="宋体" w:cs="宋体"/>
          <w:bCs/>
          <w:kern w:val="0"/>
          <w:sz w:val="28"/>
          <w:szCs w:val="28"/>
        </w:rPr>
        <w:t>技术，为建筑外部（如城市管理部门）监控建筑内部机电设备和土建设施等情况提供可能性；</w:t>
      </w:r>
    </w:p>
    <w:p>
      <w:pPr>
        <w:widowControl/>
        <w:spacing w:line="360" w:lineRule="auto"/>
        <w:ind w:firstLine="421" w:firstLineChars="150"/>
        <w:jc w:val="left"/>
        <w:rPr>
          <w:rFonts w:ascii="宋体" w:hAnsi="宋体" w:cs="宋体"/>
          <w:bCs/>
          <w:kern w:val="0"/>
          <w:sz w:val="28"/>
          <w:szCs w:val="28"/>
        </w:rPr>
      </w:pPr>
      <w:r>
        <w:rPr>
          <w:rFonts w:hint="eastAsia" w:ascii="宋体" w:hAnsi="宋体" w:cs="宋体"/>
          <w:b/>
          <w:bCs/>
          <w:kern w:val="0"/>
          <w:sz w:val="28"/>
          <w:szCs w:val="28"/>
        </w:rPr>
        <w:t xml:space="preserve">3 </w:t>
      </w:r>
      <w:r>
        <w:rPr>
          <w:rFonts w:hint="eastAsia" w:ascii="宋体" w:hAnsi="宋体" w:cs="宋体"/>
          <w:bCs/>
          <w:kern w:val="0"/>
          <w:sz w:val="28"/>
          <w:szCs w:val="28"/>
        </w:rPr>
        <w:t>应基于BIM模型，结合GIS技术，实现建筑精准地理定位，助建一体化数字化城市；</w:t>
      </w:r>
    </w:p>
    <w:p>
      <w:pPr>
        <w:widowControl/>
        <w:spacing w:line="360" w:lineRule="auto"/>
        <w:ind w:firstLine="421" w:firstLineChars="150"/>
        <w:jc w:val="left"/>
        <w:rPr>
          <w:rFonts w:ascii="宋体" w:hAnsi="宋体" w:cs="宋体"/>
          <w:kern w:val="0"/>
          <w:sz w:val="28"/>
          <w:szCs w:val="28"/>
        </w:rPr>
      </w:pPr>
      <w:r>
        <w:rPr>
          <w:rFonts w:hint="eastAsia" w:ascii="宋体" w:hAnsi="宋体" w:cs="宋体"/>
          <w:b/>
          <w:kern w:val="0"/>
          <w:sz w:val="28"/>
          <w:szCs w:val="28"/>
        </w:rPr>
        <w:t xml:space="preserve">4 </w:t>
      </w:r>
      <w:r>
        <w:rPr>
          <w:rFonts w:hint="eastAsia" w:ascii="宋体" w:hAnsi="宋体" w:cs="宋体"/>
          <w:kern w:val="0"/>
          <w:sz w:val="28"/>
          <w:szCs w:val="28"/>
        </w:rPr>
        <w:t>当建筑工程BIM模型分置于城市管理部门时，可通过物联网和云端建立该模型与建筑本体之间的物理联系通道，且建筑本体建成后的土建及设备有关运行信息，可按权限在该模型中实时动态展现；</w:t>
      </w:r>
    </w:p>
    <w:p>
      <w:pPr>
        <w:widowControl/>
        <w:spacing w:line="360" w:lineRule="auto"/>
        <w:ind w:firstLine="421" w:firstLineChars="150"/>
        <w:jc w:val="left"/>
        <w:rPr>
          <w:rFonts w:ascii="宋体" w:hAnsi="宋体" w:cs="宋体"/>
          <w:kern w:val="0"/>
          <w:sz w:val="28"/>
          <w:szCs w:val="28"/>
        </w:rPr>
      </w:pPr>
      <w:r>
        <w:rPr>
          <w:rFonts w:hint="eastAsia" w:ascii="宋体" w:hAnsi="宋体" w:cs="宋体"/>
          <w:b/>
          <w:bCs/>
          <w:kern w:val="0"/>
          <w:sz w:val="28"/>
          <w:szCs w:val="28"/>
        </w:rPr>
        <w:t>5</w:t>
      </w:r>
      <w:r>
        <w:rPr>
          <w:rFonts w:hint="eastAsia" w:ascii="宋体" w:hAnsi="宋体" w:cs="宋体"/>
          <w:bCs/>
          <w:kern w:val="0"/>
          <w:sz w:val="28"/>
          <w:szCs w:val="28"/>
        </w:rPr>
        <w:t>宜建立建筑垃圾外运无线监管系统，助推城市清洁化和高效化运行。</w:t>
      </w:r>
      <w:r>
        <w:rPr>
          <w:rFonts w:ascii="宋体" w:hAnsi="宋体" w:cs="宋体"/>
          <w:kern w:val="0"/>
          <w:sz w:val="28"/>
          <w:szCs w:val="28"/>
        </w:rPr>
        <w:br w:type="textWrapping"/>
      </w:r>
      <w:r>
        <w:rPr>
          <w:rFonts w:hint="eastAsia" w:ascii="宋体" w:hAnsi="宋体" w:cs="宋体"/>
          <w:b/>
          <w:bCs/>
          <w:kern w:val="0"/>
          <w:sz w:val="28"/>
          <w:szCs w:val="28"/>
        </w:rPr>
        <w:t xml:space="preserve">5.3.15  </w:t>
      </w:r>
      <w:r>
        <w:rPr>
          <w:rFonts w:hint="eastAsia" w:ascii="宋体" w:hAnsi="宋体" w:cs="宋体"/>
          <w:bCs/>
          <w:kern w:val="0"/>
          <w:sz w:val="28"/>
          <w:szCs w:val="28"/>
        </w:rPr>
        <w:t>智慧建筑</w:t>
      </w:r>
      <w:r>
        <w:rPr>
          <w:rFonts w:hint="eastAsia" w:ascii="宋体" w:hAnsi="宋体" w:cs="宋体"/>
          <w:kern w:val="0"/>
          <w:sz w:val="28"/>
          <w:szCs w:val="28"/>
        </w:rPr>
        <w:t>智能化系统设计，应合理规划路由，设置（或预留）室外管路、室内竖向/水平线槽和设备用房。</w:t>
      </w:r>
    </w:p>
    <w:p>
      <w:pPr>
        <w:widowControl/>
        <w:spacing w:line="360" w:lineRule="auto"/>
        <w:jc w:val="left"/>
        <w:rPr>
          <w:rFonts w:ascii="宋体" w:hAnsi="宋体" w:cs="宋体"/>
          <w:kern w:val="0"/>
          <w:sz w:val="28"/>
          <w:szCs w:val="28"/>
        </w:rPr>
      </w:pPr>
      <w:r>
        <w:rPr>
          <w:rFonts w:hint="eastAsia" w:ascii="微软雅黑" w:hAnsi="微软雅黑" w:eastAsia="微软雅黑" w:cs="微软雅黑"/>
          <w:b/>
          <w:bCs/>
          <w:kern w:val="0"/>
          <w:sz w:val="28"/>
          <w:szCs w:val="28"/>
        </w:rPr>
        <w:t xml:space="preserve">【条文说明】5.3.15 </w:t>
      </w:r>
      <w:r>
        <w:rPr>
          <w:rFonts w:hint="eastAsia" w:ascii="微软雅黑" w:hAnsi="微软雅黑" w:eastAsia="微软雅黑" w:cs="微软雅黑"/>
          <w:kern w:val="0"/>
          <w:sz w:val="28"/>
          <w:szCs w:val="28"/>
        </w:rPr>
        <w:t>现有智能化设计，普遍存在缺失总图设计的问题，导致室外管网与弱电设计漏项、室内外管线衔接不畅；另外，室内智能化设计成果中，经常未考虑孔洞预留和防火封堵等配套设施及细节技术问题。设计单位应当根据现行《建筑工程设计文件编制深度规定》等相关要求，提交符合规定内容和深度的设计成果。</w:t>
      </w:r>
    </w:p>
    <w:p>
      <w:pPr>
        <w:widowControl/>
        <w:spacing w:line="360" w:lineRule="auto"/>
        <w:jc w:val="left"/>
        <w:rPr>
          <w:rFonts w:ascii="宋体" w:hAnsi="宋体" w:cs="宋体"/>
          <w:b/>
          <w:kern w:val="0"/>
          <w:sz w:val="28"/>
          <w:szCs w:val="28"/>
        </w:rPr>
      </w:pPr>
      <w:r>
        <w:rPr>
          <w:rFonts w:hint="eastAsia" w:ascii="宋体" w:hAnsi="宋体" w:cs="宋体"/>
          <w:b/>
          <w:kern w:val="0"/>
          <w:sz w:val="28"/>
          <w:szCs w:val="28"/>
        </w:rPr>
        <w:t xml:space="preserve">5.3.16 </w:t>
      </w:r>
      <w:r>
        <w:rPr>
          <w:rFonts w:ascii="宋体" w:hAnsi="宋体" w:cs="宋体"/>
          <w:kern w:val="0"/>
          <w:sz w:val="28"/>
          <w:szCs w:val="28"/>
        </w:rPr>
        <w:t>信息接入机房</w:t>
      </w:r>
      <w:r>
        <w:rPr>
          <w:rFonts w:hint="eastAsia" w:ascii="宋体" w:hAnsi="宋体" w:cs="宋体"/>
          <w:kern w:val="0"/>
          <w:sz w:val="28"/>
          <w:szCs w:val="28"/>
        </w:rPr>
        <w:t>、信息网络机房及其</w:t>
      </w:r>
      <w:r>
        <w:rPr>
          <w:rFonts w:ascii="宋体" w:hAnsi="宋体" w:cs="宋体"/>
          <w:kern w:val="0"/>
          <w:sz w:val="28"/>
          <w:szCs w:val="28"/>
        </w:rPr>
        <w:t>设备间(弱电间、电信间)</w:t>
      </w:r>
      <w:r>
        <w:rPr>
          <w:rFonts w:hint="eastAsia" w:ascii="宋体" w:hAnsi="宋体" w:cs="宋体"/>
          <w:kern w:val="0"/>
          <w:sz w:val="28"/>
          <w:szCs w:val="28"/>
        </w:rPr>
        <w:t>，</w:t>
      </w:r>
      <w:r>
        <w:rPr>
          <w:rFonts w:ascii="宋体" w:hAnsi="宋体" w:cs="宋体"/>
          <w:kern w:val="0"/>
          <w:sz w:val="28"/>
          <w:szCs w:val="28"/>
        </w:rPr>
        <w:t>应具有多种类信息业务经营者</w:t>
      </w:r>
      <w:r>
        <w:rPr>
          <w:rFonts w:hint="eastAsia" w:ascii="宋体" w:hAnsi="宋体" w:cs="宋体"/>
          <w:kern w:val="0"/>
          <w:sz w:val="28"/>
          <w:szCs w:val="28"/>
        </w:rPr>
        <w:t>（不少于3家信息运营与服务商）</w:t>
      </w:r>
      <w:r>
        <w:rPr>
          <w:rFonts w:ascii="宋体" w:hAnsi="宋体" w:cs="宋体"/>
          <w:kern w:val="0"/>
          <w:sz w:val="28"/>
          <w:szCs w:val="28"/>
        </w:rPr>
        <w:t>平等接入的条件</w:t>
      </w:r>
      <w:r>
        <w:rPr>
          <w:rFonts w:hint="eastAsia" w:ascii="宋体" w:hAnsi="宋体" w:cs="宋体"/>
          <w:kern w:val="0"/>
          <w:sz w:val="28"/>
          <w:szCs w:val="28"/>
        </w:rPr>
        <w:t>。</w:t>
      </w:r>
    </w:p>
    <w:p>
      <w:pPr>
        <w:spacing w:line="360" w:lineRule="auto"/>
        <w:ind w:firstLine="2810" w:firstLineChars="1000"/>
        <w:jc w:val="left"/>
        <w:outlineLvl w:val="1"/>
        <w:rPr>
          <w:rFonts w:ascii="微软雅黑" w:hAnsi="微软雅黑" w:eastAsia="微软雅黑" w:cs="微软雅黑"/>
          <w:sz w:val="22"/>
          <w:szCs w:val="22"/>
          <w:shd w:val="clear" w:color="auto" w:fill="FFFFFF"/>
        </w:rPr>
      </w:pPr>
      <w:bookmarkStart w:id="63" w:name="_Toc18186"/>
      <w:bookmarkStart w:id="64" w:name="_Toc15711_WPSOffice_Level1"/>
      <w:r>
        <w:rPr>
          <w:rFonts w:hint="eastAsia" w:asciiTheme="minorEastAsia" w:hAnsiTheme="minorEastAsia" w:eastAsiaTheme="minorEastAsia"/>
          <w:b/>
          <w:sz w:val="28"/>
          <w:szCs w:val="28"/>
        </w:rPr>
        <w:t>5.4 建筑安全设计</w:t>
      </w:r>
      <w:bookmarkEnd w:id="63"/>
    </w:p>
    <w:p>
      <w:pPr>
        <w:spacing w:line="360" w:lineRule="auto"/>
        <w:jc w:val="left"/>
        <w:outlineLvl w:val="3"/>
        <w:rPr>
          <w:rFonts w:ascii="宋体" w:hAnsi="宋体" w:cs="宋体"/>
          <w:sz w:val="28"/>
          <w:szCs w:val="28"/>
          <w:shd w:val="clear" w:color="auto" w:fill="FFFFFF"/>
        </w:rPr>
      </w:pPr>
      <w:r>
        <w:rPr>
          <w:rFonts w:hint="eastAsia" w:ascii="宋体" w:hAnsi="宋体" w:cs="宋体"/>
          <w:b/>
          <w:bCs/>
          <w:sz w:val="28"/>
          <w:szCs w:val="28"/>
          <w:shd w:val="clear" w:color="auto" w:fill="FFFFFF"/>
        </w:rPr>
        <w:t>5.4.1</w:t>
      </w:r>
      <w:r>
        <w:rPr>
          <w:rFonts w:hint="eastAsia" w:ascii="宋体" w:hAnsi="宋体" w:cs="宋体"/>
          <w:sz w:val="28"/>
          <w:szCs w:val="28"/>
          <w:shd w:val="clear" w:color="auto" w:fill="FFFFFF"/>
        </w:rPr>
        <w:t xml:space="preserve"> 建筑场地设计，应符合下列规定：</w:t>
      </w:r>
    </w:p>
    <w:p>
      <w:pPr>
        <w:spacing w:line="360" w:lineRule="auto"/>
        <w:ind w:firstLine="562" w:firstLineChars="200"/>
        <w:jc w:val="left"/>
        <w:outlineLvl w:val="3"/>
        <w:rPr>
          <w:rFonts w:ascii="宋体" w:hAnsi="宋体" w:cs="宋体"/>
          <w:sz w:val="28"/>
          <w:szCs w:val="28"/>
          <w:shd w:val="clear" w:color="auto" w:fill="FFFFFF"/>
        </w:rPr>
      </w:pPr>
      <w:r>
        <w:rPr>
          <w:rFonts w:hint="eastAsia" w:ascii="宋体" w:hAnsi="宋体" w:cs="宋体"/>
          <w:b/>
          <w:bCs/>
          <w:sz w:val="28"/>
          <w:szCs w:val="28"/>
          <w:shd w:val="clear" w:color="auto" w:fill="FFFFFF"/>
        </w:rPr>
        <w:t xml:space="preserve">1 </w:t>
      </w:r>
      <w:r>
        <w:rPr>
          <w:rFonts w:hint="eastAsia" w:ascii="宋体" w:hAnsi="宋体" w:cs="宋体"/>
          <w:sz w:val="28"/>
          <w:szCs w:val="28"/>
          <w:shd w:val="clear" w:color="auto" w:fill="FFFFFF"/>
        </w:rPr>
        <w:t>标高不应低于城市的设计防洪、防涝水位标高；</w:t>
      </w:r>
    </w:p>
    <w:p>
      <w:pPr>
        <w:spacing w:line="360" w:lineRule="auto"/>
        <w:ind w:firstLine="562" w:firstLineChars="200"/>
        <w:jc w:val="left"/>
        <w:outlineLvl w:val="3"/>
        <w:rPr>
          <w:rFonts w:ascii="宋体" w:hAnsi="宋体" w:cs="宋体"/>
          <w:sz w:val="28"/>
          <w:szCs w:val="28"/>
          <w:shd w:val="clear" w:color="auto" w:fill="FFFFFF"/>
        </w:rPr>
      </w:pPr>
      <w:r>
        <w:rPr>
          <w:rFonts w:hint="eastAsia" w:ascii="宋体" w:hAnsi="宋体" w:cs="宋体"/>
          <w:b/>
          <w:bCs/>
          <w:sz w:val="28"/>
          <w:szCs w:val="28"/>
          <w:shd w:val="clear" w:color="auto" w:fill="FFFFFF"/>
        </w:rPr>
        <w:t xml:space="preserve">2 </w:t>
      </w:r>
      <w:r>
        <w:rPr>
          <w:rFonts w:hint="eastAsia" w:ascii="宋体" w:hAnsi="宋体" w:cs="宋体"/>
          <w:sz w:val="28"/>
          <w:szCs w:val="28"/>
          <w:shd w:val="clear" w:color="auto" w:fill="FFFFFF"/>
        </w:rPr>
        <w:t>工程管线检查井井盖应设有锁闭装置；</w:t>
      </w:r>
    </w:p>
    <w:p>
      <w:pPr>
        <w:spacing w:line="360" w:lineRule="auto"/>
        <w:ind w:firstLine="562" w:firstLineChars="200"/>
        <w:jc w:val="left"/>
        <w:outlineLvl w:val="3"/>
        <w:rPr>
          <w:rFonts w:ascii="宋体" w:hAnsi="宋体" w:cs="宋体"/>
          <w:bCs/>
          <w:sz w:val="28"/>
          <w:szCs w:val="28"/>
          <w:shd w:val="clear" w:color="auto" w:fill="FFFFFF"/>
        </w:rPr>
      </w:pPr>
      <w:r>
        <w:rPr>
          <w:rFonts w:hint="eastAsia" w:ascii="宋体" w:hAnsi="宋体" w:cs="宋体"/>
          <w:b/>
          <w:sz w:val="28"/>
          <w:szCs w:val="28"/>
        </w:rPr>
        <w:t>3</w:t>
      </w:r>
      <w:r>
        <w:rPr>
          <w:rFonts w:hint="eastAsia" w:ascii="宋体" w:hAnsi="宋体" w:cs="宋体"/>
          <w:bCs/>
          <w:sz w:val="28"/>
          <w:szCs w:val="28"/>
        </w:rPr>
        <w:t>场地内雨水湿地、渗透塘、渗渠或蓄水池等海绵设施和化粪池、游泳池等，应设防护措施和警示标志。</w:t>
      </w:r>
    </w:p>
    <w:p>
      <w:pPr>
        <w:spacing w:line="360" w:lineRule="auto"/>
        <w:jc w:val="left"/>
        <w:outlineLvl w:val="3"/>
        <w:rPr>
          <w:rFonts w:ascii="宋体" w:hAnsi="宋体" w:cs="宋体"/>
          <w:sz w:val="28"/>
          <w:szCs w:val="28"/>
          <w:shd w:val="clear" w:color="auto" w:fill="FFFFFF"/>
        </w:rPr>
      </w:pPr>
      <w:r>
        <w:rPr>
          <w:rFonts w:hint="eastAsia" w:ascii="宋体" w:hAnsi="宋体" w:cs="宋体"/>
          <w:b/>
          <w:bCs/>
          <w:sz w:val="28"/>
          <w:szCs w:val="28"/>
          <w:shd w:val="clear" w:color="auto" w:fill="FFFFFF"/>
        </w:rPr>
        <w:t xml:space="preserve">5.4.2 </w:t>
      </w:r>
      <w:r>
        <w:rPr>
          <w:rFonts w:hint="eastAsia" w:ascii="宋体" w:hAnsi="宋体" w:cs="宋体"/>
          <w:sz w:val="28"/>
          <w:szCs w:val="28"/>
          <w:shd w:val="clear" w:color="auto" w:fill="FFFFFF"/>
        </w:rPr>
        <w:t>建筑首层连接室外的设计，应符合下列规定：</w:t>
      </w:r>
    </w:p>
    <w:p>
      <w:pPr>
        <w:spacing w:line="360" w:lineRule="auto"/>
        <w:ind w:firstLine="562" w:firstLineChars="200"/>
        <w:jc w:val="left"/>
        <w:outlineLvl w:val="3"/>
        <w:rPr>
          <w:rFonts w:ascii="宋体" w:hAnsi="宋体" w:cs="宋体"/>
          <w:sz w:val="28"/>
          <w:szCs w:val="28"/>
        </w:rPr>
      </w:pPr>
      <w:r>
        <w:rPr>
          <w:rFonts w:hint="eastAsia" w:ascii="宋体" w:hAnsi="宋体" w:cs="宋体"/>
          <w:b/>
          <w:bCs/>
          <w:sz w:val="28"/>
          <w:szCs w:val="28"/>
        </w:rPr>
        <w:t xml:space="preserve">1 </w:t>
      </w:r>
      <w:r>
        <w:rPr>
          <w:rFonts w:hint="eastAsia" w:ascii="宋体" w:hAnsi="宋体" w:cs="宋体"/>
          <w:sz w:val="28"/>
          <w:szCs w:val="28"/>
        </w:rPr>
        <w:t>高层、超高层建筑出入口的上方，应设置挑出宽度不小于1．0m的防护挑檐；</w:t>
      </w:r>
    </w:p>
    <w:p>
      <w:pPr>
        <w:spacing w:line="360" w:lineRule="auto"/>
        <w:ind w:firstLine="562" w:firstLineChars="200"/>
        <w:jc w:val="left"/>
        <w:outlineLvl w:val="3"/>
        <w:rPr>
          <w:rFonts w:ascii="宋体" w:hAnsi="宋体" w:cs="宋体"/>
          <w:sz w:val="28"/>
          <w:szCs w:val="28"/>
        </w:rPr>
      </w:pPr>
      <w:r>
        <w:rPr>
          <w:rFonts w:hint="eastAsia" w:ascii="宋体" w:hAnsi="宋体" w:cs="宋体"/>
          <w:b/>
          <w:bCs/>
          <w:sz w:val="28"/>
          <w:szCs w:val="28"/>
        </w:rPr>
        <w:t>2</w:t>
      </w:r>
      <w:r>
        <w:rPr>
          <w:rFonts w:hint="eastAsia" w:ascii="宋体" w:hAnsi="宋体" w:cs="宋体"/>
          <w:sz w:val="28"/>
          <w:szCs w:val="28"/>
        </w:rPr>
        <w:t>多层建筑位于阳台、外廊及开敞楼梯平台下部的出入口，应采取防止物体坠落伤人的安全措施；</w:t>
      </w:r>
    </w:p>
    <w:p>
      <w:pPr>
        <w:spacing w:line="360" w:lineRule="auto"/>
        <w:ind w:firstLine="562" w:firstLineChars="200"/>
        <w:jc w:val="left"/>
        <w:outlineLvl w:val="3"/>
        <w:rPr>
          <w:rStyle w:val="54"/>
          <w:rFonts w:ascii="宋体" w:hAnsi="宋体" w:cs="宋体"/>
          <w:b w:val="0"/>
          <w:bCs w:val="0"/>
          <w:sz w:val="28"/>
          <w:szCs w:val="28"/>
          <w:shd w:val="clear" w:color="auto" w:fill="FFFFFF"/>
        </w:rPr>
      </w:pPr>
      <w:r>
        <w:rPr>
          <w:rFonts w:hint="eastAsia" w:ascii="宋体" w:hAnsi="宋体" w:cs="宋体"/>
          <w:b/>
          <w:bCs/>
          <w:sz w:val="28"/>
          <w:szCs w:val="28"/>
        </w:rPr>
        <w:t>3</w:t>
      </w:r>
      <w:r>
        <w:rPr>
          <w:rFonts w:hint="eastAsia" w:ascii="宋体" w:hAnsi="宋体" w:cs="宋体"/>
          <w:sz w:val="28"/>
          <w:szCs w:val="28"/>
        </w:rPr>
        <w:t xml:space="preserve"> 环绕建筑外墙部位的非出入口处，应充分利用场地条件或植物种植，设置可降低坠物风险的缓冲区、隔离带。</w:t>
      </w:r>
    </w:p>
    <w:p>
      <w:pPr>
        <w:pStyle w:val="114"/>
        <w:spacing w:line="360" w:lineRule="auto"/>
        <w:outlineLvl w:val="3"/>
        <w:rPr>
          <w:rFonts w:ascii="宋体" w:hAnsi="宋体" w:cs="宋体"/>
          <w:b/>
          <w:bCs/>
          <w:sz w:val="28"/>
          <w:szCs w:val="28"/>
        </w:rPr>
      </w:pPr>
      <w:r>
        <w:rPr>
          <w:rFonts w:hint="eastAsia" w:ascii="微软雅黑" w:hAnsi="微软雅黑" w:eastAsia="微软雅黑" w:cs="微软雅黑"/>
          <w:color w:val="auto"/>
          <w:sz w:val="28"/>
          <w:szCs w:val="28"/>
        </w:rPr>
        <w:t>【条文说明】</w:t>
      </w:r>
      <w:r>
        <w:rPr>
          <w:rFonts w:hint="eastAsia" w:ascii="微软雅黑" w:hAnsi="微软雅黑" w:eastAsia="微软雅黑" w:cs="微软雅黑"/>
          <w:b/>
          <w:bCs/>
          <w:color w:val="auto"/>
          <w:sz w:val="28"/>
          <w:szCs w:val="28"/>
          <w:shd w:val="clear" w:color="auto" w:fill="FFFFFF"/>
        </w:rPr>
        <w:t xml:space="preserve">5.4.2 </w:t>
      </w:r>
      <w:r>
        <w:rPr>
          <w:rFonts w:hint="eastAsia" w:ascii="微软雅黑" w:hAnsi="微软雅黑" w:eastAsia="微软雅黑" w:cs="微软雅黑"/>
          <w:color w:val="auto"/>
          <w:sz w:val="28"/>
          <w:szCs w:val="28"/>
        </w:rPr>
        <w:t>外墙饰面（含外墙粉刷、保温层等）掉落伤人事故，在国内城市普遍发生，甚至尚未住人的新建小区也出现瓷砖大面积掉落现象。在进行建筑间距和通路设计时，除考虑消防、采光、通风和日照间距等，还需重视并采取避免坠物伤人的措施。由于建筑物外墙钢筋混凝土、填充墙体、水泥砂浆、外贴保温、外墙饰面层及门窗等设施材料的热胀冷缩系数不同，建筑设计时虽然已采取设墙面变形缝的措施，但受环境温度、湿度和施工质量等多方面因素影响，各种材料仍会发生不同程度的变形，材料连接界面破坏，出现外墙空鼓，最后导致坠落。因此，要求建筑物首层（含出入口处和非出入口处）均设外墙饰面、门窗玻璃意外脱落的防护措施，并可与人员通行区域的遮阳、遮风或挡雨措施结合，同时采取建立护栏、缓冲区、隔离带等安全措施，消除安全隐患。</w:t>
      </w:r>
    </w:p>
    <w:p>
      <w:pPr>
        <w:spacing w:line="360" w:lineRule="auto"/>
        <w:jc w:val="left"/>
        <w:outlineLvl w:val="3"/>
        <w:rPr>
          <w:rFonts w:ascii="宋体" w:hAnsi="宋体" w:cs="宋体"/>
          <w:b/>
          <w:bCs/>
          <w:sz w:val="28"/>
          <w:szCs w:val="28"/>
        </w:rPr>
      </w:pPr>
      <w:r>
        <w:rPr>
          <w:rFonts w:hint="eastAsia" w:ascii="宋体" w:hAnsi="宋体" w:cs="宋体"/>
          <w:b/>
          <w:bCs/>
          <w:sz w:val="28"/>
          <w:szCs w:val="28"/>
        </w:rPr>
        <w:t xml:space="preserve">5.4.3 </w:t>
      </w:r>
      <w:r>
        <w:rPr>
          <w:rFonts w:hint="eastAsia" w:ascii="宋体" w:hAnsi="宋体" w:cs="宋体"/>
          <w:sz w:val="28"/>
          <w:szCs w:val="28"/>
        </w:rPr>
        <w:t>建筑门窗设置，应符合下列规定：</w:t>
      </w:r>
    </w:p>
    <w:p>
      <w:pPr>
        <w:pStyle w:val="44"/>
        <w:shd w:val="clear" w:color="auto" w:fill="FFFFFF"/>
        <w:spacing w:before="0" w:beforeAutospacing="0" w:after="0" w:afterAutospacing="0" w:line="360" w:lineRule="auto"/>
        <w:ind w:firstLine="562" w:firstLineChars="200"/>
        <w:rPr>
          <w:rStyle w:val="54"/>
          <w:b w:val="0"/>
          <w:bCs w:val="0"/>
          <w:sz w:val="28"/>
          <w:szCs w:val="28"/>
          <w:shd w:val="clear" w:color="auto" w:fill="FFFFFF"/>
        </w:rPr>
      </w:pPr>
      <w:r>
        <w:rPr>
          <w:rFonts w:hint="eastAsia"/>
          <w:b/>
          <w:bCs/>
          <w:sz w:val="28"/>
          <w:szCs w:val="28"/>
          <w:shd w:val="clear" w:color="auto" w:fill="FFFFFF"/>
        </w:rPr>
        <w:t xml:space="preserve">1 </w:t>
      </w:r>
      <w:r>
        <w:rPr>
          <w:rFonts w:hint="eastAsia"/>
          <w:sz w:val="28"/>
          <w:szCs w:val="28"/>
          <w:shd w:val="clear" w:color="auto" w:fill="FFFFFF"/>
        </w:rPr>
        <w:t>门窗应满足抗风压要求。门窗与墙体应连接牢固，不同材料的门窗与墙体连接处应采用相应的密封材料及构造做法；</w:t>
      </w:r>
      <w:r>
        <w:rPr>
          <w:rFonts w:hint="eastAsia"/>
          <w:sz w:val="28"/>
          <w:szCs w:val="28"/>
          <w:shd w:val="clear" w:color="auto" w:fill="FFFFFF"/>
        </w:rPr>
        <w:br w:type="textWrapping"/>
      </w:r>
      <w:r>
        <w:rPr>
          <w:rFonts w:hint="eastAsia"/>
          <w:sz w:val="28"/>
          <w:szCs w:val="28"/>
          <w:shd w:val="clear" w:color="auto" w:fill="FFFFFF"/>
        </w:rPr>
        <w:t xml:space="preserve"> </w:t>
      </w:r>
      <w:r>
        <w:rPr>
          <w:rFonts w:hint="eastAsia"/>
          <w:b/>
          <w:bCs/>
          <w:sz w:val="28"/>
          <w:szCs w:val="28"/>
          <w:shd w:val="clear" w:color="auto" w:fill="FFFFFF"/>
        </w:rPr>
        <w:t xml:space="preserve">   2 </w:t>
      </w:r>
      <w:r>
        <w:rPr>
          <w:rStyle w:val="54"/>
          <w:rFonts w:hint="eastAsia"/>
          <w:b w:val="0"/>
          <w:bCs w:val="0"/>
          <w:sz w:val="28"/>
          <w:szCs w:val="28"/>
          <w:shd w:val="clear" w:color="auto" w:fill="FFFFFF"/>
        </w:rPr>
        <w:t>托儿所、幼儿园、中小学及其他少年儿童专用活动场所的门窗，应采取防止夹手的措施；</w:t>
      </w:r>
    </w:p>
    <w:p>
      <w:pPr>
        <w:pStyle w:val="44"/>
        <w:shd w:val="clear" w:color="auto" w:fill="FFFFFF"/>
        <w:spacing w:before="0" w:beforeAutospacing="0" w:after="0" w:afterAutospacing="0" w:line="360" w:lineRule="auto"/>
        <w:ind w:firstLine="562" w:firstLineChars="200"/>
        <w:rPr>
          <w:sz w:val="28"/>
          <w:szCs w:val="28"/>
          <w:shd w:val="clear" w:color="auto" w:fill="FFFFFF"/>
        </w:rPr>
      </w:pPr>
      <w:r>
        <w:rPr>
          <w:rFonts w:hint="eastAsia"/>
          <w:b/>
          <w:bCs/>
          <w:sz w:val="28"/>
          <w:szCs w:val="28"/>
          <w:shd w:val="clear" w:color="auto" w:fill="FFFFFF"/>
        </w:rPr>
        <w:t>3</w:t>
      </w:r>
      <w:r>
        <w:rPr>
          <w:rFonts w:hint="eastAsia"/>
          <w:sz w:val="28"/>
          <w:szCs w:val="28"/>
          <w:shd w:val="clear" w:color="auto" w:fill="FFFFFF"/>
        </w:rPr>
        <w:t xml:space="preserve"> 双面弹簧门应在可视高度部分装设透明安全玻璃；</w:t>
      </w:r>
      <w:r>
        <w:rPr>
          <w:rFonts w:hint="eastAsia"/>
          <w:sz w:val="28"/>
          <w:szCs w:val="28"/>
          <w:shd w:val="clear" w:color="auto" w:fill="FFFFFF"/>
        </w:rPr>
        <w:br w:type="textWrapping"/>
      </w:r>
      <w:r>
        <w:rPr>
          <w:rFonts w:hint="eastAsia"/>
          <w:sz w:val="28"/>
          <w:szCs w:val="28"/>
          <w:shd w:val="clear" w:color="auto" w:fill="FFFFFF"/>
        </w:rPr>
        <w:t>  </w:t>
      </w:r>
      <w:r>
        <w:rPr>
          <w:rFonts w:hint="eastAsia"/>
          <w:b/>
          <w:bCs/>
          <w:sz w:val="28"/>
          <w:szCs w:val="28"/>
          <w:shd w:val="clear" w:color="auto" w:fill="FFFFFF"/>
        </w:rPr>
        <w:t xml:space="preserve">4 </w:t>
      </w:r>
      <w:r>
        <w:rPr>
          <w:rFonts w:hint="eastAsia"/>
          <w:sz w:val="28"/>
          <w:szCs w:val="28"/>
          <w:shd w:val="clear" w:color="auto" w:fill="FFFFFF"/>
        </w:rPr>
        <w:t>全玻璃门应选用安全玻璃或采取防护措施，并应设明显防撞提示标志； </w:t>
      </w:r>
    </w:p>
    <w:p>
      <w:pPr>
        <w:spacing w:line="360" w:lineRule="auto"/>
        <w:ind w:firstLine="562" w:firstLineChars="200"/>
        <w:jc w:val="left"/>
        <w:outlineLvl w:val="3"/>
        <w:rPr>
          <w:rFonts w:ascii="宋体" w:hAnsi="宋体" w:cs="宋体"/>
          <w:sz w:val="28"/>
          <w:szCs w:val="28"/>
          <w:shd w:val="clear" w:color="auto" w:fill="FFFFFF"/>
        </w:rPr>
      </w:pPr>
      <w:r>
        <w:rPr>
          <w:rFonts w:hint="eastAsia" w:ascii="宋体" w:hAnsi="宋体" w:cs="宋体"/>
          <w:b/>
          <w:bCs/>
          <w:sz w:val="28"/>
          <w:szCs w:val="28"/>
          <w:shd w:val="clear" w:color="auto" w:fill="FFFFFF"/>
        </w:rPr>
        <w:t>5</w:t>
      </w:r>
      <w:r>
        <w:rPr>
          <w:rFonts w:hint="eastAsia" w:ascii="宋体" w:hAnsi="宋体" w:cs="宋体"/>
          <w:sz w:val="28"/>
          <w:szCs w:val="28"/>
          <w:shd w:val="clear" w:color="auto" w:fill="FFFFFF"/>
        </w:rPr>
        <w:t>公共建筑、居住建筑的临空外窗的窗台（或其防护设施）距楼地面净高，分别不得低于0.8m、0.9m；</w:t>
      </w:r>
      <w:r>
        <w:rPr>
          <w:rFonts w:hint="eastAsia" w:ascii="宋体" w:hAnsi="宋体" w:cs="宋体"/>
          <w:sz w:val="28"/>
          <w:szCs w:val="28"/>
          <w:shd w:val="clear" w:color="auto" w:fill="FFFFFF"/>
        </w:rPr>
        <w:br w:type="textWrapping"/>
      </w:r>
      <w:r>
        <w:rPr>
          <w:rFonts w:hint="eastAsia" w:ascii="宋体" w:hAnsi="宋体" w:cs="宋体"/>
          <w:sz w:val="28"/>
          <w:szCs w:val="28"/>
          <w:shd w:val="clear" w:color="auto" w:fill="FFFFFF"/>
        </w:rPr>
        <w:t xml:space="preserve">   </w:t>
      </w:r>
      <w:r>
        <w:rPr>
          <w:rFonts w:hint="eastAsia" w:ascii="宋体" w:hAnsi="宋体" w:cs="宋体"/>
          <w:b/>
          <w:bCs/>
          <w:sz w:val="28"/>
          <w:szCs w:val="28"/>
          <w:shd w:val="clear" w:color="auto" w:fill="FFFFFF"/>
        </w:rPr>
        <w:t>6</w:t>
      </w:r>
      <w:r>
        <w:rPr>
          <w:rFonts w:hint="eastAsia" w:ascii="宋体" w:hAnsi="宋体" w:cs="宋体"/>
          <w:sz w:val="28"/>
          <w:szCs w:val="28"/>
          <w:shd w:val="clear" w:color="auto" w:fill="FFFFFF"/>
        </w:rPr>
        <w:t>天窗应采用防破碎伤人的透光材料。</w:t>
      </w:r>
    </w:p>
    <w:p>
      <w:pPr>
        <w:pStyle w:val="114"/>
        <w:spacing w:line="360" w:lineRule="auto"/>
        <w:outlineLvl w:val="3"/>
        <w:rPr>
          <w:rFonts w:ascii="微软雅黑" w:hAnsi="微软雅黑" w:eastAsia="微软雅黑" w:cs="微软雅黑"/>
          <w:sz w:val="28"/>
          <w:szCs w:val="28"/>
          <w:shd w:val="clear" w:color="auto" w:fill="FFFFFF"/>
        </w:rPr>
      </w:pPr>
      <w:r>
        <w:rPr>
          <w:rFonts w:hint="eastAsia" w:ascii="微软雅黑" w:hAnsi="微软雅黑" w:eastAsia="微软雅黑" w:cs="微软雅黑"/>
          <w:color w:val="auto"/>
          <w:sz w:val="28"/>
          <w:szCs w:val="28"/>
        </w:rPr>
        <w:t>【条文说明】</w:t>
      </w:r>
      <w:r>
        <w:rPr>
          <w:rFonts w:hint="eastAsia" w:ascii="微软雅黑" w:hAnsi="微软雅黑" w:eastAsia="微软雅黑" w:cs="微软雅黑"/>
          <w:b/>
          <w:bCs/>
          <w:sz w:val="28"/>
          <w:szCs w:val="28"/>
        </w:rPr>
        <w:t xml:space="preserve">5.4.3  </w:t>
      </w:r>
      <w:r>
        <w:rPr>
          <w:rFonts w:hint="eastAsia" w:ascii="微软雅黑" w:hAnsi="微软雅黑" w:eastAsia="微软雅黑" w:cs="微软雅黑"/>
          <w:color w:val="auto"/>
          <w:sz w:val="28"/>
          <w:szCs w:val="28"/>
        </w:rPr>
        <w:t>对于阳台、窗户、窗台等,强化防坠设计，有利于降低坠物伤人风险。具体可采取阳台外窗为高窗设计、限制窗扇开启角度、窗台与绿化种植整合设计、适度减少防护栏杆垂直杆件水平净距、安装隐形防盗网等措施。此外，外窗的安全防护可与纱窗等相结合，既可以防坠物伤人，还可以防蚊防盗。</w:t>
      </w:r>
    </w:p>
    <w:p>
      <w:pPr>
        <w:pStyle w:val="44"/>
        <w:spacing w:before="0" w:beforeAutospacing="0" w:after="0" w:afterAutospacing="0" w:line="360" w:lineRule="auto"/>
        <w:jc w:val="both"/>
        <w:rPr>
          <w:sz w:val="28"/>
          <w:szCs w:val="28"/>
        </w:rPr>
      </w:pPr>
      <w:r>
        <w:rPr>
          <w:rFonts w:hint="eastAsia"/>
          <w:b/>
          <w:sz w:val="28"/>
          <w:szCs w:val="28"/>
          <w:shd w:val="clear" w:color="auto" w:fill="FFFFFF"/>
        </w:rPr>
        <w:t xml:space="preserve">5.4.4 </w:t>
      </w:r>
      <w:r>
        <w:rPr>
          <w:rFonts w:hint="eastAsia"/>
          <w:bCs/>
          <w:sz w:val="28"/>
          <w:szCs w:val="28"/>
          <w:shd w:val="clear" w:color="auto" w:fill="FFFFFF"/>
        </w:rPr>
        <w:t>建筑物楼地面、台阶、坡道、栏杆、楼梯和自动扶梯的设置，</w:t>
      </w:r>
      <w:r>
        <w:rPr>
          <w:rFonts w:hint="eastAsia"/>
          <w:sz w:val="28"/>
          <w:szCs w:val="28"/>
        </w:rPr>
        <w:t>应符合下列规定：</w:t>
      </w:r>
    </w:p>
    <w:p>
      <w:pPr>
        <w:pStyle w:val="44"/>
        <w:spacing w:before="0" w:beforeAutospacing="0" w:after="0" w:afterAutospacing="0" w:line="360" w:lineRule="auto"/>
        <w:ind w:firstLine="562" w:firstLineChars="200"/>
        <w:jc w:val="both"/>
        <w:rPr>
          <w:sz w:val="28"/>
          <w:szCs w:val="28"/>
        </w:rPr>
      </w:pPr>
      <w:r>
        <w:rPr>
          <w:rFonts w:hint="eastAsia"/>
          <w:b/>
          <w:bCs/>
          <w:sz w:val="28"/>
          <w:szCs w:val="28"/>
          <w:shd w:val="clear" w:color="auto" w:fill="FFFFFF"/>
        </w:rPr>
        <w:t xml:space="preserve">1 </w:t>
      </w:r>
      <w:r>
        <w:rPr>
          <w:rFonts w:hint="eastAsia"/>
          <w:sz w:val="28"/>
          <w:szCs w:val="28"/>
          <w:shd w:val="clear" w:color="auto" w:fill="FFFFFF"/>
        </w:rPr>
        <w:t>楼地面、台阶踏步和人行坡道应采取防滑措施；</w:t>
      </w:r>
      <w:r>
        <w:rPr>
          <w:rFonts w:hint="eastAsia"/>
          <w:sz w:val="28"/>
          <w:szCs w:val="28"/>
          <w:shd w:val="clear" w:color="auto" w:fill="FFFFFF"/>
        </w:rPr>
        <w:br w:type="textWrapping"/>
      </w:r>
      <w:r>
        <w:rPr>
          <w:rFonts w:hint="eastAsia"/>
          <w:b/>
          <w:bCs/>
          <w:sz w:val="28"/>
          <w:szCs w:val="28"/>
          <w:shd w:val="clear" w:color="auto" w:fill="FFFFFF"/>
        </w:rPr>
        <w:t xml:space="preserve">   2 </w:t>
      </w:r>
      <w:r>
        <w:rPr>
          <w:rFonts w:hint="eastAsia"/>
          <w:sz w:val="28"/>
          <w:szCs w:val="28"/>
          <w:shd w:val="clear" w:color="auto" w:fill="FFFFFF"/>
        </w:rPr>
        <w:t>台阶或人行坡道总高度超过0.7m时，应在临空面采取防护设施；</w:t>
      </w:r>
    </w:p>
    <w:p>
      <w:pPr>
        <w:pStyle w:val="44"/>
        <w:shd w:val="clear" w:color="auto" w:fill="FFFFFF"/>
        <w:spacing w:before="0" w:beforeAutospacing="0" w:after="0" w:afterAutospacing="0" w:line="360" w:lineRule="auto"/>
        <w:ind w:firstLine="562" w:firstLineChars="200"/>
        <w:rPr>
          <w:rStyle w:val="54"/>
          <w:sz w:val="28"/>
          <w:szCs w:val="28"/>
          <w:shd w:val="clear" w:color="auto" w:fill="FFFFFF"/>
        </w:rPr>
      </w:pPr>
      <w:r>
        <w:rPr>
          <w:rFonts w:hint="eastAsia"/>
          <w:b/>
          <w:bCs/>
          <w:sz w:val="28"/>
          <w:szCs w:val="28"/>
        </w:rPr>
        <w:t>3</w:t>
      </w:r>
      <w:r>
        <w:rPr>
          <w:rFonts w:hint="eastAsia"/>
          <w:sz w:val="28"/>
          <w:szCs w:val="28"/>
        </w:rPr>
        <w:t xml:space="preserve"> </w:t>
      </w:r>
      <w:r>
        <w:rPr>
          <w:rFonts w:hint="eastAsia"/>
          <w:sz w:val="28"/>
          <w:szCs w:val="28"/>
          <w:shd w:val="clear" w:color="auto" w:fill="FFFFFF"/>
        </w:rPr>
        <w:t>阳台、外廊、室内回廊、内天井、上人屋面及室外楼梯等临空处应设置防护栏杆。上人屋面和交通、商业、旅馆、医院、学校等建筑临开敞中庭的栏杆高度不应小于1.2m</w:t>
      </w:r>
      <w:r>
        <w:rPr>
          <w:rStyle w:val="54"/>
          <w:rFonts w:hint="eastAsia"/>
          <w:sz w:val="28"/>
          <w:szCs w:val="28"/>
          <w:shd w:val="clear" w:color="auto" w:fill="FFFFFF"/>
        </w:rPr>
        <w:t>；</w:t>
      </w:r>
      <w:r>
        <w:rPr>
          <w:rStyle w:val="54"/>
          <w:rFonts w:hint="eastAsia"/>
          <w:sz w:val="28"/>
          <w:szCs w:val="28"/>
          <w:shd w:val="clear" w:color="auto" w:fill="FFFFFF"/>
        </w:rPr>
        <w:br w:type="textWrapping"/>
      </w:r>
      <w:r>
        <w:rPr>
          <w:rStyle w:val="54"/>
          <w:rFonts w:hint="eastAsia"/>
          <w:sz w:val="28"/>
          <w:szCs w:val="28"/>
          <w:shd w:val="clear" w:color="auto" w:fill="FFFFFF"/>
        </w:rPr>
        <w:t xml:space="preserve">    4 </w:t>
      </w:r>
      <w:r>
        <w:rPr>
          <w:rStyle w:val="54"/>
          <w:rFonts w:hint="eastAsia"/>
          <w:b w:val="0"/>
          <w:bCs w:val="0"/>
          <w:sz w:val="28"/>
          <w:szCs w:val="28"/>
          <w:shd w:val="clear" w:color="auto" w:fill="FFFFFF"/>
        </w:rPr>
        <w:t>住宅、托儿所、幼儿园、中小学及其他少年儿童专用活动场所的防护栏杆必须采取防止攀爬的构造。当采用垂直杆件做栏杆时，其杆件净间距不应大于0.11m；</w:t>
      </w:r>
    </w:p>
    <w:p>
      <w:pPr>
        <w:pStyle w:val="44"/>
        <w:shd w:val="clear" w:color="auto" w:fill="FFFFFF"/>
        <w:spacing w:before="0" w:beforeAutospacing="0" w:after="0" w:afterAutospacing="0" w:line="360" w:lineRule="auto"/>
        <w:ind w:firstLine="562" w:firstLineChars="200"/>
        <w:rPr>
          <w:sz w:val="28"/>
          <w:szCs w:val="28"/>
          <w:shd w:val="clear" w:color="auto" w:fill="FFFFFF"/>
        </w:rPr>
      </w:pPr>
      <w:r>
        <w:rPr>
          <w:rFonts w:hint="eastAsia"/>
          <w:b/>
          <w:bCs/>
          <w:sz w:val="28"/>
          <w:szCs w:val="28"/>
          <w:shd w:val="clear" w:color="auto" w:fill="FFFFFF"/>
        </w:rPr>
        <w:t>5</w:t>
      </w:r>
      <w:r>
        <w:rPr>
          <w:rFonts w:hint="eastAsia"/>
          <w:sz w:val="28"/>
          <w:szCs w:val="28"/>
          <w:shd w:val="clear" w:color="auto" w:fill="FFFFFF"/>
        </w:rPr>
        <w:t>托儿所、幼儿园、中小学校及其他少年儿童专用活动场所，当楼梯井净宽大于0.2m时，必须采取防止少年儿童坠落的措施；</w:t>
      </w:r>
    </w:p>
    <w:p>
      <w:pPr>
        <w:spacing w:line="360" w:lineRule="auto"/>
        <w:ind w:firstLine="562" w:firstLineChars="200"/>
        <w:jc w:val="left"/>
        <w:outlineLvl w:val="3"/>
        <w:rPr>
          <w:rFonts w:ascii="宋体" w:hAnsi="宋体" w:cs="宋体"/>
          <w:b/>
          <w:bCs/>
          <w:sz w:val="28"/>
          <w:szCs w:val="28"/>
          <w:shd w:val="clear" w:color="auto" w:fill="FFFFFF"/>
        </w:rPr>
      </w:pPr>
      <w:r>
        <w:rPr>
          <w:rFonts w:hint="eastAsia" w:ascii="宋体" w:hAnsi="宋体" w:cs="宋体"/>
          <w:b/>
          <w:bCs/>
          <w:sz w:val="28"/>
          <w:szCs w:val="28"/>
          <w:shd w:val="clear" w:color="auto" w:fill="FFFFFF"/>
        </w:rPr>
        <w:t>6</w:t>
      </w:r>
      <w:r>
        <w:rPr>
          <w:rFonts w:hint="eastAsia" w:ascii="宋体" w:hAnsi="宋体" w:cs="宋体"/>
          <w:sz w:val="28"/>
          <w:szCs w:val="28"/>
          <w:shd w:val="clear" w:color="auto" w:fill="FFFFFF"/>
        </w:rPr>
        <w:t xml:space="preserve"> 自动扶梯与楼层地板开口部位之间应设防护栏杆或栏板；</w:t>
      </w:r>
      <w:r>
        <w:rPr>
          <w:rFonts w:hint="eastAsia" w:ascii="宋体" w:hAnsi="宋体" w:cs="宋体"/>
          <w:sz w:val="28"/>
          <w:szCs w:val="28"/>
          <w:shd w:val="clear" w:color="auto" w:fill="FFFFFF"/>
        </w:rPr>
        <w:br w:type="textWrapping"/>
      </w:r>
      <w:r>
        <w:rPr>
          <w:rFonts w:hint="eastAsia" w:ascii="宋体" w:hAnsi="宋体" w:cs="宋体"/>
          <w:sz w:val="28"/>
          <w:szCs w:val="28"/>
          <w:shd w:val="clear" w:color="auto" w:fill="FFFFFF"/>
        </w:rPr>
        <w:t>  </w:t>
      </w:r>
      <w:r>
        <w:rPr>
          <w:rFonts w:hint="eastAsia" w:ascii="宋体" w:hAnsi="宋体" w:cs="宋体"/>
          <w:b/>
          <w:bCs/>
          <w:sz w:val="28"/>
          <w:szCs w:val="28"/>
          <w:shd w:val="clear" w:color="auto" w:fill="FFFFFF"/>
        </w:rPr>
        <w:t>7</w:t>
      </w:r>
      <w:r>
        <w:rPr>
          <w:rFonts w:hint="eastAsia" w:ascii="宋体" w:hAnsi="宋体" w:cs="宋体"/>
          <w:sz w:val="28"/>
          <w:szCs w:val="28"/>
          <w:shd w:val="clear" w:color="auto" w:fill="FFFFFF"/>
        </w:rPr>
        <w:t xml:space="preserve"> 民用建筑自动扶梯扶手带顶面距自动扶梯前缘、自动人行道踏板面或胶带面的垂直高度不应小于0.9m；</w:t>
      </w:r>
      <w:r>
        <w:rPr>
          <w:rFonts w:hint="eastAsia" w:ascii="宋体" w:hAnsi="宋体" w:cs="宋体"/>
          <w:sz w:val="28"/>
          <w:szCs w:val="28"/>
          <w:shd w:val="clear" w:color="auto" w:fill="FFFFFF"/>
        </w:rPr>
        <w:br w:type="textWrapping"/>
      </w:r>
      <w:r>
        <w:rPr>
          <w:rFonts w:hint="eastAsia" w:ascii="宋体" w:hAnsi="宋体" w:cs="宋体"/>
          <w:sz w:val="28"/>
          <w:szCs w:val="28"/>
          <w:shd w:val="clear" w:color="auto" w:fill="FFFFFF"/>
        </w:rPr>
        <w:t>  </w:t>
      </w:r>
      <w:r>
        <w:rPr>
          <w:rFonts w:hint="eastAsia" w:ascii="宋体" w:hAnsi="宋体" w:cs="宋体"/>
          <w:b/>
          <w:bCs/>
          <w:sz w:val="28"/>
          <w:szCs w:val="28"/>
          <w:shd w:val="clear" w:color="auto" w:fill="FFFFFF"/>
        </w:rPr>
        <w:t xml:space="preserve">8 </w:t>
      </w:r>
      <w:r>
        <w:rPr>
          <w:rFonts w:hint="eastAsia" w:ascii="宋体" w:hAnsi="宋体" w:cs="宋体"/>
          <w:sz w:val="28"/>
          <w:szCs w:val="28"/>
          <w:shd w:val="clear" w:color="auto" w:fill="FFFFFF"/>
        </w:rPr>
        <w:t>当民用建筑自动扶梯呈剪刀状相对布置时，以及与楼板、梁开口部位侧边交错时，应在产生的锐角口前部1.0m范围内设置防夹、防剪的预警阻挡设施。</w:t>
      </w:r>
      <w:r>
        <w:rPr>
          <w:rFonts w:hint="eastAsia" w:ascii="宋体" w:hAnsi="宋体" w:cs="宋体"/>
          <w:sz w:val="28"/>
          <w:szCs w:val="28"/>
          <w:shd w:val="clear" w:color="auto" w:fill="FFFFFF"/>
        </w:rPr>
        <w:br w:type="textWrapping"/>
      </w:r>
      <w:r>
        <w:rPr>
          <w:rFonts w:hint="eastAsia" w:ascii="宋体" w:hAnsi="宋体" w:cs="宋体"/>
          <w:b/>
          <w:bCs/>
          <w:sz w:val="28"/>
          <w:szCs w:val="28"/>
          <w:shd w:val="clear" w:color="auto" w:fill="FFFFFF"/>
        </w:rPr>
        <w:t>5.4.5</w:t>
      </w:r>
      <w:r>
        <w:rPr>
          <w:rFonts w:hint="eastAsia" w:ascii="宋体" w:hAnsi="宋体" w:cs="宋体"/>
          <w:sz w:val="28"/>
          <w:szCs w:val="28"/>
          <w:shd w:val="clear" w:color="auto" w:fill="FFFFFF"/>
        </w:rPr>
        <w:t xml:space="preserve"> 建筑屋面设计，应符合下列规定：</w:t>
      </w:r>
    </w:p>
    <w:p>
      <w:pPr>
        <w:spacing w:line="360" w:lineRule="auto"/>
        <w:ind w:firstLine="562" w:firstLineChars="200"/>
        <w:jc w:val="left"/>
        <w:outlineLvl w:val="3"/>
        <w:rPr>
          <w:rFonts w:ascii="宋体" w:hAnsi="宋体" w:cs="宋体"/>
          <w:sz w:val="28"/>
          <w:szCs w:val="28"/>
          <w:shd w:val="clear" w:color="auto" w:fill="FFFFFF"/>
        </w:rPr>
      </w:pPr>
      <w:r>
        <w:rPr>
          <w:rFonts w:hint="eastAsia" w:ascii="宋体" w:hAnsi="宋体" w:cs="宋体"/>
          <w:b/>
          <w:bCs/>
          <w:sz w:val="28"/>
          <w:szCs w:val="28"/>
          <w:shd w:val="clear" w:color="auto" w:fill="FFFFFF"/>
        </w:rPr>
        <w:t xml:space="preserve">1 </w:t>
      </w:r>
      <w:r>
        <w:rPr>
          <w:rFonts w:hint="eastAsia" w:ascii="宋体" w:hAnsi="宋体" w:cs="宋体"/>
          <w:sz w:val="28"/>
          <w:szCs w:val="28"/>
          <w:shd w:val="clear" w:color="auto" w:fill="FFFFFF"/>
        </w:rPr>
        <w:t>上人屋面临空处应设防护栏杆。其屋顶水箱顶部应有防止儿童接近的措施；</w:t>
      </w:r>
    </w:p>
    <w:p>
      <w:pPr>
        <w:spacing w:line="360" w:lineRule="auto"/>
        <w:ind w:firstLine="562" w:firstLineChars="200"/>
        <w:jc w:val="left"/>
        <w:outlineLvl w:val="3"/>
        <w:rPr>
          <w:rFonts w:ascii="宋体" w:hAnsi="宋体" w:cs="宋体"/>
          <w:b/>
          <w:bCs/>
          <w:sz w:val="28"/>
          <w:szCs w:val="28"/>
        </w:rPr>
      </w:pPr>
      <w:r>
        <w:rPr>
          <w:rFonts w:hint="eastAsia" w:ascii="宋体" w:hAnsi="宋体" w:cs="宋体"/>
          <w:b/>
          <w:bCs/>
          <w:sz w:val="28"/>
          <w:szCs w:val="28"/>
          <w:shd w:val="clear" w:color="auto" w:fill="FFFFFF"/>
        </w:rPr>
        <w:t>2</w:t>
      </w:r>
      <w:r>
        <w:rPr>
          <w:rFonts w:hint="eastAsia" w:ascii="宋体" w:hAnsi="宋体" w:cs="宋体"/>
          <w:sz w:val="28"/>
          <w:szCs w:val="28"/>
          <w:shd w:val="clear" w:color="auto" w:fill="FFFFFF"/>
        </w:rPr>
        <w:t>当非种植屋面坡度较大或种植屋面坡度大于20％时，应采取固定和防止滑落的措施；</w:t>
      </w:r>
      <w:r>
        <w:rPr>
          <w:rFonts w:hint="eastAsia" w:ascii="宋体" w:hAnsi="宋体" w:cs="宋体"/>
          <w:sz w:val="28"/>
          <w:szCs w:val="28"/>
          <w:shd w:val="clear" w:color="auto" w:fill="FFFFFF"/>
        </w:rPr>
        <w:br w:type="textWrapping"/>
      </w:r>
      <w:r>
        <w:rPr>
          <w:rFonts w:hint="eastAsia" w:ascii="宋体" w:hAnsi="宋体" w:cs="宋体"/>
          <w:sz w:val="28"/>
          <w:szCs w:val="28"/>
          <w:shd w:val="clear" w:color="auto" w:fill="FFFFFF"/>
        </w:rPr>
        <w:t>  </w:t>
      </w:r>
      <w:r>
        <w:rPr>
          <w:rFonts w:hint="eastAsia" w:ascii="宋体" w:hAnsi="宋体" w:cs="宋体"/>
          <w:b/>
          <w:bCs/>
          <w:sz w:val="28"/>
          <w:szCs w:val="28"/>
          <w:shd w:val="clear" w:color="auto" w:fill="FFFFFF"/>
        </w:rPr>
        <w:t xml:space="preserve">3 </w:t>
      </w:r>
      <w:r>
        <w:rPr>
          <w:rFonts w:hint="eastAsia" w:ascii="宋体" w:hAnsi="宋体" w:cs="宋体"/>
          <w:sz w:val="28"/>
          <w:szCs w:val="28"/>
          <w:shd w:val="clear" w:color="auto" w:fill="FFFFFF"/>
        </w:rPr>
        <w:t>金属（含异形）屋面应在边区、角区、檐口、屋脊及屋面形态变化处，采取构造加强措施。</w:t>
      </w:r>
    </w:p>
    <w:p>
      <w:pPr>
        <w:spacing w:line="360" w:lineRule="auto"/>
        <w:jc w:val="left"/>
        <w:rPr>
          <w:rFonts w:ascii="宋体" w:hAnsi="宋体" w:cs="宋体"/>
          <w:b/>
          <w:bCs/>
          <w:sz w:val="28"/>
          <w:szCs w:val="28"/>
        </w:rPr>
      </w:pPr>
      <w:r>
        <w:rPr>
          <w:rFonts w:hint="eastAsia" w:ascii="宋体" w:hAnsi="宋体" w:cs="宋体"/>
          <w:b/>
          <w:bCs/>
          <w:sz w:val="28"/>
          <w:szCs w:val="28"/>
        </w:rPr>
        <w:t xml:space="preserve">5.4.6 </w:t>
      </w:r>
      <w:r>
        <w:rPr>
          <w:rFonts w:hint="eastAsia" w:ascii="宋体" w:hAnsi="宋体" w:cs="宋体"/>
          <w:sz w:val="28"/>
          <w:szCs w:val="28"/>
        </w:rPr>
        <w:t>结构、室内外装修及机电工程设计，应符合下列规定：</w:t>
      </w:r>
      <w:r>
        <w:rPr>
          <w:rFonts w:hint="eastAsia" w:ascii="宋体" w:hAnsi="宋体" w:cs="宋体"/>
          <w:b/>
          <w:bCs/>
          <w:sz w:val="28"/>
          <w:szCs w:val="28"/>
        </w:rPr>
        <w:br w:type="textWrapping"/>
      </w:r>
      <w:r>
        <w:rPr>
          <w:rFonts w:hint="eastAsia" w:ascii="宋体" w:hAnsi="宋体" w:cs="宋体"/>
          <w:b/>
          <w:bCs/>
          <w:sz w:val="28"/>
          <w:szCs w:val="28"/>
        </w:rPr>
        <w:t xml:space="preserve">    1 </w:t>
      </w:r>
      <w:r>
        <w:rPr>
          <w:rFonts w:hint="eastAsia" w:ascii="宋体" w:hAnsi="宋体" w:cs="宋体"/>
          <w:sz w:val="28"/>
          <w:szCs w:val="28"/>
        </w:rPr>
        <w:t>地下室顶板不宜采用无梁楼盖；</w:t>
      </w:r>
    </w:p>
    <w:p>
      <w:pPr>
        <w:spacing w:line="360" w:lineRule="auto"/>
        <w:ind w:firstLine="562" w:firstLineChars="200"/>
        <w:jc w:val="left"/>
        <w:rPr>
          <w:rFonts w:ascii="宋体" w:hAnsi="宋体" w:cs="宋体"/>
          <w:sz w:val="28"/>
          <w:szCs w:val="28"/>
        </w:rPr>
      </w:pPr>
      <w:r>
        <w:rPr>
          <w:rFonts w:hint="eastAsia" w:ascii="宋体" w:hAnsi="宋体" w:cs="宋体"/>
          <w:b/>
          <w:bCs/>
          <w:sz w:val="28"/>
          <w:szCs w:val="28"/>
        </w:rPr>
        <w:t xml:space="preserve">2 </w:t>
      </w:r>
      <w:r>
        <w:rPr>
          <w:rFonts w:hint="eastAsia" w:ascii="宋体" w:hAnsi="宋体" w:cs="宋体"/>
          <w:sz w:val="28"/>
          <w:szCs w:val="28"/>
        </w:rPr>
        <w:t>内墙和外墙装修材料或构件，外遮阳或太阳能设施、空调室外机、外墙花池（花盆）等外部设施，应与建筑主体结构牢固连接，并应考虑便于安装和检修；</w:t>
      </w:r>
    </w:p>
    <w:p>
      <w:pPr>
        <w:spacing w:line="360" w:lineRule="auto"/>
        <w:ind w:firstLine="562" w:firstLineChars="200"/>
        <w:jc w:val="left"/>
        <w:rPr>
          <w:rFonts w:ascii="宋体" w:hAnsi="宋体" w:cs="宋体"/>
          <w:sz w:val="28"/>
          <w:szCs w:val="28"/>
        </w:rPr>
      </w:pPr>
      <w:r>
        <w:rPr>
          <w:rFonts w:hint="eastAsia" w:ascii="宋体" w:hAnsi="宋体" w:cs="宋体"/>
          <w:b/>
          <w:bCs/>
          <w:sz w:val="28"/>
          <w:szCs w:val="28"/>
        </w:rPr>
        <w:t>3</w:t>
      </w:r>
      <w:r>
        <w:rPr>
          <w:rFonts w:hint="eastAsia" w:ascii="宋体" w:hAnsi="宋体" w:cs="宋体"/>
          <w:sz w:val="28"/>
          <w:szCs w:val="28"/>
        </w:rPr>
        <w:t>吊顶系统不得吊挂在吊顶内的设备管线或设施上；</w:t>
      </w:r>
    </w:p>
    <w:p>
      <w:pPr>
        <w:spacing w:line="360" w:lineRule="auto"/>
        <w:ind w:firstLine="562" w:firstLineChars="200"/>
        <w:jc w:val="left"/>
        <w:rPr>
          <w:rFonts w:ascii="宋体" w:hAnsi="宋体" w:cs="宋体"/>
          <w:sz w:val="28"/>
          <w:szCs w:val="28"/>
        </w:rPr>
      </w:pPr>
      <w:r>
        <w:rPr>
          <w:rFonts w:hint="eastAsia" w:ascii="宋体" w:hAnsi="宋体" w:cs="宋体"/>
          <w:b/>
          <w:bCs/>
          <w:sz w:val="28"/>
          <w:szCs w:val="28"/>
        </w:rPr>
        <w:t xml:space="preserve">4 </w:t>
      </w:r>
      <w:r>
        <w:rPr>
          <w:rFonts w:hint="eastAsia" w:ascii="宋体" w:hAnsi="宋体" w:cs="宋体"/>
          <w:sz w:val="28"/>
          <w:szCs w:val="28"/>
        </w:rPr>
        <w:t>给水排水管道应避免在生产设备、遇水会引起爆炸燃烧的原料和产品、配电柜上方通过；</w:t>
      </w:r>
      <w:r>
        <w:rPr>
          <w:rFonts w:hint="eastAsia" w:ascii="宋体" w:hAnsi="宋体" w:cs="宋体"/>
          <w:sz w:val="28"/>
          <w:szCs w:val="28"/>
        </w:rPr>
        <w:br w:type="textWrapping"/>
      </w:r>
      <w:r>
        <w:rPr>
          <w:rFonts w:hint="eastAsia" w:ascii="宋体" w:hAnsi="宋体" w:cs="宋体"/>
          <w:sz w:val="28"/>
          <w:szCs w:val="28"/>
        </w:rPr>
        <w:t> </w:t>
      </w:r>
      <w:r>
        <w:rPr>
          <w:rFonts w:hint="eastAsia" w:ascii="宋体" w:hAnsi="宋体" w:cs="宋体"/>
          <w:b/>
          <w:bCs/>
          <w:sz w:val="28"/>
          <w:szCs w:val="28"/>
        </w:rPr>
        <w:t> 5</w:t>
      </w:r>
      <w:r>
        <w:rPr>
          <w:rFonts w:hint="eastAsia" w:ascii="宋体" w:hAnsi="宋体" w:cs="宋体"/>
          <w:sz w:val="28"/>
          <w:szCs w:val="28"/>
        </w:rPr>
        <w:t>贮存易燃易爆物质、有防疫卫生要求及散发有毒有害物质或气体的房间，应单独设置排风系统；</w:t>
      </w:r>
    </w:p>
    <w:p>
      <w:pPr>
        <w:spacing w:line="360" w:lineRule="auto"/>
        <w:ind w:firstLine="562" w:firstLineChars="200"/>
        <w:jc w:val="left"/>
        <w:rPr>
          <w:rFonts w:ascii="宋体" w:hAnsi="宋体" w:cs="宋体"/>
          <w:sz w:val="28"/>
          <w:szCs w:val="28"/>
        </w:rPr>
      </w:pPr>
      <w:r>
        <w:rPr>
          <w:rFonts w:hint="eastAsia" w:ascii="宋体" w:hAnsi="宋体" w:cs="宋体"/>
          <w:b/>
          <w:bCs/>
          <w:sz w:val="28"/>
          <w:szCs w:val="28"/>
        </w:rPr>
        <w:t>6</w:t>
      </w:r>
      <w:r>
        <w:rPr>
          <w:rFonts w:hint="eastAsia" w:ascii="宋体" w:hAnsi="宋体" w:cs="宋体"/>
          <w:sz w:val="28"/>
          <w:szCs w:val="28"/>
        </w:rPr>
        <w:t>建筑机电工程应进行抗震设计并满足有关标准要求；</w:t>
      </w:r>
    </w:p>
    <w:p>
      <w:pPr>
        <w:spacing w:line="360" w:lineRule="auto"/>
        <w:ind w:firstLine="562" w:firstLineChars="200"/>
        <w:jc w:val="left"/>
        <w:rPr>
          <w:rFonts w:ascii="宋体" w:hAnsi="宋体" w:cs="宋体"/>
          <w:sz w:val="28"/>
          <w:szCs w:val="28"/>
        </w:rPr>
      </w:pPr>
      <w:r>
        <w:rPr>
          <w:rFonts w:hint="eastAsia" w:ascii="宋体" w:hAnsi="宋体" w:cs="宋体"/>
          <w:b/>
          <w:bCs/>
          <w:sz w:val="28"/>
          <w:szCs w:val="28"/>
        </w:rPr>
        <w:t>7</w:t>
      </w:r>
      <w:r>
        <w:rPr>
          <w:rFonts w:hint="eastAsia" w:ascii="宋体" w:hAnsi="宋体" w:cs="宋体"/>
          <w:sz w:val="28"/>
          <w:szCs w:val="28"/>
        </w:rPr>
        <w:t>电动汽车停车库应采取尽量避免车辆火灾殃及邻车的措施；</w:t>
      </w:r>
    </w:p>
    <w:p>
      <w:pPr>
        <w:spacing w:line="360" w:lineRule="auto"/>
        <w:ind w:firstLine="562" w:firstLineChars="200"/>
        <w:jc w:val="left"/>
        <w:rPr>
          <w:rFonts w:ascii="宋体" w:hAnsi="宋体" w:cs="宋体"/>
          <w:b/>
          <w:bCs/>
          <w:sz w:val="28"/>
          <w:szCs w:val="28"/>
        </w:rPr>
      </w:pPr>
      <w:r>
        <w:rPr>
          <w:rFonts w:hint="eastAsia" w:ascii="宋体" w:hAnsi="宋体" w:cs="宋体"/>
          <w:b/>
          <w:bCs/>
          <w:sz w:val="28"/>
          <w:szCs w:val="28"/>
        </w:rPr>
        <w:t>8</w:t>
      </w:r>
      <w:r>
        <w:rPr>
          <w:rFonts w:hint="eastAsia" w:ascii="宋体" w:hAnsi="宋体" w:cs="宋体"/>
          <w:sz w:val="28"/>
          <w:szCs w:val="28"/>
        </w:rPr>
        <w:t>严禁在建筑走道、楼梯间及前室、疏散通道、安全出口、门厅等公共区域存放电动车辆及为之充电。</w:t>
      </w:r>
    </w:p>
    <w:p>
      <w:pPr>
        <w:snapToGrid w:val="0"/>
        <w:spacing w:line="360" w:lineRule="auto"/>
        <w:outlineLvl w:val="3"/>
        <w:rPr>
          <w:rFonts w:ascii="微软雅黑" w:hAnsi="微软雅黑" w:eastAsia="微软雅黑" w:cs="微软雅黑"/>
          <w:sz w:val="28"/>
          <w:szCs w:val="28"/>
        </w:rPr>
      </w:pPr>
      <w:r>
        <w:rPr>
          <w:rFonts w:hint="eastAsia" w:ascii="微软雅黑" w:hAnsi="微软雅黑" w:eastAsia="微软雅黑" w:cs="微软雅黑"/>
          <w:sz w:val="28"/>
          <w:szCs w:val="28"/>
        </w:rPr>
        <w:t>【条文说明】</w:t>
      </w:r>
      <w:r>
        <w:rPr>
          <w:rFonts w:hint="eastAsia" w:ascii="微软雅黑" w:hAnsi="微软雅黑" w:eastAsia="微软雅黑" w:cs="微软雅黑"/>
          <w:b/>
          <w:bCs/>
          <w:sz w:val="28"/>
          <w:szCs w:val="28"/>
        </w:rPr>
        <w:t xml:space="preserve">5.4.6 </w:t>
      </w:r>
      <w:r>
        <w:rPr>
          <w:rFonts w:hint="eastAsia" w:ascii="微软雅黑" w:hAnsi="微软雅黑" w:eastAsia="微软雅黑" w:cs="微软雅黑"/>
          <w:sz w:val="28"/>
          <w:szCs w:val="28"/>
        </w:rPr>
        <w:t>第2款 外遮阳、太阳能设施、空调室外机位、外墙花池等外部设施应与建筑主体结构构统一设计、施工，确保连接可靠，并应符合《建筑遮阳工程技术规范》JGJ 237、《民用建筑太阳能热水系统应用技术规范》GB 50364、《民用建筑太阳能光伏系统应用技术规范》JGJ 203、《装配式混凝土建筑技术标准》GB/T 51231等现行相关标准的规定。</w:t>
      </w:r>
    </w:p>
    <w:p>
      <w:pPr>
        <w:spacing w:line="360" w:lineRule="auto"/>
        <w:jc w:val="left"/>
        <w:outlineLvl w:val="3"/>
        <w:rPr>
          <w:rFonts w:ascii="微软雅黑" w:hAnsi="微软雅黑" w:eastAsia="微软雅黑" w:cs="微软雅黑"/>
          <w:sz w:val="28"/>
          <w:szCs w:val="28"/>
        </w:rPr>
      </w:pPr>
      <w:r>
        <w:rPr>
          <w:rFonts w:hint="eastAsia" w:ascii="微软雅黑" w:hAnsi="微软雅黑" w:eastAsia="微软雅黑" w:cs="微软雅黑"/>
          <w:sz w:val="28"/>
          <w:szCs w:val="28"/>
        </w:rPr>
        <w:t>常年多发的空调外机坠落伤人或安装人员作业时跌落伤亡事故，已成为建筑重大危险源之一，故新建或改建建筑设计时，应当预留与主体结构连接牢固的空调外机安装位置，并与拟定的机型大小匹配，同时预留操作空间，最大程度地保障安装、检修和维护人员安全。除空调机位外的其他外部设施，也大多需要定期检修和维护，因此在建筑设计时应考虑提供后期检修和维护条件，如设置检修通道、马道和吊篮固定端等；若与主体结构不同时施工的，应设预埋件，并在设计文件中明确预埋件检测验证参数及要求，确保其安全性与耐久性。</w:t>
      </w:r>
    </w:p>
    <w:p>
      <w:pPr>
        <w:adjustRightInd w:val="0"/>
        <w:spacing w:line="360" w:lineRule="auto"/>
        <w:ind w:firstLine="560" w:firstLineChars="200"/>
        <w:jc w:val="left"/>
        <w:rPr>
          <w:rFonts w:ascii="微软雅黑" w:hAnsi="微软雅黑" w:eastAsia="微软雅黑" w:cs="微软雅黑"/>
          <w:sz w:val="28"/>
          <w:szCs w:val="28"/>
        </w:rPr>
      </w:pPr>
      <w:r>
        <w:rPr>
          <w:rFonts w:hint="eastAsia" w:ascii="微软雅黑" w:hAnsi="微软雅黑" w:eastAsia="微软雅黑" w:cs="微软雅黑"/>
          <w:sz w:val="28"/>
          <w:szCs w:val="28"/>
        </w:rPr>
        <w:t>非结构构件，包括非承重墙体、附着于楼屋面结构的构件、装饰构件和部件等；设备包括为建筑使用功能服务的机电类构件、部件和系统，主要是指电梯扶梯、供配电及照明设施、弱电及智能化设施、给排水和通风空调系统等；附属设施包括整体卫生间、橱柜和储物柜等。</w:t>
      </w:r>
    </w:p>
    <w:p>
      <w:pPr>
        <w:adjustRightInd w:val="0"/>
        <w:spacing w:line="360" w:lineRule="auto"/>
        <w:ind w:firstLine="560" w:firstLineChars="200"/>
        <w:jc w:val="left"/>
        <w:rPr>
          <w:rFonts w:ascii="微软雅黑" w:hAnsi="微软雅黑" w:eastAsia="微软雅黑" w:cs="微软雅黑"/>
          <w:sz w:val="28"/>
          <w:szCs w:val="28"/>
        </w:rPr>
      </w:pPr>
      <w:r>
        <w:rPr>
          <w:rFonts w:hint="eastAsia" w:ascii="微软雅黑" w:hAnsi="微软雅黑" w:eastAsia="微软雅黑" w:cs="微软雅黑"/>
          <w:sz w:val="28"/>
          <w:szCs w:val="28"/>
        </w:rPr>
        <w:t>建筑内部非结构构件、设备及附属设施等设置，应满足建筑使用的安全性。如门窗、防护栏杆等应满足国家现行相关标准要求并安装牢固，防止跌落事故发生，且应根据腐蚀环境选用材料或进行耐腐蚀处理。近年因装饰装修脱落导致人员伤亡事故屡见不鲜，如吊链或连接件锈蚀导致吊灯掉落、吊顶脱落和瓷砖脱落等。室内装饰装修除应符合国家现行相关标准规定外，还需对承重材料力学性能进行检测验证。装饰构件之间，装饰构件与建筑墙体、楼板等构件之间连接力学性能应满足设计要求及连接可靠，并能适应主体结构在地震作用之外各种荷载作用下的变形。</w:t>
      </w:r>
    </w:p>
    <w:p>
      <w:pPr>
        <w:spacing w:line="360" w:lineRule="auto"/>
        <w:ind w:firstLine="840" w:firstLineChars="300"/>
        <w:jc w:val="left"/>
        <w:outlineLvl w:val="3"/>
        <w:rPr>
          <w:rFonts w:ascii="微软雅黑" w:hAnsi="微软雅黑" w:eastAsia="微软雅黑" w:cs="微软雅黑"/>
          <w:kern w:val="0"/>
          <w:sz w:val="28"/>
          <w:szCs w:val="28"/>
        </w:rPr>
      </w:pPr>
      <w:r>
        <w:rPr>
          <w:rFonts w:hint="eastAsia" w:ascii="微软雅黑" w:hAnsi="微软雅黑" w:eastAsia="微软雅黑" w:cs="微软雅黑"/>
          <w:sz w:val="28"/>
          <w:szCs w:val="28"/>
        </w:rPr>
        <w:t>建筑部品、非结构构件及附属设备等，应采用机械固定、焊接和预埋等牢固性构件连接方式或一体化建造方式，实现与建筑主体结构可靠连接，防止由于个别构件破坏而引起连续性破坏或倒塌。尤须注意的是，以膨胀螺栓、捆绑、支架等连接或安装方式，均不能视为一体化措施。</w:t>
      </w:r>
    </w:p>
    <w:p>
      <w:pPr>
        <w:snapToGrid w:val="0"/>
        <w:spacing w:line="360" w:lineRule="auto"/>
        <w:ind w:firstLine="560" w:firstLineChars="200"/>
        <w:outlineLvl w:val="3"/>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第7款．按照现行《电动汽车分散充电设施工程技术标准》GB/T 51313，电动汽车停车库内应划分防火单元。但鉴于电动汽车发生燃烧、火灾乃至爆炸事故日趋增多，且往往“火烧连营”，殃及邻近车辆及建筑物本体安全，故本款特别规定，电动汽车停车场应采取有效措施（比如在防火单元内部再设置防火隔断，以划分出面积更小的停车隔间），尽量将火灾事故损失及影响降到最低。</w:t>
      </w:r>
    </w:p>
    <w:p>
      <w:pPr>
        <w:spacing w:line="360" w:lineRule="auto"/>
        <w:ind w:firstLine="560" w:firstLineChars="200"/>
        <w:jc w:val="left"/>
        <w:outlineLvl w:val="3"/>
        <w:rPr>
          <w:rFonts w:asciiTheme="minorEastAsia" w:hAnsiTheme="minorEastAsia" w:eastAsiaTheme="minorEastAsia"/>
          <w:sz w:val="28"/>
          <w:szCs w:val="28"/>
        </w:rPr>
      </w:pPr>
      <w:r>
        <w:rPr>
          <w:rFonts w:hint="eastAsia" w:ascii="微软雅黑" w:hAnsi="微软雅黑" w:eastAsia="微软雅黑" w:cs="微软雅黑"/>
          <w:kern w:val="0"/>
          <w:sz w:val="28"/>
          <w:szCs w:val="28"/>
        </w:rPr>
        <w:t>第8款，电动自行车存放和充电导致火灾时有发生，给人民群众造成重大生命财产损失，因此要求电动自行车充电设施设置，应符合现行《深圳市电动自行车充电库（棚）工程技术规程》SJG 39有关规定。</w:t>
      </w:r>
    </w:p>
    <w:p>
      <w:pPr>
        <w:spacing w:line="360" w:lineRule="auto"/>
        <w:jc w:val="left"/>
        <w:outlineLvl w:val="3"/>
        <w:rPr>
          <w:rFonts w:ascii="宋体" w:hAnsi="宋体" w:cs="宋体"/>
          <w:b/>
          <w:bCs/>
          <w:sz w:val="28"/>
          <w:szCs w:val="28"/>
        </w:rPr>
      </w:pPr>
      <w:r>
        <w:rPr>
          <w:rFonts w:hint="eastAsia" w:ascii="宋体" w:hAnsi="宋体" w:cs="宋体"/>
          <w:b/>
          <w:bCs/>
          <w:sz w:val="28"/>
          <w:szCs w:val="28"/>
        </w:rPr>
        <w:t xml:space="preserve">5.4.8 </w:t>
      </w:r>
      <w:r>
        <w:rPr>
          <w:rFonts w:hint="eastAsia" w:ascii="宋体" w:hAnsi="宋体" w:cs="宋体"/>
          <w:sz w:val="28"/>
          <w:szCs w:val="28"/>
        </w:rPr>
        <w:t>建筑电气设计，应符合下列规定：</w:t>
      </w:r>
    </w:p>
    <w:p>
      <w:pPr>
        <w:spacing w:line="360" w:lineRule="auto"/>
        <w:ind w:firstLine="562" w:firstLineChars="200"/>
        <w:jc w:val="left"/>
        <w:rPr>
          <w:rFonts w:ascii="宋体" w:hAnsi="宋体" w:cs="宋体"/>
          <w:sz w:val="28"/>
          <w:szCs w:val="28"/>
        </w:rPr>
      </w:pPr>
      <w:r>
        <w:rPr>
          <w:rFonts w:hint="eastAsia" w:ascii="宋体" w:hAnsi="宋体" w:cs="宋体"/>
          <w:b/>
          <w:bCs/>
          <w:sz w:val="28"/>
          <w:szCs w:val="28"/>
        </w:rPr>
        <w:t>1</w:t>
      </w:r>
      <w:r>
        <w:rPr>
          <w:rFonts w:hint="eastAsia" w:ascii="宋体" w:hAnsi="宋体" w:cs="宋体"/>
          <w:sz w:val="28"/>
          <w:szCs w:val="28"/>
        </w:rPr>
        <w:t>建筑物内应做总等电位联结；</w:t>
      </w:r>
    </w:p>
    <w:p>
      <w:pPr>
        <w:spacing w:line="360" w:lineRule="auto"/>
        <w:ind w:firstLine="562" w:firstLineChars="200"/>
        <w:jc w:val="left"/>
        <w:rPr>
          <w:rFonts w:ascii="宋体" w:hAnsi="宋体" w:cs="宋体"/>
          <w:sz w:val="28"/>
          <w:szCs w:val="28"/>
        </w:rPr>
      </w:pPr>
      <w:r>
        <w:rPr>
          <w:rFonts w:hint="eastAsia" w:ascii="宋体" w:hAnsi="宋体" w:cs="宋体"/>
          <w:b/>
          <w:bCs/>
          <w:sz w:val="28"/>
          <w:szCs w:val="28"/>
        </w:rPr>
        <w:t>2</w:t>
      </w:r>
      <w:r>
        <w:rPr>
          <w:rFonts w:hint="eastAsia" w:ascii="宋体" w:hAnsi="宋体" w:cs="宋体"/>
          <w:sz w:val="28"/>
          <w:szCs w:val="28"/>
        </w:rPr>
        <w:t>电气装置的外露可导电部分，应与保护导体可靠连接；</w:t>
      </w:r>
    </w:p>
    <w:p>
      <w:pPr>
        <w:spacing w:line="360" w:lineRule="auto"/>
        <w:ind w:firstLine="562" w:firstLineChars="200"/>
        <w:jc w:val="left"/>
        <w:rPr>
          <w:rFonts w:ascii="宋体" w:hAnsi="宋体" w:cs="宋体"/>
          <w:sz w:val="28"/>
          <w:szCs w:val="28"/>
        </w:rPr>
      </w:pPr>
      <w:r>
        <w:rPr>
          <w:rFonts w:hint="eastAsia" w:ascii="宋体" w:hAnsi="宋体" w:cs="宋体"/>
          <w:b/>
          <w:bCs/>
          <w:sz w:val="28"/>
          <w:szCs w:val="28"/>
        </w:rPr>
        <w:t>3</w:t>
      </w:r>
      <w:r>
        <w:rPr>
          <w:rFonts w:hint="eastAsia" w:ascii="宋体" w:hAnsi="宋体" w:cs="宋体"/>
          <w:sz w:val="28"/>
          <w:szCs w:val="28"/>
        </w:rPr>
        <w:t>配电线路间接接触防护的上下级保护电器的动作特性之间应具有选择性；</w:t>
      </w:r>
    </w:p>
    <w:p>
      <w:pPr>
        <w:spacing w:line="360" w:lineRule="auto"/>
        <w:ind w:firstLine="562" w:firstLineChars="200"/>
        <w:jc w:val="left"/>
        <w:rPr>
          <w:rFonts w:ascii="宋体" w:hAnsi="宋体" w:cs="宋体"/>
          <w:sz w:val="28"/>
          <w:szCs w:val="28"/>
        </w:rPr>
      </w:pPr>
      <w:r>
        <w:rPr>
          <w:rFonts w:hint="eastAsia" w:ascii="宋体" w:hAnsi="宋体" w:cs="宋体"/>
          <w:b/>
          <w:bCs/>
          <w:sz w:val="28"/>
          <w:szCs w:val="28"/>
        </w:rPr>
        <w:t>4</w:t>
      </w:r>
      <w:r>
        <w:rPr>
          <w:rFonts w:hint="eastAsia" w:ascii="宋体" w:hAnsi="宋体" w:cs="宋体"/>
          <w:sz w:val="28"/>
          <w:szCs w:val="28"/>
        </w:rPr>
        <w:t>在使用Ⅰ类设备且预期接触电压限值为50V的潮湿、室外或水下场所,配电间接接触防护应采用剩余电流动作保护器；</w:t>
      </w:r>
    </w:p>
    <w:p>
      <w:pPr>
        <w:spacing w:line="360" w:lineRule="auto"/>
        <w:ind w:firstLine="562" w:firstLineChars="200"/>
        <w:jc w:val="left"/>
        <w:rPr>
          <w:rFonts w:ascii="宋体" w:hAnsi="宋体" w:cs="宋体"/>
          <w:sz w:val="28"/>
          <w:szCs w:val="28"/>
        </w:rPr>
      </w:pPr>
      <w:r>
        <w:rPr>
          <w:rFonts w:hint="eastAsia" w:ascii="宋体" w:hAnsi="宋体" w:cs="宋体"/>
          <w:b/>
          <w:bCs/>
          <w:sz w:val="28"/>
          <w:szCs w:val="28"/>
        </w:rPr>
        <w:t xml:space="preserve">5 </w:t>
      </w:r>
      <w:r>
        <w:rPr>
          <w:rFonts w:hint="eastAsia" w:ascii="宋体" w:hAnsi="宋体" w:cs="宋体"/>
          <w:sz w:val="28"/>
          <w:szCs w:val="28"/>
        </w:rPr>
        <w:t>配电线路应进行短路保护灵敏度校验。当短路保护电器为断路器时，被保护线路末端的短路电流不应小于断路器瞬时（或短延时）过电流脱扣器整定电流的1.3倍；</w:t>
      </w:r>
    </w:p>
    <w:p>
      <w:pPr>
        <w:spacing w:line="360" w:lineRule="auto"/>
        <w:ind w:firstLine="562" w:firstLineChars="200"/>
        <w:jc w:val="left"/>
        <w:rPr>
          <w:rFonts w:ascii="宋体" w:hAnsi="宋体" w:cs="宋体"/>
          <w:sz w:val="28"/>
          <w:szCs w:val="28"/>
        </w:rPr>
      </w:pPr>
      <w:r>
        <w:rPr>
          <w:rFonts w:hint="eastAsia" w:ascii="宋体" w:hAnsi="宋体" w:cs="宋体"/>
          <w:b/>
          <w:bCs/>
          <w:sz w:val="28"/>
          <w:szCs w:val="28"/>
        </w:rPr>
        <w:t xml:space="preserve">6 </w:t>
      </w:r>
      <w:r>
        <w:rPr>
          <w:rFonts w:hint="eastAsia" w:ascii="宋体" w:hAnsi="宋体" w:cs="宋体"/>
          <w:sz w:val="28"/>
          <w:szCs w:val="28"/>
        </w:rPr>
        <w:t>室外配电箱底边距地高度不得低于500mm，或采取可靠的防水浸措施；</w:t>
      </w:r>
    </w:p>
    <w:p>
      <w:pPr>
        <w:spacing w:line="360" w:lineRule="auto"/>
        <w:ind w:firstLine="562" w:firstLineChars="200"/>
        <w:jc w:val="left"/>
        <w:rPr>
          <w:rFonts w:ascii="宋体" w:hAnsi="宋体" w:cs="宋体"/>
          <w:sz w:val="28"/>
          <w:szCs w:val="28"/>
        </w:rPr>
      </w:pPr>
      <w:r>
        <w:rPr>
          <w:rFonts w:hint="eastAsia" w:ascii="宋体" w:hAnsi="宋体" w:cs="宋体"/>
          <w:b/>
          <w:bCs/>
          <w:sz w:val="28"/>
          <w:szCs w:val="28"/>
        </w:rPr>
        <w:t>7</w:t>
      </w:r>
      <w:r>
        <w:rPr>
          <w:rFonts w:hint="eastAsia" w:ascii="宋体" w:hAnsi="宋体" w:cs="宋体"/>
          <w:sz w:val="28"/>
          <w:szCs w:val="28"/>
        </w:rPr>
        <w:t xml:space="preserve"> 作为重点文物保护的建筑物、具有爆炸危险场所的建筑物、高层或超高层建筑、首层周围有人员逗留的多层建筑，防雷接闪器应采用明敷。</w:t>
      </w:r>
    </w:p>
    <w:p>
      <w:pPr>
        <w:adjustRightInd w:val="0"/>
        <w:spacing w:line="360" w:lineRule="auto"/>
        <w:jc w:val="left"/>
        <w:rPr>
          <w:rFonts w:ascii="微软雅黑" w:hAnsi="微软雅黑" w:eastAsia="微软雅黑" w:cs="微软雅黑"/>
          <w:sz w:val="28"/>
          <w:szCs w:val="28"/>
        </w:rPr>
      </w:pPr>
      <w:r>
        <w:rPr>
          <w:rFonts w:hint="eastAsia" w:ascii="微软雅黑" w:hAnsi="微软雅黑" w:eastAsia="微软雅黑" w:cs="微软雅黑"/>
          <w:bCs/>
          <w:sz w:val="28"/>
          <w:szCs w:val="28"/>
        </w:rPr>
        <w:t>【条文说明】</w:t>
      </w:r>
      <w:r>
        <w:rPr>
          <w:rFonts w:hint="eastAsia" w:ascii="微软雅黑" w:hAnsi="微软雅黑" w:eastAsia="微软雅黑" w:cs="微软雅黑"/>
          <w:b/>
          <w:bCs/>
          <w:sz w:val="28"/>
          <w:szCs w:val="28"/>
        </w:rPr>
        <w:t>5.4.8</w:t>
      </w:r>
      <w:r>
        <w:rPr>
          <w:rFonts w:hint="eastAsia" w:ascii="微软雅黑" w:hAnsi="微软雅黑" w:eastAsia="微软雅黑" w:cs="微软雅黑"/>
          <w:sz w:val="28"/>
          <w:szCs w:val="28"/>
        </w:rPr>
        <w:t>本条均是日常电气设计人员容易忽略、但悠关建筑电气安全的十分重要的内容，故作特别强调。</w:t>
      </w:r>
    </w:p>
    <w:p>
      <w:pPr>
        <w:spacing w:line="360" w:lineRule="auto"/>
        <w:jc w:val="left"/>
        <w:outlineLvl w:val="3"/>
        <w:rPr>
          <w:rFonts w:ascii="宋体" w:hAnsi="宋体" w:cs="宋体"/>
          <w:sz w:val="28"/>
          <w:szCs w:val="28"/>
          <w:shd w:val="clear" w:color="auto" w:fill="FFFFFF"/>
        </w:rPr>
      </w:pPr>
      <w:r>
        <w:rPr>
          <w:rFonts w:hint="eastAsia" w:ascii="宋体" w:hAnsi="宋体" w:cs="宋体"/>
          <w:b/>
          <w:bCs/>
          <w:sz w:val="28"/>
          <w:szCs w:val="28"/>
        </w:rPr>
        <w:t xml:space="preserve">5.4.9 </w:t>
      </w:r>
      <w:r>
        <w:rPr>
          <w:rFonts w:hint="eastAsia" w:ascii="宋体" w:hAnsi="宋体" w:cs="宋体"/>
          <w:sz w:val="28"/>
          <w:szCs w:val="28"/>
        </w:rPr>
        <w:t>建筑燃气设计，应符合下列规定：</w:t>
      </w:r>
    </w:p>
    <w:p>
      <w:pPr>
        <w:spacing w:line="360" w:lineRule="auto"/>
        <w:ind w:left="718" w:leftChars="208" w:hanging="281" w:hangingChars="100"/>
        <w:jc w:val="left"/>
        <w:outlineLvl w:val="3"/>
        <w:rPr>
          <w:rFonts w:ascii="宋体" w:hAnsi="宋体" w:cs="宋体"/>
          <w:sz w:val="28"/>
          <w:szCs w:val="28"/>
          <w:shd w:val="clear" w:color="auto" w:fill="FFFFFF"/>
        </w:rPr>
      </w:pPr>
      <w:r>
        <w:rPr>
          <w:rFonts w:hint="eastAsia" w:ascii="宋体" w:hAnsi="宋体" w:cs="宋体"/>
          <w:b/>
          <w:bCs/>
          <w:sz w:val="28"/>
          <w:szCs w:val="28"/>
          <w:shd w:val="clear" w:color="auto" w:fill="FFFFFF"/>
        </w:rPr>
        <w:t>1</w:t>
      </w:r>
      <w:r>
        <w:rPr>
          <w:rFonts w:hint="eastAsia" w:ascii="宋体" w:hAnsi="宋体" w:cs="宋体"/>
          <w:sz w:val="28"/>
          <w:szCs w:val="28"/>
          <w:shd w:val="clear" w:color="auto" w:fill="FFFFFF"/>
        </w:rPr>
        <w:t>居住建筑燃具应采用金属软管接驳；</w:t>
      </w:r>
    </w:p>
    <w:p>
      <w:pPr>
        <w:spacing w:line="360" w:lineRule="auto"/>
        <w:ind w:left="-181" w:leftChars="-86" w:firstLine="621" w:firstLineChars="221"/>
        <w:jc w:val="left"/>
        <w:outlineLvl w:val="3"/>
        <w:rPr>
          <w:rFonts w:ascii="宋体" w:hAnsi="宋体" w:cs="宋体"/>
          <w:sz w:val="28"/>
          <w:szCs w:val="28"/>
          <w:shd w:val="clear" w:color="auto" w:fill="FFFFFF"/>
        </w:rPr>
      </w:pPr>
      <w:r>
        <w:rPr>
          <w:rFonts w:hint="eastAsia" w:ascii="宋体" w:hAnsi="宋体" w:cs="宋体"/>
          <w:b/>
          <w:bCs/>
          <w:sz w:val="28"/>
          <w:szCs w:val="28"/>
          <w:shd w:val="clear" w:color="auto" w:fill="FFFFFF"/>
        </w:rPr>
        <w:t>2</w:t>
      </w:r>
      <w:r>
        <w:rPr>
          <w:rFonts w:hint="eastAsia" w:ascii="宋体" w:hAnsi="宋体" w:cs="宋体"/>
          <w:sz w:val="28"/>
          <w:szCs w:val="28"/>
          <w:shd w:val="clear" w:color="auto" w:fill="FFFFFF"/>
        </w:rPr>
        <w:t>商业和公共建筑用户使用的气瓶组严禁与燃具布置在同一房间内；</w:t>
      </w:r>
    </w:p>
    <w:p>
      <w:pPr>
        <w:spacing w:line="360" w:lineRule="auto"/>
        <w:ind w:left="-181" w:leftChars="-86" w:firstLine="621" w:firstLineChars="221"/>
        <w:jc w:val="left"/>
        <w:outlineLvl w:val="3"/>
        <w:rPr>
          <w:rFonts w:ascii="宋体" w:hAnsi="宋体" w:cs="宋体"/>
          <w:sz w:val="28"/>
          <w:szCs w:val="28"/>
          <w:shd w:val="clear" w:color="auto" w:fill="FFFFFF"/>
        </w:rPr>
      </w:pPr>
      <w:r>
        <w:rPr>
          <w:rFonts w:hint="eastAsia" w:ascii="宋体" w:hAnsi="宋体" w:cs="宋体"/>
          <w:b/>
          <w:bCs/>
          <w:sz w:val="28"/>
          <w:szCs w:val="28"/>
          <w:shd w:val="clear" w:color="auto" w:fill="FFFFFF"/>
        </w:rPr>
        <w:t xml:space="preserve">3 </w:t>
      </w:r>
      <w:r>
        <w:rPr>
          <w:rFonts w:hint="eastAsia" w:ascii="宋体" w:hAnsi="宋体" w:cs="宋体"/>
          <w:sz w:val="28"/>
          <w:szCs w:val="28"/>
          <w:shd w:val="clear" w:color="auto" w:fill="FFFFFF"/>
        </w:rPr>
        <w:t>燃具设置在地下室、半地下室和地上无自然通风房间等场所时，应设置机械通风设施和独立的事故排风设施；</w:t>
      </w:r>
    </w:p>
    <w:p>
      <w:pPr>
        <w:spacing w:line="360" w:lineRule="auto"/>
        <w:ind w:left="718" w:leftChars="208" w:hanging="281" w:hangingChars="100"/>
        <w:jc w:val="left"/>
        <w:outlineLvl w:val="3"/>
        <w:rPr>
          <w:rFonts w:ascii="宋体" w:hAnsi="宋体" w:cs="宋体"/>
          <w:sz w:val="28"/>
          <w:szCs w:val="28"/>
          <w:shd w:val="clear" w:color="auto" w:fill="FFFFFF"/>
        </w:rPr>
      </w:pPr>
      <w:r>
        <w:rPr>
          <w:rFonts w:hint="eastAsia" w:ascii="宋体" w:hAnsi="宋体" w:cs="宋体"/>
          <w:b/>
          <w:bCs/>
          <w:sz w:val="28"/>
          <w:szCs w:val="28"/>
          <w:shd w:val="clear" w:color="auto" w:fill="FFFFFF"/>
        </w:rPr>
        <w:t xml:space="preserve">4 </w:t>
      </w:r>
      <w:r>
        <w:rPr>
          <w:rFonts w:hint="eastAsia" w:ascii="宋体" w:hAnsi="宋体" w:cs="宋体"/>
          <w:sz w:val="28"/>
          <w:szCs w:val="28"/>
          <w:shd w:val="clear" w:color="auto" w:fill="FFFFFF"/>
        </w:rPr>
        <w:t>燃气管道和阀门严禁设置在居室或卫生间内；</w:t>
      </w:r>
    </w:p>
    <w:p>
      <w:pPr>
        <w:spacing w:line="360" w:lineRule="auto"/>
        <w:ind w:left="718" w:leftChars="208" w:hanging="281" w:hangingChars="100"/>
        <w:jc w:val="left"/>
        <w:outlineLvl w:val="3"/>
        <w:rPr>
          <w:rFonts w:ascii="微软雅黑" w:hAnsi="微软雅黑" w:eastAsia="微软雅黑" w:cs="微软雅黑"/>
          <w:sz w:val="22"/>
          <w:szCs w:val="22"/>
          <w:shd w:val="clear" w:color="auto" w:fill="FFFFFF"/>
        </w:rPr>
      </w:pPr>
      <w:r>
        <w:rPr>
          <w:rFonts w:hint="eastAsia" w:ascii="宋体" w:hAnsi="宋体" w:cs="宋体"/>
          <w:b/>
          <w:bCs/>
          <w:sz w:val="28"/>
          <w:szCs w:val="28"/>
          <w:shd w:val="clear" w:color="auto" w:fill="FFFFFF"/>
        </w:rPr>
        <w:t>5</w:t>
      </w:r>
      <w:r>
        <w:rPr>
          <w:rFonts w:hint="eastAsia" w:ascii="宋体" w:hAnsi="宋体" w:cs="宋体"/>
          <w:sz w:val="28"/>
          <w:szCs w:val="28"/>
          <w:shd w:val="clear" w:color="auto" w:fill="FFFFFF"/>
        </w:rPr>
        <w:t>燃气管道竖井的底部和顶部应直接与大气相通。</w:t>
      </w:r>
      <w:bookmarkEnd w:id="64"/>
    </w:p>
    <w:p>
      <w:pPr>
        <w:spacing w:line="360" w:lineRule="auto"/>
        <w:outlineLvl w:val="1"/>
        <w:rPr>
          <w:b/>
          <w:bCs/>
          <w:sz w:val="32"/>
          <w:szCs w:val="32"/>
        </w:rPr>
      </w:pPr>
      <w:r>
        <w:rPr>
          <w:rFonts w:hint="eastAsia"/>
        </w:rPr>
        <w:t xml:space="preserve">                       </w:t>
      </w:r>
      <w:r>
        <w:rPr>
          <w:rFonts w:hint="eastAsia"/>
          <w:b/>
          <w:bCs/>
          <w:sz w:val="32"/>
          <w:szCs w:val="32"/>
        </w:rPr>
        <w:t xml:space="preserve"> </w:t>
      </w:r>
      <w:bookmarkStart w:id="65" w:name="_Toc4951"/>
      <w:r>
        <w:rPr>
          <w:rFonts w:hint="eastAsia"/>
          <w:b/>
          <w:bCs/>
          <w:sz w:val="32"/>
          <w:szCs w:val="32"/>
        </w:rPr>
        <w:t>5.5 装配式建筑设计</w:t>
      </w:r>
      <w:bookmarkEnd w:id="65"/>
    </w:p>
    <w:p>
      <w:pPr>
        <w:widowControl/>
        <w:spacing w:line="360" w:lineRule="auto"/>
        <w:jc w:val="left"/>
        <w:rPr>
          <w:rFonts w:ascii="宋体" w:hAnsi="宋体" w:cs="宋体"/>
          <w:b/>
          <w:bCs/>
          <w:kern w:val="0"/>
          <w:sz w:val="28"/>
          <w:szCs w:val="28"/>
        </w:rPr>
      </w:pPr>
      <w:r>
        <w:rPr>
          <w:rFonts w:hint="eastAsia" w:ascii="宋体" w:hAnsi="宋体" w:cs="宋体"/>
          <w:b/>
          <w:bCs/>
          <w:kern w:val="0"/>
          <w:sz w:val="28"/>
          <w:szCs w:val="28"/>
        </w:rPr>
        <w:t xml:space="preserve">5.5.1 </w:t>
      </w:r>
      <w:r>
        <w:rPr>
          <w:rFonts w:hint="eastAsia" w:ascii="宋体" w:hAnsi="宋体" w:cs="宋体"/>
          <w:bCs/>
          <w:kern w:val="0"/>
          <w:sz w:val="28"/>
          <w:szCs w:val="28"/>
        </w:rPr>
        <w:t>装配式建筑应</w:t>
      </w:r>
      <w:r>
        <w:rPr>
          <w:rFonts w:hint="eastAsia" w:ascii="宋体" w:hAnsi="宋体" w:cs="宋体"/>
          <w:kern w:val="0"/>
          <w:sz w:val="28"/>
          <w:szCs w:val="28"/>
        </w:rPr>
        <w:t>采用BIM技术设计，应</w:t>
      </w:r>
      <w:r>
        <w:rPr>
          <w:rFonts w:hint="eastAsia" w:ascii="宋体" w:hAnsi="宋体" w:cs="宋体"/>
          <w:bCs/>
          <w:kern w:val="0"/>
          <w:sz w:val="28"/>
          <w:szCs w:val="28"/>
        </w:rPr>
        <w:t>遵循建筑全寿命期的可持续性原则，实施标准化设计、工厂化生产、装配化施工、一体化装修、信息化管理和智能化应用。</w:t>
      </w:r>
    </w:p>
    <w:p>
      <w:pPr>
        <w:spacing w:line="360" w:lineRule="auto"/>
        <w:jc w:val="left"/>
        <w:rPr>
          <w:rFonts w:ascii="微软雅黑" w:hAnsi="微软雅黑" w:eastAsia="微软雅黑" w:cs="微软雅黑"/>
          <w:kern w:val="0"/>
          <w:sz w:val="28"/>
          <w:szCs w:val="28"/>
        </w:rPr>
      </w:pPr>
      <w:r>
        <w:rPr>
          <w:rFonts w:hint="eastAsia" w:ascii="微软雅黑" w:hAnsi="微软雅黑" w:eastAsia="微软雅黑" w:cs="微软雅黑"/>
          <w:bCs/>
          <w:kern w:val="0"/>
          <w:sz w:val="28"/>
          <w:szCs w:val="28"/>
        </w:rPr>
        <w:t>【条文说明】</w:t>
      </w:r>
      <w:r>
        <w:rPr>
          <w:rFonts w:hint="eastAsia" w:ascii="微软雅黑" w:hAnsi="微软雅黑" w:eastAsia="微软雅黑" w:cs="微软雅黑"/>
          <w:b/>
          <w:bCs/>
          <w:kern w:val="0"/>
          <w:sz w:val="28"/>
          <w:szCs w:val="28"/>
        </w:rPr>
        <w:t xml:space="preserve">5.5.1 </w:t>
      </w:r>
      <w:r>
        <w:rPr>
          <w:rFonts w:hint="eastAsia" w:ascii="微软雅黑" w:hAnsi="微软雅黑" w:eastAsia="微软雅黑" w:cs="微软雅黑"/>
          <w:kern w:val="0"/>
          <w:sz w:val="28"/>
          <w:szCs w:val="28"/>
        </w:rPr>
        <w:t>装配式建筑采用BIM技术，可以有效解决项目中方案优化、信息协同、节点分析、施工建造和运维管理等问题，故在深圳市装配式建筑评价规则中，也提出设计阶段必须采用BIM技术。</w:t>
      </w:r>
    </w:p>
    <w:p>
      <w:pPr>
        <w:widowControl/>
        <w:spacing w:line="360" w:lineRule="auto"/>
        <w:jc w:val="left"/>
        <w:rPr>
          <w:rFonts w:ascii="宋体" w:hAnsi="宋体" w:cs="宋体"/>
          <w:bCs/>
          <w:kern w:val="0"/>
          <w:sz w:val="28"/>
          <w:szCs w:val="28"/>
        </w:rPr>
      </w:pPr>
      <w:r>
        <w:rPr>
          <w:rFonts w:hint="eastAsia" w:ascii="宋体" w:hAnsi="宋体" w:cs="宋体"/>
          <w:b/>
          <w:bCs/>
          <w:kern w:val="0"/>
          <w:sz w:val="28"/>
          <w:szCs w:val="28"/>
        </w:rPr>
        <w:t xml:space="preserve">5.5.2 </w:t>
      </w:r>
      <w:r>
        <w:rPr>
          <w:rFonts w:hint="eastAsia" w:ascii="宋体" w:hAnsi="宋体" w:cs="宋体"/>
          <w:bCs/>
          <w:kern w:val="0"/>
          <w:sz w:val="28"/>
          <w:szCs w:val="28"/>
        </w:rPr>
        <w:t>装配式建筑应合理确定外围护系统的使用年限。居住建筑外围护系统的设计使用年限应与主体结构相协调。</w:t>
      </w:r>
    </w:p>
    <w:p>
      <w:pPr>
        <w:spacing w:line="360" w:lineRule="auto"/>
        <w:jc w:val="left"/>
        <w:rPr>
          <w:rFonts w:ascii="微软雅黑" w:hAnsi="微软雅黑" w:eastAsia="微软雅黑" w:cs="微软雅黑"/>
          <w:bCs/>
          <w:kern w:val="0"/>
          <w:sz w:val="28"/>
          <w:szCs w:val="28"/>
        </w:rPr>
      </w:pPr>
      <w:r>
        <w:rPr>
          <w:rFonts w:hint="eastAsia" w:ascii="微软雅黑" w:hAnsi="微软雅黑" w:eastAsia="微软雅黑" w:cs="微软雅黑"/>
          <w:bCs/>
          <w:kern w:val="0"/>
          <w:sz w:val="28"/>
          <w:szCs w:val="28"/>
        </w:rPr>
        <w:t xml:space="preserve">【条文说明】 </w:t>
      </w:r>
      <w:r>
        <w:rPr>
          <w:rFonts w:hint="eastAsia" w:ascii="微软雅黑" w:hAnsi="微软雅黑" w:eastAsia="微软雅黑" w:cs="微软雅黑"/>
          <w:b/>
          <w:bCs/>
          <w:kern w:val="0"/>
          <w:sz w:val="28"/>
          <w:szCs w:val="28"/>
        </w:rPr>
        <w:t>5.5.2</w:t>
      </w:r>
      <w:r>
        <w:rPr>
          <w:rFonts w:hint="eastAsia" w:ascii="微软雅黑" w:hAnsi="微软雅黑" w:eastAsia="微软雅黑" w:cs="微软雅黑"/>
          <w:kern w:val="0"/>
          <w:sz w:val="28"/>
          <w:szCs w:val="28"/>
        </w:rPr>
        <w:t>外围护系统使用年限是建筑用户普遍关注的问题，故本条针对本市重点区域提出稍高于普通区域的设计标准。</w:t>
      </w:r>
    </w:p>
    <w:p>
      <w:pPr>
        <w:spacing w:line="360" w:lineRule="auto"/>
        <w:rPr>
          <w:rFonts w:ascii="宋体" w:hAnsi="宋体" w:cs="宋体"/>
          <w:b/>
          <w:bCs/>
          <w:kern w:val="0"/>
          <w:sz w:val="28"/>
          <w:szCs w:val="28"/>
        </w:rPr>
      </w:pPr>
      <w:r>
        <w:rPr>
          <w:rFonts w:hint="eastAsia" w:ascii="宋体" w:hAnsi="宋体" w:cs="宋体"/>
          <w:b/>
          <w:bCs/>
          <w:kern w:val="0"/>
          <w:sz w:val="28"/>
          <w:szCs w:val="28"/>
        </w:rPr>
        <w:t xml:space="preserve">5.5.3 </w:t>
      </w:r>
      <w:r>
        <w:rPr>
          <w:rFonts w:hint="eastAsia" w:ascii="宋体" w:hAnsi="宋体" w:cs="宋体"/>
          <w:kern w:val="0"/>
          <w:sz w:val="28"/>
          <w:szCs w:val="28"/>
        </w:rPr>
        <w:t>建筑专业设计，应符合下列规定：</w:t>
      </w:r>
    </w:p>
    <w:p>
      <w:pPr>
        <w:widowControl/>
        <w:spacing w:line="360" w:lineRule="auto"/>
        <w:ind w:firstLine="562" w:firstLineChars="200"/>
        <w:jc w:val="left"/>
        <w:rPr>
          <w:rFonts w:ascii="宋体" w:hAnsi="宋体" w:cs="宋体"/>
          <w:kern w:val="0"/>
          <w:sz w:val="28"/>
          <w:szCs w:val="28"/>
        </w:rPr>
      </w:pPr>
      <w:r>
        <w:rPr>
          <w:rFonts w:hint="eastAsia" w:ascii="宋体" w:hAnsi="宋体" w:cs="宋体"/>
          <w:b/>
          <w:bCs/>
          <w:kern w:val="0"/>
          <w:sz w:val="28"/>
          <w:szCs w:val="28"/>
        </w:rPr>
        <w:t>1</w:t>
      </w:r>
      <w:r>
        <w:rPr>
          <w:rFonts w:hint="eastAsia" w:ascii="宋体" w:hAnsi="宋体" w:cs="宋体"/>
          <w:kern w:val="0"/>
          <w:sz w:val="28"/>
          <w:szCs w:val="28"/>
        </w:rPr>
        <w:t>应按照通用化、模数化、标准化的要求，遵循少规格、多组合的原则；</w:t>
      </w:r>
    </w:p>
    <w:p>
      <w:pPr>
        <w:widowControl/>
        <w:spacing w:line="360" w:lineRule="auto"/>
        <w:ind w:firstLine="562" w:firstLineChars="200"/>
        <w:jc w:val="left"/>
        <w:rPr>
          <w:rFonts w:ascii="宋体" w:hAnsi="宋体" w:cs="宋体"/>
          <w:kern w:val="0"/>
          <w:sz w:val="28"/>
          <w:szCs w:val="28"/>
        </w:rPr>
      </w:pPr>
      <w:r>
        <w:rPr>
          <w:rFonts w:hint="eastAsia" w:ascii="宋体" w:hAnsi="宋体" w:cs="宋体"/>
          <w:b/>
          <w:bCs/>
          <w:kern w:val="0"/>
          <w:sz w:val="28"/>
          <w:szCs w:val="28"/>
        </w:rPr>
        <w:t>2</w:t>
      </w:r>
      <w:r>
        <w:rPr>
          <w:rFonts w:hint="eastAsia" w:ascii="宋体" w:hAnsi="宋体" w:cs="宋体"/>
          <w:kern w:val="0"/>
          <w:sz w:val="28"/>
          <w:szCs w:val="28"/>
        </w:rPr>
        <w:t>建筑平面布置尽量规整，承重构件布置应上下对齐贯通，机电设备管井尽量集中布置；</w:t>
      </w:r>
    </w:p>
    <w:p>
      <w:pPr>
        <w:widowControl/>
        <w:spacing w:line="360" w:lineRule="auto"/>
        <w:ind w:firstLine="562" w:firstLineChars="200"/>
        <w:jc w:val="left"/>
        <w:rPr>
          <w:rFonts w:ascii="宋体" w:hAnsi="宋体" w:cs="宋体"/>
          <w:kern w:val="0"/>
          <w:sz w:val="28"/>
          <w:szCs w:val="28"/>
        </w:rPr>
      </w:pPr>
      <w:r>
        <w:rPr>
          <w:rFonts w:hint="eastAsia" w:ascii="宋体" w:hAnsi="宋体" w:cs="宋体"/>
          <w:b/>
          <w:bCs/>
          <w:kern w:val="0"/>
          <w:sz w:val="28"/>
          <w:szCs w:val="28"/>
        </w:rPr>
        <w:t>3</w:t>
      </w:r>
      <w:r>
        <w:rPr>
          <w:rFonts w:hint="eastAsia" w:ascii="宋体" w:hAnsi="宋体" w:cs="宋体"/>
          <w:kern w:val="0"/>
          <w:sz w:val="28"/>
          <w:szCs w:val="28"/>
        </w:rPr>
        <w:t>部品部件尺寸及安装位置的公差协调，应合理确定；</w:t>
      </w:r>
    </w:p>
    <w:p>
      <w:pPr>
        <w:widowControl/>
        <w:spacing w:line="360" w:lineRule="auto"/>
        <w:ind w:firstLine="562" w:firstLineChars="200"/>
        <w:jc w:val="left"/>
        <w:rPr>
          <w:rFonts w:ascii="宋体" w:hAnsi="宋体" w:cs="宋体"/>
          <w:kern w:val="0"/>
          <w:sz w:val="28"/>
          <w:szCs w:val="28"/>
        </w:rPr>
      </w:pPr>
      <w:r>
        <w:rPr>
          <w:rFonts w:hint="eastAsia" w:ascii="宋体" w:hAnsi="宋体" w:cs="宋体"/>
          <w:b/>
          <w:bCs/>
          <w:kern w:val="0"/>
          <w:sz w:val="28"/>
          <w:szCs w:val="28"/>
        </w:rPr>
        <w:t>4</w:t>
      </w:r>
      <w:r>
        <w:rPr>
          <w:rFonts w:hint="eastAsia" w:ascii="宋体" w:hAnsi="宋体" w:cs="宋体"/>
          <w:kern w:val="0"/>
          <w:sz w:val="28"/>
          <w:szCs w:val="28"/>
        </w:rPr>
        <w:t>可通过建筑体量、材质肌理、色彩等变化，形成丰富多元的建筑立面效果；</w:t>
      </w:r>
    </w:p>
    <w:p>
      <w:pPr>
        <w:widowControl/>
        <w:spacing w:line="360" w:lineRule="auto"/>
        <w:ind w:firstLine="562" w:firstLineChars="200"/>
        <w:jc w:val="left"/>
        <w:rPr>
          <w:rFonts w:ascii="宋体" w:hAnsi="宋体" w:cs="宋体"/>
          <w:bCs/>
          <w:kern w:val="0"/>
          <w:sz w:val="28"/>
          <w:szCs w:val="28"/>
        </w:rPr>
      </w:pPr>
      <w:r>
        <w:rPr>
          <w:rFonts w:hint="eastAsia" w:ascii="宋体" w:hAnsi="宋体" w:cs="宋体"/>
          <w:b/>
          <w:bCs/>
          <w:kern w:val="0"/>
          <w:sz w:val="28"/>
          <w:szCs w:val="28"/>
        </w:rPr>
        <w:t>5</w:t>
      </w:r>
      <w:r>
        <w:rPr>
          <w:rFonts w:hint="eastAsia" w:ascii="宋体" w:hAnsi="宋体" w:cs="宋体"/>
          <w:kern w:val="0"/>
          <w:sz w:val="28"/>
          <w:szCs w:val="28"/>
        </w:rPr>
        <w:t>外挂墙板</w:t>
      </w:r>
      <w:r>
        <w:rPr>
          <w:rFonts w:hint="eastAsia" w:ascii="宋体" w:hAnsi="宋体" w:cs="宋体"/>
          <w:bCs/>
          <w:kern w:val="0"/>
          <w:sz w:val="28"/>
          <w:szCs w:val="28"/>
        </w:rPr>
        <w:t>宜优先采用轻质墙体材料，应满足防水、保温、防火、隔音等建筑性能的要求；其</w:t>
      </w:r>
      <w:r>
        <w:rPr>
          <w:rFonts w:hint="eastAsia" w:ascii="宋体" w:hAnsi="宋体" w:cs="宋体"/>
          <w:kern w:val="0"/>
          <w:sz w:val="28"/>
          <w:szCs w:val="28"/>
        </w:rPr>
        <w:t>防水薄弱部位，应根据使用环境和使用年限要求，选用合适的防水构造和防水材料；预制外墙接缝宽度及接缝材料应合理选定；</w:t>
      </w:r>
    </w:p>
    <w:p>
      <w:pPr>
        <w:widowControl/>
        <w:spacing w:line="360" w:lineRule="auto"/>
        <w:ind w:firstLine="562" w:firstLineChars="200"/>
        <w:jc w:val="left"/>
        <w:rPr>
          <w:rFonts w:ascii="宋体" w:hAnsi="宋体" w:cs="宋体"/>
          <w:b/>
          <w:bCs/>
          <w:kern w:val="0"/>
          <w:sz w:val="28"/>
          <w:szCs w:val="28"/>
        </w:rPr>
      </w:pPr>
      <w:r>
        <w:rPr>
          <w:rFonts w:hint="eastAsia" w:ascii="宋体" w:hAnsi="宋体" w:cs="宋体"/>
          <w:b/>
          <w:bCs/>
          <w:kern w:val="0"/>
          <w:sz w:val="28"/>
          <w:szCs w:val="28"/>
        </w:rPr>
        <w:t>6</w:t>
      </w:r>
      <w:r>
        <w:rPr>
          <w:rFonts w:hint="eastAsia" w:ascii="宋体" w:hAnsi="宋体" w:cs="宋体"/>
          <w:bCs/>
          <w:kern w:val="0"/>
          <w:sz w:val="28"/>
          <w:szCs w:val="28"/>
        </w:rPr>
        <w:t xml:space="preserve"> 应对外墙板、幕墙、外门窗、阳台板、空调板及遮阳部件等进行集成设计；</w:t>
      </w:r>
    </w:p>
    <w:p>
      <w:pPr>
        <w:widowControl/>
        <w:spacing w:line="360" w:lineRule="auto"/>
        <w:ind w:firstLine="562" w:firstLineChars="200"/>
        <w:jc w:val="left"/>
        <w:rPr>
          <w:rFonts w:ascii="宋体" w:hAnsi="宋体" w:cs="宋体"/>
          <w:kern w:val="0"/>
          <w:sz w:val="28"/>
          <w:szCs w:val="28"/>
        </w:rPr>
      </w:pPr>
      <w:r>
        <w:rPr>
          <w:rFonts w:hint="eastAsia" w:ascii="宋体" w:hAnsi="宋体" w:cs="宋体"/>
          <w:b/>
          <w:bCs/>
          <w:kern w:val="0"/>
          <w:sz w:val="28"/>
          <w:szCs w:val="28"/>
        </w:rPr>
        <w:t>7</w:t>
      </w:r>
      <w:r>
        <w:rPr>
          <w:rFonts w:hint="eastAsia" w:ascii="宋体" w:hAnsi="宋体" w:cs="宋体"/>
          <w:kern w:val="0"/>
          <w:sz w:val="28"/>
          <w:szCs w:val="28"/>
        </w:rPr>
        <w:t>外围护墙的窗户采用预装法时，窗框应在预制工厂与预制外墙板整体成型；采用后装法时，外围护墙的窗洞口应预埋附框，并设置企口构造；</w:t>
      </w:r>
    </w:p>
    <w:p>
      <w:pPr>
        <w:widowControl/>
        <w:spacing w:line="360" w:lineRule="auto"/>
        <w:ind w:firstLine="562" w:firstLineChars="200"/>
        <w:jc w:val="left"/>
        <w:rPr>
          <w:rFonts w:ascii="宋体" w:hAnsi="宋体" w:cs="宋体"/>
          <w:kern w:val="0"/>
          <w:sz w:val="28"/>
          <w:szCs w:val="28"/>
        </w:rPr>
      </w:pPr>
      <w:r>
        <w:rPr>
          <w:rFonts w:hint="eastAsia" w:ascii="宋体" w:hAnsi="宋体" w:cs="宋体"/>
          <w:b/>
          <w:bCs/>
          <w:kern w:val="0"/>
          <w:sz w:val="28"/>
          <w:szCs w:val="28"/>
        </w:rPr>
        <w:t>8</w:t>
      </w:r>
      <w:r>
        <w:rPr>
          <w:rFonts w:hint="eastAsia" w:ascii="宋体" w:hAnsi="宋体" w:cs="宋体"/>
          <w:kern w:val="0"/>
          <w:sz w:val="28"/>
          <w:szCs w:val="28"/>
        </w:rPr>
        <w:t>装配式钢结构建筑应进行隔声设计；在易形成声桥的部位，应采用柔性连接或间接连接等隔声措施；</w:t>
      </w:r>
    </w:p>
    <w:p>
      <w:pPr>
        <w:widowControl/>
        <w:spacing w:line="360" w:lineRule="auto"/>
        <w:ind w:firstLine="562" w:firstLineChars="200"/>
        <w:jc w:val="left"/>
        <w:rPr>
          <w:rFonts w:ascii="宋体" w:hAnsi="宋体" w:cs="宋体"/>
          <w:kern w:val="0"/>
          <w:sz w:val="28"/>
          <w:szCs w:val="28"/>
        </w:rPr>
      </w:pPr>
      <w:r>
        <w:rPr>
          <w:rFonts w:hint="eastAsia" w:ascii="宋体" w:hAnsi="宋体" w:cs="宋体"/>
          <w:b/>
          <w:bCs/>
          <w:kern w:val="0"/>
          <w:sz w:val="28"/>
          <w:szCs w:val="28"/>
        </w:rPr>
        <w:t>9</w:t>
      </w:r>
      <w:r>
        <w:rPr>
          <w:rFonts w:hint="eastAsia" w:ascii="宋体" w:hAnsi="宋体" w:cs="宋体"/>
          <w:kern w:val="0"/>
          <w:sz w:val="28"/>
          <w:szCs w:val="28"/>
        </w:rPr>
        <w:t>钢构件应进行防腐蚀和防火设计，其防护年限应与主体结构相适应或明确维护年限。</w:t>
      </w:r>
    </w:p>
    <w:p>
      <w:pPr>
        <w:spacing w:line="360" w:lineRule="auto"/>
        <w:rPr>
          <w:rFonts w:ascii="微软雅黑" w:hAnsi="微软雅黑" w:eastAsia="微软雅黑" w:cs="微软雅黑"/>
          <w:kern w:val="0"/>
          <w:sz w:val="28"/>
          <w:szCs w:val="28"/>
        </w:rPr>
      </w:pPr>
      <w:r>
        <w:rPr>
          <w:rFonts w:hint="eastAsia" w:ascii="微软雅黑" w:hAnsi="微软雅黑" w:eastAsia="微软雅黑" w:cs="微软雅黑"/>
          <w:bCs/>
          <w:kern w:val="0"/>
          <w:sz w:val="28"/>
          <w:szCs w:val="28"/>
        </w:rPr>
        <w:t>【条文说明】</w:t>
      </w:r>
      <w:r>
        <w:rPr>
          <w:rFonts w:hint="eastAsia" w:ascii="微软雅黑" w:hAnsi="微软雅黑" w:eastAsia="微软雅黑" w:cs="微软雅黑"/>
          <w:b/>
          <w:bCs/>
          <w:kern w:val="0"/>
          <w:sz w:val="28"/>
          <w:szCs w:val="28"/>
        </w:rPr>
        <w:t xml:space="preserve">5.5.3 </w:t>
      </w:r>
      <w:r>
        <w:rPr>
          <w:rFonts w:hint="eastAsia" w:ascii="微软雅黑" w:hAnsi="微软雅黑" w:eastAsia="微软雅黑" w:cs="微软雅黑"/>
          <w:kern w:val="0"/>
          <w:sz w:val="28"/>
          <w:szCs w:val="28"/>
        </w:rPr>
        <w:t>第4款 装配式建筑应在尽量标准化的基础上，通过多组合手段设计出较为丰富的建筑立面效果。</w:t>
      </w:r>
    </w:p>
    <w:p>
      <w:pPr>
        <w:spacing w:line="360" w:lineRule="auto"/>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 xml:space="preserve">    第5款 外挂墙板作为外框架体系非常适宜的一种建筑外围护体系，其建筑性能的有效控制应成为设计和施工的关注重点。</w:t>
      </w:r>
    </w:p>
    <w:p>
      <w:pPr>
        <w:spacing w:line="360" w:lineRule="auto"/>
        <w:ind w:firstLine="280" w:firstLineChars="100"/>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第7款 预制外墙作为建筑外围护结构，其防水、防火、密闭等建筑性能，与接缝构造、缝宽度和建筑密封胶质量等要素均密切相关。外墙窗渗漏水长期都是建筑业界较难解决的一个质量通病。而近些年装配式建筑项目实践发现，采用合理的预制工艺和内外高低企口构造，可以有效解决外墙窗渗漏问题。故本条针对重点区域提出稍高于普通区域的设计标准。此外，本条构造做法不但适用于预制外墙，其企口构造做法也适用于现浇外墙。</w:t>
      </w:r>
    </w:p>
    <w:p>
      <w:pPr>
        <w:spacing w:line="360" w:lineRule="auto"/>
        <w:ind w:firstLine="560" w:firstLineChars="200"/>
        <w:rPr>
          <w:rFonts w:ascii="宋体" w:hAnsi="宋体" w:cs="宋体"/>
          <w:kern w:val="0"/>
          <w:sz w:val="28"/>
          <w:szCs w:val="28"/>
        </w:rPr>
      </w:pPr>
      <w:r>
        <w:rPr>
          <w:rFonts w:hint="eastAsia" w:ascii="微软雅黑" w:hAnsi="微软雅黑" w:eastAsia="微软雅黑" w:cs="微软雅黑"/>
          <w:kern w:val="0"/>
          <w:sz w:val="28"/>
          <w:szCs w:val="28"/>
        </w:rPr>
        <w:t>第8款 钢结构建筑除常规注意防火和防腐蚀等问题外，其隔声更需特别关注。本条针对重点区域提出稍高于普通区域的设计标准，要求对于易形成声桥的部位应采取有效处理方案。</w:t>
      </w:r>
    </w:p>
    <w:p>
      <w:pPr>
        <w:pStyle w:val="77"/>
        <w:widowControl/>
        <w:spacing w:line="360" w:lineRule="auto"/>
        <w:ind w:firstLine="0" w:firstLineChars="0"/>
        <w:jc w:val="left"/>
        <w:rPr>
          <w:rFonts w:cs="宋体" w:asciiTheme="minorEastAsia" w:hAnsiTheme="minorEastAsia" w:eastAsiaTheme="minorEastAsia"/>
          <w:bCs/>
          <w:sz w:val="28"/>
          <w:szCs w:val="28"/>
        </w:rPr>
      </w:pPr>
      <w:r>
        <w:rPr>
          <w:rFonts w:hint="eastAsia" w:cs="宋体" w:asciiTheme="minorEastAsia" w:hAnsiTheme="minorEastAsia" w:eastAsiaTheme="minorEastAsia"/>
          <w:b/>
          <w:sz w:val="28"/>
          <w:szCs w:val="28"/>
        </w:rPr>
        <w:t>5.5.4</w:t>
      </w:r>
      <w:r>
        <w:rPr>
          <w:rFonts w:hint="eastAsia" w:cs="宋体" w:asciiTheme="minorEastAsia" w:hAnsiTheme="minorEastAsia" w:eastAsiaTheme="minorEastAsia"/>
          <w:bCs/>
          <w:sz w:val="28"/>
          <w:szCs w:val="28"/>
        </w:rPr>
        <w:t xml:space="preserve"> 装配整体式混凝土结构建筑适用的最大高度，应符合现行广东省《装配式混凝土建筑结构技术规程》DBJ 15-107；装配式钢结构建筑适用的最大高度，应符合现行《装配式钢结构建筑技术标准》GB/T 51232。 </w:t>
      </w:r>
    </w:p>
    <w:p>
      <w:pPr>
        <w:pStyle w:val="77"/>
        <w:widowControl/>
        <w:spacing w:line="360" w:lineRule="auto"/>
        <w:ind w:firstLine="0" w:firstLineChars="0"/>
        <w:jc w:val="left"/>
        <w:rPr>
          <w:rFonts w:cs="宋体" w:asciiTheme="minorEastAsia" w:hAnsiTheme="minorEastAsia" w:eastAsiaTheme="minorEastAsia"/>
          <w:bCs/>
          <w:color w:val="FF0000"/>
          <w:sz w:val="28"/>
          <w:szCs w:val="28"/>
        </w:rPr>
      </w:pPr>
      <w:r>
        <w:rPr>
          <w:rFonts w:hint="eastAsia" w:cs="宋体" w:asciiTheme="minorEastAsia" w:hAnsiTheme="minorEastAsia" w:eastAsiaTheme="minorEastAsia"/>
          <w:b/>
          <w:sz w:val="28"/>
          <w:szCs w:val="28"/>
        </w:rPr>
        <w:t>5.5.5</w:t>
      </w:r>
      <w:r>
        <w:rPr>
          <w:rFonts w:hint="eastAsia" w:cs="宋体" w:asciiTheme="minorEastAsia" w:hAnsiTheme="minorEastAsia" w:eastAsiaTheme="minorEastAsia"/>
          <w:bCs/>
          <w:sz w:val="28"/>
          <w:szCs w:val="28"/>
        </w:rPr>
        <w:t xml:space="preserve"> 装配式建筑超过本导则第5.5.4条适用最大高度的，其主体结构竖向受力构件不应采用预制混凝土构件。</w:t>
      </w:r>
    </w:p>
    <w:p>
      <w:pPr>
        <w:pStyle w:val="77"/>
        <w:widowControl/>
        <w:spacing w:line="360" w:lineRule="auto"/>
        <w:ind w:firstLine="0" w:firstLineChars="0"/>
        <w:jc w:val="left"/>
        <w:rPr>
          <w:rFonts w:cs="宋体" w:asciiTheme="minorEastAsia" w:hAnsiTheme="minorEastAsia" w:eastAsiaTheme="minorEastAsia"/>
          <w:bCs/>
          <w:sz w:val="28"/>
          <w:szCs w:val="28"/>
        </w:rPr>
      </w:pPr>
      <w:r>
        <w:rPr>
          <w:rFonts w:hint="eastAsia" w:cs="宋体" w:asciiTheme="minorEastAsia" w:hAnsiTheme="minorEastAsia" w:eastAsiaTheme="minorEastAsia"/>
          <w:b/>
          <w:sz w:val="28"/>
          <w:szCs w:val="28"/>
        </w:rPr>
        <w:t>5.5.6</w:t>
      </w:r>
      <w:r>
        <w:rPr>
          <w:rFonts w:hint="eastAsia" w:cs="宋体" w:asciiTheme="minorEastAsia" w:hAnsiTheme="minorEastAsia" w:eastAsiaTheme="minorEastAsia"/>
          <w:bCs/>
          <w:sz w:val="28"/>
          <w:szCs w:val="28"/>
        </w:rPr>
        <w:t>高层建筑装配整体式混凝土结构应符合下列规定：</w:t>
      </w:r>
    </w:p>
    <w:p>
      <w:pPr>
        <w:pStyle w:val="77"/>
        <w:widowControl/>
        <w:spacing w:line="360" w:lineRule="auto"/>
        <w:ind w:firstLine="550" w:firstLineChars="196"/>
        <w:jc w:val="left"/>
        <w:rPr>
          <w:rFonts w:cs="宋体" w:asciiTheme="minorEastAsia" w:hAnsiTheme="minorEastAsia" w:eastAsiaTheme="minorEastAsia"/>
          <w:bCs/>
          <w:sz w:val="28"/>
          <w:szCs w:val="28"/>
        </w:rPr>
      </w:pPr>
      <w:r>
        <w:rPr>
          <w:rFonts w:hint="eastAsia" w:cs="宋体" w:asciiTheme="minorEastAsia" w:hAnsiTheme="minorEastAsia" w:eastAsiaTheme="minorEastAsia"/>
          <w:b/>
          <w:sz w:val="28"/>
          <w:szCs w:val="28"/>
        </w:rPr>
        <w:t xml:space="preserve">1 </w:t>
      </w:r>
      <w:r>
        <w:rPr>
          <w:rFonts w:hint="eastAsia" w:cs="宋体" w:asciiTheme="minorEastAsia" w:hAnsiTheme="minorEastAsia" w:eastAsiaTheme="minorEastAsia"/>
          <w:bCs/>
          <w:sz w:val="28"/>
          <w:szCs w:val="28"/>
        </w:rPr>
        <w:t>结构转换层、作为上部结构嵌固部位的楼层应采用现浇楼盖，屋面层和平面受力复杂的楼层宜采用现浇楼盖；</w:t>
      </w:r>
    </w:p>
    <w:p>
      <w:pPr>
        <w:pStyle w:val="77"/>
        <w:widowControl/>
        <w:spacing w:line="360" w:lineRule="auto"/>
        <w:ind w:firstLine="550" w:firstLineChars="196"/>
        <w:jc w:val="left"/>
        <w:rPr>
          <w:rFonts w:cs="宋体" w:asciiTheme="minorEastAsia" w:hAnsiTheme="minorEastAsia" w:eastAsiaTheme="minorEastAsia"/>
          <w:bCs/>
          <w:sz w:val="28"/>
          <w:szCs w:val="28"/>
        </w:rPr>
      </w:pPr>
      <w:r>
        <w:rPr>
          <w:rFonts w:hint="eastAsia" w:cs="宋体" w:asciiTheme="minorEastAsia" w:hAnsiTheme="minorEastAsia" w:eastAsiaTheme="minorEastAsia"/>
          <w:b/>
          <w:sz w:val="28"/>
          <w:szCs w:val="28"/>
        </w:rPr>
        <w:t xml:space="preserve">2 </w:t>
      </w:r>
      <w:r>
        <w:rPr>
          <w:rFonts w:hint="eastAsia" w:cs="宋体" w:asciiTheme="minorEastAsia" w:hAnsiTheme="minorEastAsia" w:eastAsiaTheme="minorEastAsia"/>
          <w:bCs/>
          <w:sz w:val="28"/>
          <w:szCs w:val="28"/>
        </w:rPr>
        <w:t>剪力墙结构和部分框支剪力墙结构底部加强部位宜采用现浇混凝土；</w:t>
      </w:r>
    </w:p>
    <w:p>
      <w:pPr>
        <w:pStyle w:val="77"/>
        <w:widowControl/>
        <w:spacing w:line="360" w:lineRule="auto"/>
        <w:ind w:firstLine="550" w:firstLineChars="196"/>
        <w:jc w:val="left"/>
        <w:rPr>
          <w:rFonts w:cs="宋体" w:asciiTheme="minorEastAsia" w:hAnsiTheme="minorEastAsia" w:eastAsiaTheme="minorEastAsia"/>
          <w:bCs/>
          <w:sz w:val="28"/>
          <w:szCs w:val="28"/>
        </w:rPr>
      </w:pPr>
      <w:r>
        <w:rPr>
          <w:rFonts w:hint="eastAsia" w:cs="宋体" w:asciiTheme="minorEastAsia" w:hAnsiTheme="minorEastAsia" w:eastAsiaTheme="minorEastAsia"/>
          <w:b/>
          <w:sz w:val="28"/>
          <w:szCs w:val="28"/>
        </w:rPr>
        <w:t xml:space="preserve">3 </w:t>
      </w:r>
      <w:r>
        <w:rPr>
          <w:rFonts w:hint="eastAsia" w:cs="宋体" w:asciiTheme="minorEastAsia" w:hAnsiTheme="minorEastAsia" w:eastAsiaTheme="minorEastAsia"/>
          <w:bCs/>
          <w:sz w:val="28"/>
          <w:szCs w:val="28"/>
        </w:rPr>
        <w:t>框架结构的首层柱宜采用现浇混凝土；</w:t>
      </w:r>
    </w:p>
    <w:p>
      <w:pPr>
        <w:pStyle w:val="77"/>
        <w:widowControl/>
        <w:spacing w:line="360" w:lineRule="auto"/>
        <w:ind w:firstLine="550" w:firstLineChars="196"/>
        <w:jc w:val="left"/>
        <w:rPr>
          <w:rFonts w:cs="宋体" w:asciiTheme="minorEastAsia" w:hAnsiTheme="minorEastAsia" w:eastAsiaTheme="minorEastAsia"/>
          <w:bCs/>
          <w:sz w:val="28"/>
          <w:szCs w:val="28"/>
        </w:rPr>
      </w:pPr>
      <w:r>
        <w:rPr>
          <w:rFonts w:hint="eastAsia" w:cs="宋体" w:asciiTheme="minorEastAsia" w:hAnsiTheme="minorEastAsia" w:eastAsiaTheme="minorEastAsia"/>
          <w:b/>
          <w:sz w:val="28"/>
          <w:szCs w:val="28"/>
        </w:rPr>
        <w:t xml:space="preserve">4 </w:t>
      </w:r>
      <w:r>
        <w:rPr>
          <w:rFonts w:hint="eastAsia" w:cs="宋体" w:asciiTheme="minorEastAsia" w:hAnsiTheme="minorEastAsia" w:eastAsiaTheme="minorEastAsia"/>
          <w:bCs/>
          <w:sz w:val="28"/>
          <w:szCs w:val="28"/>
        </w:rPr>
        <w:t>当底部加强部位的剪力墙、框架结构的首层柱采用预制混凝土时，应采取可靠技术措施；</w:t>
      </w:r>
    </w:p>
    <w:p>
      <w:pPr>
        <w:pStyle w:val="77"/>
        <w:widowControl/>
        <w:spacing w:line="360" w:lineRule="auto"/>
        <w:ind w:firstLine="550" w:firstLineChars="196"/>
        <w:jc w:val="left"/>
        <w:rPr>
          <w:rFonts w:cs="宋体" w:asciiTheme="minorEastAsia" w:hAnsiTheme="minorEastAsia" w:eastAsiaTheme="minorEastAsia"/>
          <w:bCs/>
          <w:sz w:val="28"/>
          <w:szCs w:val="28"/>
        </w:rPr>
      </w:pPr>
      <w:r>
        <w:rPr>
          <w:rFonts w:hint="eastAsia" w:cs="宋体" w:asciiTheme="minorEastAsia" w:hAnsiTheme="minorEastAsia" w:eastAsiaTheme="minorEastAsia"/>
          <w:b/>
          <w:sz w:val="28"/>
          <w:szCs w:val="28"/>
        </w:rPr>
        <w:t xml:space="preserve">5 </w:t>
      </w:r>
      <w:r>
        <w:rPr>
          <w:rFonts w:hint="eastAsia" w:cs="宋体" w:asciiTheme="minorEastAsia" w:hAnsiTheme="minorEastAsia" w:eastAsiaTheme="minorEastAsia"/>
          <w:bCs/>
          <w:sz w:val="28"/>
          <w:szCs w:val="28"/>
        </w:rPr>
        <w:t>混凝土构件外表面无抹灰层时，钢筋的混凝土保护层厚度不应小于20mm。</w:t>
      </w:r>
    </w:p>
    <w:p>
      <w:pPr>
        <w:spacing w:line="360" w:lineRule="auto"/>
        <w:rPr>
          <w:rFonts w:ascii="微软雅黑" w:hAnsi="微软雅黑" w:eastAsia="微软雅黑" w:cs="微软雅黑"/>
          <w:kern w:val="0"/>
          <w:sz w:val="28"/>
          <w:szCs w:val="28"/>
        </w:rPr>
      </w:pPr>
      <w:r>
        <w:rPr>
          <w:rFonts w:hint="eastAsia" w:ascii="微软雅黑" w:hAnsi="微软雅黑" w:eastAsia="微软雅黑" w:cs="微软雅黑"/>
          <w:bCs/>
          <w:kern w:val="0"/>
          <w:sz w:val="28"/>
          <w:szCs w:val="28"/>
        </w:rPr>
        <w:t>【条文说明】</w:t>
      </w:r>
      <w:r>
        <w:rPr>
          <w:rFonts w:hint="eastAsia" w:ascii="微软雅黑" w:hAnsi="微软雅黑" w:eastAsia="微软雅黑" w:cs="微软雅黑"/>
          <w:b/>
          <w:sz w:val="28"/>
          <w:szCs w:val="28"/>
        </w:rPr>
        <w:t xml:space="preserve">5.5.6 </w:t>
      </w:r>
      <w:r>
        <w:rPr>
          <w:rFonts w:hint="eastAsia" w:ascii="微软雅黑" w:hAnsi="微软雅黑" w:eastAsia="微软雅黑" w:cs="微软雅黑"/>
          <w:kern w:val="0"/>
          <w:sz w:val="28"/>
          <w:szCs w:val="28"/>
        </w:rPr>
        <w:t>鉴于目前相关理论和技术发展水平，装配式建筑关键部位仍应采用现浇结构。在装配式建筑结构设计时，应选择合适部位进行预制。</w:t>
      </w:r>
    </w:p>
    <w:p>
      <w:pPr>
        <w:spacing w:line="360" w:lineRule="auto"/>
        <w:ind w:firstLine="560" w:firstLineChars="200"/>
        <w:rPr>
          <w:rFonts w:cs="宋体" w:asciiTheme="minorEastAsia" w:hAnsiTheme="minorEastAsia" w:eastAsiaTheme="minorEastAsia"/>
          <w:bCs/>
          <w:sz w:val="28"/>
          <w:szCs w:val="28"/>
        </w:rPr>
      </w:pPr>
      <w:r>
        <w:rPr>
          <w:rFonts w:hint="eastAsia" w:ascii="微软雅黑" w:hAnsi="微软雅黑" w:eastAsia="微软雅黑" w:cs="微软雅黑"/>
          <w:kern w:val="0"/>
          <w:sz w:val="28"/>
          <w:szCs w:val="28"/>
        </w:rPr>
        <w:t>第5款 装配式建筑由于施工精度较高，一般情况下会取消抹灰构造；而为保证结构正常使用年限（大多建筑为50年），本条要求钢筋保护层不小于20mm，系针对重点区域提出稍高于普通区域的设计标准。</w:t>
      </w:r>
    </w:p>
    <w:p>
      <w:pPr>
        <w:pStyle w:val="77"/>
        <w:widowControl/>
        <w:spacing w:line="360" w:lineRule="auto"/>
        <w:ind w:firstLine="0" w:firstLineChars="0"/>
        <w:jc w:val="left"/>
        <w:rPr>
          <w:rFonts w:cs="宋体" w:asciiTheme="minorEastAsia" w:hAnsiTheme="minorEastAsia" w:eastAsiaTheme="minorEastAsia"/>
          <w:bCs/>
          <w:sz w:val="28"/>
          <w:szCs w:val="28"/>
        </w:rPr>
      </w:pPr>
      <w:r>
        <w:rPr>
          <w:rFonts w:hint="eastAsia" w:cs="宋体" w:asciiTheme="minorEastAsia" w:hAnsiTheme="minorEastAsia" w:eastAsiaTheme="minorEastAsia"/>
          <w:b/>
          <w:sz w:val="28"/>
          <w:szCs w:val="28"/>
        </w:rPr>
        <w:t xml:space="preserve">5.5.7 </w:t>
      </w:r>
      <w:r>
        <w:rPr>
          <w:rFonts w:hint="eastAsia" w:cs="宋体" w:asciiTheme="minorEastAsia" w:hAnsiTheme="minorEastAsia" w:eastAsiaTheme="minorEastAsia"/>
          <w:bCs/>
          <w:sz w:val="28"/>
          <w:szCs w:val="28"/>
        </w:rPr>
        <w:t>带转换层的装配整体式结构应符合下列规定：</w:t>
      </w:r>
    </w:p>
    <w:p>
      <w:pPr>
        <w:pStyle w:val="77"/>
        <w:widowControl/>
        <w:spacing w:line="360" w:lineRule="auto"/>
        <w:ind w:firstLine="550" w:firstLineChars="196"/>
        <w:jc w:val="left"/>
        <w:rPr>
          <w:rFonts w:cs="宋体" w:asciiTheme="minorEastAsia" w:hAnsiTheme="minorEastAsia" w:eastAsiaTheme="minorEastAsia"/>
          <w:bCs/>
          <w:sz w:val="28"/>
          <w:szCs w:val="28"/>
        </w:rPr>
      </w:pPr>
      <w:r>
        <w:rPr>
          <w:rFonts w:hint="eastAsia" w:cs="宋体" w:asciiTheme="minorEastAsia" w:hAnsiTheme="minorEastAsia" w:eastAsiaTheme="minorEastAsia"/>
          <w:b/>
          <w:sz w:val="28"/>
          <w:szCs w:val="28"/>
        </w:rPr>
        <w:t>1</w:t>
      </w:r>
      <w:r>
        <w:rPr>
          <w:rFonts w:hint="eastAsia" w:cs="宋体" w:asciiTheme="minorEastAsia" w:hAnsiTheme="minorEastAsia" w:eastAsiaTheme="minorEastAsia"/>
          <w:bCs/>
          <w:sz w:val="28"/>
          <w:szCs w:val="28"/>
        </w:rPr>
        <w:t xml:space="preserve"> 当采用部分框支剪力墙结构时，底部框支层不宜超过2层，且框支层及相邻上一层应采用现浇结构；</w:t>
      </w:r>
    </w:p>
    <w:p>
      <w:pPr>
        <w:pStyle w:val="77"/>
        <w:widowControl/>
        <w:spacing w:line="360" w:lineRule="auto"/>
        <w:ind w:firstLine="550" w:firstLineChars="196"/>
        <w:jc w:val="left"/>
        <w:rPr>
          <w:rFonts w:cs="宋体" w:asciiTheme="minorEastAsia" w:hAnsiTheme="minorEastAsia" w:eastAsiaTheme="minorEastAsia"/>
          <w:bCs/>
          <w:sz w:val="28"/>
          <w:szCs w:val="28"/>
        </w:rPr>
      </w:pPr>
      <w:r>
        <w:rPr>
          <w:rFonts w:hint="eastAsia" w:cs="宋体" w:asciiTheme="minorEastAsia" w:hAnsiTheme="minorEastAsia" w:eastAsiaTheme="minorEastAsia"/>
          <w:b/>
          <w:sz w:val="28"/>
          <w:szCs w:val="28"/>
        </w:rPr>
        <w:t>2</w:t>
      </w:r>
      <w:r>
        <w:rPr>
          <w:rFonts w:hint="eastAsia" w:cs="宋体" w:asciiTheme="minorEastAsia" w:hAnsiTheme="minorEastAsia" w:eastAsiaTheme="minorEastAsia"/>
          <w:bCs/>
          <w:sz w:val="28"/>
          <w:szCs w:val="28"/>
        </w:rPr>
        <w:t xml:space="preserve"> 部分框支剪力墙以外的结构中，转换梁、转换柱宜现浇。</w:t>
      </w:r>
    </w:p>
    <w:p>
      <w:pPr>
        <w:spacing w:line="360" w:lineRule="auto"/>
        <w:rPr>
          <w:rFonts w:ascii="微软雅黑" w:hAnsi="微软雅黑" w:eastAsia="微软雅黑" w:cs="微软雅黑"/>
          <w:b/>
          <w:sz w:val="28"/>
          <w:szCs w:val="28"/>
        </w:rPr>
      </w:pPr>
      <w:r>
        <w:rPr>
          <w:rFonts w:hint="eastAsia" w:ascii="微软雅黑" w:hAnsi="微软雅黑" w:eastAsia="微软雅黑" w:cs="微软雅黑"/>
          <w:bCs/>
          <w:kern w:val="0"/>
          <w:sz w:val="28"/>
          <w:szCs w:val="28"/>
        </w:rPr>
        <w:t xml:space="preserve">【条文说明】 </w:t>
      </w:r>
      <w:r>
        <w:rPr>
          <w:rFonts w:hint="eastAsia" w:ascii="微软雅黑" w:hAnsi="微软雅黑" w:eastAsia="微软雅黑" w:cs="微软雅黑"/>
          <w:b/>
          <w:sz w:val="28"/>
          <w:szCs w:val="28"/>
        </w:rPr>
        <w:t xml:space="preserve">5.5.7 </w:t>
      </w:r>
      <w:r>
        <w:rPr>
          <w:rFonts w:hint="eastAsia" w:ascii="微软雅黑" w:hAnsi="微软雅黑" w:eastAsia="微软雅黑" w:cs="微软雅黑"/>
          <w:kern w:val="0"/>
          <w:sz w:val="28"/>
          <w:szCs w:val="28"/>
        </w:rPr>
        <w:t>装配式建筑中，带转换层的结构体系的受力复杂部位，一般应采取现浇结构。</w:t>
      </w:r>
    </w:p>
    <w:p>
      <w:pPr>
        <w:pStyle w:val="77"/>
        <w:widowControl/>
        <w:spacing w:line="360" w:lineRule="auto"/>
        <w:ind w:firstLine="0" w:firstLineChars="0"/>
        <w:jc w:val="left"/>
        <w:rPr>
          <w:rFonts w:cs="宋体" w:asciiTheme="minorEastAsia" w:hAnsiTheme="minorEastAsia" w:eastAsiaTheme="minorEastAsia"/>
          <w:bCs/>
          <w:sz w:val="28"/>
          <w:szCs w:val="28"/>
        </w:rPr>
      </w:pPr>
      <w:r>
        <w:rPr>
          <w:rFonts w:hint="eastAsia" w:cs="宋体" w:asciiTheme="minorEastAsia" w:hAnsiTheme="minorEastAsia" w:eastAsiaTheme="minorEastAsia"/>
          <w:b/>
          <w:sz w:val="28"/>
          <w:szCs w:val="28"/>
        </w:rPr>
        <w:t>5.5.8</w:t>
      </w:r>
      <w:r>
        <w:rPr>
          <w:rFonts w:hint="eastAsia" w:cs="宋体" w:asciiTheme="minorEastAsia" w:hAnsiTheme="minorEastAsia" w:eastAsiaTheme="minorEastAsia"/>
          <w:bCs/>
          <w:sz w:val="28"/>
          <w:szCs w:val="28"/>
        </w:rPr>
        <w:t xml:space="preserve"> 纵向钢筋采用套筒灌浆连接时，除应符合现行《钢筋套筒灌浆连接应用技术规程》JGJ 355规定外，尚应符合下列规定： </w:t>
      </w:r>
    </w:p>
    <w:p>
      <w:pPr>
        <w:pStyle w:val="77"/>
        <w:widowControl/>
        <w:spacing w:line="360" w:lineRule="auto"/>
        <w:ind w:firstLine="550" w:firstLineChars="196"/>
        <w:jc w:val="left"/>
        <w:rPr>
          <w:rFonts w:cs="宋体" w:asciiTheme="minorEastAsia" w:hAnsiTheme="minorEastAsia" w:eastAsiaTheme="minorEastAsia"/>
          <w:bCs/>
          <w:sz w:val="28"/>
          <w:szCs w:val="28"/>
        </w:rPr>
      </w:pPr>
      <w:r>
        <w:rPr>
          <w:rFonts w:hint="eastAsia" w:cs="宋体" w:asciiTheme="minorEastAsia" w:hAnsiTheme="minorEastAsia" w:eastAsiaTheme="minorEastAsia"/>
          <w:b/>
          <w:sz w:val="28"/>
          <w:szCs w:val="28"/>
        </w:rPr>
        <w:t xml:space="preserve">1 </w:t>
      </w:r>
      <w:r>
        <w:rPr>
          <w:rFonts w:hint="eastAsia" w:cs="宋体" w:asciiTheme="minorEastAsia" w:hAnsiTheme="minorEastAsia" w:eastAsiaTheme="minorEastAsia"/>
          <w:bCs/>
          <w:sz w:val="28"/>
          <w:szCs w:val="28"/>
        </w:rPr>
        <w:t>接头应满足现行《钢筋机械连接技术规程》JGJ107中I级接头的性能要求，并应符合国家有关标准的规定；</w:t>
      </w:r>
    </w:p>
    <w:p>
      <w:pPr>
        <w:pStyle w:val="77"/>
        <w:widowControl/>
        <w:spacing w:line="360" w:lineRule="auto"/>
        <w:ind w:firstLine="550" w:firstLineChars="196"/>
        <w:jc w:val="left"/>
        <w:rPr>
          <w:rFonts w:cs="宋体" w:asciiTheme="minorEastAsia" w:hAnsiTheme="minorEastAsia" w:eastAsiaTheme="minorEastAsia"/>
          <w:bCs/>
          <w:sz w:val="28"/>
          <w:szCs w:val="28"/>
        </w:rPr>
      </w:pPr>
      <w:r>
        <w:rPr>
          <w:rFonts w:hint="eastAsia" w:cs="宋体" w:asciiTheme="minorEastAsia" w:hAnsiTheme="minorEastAsia" w:eastAsiaTheme="minorEastAsia"/>
          <w:b/>
          <w:sz w:val="28"/>
          <w:szCs w:val="28"/>
        </w:rPr>
        <w:t>2</w:t>
      </w:r>
      <w:r>
        <w:rPr>
          <w:rFonts w:hint="eastAsia" w:cs="宋体" w:asciiTheme="minorEastAsia" w:hAnsiTheme="minorEastAsia" w:eastAsiaTheme="minorEastAsia"/>
          <w:bCs/>
          <w:sz w:val="28"/>
          <w:szCs w:val="28"/>
        </w:rPr>
        <w:t xml:space="preserve"> 灌浆套筒长度范围内，预制混凝土柱箍筋的混凝土保护层厚度不应小于20mm，预制混凝土墙最外层钢筋的混凝土保护层厚度不应小于15mm；</w:t>
      </w:r>
    </w:p>
    <w:p>
      <w:pPr>
        <w:pStyle w:val="77"/>
        <w:widowControl/>
        <w:spacing w:line="360" w:lineRule="auto"/>
        <w:ind w:firstLine="550" w:firstLineChars="196"/>
        <w:jc w:val="left"/>
        <w:rPr>
          <w:rFonts w:cs="宋体" w:asciiTheme="minorEastAsia" w:hAnsiTheme="minorEastAsia" w:eastAsiaTheme="minorEastAsia"/>
          <w:bCs/>
          <w:sz w:val="28"/>
          <w:szCs w:val="28"/>
        </w:rPr>
      </w:pPr>
      <w:r>
        <w:rPr>
          <w:rFonts w:hint="eastAsia" w:cs="宋体" w:asciiTheme="minorEastAsia" w:hAnsiTheme="minorEastAsia" w:eastAsiaTheme="minorEastAsia"/>
          <w:b/>
          <w:sz w:val="28"/>
          <w:szCs w:val="28"/>
        </w:rPr>
        <w:t xml:space="preserve">3 </w:t>
      </w:r>
      <w:r>
        <w:rPr>
          <w:rFonts w:hint="eastAsia" w:cs="宋体" w:asciiTheme="minorEastAsia" w:hAnsiTheme="minorEastAsia" w:eastAsiaTheme="minorEastAsia"/>
          <w:bCs/>
          <w:sz w:val="28"/>
          <w:szCs w:val="28"/>
        </w:rPr>
        <w:t>套筒之间净距不应小于25mm。</w:t>
      </w:r>
    </w:p>
    <w:p>
      <w:pPr>
        <w:spacing w:line="360" w:lineRule="auto"/>
        <w:rPr>
          <w:rFonts w:ascii="微软雅黑" w:hAnsi="微软雅黑" w:eastAsia="微软雅黑" w:cs="微软雅黑"/>
          <w:bCs/>
          <w:sz w:val="28"/>
          <w:szCs w:val="28"/>
        </w:rPr>
      </w:pPr>
      <w:r>
        <w:rPr>
          <w:rFonts w:hint="eastAsia" w:ascii="微软雅黑" w:hAnsi="微软雅黑" w:eastAsia="微软雅黑" w:cs="微软雅黑"/>
          <w:bCs/>
          <w:kern w:val="0"/>
          <w:sz w:val="28"/>
          <w:szCs w:val="28"/>
        </w:rPr>
        <w:t xml:space="preserve">【条文说明】 </w:t>
      </w:r>
      <w:r>
        <w:rPr>
          <w:rFonts w:hint="eastAsia" w:ascii="微软雅黑" w:hAnsi="微软雅黑" w:eastAsia="微软雅黑" w:cs="微软雅黑"/>
          <w:b/>
          <w:sz w:val="28"/>
          <w:szCs w:val="28"/>
        </w:rPr>
        <w:t>5.5.8</w:t>
      </w:r>
      <w:r>
        <w:rPr>
          <w:rFonts w:hint="eastAsia" w:ascii="微软雅黑" w:hAnsi="微软雅黑" w:eastAsia="微软雅黑" w:cs="微软雅黑"/>
          <w:bCs/>
          <w:sz w:val="28"/>
          <w:szCs w:val="28"/>
        </w:rPr>
        <w:t xml:space="preserve"> </w:t>
      </w:r>
      <w:r>
        <w:rPr>
          <w:rFonts w:hint="eastAsia" w:ascii="微软雅黑" w:hAnsi="微软雅黑" w:eastAsia="微软雅黑" w:cs="微软雅黑"/>
          <w:kern w:val="0"/>
          <w:sz w:val="28"/>
          <w:szCs w:val="28"/>
        </w:rPr>
        <w:t>灌浆套筒连接是现阶段装配式建筑竖向构件钢筋的主要连接方式，故本条对其构造和性能均提出细化技术要求。</w:t>
      </w:r>
    </w:p>
    <w:p>
      <w:pPr>
        <w:pStyle w:val="77"/>
        <w:widowControl/>
        <w:spacing w:line="360" w:lineRule="auto"/>
        <w:ind w:firstLine="0" w:firstLineChars="0"/>
        <w:jc w:val="left"/>
        <w:rPr>
          <w:rFonts w:cs="宋体" w:asciiTheme="minorEastAsia" w:hAnsiTheme="minorEastAsia" w:eastAsiaTheme="minorEastAsia"/>
          <w:bCs/>
          <w:sz w:val="28"/>
          <w:szCs w:val="28"/>
        </w:rPr>
      </w:pPr>
      <w:r>
        <w:rPr>
          <w:rFonts w:hint="eastAsia" w:cs="宋体" w:asciiTheme="minorEastAsia" w:hAnsiTheme="minorEastAsia" w:eastAsiaTheme="minorEastAsia"/>
          <w:b/>
          <w:sz w:val="28"/>
          <w:szCs w:val="28"/>
        </w:rPr>
        <w:t>5.5.9</w:t>
      </w:r>
      <w:r>
        <w:rPr>
          <w:rFonts w:hint="eastAsia" w:cs="宋体" w:asciiTheme="minorEastAsia" w:hAnsiTheme="minorEastAsia" w:eastAsiaTheme="minorEastAsia"/>
          <w:bCs/>
          <w:sz w:val="28"/>
          <w:szCs w:val="28"/>
        </w:rPr>
        <w:t xml:space="preserve"> 预制构件与后浇混凝土、灌浆料、坐浆材料的结合面，应符合下列规定：</w:t>
      </w:r>
    </w:p>
    <w:p>
      <w:pPr>
        <w:pStyle w:val="77"/>
        <w:widowControl/>
        <w:spacing w:line="360" w:lineRule="auto"/>
        <w:ind w:firstLine="550" w:firstLineChars="196"/>
        <w:jc w:val="left"/>
        <w:rPr>
          <w:rFonts w:cs="宋体" w:asciiTheme="minorEastAsia" w:hAnsiTheme="minorEastAsia" w:eastAsiaTheme="minorEastAsia"/>
          <w:bCs/>
          <w:sz w:val="28"/>
          <w:szCs w:val="28"/>
        </w:rPr>
      </w:pPr>
      <w:r>
        <w:rPr>
          <w:rFonts w:hint="eastAsia" w:cs="宋体" w:asciiTheme="minorEastAsia" w:hAnsiTheme="minorEastAsia" w:eastAsiaTheme="minorEastAsia"/>
          <w:b/>
          <w:sz w:val="28"/>
          <w:szCs w:val="28"/>
        </w:rPr>
        <w:t>1</w:t>
      </w:r>
      <w:r>
        <w:rPr>
          <w:rFonts w:hint="eastAsia" w:cs="宋体" w:asciiTheme="minorEastAsia" w:hAnsiTheme="minorEastAsia" w:eastAsiaTheme="minorEastAsia"/>
          <w:bCs/>
          <w:sz w:val="28"/>
          <w:szCs w:val="28"/>
        </w:rPr>
        <w:t xml:space="preserve"> 预制板与后浇混凝土叠合层之间的结合面，应设置粗糙面；</w:t>
      </w:r>
    </w:p>
    <w:p>
      <w:pPr>
        <w:pStyle w:val="77"/>
        <w:widowControl/>
        <w:spacing w:line="360" w:lineRule="auto"/>
        <w:ind w:firstLine="550" w:firstLineChars="196"/>
        <w:jc w:val="left"/>
        <w:rPr>
          <w:rFonts w:cs="宋体" w:asciiTheme="minorEastAsia" w:hAnsiTheme="minorEastAsia" w:eastAsiaTheme="minorEastAsia"/>
          <w:bCs/>
          <w:sz w:val="28"/>
          <w:szCs w:val="28"/>
        </w:rPr>
      </w:pPr>
      <w:r>
        <w:rPr>
          <w:rFonts w:hint="eastAsia" w:cs="宋体" w:asciiTheme="minorEastAsia" w:hAnsiTheme="minorEastAsia" w:eastAsiaTheme="minorEastAsia"/>
          <w:b/>
          <w:sz w:val="28"/>
          <w:szCs w:val="28"/>
        </w:rPr>
        <w:t>2</w:t>
      </w:r>
      <w:r>
        <w:rPr>
          <w:rFonts w:hint="eastAsia" w:cs="宋体" w:asciiTheme="minorEastAsia" w:hAnsiTheme="minorEastAsia" w:eastAsiaTheme="minorEastAsia"/>
          <w:bCs/>
          <w:sz w:val="28"/>
          <w:szCs w:val="28"/>
        </w:rPr>
        <w:t xml:space="preserve"> 预制梁与后浇混凝土叠合层之间的结合面，应设置粗糙面。预制梁端面除应设置键槽外，且宜设置粗糙面：键槽的深度不宜小于30mm，宽度不宜小于深度的3倍且不宜大于深度的10倍； </w:t>
      </w:r>
    </w:p>
    <w:p>
      <w:pPr>
        <w:pStyle w:val="77"/>
        <w:widowControl/>
        <w:spacing w:line="360" w:lineRule="auto"/>
        <w:ind w:firstLine="550" w:firstLineChars="196"/>
        <w:jc w:val="left"/>
        <w:rPr>
          <w:rFonts w:cs="宋体" w:asciiTheme="minorEastAsia" w:hAnsiTheme="minorEastAsia" w:eastAsiaTheme="minorEastAsia"/>
          <w:bCs/>
          <w:sz w:val="28"/>
          <w:szCs w:val="28"/>
        </w:rPr>
      </w:pPr>
      <w:r>
        <w:rPr>
          <w:rFonts w:hint="eastAsia" w:cs="宋体" w:asciiTheme="minorEastAsia" w:hAnsiTheme="minorEastAsia" w:eastAsiaTheme="minorEastAsia"/>
          <w:b/>
          <w:sz w:val="28"/>
          <w:szCs w:val="28"/>
        </w:rPr>
        <w:t>3</w:t>
      </w:r>
      <w:r>
        <w:rPr>
          <w:rFonts w:hint="eastAsia" w:cs="宋体" w:asciiTheme="minorEastAsia" w:hAnsiTheme="minorEastAsia" w:eastAsiaTheme="minorEastAsia"/>
          <w:bCs/>
          <w:sz w:val="28"/>
          <w:szCs w:val="28"/>
        </w:rPr>
        <w:t xml:space="preserve"> 预制剪力墙的顶部和底部与后浇混凝土的结合面，应设置粗糙面；侧面与后浇混凝土的结合面宜设置粗糙面，也可设置键槽：键槽深度不宜小于20mm，宽度不宜小于深度的3倍且不宜大于深度的10倍；键槽端部斜面倾角不宜大于30°；</w:t>
      </w:r>
    </w:p>
    <w:p>
      <w:pPr>
        <w:pStyle w:val="77"/>
        <w:widowControl/>
        <w:spacing w:line="360" w:lineRule="auto"/>
        <w:ind w:firstLine="550" w:firstLineChars="196"/>
        <w:jc w:val="left"/>
        <w:rPr>
          <w:rFonts w:cs="宋体" w:asciiTheme="minorEastAsia" w:hAnsiTheme="minorEastAsia" w:eastAsiaTheme="minorEastAsia"/>
          <w:bCs/>
          <w:sz w:val="28"/>
          <w:szCs w:val="28"/>
        </w:rPr>
      </w:pPr>
      <w:r>
        <w:rPr>
          <w:rFonts w:hint="eastAsia" w:cs="宋体" w:asciiTheme="minorEastAsia" w:hAnsiTheme="minorEastAsia" w:eastAsiaTheme="minorEastAsia"/>
          <w:b/>
          <w:sz w:val="28"/>
          <w:szCs w:val="28"/>
        </w:rPr>
        <w:t>4</w:t>
      </w:r>
      <w:r>
        <w:rPr>
          <w:rFonts w:hint="eastAsia" w:cs="宋体" w:asciiTheme="minorEastAsia" w:hAnsiTheme="minorEastAsia" w:eastAsiaTheme="minorEastAsia"/>
          <w:bCs/>
          <w:sz w:val="28"/>
          <w:szCs w:val="28"/>
        </w:rPr>
        <w:t xml:space="preserve"> 预制柱的底部应设置键槽且宜设置粗糙面：键槽应均匀布置，键槽深度不宜小于30mm，键槽端部斜面倾角不宜大于30°。柱顶应设置粗糙面；</w:t>
      </w:r>
    </w:p>
    <w:p>
      <w:pPr>
        <w:pStyle w:val="77"/>
        <w:widowControl/>
        <w:spacing w:line="360" w:lineRule="auto"/>
        <w:ind w:firstLine="550" w:firstLineChars="196"/>
        <w:jc w:val="left"/>
        <w:rPr>
          <w:rFonts w:cs="宋体" w:asciiTheme="minorEastAsia" w:hAnsiTheme="minorEastAsia" w:eastAsiaTheme="minorEastAsia"/>
          <w:bCs/>
          <w:sz w:val="28"/>
          <w:szCs w:val="28"/>
        </w:rPr>
      </w:pPr>
      <w:r>
        <w:rPr>
          <w:rFonts w:hint="eastAsia" w:cs="宋体" w:asciiTheme="minorEastAsia" w:hAnsiTheme="minorEastAsia" w:eastAsiaTheme="minorEastAsia"/>
          <w:b/>
          <w:sz w:val="28"/>
          <w:szCs w:val="28"/>
        </w:rPr>
        <w:t>5</w:t>
      </w:r>
      <w:r>
        <w:rPr>
          <w:rFonts w:hint="eastAsia" w:cs="宋体" w:asciiTheme="minorEastAsia" w:hAnsiTheme="minorEastAsia" w:eastAsiaTheme="minorEastAsia"/>
          <w:bCs/>
          <w:sz w:val="28"/>
          <w:szCs w:val="28"/>
        </w:rPr>
        <w:t xml:space="preserve"> 粗糙面的面积不宜小于结合面的80%，预制板的粗糙面凹凸深度不应小于4mm，预制梁端、预制柱端、预制墙端的粗糙面凹凸深度不应小于6mm。</w:t>
      </w:r>
    </w:p>
    <w:p>
      <w:pPr>
        <w:spacing w:line="360" w:lineRule="auto"/>
        <w:rPr>
          <w:rFonts w:ascii="微软雅黑" w:hAnsi="微软雅黑" w:eastAsia="微软雅黑" w:cs="微软雅黑"/>
          <w:bCs/>
          <w:sz w:val="28"/>
          <w:szCs w:val="28"/>
        </w:rPr>
      </w:pPr>
      <w:r>
        <w:rPr>
          <w:rFonts w:hint="eastAsia" w:ascii="微软雅黑" w:hAnsi="微软雅黑" w:eastAsia="微软雅黑" w:cs="微软雅黑"/>
          <w:bCs/>
          <w:kern w:val="0"/>
          <w:sz w:val="28"/>
          <w:szCs w:val="28"/>
        </w:rPr>
        <w:t xml:space="preserve">【条文说明】 </w:t>
      </w:r>
      <w:r>
        <w:rPr>
          <w:rFonts w:hint="eastAsia" w:ascii="微软雅黑" w:hAnsi="微软雅黑" w:eastAsia="微软雅黑" w:cs="微软雅黑"/>
          <w:b/>
          <w:sz w:val="28"/>
          <w:szCs w:val="28"/>
        </w:rPr>
        <w:t xml:space="preserve">5.5.9 </w:t>
      </w:r>
      <w:r>
        <w:rPr>
          <w:rFonts w:hint="eastAsia" w:ascii="微软雅黑" w:hAnsi="微软雅黑" w:eastAsia="微软雅黑" w:cs="微软雅黑"/>
          <w:kern w:val="0"/>
          <w:sz w:val="28"/>
          <w:szCs w:val="28"/>
        </w:rPr>
        <w:t>装配式建筑中，结合面是保证构件能够整体受力的最关键因素，故本条要求构件设计和加工中，必须严格执行有关规定。</w:t>
      </w:r>
    </w:p>
    <w:p>
      <w:pPr>
        <w:pStyle w:val="77"/>
        <w:widowControl/>
        <w:spacing w:line="360" w:lineRule="auto"/>
        <w:ind w:firstLine="0" w:firstLineChars="0"/>
        <w:jc w:val="left"/>
        <w:rPr>
          <w:rFonts w:cs="宋体" w:asciiTheme="minorEastAsia" w:hAnsiTheme="minorEastAsia" w:eastAsiaTheme="minorEastAsia"/>
          <w:bCs/>
          <w:color w:val="FF0000"/>
          <w:sz w:val="28"/>
          <w:szCs w:val="28"/>
        </w:rPr>
      </w:pPr>
      <w:r>
        <w:rPr>
          <w:rFonts w:hint="eastAsia" w:cs="宋体" w:asciiTheme="minorEastAsia" w:hAnsiTheme="minorEastAsia" w:eastAsiaTheme="minorEastAsia"/>
          <w:b/>
          <w:sz w:val="28"/>
          <w:szCs w:val="28"/>
        </w:rPr>
        <w:t>5.5.10</w:t>
      </w:r>
      <w:r>
        <w:rPr>
          <w:rFonts w:hint="eastAsia" w:cs="宋体" w:asciiTheme="minorEastAsia" w:hAnsiTheme="minorEastAsia" w:eastAsiaTheme="minorEastAsia"/>
          <w:bCs/>
          <w:sz w:val="28"/>
          <w:szCs w:val="28"/>
        </w:rPr>
        <w:t xml:space="preserve"> 叠合板的后浇混凝土厚度，对于楼面板不宜小于80mm，对于屋面板不宜小于100mm。</w:t>
      </w:r>
    </w:p>
    <w:p>
      <w:pPr>
        <w:spacing w:line="360" w:lineRule="auto"/>
        <w:rPr>
          <w:rFonts w:ascii="微软雅黑" w:hAnsi="微软雅黑" w:eastAsia="微软雅黑" w:cs="微软雅黑"/>
          <w:bCs/>
          <w:color w:val="FF0000"/>
          <w:sz w:val="28"/>
          <w:szCs w:val="28"/>
        </w:rPr>
      </w:pPr>
      <w:r>
        <w:rPr>
          <w:rFonts w:hint="eastAsia" w:ascii="微软雅黑" w:hAnsi="微软雅黑" w:eastAsia="微软雅黑" w:cs="微软雅黑"/>
          <w:bCs/>
          <w:kern w:val="0"/>
          <w:sz w:val="28"/>
          <w:szCs w:val="28"/>
        </w:rPr>
        <w:t>【条文说明】</w:t>
      </w:r>
      <w:r>
        <w:rPr>
          <w:rFonts w:hint="eastAsia" w:ascii="微软雅黑" w:hAnsi="微软雅黑" w:eastAsia="微软雅黑" w:cs="微软雅黑"/>
          <w:b/>
          <w:sz w:val="28"/>
          <w:szCs w:val="28"/>
        </w:rPr>
        <w:t xml:space="preserve">5.5.10 </w:t>
      </w:r>
      <w:r>
        <w:rPr>
          <w:rFonts w:hint="eastAsia" w:ascii="微软雅黑" w:hAnsi="微软雅黑" w:eastAsia="微软雅黑" w:cs="微软雅黑"/>
          <w:kern w:val="0"/>
          <w:sz w:val="28"/>
          <w:szCs w:val="28"/>
        </w:rPr>
        <w:t>考虑楼面板预埋管线，若现浇厚度小于80mm，则很难保证后浇混凝土浇筑质量；对于屋面板而言，尚需考虑防水问题，故另适当加厚。本条针对重点区域提出稍严于普通区域的设计标准。</w:t>
      </w:r>
    </w:p>
    <w:p>
      <w:pPr>
        <w:pStyle w:val="77"/>
        <w:widowControl/>
        <w:spacing w:line="360" w:lineRule="auto"/>
        <w:ind w:firstLine="0" w:firstLineChars="0"/>
        <w:jc w:val="left"/>
        <w:rPr>
          <w:rFonts w:cs="宋体" w:asciiTheme="minorEastAsia" w:hAnsiTheme="minorEastAsia" w:eastAsiaTheme="minorEastAsia"/>
          <w:bCs/>
          <w:sz w:val="28"/>
          <w:szCs w:val="28"/>
        </w:rPr>
      </w:pPr>
      <w:r>
        <w:rPr>
          <w:rFonts w:hint="eastAsia" w:cs="宋体" w:asciiTheme="minorEastAsia" w:hAnsiTheme="minorEastAsia" w:eastAsiaTheme="minorEastAsia"/>
          <w:b/>
          <w:sz w:val="28"/>
          <w:szCs w:val="28"/>
        </w:rPr>
        <w:t>5.5.11</w:t>
      </w:r>
      <w:r>
        <w:rPr>
          <w:rFonts w:hint="eastAsia" w:cs="宋体" w:asciiTheme="minorEastAsia" w:hAnsiTheme="minorEastAsia" w:eastAsiaTheme="minorEastAsia"/>
          <w:bCs/>
          <w:sz w:val="28"/>
          <w:szCs w:val="28"/>
        </w:rPr>
        <w:t>当未设置桁架钢筋时，叠合板的预制板与后浇混凝土叠合层之间应设置抗剪构造钢筋。</w:t>
      </w:r>
    </w:p>
    <w:p>
      <w:pPr>
        <w:spacing w:line="360" w:lineRule="auto"/>
        <w:rPr>
          <w:rFonts w:ascii="微软雅黑" w:hAnsi="微软雅黑" w:eastAsia="微软雅黑" w:cs="微软雅黑"/>
          <w:bCs/>
          <w:sz w:val="28"/>
          <w:szCs w:val="28"/>
        </w:rPr>
      </w:pPr>
      <w:r>
        <w:rPr>
          <w:rFonts w:hint="eastAsia" w:ascii="微软雅黑" w:hAnsi="微软雅黑" w:eastAsia="微软雅黑" w:cs="微软雅黑"/>
          <w:bCs/>
          <w:kern w:val="0"/>
          <w:sz w:val="28"/>
          <w:szCs w:val="28"/>
        </w:rPr>
        <w:t>【条文说明】</w:t>
      </w:r>
      <w:r>
        <w:rPr>
          <w:rFonts w:hint="eastAsia" w:ascii="微软雅黑" w:hAnsi="微软雅黑" w:eastAsia="微软雅黑" w:cs="微软雅黑"/>
          <w:b/>
          <w:sz w:val="28"/>
          <w:szCs w:val="28"/>
        </w:rPr>
        <w:t xml:space="preserve">5.5.11 </w:t>
      </w:r>
      <w:r>
        <w:rPr>
          <w:rFonts w:hint="eastAsia" w:ascii="微软雅黑" w:hAnsi="微软雅黑" w:eastAsia="微软雅黑" w:cs="微软雅黑"/>
          <w:kern w:val="0"/>
          <w:sz w:val="28"/>
          <w:szCs w:val="28"/>
        </w:rPr>
        <w:t>叠合板的桁架钢筋对于上、下部位新旧混凝土的长期徐变，具有很好的协调作用，且可以有效提高新旧结合面抗剪作用。如果不设置桁架钢筋，则根据《</w:t>
      </w:r>
      <w:r>
        <w:fldChar w:fldCharType="begin"/>
      </w:r>
      <w:r>
        <w:instrText xml:space="preserve"> HYPERLINK "http://gf.1190119.com/list-409.htm" </w:instrText>
      </w:r>
      <w:r>
        <w:fldChar w:fldCharType="separate"/>
      </w:r>
      <w:r>
        <w:rPr>
          <w:rFonts w:hint="eastAsia" w:ascii="微软雅黑" w:hAnsi="微软雅黑" w:eastAsia="微软雅黑" w:cs="微软雅黑"/>
          <w:kern w:val="0"/>
          <w:sz w:val="28"/>
          <w:szCs w:val="28"/>
        </w:rPr>
        <w:t>装配式混凝土结构技术规程》JGJ 1-2014第6.6.8条规定：</w:t>
      </w:r>
      <w:r>
        <w:rPr>
          <w:rFonts w:hint="eastAsia" w:ascii="微软雅黑" w:hAnsi="微软雅黑" w:eastAsia="微软雅黑" w:cs="微软雅黑"/>
          <w:kern w:val="0"/>
          <w:sz w:val="28"/>
          <w:szCs w:val="28"/>
        </w:rPr>
        <w:fldChar w:fldCharType="end"/>
      </w:r>
      <w:r>
        <w:rPr>
          <w:rFonts w:hint="eastAsia" w:ascii="微软雅黑" w:hAnsi="微软雅黑" w:eastAsia="微软雅黑" w:cs="微软雅黑"/>
          <w:kern w:val="0"/>
          <w:sz w:val="28"/>
          <w:szCs w:val="28"/>
        </w:rPr>
        <w:t>“当未设置桁架钢筋时，在下列情况下，叠合板的预制板与后浇混凝土叠合层之间应设置抗剪构造钢筋：1 单向叠合板跨度大于4.0m时，距支座1／4跨范围内；2 双向叠合板短向跨度大于4.0m时，距四边支座1／4短跨范围内；3 悬挑叠合板；4 悬挑板的上部纵向受力钢筋在相邻叠合板的后浇混凝土锚固范围内”。但鉴于针对重点区域建设工程，可提出稍高于普通区域的设计标准，故本条建议，此时统一采用设置抗剪构造钢筋。</w:t>
      </w:r>
    </w:p>
    <w:p>
      <w:pPr>
        <w:pStyle w:val="77"/>
        <w:widowControl/>
        <w:spacing w:line="360" w:lineRule="auto"/>
        <w:ind w:firstLine="0" w:firstLineChars="0"/>
        <w:jc w:val="left"/>
        <w:rPr>
          <w:rFonts w:cs="宋体" w:asciiTheme="minorEastAsia" w:hAnsiTheme="minorEastAsia" w:eastAsiaTheme="minorEastAsia"/>
          <w:bCs/>
          <w:sz w:val="28"/>
          <w:szCs w:val="28"/>
        </w:rPr>
      </w:pPr>
      <w:r>
        <w:rPr>
          <w:rFonts w:hint="eastAsia" w:cs="宋体" w:asciiTheme="minorEastAsia" w:hAnsiTheme="minorEastAsia" w:eastAsiaTheme="minorEastAsia"/>
          <w:b/>
          <w:sz w:val="28"/>
          <w:szCs w:val="28"/>
        </w:rPr>
        <w:t>5.5.12</w:t>
      </w:r>
      <w:r>
        <w:rPr>
          <w:rFonts w:hint="eastAsia" w:cs="宋体" w:asciiTheme="minorEastAsia" w:hAnsiTheme="minorEastAsia" w:eastAsiaTheme="minorEastAsia"/>
          <w:bCs/>
          <w:sz w:val="28"/>
          <w:szCs w:val="28"/>
        </w:rPr>
        <w:t xml:space="preserve"> 抗震设计时，高层装配整体式剪力墙结构不应全部采用短肢剪力墙。</w:t>
      </w:r>
    </w:p>
    <w:p>
      <w:pPr>
        <w:spacing w:line="360" w:lineRule="auto"/>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【条文说明】</w:t>
      </w:r>
      <w:r>
        <w:rPr>
          <w:rFonts w:hint="eastAsia" w:ascii="微软雅黑" w:hAnsi="微软雅黑" w:eastAsia="微软雅黑" w:cs="微软雅黑"/>
          <w:b/>
          <w:bCs/>
          <w:kern w:val="0"/>
          <w:sz w:val="28"/>
          <w:szCs w:val="28"/>
        </w:rPr>
        <w:t xml:space="preserve">5.5.12 </w:t>
      </w:r>
      <w:r>
        <w:rPr>
          <w:rFonts w:hint="eastAsia" w:ascii="微软雅黑" w:hAnsi="微软雅黑" w:eastAsia="微软雅黑" w:cs="微软雅黑"/>
          <w:kern w:val="0"/>
          <w:sz w:val="28"/>
          <w:szCs w:val="28"/>
        </w:rPr>
        <w:t>鉴于短肢剪力墙受力比较复杂，当其采用预制时应慎重。</w:t>
      </w:r>
    </w:p>
    <w:p>
      <w:pPr>
        <w:pStyle w:val="77"/>
        <w:widowControl/>
        <w:spacing w:line="360" w:lineRule="auto"/>
        <w:ind w:firstLine="0" w:firstLineChars="0"/>
        <w:jc w:val="left"/>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 xml:space="preserve">5.5.13 </w:t>
      </w:r>
      <w:r>
        <w:rPr>
          <w:rFonts w:hint="eastAsia" w:cs="宋体" w:asciiTheme="minorEastAsia" w:hAnsiTheme="minorEastAsia" w:eastAsiaTheme="minorEastAsia"/>
          <w:sz w:val="28"/>
          <w:szCs w:val="28"/>
        </w:rPr>
        <w:t>预制剪力墙底部接缝宜设置在楼面标高处，并应符合下列规定：</w:t>
      </w:r>
    </w:p>
    <w:p>
      <w:pPr>
        <w:pStyle w:val="77"/>
        <w:widowControl/>
        <w:spacing w:line="360" w:lineRule="auto"/>
        <w:ind w:firstLine="550" w:firstLineChars="196"/>
        <w:jc w:val="left"/>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1</w:t>
      </w:r>
      <w:r>
        <w:rPr>
          <w:rFonts w:hint="eastAsia" w:cs="宋体" w:asciiTheme="minorEastAsia" w:hAnsiTheme="minorEastAsia" w:eastAsiaTheme="minorEastAsia"/>
          <w:sz w:val="28"/>
          <w:szCs w:val="28"/>
        </w:rPr>
        <w:t xml:space="preserve"> 接缝高度宜为20mm；</w:t>
      </w:r>
    </w:p>
    <w:p>
      <w:pPr>
        <w:pStyle w:val="77"/>
        <w:widowControl/>
        <w:spacing w:line="360" w:lineRule="auto"/>
        <w:ind w:firstLine="550" w:firstLineChars="196"/>
        <w:jc w:val="left"/>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2</w:t>
      </w:r>
      <w:r>
        <w:rPr>
          <w:rFonts w:hint="eastAsia" w:cs="宋体" w:asciiTheme="minorEastAsia" w:hAnsiTheme="minorEastAsia" w:eastAsiaTheme="minorEastAsia"/>
          <w:sz w:val="28"/>
          <w:szCs w:val="28"/>
        </w:rPr>
        <w:t xml:space="preserve"> 接缝宜采用灌浆料填实；</w:t>
      </w:r>
    </w:p>
    <w:p>
      <w:pPr>
        <w:pStyle w:val="77"/>
        <w:widowControl/>
        <w:spacing w:line="360" w:lineRule="auto"/>
        <w:ind w:firstLine="562"/>
        <w:jc w:val="left"/>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 xml:space="preserve">3 </w:t>
      </w:r>
      <w:r>
        <w:rPr>
          <w:rFonts w:hint="eastAsia" w:cs="宋体" w:asciiTheme="minorEastAsia" w:hAnsiTheme="minorEastAsia" w:eastAsiaTheme="minorEastAsia"/>
          <w:sz w:val="28"/>
          <w:szCs w:val="28"/>
        </w:rPr>
        <w:t>接缝处后浇混凝土上表面应设置粗糙面。</w:t>
      </w:r>
    </w:p>
    <w:p>
      <w:pPr>
        <w:spacing w:line="360" w:lineRule="auto"/>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【条文说明】</w:t>
      </w:r>
      <w:r>
        <w:rPr>
          <w:rFonts w:hint="eastAsia" w:ascii="微软雅黑" w:hAnsi="微软雅黑" w:eastAsia="微软雅黑" w:cs="微软雅黑"/>
          <w:b/>
          <w:bCs/>
          <w:kern w:val="0"/>
          <w:sz w:val="28"/>
          <w:szCs w:val="28"/>
        </w:rPr>
        <w:t xml:space="preserve">5.5.13 </w:t>
      </w:r>
      <w:r>
        <w:rPr>
          <w:rFonts w:hint="eastAsia" w:ascii="微软雅黑" w:hAnsi="微软雅黑" w:eastAsia="微软雅黑" w:cs="微软雅黑"/>
          <w:kern w:val="0"/>
          <w:sz w:val="28"/>
          <w:szCs w:val="28"/>
        </w:rPr>
        <w:t>第1款 预制剪力墙接缝高度对于剪力墙与楼板的连接质量影响很大，其最小和最大缝高需根据接缝砂浆性能确定。</w:t>
      </w:r>
    </w:p>
    <w:p>
      <w:pPr>
        <w:pStyle w:val="77"/>
        <w:widowControl/>
        <w:spacing w:line="360" w:lineRule="auto"/>
        <w:ind w:firstLine="0" w:firstLineChars="0"/>
        <w:jc w:val="left"/>
        <w:rPr>
          <w:rFonts w:cs="宋体" w:asciiTheme="minorEastAsia" w:hAnsiTheme="minorEastAsia" w:eastAsiaTheme="minorEastAsia"/>
          <w:bCs/>
          <w:sz w:val="28"/>
          <w:szCs w:val="28"/>
        </w:rPr>
      </w:pPr>
      <w:r>
        <w:rPr>
          <w:rFonts w:hint="eastAsia" w:cs="宋体" w:asciiTheme="minorEastAsia" w:hAnsiTheme="minorEastAsia" w:eastAsiaTheme="minorEastAsia"/>
          <w:b/>
          <w:sz w:val="28"/>
          <w:szCs w:val="28"/>
        </w:rPr>
        <w:t>5.5.14</w:t>
      </w:r>
      <w:r>
        <w:rPr>
          <w:rFonts w:hint="eastAsia" w:cs="宋体" w:asciiTheme="minorEastAsia" w:hAnsiTheme="minorEastAsia" w:eastAsiaTheme="minorEastAsia"/>
          <w:bCs/>
          <w:sz w:val="28"/>
          <w:szCs w:val="28"/>
        </w:rPr>
        <w:t xml:space="preserve"> 需要进行抗震设防专项审查的装配式建筑，其超限审查报告应包含装配式建筑结构设计专篇内容。</w:t>
      </w:r>
    </w:p>
    <w:p>
      <w:pPr>
        <w:spacing w:line="360" w:lineRule="auto"/>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【条文说明】</w:t>
      </w:r>
      <w:r>
        <w:rPr>
          <w:rFonts w:hint="eastAsia" w:ascii="微软雅黑" w:hAnsi="微软雅黑" w:eastAsia="微软雅黑" w:cs="微软雅黑"/>
          <w:b/>
          <w:bCs/>
          <w:kern w:val="0"/>
          <w:sz w:val="28"/>
          <w:szCs w:val="28"/>
        </w:rPr>
        <w:t xml:space="preserve">5.5.14 </w:t>
      </w:r>
      <w:r>
        <w:rPr>
          <w:rFonts w:hint="eastAsia" w:ascii="微软雅黑" w:hAnsi="微软雅黑" w:eastAsia="微软雅黑" w:cs="微软雅黑"/>
          <w:kern w:val="0"/>
          <w:sz w:val="28"/>
          <w:szCs w:val="28"/>
        </w:rPr>
        <w:t>装配式建筑中，预制位置的选择和预制构件的连接构造，对于主体结构的抗震性能均可能产生严重影响，故本条要求，在抗震设防专项审查中必须包含这部分结构设计、计算和分析的内容。</w:t>
      </w:r>
    </w:p>
    <w:p>
      <w:pPr>
        <w:pStyle w:val="77"/>
        <w:widowControl/>
        <w:spacing w:line="360" w:lineRule="auto"/>
        <w:ind w:firstLine="0" w:firstLineChars="0"/>
        <w:jc w:val="left"/>
      </w:pPr>
      <w:r>
        <w:rPr>
          <w:rFonts w:hint="eastAsia" w:cs="宋体" w:asciiTheme="minorEastAsia" w:hAnsiTheme="minorEastAsia" w:eastAsiaTheme="minorEastAsia"/>
          <w:b/>
          <w:sz w:val="28"/>
          <w:szCs w:val="28"/>
        </w:rPr>
        <w:t xml:space="preserve">5.5.15 </w:t>
      </w:r>
      <w:r>
        <w:rPr>
          <w:rFonts w:hint="eastAsia" w:cs="宋体" w:asciiTheme="minorEastAsia" w:hAnsiTheme="minorEastAsia" w:eastAsiaTheme="minorEastAsia"/>
          <w:sz w:val="28"/>
          <w:szCs w:val="28"/>
        </w:rPr>
        <w:t>装配式建筑机电设计，应符合下列规定：</w:t>
      </w:r>
    </w:p>
    <w:p>
      <w:pPr>
        <w:pStyle w:val="77"/>
        <w:widowControl/>
        <w:spacing w:line="360" w:lineRule="auto"/>
        <w:ind w:firstLine="562"/>
        <w:jc w:val="left"/>
        <w:rPr>
          <w:rFonts w:cs="宋体" w:asciiTheme="minorEastAsia" w:hAnsiTheme="minorEastAsia" w:eastAsiaTheme="minorEastAsia"/>
          <w:sz w:val="28"/>
          <w:szCs w:val="28"/>
        </w:rPr>
      </w:pPr>
      <w:r>
        <w:rPr>
          <w:rFonts w:hint="eastAsia" w:cs="宋体" w:asciiTheme="minorEastAsia" w:hAnsiTheme="minorEastAsia" w:eastAsiaTheme="minorEastAsia"/>
          <w:b/>
          <w:bCs/>
          <w:sz w:val="28"/>
          <w:szCs w:val="28"/>
        </w:rPr>
        <w:t xml:space="preserve">1 </w:t>
      </w:r>
      <w:r>
        <w:rPr>
          <w:rFonts w:hint="eastAsia" w:cs="宋体" w:asciiTheme="minorEastAsia" w:hAnsiTheme="minorEastAsia" w:eastAsiaTheme="minorEastAsia"/>
          <w:sz w:val="28"/>
          <w:szCs w:val="28"/>
        </w:rPr>
        <w:t>机电设备管线应采用集成化技术和标准化设计；</w:t>
      </w:r>
    </w:p>
    <w:p>
      <w:pPr>
        <w:pStyle w:val="77"/>
        <w:widowControl/>
        <w:spacing w:line="360" w:lineRule="auto"/>
        <w:ind w:firstLine="562"/>
        <w:jc w:val="left"/>
        <w:rPr>
          <w:rFonts w:cs="宋体" w:asciiTheme="minorEastAsia" w:hAnsiTheme="minorEastAsia" w:eastAsiaTheme="minorEastAsia"/>
          <w:sz w:val="28"/>
          <w:szCs w:val="28"/>
        </w:rPr>
      </w:pPr>
      <w:r>
        <w:rPr>
          <w:rFonts w:hint="eastAsia" w:cs="宋体" w:asciiTheme="minorEastAsia" w:hAnsiTheme="minorEastAsia" w:eastAsiaTheme="minorEastAsia"/>
          <w:b/>
          <w:bCs/>
          <w:sz w:val="28"/>
          <w:szCs w:val="28"/>
        </w:rPr>
        <w:t>2</w:t>
      </w:r>
      <w:r>
        <w:rPr>
          <w:rFonts w:hint="eastAsia" w:cs="宋体" w:asciiTheme="minorEastAsia" w:hAnsiTheme="minorEastAsia" w:eastAsiaTheme="minorEastAsia"/>
          <w:sz w:val="28"/>
          <w:szCs w:val="28"/>
        </w:rPr>
        <w:t>建筑楼层公共管线、阀门、仪表、检修口和箱体等,应相对集中，设在公共区域；</w:t>
      </w:r>
    </w:p>
    <w:p>
      <w:pPr>
        <w:pStyle w:val="77"/>
        <w:widowControl/>
        <w:spacing w:line="360" w:lineRule="auto"/>
        <w:ind w:firstLine="562"/>
        <w:jc w:val="left"/>
        <w:rPr>
          <w:rFonts w:cs="宋体" w:asciiTheme="minorEastAsia" w:hAnsiTheme="minorEastAsia" w:eastAsiaTheme="minorEastAsia"/>
          <w:sz w:val="28"/>
          <w:szCs w:val="28"/>
        </w:rPr>
      </w:pPr>
      <w:r>
        <w:rPr>
          <w:rFonts w:hint="eastAsia" w:cs="宋体" w:asciiTheme="minorEastAsia" w:hAnsiTheme="minorEastAsia" w:eastAsiaTheme="minorEastAsia"/>
          <w:b/>
          <w:bCs/>
          <w:sz w:val="28"/>
          <w:szCs w:val="28"/>
        </w:rPr>
        <w:t>3</w:t>
      </w:r>
      <w:r>
        <w:rPr>
          <w:rFonts w:hint="eastAsia" w:cs="宋体" w:asciiTheme="minorEastAsia" w:hAnsiTheme="minorEastAsia" w:eastAsiaTheme="minorEastAsia"/>
          <w:sz w:val="28"/>
          <w:szCs w:val="28"/>
        </w:rPr>
        <w:t>机电设备管线设计应与建筑、结构设计同步进行，做好预留预埋，不应在安装完成后的预制构件上剔凿沟槽、打孔开洞等；</w:t>
      </w:r>
    </w:p>
    <w:p>
      <w:pPr>
        <w:pStyle w:val="77"/>
        <w:widowControl/>
        <w:spacing w:line="360" w:lineRule="auto"/>
        <w:ind w:firstLine="562"/>
        <w:jc w:val="left"/>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4</w:t>
      </w:r>
      <w:r>
        <w:rPr>
          <w:rFonts w:hint="eastAsia" w:cs="宋体" w:asciiTheme="minorEastAsia" w:hAnsiTheme="minorEastAsia" w:eastAsiaTheme="minorEastAsia"/>
          <w:sz w:val="28"/>
          <w:szCs w:val="28"/>
        </w:rPr>
        <w:t xml:space="preserve"> 机电设备管线宜与主体结构分离，应方便维修更换，且不应影响主体结构安全；</w:t>
      </w:r>
    </w:p>
    <w:p>
      <w:pPr>
        <w:pStyle w:val="77"/>
        <w:widowControl/>
        <w:spacing w:line="360" w:lineRule="auto"/>
        <w:ind w:firstLine="562"/>
        <w:jc w:val="left"/>
        <w:rPr>
          <w:rFonts w:cs="宋体" w:asciiTheme="minorEastAsia" w:hAnsiTheme="minorEastAsia" w:eastAsiaTheme="minorEastAsia"/>
          <w:sz w:val="28"/>
          <w:szCs w:val="28"/>
        </w:rPr>
      </w:pPr>
      <w:r>
        <w:rPr>
          <w:rFonts w:hint="eastAsia" w:cs="宋体" w:asciiTheme="minorEastAsia" w:hAnsiTheme="minorEastAsia" w:eastAsiaTheme="minorEastAsia"/>
          <w:b/>
          <w:bCs/>
          <w:sz w:val="28"/>
          <w:szCs w:val="28"/>
        </w:rPr>
        <w:t xml:space="preserve">5 </w:t>
      </w:r>
      <w:r>
        <w:rPr>
          <w:rFonts w:hint="eastAsia" w:cs="宋体" w:asciiTheme="minorEastAsia" w:hAnsiTheme="minorEastAsia" w:eastAsiaTheme="minorEastAsia"/>
          <w:sz w:val="28"/>
          <w:szCs w:val="28"/>
        </w:rPr>
        <w:t>预制剪力墙、预制柱内作为防雷引下线的钢筋，应在构件接缝处作可靠的电气连接，并在该处预留施工空间，及设置永久性明显标记。</w:t>
      </w:r>
    </w:p>
    <w:p>
      <w:pPr>
        <w:spacing w:line="360" w:lineRule="auto"/>
        <w:rPr>
          <w:rFonts w:ascii="微软雅黑" w:hAnsi="微软雅黑" w:eastAsia="微软雅黑" w:cs="微软雅黑"/>
          <w:kern w:val="0"/>
          <w:sz w:val="28"/>
          <w:szCs w:val="28"/>
        </w:rPr>
      </w:pPr>
      <w:r>
        <w:rPr>
          <w:rFonts w:hint="eastAsia" w:ascii="微软雅黑" w:hAnsi="微软雅黑" w:eastAsia="微软雅黑" w:cs="微软雅黑"/>
          <w:sz w:val="28"/>
          <w:szCs w:val="28"/>
        </w:rPr>
        <w:t>【条文说明】</w:t>
      </w:r>
      <w:r>
        <w:rPr>
          <w:rFonts w:hint="eastAsia" w:ascii="微软雅黑" w:hAnsi="微软雅黑" w:eastAsia="微软雅黑" w:cs="微软雅黑"/>
          <w:b/>
          <w:sz w:val="28"/>
          <w:szCs w:val="28"/>
        </w:rPr>
        <w:t xml:space="preserve">5.5.15 </w:t>
      </w:r>
      <w:r>
        <w:rPr>
          <w:rFonts w:hint="eastAsia" w:ascii="微软雅黑" w:hAnsi="微软雅黑" w:eastAsia="微软雅黑" w:cs="微软雅黑"/>
          <w:kern w:val="0"/>
          <w:sz w:val="28"/>
          <w:szCs w:val="28"/>
        </w:rPr>
        <w:t>装配式建筑包含机电与管线系统，管井及管线集中设计有利于后期运维管理和维修，故建筑设计应充分体现出管线综合理念。本条针对重点区域提出稍高于普通区域的设计标准。</w:t>
      </w:r>
    </w:p>
    <w:p>
      <w:pPr>
        <w:spacing w:line="360" w:lineRule="auto"/>
        <w:ind w:firstLine="560" w:firstLineChars="200"/>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第1款 作为装配式建筑四大系统之一的设备与管线系统，只有采用集成化和标准化设计，才能真正彰显装配效益，提升整体建筑品质。</w:t>
      </w:r>
    </w:p>
    <w:p>
      <w:pPr>
        <w:spacing w:line="360" w:lineRule="auto"/>
        <w:ind w:firstLine="560" w:firstLineChars="200"/>
        <w:rPr>
          <w:rFonts w:ascii="微软雅黑" w:hAnsi="微软雅黑" w:eastAsia="微软雅黑" w:cs="微软雅黑"/>
          <w:sz w:val="28"/>
          <w:szCs w:val="28"/>
        </w:rPr>
      </w:pPr>
      <w:r>
        <w:rPr>
          <w:rFonts w:hint="eastAsia" w:ascii="微软雅黑" w:hAnsi="微软雅黑" w:eastAsia="微软雅黑" w:cs="微软雅黑"/>
          <w:kern w:val="0"/>
          <w:sz w:val="28"/>
          <w:szCs w:val="28"/>
        </w:rPr>
        <w:t>第5款 装配式建筑中，预制构件防雷设计是非常重要的一项涉及建筑安全的内容。设计尤需注意预制和预制、现浇和预制之间的连接方式。</w:t>
      </w:r>
    </w:p>
    <w:p>
      <w:pPr>
        <w:widowControl/>
        <w:spacing w:line="360" w:lineRule="auto"/>
        <w:jc w:val="left"/>
      </w:pPr>
      <w:r>
        <w:rPr>
          <w:rFonts w:hint="eastAsia" w:cs="宋体" w:asciiTheme="minorEastAsia" w:hAnsiTheme="minorEastAsia" w:eastAsiaTheme="minorEastAsia"/>
          <w:b/>
          <w:sz w:val="28"/>
          <w:szCs w:val="28"/>
        </w:rPr>
        <w:t xml:space="preserve">5.5.16 </w:t>
      </w:r>
      <w:r>
        <w:rPr>
          <w:rFonts w:hint="eastAsia" w:cs="宋体" w:asciiTheme="minorEastAsia" w:hAnsiTheme="minorEastAsia" w:eastAsiaTheme="minorEastAsia"/>
          <w:sz w:val="28"/>
          <w:szCs w:val="28"/>
        </w:rPr>
        <w:t>装配式建筑装饰设计，应符合下列规定：</w:t>
      </w:r>
    </w:p>
    <w:p>
      <w:pPr>
        <w:pStyle w:val="77"/>
        <w:widowControl/>
        <w:spacing w:line="360" w:lineRule="auto"/>
        <w:ind w:firstLine="562"/>
        <w:jc w:val="left"/>
        <w:rPr>
          <w:rFonts w:cs="宋体" w:asciiTheme="minorEastAsia" w:hAnsiTheme="minorEastAsia" w:eastAsiaTheme="minorEastAsia"/>
          <w:bCs/>
          <w:sz w:val="28"/>
          <w:szCs w:val="28"/>
        </w:rPr>
      </w:pPr>
      <w:r>
        <w:rPr>
          <w:rFonts w:hint="eastAsia" w:cs="宋体" w:asciiTheme="minorEastAsia" w:hAnsiTheme="minorEastAsia" w:eastAsiaTheme="minorEastAsia"/>
          <w:b/>
          <w:sz w:val="28"/>
          <w:szCs w:val="28"/>
        </w:rPr>
        <w:t xml:space="preserve">1 </w:t>
      </w:r>
      <w:r>
        <w:rPr>
          <w:rFonts w:hint="eastAsia" w:cs="宋体" w:asciiTheme="minorEastAsia" w:hAnsiTheme="minorEastAsia" w:eastAsiaTheme="minorEastAsia"/>
          <w:bCs/>
          <w:sz w:val="28"/>
          <w:szCs w:val="28"/>
        </w:rPr>
        <w:t>应对于室内空气污染物浓度预评估，并使之达标；</w:t>
      </w:r>
    </w:p>
    <w:p>
      <w:pPr>
        <w:pStyle w:val="77"/>
        <w:widowControl/>
        <w:spacing w:line="360" w:lineRule="auto"/>
        <w:ind w:firstLine="562"/>
        <w:jc w:val="left"/>
        <w:rPr>
          <w:rFonts w:cs="宋体" w:asciiTheme="minorEastAsia" w:hAnsiTheme="minorEastAsia" w:eastAsiaTheme="minorEastAsia"/>
          <w:bCs/>
          <w:sz w:val="28"/>
          <w:szCs w:val="28"/>
        </w:rPr>
      </w:pPr>
      <w:r>
        <w:rPr>
          <w:rFonts w:hint="eastAsia" w:cs="宋体" w:asciiTheme="minorEastAsia" w:hAnsiTheme="minorEastAsia" w:eastAsiaTheme="minorEastAsia"/>
          <w:b/>
          <w:sz w:val="28"/>
          <w:szCs w:val="28"/>
        </w:rPr>
        <w:t>2</w:t>
      </w:r>
      <w:r>
        <w:rPr>
          <w:rFonts w:hint="eastAsia" w:cs="宋体" w:asciiTheme="minorEastAsia" w:hAnsiTheme="minorEastAsia" w:eastAsiaTheme="minorEastAsia"/>
          <w:bCs/>
          <w:sz w:val="28"/>
          <w:szCs w:val="28"/>
        </w:rPr>
        <w:t xml:space="preserve"> 应选用耐久性好、性能佳、易维护的绿色环保的各类装修装饰材料；</w:t>
      </w:r>
    </w:p>
    <w:p>
      <w:pPr>
        <w:pStyle w:val="77"/>
        <w:widowControl/>
        <w:spacing w:line="360" w:lineRule="auto"/>
        <w:ind w:firstLine="562"/>
        <w:jc w:val="left"/>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3</w:t>
      </w:r>
      <w:r>
        <w:rPr>
          <w:rFonts w:hint="eastAsia" w:cs="宋体" w:asciiTheme="minorEastAsia" w:hAnsiTheme="minorEastAsia" w:eastAsiaTheme="minorEastAsia"/>
          <w:sz w:val="28"/>
          <w:szCs w:val="28"/>
        </w:rPr>
        <w:t>应与建筑设计、结构设计和机电设计同步进行；</w:t>
      </w:r>
    </w:p>
    <w:p>
      <w:pPr>
        <w:pStyle w:val="77"/>
        <w:widowControl/>
        <w:spacing w:line="360" w:lineRule="auto"/>
        <w:ind w:firstLine="562"/>
        <w:jc w:val="left"/>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4</w:t>
      </w:r>
      <w:r>
        <w:rPr>
          <w:rFonts w:hint="eastAsia" w:cs="宋体" w:asciiTheme="minorEastAsia" w:hAnsiTheme="minorEastAsia" w:eastAsiaTheme="minorEastAsia"/>
          <w:sz w:val="28"/>
          <w:szCs w:val="28"/>
        </w:rPr>
        <w:t xml:space="preserve"> 宜实现全装修，并采用装配式楼地面、墙面、吊顶，以及集成式厨房、卫生间和整体收纳等部品系统；</w:t>
      </w:r>
    </w:p>
    <w:p>
      <w:pPr>
        <w:pStyle w:val="77"/>
        <w:widowControl/>
        <w:spacing w:line="360" w:lineRule="auto"/>
        <w:ind w:firstLine="550" w:firstLineChars="196"/>
        <w:jc w:val="left"/>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5</w:t>
      </w:r>
      <w:r>
        <w:rPr>
          <w:rFonts w:hint="eastAsia" w:cs="宋体" w:asciiTheme="minorEastAsia" w:hAnsiTheme="minorEastAsia" w:eastAsiaTheme="minorEastAsia"/>
          <w:bCs/>
          <w:sz w:val="28"/>
          <w:szCs w:val="28"/>
        </w:rPr>
        <w:t>装修管线敷设和设施安装，应避免对轻质隔墙造成破坏；</w:t>
      </w:r>
    </w:p>
    <w:p>
      <w:pPr>
        <w:pStyle w:val="77"/>
        <w:widowControl/>
        <w:spacing w:line="360" w:lineRule="auto"/>
        <w:ind w:firstLine="562"/>
        <w:jc w:val="left"/>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6</w:t>
      </w:r>
      <w:r>
        <w:rPr>
          <w:rFonts w:hint="eastAsia" w:cs="宋体" w:asciiTheme="minorEastAsia" w:hAnsiTheme="minorEastAsia" w:eastAsiaTheme="minorEastAsia"/>
          <w:sz w:val="28"/>
          <w:szCs w:val="28"/>
        </w:rPr>
        <w:t>集成式卫生间采用防水底盘时，卫生间地面板防水构造应按具体情况处理；</w:t>
      </w:r>
    </w:p>
    <w:p>
      <w:pPr>
        <w:pStyle w:val="77"/>
        <w:widowControl/>
        <w:spacing w:line="360" w:lineRule="auto"/>
        <w:ind w:firstLine="562"/>
        <w:jc w:val="left"/>
        <w:rPr>
          <w:rFonts w:cs="宋体" w:asciiTheme="minorEastAsia" w:hAnsiTheme="minorEastAsia" w:eastAsiaTheme="minorEastAsia"/>
          <w:bCs/>
          <w:sz w:val="28"/>
          <w:szCs w:val="28"/>
        </w:rPr>
      </w:pPr>
      <w:r>
        <w:rPr>
          <w:rFonts w:hint="eastAsia" w:cs="宋体" w:asciiTheme="minorEastAsia" w:hAnsiTheme="minorEastAsia" w:eastAsiaTheme="minorEastAsia"/>
          <w:b/>
          <w:sz w:val="28"/>
          <w:szCs w:val="28"/>
        </w:rPr>
        <w:t>7</w:t>
      </w:r>
      <w:r>
        <w:rPr>
          <w:rFonts w:hint="eastAsia" w:cs="宋体" w:asciiTheme="minorEastAsia" w:hAnsiTheme="minorEastAsia" w:eastAsiaTheme="minorEastAsia"/>
          <w:bCs/>
          <w:sz w:val="28"/>
          <w:szCs w:val="28"/>
        </w:rPr>
        <w:t>装配式钢结构建筑的部品与钢构件的连接和接缝，宜采用柔性设计。其缝隙变形能力应与结构弹性阶段的层间位移角相适应。</w:t>
      </w:r>
    </w:p>
    <w:p>
      <w:pPr>
        <w:adjustRightInd w:val="0"/>
        <w:spacing w:line="360" w:lineRule="auto"/>
        <w:jc w:val="left"/>
        <w:rPr>
          <w:rFonts w:ascii="微软雅黑" w:hAnsi="微软雅黑" w:eastAsia="微软雅黑" w:cs="微软雅黑"/>
          <w:sz w:val="28"/>
          <w:szCs w:val="28"/>
        </w:rPr>
      </w:pPr>
      <w:r>
        <w:rPr>
          <w:rFonts w:hint="eastAsia" w:ascii="微软雅黑" w:hAnsi="微软雅黑" w:eastAsia="微软雅黑" w:cs="微软雅黑"/>
          <w:bCs/>
          <w:sz w:val="28"/>
          <w:szCs w:val="28"/>
        </w:rPr>
        <w:t>【条文说明】</w:t>
      </w:r>
      <w:r>
        <w:rPr>
          <w:rFonts w:hint="eastAsia" w:ascii="微软雅黑" w:hAnsi="微软雅黑" w:eastAsia="微软雅黑" w:cs="微软雅黑"/>
          <w:b/>
          <w:sz w:val="28"/>
          <w:szCs w:val="28"/>
        </w:rPr>
        <w:t xml:space="preserve">5.5.16 </w:t>
      </w:r>
      <w:r>
        <w:rPr>
          <w:rFonts w:hint="eastAsia" w:ascii="微软雅黑" w:hAnsi="微软雅黑" w:eastAsia="微软雅黑" w:cs="微软雅黑"/>
          <w:bCs/>
          <w:sz w:val="28"/>
          <w:szCs w:val="28"/>
        </w:rPr>
        <w:t xml:space="preserve">第1款 </w:t>
      </w:r>
      <w:r>
        <w:rPr>
          <w:rFonts w:hint="eastAsia" w:ascii="微软雅黑" w:hAnsi="微软雅黑" w:eastAsia="微软雅黑" w:cs="微软雅黑"/>
          <w:sz w:val="28"/>
          <w:szCs w:val="28"/>
        </w:rPr>
        <w:t>预评估应综合考虑建筑情况、建筑装饰设计方案、装修材料种类及使用量、室内新风量、环境温度等诸多影响因素，以各种装修材料、家具制品主要污染物的释放特征（如释放速率）为基础，以“总量控制”为原则。具体可依据装修设计方案，选择典型功能房间（比如卧室、客厅、办公室等）使用的主要建材（3~5种）及固定家具制品，对室内空气中甲醛、苯、总挥发性有机物的浓度水平进行预评估。其中建材污染物释放特性参数及评估计算方法，可参考现行《住宅建筑室装饰修污染控制技术标准》JGJ/T 436和《公共建筑室内空气质量控制设计标准》JGJ/T 461相关规定。</w:t>
      </w:r>
    </w:p>
    <w:p>
      <w:pPr>
        <w:spacing w:line="360" w:lineRule="auto"/>
        <w:ind w:firstLine="280" w:firstLineChars="100"/>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第3款 作为装配式建筑四大系统之一的建筑装饰系统，应采用集成化设计，以有效提升建筑整体装修质量。</w:t>
      </w:r>
    </w:p>
    <w:p>
      <w:pPr>
        <w:spacing w:line="360" w:lineRule="auto"/>
        <w:ind w:firstLine="560" w:firstLineChars="200"/>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第4款 毛坯房交楼标准带来较严重资源浪费，而装配式标准化、高精度的特征可为标准化装修提供良好的土建基础。</w:t>
      </w:r>
    </w:p>
    <w:p>
      <w:pPr>
        <w:spacing w:line="360" w:lineRule="auto"/>
        <w:ind w:firstLine="560" w:firstLineChars="200"/>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第5款 轻质内隔墙最常见质量问题是墙体容易开裂。本条要求墙体内管线敷设和设备壁装，应与墙板布置一体化设计。</w:t>
      </w:r>
    </w:p>
    <w:p>
      <w:pPr>
        <w:spacing w:line="360" w:lineRule="auto"/>
        <w:ind w:firstLine="560" w:firstLineChars="200"/>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第6款 当集成式卫生间确定采用防水底盘式整体卫浴时，卫生间地面板结构表面的常规防水构造可考虑取消；但若后期卫生间实际并不安装整体卫浴时，则应重新增设卫生间地面板的防水构造，并满足相关标准要求。</w:t>
      </w:r>
    </w:p>
    <w:p>
      <w:pPr>
        <w:spacing w:line="360" w:lineRule="auto"/>
        <w:ind w:firstLine="560" w:firstLineChars="200"/>
        <w:rPr>
          <w:rFonts w:cs="宋体" w:asciiTheme="minorEastAsia" w:hAnsiTheme="minorEastAsia" w:eastAsiaTheme="minorEastAsia"/>
          <w:bCs/>
          <w:sz w:val="28"/>
          <w:szCs w:val="28"/>
        </w:rPr>
      </w:pPr>
      <w:r>
        <w:rPr>
          <w:rFonts w:hint="eastAsia" w:ascii="微软雅黑" w:hAnsi="微软雅黑" w:eastAsia="微软雅黑" w:cs="微软雅黑"/>
          <w:kern w:val="0"/>
          <w:sz w:val="28"/>
          <w:szCs w:val="28"/>
        </w:rPr>
        <w:t>第7款 钢结构变形一般大于钢筋混凝土结构。本条要求钢结构设计，需充分考虑主体变形对于填充部件的不利影响。</w:t>
      </w:r>
    </w:p>
    <w:p>
      <w:pPr>
        <w:pageBreakBefore/>
        <w:spacing w:line="360" w:lineRule="auto"/>
        <w:ind w:firstLine="562" w:firstLineChars="200"/>
        <w:jc w:val="left"/>
        <w:outlineLvl w:val="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                   </w:t>
      </w:r>
      <w:bookmarkStart w:id="66" w:name="_Toc26885"/>
      <w:r>
        <w:rPr>
          <w:rFonts w:hint="eastAsia" w:asciiTheme="minorEastAsia" w:hAnsiTheme="minorEastAsia" w:eastAsiaTheme="minorEastAsia"/>
          <w:b/>
          <w:bCs/>
          <w:sz w:val="28"/>
          <w:szCs w:val="28"/>
        </w:rPr>
        <w:t>6 市政工程设计</w:t>
      </w:r>
      <w:bookmarkEnd w:id="66"/>
    </w:p>
    <w:p>
      <w:pPr>
        <w:pStyle w:val="3"/>
      </w:pPr>
      <w:bookmarkStart w:id="67" w:name="_Toc11497"/>
      <w:r>
        <w:rPr>
          <w:rFonts w:hint="eastAsia"/>
        </w:rPr>
        <w:t>6.1 一般规定</w:t>
      </w:r>
      <w:bookmarkEnd w:id="67"/>
    </w:p>
    <w:p>
      <w:pPr>
        <w:spacing w:line="360" w:lineRule="auto"/>
        <w:jc w:val="left"/>
        <w:rPr>
          <w:rFonts w:asciiTheme="minorEastAsia" w:hAnsiTheme="minorEastAsia" w:eastAsiaTheme="minorEastAsia"/>
          <w:bCs/>
          <w:sz w:val="28"/>
          <w:szCs w:val="28"/>
        </w:rPr>
      </w:pPr>
      <w:r>
        <w:rPr>
          <w:rFonts w:hint="eastAsia" w:asciiTheme="minorEastAsia" w:hAnsiTheme="minorEastAsia" w:eastAsiaTheme="minorEastAsia"/>
          <w:b/>
          <w:bCs/>
          <w:sz w:val="28"/>
          <w:szCs w:val="28"/>
        </w:rPr>
        <w:t>6</w:t>
      </w:r>
      <w:r>
        <w:rPr>
          <w:rFonts w:asciiTheme="minorEastAsia" w:hAnsiTheme="minorEastAsia" w:eastAsiaTheme="minorEastAsia"/>
          <w:b/>
          <w:bCs/>
          <w:sz w:val="28"/>
          <w:szCs w:val="28"/>
        </w:rPr>
        <w:t>.1.1</w:t>
      </w:r>
      <w:r>
        <w:rPr>
          <w:rFonts w:hint="eastAsia" w:asciiTheme="minorEastAsia" w:hAnsiTheme="minorEastAsia" w:eastAsiaTheme="minorEastAsia"/>
          <w:b/>
          <w:bCs/>
          <w:sz w:val="28"/>
          <w:szCs w:val="28"/>
        </w:rPr>
        <w:t xml:space="preserve"> </w:t>
      </w:r>
      <w:r>
        <w:rPr>
          <w:rFonts w:hint="eastAsia" w:asciiTheme="minorEastAsia" w:hAnsiTheme="minorEastAsia" w:eastAsiaTheme="minorEastAsia"/>
          <w:bCs/>
          <w:sz w:val="28"/>
          <w:szCs w:val="28"/>
        </w:rPr>
        <w:t>市政工程设计，应与周边环境、既有建构筑物和各种现状管线相协调，并满足城市防洪、水土保持、海绵城市、城市景观和工程美学等要求。</w:t>
      </w:r>
    </w:p>
    <w:p>
      <w:pPr>
        <w:spacing w:line="360" w:lineRule="auto"/>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 xml:space="preserve">6.1.2 </w:t>
      </w:r>
      <w:r>
        <w:rPr>
          <w:rFonts w:hint="eastAsia" w:asciiTheme="minorEastAsia" w:hAnsiTheme="minorEastAsia" w:eastAsiaTheme="minorEastAsia"/>
          <w:bCs/>
          <w:sz w:val="28"/>
          <w:szCs w:val="28"/>
        </w:rPr>
        <w:t>市政工程设计应采用BIM技术和智慧城市建设信息化技术，因地制宜地应用预制装配式技术。</w:t>
      </w:r>
    </w:p>
    <w:p>
      <w:pPr>
        <w:spacing w:line="360" w:lineRule="auto"/>
        <w:jc w:val="left"/>
        <w:rPr>
          <w:rFonts w:asciiTheme="minorEastAsia" w:hAnsiTheme="minorEastAsia" w:eastAsiaTheme="minorEastAsia"/>
          <w:bCs/>
          <w:sz w:val="28"/>
          <w:szCs w:val="28"/>
        </w:rPr>
      </w:pPr>
      <w:r>
        <w:rPr>
          <w:rFonts w:hint="eastAsia" w:asciiTheme="minorEastAsia" w:hAnsiTheme="minorEastAsia" w:eastAsiaTheme="minorEastAsia"/>
          <w:b/>
          <w:bCs/>
          <w:sz w:val="28"/>
          <w:szCs w:val="28"/>
        </w:rPr>
        <w:t xml:space="preserve">6.1.3 </w:t>
      </w:r>
      <w:r>
        <w:rPr>
          <w:rFonts w:hint="eastAsia" w:asciiTheme="minorEastAsia" w:hAnsiTheme="minorEastAsia" w:eastAsiaTheme="minorEastAsia"/>
          <w:bCs/>
          <w:sz w:val="28"/>
          <w:szCs w:val="28"/>
        </w:rPr>
        <w:t>地下道路工程设计，应统筹考虑规划、交通、节能、环保、通风、减灾、安全、防淹和景观等要素。</w:t>
      </w:r>
    </w:p>
    <w:p>
      <w:pPr>
        <w:spacing w:line="360" w:lineRule="auto"/>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6</w:t>
      </w:r>
      <w:r>
        <w:rPr>
          <w:rFonts w:asciiTheme="minorEastAsia" w:hAnsiTheme="minorEastAsia" w:eastAsiaTheme="minorEastAsia"/>
          <w:b/>
          <w:sz w:val="28"/>
          <w:szCs w:val="28"/>
        </w:rPr>
        <w:t>.1.</w:t>
      </w:r>
      <w:r>
        <w:rPr>
          <w:rFonts w:hint="eastAsia" w:asciiTheme="minorEastAsia" w:hAnsiTheme="minorEastAsia" w:eastAsiaTheme="minorEastAsia"/>
          <w:b/>
          <w:sz w:val="28"/>
          <w:szCs w:val="28"/>
        </w:rPr>
        <w:t>4</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轨道交通工程应</w:t>
      </w:r>
      <w:r>
        <w:rPr>
          <w:rFonts w:hint="eastAsia" w:asciiTheme="minorEastAsia" w:hAnsiTheme="minorEastAsia" w:eastAsiaTheme="minorEastAsia"/>
          <w:bCs/>
          <w:sz w:val="28"/>
          <w:szCs w:val="28"/>
        </w:rPr>
        <w:t>科学</w:t>
      </w:r>
      <w:r>
        <w:rPr>
          <w:rFonts w:asciiTheme="minorEastAsia" w:hAnsiTheme="minorEastAsia" w:eastAsiaTheme="minorEastAsia"/>
          <w:bCs/>
          <w:sz w:val="28"/>
          <w:szCs w:val="28"/>
        </w:rPr>
        <w:t>考虑建设时序</w:t>
      </w:r>
      <w:r>
        <w:rPr>
          <w:rFonts w:hint="eastAsia" w:asciiTheme="minorEastAsia" w:hAnsiTheme="minorEastAsia" w:eastAsiaTheme="minorEastAsia"/>
          <w:bCs/>
          <w:sz w:val="28"/>
          <w:szCs w:val="28"/>
        </w:rPr>
        <w:t>，与沿线及周边地块开发充分结合，统筹规划、同步设计、同步建设或预留土建接口条件。</w:t>
      </w:r>
    </w:p>
    <w:p>
      <w:pPr>
        <w:pStyle w:val="3"/>
      </w:pPr>
      <w:bookmarkStart w:id="68" w:name="_Toc29791"/>
      <w:r>
        <w:rPr>
          <w:rFonts w:hint="eastAsia"/>
        </w:rPr>
        <w:t>6.2 道路桥隧工程</w:t>
      </w:r>
      <w:bookmarkEnd w:id="68"/>
    </w:p>
    <w:p>
      <w:pPr>
        <w:spacing w:line="360" w:lineRule="auto"/>
        <w:jc w:val="lef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6.2.1 </w:t>
      </w:r>
      <w:r>
        <w:rPr>
          <w:rFonts w:hint="eastAsia" w:asciiTheme="minorEastAsia" w:hAnsiTheme="minorEastAsia" w:eastAsiaTheme="minorEastAsia"/>
          <w:bCs/>
          <w:sz w:val="28"/>
          <w:szCs w:val="28"/>
        </w:rPr>
        <w:t>道路横断面总体布置，应符合下列规定：</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 xml:space="preserve">1 </w:t>
      </w:r>
      <w:r>
        <w:rPr>
          <w:rFonts w:hint="eastAsia" w:asciiTheme="minorEastAsia" w:hAnsiTheme="minorEastAsia" w:eastAsiaTheme="minorEastAsia"/>
          <w:bCs/>
          <w:sz w:val="28"/>
          <w:szCs w:val="28"/>
        </w:rPr>
        <w:t>应统筹安排地下、地面及地上各种设施，并协调好与邻近建构筑物的空间关系；</w:t>
      </w:r>
    </w:p>
    <w:p>
      <w:pPr>
        <w:spacing w:line="360" w:lineRule="auto"/>
        <w:ind w:firstLine="562" w:firstLineChars="200"/>
        <w:jc w:val="left"/>
        <w:rPr>
          <w:rFonts w:asciiTheme="minorEastAsia" w:hAnsiTheme="minorEastAsia" w:eastAsiaTheme="minorEastAsia"/>
          <w:b/>
          <w:bCs/>
          <w:sz w:val="28"/>
          <w:szCs w:val="28"/>
        </w:rPr>
      </w:pPr>
      <w:r>
        <w:rPr>
          <w:rFonts w:hint="eastAsia" w:asciiTheme="minorEastAsia" w:hAnsiTheme="minorEastAsia" w:eastAsiaTheme="minorEastAsia"/>
          <w:b/>
          <w:sz w:val="28"/>
          <w:szCs w:val="28"/>
        </w:rPr>
        <w:t xml:space="preserve">2 </w:t>
      </w:r>
      <w:r>
        <w:rPr>
          <w:rFonts w:hint="eastAsia" w:asciiTheme="minorEastAsia" w:hAnsiTheme="minorEastAsia" w:eastAsiaTheme="minorEastAsia"/>
          <w:bCs/>
          <w:sz w:val="28"/>
          <w:szCs w:val="28"/>
        </w:rPr>
        <w:t>城市道路侧边应设置人行道；</w:t>
      </w:r>
    </w:p>
    <w:p>
      <w:pPr>
        <w:spacing w:line="360" w:lineRule="auto"/>
        <w:ind w:firstLine="562" w:firstLineChars="200"/>
        <w:jc w:val="lef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3</w:t>
      </w:r>
      <w:r>
        <w:rPr>
          <w:rFonts w:hint="eastAsia" w:asciiTheme="minorEastAsia" w:hAnsiTheme="minorEastAsia" w:eastAsiaTheme="minorEastAsia"/>
          <w:bCs/>
          <w:sz w:val="28"/>
          <w:szCs w:val="28"/>
        </w:rPr>
        <w:t>城市道路侧边宜设置自行车道；</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 xml:space="preserve">4 </w:t>
      </w:r>
      <w:r>
        <w:rPr>
          <w:rFonts w:hint="eastAsia" w:asciiTheme="minorEastAsia" w:hAnsiTheme="minorEastAsia" w:eastAsiaTheme="minorEastAsia"/>
          <w:bCs/>
          <w:sz w:val="28"/>
          <w:szCs w:val="28"/>
        </w:rPr>
        <w:t>改扩建城市道路可采取适当压缩机动车道宽度等措施，保障慢行系统使用要求。</w:t>
      </w:r>
    </w:p>
    <w:p>
      <w:pPr>
        <w:spacing w:line="360" w:lineRule="auto"/>
        <w:jc w:val="left"/>
        <w:rPr>
          <w:rFonts w:ascii="微软雅黑" w:hAnsi="微软雅黑" w:eastAsia="微软雅黑" w:cs="微软雅黑"/>
          <w:bCs/>
          <w:sz w:val="28"/>
          <w:szCs w:val="28"/>
        </w:rPr>
      </w:pPr>
      <w:r>
        <w:rPr>
          <w:rFonts w:hint="eastAsia" w:ascii="微软雅黑" w:hAnsi="微软雅黑" w:eastAsia="微软雅黑" w:cs="微软雅黑"/>
          <w:bCs/>
          <w:sz w:val="28"/>
          <w:szCs w:val="28"/>
        </w:rPr>
        <w:t>【条文说明】</w:t>
      </w:r>
      <w:r>
        <w:rPr>
          <w:rFonts w:hint="eastAsia" w:ascii="微软雅黑" w:hAnsi="微软雅黑" w:eastAsia="微软雅黑" w:cs="微软雅黑"/>
          <w:b/>
          <w:sz w:val="28"/>
          <w:szCs w:val="28"/>
        </w:rPr>
        <w:t xml:space="preserve">6.2.1 </w:t>
      </w:r>
      <w:r>
        <w:rPr>
          <w:rFonts w:hint="eastAsia" w:ascii="微软雅黑" w:hAnsi="微软雅黑" w:eastAsia="微软雅黑" w:cs="微软雅黑"/>
          <w:bCs/>
          <w:sz w:val="28"/>
          <w:szCs w:val="28"/>
        </w:rPr>
        <w:t>第1款 地下部分应合理安排地下隧道、综合管廊（管线）、地下车库联络道、植物根系生长空间等关系；地上部分应安排好人行、车行空间以及天桥、风雨连廊、交通设施、绿化和街道家具等的空间关系。</w:t>
      </w:r>
    </w:p>
    <w:p>
      <w:pPr>
        <w:widowControl/>
        <w:spacing w:line="360" w:lineRule="auto"/>
        <w:ind w:firstLine="560" w:firstLineChars="200"/>
        <w:jc w:val="left"/>
        <w:rPr>
          <w:rFonts w:ascii="微软雅黑" w:hAnsi="微软雅黑" w:eastAsia="微软雅黑" w:cs="微软雅黑"/>
          <w:bCs/>
          <w:sz w:val="28"/>
          <w:szCs w:val="28"/>
        </w:rPr>
      </w:pPr>
      <w:r>
        <w:rPr>
          <w:rFonts w:hint="eastAsia" w:ascii="微软雅黑" w:hAnsi="微软雅黑" w:eastAsia="微软雅黑" w:cs="微软雅黑"/>
          <w:bCs/>
          <w:kern w:val="0"/>
          <w:sz w:val="28"/>
          <w:szCs w:val="28"/>
        </w:rPr>
        <w:t>第4款 以往社会各界过多注重机动车通行，现在应逐步实现向“以人为本”转变，为使用道路各类主体提供公平路权。一条机动车道最小宽度可按《深圳市道路设计指引》取值。对于</w:t>
      </w:r>
      <w:r>
        <w:rPr>
          <w:rFonts w:hint="eastAsia" w:ascii="微软雅黑" w:hAnsi="微软雅黑" w:eastAsia="微软雅黑" w:cs="微软雅黑"/>
          <w:bCs/>
          <w:sz w:val="28"/>
          <w:szCs w:val="28"/>
        </w:rPr>
        <w:t>城市更新区域商业区街道改扩建支路，也可考虑取消道牙，机动车道和非机动车道取为同一标高。</w:t>
      </w:r>
    </w:p>
    <w:p>
      <w:pPr>
        <w:spacing w:line="360" w:lineRule="auto"/>
        <w:jc w:val="lef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6.2.2</w:t>
      </w:r>
      <w:r>
        <w:rPr>
          <w:rFonts w:hint="eastAsia" w:asciiTheme="minorEastAsia" w:hAnsiTheme="minorEastAsia" w:eastAsiaTheme="minorEastAsia"/>
          <w:bCs/>
          <w:sz w:val="28"/>
          <w:szCs w:val="28"/>
        </w:rPr>
        <w:t>人行道和自行车道设计，应符合下列规定：</w:t>
      </w:r>
    </w:p>
    <w:p>
      <w:pPr>
        <w:spacing w:line="360" w:lineRule="auto"/>
        <w:ind w:firstLine="562" w:firstLineChars="20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1 </w:t>
      </w:r>
      <w:r>
        <w:rPr>
          <w:rFonts w:hint="eastAsia" w:asciiTheme="minorEastAsia" w:hAnsiTheme="minorEastAsia" w:eastAsiaTheme="minorEastAsia"/>
          <w:bCs/>
          <w:sz w:val="28"/>
          <w:szCs w:val="28"/>
        </w:rPr>
        <w:t>人行道应连续。交叉口范围内人行道宽度不应小于路段上人行道宽度；</w:t>
      </w:r>
    </w:p>
    <w:p>
      <w:pPr>
        <w:spacing w:line="360" w:lineRule="auto"/>
        <w:ind w:firstLine="562" w:firstLineChars="200"/>
        <w:jc w:val="left"/>
        <w:rPr>
          <w:rFonts w:asciiTheme="minorEastAsia" w:hAnsiTheme="minorEastAsia" w:eastAsiaTheme="minorEastAsia"/>
          <w:b/>
          <w:bCs/>
          <w:sz w:val="28"/>
          <w:szCs w:val="28"/>
        </w:rPr>
      </w:pPr>
      <w:r>
        <w:rPr>
          <w:rFonts w:hint="eastAsia" w:asciiTheme="minorEastAsia" w:hAnsiTheme="minorEastAsia" w:eastAsiaTheme="minorEastAsia"/>
          <w:b/>
          <w:sz w:val="28"/>
          <w:szCs w:val="28"/>
        </w:rPr>
        <w:t xml:space="preserve">2 </w:t>
      </w:r>
      <w:r>
        <w:rPr>
          <w:rFonts w:hint="eastAsia" w:asciiTheme="minorEastAsia" w:hAnsiTheme="minorEastAsia" w:eastAsiaTheme="minorEastAsia"/>
          <w:bCs/>
          <w:sz w:val="28"/>
          <w:szCs w:val="28"/>
        </w:rPr>
        <w:t>人行道、自行车车道应与路侧相邻步行空间形成整体；</w:t>
      </w:r>
    </w:p>
    <w:p>
      <w:pPr>
        <w:spacing w:line="360" w:lineRule="auto"/>
        <w:ind w:firstLine="562" w:firstLineChars="20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3 </w:t>
      </w:r>
      <w:r>
        <w:rPr>
          <w:rFonts w:hint="eastAsia" w:asciiTheme="minorEastAsia" w:hAnsiTheme="minorEastAsia" w:eastAsiaTheme="minorEastAsia"/>
          <w:bCs/>
          <w:sz w:val="28"/>
          <w:szCs w:val="28"/>
        </w:rPr>
        <w:t>自行车道应连续。交叉口范围内自行车道宽度不宜小于路段上自行车道有效宽度；</w:t>
      </w:r>
    </w:p>
    <w:p>
      <w:pPr>
        <w:spacing w:line="360" w:lineRule="auto"/>
        <w:ind w:firstLine="562" w:firstLineChars="20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4 </w:t>
      </w:r>
      <w:r>
        <w:rPr>
          <w:rFonts w:hint="eastAsia" w:asciiTheme="minorEastAsia" w:hAnsiTheme="minorEastAsia" w:eastAsiaTheme="minorEastAsia"/>
          <w:bCs/>
          <w:sz w:val="28"/>
          <w:szCs w:val="28"/>
        </w:rPr>
        <w:t>主、次干路的自行车道与机动车道之间，应采用实体或绿化带分隔；支路的自行车道和机动车道共板设置时，可采用标线进行分隔，并应采用不同颜色铺装区分；</w:t>
      </w:r>
    </w:p>
    <w:p>
      <w:pPr>
        <w:autoSpaceDE w:val="0"/>
        <w:autoSpaceDN w:val="0"/>
        <w:spacing w:line="360" w:lineRule="auto"/>
        <w:ind w:firstLine="562" w:firstLineChars="200"/>
        <w:jc w:val="left"/>
        <w:rPr>
          <w:rFonts w:ascii="宋体" w:hAnsi="宋体" w:cs="宋体"/>
          <w:b/>
          <w:kern w:val="0"/>
          <w:sz w:val="28"/>
          <w:szCs w:val="28"/>
        </w:rPr>
      </w:pPr>
      <w:r>
        <w:rPr>
          <w:rFonts w:hint="eastAsia" w:ascii="宋体" w:hAnsi="宋体" w:cs="宋体"/>
          <w:b/>
          <w:kern w:val="0"/>
          <w:sz w:val="28"/>
          <w:szCs w:val="28"/>
        </w:rPr>
        <w:t xml:space="preserve">5 </w:t>
      </w:r>
      <w:r>
        <w:rPr>
          <w:rFonts w:hint="eastAsia" w:ascii="宋体" w:hAnsi="宋体" w:cs="宋体"/>
          <w:bCs/>
          <w:kern w:val="0"/>
          <w:sz w:val="28"/>
          <w:szCs w:val="28"/>
        </w:rPr>
        <w:t>当既有道路人行道较窄且道路拓宽条件受限时，可采取树箅填平人行道树池和“背向式”公交车站候车亭等方法，增加步行空间；</w:t>
      </w:r>
    </w:p>
    <w:p>
      <w:pPr>
        <w:autoSpaceDE w:val="0"/>
        <w:autoSpaceDN w:val="0"/>
        <w:spacing w:line="360" w:lineRule="auto"/>
        <w:ind w:firstLine="562" w:firstLineChars="200"/>
        <w:jc w:val="left"/>
        <w:rPr>
          <w:rFonts w:ascii="宋体" w:hAnsi="宋体" w:cs="宋体"/>
          <w:b/>
          <w:kern w:val="0"/>
          <w:sz w:val="28"/>
          <w:szCs w:val="28"/>
        </w:rPr>
      </w:pPr>
      <w:r>
        <w:rPr>
          <w:rFonts w:hint="eastAsia" w:ascii="宋体" w:hAnsi="宋体" w:cs="宋体"/>
          <w:b/>
          <w:kern w:val="0"/>
          <w:sz w:val="28"/>
          <w:szCs w:val="28"/>
        </w:rPr>
        <w:t xml:space="preserve">6 </w:t>
      </w:r>
      <w:r>
        <w:rPr>
          <w:rFonts w:hint="eastAsia" w:ascii="宋体" w:hAnsi="宋体" w:cs="宋体"/>
          <w:bCs/>
          <w:kern w:val="0"/>
          <w:sz w:val="28"/>
          <w:szCs w:val="28"/>
        </w:rPr>
        <w:t>人行道和自行车道上面积大于0.09㎡的市政管道检查井，应采用下沉式（凹形）铺装井盖。井盖铺装面的材质、颜色及铺装样式应与人行道完全一致；</w:t>
      </w:r>
    </w:p>
    <w:p>
      <w:pPr>
        <w:spacing w:line="360" w:lineRule="auto"/>
        <w:ind w:firstLine="562" w:firstLineChars="200"/>
        <w:jc w:val="lef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7</w:t>
      </w:r>
      <w:r>
        <w:rPr>
          <w:rFonts w:hint="eastAsia" w:asciiTheme="minorEastAsia" w:hAnsiTheme="minorEastAsia" w:eastAsiaTheme="minorEastAsia"/>
          <w:bCs/>
          <w:sz w:val="28"/>
          <w:szCs w:val="28"/>
        </w:rPr>
        <w:t xml:space="preserve"> 人行道和自行车道铺装</w:t>
      </w:r>
      <w:r>
        <w:rPr>
          <w:rFonts w:hint="eastAsia" w:ascii="宋体" w:hAnsi="宋体" w:cs="宋体"/>
          <w:kern w:val="0"/>
          <w:sz w:val="28"/>
          <w:szCs w:val="28"/>
        </w:rPr>
        <w:t>应环保、平整、防滑、耐磨及美观。</w:t>
      </w:r>
    </w:p>
    <w:p>
      <w:pPr>
        <w:spacing w:line="360" w:lineRule="auto"/>
        <w:jc w:val="left"/>
        <w:rPr>
          <w:rFonts w:ascii="微软雅黑" w:hAnsi="微软雅黑" w:eastAsia="微软雅黑" w:cs="微软雅黑"/>
          <w:sz w:val="28"/>
          <w:szCs w:val="28"/>
        </w:rPr>
      </w:pPr>
      <w:r>
        <w:rPr>
          <w:rFonts w:hint="eastAsia" w:ascii="微软雅黑" w:hAnsi="微软雅黑" w:eastAsia="微软雅黑" w:cs="微软雅黑"/>
          <w:sz w:val="28"/>
          <w:szCs w:val="28"/>
        </w:rPr>
        <w:t>【条文说明】</w:t>
      </w:r>
      <w:r>
        <w:rPr>
          <w:rFonts w:hint="eastAsia" w:ascii="微软雅黑" w:hAnsi="微软雅黑" w:eastAsia="微软雅黑" w:cs="微软雅黑"/>
          <w:b/>
          <w:sz w:val="28"/>
          <w:szCs w:val="28"/>
        </w:rPr>
        <w:t xml:space="preserve">6.2.2 </w:t>
      </w:r>
      <w:r>
        <w:rPr>
          <w:rFonts w:hint="eastAsia" w:ascii="微软雅黑" w:hAnsi="微软雅黑" w:eastAsia="微软雅黑" w:cs="微软雅黑"/>
          <w:sz w:val="28"/>
          <w:szCs w:val="28"/>
        </w:rPr>
        <w:t>第2款 道路与路侧建设项目共建时，人行道和自行车道宜与路侧空间一体化设计。</w:t>
      </w:r>
    </w:p>
    <w:p>
      <w:pPr>
        <w:widowControl/>
        <w:spacing w:line="360" w:lineRule="auto"/>
        <w:ind w:firstLine="560" w:firstLineChars="200"/>
        <w:jc w:val="left"/>
        <w:rPr>
          <w:rFonts w:asciiTheme="minorEastAsia" w:hAnsiTheme="minorEastAsia" w:eastAsiaTheme="minorEastAsia"/>
          <w:color w:val="00B050"/>
          <w:sz w:val="28"/>
          <w:szCs w:val="28"/>
        </w:rPr>
      </w:pPr>
      <w:r>
        <w:rPr>
          <w:rFonts w:hint="eastAsia" w:ascii="微软雅黑" w:hAnsi="微软雅黑" w:eastAsia="微软雅黑" w:cs="微软雅黑"/>
          <w:sz w:val="28"/>
          <w:szCs w:val="28"/>
        </w:rPr>
        <w:t xml:space="preserve">  第4款 </w:t>
      </w:r>
      <w:r>
        <w:rPr>
          <w:rFonts w:hint="eastAsia" w:ascii="微软雅黑" w:hAnsi="微软雅黑" w:eastAsia="微软雅黑" w:cs="微软雅黑"/>
          <w:bCs/>
          <w:kern w:val="0"/>
          <w:sz w:val="28"/>
          <w:szCs w:val="28"/>
        </w:rPr>
        <w:t>主、次干路设计车速一般大于40km/h,故自行车应独立设置，不与机动车道共板，以策安全；此外，亦为保障自行车路权。</w:t>
      </w:r>
    </w:p>
    <w:p>
      <w:pPr>
        <w:autoSpaceDE w:val="0"/>
        <w:autoSpaceDN w:val="0"/>
        <w:spacing w:line="360" w:lineRule="auto"/>
        <w:jc w:val="left"/>
        <w:rPr>
          <w:rFonts w:asciiTheme="minorEastAsia" w:hAnsiTheme="minorEastAsia" w:eastAsiaTheme="minorEastAsia"/>
          <w:bCs/>
          <w:sz w:val="28"/>
          <w:szCs w:val="28"/>
        </w:rPr>
      </w:pPr>
      <w:r>
        <w:rPr>
          <w:rFonts w:hint="eastAsia" w:asciiTheme="minorEastAsia" w:hAnsiTheme="minorEastAsia" w:eastAsiaTheme="minorEastAsia"/>
          <w:b/>
          <w:bCs/>
          <w:sz w:val="28"/>
          <w:szCs w:val="28"/>
        </w:rPr>
        <w:t xml:space="preserve">6.2.3 </w:t>
      </w:r>
      <w:r>
        <w:rPr>
          <w:rFonts w:hint="eastAsia" w:asciiTheme="minorEastAsia" w:hAnsiTheme="minorEastAsia" w:eastAsiaTheme="minorEastAsia"/>
          <w:bCs/>
          <w:sz w:val="28"/>
          <w:szCs w:val="28"/>
        </w:rPr>
        <w:t>人行地道和人行天桥设计，应符合下列规定:</w:t>
      </w:r>
    </w:p>
    <w:p>
      <w:pPr>
        <w:autoSpaceDE w:val="0"/>
        <w:autoSpaceDN w:val="0"/>
        <w:spacing w:line="360" w:lineRule="auto"/>
        <w:ind w:firstLine="562" w:firstLineChars="200"/>
        <w:jc w:val="left"/>
        <w:rPr>
          <w:rFonts w:ascii="宋体" w:hAnsi="宋体" w:cs="宋体"/>
          <w:b/>
          <w:bCs/>
          <w:kern w:val="0"/>
          <w:sz w:val="28"/>
          <w:szCs w:val="28"/>
        </w:rPr>
      </w:pPr>
      <w:r>
        <w:rPr>
          <w:rFonts w:hint="eastAsia" w:ascii="宋体" w:hAnsi="宋体" w:cs="宋体"/>
          <w:b/>
          <w:bCs/>
          <w:kern w:val="0"/>
          <w:sz w:val="28"/>
          <w:szCs w:val="28"/>
        </w:rPr>
        <w:t xml:space="preserve">1 </w:t>
      </w:r>
      <w:r>
        <w:rPr>
          <w:rFonts w:hint="eastAsia" w:ascii="宋体" w:hAnsi="宋体" w:cs="宋体"/>
          <w:kern w:val="0"/>
          <w:sz w:val="28"/>
          <w:szCs w:val="28"/>
        </w:rPr>
        <w:t>人行地道应设置照明和防淹排涝设施，宜设置公共广播系统和视频安防监控系统。</w:t>
      </w:r>
    </w:p>
    <w:p>
      <w:pPr>
        <w:spacing w:line="360" w:lineRule="auto"/>
        <w:ind w:firstLine="562" w:firstLineChars="200"/>
        <w:jc w:val="left"/>
        <w:rPr>
          <w:rFonts w:ascii="宋体" w:hAnsi="宋体" w:cs="宋体"/>
          <w:bCs/>
          <w:kern w:val="0"/>
          <w:sz w:val="28"/>
          <w:szCs w:val="28"/>
        </w:rPr>
      </w:pPr>
      <w:r>
        <w:rPr>
          <w:rFonts w:hint="eastAsia" w:ascii="宋体" w:hAnsi="宋体" w:cs="宋体"/>
          <w:b/>
          <w:bCs/>
          <w:kern w:val="0"/>
          <w:sz w:val="28"/>
          <w:szCs w:val="28"/>
        </w:rPr>
        <w:t>2</w:t>
      </w:r>
      <w:r>
        <w:rPr>
          <w:rFonts w:hint="eastAsia" w:ascii="宋体" w:hAnsi="宋体" w:cs="宋体"/>
          <w:bCs/>
          <w:kern w:val="0"/>
          <w:sz w:val="28"/>
          <w:szCs w:val="28"/>
        </w:rPr>
        <w:t>人行天桥应设置遮阳避雨设施、人工照明和垂直电梯，并满足无障碍设计要求；</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bCs/>
          <w:sz w:val="28"/>
          <w:szCs w:val="28"/>
        </w:rPr>
        <w:t xml:space="preserve">3 </w:t>
      </w:r>
      <w:r>
        <w:rPr>
          <w:rFonts w:hint="eastAsia" w:asciiTheme="minorEastAsia" w:hAnsiTheme="minorEastAsia" w:eastAsiaTheme="minorEastAsia"/>
          <w:bCs/>
          <w:sz w:val="28"/>
          <w:szCs w:val="28"/>
        </w:rPr>
        <w:t>人行天桥桥下三角区净空高度小于2.0m时，应安装防护设施，并应在防护设施外设置提示盲道；</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4</w:t>
      </w:r>
      <w:r>
        <w:rPr>
          <w:rFonts w:hint="eastAsia" w:cs="宋体" w:asciiTheme="minorEastAsia" w:hAnsiTheme="minorEastAsia" w:eastAsiaTheme="minorEastAsia"/>
          <w:sz w:val="28"/>
          <w:szCs w:val="28"/>
        </w:rPr>
        <w:t>人行天桥应进行造型和景观设计，体现地域特色和时代风貌。</w:t>
      </w:r>
    </w:p>
    <w:p>
      <w:pPr>
        <w:adjustRightInd w:val="0"/>
        <w:snapToGrid w:val="0"/>
        <w:spacing w:line="360" w:lineRule="auto"/>
        <w:jc w:val="left"/>
        <w:rPr>
          <w:rFonts w:ascii="微软雅黑" w:hAnsi="微软雅黑" w:eastAsia="微软雅黑" w:cs="微软雅黑"/>
          <w:bCs/>
          <w:kern w:val="0"/>
          <w:sz w:val="28"/>
          <w:szCs w:val="28"/>
        </w:rPr>
      </w:pPr>
      <w:r>
        <w:rPr>
          <w:rFonts w:hint="eastAsia" w:ascii="微软雅黑" w:hAnsi="微软雅黑" w:eastAsia="微软雅黑" w:cs="微软雅黑"/>
          <w:bCs/>
          <w:kern w:val="0"/>
          <w:sz w:val="28"/>
          <w:szCs w:val="28"/>
        </w:rPr>
        <w:t>【条文说明】</w:t>
      </w:r>
      <w:r>
        <w:rPr>
          <w:rFonts w:hint="eastAsia" w:ascii="微软雅黑" w:hAnsi="微软雅黑" w:eastAsia="微软雅黑" w:cs="微软雅黑"/>
          <w:b/>
          <w:bCs/>
          <w:kern w:val="0"/>
          <w:sz w:val="28"/>
          <w:szCs w:val="28"/>
        </w:rPr>
        <w:t xml:space="preserve">6.2.3  </w:t>
      </w:r>
      <w:r>
        <w:rPr>
          <w:rFonts w:hint="eastAsia" w:ascii="微软雅黑" w:hAnsi="微软雅黑" w:eastAsia="微软雅黑" w:cs="微软雅黑"/>
          <w:kern w:val="0"/>
          <w:sz w:val="28"/>
          <w:szCs w:val="28"/>
        </w:rPr>
        <w:t xml:space="preserve">第1款 </w:t>
      </w:r>
      <w:r>
        <w:rPr>
          <w:rFonts w:hint="eastAsia" w:ascii="微软雅黑" w:hAnsi="微软雅黑" w:eastAsia="微软雅黑" w:cs="微软雅黑"/>
          <w:bCs/>
          <w:kern w:val="0"/>
          <w:sz w:val="28"/>
          <w:szCs w:val="28"/>
        </w:rPr>
        <w:t>人行地道自然采光较差，且受地形高差等限制，多位于地势较低处，因此需考虑人工照明和防淹排涝等措施，保障通行安全性和舒适性。</w:t>
      </w:r>
    </w:p>
    <w:p>
      <w:pPr>
        <w:spacing w:line="360" w:lineRule="auto"/>
        <w:ind w:firstLine="560" w:firstLineChars="200"/>
        <w:jc w:val="left"/>
        <w:rPr>
          <w:rFonts w:ascii="微软雅黑" w:hAnsi="微软雅黑" w:eastAsia="微软雅黑" w:cs="微软雅黑"/>
          <w:bCs/>
          <w:kern w:val="0"/>
          <w:sz w:val="28"/>
          <w:szCs w:val="28"/>
        </w:rPr>
      </w:pPr>
      <w:r>
        <w:rPr>
          <w:rFonts w:hint="eastAsia" w:ascii="微软雅黑" w:hAnsi="微软雅黑" w:eastAsia="微软雅黑" w:cs="微软雅黑"/>
          <w:bCs/>
          <w:kern w:val="0"/>
          <w:sz w:val="28"/>
          <w:szCs w:val="28"/>
        </w:rPr>
        <w:t>第2款 当天桥部分设施暂不实施时，其结构应预留后期加建的条件。</w:t>
      </w:r>
    </w:p>
    <w:p>
      <w:pPr>
        <w:adjustRightInd w:val="0"/>
        <w:snapToGrid w:val="0"/>
        <w:spacing w:line="360" w:lineRule="auto"/>
        <w:ind w:firstLine="560" w:firstLineChars="200"/>
        <w:jc w:val="left"/>
        <w:rPr>
          <w:rFonts w:ascii="微软雅黑" w:hAnsi="微软雅黑" w:eastAsia="微软雅黑" w:cs="微软雅黑"/>
          <w:bCs/>
          <w:kern w:val="0"/>
          <w:sz w:val="28"/>
          <w:szCs w:val="28"/>
        </w:rPr>
      </w:pPr>
      <w:r>
        <w:rPr>
          <w:rFonts w:hint="eastAsia" w:ascii="微软雅黑" w:hAnsi="微软雅黑" w:eastAsia="微软雅黑" w:cs="微软雅黑"/>
          <w:bCs/>
          <w:kern w:val="0"/>
          <w:sz w:val="28"/>
          <w:szCs w:val="28"/>
        </w:rPr>
        <w:t>第3款对于视觉障碍者而言，人行天桥下部三角区属于危险区域,极易发生碰撞,因此要求在结构边缘设置提示盲道,避免安全隐患。本条沿用《无障碍设计规范》GB 50763-2012中相关规定。</w:t>
      </w:r>
    </w:p>
    <w:p>
      <w:pPr>
        <w:spacing w:line="360" w:lineRule="auto"/>
        <w:jc w:val="left"/>
        <w:rPr>
          <w:rFonts w:ascii="宋体" w:hAnsi="宋体" w:cs="宋体"/>
          <w:b/>
          <w:kern w:val="0"/>
          <w:sz w:val="28"/>
          <w:szCs w:val="28"/>
        </w:rPr>
      </w:pPr>
      <w:r>
        <w:rPr>
          <w:rFonts w:hint="eastAsia" w:asciiTheme="minorEastAsia" w:hAnsiTheme="minorEastAsia" w:eastAsiaTheme="minorEastAsia"/>
          <w:b/>
          <w:bCs/>
          <w:sz w:val="28"/>
          <w:szCs w:val="28"/>
        </w:rPr>
        <w:t xml:space="preserve">6.2.4 </w:t>
      </w:r>
      <w:r>
        <w:rPr>
          <w:rFonts w:hint="eastAsia" w:ascii="宋体" w:hAnsi="宋体" w:cs="宋体"/>
          <w:bCs/>
          <w:kern w:val="0"/>
          <w:sz w:val="28"/>
          <w:szCs w:val="28"/>
        </w:rPr>
        <w:t>城市机动车道、非机动车道、人行地道和人行天桥，均应设置无障碍设施。有关</w:t>
      </w:r>
      <w:r>
        <w:rPr>
          <w:rFonts w:hint="eastAsia" w:ascii="宋体" w:hAnsi="宋体" w:cs="宋体"/>
          <w:kern w:val="0"/>
          <w:sz w:val="28"/>
          <w:szCs w:val="28"/>
        </w:rPr>
        <w:t>设施设置应符合下列规定：</w:t>
      </w:r>
    </w:p>
    <w:p>
      <w:pPr>
        <w:autoSpaceDE w:val="0"/>
        <w:autoSpaceDN w:val="0"/>
        <w:spacing w:line="360" w:lineRule="auto"/>
        <w:ind w:firstLine="562" w:firstLineChars="200"/>
        <w:jc w:val="left"/>
        <w:rPr>
          <w:rFonts w:ascii="宋体" w:hAnsi="宋体" w:cs="宋体"/>
          <w:kern w:val="0"/>
          <w:sz w:val="28"/>
          <w:szCs w:val="28"/>
        </w:rPr>
      </w:pPr>
      <w:r>
        <w:rPr>
          <w:rFonts w:hint="eastAsia" w:ascii="宋体" w:hAnsi="宋体" w:cs="宋体"/>
          <w:b/>
          <w:kern w:val="0"/>
          <w:sz w:val="28"/>
          <w:szCs w:val="28"/>
        </w:rPr>
        <w:t xml:space="preserve">1 </w:t>
      </w:r>
      <w:r>
        <w:rPr>
          <w:rFonts w:hint="eastAsia" w:ascii="宋体" w:hAnsi="宋体" w:cs="宋体"/>
          <w:bCs/>
          <w:kern w:val="0"/>
          <w:sz w:val="28"/>
          <w:szCs w:val="28"/>
        </w:rPr>
        <w:t>应</w:t>
      </w:r>
      <w:r>
        <w:rPr>
          <w:rFonts w:hint="eastAsia" w:ascii="宋体" w:hAnsi="宋体" w:cs="宋体"/>
          <w:kern w:val="0"/>
          <w:sz w:val="28"/>
          <w:szCs w:val="28"/>
        </w:rPr>
        <w:t>与周边建筑、道路的无障碍设施有效衔接；</w:t>
      </w:r>
    </w:p>
    <w:p>
      <w:pPr>
        <w:autoSpaceDE w:val="0"/>
        <w:autoSpaceDN w:val="0"/>
        <w:spacing w:line="360" w:lineRule="auto"/>
        <w:ind w:firstLine="562" w:firstLineChars="200"/>
        <w:jc w:val="left"/>
        <w:rPr>
          <w:rFonts w:ascii="宋体" w:hAnsi="宋体" w:cs="宋体"/>
          <w:kern w:val="0"/>
          <w:sz w:val="28"/>
          <w:szCs w:val="28"/>
        </w:rPr>
      </w:pPr>
      <w:r>
        <w:rPr>
          <w:rFonts w:hint="eastAsia" w:ascii="宋体" w:hAnsi="宋体" w:cs="宋体"/>
          <w:b/>
          <w:kern w:val="0"/>
          <w:sz w:val="28"/>
          <w:szCs w:val="28"/>
        </w:rPr>
        <w:t xml:space="preserve">2 </w:t>
      </w:r>
      <w:r>
        <w:rPr>
          <w:rFonts w:hint="eastAsia" w:ascii="宋体" w:hAnsi="宋体" w:cs="宋体"/>
          <w:kern w:val="0"/>
          <w:sz w:val="28"/>
          <w:szCs w:val="28"/>
        </w:rPr>
        <w:t>应保证安全和方便全龄全民使用；</w:t>
      </w:r>
    </w:p>
    <w:p>
      <w:pPr>
        <w:autoSpaceDE w:val="0"/>
        <w:autoSpaceDN w:val="0"/>
        <w:spacing w:line="360" w:lineRule="auto"/>
        <w:ind w:firstLine="562" w:firstLineChars="200"/>
        <w:jc w:val="left"/>
        <w:rPr>
          <w:rFonts w:ascii="宋体" w:hAnsi="宋体" w:cs="宋体"/>
          <w:kern w:val="0"/>
          <w:sz w:val="28"/>
          <w:szCs w:val="28"/>
        </w:rPr>
      </w:pPr>
      <w:r>
        <w:rPr>
          <w:rFonts w:hint="eastAsia" w:ascii="宋体" w:hAnsi="宋体" w:cs="宋体"/>
          <w:b/>
          <w:kern w:val="0"/>
          <w:sz w:val="28"/>
          <w:szCs w:val="28"/>
        </w:rPr>
        <w:t xml:space="preserve">3 </w:t>
      </w:r>
      <w:r>
        <w:rPr>
          <w:rFonts w:hint="eastAsia" w:ascii="宋体" w:hAnsi="宋体" w:cs="宋体"/>
          <w:kern w:val="0"/>
          <w:sz w:val="28"/>
          <w:szCs w:val="28"/>
        </w:rPr>
        <w:t>相应地面应坚固、平整、防滑、耐久、不积水；</w:t>
      </w:r>
    </w:p>
    <w:p>
      <w:pPr>
        <w:autoSpaceDE w:val="0"/>
        <w:autoSpaceDN w:val="0"/>
        <w:spacing w:line="360" w:lineRule="auto"/>
        <w:ind w:firstLine="562" w:firstLineChars="200"/>
        <w:jc w:val="left"/>
        <w:rPr>
          <w:rFonts w:ascii="宋体" w:hAnsi="宋体" w:cs="宋体"/>
          <w:b/>
          <w:kern w:val="0"/>
          <w:sz w:val="28"/>
          <w:szCs w:val="28"/>
        </w:rPr>
      </w:pPr>
      <w:r>
        <w:rPr>
          <w:rFonts w:hint="eastAsia" w:ascii="宋体" w:hAnsi="宋体" w:cs="宋体"/>
          <w:b/>
          <w:kern w:val="0"/>
          <w:sz w:val="28"/>
          <w:szCs w:val="28"/>
        </w:rPr>
        <w:t xml:space="preserve">4 </w:t>
      </w:r>
      <w:r>
        <w:rPr>
          <w:rFonts w:hint="eastAsia" w:ascii="宋体" w:hAnsi="宋体" w:cs="宋体"/>
          <w:bCs/>
          <w:kern w:val="0"/>
          <w:sz w:val="28"/>
          <w:szCs w:val="28"/>
        </w:rPr>
        <w:t>应避免出现尖角、锐利边缘及</w:t>
      </w:r>
      <w:r>
        <w:rPr>
          <w:rFonts w:ascii="宋体" w:hAnsi="宋体" w:cs="宋体"/>
          <w:bCs/>
          <w:kern w:val="0"/>
          <w:sz w:val="28"/>
          <w:szCs w:val="28"/>
        </w:rPr>
        <w:t>过于粗糙的表面</w:t>
      </w:r>
      <w:r>
        <w:rPr>
          <w:rFonts w:hint="eastAsia" w:ascii="宋体" w:hAnsi="宋体" w:cs="宋体"/>
          <w:b/>
          <w:kern w:val="0"/>
          <w:sz w:val="28"/>
          <w:szCs w:val="28"/>
        </w:rPr>
        <w:t>；</w:t>
      </w:r>
    </w:p>
    <w:p>
      <w:pPr>
        <w:autoSpaceDE w:val="0"/>
        <w:autoSpaceDN w:val="0"/>
        <w:spacing w:line="360" w:lineRule="auto"/>
        <w:ind w:firstLine="562" w:firstLineChars="200"/>
        <w:jc w:val="left"/>
        <w:rPr>
          <w:rFonts w:ascii="宋体" w:hAnsi="宋体" w:cs="宋体"/>
          <w:kern w:val="0"/>
          <w:sz w:val="28"/>
          <w:szCs w:val="28"/>
        </w:rPr>
      </w:pPr>
      <w:r>
        <w:rPr>
          <w:rFonts w:hint="eastAsia" w:ascii="宋体" w:hAnsi="宋体" w:cs="宋体"/>
          <w:b/>
          <w:kern w:val="0"/>
          <w:sz w:val="28"/>
          <w:szCs w:val="28"/>
        </w:rPr>
        <w:t xml:space="preserve">5 </w:t>
      </w:r>
      <w:r>
        <w:rPr>
          <w:rFonts w:hint="eastAsia" w:ascii="宋体" w:hAnsi="宋体" w:cs="宋体"/>
          <w:kern w:val="0"/>
          <w:sz w:val="28"/>
          <w:szCs w:val="28"/>
        </w:rPr>
        <w:t>应有充分照明；</w:t>
      </w:r>
    </w:p>
    <w:p>
      <w:pPr>
        <w:autoSpaceDE w:val="0"/>
        <w:autoSpaceDN w:val="0"/>
        <w:spacing w:line="360" w:lineRule="auto"/>
        <w:ind w:firstLine="562" w:firstLineChars="200"/>
        <w:jc w:val="left"/>
        <w:rPr>
          <w:rFonts w:ascii="宋体" w:hAnsi="宋体" w:cs="宋体"/>
          <w:bCs/>
          <w:kern w:val="0"/>
          <w:sz w:val="28"/>
          <w:szCs w:val="28"/>
        </w:rPr>
      </w:pPr>
      <w:r>
        <w:rPr>
          <w:rFonts w:hint="eastAsia" w:ascii="宋体" w:hAnsi="宋体" w:cs="宋体"/>
          <w:b/>
          <w:kern w:val="0"/>
          <w:sz w:val="28"/>
          <w:szCs w:val="28"/>
        </w:rPr>
        <w:t xml:space="preserve">6 </w:t>
      </w:r>
      <w:r>
        <w:rPr>
          <w:rFonts w:hint="eastAsia" w:ascii="宋体" w:hAnsi="宋体" w:cs="宋体"/>
          <w:bCs/>
          <w:kern w:val="0"/>
          <w:sz w:val="28"/>
          <w:szCs w:val="28"/>
        </w:rPr>
        <w:t>特定片区及视觉障碍者集中区域的人行横道，应配置过街音响提示装置。</w:t>
      </w:r>
    </w:p>
    <w:p>
      <w:pPr>
        <w:adjustRightInd w:val="0"/>
        <w:snapToGrid w:val="0"/>
        <w:spacing w:line="360" w:lineRule="auto"/>
        <w:jc w:val="left"/>
        <w:rPr>
          <w:rFonts w:ascii="微软雅黑" w:hAnsi="微软雅黑" w:eastAsia="微软雅黑" w:cs="微软雅黑"/>
          <w:bCs/>
          <w:kern w:val="0"/>
          <w:sz w:val="28"/>
          <w:szCs w:val="28"/>
        </w:rPr>
      </w:pPr>
      <w:r>
        <w:rPr>
          <w:rFonts w:hint="eastAsia" w:ascii="微软雅黑" w:hAnsi="微软雅黑" w:eastAsia="微软雅黑" w:cs="微软雅黑"/>
          <w:sz w:val="28"/>
          <w:szCs w:val="28"/>
        </w:rPr>
        <w:t>【条文说明】</w:t>
      </w:r>
      <w:r>
        <w:rPr>
          <w:rFonts w:hint="eastAsia" w:ascii="微软雅黑" w:hAnsi="微软雅黑" w:eastAsia="微软雅黑" w:cs="微软雅黑"/>
          <w:b/>
          <w:bCs/>
          <w:sz w:val="28"/>
          <w:szCs w:val="28"/>
        </w:rPr>
        <w:t xml:space="preserve">6.2.4 </w:t>
      </w:r>
      <w:r>
        <w:rPr>
          <w:rFonts w:hint="eastAsia" w:ascii="微软雅黑" w:hAnsi="微软雅黑" w:eastAsia="微软雅黑" w:cs="微软雅黑"/>
          <w:kern w:val="0"/>
          <w:sz w:val="28"/>
          <w:szCs w:val="28"/>
        </w:rPr>
        <w:t>第1款 提出本条，旨在</w:t>
      </w:r>
      <w:r>
        <w:rPr>
          <w:rFonts w:hint="eastAsia" w:ascii="微软雅黑" w:hAnsi="微软雅黑" w:eastAsia="微软雅黑" w:cs="微软雅黑"/>
          <w:bCs/>
          <w:kern w:val="0"/>
          <w:sz w:val="28"/>
          <w:szCs w:val="28"/>
        </w:rPr>
        <w:t>避免无障碍设施碎片化，保证出行链条完整性。</w:t>
      </w:r>
    </w:p>
    <w:p>
      <w:pPr>
        <w:autoSpaceDE w:val="0"/>
        <w:autoSpaceDN w:val="0"/>
        <w:spacing w:line="360" w:lineRule="auto"/>
        <w:ind w:firstLine="420" w:firstLineChars="150"/>
        <w:jc w:val="left"/>
        <w:rPr>
          <w:rFonts w:ascii="微软雅黑" w:hAnsi="微软雅黑" w:eastAsia="微软雅黑" w:cs="微软雅黑"/>
          <w:bCs/>
          <w:kern w:val="0"/>
          <w:sz w:val="28"/>
          <w:szCs w:val="28"/>
        </w:rPr>
      </w:pPr>
      <w:r>
        <w:rPr>
          <w:rFonts w:hint="eastAsia" w:ascii="微软雅黑" w:hAnsi="微软雅黑" w:eastAsia="微软雅黑" w:cs="微软雅黑"/>
          <w:bCs/>
          <w:kern w:val="0"/>
          <w:sz w:val="28"/>
          <w:szCs w:val="28"/>
        </w:rPr>
        <w:t>第6款 音响设施可为视觉障碍者通行提供有效帮助,发出“是否通行、还有多长通行时间和通行方向”等音响信息。该装置最好能够随环境噪音水平自动调节输出音量：高噪音环境下，输出较大音量；宁静环境下，自动调低音量。从而，在为视觉障碍者提供清晰讯息的同时，尽量减低对附近居民的滋扰。</w:t>
      </w:r>
    </w:p>
    <w:p>
      <w:pPr>
        <w:autoSpaceDE w:val="0"/>
        <w:autoSpaceDN w:val="0"/>
        <w:spacing w:line="360" w:lineRule="auto"/>
        <w:jc w:val="left"/>
        <w:rPr>
          <w:rFonts w:ascii="宋体" w:hAnsi="宋体" w:cs="宋体"/>
          <w:kern w:val="0"/>
          <w:sz w:val="28"/>
          <w:szCs w:val="28"/>
        </w:rPr>
      </w:pPr>
      <w:r>
        <w:rPr>
          <w:rFonts w:hint="eastAsia" w:ascii="宋体" w:hAnsi="宋体" w:cs="宋体"/>
          <w:b/>
          <w:kern w:val="0"/>
          <w:sz w:val="28"/>
          <w:szCs w:val="28"/>
        </w:rPr>
        <w:t xml:space="preserve">6.2.5 </w:t>
      </w:r>
      <w:r>
        <w:rPr>
          <w:rFonts w:hint="eastAsia" w:ascii="宋体" w:hAnsi="宋体" w:cs="宋体"/>
          <w:kern w:val="0"/>
          <w:sz w:val="28"/>
          <w:szCs w:val="28"/>
        </w:rPr>
        <w:t>缘石坡道和盲道设置，应符合下列规定：</w:t>
      </w:r>
    </w:p>
    <w:p>
      <w:pPr>
        <w:autoSpaceDE w:val="0"/>
        <w:autoSpaceDN w:val="0"/>
        <w:spacing w:line="360" w:lineRule="auto"/>
        <w:ind w:firstLine="562" w:firstLineChars="200"/>
        <w:jc w:val="left"/>
        <w:rPr>
          <w:rFonts w:ascii="宋体" w:hAnsi="宋体" w:cs="宋体"/>
          <w:b/>
          <w:kern w:val="0"/>
          <w:sz w:val="28"/>
          <w:szCs w:val="28"/>
        </w:rPr>
      </w:pPr>
      <w:r>
        <w:rPr>
          <w:rFonts w:hint="eastAsia" w:ascii="宋体" w:hAnsi="宋体" w:cs="宋体"/>
          <w:b/>
          <w:kern w:val="0"/>
          <w:sz w:val="28"/>
          <w:szCs w:val="28"/>
        </w:rPr>
        <w:t xml:space="preserve">1 </w:t>
      </w:r>
      <w:r>
        <w:rPr>
          <w:rFonts w:hint="eastAsia" w:ascii="宋体" w:hAnsi="宋体" w:cs="宋体"/>
          <w:bCs/>
          <w:kern w:val="0"/>
          <w:sz w:val="28"/>
          <w:szCs w:val="28"/>
        </w:rPr>
        <w:t>人行道在各种路口、各种出入口位置、人行横道两端，应设置缘石坡道；</w:t>
      </w:r>
    </w:p>
    <w:p>
      <w:pPr>
        <w:autoSpaceDE w:val="0"/>
        <w:autoSpaceDN w:val="0"/>
        <w:spacing w:line="360" w:lineRule="auto"/>
        <w:ind w:firstLine="562" w:firstLineChars="200"/>
        <w:jc w:val="left"/>
        <w:rPr>
          <w:rFonts w:ascii="宋体" w:hAnsi="宋体" w:cs="宋体"/>
          <w:b/>
          <w:kern w:val="0"/>
          <w:sz w:val="28"/>
          <w:szCs w:val="28"/>
        </w:rPr>
      </w:pPr>
      <w:r>
        <w:rPr>
          <w:rFonts w:hint="eastAsia" w:ascii="宋体" w:hAnsi="宋体" w:cs="宋体"/>
          <w:b/>
          <w:kern w:val="0"/>
          <w:sz w:val="28"/>
          <w:szCs w:val="28"/>
        </w:rPr>
        <w:t xml:space="preserve">2 </w:t>
      </w:r>
      <w:r>
        <w:rPr>
          <w:rFonts w:hint="eastAsia" w:ascii="宋体" w:hAnsi="宋体" w:cs="宋体"/>
          <w:bCs/>
          <w:kern w:val="0"/>
          <w:sz w:val="28"/>
          <w:szCs w:val="28"/>
        </w:rPr>
        <w:t>缘石坡道坡口应与车行道路面齐平，并与人行横道和自行车横道等宽；</w:t>
      </w:r>
    </w:p>
    <w:p>
      <w:pPr>
        <w:autoSpaceDE w:val="0"/>
        <w:autoSpaceDN w:val="0"/>
        <w:spacing w:line="360" w:lineRule="auto"/>
        <w:ind w:firstLine="562" w:firstLineChars="200"/>
        <w:jc w:val="left"/>
        <w:rPr>
          <w:rFonts w:ascii="宋体" w:hAnsi="宋体" w:cs="宋体"/>
          <w:kern w:val="0"/>
          <w:sz w:val="28"/>
          <w:szCs w:val="28"/>
        </w:rPr>
      </w:pPr>
      <w:r>
        <w:rPr>
          <w:rFonts w:hint="eastAsia" w:ascii="宋体" w:hAnsi="宋体" w:cs="宋体"/>
          <w:b/>
          <w:bCs/>
          <w:kern w:val="0"/>
          <w:sz w:val="28"/>
          <w:szCs w:val="28"/>
        </w:rPr>
        <w:t xml:space="preserve">3 </w:t>
      </w:r>
      <w:r>
        <w:rPr>
          <w:rFonts w:hint="eastAsia" w:ascii="宋体" w:hAnsi="宋体" w:cs="宋体"/>
          <w:kern w:val="0"/>
          <w:sz w:val="28"/>
          <w:szCs w:val="28"/>
        </w:rPr>
        <w:t>缘石坡道应设置符合规定的车止石或人行道防护桩；</w:t>
      </w:r>
    </w:p>
    <w:p>
      <w:pPr>
        <w:autoSpaceDE w:val="0"/>
        <w:autoSpaceDN w:val="0"/>
        <w:spacing w:line="360" w:lineRule="auto"/>
        <w:ind w:firstLine="562" w:firstLineChars="200"/>
        <w:jc w:val="left"/>
        <w:rPr>
          <w:rFonts w:ascii="宋体" w:hAnsi="宋体" w:cs="宋体"/>
          <w:kern w:val="0"/>
          <w:sz w:val="28"/>
          <w:szCs w:val="28"/>
        </w:rPr>
      </w:pPr>
      <w:r>
        <w:rPr>
          <w:rFonts w:hint="eastAsia" w:ascii="宋体" w:hAnsi="宋体" w:cs="宋体"/>
          <w:b/>
          <w:kern w:val="0"/>
          <w:sz w:val="28"/>
          <w:szCs w:val="28"/>
        </w:rPr>
        <w:t xml:space="preserve">4 </w:t>
      </w:r>
      <w:r>
        <w:rPr>
          <w:rFonts w:hint="eastAsia" w:ascii="宋体" w:hAnsi="宋体" w:cs="宋体"/>
          <w:kern w:val="0"/>
          <w:sz w:val="28"/>
          <w:szCs w:val="28"/>
        </w:rPr>
        <w:t>路缘石材料优先采用水泥混凝土；景观要求较高的路段，可采用花岗岩路缘石；</w:t>
      </w:r>
    </w:p>
    <w:p>
      <w:pPr>
        <w:autoSpaceDE w:val="0"/>
        <w:autoSpaceDN w:val="0"/>
        <w:spacing w:line="360" w:lineRule="auto"/>
        <w:ind w:firstLine="562" w:firstLineChars="200"/>
        <w:jc w:val="left"/>
        <w:rPr>
          <w:rFonts w:ascii="宋体" w:hAnsi="宋体" w:cs="宋体"/>
          <w:bCs/>
          <w:kern w:val="0"/>
          <w:sz w:val="28"/>
          <w:szCs w:val="28"/>
        </w:rPr>
      </w:pPr>
      <w:r>
        <w:rPr>
          <w:rFonts w:hint="eastAsia" w:ascii="宋体" w:hAnsi="宋体" w:cs="宋体"/>
          <w:b/>
          <w:kern w:val="0"/>
          <w:sz w:val="28"/>
          <w:szCs w:val="28"/>
        </w:rPr>
        <w:t xml:space="preserve">5 </w:t>
      </w:r>
      <w:r>
        <w:rPr>
          <w:rFonts w:hint="eastAsia" w:ascii="宋体" w:hAnsi="宋体" w:cs="宋体"/>
          <w:bCs/>
          <w:kern w:val="0"/>
          <w:sz w:val="28"/>
          <w:szCs w:val="28"/>
        </w:rPr>
        <w:t>交通安全岛宜整体下沉，方便轮椅推行，且应满足排水要求；</w:t>
      </w:r>
    </w:p>
    <w:p>
      <w:pPr>
        <w:autoSpaceDE w:val="0"/>
        <w:autoSpaceDN w:val="0"/>
        <w:spacing w:line="360" w:lineRule="auto"/>
        <w:ind w:firstLine="562" w:firstLineChars="200"/>
        <w:jc w:val="left"/>
        <w:rPr>
          <w:rFonts w:ascii="宋体" w:hAnsi="宋体" w:cs="宋体"/>
          <w:b/>
          <w:kern w:val="0"/>
          <w:sz w:val="28"/>
          <w:szCs w:val="28"/>
        </w:rPr>
      </w:pPr>
      <w:r>
        <w:rPr>
          <w:rFonts w:hint="eastAsia" w:ascii="宋体" w:hAnsi="宋体" w:cs="宋体"/>
          <w:b/>
          <w:kern w:val="0"/>
          <w:sz w:val="28"/>
          <w:szCs w:val="28"/>
        </w:rPr>
        <w:t xml:space="preserve">6 </w:t>
      </w:r>
      <w:r>
        <w:rPr>
          <w:rFonts w:ascii="宋体" w:hAnsi="宋体" w:cs="宋体"/>
          <w:bCs/>
          <w:kern w:val="0"/>
          <w:sz w:val="28"/>
          <w:szCs w:val="28"/>
        </w:rPr>
        <w:t>盲道铺设应避开障碍物</w:t>
      </w:r>
      <w:r>
        <w:rPr>
          <w:rFonts w:hint="eastAsia" w:ascii="宋体" w:hAnsi="宋体" w:cs="宋体"/>
          <w:bCs/>
          <w:kern w:val="0"/>
          <w:sz w:val="28"/>
          <w:szCs w:val="28"/>
        </w:rPr>
        <w:t>，</w:t>
      </w:r>
      <w:r>
        <w:rPr>
          <w:rFonts w:ascii="宋体" w:hAnsi="宋体" w:cs="宋体"/>
          <w:bCs/>
          <w:kern w:val="0"/>
          <w:sz w:val="28"/>
          <w:szCs w:val="28"/>
        </w:rPr>
        <w:t>其他设施不得占用盲道</w:t>
      </w:r>
      <w:r>
        <w:rPr>
          <w:rFonts w:hint="eastAsia" w:ascii="宋体" w:hAnsi="宋体" w:cs="宋体"/>
          <w:bCs/>
          <w:kern w:val="0"/>
          <w:sz w:val="28"/>
          <w:szCs w:val="28"/>
        </w:rPr>
        <w:t>；</w:t>
      </w:r>
    </w:p>
    <w:p>
      <w:pPr>
        <w:autoSpaceDE w:val="0"/>
        <w:autoSpaceDN w:val="0"/>
        <w:spacing w:line="360" w:lineRule="auto"/>
        <w:ind w:firstLine="562" w:firstLineChars="200"/>
        <w:jc w:val="left"/>
        <w:rPr>
          <w:rFonts w:ascii="宋体" w:hAnsi="宋体" w:cs="宋体"/>
          <w:bCs/>
          <w:kern w:val="0"/>
          <w:sz w:val="28"/>
          <w:szCs w:val="28"/>
        </w:rPr>
      </w:pPr>
      <w:r>
        <w:rPr>
          <w:rFonts w:hint="eastAsia" w:ascii="宋体" w:hAnsi="宋体" w:cs="宋体"/>
          <w:b/>
          <w:kern w:val="0"/>
          <w:sz w:val="28"/>
          <w:szCs w:val="28"/>
        </w:rPr>
        <w:t xml:space="preserve">7 </w:t>
      </w:r>
      <w:r>
        <w:rPr>
          <w:rFonts w:hint="eastAsia" w:ascii="宋体" w:hAnsi="宋体" w:cs="宋体"/>
          <w:bCs/>
          <w:kern w:val="0"/>
          <w:sz w:val="28"/>
          <w:szCs w:val="28"/>
        </w:rPr>
        <w:t>盲道所穿越的检查井盖，应采用下沉式（凹形）铺装。</w:t>
      </w:r>
    </w:p>
    <w:p>
      <w:pPr>
        <w:autoSpaceDE w:val="0"/>
        <w:autoSpaceDN w:val="0"/>
        <w:spacing w:line="360" w:lineRule="auto"/>
        <w:jc w:val="left"/>
        <w:rPr>
          <w:rFonts w:ascii="微软雅黑" w:hAnsi="微软雅黑" w:eastAsia="微软雅黑" w:cs="微软雅黑"/>
          <w:bCs/>
          <w:kern w:val="0"/>
          <w:sz w:val="28"/>
          <w:szCs w:val="28"/>
        </w:rPr>
      </w:pPr>
      <w:r>
        <w:rPr>
          <w:rFonts w:hint="eastAsia" w:ascii="微软雅黑" w:hAnsi="微软雅黑" w:eastAsia="微软雅黑" w:cs="微软雅黑"/>
          <w:bCs/>
          <w:kern w:val="0"/>
          <w:sz w:val="28"/>
          <w:szCs w:val="28"/>
        </w:rPr>
        <w:t>【条文说明】</w:t>
      </w:r>
      <w:r>
        <w:rPr>
          <w:rFonts w:hint="eastAsia" w:ascii="微软雅黑" w:hAnsi="微软雅黑" w:eastAsia="微软雅黑" w:cs="微软雅黑"/>
          <w:b/>
          <w:kern w:val="0"/>
          <w:sz w:val="28"/>
          <w:szCs w:val="28"/>
        </w:rPr>
        <w:t xml:space="preserve">6.2.5 </w:t>
      </w:r>
      <w:r>
        <w:rPr>
          <w:rFonts w:hint="eastAsia" w:ascii="微软雅黑" w:hAnsi="微软雅黑" w:eastAsia="微软雅黑" w:cs="微软雅黑"/>
          <w:kern w:val="0"/>
          <w:sz w:val="28"/>
          <w:szCs w:val="28"/>
        </w:rPr>
        <w:t>第2款 本款</w:t>
      </w:r>
      <w:r>
        <w:rPr>
          <w:rFonts w:hint="eastAsia" w:ascii="微软雅黑" w:hAnsi="微软雅黑" w:eastAsia="微软雅黑" w:cs="微软雅黑"/>
          <w:bCs/>
          <w:kern w:val="0"/>
          <w:sz w:val="28"/>
          <w:szCs w:val="28"/>
        </w:rPr>
        <w:t>在《无障碍设计规范》GB 50763-2012第3.1.1条规定基础上，增加零高差、等宽度规定，方便所有使用群体顺利通过路口，体现“通用设计原则”。</w:t>
      </w:r>
    </w:p>
    <w:p>
      <w:pPr>
        <w:autoSpaceDE w:val="0"/>
        <w:autoSpaceDN w:val="0"/>
        <w:spacing w:line="360" w:lineRule="auto"/>
        <w:ind w:firstLine="560" w:firstLineChars="200"/>
        <w:jc w:val="left"/>
        <w:rPr>
          <w:rFonts w:ascii="宋体" w:hAnsi="宋体" w:cs="宋体"/>
          <w:bCs/>
          <w:color w:val="00B050"/>
          <w:kern w:val="0"/>
          <w:sz w:val="28"/>
          <w:szCs w:val="28"/>
        </w:rPr>
      </w:pPr>
      <w:r>
        <w:rPr>
          <w:rFonts w:hint="eastAsia" w:ascii="微软雅黑" w:hAnsi="微软雅黑" w:eastAsia="微软雅黑" w:cs="微软雅黑"/>
          <w:kern w:val="0"/>
          <w:sz w:val="28"/>
          <w:szCs w:val="28"/>
        </w:rPr>
        <w:t>第3款 车止石与人行道防护桩设置应规范、整齐，不应妨碍行人及无障碍通行，并应满足机动车通视要求。</w:t>
      </w:r>
    </w:p>
    <w:p>
      <w:pPr>
        <w:autoSpaceDE w:val="0"/>
        <w:autoSpaceDN w:val="0"/>
        <w:spacing w:line="360" w:lineRule="auto"/>
        <w:ind w:firstLine="420" w:firstLineChars="150"/>
        <w:jc w:val="left"/>
        <w:rPr>
          <w:rFonts w:ascii="微软雅黑" w:hAnsi="微软雅黑" w:eastAsia="微软雅黑" w:cs="微软雅黑"/>
          <w:bCs/>
          <w:kern w:val="0"/>
          <w:sz w:val="28"/>
          <w:szCs w:val="28"/>
        </w:rPr>
      </w:pPr>
      <w:r>
        <w:rPr>
          <w:rFonts w:hint="eastAsia" w:ascii="微软雅黑" w:hAnsi="微软雅黑" w:eastAsia="微软雅黑" w:cs="微软雅黑"/>
          <w:bCs/>
          <w:kern w:val="0"/>
          <w:sz w:val="28"/>
          <w:szCs w:val="28"/>
        </w:rPr>
        <w:t>第5款 目前本市已建成人行横道上的安全岛，时常出现高出车行道的现象，影响乘轮椅者通行。本条对设计予以提醒。</w:t>
      </w:r>
    </w:p>
    <w:p>
      <w:pPr>
        <w:autoSpaceDE w:val="0"/>
        <w:autoSpaceDN w:val="0"/>
        <w:spacing w:line="360" w:lineRule="auto"/>
        <w:ind w:firstLine="560" w:firstLineChars="200"/>
        <w:jc w:val="left"/>
        <w:rPr>
          <w:rFonts w:ascii="微软雅黑" w:hAnsi="微软雅黑" w:eastAsia="微软雅黑" w:cs="微软雅黑"/>
          <w:bCs/>
          <w:kern w:val="0"/>
          <w:sz w:val="28"/>
          <w:szCs w:val="28"/>
        </w:rPr>
      </w:pPr>
      <w:r>
        <w:rPr>
          <w:rFonts w:hint="eastAsia" w:ascii="微软雅黑" w:hAnsi="微软雅黑" w:eastAsia="微软雅黑" w:cs="微软雅黑"/>
          <w:bCs/>
          <w:kern w:val="0"/>
          <w:sz w:val="28"/>
          <w:szCs w:val="28"/>
        </w:rPr>
        <w:t>第6款 盲道不仅引导视觉障碍者行走,还应保障他们行进安全,因此盲道在人行道上定位很重要,它应避开树木(穴)、电线杆和拉线等障碍物,其他设施也不得占用盲道。</w:t>
      </w:r>
    </w:p>
    <w:p>
      <w:pPr>
        <w:spacing w:line="360" w:lineRule="auto"/>
        <w:ind w:firstLine="560" w:firstLineChars="200"/>
        <w:jc w:val="left"/>
        <w:rPr>
          <w:rFonts w:ascii="微软雅黑" w:hAnsi="微软雅黑" w:eastAsia="微软雅黑" w:cs="微软雅黑"/>
          <w:bCs/>
          <w:color w:val="00B050"/>
          <w:kern w:val="0"/>
          <w:sz w:val="28"/>
          <w:szCs w:val="28"/>
        </w:rPr>
      </w:pPr>
      <w:r>
        <w:rPr>
          <w:rFonts w:hint="eastAsia" w:ascii="微软雅黑" w:hAnsi="微软雅黑" w:eastAsia="微软雅黑" w:cs="微软雅黑"/>
          <w:bCs/>
          <w:kern w:val="0"/>
          <w:sz w:val="28"/>
          <w:szCs w:val="28"/>
        </w:rPr>
        <w:t>第7款 人行道上通常设有各类市政井盖，导致盲道可能多次绕行井盖，破坏行走路径一致性，严重影响视觉障碍者安全行走。故本条提出相关设计要求。</w:t>
      </w:r>
    </w:p>
    <w:p>
      <w:pPr>
        <w:autoSpaceDE w:val="0"/>
        <w:autoSpaceDN w:val="0"/>
        <w:spacing w:line="360" w:lineRule="auto"/>
        <w:jc w:val="left"/>
        <w:rPr>
          <w:rFonts w:asciiTheme="minorEastAsia" w:hAnsiTheme="minorEastAsia" w:eastAsiaTheme="minorEastAsia"/>
          <w:bCs/>
          <w:sz w:val="28"/>
          <w:szCs w:val="28"/>
        </w:rPr>
      </w:pPr>
      <w:r>
        <w:rPr>
          <w:rFonts w:hint="eastAsia" w:asciiTheme="minorEastAsia" w:hAnsiTheme="minorEastAsia" w:eastAsiaTheme="minorEastAsia"/>
          <w:b/>
          <w:bCs/>
          <w:sz w:val="28"/>
          <w:szCs w:val="28"/>
        </w:rPr>
        <w:t xml:space="preserve">6.2.6 </w:t>
      </w:r>
      <w:r>
        <w:rPr>
          <w:rFonts w:hint="eastAsia" w:asciiTheme="minorEastAsia" w:hAnsiTheme="minorEastAsia" w:eastAsiaTheme="minorEastAsia"/>
          <w:bCs/>
          <w:sz w:val="28"/>
          <w:szCs w:val="28"/>
        </w:rPr>
        <w:t>路基设计，应符合下列规定:</w:t>
      </w:r>
    </w:p>
    <w:p>
      <w:pPr>
        <w:autoSpaceDE w:val="0"/>
        <w:autoSpaceDN w:val="0"/>
        <w:spacing w:line="360" w:lineRule="auto"/>
        <w:ind w:firstLine="562" w:firstLineChars="200"/>
        <w:jc w:val="left"/>
        <w:rPr>
          <w:rFonts w:ascii="宋体" w:hAnsi="宋体" w:cs="宋体"/>
          <w:kern w:val="0"/>
          <w:sz w:val="28"/>
          <w:szCs w:val="28"/>
        </w:rPr>
      </w:pPr>
      <w:r>
        <w:rPr>
          <w:rFonts w:hint="eastAsia" w:ascii="宋体" w:hAnsi="宋体" w:cs="宋体"/>
          <w:b/>
          <w:bCs/>
          <w:kern w:val="0"/>
          <w:sz w:val="28"/>
          <w:szCs w:val="28"/>
        </w:rPr>
        <w:t xml:space="preserve">1 </w:t>
      </w:r>
      <w:r>
        <w:rPr>
          <w:rFonts w:hint="eastAsia" w:ascii="宋体" w:hAnsi="宋体" w:cs="宋体"/>
          <w:kern w:val="0"/>
          <w:sz w:val="28"/>
          <w:szCs w:val="28"/>
        </w:rPr>
        <w:t>应减少高填深挖；</w:t>
      </w:r>
    </w:p>
    <w:p>
      <w:pPr>
        <w:autoSpaceDE w:val="0"/>
        <w:autoSpaceDN w:val="0"/>
        <w:spacing w:line="360" w:lineRule="auto"/>
        <w:ind w:firstLine="562" w:firstLineChars="200"/>
        <w:jc w:val="left"/>
        <w:rPr>
          <w:rFonts w:ascii="宋体" w:hAnsi="宋体" w:cs="宋体"/>
          <w:kern w:val="0"/>
          <w:sz w:val="28"/>
          <w:szCs w:val="28"/>
        </w:rPr>
      </w:pPr>
      <w:r>
        <w:rPr>
          <w:rFonts w:hint="eastAsia" w:ascii="宋体" w:hAnsi="宋体" w:cs="宋体"/>
          <w:b/>
          <w:bCs/>
          <w:kern w:val="0"/>
          <w:sz w:val="28"/>
          <w:szCs w:val="28"/>
        </w:rPr>
        <w:t xml:space="preserve">2 </w:t>
      </w:r>
      <w:r>
        <w:rPr>
          <w:rFonts w:hint="eastAsia" w:ascii="宋体" w:hAnsi="宋体" w:cs="宋体"/>
          <w:kern w:val="0"/>
          <w:sz w:val="28"/>
          <w:szCs w:val="28"/>
        </w:rPr>
        <w:t>特定建筑废弃物在满足使用要求的前提下，可作为路基填料；</w:t>
      </w:r>
    </w:p>
    <w:p>
      <w:pPr>
        <w:autoSpaceDE w:val="0"/>
        <w:autoSpaceDN w:val="0"/>
        <w:spacing w:line="360" w:lineRule="auto"/>
        <w:ind w:firstLine="562" w:firstLineChars="200"/>
        <w:jc w:val="left"/>
        <w:rPr>
          <w:rFonts w:ascii="宋体" w:hAnsi="宋体" w:cs="宋体"/>
          <w:kern w:val="0"/>
          <w:sz w:val="28"/>
          <w:szCs w:val="28"/>
        </w:rPr>
      </w:pPr>
      <w:r>
        <w:rPr>
          <w:rFonts w:hint="eastAsia" w:ascii="宋体" w:hAnsi="宋体" w:cs="宋体"/>
          <w:b/>
          <w:bCs/>
          <w:kern w:val="0"/>
          <w:sz w:val="28"/>
          <w:szCs w:val="28"/>
        </w:rPr>
        <w:t xml:space="preserve">3 </w:t>
      </w:r>
      <w:r>
        <w:rPr>
          <w:rFonts w:hint="eastAsia" w:ascii="宋体" w:hAnsi="宋体" w:cs="宋体"/>
          <w:kern w:val="0"/>
          <w:sz w:val="28"/>
          <w:szCs w:val="28"/>
        </w:rPr>
        <w:t>边坡应采用生态环保型防护方式，结合自然环境进行景观设计；</w:t>
      </w:r>
    </w:p>
    <w:p>
      <w:pPr>
        <w:autoSpaceDE w:val="0"/>
        <w:autoSpaceDN w:val="0"/>
        <w:spacing w:line="360" w:lineRule="auto"/>
        <w:ind w:firstLine="562" w:firstLineChars="200"/>
        <w:jc w:val="left"/>
        <w:rPr>
          <w:rFonts w:ascii="宋体" w:hAnsi="宋体" w:cs="宋体"/>
          <w:b/>
          <w:kern w:val="0"/>
          <w:sz w:val="28"/>
          <w:szCs w:val="28"/>
        </w:rPr>
      </w:pPr>
      <w:r>
        <w:rPr>
          <w:rFonts w:hint="eastAsia" w:ascii="宋体" w:hAnsi="宋体" w:cs="宋体"/>
          <w:b/>
          <w:bCs/>
          <w:kern w:val="0"/>
          <w:sz w:val="28"/>
          <w:szCs w:val="28"/>
        </w:rPr>
        <w:t xml:space="preserve">4 </w:t>
      </w:r>
      <w:r>
        <w:rPr>
          <w:rFonts w:hint="eastAsia" w:ascii="宋体" w:hAnsi="宋体" w:cs="宋体"/>
          <w:bCs/>
          <w:kern w:val="0"/>
          <w:sz w:val="28"/>
          <w:szCs w:val="28"/>
        </w:rPr>
        <w:t>挡土墙外露高度不宜超过4.5m，并应采用景观美化。</w:t>
      </w:r>
    </w:p>
    <w:p>
      <w:pPr>
        <w:spacing w:line="360" w:lineRule="auto"/>
        <w:jc w:val="left"/>
        <w:rPr>
          <w:rFonts w:ascii="微软雅黑" w:hAnsi="微软雅黑" w:eastAsia="微软雅黑" w:cs="微软雅黑"/>
          <w:bCs/>
          <w:kern w:val="0"/>
          <w:sz w:val="28"/>
          <w:szCs w:val="28"/>
        </w:rPr>
      </w:pPr>
      <w:r>
        <w:rPr>
          <w:rFonts w:hint="eastAsia" w:ascii="微软雅黑" w:hAnsi="微软雅黑" w:eastAsia="微软雅黑" w:cs="微软雅黑"/>
          <w:bCs/>
          <w:kern w:val="0"/>
          <w:sz w:val="28"/>
          <w:szCs w:val="28"/>
        </w:rPr>
        <w:t>【条文说明】6.2.6 第1款 高填深挖路基边坡路段，直接关系到工程安全、工程投资和环保景观等，应进行合理控制，最大限度地减少对生态环境破坏，实现与自然协调共处，节约用地资源。</w:t>
      </w:r>
    </w:p>
    <w:p>
      <w:pPr>
        <w:spacing w:line="360" w:lineRule="auto"/>
        <w:ind w:firstLine="560" w:firstLineChars="200"/>
        <w:jc w:val="left"/>
        <w:rPr>
          <w:rFonts w:ascii="微软雅黑" w:hAnsi="微软雅黑" w:eastAsia="微软雅黑" w:cs="微软雅黑"/>
          <w:bCs/>
          <w:kern w:val="0"/>
          <w:sz w:val="28"/>
          <w:szCs w:val="28"/>
        </w:rPr>
      </w:pPr>
      <w:r>
        <w:rPr>
          <w:rFonts w:hint="eastAsia" w:ascii="微软雅黑" w:hAnsi="微软雅黑" w:eastAsia="微软雅黑" w:cs="微软雅黑"/>
          <w:bCs/>
          <w:kern w:val="0"/>
          <w:sz w:val="28"/>
          <w:szCs w:val="28"/>
        </w:rPr>
        <w:t xml:space="preserve"> 第2款 关于建筑废弃物作为路基填料的设计，可参见《深圳市建筑废弃物再生产品应用工程技术规程》SGJ 37-2017。</w:t>
      </w:r>
    </w:p>
    <w:p>
      <w:pPr>
        <w:spacing w:line="360" w:lineRule="auto"/>
        <w:ind w:firstLine="560" w:firstLineChars="200"/>
        <w:jc w:val="left"/>
        <w:rPr>
          <w:rFonts w:ascii="微软雅黑" w:hAnsi="微软雅黑" w:eastAsia="微软雅黑" w:cs="微软雅黑"/>
          <w:bCs/>
          <w:kern w:val="0"/>
          <w:sz w:val="28"/>
          <w:szCs w:val="28"/>
        </w:rPr>
      </w:pPr>
      <w:r>
        <w:rPr>
          <w:rFonts w:hint="eastAsia" w:ascii="微软雅黑" w:hAnsi="微软雅黑" w:eastAsia="微软雅黑" w:cs="微软雅黑"/>
          <w:bCs/>
          <w:kern w:val="0"/>
          <w:sz w:val="28"/>
          <w:szCs w:val="28"/>
        </w:rPr>
        <w:t>第3、4款 城市道路边坡、挡墙等设施，属于城市景观的重要组成部分。本条要求在满足使用功能的前提下，应注重合理景观设计，美化城市环境。</w:t>
      </w:r>
    </w:p>
    <w:p>
      <w:pPr>
        <w:spacing w:line="360" w:lineRule="auto"/>
        <w:jc w:val="left"/>
        <w:rPr>
          <w:rFonts w:asciiTheme="minorEastAsia" w:hAnsiTheme="minorEastAsia" w:eastAsiaTheme="minorEastAsia"/>
          <w:bCs/>
          <w:sz w:val="28"/>
          <w:szCs w:val="28"/>
        </w:rPr>
      </w:pPr>
      <w:r>
        <w:rPr>
          <w:rFonts w:hint="eastAsia" w:asciiTheme="minorEastAsia" w:hAnsiTheme="minorEastAsia" w:eastAsiaTheme="minorEastAsia"/>
          <w:b/>
          <w:bCs/>
          <w:sz w:val="28"/>
          <w:szCs w:val="28"/>
        </w:rPr>
        <w:t xml:space="preserve">6.2.7 </w:t>
      </w:r>
      <w:r>
        <w:rPr>
          <w:rFonts w:hint="eastAsia" w:asciiTheme="minorEastAsia" w:hAnsiTheme="minorEastAsia" w:eastAsiaTheme="minorEastAsia"/>
          <w:bCs/>
          <w:sz w:val="28"/>
          <w:szCs w:val="28"/>
        </w:rPr>
        <w:t>机动车道路面设计，应符合下列规定:</w:t>
      </w:r>
    </w:p>
    <w:p>
      <w:pPr>
        <w:autoSpaceDE w:val="0"/>
        <w:autoSpaceDN w:val="0"/>
        <w:spacing w:line="360" w:lineRule="auto"/>
        <w:ind w:firstLine="562" w:firstLineChars="200"/>
        <w:jc w:val="left"/>
        <w:rPr>
          <w:rFonts w:ascii="宋体" w:hAnsi="宋体" w:cs="宋体"/>
          <w:kern w:val="0"/>
          <w:sz w:val="28"/>
          <w:szCs w:val="28"/>
        </w:rPr>
      </w:pPr>
      <w:r>
        <w:rPr>
          <w:rFonts w:hint="eastAsia" w:ascii="宋体" w:hAnsi="宋体" w:cs="宋体"/>
          <w:b/>
          <w:bCs/>
          <w:kern w:val="0"/>
          <w:sz w:val="28"/>
          <w:szCs w:val="28"/>
        </w:rPr>
        <w:t xml:space="preserve">1 </w:t>
      </w:r>
      <w:r>
        <w:rPr>
          <w:rFonts w:hint="eastAsia" w:ascii="宋体" w:hAnsi="宋体" w:cs="宋体"/>
          <w:kern w:val="0"/>
          <w:sz w:val="28"/>
          <w:szCs w:val="28"/>
        </w:rPr>
        <w:t>原则上城市道路应采用沥青混凝土路面；</w:t>
      </w:r>
    </w:p>
    <w:p>
      <w:pPr>
        <w:autoSpaceDE w:val="0"/>
        <w:autoSpaceDN w:val="0"/>
        <w:spacing w:line="360" w:lineRule="auto"/>
        <w:ind w:firstLine="562" w:firstLineChars="200"/>
        <w:jc w:val="left"/>
        <w:rPr>
          <w:rFonts w:ascii="宋体" w:hAnsi="宋体" w:cs="宋体"/>
          <w:bCs/>
          <w:kern w:val="0"/>
          <w:sz w:val="28"/>
          <w:szCs w:val="28"/>
        </w:rPr>
      </w:pPr>
      <w:r>
        <w:rPr>
          <w:rFonts w:hint="eastAsia" w:ascii="宋体" w:hAnsi="宋体" w:cs="宋体"/>
          <w:b/>
          <w:bCs/>
          <w:kern w:val="0"/>
          <w:sz w:val="28"/>
          <w:szCs w:val="28"/>
        </w:rPr>
        <w:t xml:space="preserve">2 </w:t>
      </w:r>
      <w:r>
        <w:rPr>
          <w:rFonts w:hint="eastAsia" w:ascii="宋体" w:hAnsi="宋体" w:cs="宋体"/>
          <w:bCs/>
          <w:kern w:val="0"/>
          <w:sz w:val="28"/>
          <w:szCs w:val="28"/>
        </w:rPr>
        <w:t>居民区、医院、学校、养老机构和幼儿园等噪音敏感区域，应采用降噪路面；</w:t>
      </w:r>
    </w:p>
    <w:p>
      <w:pPr>
        <w:autoSpaceDE w:val="0"/>
        <w:autoSpaceDN w:val="0"/>
        <w:spacing w:line="360" w:lineRule="auto"/>
        <w:ind w:firstLine="562" w:firstLineChars="200"/>
        <w:jc w:val="left"/>
        <w:rPr>
          <w:rFonts w:ascii="宋体" w:hAnsi="宋体" w:cs="宋体"/>
          <w:kern w:val="0"/>
          <w:sz w:val="28"/>
          <w:szCs w:val="28"/>
        </w:rPr>
      </w:pPr>
      <w:r>
        <w:rPr>
          <w:rFonts w:hint="eastAsia" w:ascii="宋体" w:hAnsi="宋体" w:cs="宋体"/>
          <w:b/>
          <w:bCs/>
          <w:kern w:val="0"/>
          <w:sz w:val="28"/>
          <w:szCs w:val="28"/>
        </w:rPr>
        <w:t>3</w:t>
      </w:r>
      <w:r>
        <w:rPr>
          <w:rFonts w:hint="eastAsia" w:ascii="宋体" w:hAnsi="宋体" w:cs="宋体"/>
          <w:kern w:val="0"/>
          <w:sz w:val="28"/>
          <w:szCs w:val="28"/>
        </w:rPr>
        <w:t xml:space="preserve"> 改扩建道路，应进行路面材料再生利用分析论证：再生沥青面层宜采用厂拌热再生或就地热再生沥青混合料，水泥混凝土面层宜加铺利用或碎石化利用。</w:t>
      </w:r>
    </w:p>
    <w:p>
      <w:pPr>
        <w:spacing w:line="360" w:lineRule="auto"/>
        <w:jc w:val="left"/>
        <w:rPr>
          <w:rFonts w:ascii="宋体" w:hAnsi="宋体" w:cs="宋体"/>
          <w:color w:val="00B050"/>
          <w:kern w:val="0"/>
          <w:sz w:val="28"/>
          <w:szCs w:val="28"/>
        </w:rPr>
      </w:pPr>
      <w:r>
        <w:rPr>
          <w:rFonts w:hint="eastAsia" w:ascii="微软雅黑" w:hAnsi="微软雅黑" w:eastAsia="微软雅黑" w:cs="微软雅黑"/>
          <w:bCs/>
          <w:kern w:val="0"/>
          <w:sz w:val="28"/>
          <w:szCs w:val="28"/>
        </w:rPr>
        <w:t>【条文说明】</w:t>
      </w:r>
      <w:r>
        <w:rPr>
          <w:rFonts w:hint="eastAsia" w:ascii="微软雅黑" w:hAnsi="微软雅黑" w:eastAsia="微软雅黑" w:cs="微软雅黑"/>
          <w:b/>
          <w:kern w:val="0"/>
          <w:sz w:val="28"/>
          <w:szCs w:val="28"/>
        </w:rPr>
        <w:t xml:space="preserve">6.2.7 </w:t>
      </w:r>
      <w:r>
        <w:rPr>
          <w:rFonts w:hint="eastAsia" w:ascii="微软雅黑" w:hAnsi="微软雅黑" w:eastAsia="微软雅黑" w:cs="微软雅黑"/>
          <w:bCs/>
          <w:kern w:val="0"/>
          <w:sz w:val="28"/>
          <w:szCs w:val="28"/>
        </w:rPr>
        <w:t>第1款 沥青路面面层，可优选沥青混凝土混合料（AC）、透水沥青混合料（PAC、OGFC）或温拌沥青混合料。此外，对于码头区货运重载道路或有长寿命需求的道路等，可采用水泥混凝土路面。</w:t>
      </w:r>
    </w:p>
    <w:p>
      <w:pPr>
        <w:spacing w:line="360" w:lineRule="auto"/>
        <w:jc w:val="left"/>
        <w:rPr>
          <w:rFonts w:asciiTheme="minorEastAsia" w:hAnsiTheme="minorEastAsia" w:eastAsiaTheme="minorEastAsia"/>
          <w:bCs/>
          <w:sz w:val="28"/>
          <w:szCs w:val="28"/>
        </w:rPr>
      </w:pPr>
      <w:r>
        <w:rPr>
          <w:rFonts w:hint="eastAsia" w:asciiTheme="minorEastAsia" w:hAnsiTheme="minorEastAsia" w:eastAsiaTheme="minorEastAsia"/>
          <w:b/>
          <w:bCs/>
          <w:sz w:val="28"/>
          <w:szCs w:val="28"/>
        </w:rPr>
        <w:t xml:space="preserve">6.2.8 </w:t>
      </w:r>
      <w:r>
        <w:rPr>
          <w:rFonts w:hint="eastAsia" w:asciiTheme="minorEastAsia" w:hAnsiTheme="minorEastAsia" w:eastAsiaTheme="minorEastAsia"/>
          <w:bCs/>
          <w:sz w:val="28"/>
          <w:szCs w:val="28"/>
        </w:rPr>
        <w:t>道路附属设施设计，应符合下列规定:</w:t>
      </w:r>
    </w:p>
    <w:p>
      <w:pPr>
        <w:spacing w:line="360" w:lineRule="auto"/>
        <w:ind w:firstLine="562" w:firstLineChars="200"/>
        <w:jc w:val="left"/>
        <w:rPr>
          <w:rFonts w:asciiTheme="minorEastAsia" w:hAnsiTheme="minorEastAsia" w:eastAsiaTheme="minorEastAsia"/>
          <w:sz w:val="28"/>
          <w:szCs w:val="28"/>
        </w:rPr>
      </w:pPr>
      <w:r>
        <w:rPr>
          <w:rFonts w:hint="eastAsia" w:asciiTheme="minorEastAsia" w:hAnsiTheme="minorEastAsia" w:eastAsiaTheme="minorEastAsia"/>
          <w:b/>
          <w:bCs/>
          <w:sz w:val="28"/>
          <w:szCs w:val="28"/>
        </w:rPr>
        <w:t>1</w:t>
      </w:r>
      <w:r>
        <w:rPr>
          <w:rFonts w:hint="eastAsia" w:asciiTheme="minorEastAsia" w:hAnsiTheme="minorEastAsia" w:eastAsiaTheme="minorEastAsia"/>
          <w:sz w:val="28"/>
          <w:szCs w:val="28"/>
        </w:rPr>
        <w:t xml:space="preserve"> 城市道路应全面设置交通高清视频监控系统；</w:t>
      </w:r>
    </w:p>
    <w:p>
      <w:pPr>
        <w:spacing w:line="360" w:lineRule="auto"/>
        <w:ind w:firstLine="562" w:firstLineChars="200"/>
        <w:jc w:val="left"/>
        <w:rPr>
          <w:rFonts w:asciiTheme="minorEastAsia" w:hAnsiTheme="minorEastAsia" w:eastAsiaTheme="minorEastAsia"/>
          <w:sz w:val="28"/>
          <w:szCs w:val="28"/>
        </w:rPr>
      </w:pPr>
      <w:r>
        <w:rPr>
          <w:rFonts w:hint="eastAsia" w:asciiTheme="minorEastAsia" w:hAnsiTheme="minorEastAsia" w:eastAsiaTheme="minorEastAsia"/>
          <w:b/>
          <w:bCs/>
          <w:sz w:val="28"/>
          <w:szCs w:val="28"/>
        </w:rPr>
        <w:t>2</w:t>
      </w:r>
      <w:r>
        <w:rPr>
          <w:rFonts w:hint="eastAsia" w:asciiTheme="minorEastAsia" w:hAnsiTheme="minorEastAsia" w:eastAsiaTheme="minorEastAsia"/>
          <w:sz w:val="28"/>
          <w:szCs w:val="28"/>
        </w:rPr>
        <w:t xml:space="preserve"> 城市道路试点路段可配套设置无人驾驶设施；</w:t>
      </w:r>
    </w:p>
    <w:p>
      <w:pPr>
        <w:autoSpaceDE w:val="0"/>
        <w:autoSpaceDN w:val="0"/>
        <w:spacing w:line="360" w:lineRule="auto"/>
        <w:ind w:firstLine="562" w:firstLineChars="200"/>
        <w:jc w:val="left"/>
        <w:rPr>
          <w:rFonts w:ascii="宋体" w:hAnsi="宋体" w:cs="宋体"/>
          <w:kern w:val="0"/>
          <w:sz w:val="28"/>
          <w:szCs w:val="28"/>
        </w:rPr>
      </w:pPr>
      <w:r>
        <w:rPr>
          <w:rFonts w:hint="eastAsia" w:ascii="宋体" w:hAnsi="宋体" w:cs="宋体"/>
          <w:b/>
          <w:bCs/>
          <w:kern w:val="0"/>
          <w:sz w:val="28"/>
          <w:szCs w:val="28"/>
        </w:rPr>
        <w:t>3</w:t>
      </w:r>
      <w:r>
        <w:rPr>
          <w:rFonts w:hint="eastAsia" w:ascii="宋体" w:hAnsi="宋体" w:cs="宋体"/>
          <w:kern w:val="0"/>
          <w:sz w:val="28"/>
          <w:szCs w:val="28"/>
        </w:rPr>
        <w:t xml:space="preserve"> 机动车道检查井应采用可调式防沉降井盖，检查井不应位于车辆轮迹线上；</w:t>
      </w:r>
    </w:p>
    <w:p>
      <w:pPr>
        <w:spacing w:line="360" w:lineRule="auto"/>
        <w:ind w:firstLine="562" w:firstLineChars="200"/>
        <w:jc w:val="left"/>
        <w:rPr>
          <w:rFonts w:ascii="宋体" w:hAnsi="宋体" w:cs="宋体"/>
          <w:kern w:val="0"/>
          <w:sz w:val="28"/>
          <w:szCs w:val="28"/>
        </w:rPr>
      </w:pPr>
      <w:r>
        <w:rPr>
          <w:rFonts w:hint="eastAsia" w:asciiTheme="minorEastAsia" w:hAnsiTheme="minorEastAsia" w:eastAsiaTheme="minorEastAsia"/>
          <w:b/>
          <w:bCs/>
          <w:sz w:val="28"/>
          <w:szCs w:val="28"/>
        </w:rPr>
        <w:t>4</w:t>
      </w:r>
      <w:r>
        <w:rPr>
          <w:rFonts w:hint="eastAsia" w:asciiTheme="minorEastAsia" w:hAnsiTheme="minorEastAsia" w:eastAsiaTheme="minorEastAsia"/>
          <w:sz w:val="28"/>
          <w:szCs w:val="28"/>
        </w:rPr>
        <w:t xml:space="preserve"> 道路上各类附属设施应整合设计，</w:t>
      </w:r>
      <w:r>
        <w:rPr>
          <w:rFonts w:hint="eastAsia" w:ascii="宋体" w:hAnsi="宋体" w:cs="宋体"/>
          <w:kern w:val="0"/>
          <w:sz w:val="28"/>
          <w:szCs w:val="28"/>
        </w:rPr>
        <w:t>推广应用智慧灯杆；</w:t>
      </w:r>
    </w:p>
    <w:p>
      <w:pPr>
        <w:spacing w:line="360" w:lineRule="auto"/>
        <w:ind w:firstLine="562" w:firstLineChars="200"/>
        <w:jc w:val="left"/>
        <w:rPr>
          <w:rFonts w:asciiTheme="minorEastAsia" w:hAnsiTheme="minorEastAsia" w:eastAsiaTheme="minorEastAsia"/>
          <w:sz w:val="28"/>
          <w:szCs w:val="28"/>
        </w:rPr>
      </w:pPr>
      <w:r>
        <w:rPr>
          <w:rFonts w:hint="eastAsia" w:ascii="宋体" w:hAnsi="宋体" w:cs="宋体"/>
          <w:b/>
          <w:bCs/>
          <w:kern w:val="0"/>
          <w:sz w:val="28"/>
          <w:szCs w:val="28"/>
        </w:rPr>
        <w:t xml:space="preserve">5 </w:t>
      </w:r>
      <w:r>
        <w:rPr>
          <w:rFonts w:hint="eastAsia" w:asciiTheme="minorEastAsia" w:hAnsiTheme="minorEastAsia" w:eastAsiaTheme="minorEastAsia"/>
          <w:sz w:val="28"/>
          <w:szCs w:val="28"/>
        </w:rPr>
        <w:t>相邻路段路灯选型设计，应保持协调和美观；</w:t>
      </w:r>
    </w:p>
    <w:p>
      <w:pPr>
        <w:spacing w:line="360" w:lineRule="auto"/>
        <w:ind w:firstLine="562" w:firstLineChars="200"/>
        <w:jc w:val="left"/>
        <w:rPr>
          <w:rFonts w:asciiTheme="minorEastAsia" w:hAnsiTheme="minorEastAsia" w:eastAsiaTheme="minorEastAsia"/>
          <w:sz w:val="28"/>
          <w:szCs w:val="28"/>
        </w:rPr>
      </w:pPr>
      <w:r>
        <w:rPr>
          <w:rFonts w:hint="eastAsia" w:asciiTheme="minorEastAsia" w:hAnsiTheme="minorEastAsia" w:eastAsiaTheme="minorEastAsia"/>
          <w:b/>
          <w:bCs/>
          <w:sz w:val="28"/>
          <w:szCs w:val="28"/>
        </w:rPr>
        <w:t>6</w:t>
      </w:r>
      <w:r>
        <w:rPr>
          <w:rFonts w:hint="eastAsia" w:asciiTheme="minorEastAsia" w:hAnsiTheme="minorEastAsia" w:eastAsiaTheme="minorEastAsia"/>
          <w:sz w:val="28"/>
          <w:szCs w:val="28"/>
        </w:rPr>
        <w:t>市政管线材料及敷设方式应合理选择，防止因自身损坏而造成道路塌陷；</w:t>
      </w:r>
    </w:p>
    <w:p>
      <w:pPr>
        <w:pStyle w:val="77"/>
        <w:spacing w:line="360" w:lineRule="auto"/>
        <w:ind w:firstLine="562"/>
        <w:jc w:val="left"/>
        <w:rPr>
          <w:rFonts w:asciiTheme="minorEastAsia" w:hAnsiTheme="minorEastAsia" w:eastAsiaTheme="minorEastAsia"/>
          <w:sz w:val="28"/>
          <w:szCs w:val="28"/>
        </w:rPr>
      </w:pPr>
      <w:r>
        <w:rPr>
          <w:rFonts w:hint="eastAsia" w:asciiTheme="minorEastAsia" w:hAnsiTheme="minorEastAsia" w:eastAsiaTheme="minorEastAsia"/>
          <w:b/>
          <w:bCs/>
          <w:sz w:val="28"/>
          <w:szCs w:val="28"/>
        </w:rPr>
        <w:t>7</w:t>
      </w:r>
      <w:r>
        <w:rPr>
          <w:rFonts w:hint="eastAsia" w:asciiTheme="minorEastAsia" w:hAnsiTheme="minorEastAsia" w:eastAsiaTheme="minorEastAsia"/>
          <w:sz w:val="28"/>
          <w:szCs w:val="28"/>
        </w:rPr>
        <w:t>快速路或未采取大型货车限行措施的干线性主干路，在毗邻既有居民区、医院、学校、养老院和幼儿园的路段，应根据环评报告设置隔音设施；</w:t>
      </w:r>
    </w:p>
    <w:p>
      <w:pPr>
        <w:pStyle w:val="77"/>
        <w:spacing w:line="360" w:lineRule="auto"/>
        <w:ind w:firstLine="562"/>
        <w:jc w:val="left"/>
        <w:rPr>
          <w:rFonts w:asciiTheme="minorEastAsia" w:hAnsiTheme="minorEastAsia" w:eastAsiaTheme="minorEastAsia"/>
          <w:sz w:val="28"/>
          <w:szCs w:val="28"/>
        </w:rPr>
      </w:pPr>
      <w:r>
        <w:rPr>
          <w:rFonts w:hint="eastAsia" w:asciiTheme="minorEastAsia" w:hAnsiTheme="minorEastAsia" w:eastAsiaTheme="minorEastAsia"/>
          <w:b/>
          <w:bCs/>
          <w:sz w:val="28"/>
          <w:szCs w:val="28"/>
        </w:rPr>
        <w:t xml:space="preserve">8 </w:t>
      </w:r>
      <w:r>
        <w:rPr>
          <w:rFonts w:hint="eastAsia" w:asciiTheme="minorEastAsia" w:hAnsiTheme="minorEastAsia" w:eastAsiaTheme="minorEastAsia"/>
          <w:sz w:val="28"/>
          <w:szCs w:val="28"/>
        </w:rPr>
        <w:t>地形险要或危险地段，应设置安全防护设施、安全警示线和安全提示标志；</w:t>
      </w:r>
    </w:p>
    <w:p>
      <w:pPr>
        <w:pStyle w:val="77"/>
        <w:spacing w:line="360" w:lineRule="auto"/>
        <w:ind w:firstLine="562"/>
        <w:jc w:val="left"/>
        <w:rPr>
          <w:rFonts w:asciiTheme="minorEastAsia" w:hAnsiTheme="minorEastAsia" w:eastAsiaTheme="minorEastAsia"/>
          <w:sz w:val="28"/>
          <w:szCs w:val="28"/>
        </w:rPr>
      </w:pPr>
      <w:r>
        <w:rPr>
          <w:rFonts w:hint="eastAsia" w:asciiTheme="minorEastAsia" w:hAnsiTheme="minorEastAsia" w:eastAsiaTheme="minorEastAsia"/>
          <w:b/>
          <w:sz w:val="28"/>
          <w:szCs w:val="28"/>
        </w:rPr>
        <w:t>9</w:t>
      </w:r>
      <w:r>
        <w:rPr>
          <w:rFonts w:hint="eastAsia" w:asciiTheme="minorEastAsia" w:hAnsiTheme="minorEastAsia" w:eastAsiaTheme="minorEastAsia"/>
          <w:sz w:val="28"/>
          <w:szCs w:val="28"/>
        </w:rPr>
        <w:t>公交站点宜通过集成化设计，提供遮阳、歇憩、环卫等公共设施和区域地图等公共信息。</w:t>
      </w:r>
    </w:p>
    <w:p>
      <w:pPr>
        <w:spacing w:line="360" w:lineRule="auto"/>
        <w:jc w:val="left"/>
        <w:rPr>
          <w:rFonts w:ascii="微软雅黑" w:hAnsi="微软雅黑" w:eastAsia="微软雅黑" w:cs="微软雅黑"/>
          <w:bCs/>
          <w:kern w:val="0"/>
          <w:sz w:val="28"/>
          <w:szCs w:val="28"/>
        </w:rPr>
      </w:pPr>
      <w:r>
        <w:rPr>
          <w:rFonts w:hint="eastAsia" w:ascii="微软雅黑" w:hAnsi="微软雅黑" w:eastAsia="微软雅黑" w:cs="微软雅黑"/>
          <w:bCs/>
          <w:kern w:val="0"/>
          <w:sz w:val="28"/>
          <w:szCs w:val="28"/>
        </w:rPr>
        <w:t>【条文说明】</w:t>
      </w:r>
      <w:r>
        <w:rPr>
          <w:rFonts w:hint="eastAsia" w:ascii="微软雅黑" w:hAnsi="微软雅黑" w:eastAsia="微软雅黑" w:cs="微软雅黑"/>
          <w:b/>
          <w:kern w:val="0"/>
          <w:sz w:val="28"/>
          <w:szCs w:val="28"/>
        </w:rPr>
        <w:t xml:space="preserve">6.2.8 </w:t>
      </w:r>
      <w:r>
        <w:rPr>
          <w:rFonts w:hint="eastAsia" w:ascii="微软雅黑" w:hAnsi="微软雅黑" w:eastAsia="微软雅黑" w:cs="微软雅黑"/>
          <w:bCs/>
          <w:kern w:val="0"/>
          <w:sz w:val="28"/>
          <w:szCs w:val="28"/>
        </w:rPr>
        <w:t>第4款 由于建设单位和管养单位不同、设计标准往往不一致等多方原因，目前城市道路上支撑杆件过多过杂，交通标志、智能交通设施、路灯、安防监控和基站等杆件林立，城市景观凌乱，并不同程度地影响行人通行，亟待规范整合。整合设计旨在避免妨碍行人通行及引起视觉混乱。</w:t>
      </w:r>
    </w:p>
    <w:p>
      <w:pPr>
        <w:spacing w:line="360" w:lineRule="auto"/>
        <w:ind w:firstLine="560" w:firstLineChars="200"/>
        <w:jc w:val="left"/>
        <w:rPr>
          <w:rFonts w:ascii="微软雅黑" w:hAnsi="微软雅黑" w:eastAsia="微软雅黑" w:cs="微软雅黑"/>
          <w:bCs/>
          <w:kern w:val="0"/>
          <w:sz w:val="28"/>
          <w:szCs w:val="28"/>
        </w:rPr>
      </w:pPr>
      <w:r>
        <w:rPr>
          <w:rFonts w:hint="eastAsia" w:ascii="微软雅黑" w:hAnsi="微软雅黑" w:eastAsia="微软雅黑" w:cs="微软雅黑"/>
          <w:bCs/>
          <w:kern w:val="0"/>
          <w:sz w:val="28"/>
          <w:szCs w:val="28"/>
        </w:rPr>
        <w:t>智慧灯杆是指，以灯杆为载体，通过挂载各类设备提供智能照明、移动通信、城市监测、交通管理、信息交互和城市公共服务等功能，可通过后台系统进行远程监测、控制、管理、校时、发布信息等网络通讯和信息化服务的城市道路灯杆。根据道路等级和应用场景的不同，智慧灯杆功能可作相应取舍。</w:t>
      </w:r>
    </w:p>
    <w:p>
      <w:pPr>
        <w:spacing w:line="360" w:lineRule="auto"/>
        <w:jc w:val="lef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6.2.9 </w:t>
      </w:r>
      <w:r>
        <w:rPr>
          <w:rFonts w:hint="eastAsia" w:asciiTheme="minorEastAsia" w:hAnsiTheme="minorEastAsia" w:eastAsiaTheme="minorEastAsia"/>
          <w:sz w:val="28"/>
          <w:szCs w:val="28"/>
        </w:rPr>
        <w:t>道路景观</w:t>
      </w:r>
      <w:r>
        <w:rPr>
          <w:rFonts w:hint="eastAsia" w:asciiTheme="minorEastAsia" w:hAnsiTheme="minorEastAsia" w:eastAsiaTheme="minorEastAsia"/>
          <w:bCs/>
          <w:sz w:val="28"/>
          <w:szCs w:val="28"/>
        </w:rPr>
        <w:t>设计，应符合下列规定：</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 xml:space="preserve">1 </w:t>
      </w:r>
      <w:r>
        <w:rPr>
          <w:rFonts w:hint="eastAsia" w:asciiTheme="minorEastAsia" w:hAnsiTheme="minorEastAsia" w:eastAsiaTheme="minorEastAsia"/>
          <w:bCs/>
          <w:sz w:val="28"/>
          <w:szCs w:val="28"/>
        </w:rPr>
        <w:t>道路工程应进行全路段景观设计；</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 xml:space="preserve">2 </w:t>
      </w:r>
      <w:r>
        <w:rPr>
          <w:rFonts w:hint="eastAsia" w:asciiTheme="minorEastAsia" w:hAnsiTheme="minorEastAsia" w:eastAsiaTheme="minorEastAsia"/>
          <w:bCs/>
          <w:sz w:val="28"/>
          <w:szCs w:val="28"/>
        </w:rPr>
        <w:t>景观设计应与慢行系统结合；</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 xml:space="preserve">3 </w:t>
      </w:r>
      <w:r>
        <w:rPr>
          <w:rFonts w:hint="eastAsia" w:asciiTheme="minorEastAsia" w:hAnsiTheme="minorEastAsia" w:eastAsiaTheme="minorEastAsia"/>
          <w:bCs/>
          <w:sz w:val="28"/>
          <w:szCs w:val="28"/>
        </w:rPr>
        <w:t>道路内公共服务设施设计应符合人体工程学原则，并融入景观设计。</w:t>
      </w:r>
    </w:p>
    <w:p>
      <w:pPr>
        <w:spacing w:line="360" w:lineRule="auto"/>
        <w:jc w:val="left"/>
        <w:rPr>
          <w:rFonts w:ascii="微软雅黑" w:hAnsi="微软雅黑" w:eastAsia="微软雅黑" w:cs="微软雅黑"/>
          <w:bCs/>
          <w:kern w:val="0"/>
          <w:sz w:val="28"/>
          <w:szCs w:val="28"/>
        </w:rPr>
      </w:pPr>
      <w:r>
        <w:rPr>
          <w:rFonts w:hint="eastAsia" w:ascii="微软雅黑" w:hAnsi="微软雅黑" w:eastAsia="微软雅黑" w:cs="微软雅黑"/>
          <w:bCs/>
          <w:kern w:val="0"/>
          <w:sz w:val="28"/>
          <w:szCs w:val="28"/>
        </w:rPr>
        <w:t>【条文说明】</w:t>
      </w:r>
      <w:r>
        <w:rPr>
          <w:rFonts w:hint="eastAsia" w:ascii="微软雅黑" w:hAnsi="微软雅黑" w:eastAsia="微软雅黑" w:cs="微软雅黑"/>
          <w:b/>
          <w:kern w:val="0"/>
          <w:sz w:val="28"/>
          <w:szCs w:val="28"/>
        </w:rPr>
        <w:t xml:space="preserve">6.2.9 </w:t>
      </w:r>
      <w:r>
        <w:rPr>
          <w:rFonts w:hint="eastAsia" w:ascii="微软雅黑" w:hAnsi="微软雅黑" w:eastAsia="微软雅黑" w:cs="微软雅黑"/>
          <w:bCs/>
          <w:kern w:val="0"/>
          <w:sz w:val="28"/>
          <w:szCs w:val="28"/>
        </w:rPr>
        <w:t>现代社会，对于城市环境和整体景观等要求普遍较高，各类市政设施不仅要满足使用功能，还应纳入专项景观设计，实现与城市整体环境协调及融合。道路景观设计成果应专篇表达,并按相关要求报送景观艺术审查。</w:t>
      </w:r>
    </w:p>
    <w:p>
      <w:pPr>
        <w:spacing w:line="360" w:lineRule="auto"/>
        <w:ind w:firstLine="560" w:firstLineChars="200"/>
        <w:jc w:val="left"/>
        <w:rPr>
          <w:rFonts w:ascii="微软雅黑" w:hAnsi="微软雅黑" w:eastAsia="微软雅黑" w:cs="微软雅黑"/>
          <w:bCs/>
          <w:kern w:val="0"/>
          <w:sz w:val="28"/>
          <w:szCs w:val="28"/>
        </w:rPr>
      </w:pPr>
      <w:r>
        <w:rPr>
          <w:rFonts w:hint="eastAsia" w:ascii="微软雅黑" w:hAnsi="微软雅黑" w:eastAsia="微软雅黑" w:cs="微软雅黑"/>
          <w:bCs/>
          <w:kern w:val="0"/>
          <w:sz w:val="28"/>
          <w:szCs w:val="28"/>
        </w:rPr>
        <w:t>第1款 设计应将道路、桥梁、附属设施与景观绿化等统筹考虑，并与周边环境相协调。</w:t>
      </w:r>
    </w:p>
    <w:p>
      <w:pPr>
        <w:spacing w:line="360" w:lineRule="auto"/>
        <w:ind w:firstLine="560" w:firstLineChars="200"/>
        <w:jc w:val="left"/>
        <w:rPr>
          <w:rFonts w:ascii="微软雅黑" w:hAnsi="微软雅黑" w:eastAsia="微软雅黑" w:cs="微软雅黑"/>
          <w:bCs/>
          <w:kern w:val="0"/>
          <w:sz w:val="28"/>
          <w:szCs w:val="28"/>
        </w:rPr>
      </w:pPr>
      <w:r>
        <w:rPr>
          <w:rFonts w:hint="eastAsia" w:ascii="微软雅黑" w:hAnsi="微软雅黑" w:eastAsia="微软雅黑" w:cs="微软雅黑"/>
          <w:bCs/>
          <w:kern w:val="0"/>
          <w:sz w:val="28"/>
          <w:szCs w:val="28"/>
        </w:rPr>
        <w:t>第2款 本款要求利用绿道网络、公共空间和公共艺术等，塑造以人为本的慢行环境。</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bCs/>
          <w:sz w:val="28"/>
          <w:szCs w:val="28"/>
        </w:rPr>
        <w:t xml:space="preserve">6.2.10 </w:t>
      </w:r>
      <w:r>
        <w:rPr>
          <w:rFonts w:hint="eastAsia" w:asciiTheme="minorEastAsia" w:hAnsiTheme="minorEastAsia" w:eastAsiaTheme="minorEastAsia"/>
          <w:bCs/>
          <w:sz w:val="28"/>
          <w:szCs w:val="28"/>
        </w:rPr>
        <w:t>地下道路工程设计，应符合下列规定：</w:t>
      </w:r>
    </w:p>
    <w:p>
      <w:pPr>
        <w:spacing w:line="360" w:lineRule="auto"/>
        <w:ind w:firstLine="562" w:firstLineChars="200"/>
        <w:jc w:val="lef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1 </w:t>
      </w:r>
      <w:r>
        <w:rPr>
          <w:rFonts w:hint="eastAsia" w:asciiTheme="minorEastAsia" w:hAnsiTheme="minorEastAsia" w:eastAsiaTheme="minorEastAsia"/>
          <w:bCs/>
          <w:sz w:val="28"/>
          <w:szCs w:val="28"/>
        </w:rPr>
        <w:t>交通瓶颈且建设场地条件适宜的区域，可考虑地下道路工程建设；</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bCs/>
          <w:sz w:val="28"/>
          <w:szCs w:val="28"/>
        </w:rPr>
        <w:t xml:space="preserve">2 </w:t>
      </w:r>
      <w:r>
        <w:rPr>
          <w:rFonts w:hint="eastAsia" w:asciiTheme="minorEastAsia" w:hAnsiTheme="minorEastAsia" w:eastAsiaTheme="minorEastAsia"/>
          <w:bCs/>
          <w:sz w:val="28"/>
          <w:szCs w:val="28"/>
        </w:rPr>
        <w:t>应做好出入口位置、间距和形式的综合设计及出入口交通组织，协调与周边地块、公共交通的顺畅衔接；</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 xml:space="preserve">3 </w:t>
      </w:r>
      <w:r>
        <w:rPr>
          <w:rFonts w:hint="eastAsia" w:asciiTheme="minorEastAsia" w:hAnsiTheme="minorEastAsia" w:eastAsiaTheme="minorEastAsia"/>
          <w:bCs/>
          <w:sz w:val="28"/>
          <w:szCs w:val="28"/>
        </w:rPr>
        <w:t>应进行节能专项设计，并体现环保要素；</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4</w:t>
      </w:r>
      <w:r>
        <w:rPr>
          <w:rFonts w:hint="eastAsia" w:asciiTheme="minorEastAsia" w:hAnsiTheme="minorEastAsia" w:eastAsiaTheme="minorEastAsia"/>
          <w:bCs/>
          <w:sz w:val="28"/>
          <w:szCs w:val="28"/>
        </w:rPr>
        <w:t xml:space="preserve"> 应采取噪音消减措施；</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5</w:t>
      </w:r>
      <w:r>
        <w:rPr>
          <w:rFonts w:hint="eastAsia" w:asciiTheme="minorEastAsia" w:hAnsiTheme="minorEastAsia" w:eastAsiaTheme="minorEastAsia"/>
          <w:bCs/>
          <w:sz w:val="28"/>
          <w:szCs w:val="28"/>
        </w:rPr>
        <w:t xml:space="preserve"> 应进行景观美化设计。</w:t>
      </w:r>
    </w:p>
    <w:p>
      <w:pPr>
        <w:spacing w:line="360" w:lineRule="auto"/>
        <w:ind w:firstLine="560" w:firstLineChars="200"/>
        <w:jc w:val="left"/>
        <w:rPr>
          <w:rFonts w:asciiTheme="minorEastAsia" w:hAnsiTheme="minorEastAsia" w:eastAsiaTheme="minorEastAsia"/>
          <w:bCs/>
          <w:color w:val="00B050"/>
          <w:sz w:val="28"/>
          <w:szCs w:val="28"/>
        </w:rPr>
      </w:pPr>
      <w:r>
        <w:rPr>
          <w:rFonts w:hint="eastAsia" w:ascii="微软雅黑" w:hAnsi="微软雅黑" w:eastAsia="微软雅黑" w:cs="微软雅黑"/>
          <w:bCs/>
          <w:kern w:val="0"/>
          <w:sz w:val="28"/>
          <w:szCs w:val="28"/>
        </w:rPr>
        <w:t>【条文说明】6.2.10 第1款 地下道路进出口通常处于坡道段。其进出口设置，应当避免因地面公交车站、周边用地进出口或道路交叉口等位置不合理，而产生地下道路车辆队列驻停在坡道上带来的安全隐患；另一方面，还须考虑进出口与地面道路交叉路口的合理蓄车距离——城市道路交通量大，蓄车距离不足会导致车辆常态化阻塞在隧道内，增加隧道安全运营压力。</w:t>
      </w:r>
    </w:p>
    <w:p>
      <w:pPr>
        <w:spacing w:line="360" w:lineRule="auto"/>
        <w:ind w:firstLine="560" w:firstLineChars="200"/>
        <w:jc w:val="left"/>
        <w:rPr>
          <w:rFonts w:ascii="微软雅黑" w:hAnsi="微软雅黑" w:eastAsia="微软雅黑" w:cs="微软雅黑"/>
          <w:bCs/>
          <w:kern w:val="0"/>
          <w:sz w:val="28"/>
          <w:szCs w:val="28"/>
        </w:rPr>
      </w:pPr>
      <w:r>
        <w:rPr>
          <w:rFonts w:hint="eastAsia" w:ascii="微软雅黑" w:hAnsi="微软雅黑" w:eastAsia="微软雅黑" w:cs="微软雅黑"/>
          <w:bCs/>
          <w:kern w:val="0"/>
          <w:sz w:val="28"/>
          <w:szCs w:val="28"/>
        </w:rPr>
        <w:t>第2款 本款旨在保证地下道路主线通畅，交通进出有序。</w:t>
      </w:r>
    </w:p>
    <w:p>
      <w:pPr>
        <w:spacing w:line="360" w:lineRule="auto"/>
        <w:ind w:firstLine="560" w:firstLineChars="200"/>
        <w:jc w:val="left"/>
        <w:rPr>
          <w:rFonts w:ascii="微软雅黑" w:hAnsi="微软雅黑" w:eastAsia="微软雅黑" w:cs="微软雅黑"/>
          <w:bCs/>
          <w:kern w:val="0"/>
          <w:sz w:val="28"/>
          <w:szCs w:val="28"/>
        </w:rPr>
      </w:pPr>
      <w:r>
        <w:rPr>
          <w:rFonts w:hint="eastAsia" w:ascii="微软雅黑" w:hAnsi="微软雅黑" w:eastAsia="微软雅黑" w:cs="微软雅黑"/>
          <w:bCs/>
          <w:kern w:val="0"/>
          <w:sz w:val="28"/>
          <w:szCs w:val="28"/>
        </w:rPr>
        <w:t>第3款 设计应在满足安全、经济和可靠的原则下，体现节能和环保要素。设计应注重选用高效、低能耗、环保型机电设备及系统。</w:t>
      </w:r>
    </w:p>
    <w:p>
      <w:pPr>
        <w:spacing w:line="360" w:lineRule="auto"/>
        <w:ind w:firstLine="560" w:firstLineChars="200"/>
        <w:jc w:val="left"/>
        <w:rPr>
          <w:rFonts w:ascii="微软雅黑" w:hAnsi="微软雅黑" w:eastAsia="微软雅黑" w:cs="微软雅黑"/>
          <w:bCs/>
          <w:kern w:val="0"/>
          <w:sz w:val="28"/>
          <w:szCs w:val="28"/>
        </w:rPr>
      </w:pPr>
      <w:r>
        <w:rPr>
          <w:rFonts w:hint="eastAsia" w:ascii="微软雅黑" w:hAnsi="微软雅黑" w:eastAsia="微软雅黑" w:cs="微软雅黑"/>
          <w:bCs/>
          <w:kern w:val="0"/>
          <w:sz w:val="28"/>
          <w:szCs w:val="28"/>
        </w:rPr>
        <w:t>第4款 路面、内饰面材料宜采用消音降噪材料，洞口可结合侧墙设计为消音墙（如侧墙上刻竖向凹槽、安装消音板等）。</w:t>
      </w:r>
    </w:p>
    <w:p>
      <w:pPr>
        <w:spacing w:line="360" w:lineRule="auto"/>
        <w:ind w:firstLine="560" w:firstLineChars="200"/>
        <w:jc w:val="left"/>
        <w:rPr>
          <w:rFonts w:asciiTheme="minorEastAsia" w:hAnsiTheme="minorEastAsia" w:eastAsiaTheme="minorEastAsia"/>
          <w:bCs/>
          <w:color w:val="00B050"/>
          <w:sz w:val="28"/>
          <w:szCs w:val="28"/>
        </w:rPr>
      </w:pPr>
      <w:r>
        <w:rPr>
          <w:rFonts w:hint="eastAsia" w:ascii="微软雅黑" w:hAnsi="微软雅黑" w:eastAsia="微软雅黑" w:cs="微软雅黑"/>
          <w:bCs/>
          <w:kern w:val="0"/>
          <w:sz w:val="28"/>
          <w:szCs w:val="28"/>
        </w:rPr>
        <w:t>第5款 洞内装饰、洞口、风亭、风塔等景观艺术设置，应与周围环境相协调。</w:t>
      </w:r>
    </w:p>
    <w:p>
      <w:pPr>
        <w:spacing w:line="360" w:lineRule="auto"/>
        <w:jc w:val="left"/>
        <w:rPr>
          <w:rFonts w:asciiTheme="minorEastAsia" w:hAnsiTheme="minorEastAsia" w:eastAsiaTheme="minorEastAsia"/>
          <w:bCs/>
          <w:sz w:val="28"/>
          <w:szCs w:val="28"/>
        </w:rPr>
      </w:pPr>
      <w:r>
        <w:rPr>
          <w:rFonts w:hint="eastAsia" w:asciiTheme="minorEastAsia" w:hAnsiTheme="minorEastAsia" w:eastAsiaTheme="minorEastAsia"/>
          <w:b/>
          <w:bCs/>
          <w:sz w:val="28"/>
          <w:szCs w:val="28"/>
        </w:rPr>
        <w:t xml:space="preserve">6.2.11 </w:t>
      </w:r>
      <w:r>
        <w:rPr>
          <w:rFonts w:hint="eastAsia" w:asciiTheme="minorEastAsia" w:hAnsiTheme="minorEastAsia" w:eastAsiaTheme="minorEastAsia"/>
          <w:bCs/>
          <w:sz w:val="28"/>
          <w:szCs w:val="28"/>
        </w:rPr>
        <w:t>桥梁、隧道工程设计，应符合下列规定：</w:t>
      </w:r>
    </w:p>
    <w:p>
      <w:pPr>
        <w:pStyle w:val="77"/>
        <w:numPr>
          <w:ilvl w:val="0"/>
          <w:numId w:val="7"/>
        </w:numPr>
        <w:spacing w:line="360" w:lineRule="auto"/>
        <w:ind w:firstLineChars="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桥梁工程设计基准期为100年，设计安全等级为一级；</w:t>
      </w:r>
    </w:p>
    <w:p>
      <w:pPr>
        <w:pStyle w:val="77"/>
        <w:numPr>
          <w:ilvl w:val="0"/>
          <w:numId w:val="7"/>
        </w:numPr>
        <w:spacing w:line="360" w:lineRule="auto"/>
        <w:ind w:left="0" w:firstLine="560" w:firstLineChars="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桥梁上部结构应根据实际情况，优先选用全预制装配式预应力混凝土结构、钢结构和钢混组合结构；</w:t>
      </w:r>
    </w:p>
    <w:p>
      <w:pPr>
        <w:pStyle w:val="77"/>
        <w:numPr>
          <w:ilvl w:val="0"/>
          <w:numId w:val="7"/>
        </w:numPr>
        <w:spacing w:line="360" w:lineRule="auto"/>
        <w:ind w:left="0" w:firstLine="560" w:firstLineChars="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重要桥梁工程可设置位移形变动态监测系统；</w:t>
      </w:r>
    </w:p>
    <w:p>
      <w:pPr>
        <w:spacing w:line="360" w:lineRule="auto"/>
        <w:ind w:left="559" w:leftChars="266"/>
        <w:jc w:val="left"/>
        <w:rPr>
          <w:rFonts w:asciiTheme="minorEastAsia" w:hAnsiTheme="minorEastAsia" w:eastAsiaTheme="minorEastAsia"/>
          <w:bCs/>
          <w:sz w:val="28"/>
          <w:szCs w:val="28"/>
        </w:rPr>
      </w:pPr>
      <w:r>
        <w:rPr>
          <w:rFonts w:hint="eastAsia" w:asciiTheme="minorEastAsia" w:hAnsiTheme="minorEastAsia" w:eastAsiaTheme="minorEastAsia"/>
          <w:b/>
          <w:bCs/>
          <w:sz w:val="28"/>
          <w:szCs w:val="28"/>
        </w:rPr>
        <w:t xml:space="preserve">4 </w:t>
      </w:r>
      <w:r>
        <w:rPr>
          <w:rFonts w:hint="eastAsia" w:asciiTheme="minorEastAsia" w:hAnsiTheme="minorEastAsia" w:eastAsiaTheme="minorEastAsia"/>
          <w:bCs/>
          <w:sz w:val="28"/>
          <w:szCs w:val="28"/>
        </w:rPr>
        <w:t>隧道工程的道路等级、设计速度，应与所属城市道路等级一致；</w:t>
      </w:r>
      <w:r>
        <w:rPr>
          <w:rFonts w:hint="eastAsia" w:asciiTheme="minorEastAsia" w:hAnsiTheme="minorEastAsia" w:eastAsiaTheme="minorEastAsia"/>
          <w:b/>
          <w:sz w:val="28"/>
          <w:szCs w:val="28"/>
        </w:rPr>
        <w:t>5</w:t>
      </w:r>
      <w:r>
        <w:rPr>
          <w:rFonts w:hint="eastAsia" w:asciiTheme="minorEastAsia" w:hAnsiTheme="minorEastAsia" w:eastAsiaTheme="minorEastAsia"/>
          <w:bCs/>
          <w:sz w:val="28"/>
          <w:szCs w:val="28"/>
        </w:rPr>
        <w:t>隧道工程主体结构设计使用年限应为100年；</w:t>
      </w:r>
    </w:p>
    <w:p>
      <w:pPr>
        <w:pStyle w:val="77"/>
        <w:spacing w:line="360" w:lineRule="auto"/>
        <w:ind w:firstLine="562"/>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 xml:space="preserve">6 </w:t>
      </w:r>
      <w:r>
        <w:rPr>
          <w:rFonts w:hint="eastAsia" w:asciiTheme="minorEastAsia" w:hAnsiTheme="minorEastAsia" w:eastAsiaTheme="minorEastAsia"/>
          <w:bCs/>
          <w:sz w:val="28"/>
          <w:szCs w:val="28"/>
        </w:rPr>
        <w:t>隧道工程应实现公众移动通信网络和无线调频广播系统全覆盖。</w:t>
      </w:r>
    </w:p>
    <w:p>
      <w:pPr>
        <w:spacing w:line="360" w:lineRule="auto"/>
        <w:jc w:val="left"/>
        <w:rPr>
          <w:rFonts w:ascii="微软雅黑" w:hAnsi="微软雅黑" w:eastAsia="微软雅黑" w:cs="微软雅黑"/>
          <w:bCs/>
          <w:kern w:val="0"/>
          <w:sz w:val="28"/>
          <w:szCs w:val="28"/>
        </w:rPr>
      </w:pPr>
      <w:r>
        <w:rPr>
          <w:rFonts w:hint="eastAsia" w:ascii="微软雅黑" w:hAnsi="微软雅黑" w:eastAsia="微软雅黑" w:cs="微软雅黑"/>
          <w:bCs/>
          <w:kern w:val="0"/>
          <w:sz w:val="28"/>
          <w:szCs w:val="28"/>
        </w:rPr>
        <w:t>【条文说明】6.2.11 桥梁工程设计，应合理选型、布跨，符合安全、耐久、美观、环保、经济的原则，且便于施工、维护和管养。隧道工程设计应符合安全适用、节能环保、景观优美、智慧可控和可持续发展的原则。预制装配式结构桥梁的设计应有利于标准化和资源集约利用。</w:t>
      </w:r>
    </w:p>
    <w:p>
      <w:pPr>
        <w:spacing w:line="360" w:lineRule="auto"/>
        <w:ind w:firstLine="560" w:firstLineChars="200"/>
        <w:jc w:val="left"/>
        <w:rPr>
          <w:rFonts w:ascii="微软雅黑" w:hAnsi="微软雅黑" w:eastAsia="微软雅黑" w:cs="微软雅黑"/>
          <w:bCs/>
          <w:kern w:val="0"/>
          <w:sz w:val="28"/>
          <w:szCs w:val="28"/>
        </w:rPr>
      </w:pPr>
      <w:r>
        <w:rPr>
          <w:rFonts w:hint="eastAsia" w:ascii="微软雅黑" w:hAnsi="微软雅黑" w:eastAsia="微软雅黑" w:cs="微软雅黑"/>
          <w:bCs/>
          <w:kern w:val="0"/>
          <w:sz w:val="28"/>
          <w:szCs w:val="28"/>
        </w:rPr>
        <w:t>第2款 “实际情况”是指新设桥梁可能涉及的运输、吊装条件和施工工期，以及对于既有交通的影响等。条件适宜的，应优先选用全预制装配式预应力混凝土结构、钢结构和钢混组合结构。此外，快速路、主干路桥梁工程不宜采用装配式铰接空心板结构。</w:t>
      </w:r>
    </w:p>
    <w:p>
      <w:pPr>
        <w:spacing w:line="360" w:lineRule="auto"/>
        <w:rPr>
          <w:rFonts w:ascii="宋体" w:hAnsi="宋体" w:cs="宋体"/>
          <w:b/>
          <w:kern w:val="0"/>
          <w:sz w:val="28"/>
          <w:szCs w:val="28"/>
        </w:rPr>
      </w:pPr>
      <w:r>
        <w:rPr>
          <w:rFonts w:hint="eastAsia" w:ascii="宋体" w:hAnsi="宋体" w:cs="宋体"/>
          <w:b/>
          <w:kern w:val="0"/>
          <w:sz w:val="28"/>
          <w:szCs w:val="28"/>
        </w:rPr>
        <w:t xml:space="preserve">6.2.12 </w:t>
      </w:r>
      <w:r>
        <w:rPr>
          <w:rFonts w:hint="eastAsia" w:ascii="宋体" w:hAnsi="宋体" w:cs="宋体"/>
          <w:bCs/>
          <w:kern w:val="0"/>
          <w:sz w:val="28"/>
          <w:szCs w:val="28"/>
        </w:rPr>
        <w:t>城市道路应设置海绵城市设施，并在满足道路基本功能的前提下，至少控制</w:t>
      </w:r>
      <w:r>
        <w:rPr>
          <w:rFonts w:ascii="宋体" w:hAnsi="宋体" w:cs="宋体"/>
          <w:bCs/>
          <w:kern w:val="0"/>
          <w:sz w:val="28"/>
          <w:szCs w:val="28"/>
        </w:rPr>
        <w:t>10mm</w:t>
      </w:r>
      <w:r>
        <w:rPr>
          <w:rFonts w:hint="eastAsia" w:ascii="宋体" w:hAnsi="宋体" w:cs="宋体"/>
          <w:bCs/>
          <w:kern w:val="0"/>
          <w:sz w:val="28"/>
          <w:szCs w:val="28"/>
        </w:rPr>
        <w:t>初期雨水径流。</w:t>
      </w:r>
    </w:p>
    <w:p>
      <w:pPr>
        <w:spacing w:line="360" w:lineRule="auto"/>
        <w:jc w:val="left"/>
        <w:rPr>
          <w:rFonts w:ascii="微软雅黑" w:hAnsi="微软雅黑" w:eastAsia="微软雅黑" w:cs="微软雅黑"/>
          <w:bCs/>
          <w:kern w:val="0"/>
          <w:sz w:val="28"/>
          <w:szCs w:val="28"/>
        </w:rPr>
      </w:pPr>
      <w:r>
        <w:rPr>
          <w:rFonts w:hint="eastAsia" w:ascii="微软雅黑" w:hAnsi="微软雅黑" w:eastAsia="微软雅黑" w:cs="微软雅黑"/>
          <w:bCs/>
          <w:kern w:val="0"/>
          <w:sz w:val="28"/>
          <w:szCs w:val="28"/>
        </w:rPr>
        <w:t>【条文说明】</w:t>
      </w:r>
      <w:r>
        <w:rPr>
          <w:rFonts w:hint="eastAsia" w:ascii="微软雅黑" w:hAnsi="微软雅黑" w:eastAsia="微软雅黑" w:cs="微软雅黑"/>
          <w:b/>
          <w:kern w:val="0"/>
          <w:sz w:val="28"/>
          <w:szCs w:val="28"/>
        </w:rPr>
        <w:t xml:space="preserve">6.2.12 </w:t>
      </w:r>
      <w:r>
        <w:rPr>
          <w:rFonts w:hint="eastAsia" w:ascii="微软雅黑" w:hAnsi="微软雅黑" w:eastAsia="微软雅黑" w:cs="微软雅黑"/>
          <w:bCs/>
          <w:kern w:val="0"/>
          <w:sz w:val="28"/>
          <w:szCs w:val="28"/>
        </w:rPr>
        <w:t>鉴于城市道路污染物总量难以确定，若采用面源污染削减率作为指标难以评估，故可按照《深圳市海绵型道路建设技术指引》要求，采用初期雨水控制厚度作为污染控制目标。海绵型城市道路设计及年径流总量控制目标，应遵循现行《深圳市海绵型道路建设技术指引》。</w:t>
      </w:r>
    </w:p>
    <w:p>
      <w:pPr>
        <w:spacing w:line="360" w:lineRule="auto"/>
        <w:rPr>
          <w:rFonts w:ascii="宋体" w:hAnsi="宋体" w:cs="宋体"/>
          <w:kern w:val="0"/>
          <w:sz w:val="28"/>
          <w:szCs w:val="28"/>
        </w:rPr>
      </w:pPr>
      <w:r>
        <w:rPr>
          <w:rFonts w:hint="eastAsia" w:ascii="宋体" w:hAnsi="宋体" w:cs="宋体"/>
          <w:b/>
          <w:kern w:val="0"/>
          <w:sz w:val="28"/>
          <w:szCs w:val="28"/>
        </w:rPr>
        <w:t xml:space="preserve">6.2.13 </w:t>
      </w:r>
      <w:r>
        <w:rPr>
          <w:rFonts w:hint="eastAsia" w:ascii="宋体" w:hAnsi="宋体" w:cs="宋体"/>
          <w:kern w:val="0"/>
          <w:sz w:val="28"/>
          <w:szCs w:val="28"/>
        </w:rPr>
        <w:t>道路径流雨水应通过有组织的汇流与转输，经截污等预处理，引入道路红线内/外绿地内的以雨水渗透、储存、调节等为主要功能的海绵设施。</w:t>
      </w:r>
    </w:p>
    <w:p>
      <w:pPr>
        <w:pStyle w:val="3"/>
      </w:pPr>
      <w:bookmarkStart w:id="69" w:name="_Toc32460"/>
      <w:r>
        <w:rPr>
          <w:rFonts w:hint="eastAsia"/>
        </w:rPr>
        <w:t>6.3 轨道交通工程</w:t>
      </w:r>
      <w:bookmarkEnd w:id="69"/>
    </w:p>
    <w:p>
      <w:pPr>
        <w:spacing w:line="360" w:lineRule="auto"/>
        <w:jc w:val="left"/>
        <w:rPr>
          <w:rFonts w:asciiTheme="minorEastAsia" w:hAnsiTheme="minorEastAsia" w:eastAsiaTheme="minorEastAsia"/>
          <w:sz w:val="28"/>
          <w:szCs w:val="28"/>
        </w:rPr>
      </w:pPr>
      <w:r>
        <w:rPr>
          <w:rFonts w:hint="eastAsia" w:asciiTheme="minorEastAsia" w:hAnsiTheme="minorEastAsia" w:eastAsiaTheme="minorEastAsia"/>
          <w:b/>
          <w:bCs/>
          <w:sz w:val="28"/>
          <w:szCs w:val="28"/>
        </w:rPr>
        <w:t>6</w:t>
      </w:r>
      <w:r>
        <w:rPr>
          <w:rFonts w:asciiTheme="minorEastAsia" w:hAnsiTheme="minorEastAsia" w:eastAsiaTheme="minorEastAsia"/>
          <w:b/>
          <w:bCs/>
          <w:sz w:val="28"/>
          <w:szCs w:val="28"/>
        </w:rPr>
        <w:t>.3.1　</w:t>
      </w:r>
      <w:r>
        <w:rPr>
          <w:rFonts w:hint="eastAsia" w:asciiTheme="minorEastAsia" w:hAnsiTheme="minorEastAsia" w:eastAsiaTheme="minorEastAsia"/>
          <w:sz w:val="28"/>
          <w:szCs w:val="28"/>
        </w:rPr>
        <w:t>轨道交通工程</w:t>
      </w:r>
      <w:r>
        <w:rPr>
          <w:rFonts w:asciiTheme="minorEastAsia" w:hAnsiTheme="minorEastAsia" w:eastAsiaTheme="minorEastAsia"/>
          <w:sz w:val="28"/>
          <w:szCs w:val="28"/>
        </w:rPr>
        <w:t>线网布局</w:t>
      </w:r>
      <w:r>
        <w:rPr>
          <w:rFonts w:hint="eastAsia" w:asciiTheme="minorEastAsia" w:hAnsiTheme="minorEastAsia" w:eastAsiaTheme="minorEastAsia"/>
          <w:sz w:val="28"/>
          <w:szCs w:val="28"/>
        </w:rPr>
        <w:t>，应符合下列规定：</w:t>
      </w:r>
    </w:p>
    <w:p>
      <w:pPr>
        <w:spacing w:line="360" w:lineRule="auto"/>
        <w:ind w:firstLine="562" w:firstLineChars="200"/>
        <w:jc w:val="left"/>
        <w:rPr>
          <w:rFonts w:asciiTheme="minorEastAsia" w:hAnsiTheme="minorEastAsia" w:eastAsiaTheme="minorEastAsia"/>
          <w:b/>
          <w:bCs/>
          <w:sz w:val="28"/>
          <w:szCs w:val="28"/>
        </w:rPr>
      </w:pPr>
      <w:r>
        <w:rPr>
          <w:rFonts w:asciiTheme="minorEastAsia" w:hAnsiTheme="minorEastAsia" w:eastAsiaTheme="minorEastAsia"/>
          <w:b/>
          <w:sz w:val="28"/>
          <w:szCs w:val="28"/>
        </w:rPr>
        <w:t>1</w:t>
      </w:r>
      <w:r>
        <w:rPr>
          <w:rFonts w:asciiTheme="minorEastAsia" w:hAnsiTheme="minorEastAsia" w:eastAsiaTheme="minorEastAsia"/>
          <w:sz w:val="28"/>
          <w:szCs w:val="28"/>
        </w:rPr>
        <w:t>地面附属设施，应符合城市环境功能区对噪声、振动的</w:t>
      </w:r>
      <w:r>
        <w:rPr>
          <w:rFonts w:hint="eastAsia" w:asciiTheme="minorEastAsia" w:hAnsiTheme="minorEastAsia" w:eastAsiaTheme="minorEastAsia"/>
          <w:sz w:val="28"/>
          <w:szCs w:val="28"/>
        </w:rPr>
        <w:t>控制</w:t>
      </w:r>
      <w:r>
        <w:rPr>
          <w:rFonts w:asciiTheme="minorEastAsia" w:hAnsiTheme="minorEastAsia" w:eastAsiaTheme="minorEastAsia"/>
          <w:sz w:val="28"/>
          <w:szCs w:val="28"/>
        </w:rPr>
        <w:t>要求，并与城市景观相协调</w:t>
      </w:r>
      <w:r>
        <w:rPr>
          <w:rFonts w:hint="eastAsia" w:asciiTheme="minorEastAsia" w:hAnsiTheme="minorEastAsia" w:eastAsiaTheme="minorEastAsia"/>
          <w:sz w:val="28"/>
          <w:szCs w:val="28"/>
        </w:rPr>
        <w:t>；</w:t>
      </w:r>
    </w:p>
    <w:p>
      <w:pPr>
        <w:spacing w:line="360" w:lineRule="auto"/>
        <w:ind w:firstLine="562" w:firstLineChars="200"/>
        <w:jc w:val="left"/>
        <w:rPr>
          <w:rFonts w:asciiTheme="minorEastAsia" w:hAnsiTheme="minorEastAsia" w:eastAsiaTheme="minorEastAsia"/>
          <w:b/>
          <w:bCs/>
          <w:sz w:val="28"/>
          <w:szCs w:val="28"/>
        </w:rPr>
      </w:pPr>
      <w:r>
        <w:rPr>
          <w:rFonts w:hint="eastAsia" w:asciiTheme="minorEastAsia" w:hAnsiTheme="minorEastAsia" w:eastAsiaTheme="minorEastAsia"/>
          <w:b/>
          <w:sz w:val="28"/>
          <w:szCs w:val="28"/>
        </w:rPr>
        <w:t>2</w:t>
      </w:r>
      <w:r>
        <w:rPr>
          <w:rFonts w:asciiTheme="minorEastAsia" w:hAnsiTheme="minorEastAsia" w:eastAsiaTheme="minorEastAsia"/>
          <w:sz w:val="28"/>
          <w:szCs w:val="28"/>
        </w:rPr>
        <w:t>公交枢纽及换乘节点应综合考虑各功能系统的不同要求，结合工程建设</w:t>
      </w:r>
      <w:r>
        <w:rPr>
          <w:rFonts w:hint="eastAsia" w:asciiTheme="minorEastAsia" w:hAnsiTheme="minorEastAsia" w:eastAsiaTheme="minorEastAsia"/>
          <w:sz w:val="28"/>
          <w:szCs w:val="28"/>
        </w:rPr>
        <w:t>时序</w:t>
      </w:r>
      <w:r>
        <w:rPr>
          <w:rFonts w:asciiTheme="minorEastAsia" w:hAnsiTheme="minorEastAsia" w:eastAsiaTheme="minorEastAsia"/>
          <w:sz w:val="28"/>
          <w:szCs w:val="28"/>
        </w:rPr>
        <w:t>，合理预留空间</w:t>
      </w:r>
      <w:r>
        <w:rPr>
          <w:rFonts w:hint="eastAsia" w:asciiTheme="minorEastAsia" w:hAnsiTheme="minorEastAsia" w:eastAsiaTheme="minorEastAsia"/>
          <w:sz w:val="28"/>
          <w:szCs w:val="28"/>
        </w:rPr>
        <w:t>条件；</w:t>
      </w:r>
    </w:p>
    <w:p>
      <w:pPr>
        <w:spacing w:line="360" w:lineRule="auto"/>
        <w:ind w:firstLine="562" w:firstLineChars="200"/>
        <w:jc w:val="left"/>
        <w:rPr>
          <w:rFonts w:asciiTheme="minorEastAsia" w:hAnsiTheme="minorEastAsia" w:eastAsiaTheme="minorEastAsia"/>
          <w:b/>
          <w:bCs/>
          <w:sz w:val="28"/>
          <w:szCs w:val="28"/>
        </w:rPr>
      </w:pPr>
      <w:r>
        <w:rPr>
          <w:rFonts w:hint="eastAsia" w:asciiTheme="minorEastAsia" w:hAnsiTheme="minorEastAsia" w:eastAsiaTheme="minorEastAsia"/>
          <w:b/>
          <w:sz w:val="28"/>
          <w:szCs w:val="28"/>
        </w:rPr>
        <w:t>3</w:t>
      </w:r>
      <w:r>
        <w:rPr>
          <w:rFonts w:asciiTheme="minorEastAsia" w:hAnsiTheme="minorEastAsia" w:eastAsiaTheme="minorEastAsia"/>
          <w:sz w:val="28"/>
          <w:szCs w:val="28"/>
        </w:rPr>
        <w:t>换乘交通节点周边地块应考虑配置公交首末站、社会机动交通及非机动车辆的停放空间，创建良好换乘条件。</w:t>
      </w:r>
    </w:p>
    <w:p>
      <w:pPr>
        <w:spacing w:line="360" w:lineRule="auto"/>
        <w:jc w:val="lef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6</w:t>
      </w:r>
      <w:r>
        <w:rPr>
          <w:rFonts w:asciiTheme="minorEastAsia" w:hAnsiTheme="minorEastAsia" w:eastAsiaTheme="minorEastAsia"/>
          <w:b/>
          <w:bCs/>
          <w:sz w:val="28"/>
          <w:szCs w:val="28"/>
        </w:rPr>
        <w:t>.3.2</w:t>
      </w:r>
      <w:r>
        <w:rPr>
          <w:rFonts w:asciiTheme="minorEastAsia" w:hAnsiTheme="minorEastAsia" w:eastAsiaTheme="minorEastAsia"/>
          <w:bCs/>
          <w:sz w:val="28"/>
          <w:szCs w:val="28"/>
        </w:rPr>
        <w:t>车站建筑</w:t>
      </w:r>
      <w:r>
        <w:rPr>
          <w:rFonts w:hint="eastAsia" w:asciiTheme="minorEastAsia" w:hAnsiTheme="minorEastAsia" w:eastAsiaTheme="minorEastAsia"/>
          <w:bCs/>
          <w:sz w:val="28"/>
          <w:szCs w:val="28"/>
        </w:rPr>
        <w:t>设计，应符合下列规定：</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1</w:t>
      </w:r>
      <w:r>
        <w:rPr>
          <w:rFonts w:asciiTheme="minorEastAsia" w:hAnsiTheme="minorEastAsia" w:eastAsiaTheme="minorEastAsia"/>
          <w:bCs/>
          <w:sz w:val="28"/>
          <w:szCs w:val="28"/>
        </w:rPr>
        <w:t>换乘</w:t>
      </w:r>
      <w:r>
        <w:rPr>
          <w:rFonts w:hint="eastAsia" w:asciiTheme="minorEastAsia" w:hAnsiTheme="minorEastAsia" w:eastAsiaTheme="minorEastAsia"/>
          <w:bCs/>
          <w:sz w:val="28"/>
          <w:szCs w:val="28"/>
        </w:rPr>
        <w:t>车</w:t>
      </w:r>
      <w:r>
        <w:rPr>
          <w:rFonts w:asciiTheme="minorEastAsia" w:hAnsiTheme="minorEastAsia" w:eastAsiaTheme="minorEastAsia"/>
          <w:bCs/>
          <w:sz w:val="28"/>
          <w:szCs w:val="28"/>
        </w:rPr>
        <w:t>站</w:t>
      </w:r>
      <w:r>
        <w:rPr>
          <w:rFonts w:hint="eastAsia" w:asciiTheme="minorEastAsia" w:hAnsiTheme="minorEastAsia" w:eastAsiaTheme="minorEastAsia"/>
          <w:sz w:val="28"/>
          <w:szCs w:val="28"/>
        </w:rPr>
        <w:t>宜在</w:t>
      </w:r>
      <w:r>
        <w:rPr>
          <w:rFonts w:asciiTheme="minorEastAsia" w:hAnsiTheme="minorEastAsia" w:eastAsiaTheme="minorEastAsia"/>
          <w:sz w:val="28"/>
          <w:szCs w:val="28"/>
        </w:rPr>
        <w:t>付费区内换乘</w:t>
      </w:r>
      <w:r>
        <w:rPr>
          <w:rFonts w:hint="eastAsia" w:asciiTheme="minorEastAsia" w:hAnsiTheme="minorEastAsia" w:eastAsiaTheme="minorEastAsia"/>
          <w:sz w:val="28"/>
          <w:szCs w:val="28"/>
        </w:rPr>
        <w:t>；</w:t>
      </w:r>
    </w:p>
    <w:p>
      <w:pPr>
        <w:spacing w:line="360" w:lineRule="auto"/>
        <w:ind w:firstLine="562" w:firstLineChars="20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2</w:t>
      </w:r>
      <w:r>
        <w:rPr>
          <w:rFonts w:asciiTheme="minorEastAsia" w:hAnsiTheme="minorEastAsia" w:eastAsiaTheme="minorEastAsia"/>
          <w:sz w:val="28"/>
          <w:szCs w:val="28"/>
        </w:rPr>
        <w:t>重点车站宜采用无柱或者大跨距设计，并</w:t>
      </w:r>
      <w:r>
        <w:rPr>
          <w:rFonts w:hint="eastAsia" w:asciiTheme="minorEastAsia" w:hAnsiTheme="minorEastAsia" w:eastAsiaTheme="minorEastAsia"/>
          <w:sz w:val="28"/>
          <w:szCs w:val="28"/>
        </w:rPr>
        <w:t>综合考虑</w:t>
      </w:r>
      <w:r>
        <w:rPr>
          <w:rFonts w:asciiTheme="minorEastAsia" w:hAnsiTheme="minorEastAsia" w:eastAsiaTheme="minorEastAsia"/>
          <w:sz w:val="28"/>
          <w:szCs w:val="28"/>
        </w:rPr>
        <w:t>与周边</w:t>
      </w:r>
      <w:r>
        <w:rPr>
          <w:rFonts w:hint="eastAsia" w:asciiTheme="minorEastAsia" w:hAnsiTheme="minorEastAsia" w:eastAsiaTheme="minorEastAsia"/>
          <w:sz w:val="28"/>
          <w:szCs w:val="28"/>
        </w:rPr>
        <w:t>地块</w:t>
      </w:r>
      <w:r>
        <w:rPr>
          <w:rFonts w:asciiTheme="minorEastAsia" w:hAnsiTheme="minorEastAsia" w:eastAsiaTheme="minorEastAsia"/>
          <w:sz w:val="28"/>
          <w:szCs w:val="28"/>
        </w:rPr>
        <w:t>公共空间连通</w:t>
      </w:r>
      <w:r>
        <w:rPr>
          <w:rFonts w:hint="eastAsia" w:asciiTheme="minorEastAsia" w:hAnsiTheme="minorEastAsia" w:eastAsiaTheme="minorEastAsia"/>
          <w:sz w:val="28"/>
          <w:szCs w:val="28"/>
        </w:rPr>
        <w:t>；</w:t>
      </w:r>
    </w:p>
    <w:p>
      <w:pPr>
        <w:spacing w:line="360" w:lineRule="auto"/>
        <w:ind w:firstLine="562" w:firstLineChars="200"/>
        <w:jc w:val="left"/>
        <w:rPr>
          <w:rFonts w:ascii="宋体" w:hAnsi="宋体"/>
          <w:bCs/>
          <w:sz w:val="28"/>
          <w:szCs w:val="28"/>
        </w:rPr>
      </w:pPr>
      <w:r>
        <w:rPr>
          <w:rFonts w:hint="eastAsia" w:ascii="宋体" w:hAnsi="宋体"/>
          <w:b/>
          <w:bCs/>
          <w:sz w:val="28"/>
          <w:szCs w:val="28"/>
        </w:rPr>
        <w:t>3</w:t>
      </w:r>
      <w:r>
        <w:rPr>
          <w:rFonts w:ascii="宋体" w:hAnsi="宋体"/>
          <w:sz w:val="28"/>
          <w:szCs w:val="28"/>
        </w:rPr>
        <w:t>车站出入口</w:t>
      </w:r>
      <w:r>
        <w:rPr>
          <w:rFonts w:hint="eastAsia" w:ascii="宋体" w:hAnsi="宋体"/>
          <w:sz w:val="28"/>
          <w:szCs w:val="28"/>
        </w:rPr>
        <w:t>宽度应</w:t>
      </w:r>
      <w:r>
        <w:rPr>
          <w:rFonts w:hint="eastAsia" w:ascii="宋体" w:hAnsi="宋体" w:cs="宋体"/>
          <w:kern w:val="0"/>
          <w:sz w:val="28"/>
          <w:szCs w:val="28"/>
        </w:rPr>
        <w:t>按总疏散能力大于远期高峰小时紧急疏散客流量的1.5倍计算</w:t>
      </w:r>
      <w:r>
        <w:rPr>
          <w:rFonts w:hint="eastAsia" w:ascii="宋体" w:hAnsi="宋体"/>
          <w:sz w:val="28"/>
          <w:szCs w:val="28"/>
        </w:rPr>
        <w:t>；</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 xml:space="preserve">4 </w:t>
      </w:r>
      <w:r>
        <w:rPr>
          <w:rFonts w:hint="eastAsia" w:asciiTheme="minorEastAsia" w:hAnsiTheme="minorEastAsia" w:eastAsiaTheme="minorEastAsia"/>
          <w:bCs/>
          <w:sz w:val="28"/>
          <w:szCs w:val="28"/>
        </w:rPr>
        <w:t>车站应进行防淹设计；</w:t>
      </w:r>
    </w:p>
    <w:p>
      <w:pPr>
        <w:spacing w:line="360" w:lineRule="auto"/>
        <w:ind w:firstLine="562" w:firstLineChars="200"/>
        <w:jc w:val="left"/>
        <w:rPr>
          <w:rFonts w:ascii="宋体" w:hAnsi="宋体" w:cs="宋体" w:eastAsiaTheme="minorEastAsia"/>
          <w:b/>
          <w:kern w:val="0"/>
          <w:sz w:val="28"/>
          <w:szCs w:val="28"/>
        </w:rPr>
      </w:pPr>
      <w:r>
        <w:rPr>
          <w:rFonts w:hint="eastAsia" w:asciiTheme="minorEastAsia" w:hAnsiTheme="minorEastAsia" w:eastAsiaTheme="minorEastAsia"/>
          <w:b/>
          <w:sz w:val="28"/>
          <w:szCs w:val="28"/>
        </w:rPr>
        <w:t>5</w:t>
      </w:r>
      <w:r>
        <w:rPr>
          <w:rFonts w:asciiTheme="minorEastAsia" w:hAnsiTheme="minorEastAsia" w:eastAsiaTheme="minorEastAsia"/>
          <w:sz w:val="28"/>
          <w:szCs w:val="28"/>
        </w:rPr>
        <w:t>车站</w:t>
      </w:r>
      <w:r>
        <w:rPr>
          <w:rFonts w:hint="eastAsia" w:asciiTheme="minorEastAsia" w:hAnsiTheme="minorEastAsia" w:eastAsiaTheme="minorEastAsia"/>
          <w:sz w:val="28"/>
          <w:szCs w:val="28"/>
        </w:rPr>
        <w:t>露出地面的口部设施，应结合城市景观设计，并与之协调；</w:t>
      </w:r>
    </w:p>
    <w:p>
      <w:pPr>
        <w:spacing w:line="360" w:lineRule="auto"/>
        <w:ind w:firstLine="562" w:firstLineChars="200"/>
        <w:jc w:val="left"/>
        <w:rPr>
          <w:rFonts w:asciiTheme="minorEastAsia" w:hAnsiTheme="minorEastAsia" w:eastAsiaTheme="minorEastAsia"/>
          <w:b/>
          <w:bCs/>
          <w:sz w:val="28"/>
          <w:szCs w:val="28"/>
        </w:rPr>
      </w:pPr>
      <w:r>
        <w:rPr>
          <w:rFonts w:hint="eastAsia" w:asciiTheme="minorEastAsia" w:hAnsiTheme="minorEastAsia" w:eastAsiaTheme="minorEastAsia"/>
          <w:b/>
          <w:sz w:val="28"/>
          <w:szCs w:val="28"/>
        </w:rPr>
        <w:t>6</w:t>
      </w:r>
      <w:r>
        <w:rPr>
          <w:rFonts w:asciiTheme="minorEastAsia" w:hAnsiTheme="minorEastAsia" w:eastAsiaTheme="minorEastAsia"/>
          <w:sz w:val="28"/>
          <w:szCs w:val="28"/>
        </w:rPr>
        <w:t>车站内应设置</w:t>
      </w:r>
      <w:r>
        <w:rPr>
          <w:rFonts w:hint="eastAsia" w:asciiTheme="minorEastAsia" w:hAnsiTheme="minorEastAsia" w:eastAsiaTheme="minorEastAsia"/>
          <w:sz w:val="28"/>
          <w:szCs w:val="28"/>
        </w:rPr>
        <w:t>设施齐备的</w:t>
      </w:r>
      <w:r>
        <w:rPr>
          <w:rFonts w:asciiTheme="minorEastAsia" w:hAnsiTheme="minorEastAsia" w:eastAsiaTheme="minorEastAsia"/>
          <w:sz w:val="28"/>
          <w:szCs w:val="28"/>
        </w:rPr>
        <w:t>母婴室</w:t>
      </w:r>
      <w:r>
        <w:rPr>
          <w:rFonts w:hint="eastAsia" w:asciiTheme="minorEastAsia" w:hAnsiTheme="minorEastAsia" w:eastAsiaTheme="minorEastAsia"/>
          <w:sz w:val="28"/>
          <w:szCs w:val="28"/>
        </w:rPr>
        <w:t>；</w:t>
      </w:r>
    </w:p>
    <w:p>
      <w:pPr>
        <w:spacing w:line="360" w:lineRule="auto"/>
        <w:ind w:firstLine="562" w:firstLineChars="20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7</w:t>
      </w:r>
      <w:r>
        <w:rPr>
          <w:rFonts w:hint="eastAsia" w:asciiTheme="minorEastAsia" w:hAnsiTheme="minorEastAsia" w:eastAsiaTheme="minorEastAsia"/>
          <w:sz w:val="28"/>
          <w:szCs w:val="28"/>
        </w:rPr>
        <w:t>车站内应设较高装修标准的公共</w:t>
      </w:r>
      <w:r>
        <w:rPr>
          <w:rFonts w:asciiTheme="minorEastAsia" w:hAnsiTheme="minorEastAsia" w:eastAsiaTheme="minorEastAsia"/>
          <w:sz w:val="28"/>
          <w:szCs w:val="28"/>
        </w:rPr>
        <w:t>卫生间</w:t>
      </w:r>
      <w:r>
        <w:rPr>
          <w:rFonts w:hint="eastAsia" w:asciiTheme="minorEastAsia" w:hAnsiTheme="minorEastAsia" w:eastAsiaTheme="minorEastAsia"/>
          <w:sz w:val="28"/>
          <w:szCs w:val="28"/>
        </w:rPr>
        <w:t>；</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bCs/>
          <w:sz w:val="28"/>
          <w:szCs w:val="28"/>
        </w:rPr>
        <w:t>8</w:t>
      </w:r>
      <w:r>
        <w:rPr>
          <w:rFonts w:asciiTheme="minorEastAsia" w:hAnsiTheme="minorEastAsia" w:eastAsiaTheme="minorEastAsia"/>
          <w:bCs/>
          <w:sz w:val="28"/>
          <w:szCs w:val="28"/>
        </w:rPr>
        <w:t>车站内</w:t>
      </w:r>
      <w:r>
        <w:rPr>
          <w:rFonts w:hint="eastAsia" w:asciiTheme="minorEastAsia" w:hAnsiTheme="minorEastAsia" w:eastAsiaTheme="minorEastAsia"/>
          <w:bCs/>
          <w:sz w:val="28"/>
          <w:szCs w:val="28"/>
        </w:rPr>
        <w:t>宜</w:t>
      </w:r>
      <w:r>
        <w:rPr>
          <w:rFonts w:asciiTheme="minorEastAsia" w:hAnsiTheme="minorEastAsia" w:eastAsiaTheme="minorEastAsia"/>
          <w:bCs/>
          <w:sz w:val="28"/>
          <w:szCs w:val="28"/>
        </w:rPr>
        <w:t>设置小型消防站。</w:t>
      </w:r>
    </w:p>
    <w:p>
      <w:pPr>
        <w:spacing w:line="360" w:lineRule="auto"/>
        <w:jc w:val="left"/>
        <w:rPr>
          <w:rFonts w:ascii="微软雅黑" w:hAnsi="微软雅黑" w:eastAsia="微软雅黑" w:cs="微软雅黑"/>
          <w:bCs/>
          <w:sz w:val="28"/>
          <w:szCs w:val="28"/>
        </w:rPr>
      </w:pPr>
      <w:r>
        <w:rPr>
          <w:rFonts w:hint="eastAsia" w:ascii="微软雅黑" w:hAnsi="微软雅黑" w:eastAsia="微软雅黑" w:cs="微软雅黑"/>
          <w:bCs/>
          <w:sz w:val="28"/>
          <w:szCs w:val="28"/>
        </w:rPr>
        <w:t>【条文说明】</w:t>
      </w:r>
      <w:r>
        <w:rPr>
          <w:rFonts w:hint="eastAsia" w:ascii="微软雅黑" w:hAnsi="微软雅黑" w:eastAsia="微软雅黑" w:cs="微软雅黑"/>
          <w:b/>
          <w:bCs/>
          <w:sz w:val="28"/>
          <w:szCs w:val="28"/>
        </w:rPr>
        <w:t xml:space="preserve">6.3.2 </w:t>
      </w:r>
      <w:r>
        <w:rPr>
          <w:rFonts w:hint="eastAsia" w:ascii="微软雅黑" w:hAnsi="微软雅黑" w:eastAsia="微软雅黑" w:cs="微软雅黑"/>
          <w:bCs/>
          <w:sz w:val="28"/>
          <w:szCs w:val="28"/>
        </w:rPr>
        <w:t>第1款 车站型式及布局应满足客流需求、乘降安全、疏导迅速、环境适宜、布置紧凑和便于管理等基本要求。换乘通道应具有正常通过和紧急疏散的能力。</w:t>
      </w:r>
    </w:p>
    <w:p>
      <w:pPr>
        <w:spacing w:line="360" w:lineRule="auto"/>
        <w:ind w:firstLine="560" w:firstLineChars="200"/>
        <w:jc w:val="left"/>
        <w:rPr>
          <w:rFonts w:ascii="微软雅黑" w:hAnsi="微软雅黑" w:eastAsia="微软雅黑" w:cs="微软雅黑"/>
          <w:bCs/>
          <w:sz w:val="28"/>
          <w:szCs w:val="28"/>
        </w:rPr>
      </w:pPr>
      <w:r>
        <w:rPr>
          <w:rFonts w:hint="eastAsia" w:ascii="微软雅黑" w:hAnsi="微软雅黑" w:eastAsia="微软雅黑" w:cs="微软雅黑"/>
          <w:bCs/>
          <w:sz w:val="28"/>
          <w:szCs w:val="28"/>
        </w:rPr>
        <w:t>第2款 重点车站建筑设计，可因地制宜引入自然光、绿植等元素。</w:t>
      </w:r>
    </w:p>
    <w:p>
      <w:pPr>
        <w:spacing w:line="360" w:lineRule="auto"/>
        <w:ind w:firstLine="560" w:firstLineChars="200"/>
        <w:jc w:val="left"/>
        <w:rPr>
          <w:rFonts w:ascii="微软雅黑" w:hAnsi="微软雅黑" w:eastAsia="微软雅黑" w:cs="微软雅黑"/>
          <w:bCs/>
          <w:sz w:val="28"/>
          <w:szCs w:val="28"/>
        </w:rPr>
      </w:pPr>
      <w:r>
        <w:rPr>
          <w:rFonts w:hint="eastAsia" w:ascii="微软雅黑" w:hAnsi="微软雅黑" w:eastAsia="微软雅黑" w:cs="微软雅黑"/>
          <w:bCs/>
          <w:sz w:val="28"/>
          <w:szCs w:val="28"/>
        </w:rPr>
        <w:t>第3款 根据 《地铁设计规范》GB50157-2013第9.5.1条要求，每个出入口宽度应按远期分向设计客流量乘以1.1~1.25不均匀系数来设计。在本重点区域，客流一般较为密集，故为提高服务水平，可将此系数适当放大。此系数与出入口数量有关：出入口多者应取上限值，出入口少宜取下限值。车站出入口设计尚应符合：尽量满足直达性要求，宜与人行过街设施相结合，宜与周边建筑连通</w:t>
      </w:r>
      <w:r>
        <w:rPr>
          <w:rFonts w:hint="eastAsia" w:ascii="微软雅黑" w:hAnsi="微软雅黑" w:eastAsia="微软雅黑" w:cs="微软雅黑"/>
          <w:bCs/>
          <w:kern w:val="0"/>
          <w:sz w:val="28"/>
          <w:szCs w:val="28"/>
        </w:rPr>
        <w:t>；</w:t>
      </w:r>
      <w:r>
        <w:rPr>
          <w:rFonts w:hint="eastAsia" w:ascii="微软雅黑" w:hAnsi="微软雅黑" w:eastAsia="微软雅黑" w:cs="微软雅黑"/>
          <w:bCs/>
          <w:sz w:val="28"/>
          <w:szCs w:val="28"/>
        </w:rPr>
        <w:t>车站出入口、站台至站厅宜设上、下行扶梯；车站长通道出入口可设自动步道等。</w:t>
      </w:r>
    </w:p>
    <w:p>
      <w:pPr>
        <w:spacing w:line="360" w:lineRule="auto"/>
        <w:ind w:firstLine="560" w:firstLineChars="200"/>
        <w:jc w:val="left"/>
        <w:rPr>
          <w:rFonts w:ascii="微软雅黑" w:hAnsi="微软雅黑" w:eastAsia="微软雅黑" w:cs="微软雅黑"/>
          <w:bCs/>
          <w:kern w:val="0"/>
          <w:sz w:val="28"/>
          <w:szCs w:val="28"/>
        </w:rPr>
      </w:pPr>
      <w:r>
        <w:rPr>
          <w:rFonts w:hint="eastAsia" w:ascii="微软雅黑" w:hAnsi="微软雅黑" w:eastAsia="微软雅黑" w:cs="微软雅黑"/>
          <w:bCs/>
          <w:sz w:val="28"/>
          <w:szCs w:val="28"/>
        </w:rPr>
        <w:t>第5款，本款所称“口部设施”，系指车站出入口、风亭、冷却塔、附属建筑和配套管线设施。其布局，应与轨道交通工程主体统一规划、同步设计及实施，应符合交通、规划、人防、消防、环保、防洪和无障碍等有关要求。</w:t>
      </w:r>
    </w:p>
    <w:p>
      <w:pPr>
        <w:spacing w:line="360" w:lineRule="auto"/>
        <w:ind w:firstLine="560" w:firstLineChars="200"/>
        <w:jc w:val="left"/>
        <w:rPr>
          <w:rFonts w:ascii="微软雅黑" w:hAnsi="微软雅黑" w:eastAsia="微软雅黑" w:cs="微软雅黑"/>
          <w:bCs/>
          <w:sz w:val="28"/>
          <w:szCs w:val="28"/>
        </w:rPr>
      </w:pPr>
      <w:r>
        <w:rPr>
          <w:rFonts w:hint="eastAsia" w:ascii="微软雅黑" w:hAnsi="微软雅黑" w:eastAsia="微软雅黑" w:cs="微软雅黑"/>
          <w:bCs/>
          <w:sz w:val="28"/>
          <w:szCs w:val="28"/>
        </w:rPr>
        <w:t>第7款 本款所称公共卫生间较高装修标准系指</w:t>
      </w:r>
      <w:r>
        <w:rPr>
          <w:rFonts w:hint="eastAsia" w:ascii="微软雅黑" w:hAnsi="微软雅黑" w:eastAsia="微软雅黑" w:cs="微软雅黑"/>
          <w:bCs/>
          <w:kern w:val="0"/>
          <w:sz w:val="28"/>
          <w:szCs w:val="28"/>
        </w:rPr>
        <w:t>：（1）洗手台可采用一体化人造石，配置洗手液、擦手纸和自动干手机；（2）男卫小便斗隔板高度宜为1.8m，厕位隔板及门下部距地高度宜为0.3m，增强私隐性；（3）厕位隔间内应设手纸筒、置物板、挂钩和不锈钢扶手。</w:t>
      </w:r>
    </w:p>
    <w:p>
      <w:pPr>
        <w:spacing w:line="360" w:lineRule="auto"/>
        <w:ind w:firstLine="560" w:firstLineChars="200"/>
        <w:jc w:val="left"/>
        <w:rPr>
          <w:rFonts w:asciiTheme="minorEastAsia" w:hAnsiTheme="minorEastAsia" w:eastAsiaTheme="minorEastAsia"/>
          <w:bCs/>
          <w:color w:val="00B050"/>
          <w:sz w:val="28"/>
          <w:szCs w:val="28"/>
        </w:rPr>
      </w:pPr>
      <w:r>
        <w:rPr>
          <w:rFonts w:hint="eastAsia" w:ascii="微软雅黑" w:hAnsi="微软雅黑" w:eastAsia="微软雅黑" w:cs="微软雅黑"/>
          <w:bCs/>
          <w:sz w:val="28"/>
          <w:szCs w:val="28"/>
        </w:rPr>
        <w:t>第8款 本款旨在保证火灾在初期即得到控制。</w:t>
      </w:r>
    </w:p>
    <w:p>
      <w:pPr>
        <w:spacing w:line="360" w:lineRule="auto"/>
        <w:jc w:val="left"/>
        <w:rPr>
          <w:rFonts w:asciiTheme="minorEastAsia" w:hAnsiTheme="minorEastAsia" w:eastAsiaTheme="minorEastAsia"/>
          <w:b/>
          <w:bCs/>
          <w:sz w:val="28"/>
          <w:szCs w:val="28"/>
        </w:rPr>
      </w:pPr>
      <w:r>
        <w:rPr>
          <w:rFonts w:hint="eastAsia" w:asciiTheme="minorEastAsia" w:hAnsiTheme="minorEastAsia" w:eastAsiaTheme="minorEastAsia"/>
          <w:b/>
          <w:sz w:val="28"/>
          <w:szCs w:val="28"/>
        </w:rPr>
        <w:t>6.3.3 车站</w:t>
      </w:r>
      <w:r>
        <w:rPr>
          <w:rFonts w:asciiTheme="minorEastAsia" w:hAnsiTheme="minorEastAsia" w:eastAsiaTheme="minorEastAsia"/>
          <w:b/>
          <w:bCs/>
          <w:sz w:val="28"/>
          <w:szCs w:val="28"/>
        </w:rPr>
        <w:t>无障碍设施</w:t>
      </w:r>
      <w:r>
        <w:rPr>
          <w:rFonts w:hint="eastAsia" w:asciiTheme="minorEastAsia" w:hAnsiTheme="minorEastAsia" w:eastAsiaTheme="minorEastAsia"/>
          <w:b/>
          <w:bCs/>
          <w:sz w:val="28"/>
          <w:szCs w:val="28"/>
        </w:rPr>
        <w:t>设计，应符合下列规定：</w:t>
      </w:r>
    </w:p>
    <w:p>
      <w:pPr>
        <w:spacing w:line="360" w:lineRule="auto"/>
        <w:ind w:firstLine="562" w:firstLineChars="200"/>
        <w:jc w:val="left"/>
        <w:rPr>
          <w:rFonts w:asciiTheme="minorEastAsia" w:hAnsiTheme="minorEastAsia" w:eastAsiaTheme="minorEastAsia"/>
          <w:bCs/>
          <w:sz w:val="28"/>
          <w:szCs w:val="28"/>
        </w:rPr>
      </w:pPr>
      <w:r>
        <w:rPr>
          <w:rFonts w:hint="eastAsia" w:ascii="宋体" w:hAnsi="宋体" w:cs="宋体"/>
          <w:b/>
          <w:kern w:val="0"/>
          <w:sz w:val="28"/>
          <w:szCs w:val="28"/>
        </w:rPr>
        <w:t>1</w:t>
      </w:r>
      <w:r>
        <w:rPr>
          <w:rFonts w:hint="eastAsia" w:ascii="宋体" w:hAnsi="宋体" w:cs="宋体"/>
          <w:kern w:val="0"/>
          <w:sz w:val="28"/>
          <w:szCs w:val="28"/>
        </w:rPr>
        <w:t>车站</w:t>
      </w:r>
      <w:r>
        <w:rPr>
          <w:rFonts w:hint="eastAsia" w:ascii="宋体" w:hAnsi="宋体" w:cs="宋体"/>
          <w:bCs/>
          <w:kern w:val="0"/>
          <w:sz w:val="28"/>
          <w:szCs w:val="28"/>
        </w:rPr>
        <w:t>应</w:t>
      </w:r>
      <w:r>
        <w:rPr>
          <w:rFonts w:hint="eastAsia" w:asciiTheme="minorEastAsia" w:hAnsiTheme="minorEastAsia" w:eastAsiaTheme="minorEastAsia"/>
          <w:bCs/>
          <w:sz w:val="28"/>
          <w:szCs w:val="28"/>
        </w:rPr>
        <w:t>设置</w:t>
      </w:r>
      <w:r>
        <w:rPr>
          <w:rFonts w:asciiTheme="minorEastAsia" w:hAnsiTheme="minorEastAsia" w:eastAsiaTheme="minorEastAsia"/>
          <w:bCs/>
          <w:sz w:val="28"/>
          <w:szCs w:val="28"/>
        </w:rPr>
        <w:t>无障碍电梯</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位于</w:t>
      </w:r>
      <w:r>
        <w:rPr>
          <w:rFonts w:hint="eastAsia" w:asciiTheme="minorEastAsia" w:hAnsiTheme="minorEastAsia" w:eastAsiaTheme="minorEastAsia"/>
          <w:bCs/>
          <w:sz w:val="28"/>
          <w:szCs w:val="28"/>
        </w:rPr>
        <w:t>城市道路</w:t>
      </w:r>
      <w:r>
        <w:rPr>
          <w:rFonts w:asciiTheme="minorEastAsia" w:hAnsiTheme="minorEastAsia" w:eastAsiaTheme="minorEastAsia"/>
          <w:bCs/>
          <w:sz w:val="28"/>
          <w:szCs w:val="28"/>
        </w:rPr>
        <w:t>十字路口的车站</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各出入口均</w:t>
      </w:r>
      <w:r>
        <w:rPr>
          <w:rFonts w:hint="eastAsia" w:asciiTheme="minorEastAsia" w:hAnsiTheme="minorEastAsia" w:eastAsiaTheme="minorEastAsia"/>
          <w:bCs/>
          <w:sz w:val="28"/>
          <w:szCs w:val="28"/>
        </w:rPr>
        <w:t>应</w:t>
      </w:r>
      <w:r>
        <w:rPr>
          <w:rFonts w:asciiTheme="minorEastAsia" w:hAnsiTheme="minorEastAsia" w:eastAsiaTheme="minorEastAsia"/>
          <w:bCs/>
          <w:sz w:val="28"/>
          <w:szCs w:val="28"/>
        </w:rPr>
        <w:t>设一处垂直</w:t>
      </w:r>
      <w:r>
        <w:rPr>
          <w:rFonts w:hint="eastAsia" w:asciiTheme="minorEastAsia" w:hAnsiTheme="minorEastAsia" w:eastAsiaTheme="minorEastAsia"/>
          <w:bCs/>
          <w:sz w:val="28"/>
          <w:szCs w:val="28"/>
        </w:rPr>
        <w:t>无障碍</w:t>
      </w:r>
      <w:r>
        <w:rPr>
          <w:rFonts w:asciiTheme="minorEastAsia" w:hAnsiTheme="minorEastAsia" w:eastAsiaTheme="minorEastAsia"/>
          <w:bCs/>
          <w:sz w:val="28"/>
          <w:szCs w:val="28"/>
        </w:rPr>
        <w:t>电梯；位于</w:t>
      </w:r>
      <w:r>
        <w:rPr>
          <w:rFonts w:hint="eastAsia" w:asciiTheme="minorEastAsia" w:hAnsiTheme="minorEastAsia" w:eastAsiaTheme="minorEastAsia"/>
          <w:bCs/>
          <w:sz w:val="28"/>
          <w:szCs w:val="28"/>
        </w:rPr>
        <w:t>城市</w:t>
      </w:r>
      <w:r>
        <w:rPr>
          <w:rFonts w:asciiTheme="minorEastAsia" w:hAnsiTheme="minorEastAsia" w:eastAsiaTheme="minorEastAsia"/>
          <w:bCs/>
          <w:sz w:val="28"/>
          <w:szCs w:val="28"/>
        </w:rPr>
        <w:t>道路中</w:t>
      </w:r>
      <w:r>
        <w:rPr>
          <w:rFonts w:hint="eastAsia" w:asciiTheme="minorEastAsia" w:hAnsiTheme="minorEastAsia" w:eastAsiaTheme="minorEastAsia"/>
          <w:bCs/>
          <w:sz w:val="28"/>
          <w:szCs w:val="28"/>
        </w:rPr>
        <w:t>段的</w:t>
      </w:r>
      <w:r>
        <w:rPr>
          <w:rFonts w:asciiTheme="minorEastAsia" w:hAnsiTheme="minorEastAsia" w:eastAsiaTheme="minorEastAsia"/>
          <w:bCs/>
          <w:sz w:val="28"/>
          <w:szCs w:val="28"/>
        </w:rPr>
        <w:t>车站，分别在道路两侧设置垂直</w:t>
      </w:r>
      <w:r>
        <w:rPr>
          <w:rFonts w:hint="eastAsia" w:asciiTheme="minorEastAsia" w:hAnsiTheme="minorEastAsia" w:eastAsiaTheme="minorEastAsia"/>
          <w:bCs/>
          <w:sz w:val="28"/>
          <w:szCs w:val="28"/>
        </w:rPr>
        <w:t>无障碍</w:t>
      </w:r>
      <w:r>
        <w:rPr>
          <w:rFonts w:asciiTheme="minorEastAsia" w:hAnsiTheme="minorEastAsia" w:eastAsiaTheme="minorEastAsia"/>
          <w:bCs/>
          <w:sz w:val="28"/>
          <w:szCs w:val="28"/>
        </w:rPr>
        <w:t>电梯（且在车站同端）</w:t>
      </w:r>
      <w:r>
        <w:rPr>
          <w:rFonts w:hint="eastAsia" w:asciiTheme="minorEastAsia" w:hAnsiTheme="minorEastAsia" w:eastAsiaTheme="minorEastAsia"/>
          <w:bCs/>
          <w:sz w:val="28"/>
          <w:szCs w:val="28"/>
        </w:rPr>
        <w:t>；</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bCs/>
          <w:sz w:val="28"/>
          <w:szCs w:val="28"/>
        </w:rPr>
        <w:t>2</w:t>
      </w:r>
      <w:r>
        <w:rPr>
          <w:rFonts w:asciiTheme="minorEastAsia" w:hAnsiTheme="minorEastAsia" w:eastAsiaTheme="minorEastAsia"/>
          <w:bCs/>
          <w:sz w:val="28"/>
          <w:szCs w:val="28"/>
        </w:rPr>
        <w:t>有特殊需要的</w:t>
      </w:r>
      <w:r>
        <w:rPr>
          <w:rFonts w:hint="eastAsia" w:asciiTheme="minorEastAsia" w:hAnsiTheme="minorEastAsia" w:eastAsiaTheme="minorEastAsia"/>
          <w:bCs/>
          <w:sz w:val="28"/>
          <w:szCs w:val="28"/>
        </w:rPr>
        <w:t>人士</w:t>
      </w:r>
      <w:r>
        <w:rPr>
          <w:rFonts w:asciiTheme="minorEastAsia" w:hAnsiTheme="minorEastAsia" w:eastAsiaTheme="minorEastAsia"/>
          <w:bCs/>
          <w:sz w:val="28"/>
          <w:szCs w:val="28"/>
        </w:rPr>
        <w:t>乘地铁时</w:t>
      </w:r>
      <w:r>
        <w:rPr>
          <w:rFonts w:hint="eastAsia" w:asciiTheme="minorEastAsia" w:hAnsiTheme="minorEastAsia" w:eastAsiaTheme="minorEastAsia"/>
          <w:bCs/>
          <w:sz w:val="28"/>
          <w:szCs w:val="28"/>
        </w:rPr>
        <w:t>，应能</w:t>
      </w:r>
      <w:r>
        <w:rPr>
          <w:rFonts w:asciiTheme="minorEastAsia" w:hAnsiTheme="minorEastAsia" w:eastAsiaTheme="minorEastAsia"/>
          <w:bCs/>
          <w:sz w:val="28"/>
          <w:szCs w:val="28"/>
        </w:rPr>
        <w:t>通过地面垂直电梯下至站厅层非付费区域出入口通道内</w:t>
      </w:r>
      <w:r>
        <w:rPr>
          <w:rFonts w:hint="eastAsia" w:asciiTheme="minorEastAsia" w:hAnsiTheme="minorEastAsia" w:eastAsiaTheme="minorEastAsia"/>
          <w:bCs/>
          <w:sz w:val="28"/>
          <w:szCs w:val="28"/>
        </w:rPr>
        <w:t>；并能通过出入口、通道及站内盲道，到达乘车区域；</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3</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车站内</w:t>
      </w:r>
      <w:r>
        <w:rPr>
          <w:rFonts w:hint="eastAsia" w:ascii="宋体" w:hAnsi="宋体" w:cs="宋体"/>
          <w:bCs/>
          <w:kern w:val="0"/>
          <w:sz w:val="28"/>
          <w:szCs w:val="28"/>
        </w:rPr>
        <w:t>应</w:t>
      </w:r>
      <w:r>
        <w:rPr>
          <w:rFonts w:hint="eastAsia" w:asciiTheme="minorEastAsia" w:hAnsiTheme="minorEastAsia" w:eastAsiaTheme="minorEastAsia"/>
          <w:bCs/>
          <w:sz w:val="28"/>
          <w:szCs w:val="28"/>
        </w:rPr>
        <w:t>设置</w:t>
      </w:r>
      <w:r>
        <w:rPr>
          <w:rFonts w:asciiTheme="minorEastAsia" w:hAnsiTheme="minorEastAsia" w:eastAsiaTheme="minorEastAsia"/>
          <w:bCs/>
          <w:sz w:val="28"/>
          <w:szCs w:val="28"/>
        </w:rPr>
        <w:t>无障碍</w:t>
      </w:r>
      <w:r>
        <w:rPr>
          <w:rFonts w:hint="eastAsia" w:asciiTheme="minorEastAsia" w:hAnsiTheme="minorEastAsia" w:eastAsiaTheme="minorEastAsia"/>
          <w:bCs/>
          <w:sz w:val="28"/>
          <w:szCs w:val="28"/>
        </w:rPr>
        <w:t>卫生间；</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4</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车站内</w:t>
      </w:r>
      <w:r>
        <w:rPr>
          <w:rFonts w:hint="eastAsia" w:asciiTheme="minorEastAsia" w:hAnsiTheme="minorEastAsia" w:eastAsiaTheme="minorEastAsia"/>
          <w:bCs/>
          <w:sz w:val="28"/>
          <w:szCs w:val="28"/>
        </w:rPr>
        <w:t>无障碍</w:t>
      </w:r>
      <w:r>
        <w:rPr>
          <w:rFonts w:asciiTheme="minorEastAsia" w:hAnsiTheme="minorEastAsia" w:eastAsiaTheme="minorEastAsia"/>
          <w:bCs/>
          <w:sz w:val="28"/>
          <w:szCs w:val="28"/>
        </w:rPr>
        <w:t>通道应与城市无障碍通道衔接</w:t>
      </w:r>
      <w:r>
        <w:rPr>
          <w:rFonts w:hint="eastAsia" w:asciiTheme="minorEastAsia" w:hAnsiTheme="minorEastAsia" w:eastAsiaTheme="minorEastAsia"/>
          <w:bCs/>
          <w:sz w:val="28"/>
          <w:szCs w:val="28"/>
        </w:rPr>
        <w:t>；</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5</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车站内</w:t>
      </w:r>
      <w:r>
        <w:rPr>
          <w:rFonts w:hint="eastAsia" w:asciiTheme="minorEastAsia" w:hAnsiTheme="minorEastAsia" w:eastAsiaTheme="minorEastAsia"/>
          <w:bCs/>
          <w:sz w:val="28"/>
          <w:szCs w:val="28"/>
        </w:rPr>
        <w:t>其他</w:t>
      </w:r>
      <w:r>
        <w:rPr>
          <w:rFonts w:asciiTheme="minorEastAsia" w:hAnsiTheme="minorEastAsia" w:eastAsiaTheme="minorEastAsia"/>
          <w:bCs/>
          <w:sz w:val="28"/>
          <w:szCs w:val="28"/>
        </w:rPr>
        <w:t>无障碍</w:t>
      </w:r>
      <w:r>
        <w:rPr>
          <w:rFonts w:hint="eastAsia" w:asciiTheme="minorEastAsia" w:hAnsiTheme="minorEastAsia" w:eastAsiaTheme="minorEastAsia"/>
          <w:bCs/>
          <w:sz w:val="28"/>
          <w:szCs w:val="28"/>
        </w:rPr>
        <w:t>设施设计应符合有关标准。</w:t>
      </w:r>
    </w:p>
    <w:p>
      <w:pPr>
        <w:spacing w:line="360" w:lineRule="auto"/>
        <w:jc w:val="left"/>
        <w:rPr>
          <w:rFonts w:ascii="微软雅黑" w:hAnsi="微软雅黑" w:eastAsia="微软雅黑" w:cs="微软雅黑"/>
          <w:bCs/>
          <w:sz w:val="28"/>
          <w:szCs w:val="28"/>
        </w:rPr>
      </w:pPr>
      <w:r>
        <w:rPr>
          <w:rFonts w:hint="eastAsia" w:ascii="微软雅黑" w:hAnsi="微软雅黑" w:eastAsia="微软雅黑" w:cs="微软雅黑"/>
          <w:bCs/>
          <w:sz w:val="28"/>
          <w:szCs w:val="28"/>
        </w:rPr>
        <w:t>【条文说明】</w:t>
      </w:r>
      <w:r>
        <w:rPr>
          <w:rFonts w:hint="eastAsia" w:ascii="微软雅黑" w:hAnsi="微软雅黑" w:eastAsia="微软雅黑" w:cs="微软雅黑"/>
          <w:b/>
          <w:bCs/>
          <w:sz w:val="28"/>
          <w:szCs w:val="28"/>
        </w:rPr>
        <w:t>6.3.3</w:t>
      </w:r>
      <w:r>
        <w:rPr>
          <w:rFonts w:hint="eastAsia" w:ascii="微软雅黑" w:hAnsi="微软雅黑" w:eastAsia="微软雅黑" w:cs="微软雅黑"/>
          <w:bCs/>
          <w:sz w:val="28"/>
          <w:szCs w:val="28"/>
        </w:rPr>
        <w:t>第5款 比如，按照《无障碍设计规范》GB 50763-2012 第3.4.4条和第3.8.1条要求,在有条件情况下，可将无障碍坡道做到1：12坡度，此时通行最为安全舒适；无障碍双层扶手上层距地高度为900mm,下层距地高度为650mm。另参照《无障碍设计图集》12J926，轮椅回转需要最小净空应为1.5m×1.5m。</w:t>
      </w:r>
    </w:p>
    <w:p>
      <w:pPr>
        <w:spacing w:line="360" w:lineRule="auto"/>
        <w:jc w:val="left"/>
        <w:rPr>
          <w:rFonts w:asciiTheme="minorEastAsia" w:hAnsiTheme="minorEastAsia" w:eastAsiaTheme="minorEastAsia"/>
          <w:b/>
          <w:bCs/>
          <w:sz w:val="28"/>
          <w:szCs w:val="28"/>
        </w:rPr>
      </w:pPr>
      <w:r>
        <w:rPr>
          <w:rFonts w:hint="eastAsia" w:asciiTheme="minorEastAsia" w:hAnsiTheme="minorEastAsia" w:eastAsiaTheme="minorEastAsia"/>
          <w:b/>
          <w:sz w:val="28"/>
          <w:szCs w:val="28"/>
        </w:rPr>
        <w:t xml:space="preserve">6.3.4 </w:t>
      </w:r>
      <w:r>
        <w:rPr>
          <w:rFonts w:hint="eastAsia" w:asciiTheme="minorEastAsia" w:hAnsiTheme="minorEastAsia" w:eastAsiaTheme="minorEastAsia"/>
          <w:bCs/>
          <w:sz w:val="28"/>
          <w:szCs w:val="28"/>
        </w:rPr>
        <w:t>轨道交通结构工程设计，应符合下列规定：</w:t>
      </w:r>
    </w:p>
    <w:p>
      <w:pPr>
        <w:spacing w:line="360" w:lineRule="auto"/>
        <w:ind w:firstLine="562" w:firstLineChars="200"/>
        <w:jc w:val="left"/>
        <w:rPr>
          <w:rFonts w:asciiTheme="minorEastAsia" w:hAnsiTheme="minorEastAsia" w:eastAsiaTheme="minorEastAsia"/>
          <w:bCs/>
          <w:sz w:val="28"/>
          <w:szCs w:val="28"/>
        </w:rPr>
      </w:pPr>
      <w:r>
        <w:rPr>
          <w:rFonts w:asciiTheme="minorEastAsia" w:hAnsiTheme="minorEastAsia" w:eastAsiaTheme="minorEastAsia"/>
          <w:b/>
          <w:sz w:val="28"/>
          <w:szCs w:val="28"/>
        </w:rPr>
        <w:t>1</w:t>
      </w:r>
      <w:r>
        <w:rPr>
          <w:rFonts w:asciiTheme="minorEastAsia" w:hAnsiTheme="minorEastAsia" w:eastAsiaTheme="minorEastAsia"/>
          <w:bCs/>
          <w:sz w:val="28"/>
          <w:szCs w:val="28"/>
        </w:rPr>
        <w:t>主体结构工程的设计使用年限应为100年</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车辆基地及其他房屋建筑的设计使用年限应为50年</w:t>
      </w:r>
      <w:r>
        <w:rPr>
          <w:rFonts w:hint="eastAsia" w:asciiTheme="minorEastAsia" w:hAnsiTheme="minorEastAsia" w:eastAsiaTheme="minorEastAsia"/>
          <w:bCs/>
          <w:sz w:val="28"/>
          <w:szCs w:val="28"/>
        </w:rPr>
        <w:t>；</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2</w:t>
      </w:r>
      <w:r>
        <w:rPr>
          <w:rFonts w:hint="eastAsia" w:asciiTheme="minorEastAsia" w:hAnsiTheme="minorEastAsia" w:eastAsiaTheme="minorEastAsia"/>
          <w:bCs/>
          <w:sz w:val="28"/>
          <w:szCs w:val="28"/>
        </w:rPr>
        <w:t>轨道交通</w:t>
      </w:r>
      <w:r>
        <w:rPr>
          <w:rFonts w:asciiTheme="minorEastAsia" w:hAnsiTheme="minorEastAsia" w:eastAsiaTheme="minorEastAsia"/>
          <w:bCs/>
          <w:sz w:val="28"/>
          <w:szCs w:val="28"/>
        </w:rPr>
        <w:t>结构工程</w:t>
      </w:r>
      <w:r>
        <w:rPr>
          <w:rFonts w:hint="eastAsia" w:asciiTheme="minorEastAsia" w:hAnsiTheme="minorEastAsia" w:eastAsiaTheme="minorEastAsia"/>
          <w:bCs/>
          <w:sz w:val="28"/>
          <w:szCs w:val="28"/>
        </w:rPr>
        <w:t>设计方案，应体现绿色建筑理念，采取先进施工方法和装备、设施，降低施工和运营对环境的影响；</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3</w:t>
      </w:r>
      <w:r>
        <w:rPr>
          <w:rFonts w:asciiTheme="minorEastAsia" w:hAnsiTheme="minorEastAsia" w:eastAsiaTheme="minorEastAsia"/>
          <w:bCs/>
          <w:sz w:val="28"/>
          <w:szCs w:val="28"/>
        </w:rPr>
        <w:t>采用直流供电和走行轨回流的</w:t>
      </w:r>
      <w:r>
        <w:rPr>
          <w:rFonts w:hint="eastAsia" w:asciiTheme="minorEastAsia" w:hAnsiTheme="minorEastAsia" w:eastAsiaTheme="minorEastAsia"/>
          <w:bCs/>
          <w:sz w:val="28"/>
          <w:szCs w:val="28"/>
        </w:rPr>
        <w:t>地下</w:t>
      </w:r>
      <w:r>
        <w:rPr>
          <w:rFonts w:asciiTheme="minorEastAsia" w:hAnsiTheme="minorEastAsia" w:eastAsiaTheme="minorEastAsia"/>
          <w:bCs/>
          <w:sz w:val="28"/>
          <w:szCs w:val="28"/>
        </w:rPr>
        <w:t>结构工程，应采取防止杂散电流腐蚀的措施。钢结构及钢连接件应进行防锈处理</w:t>
      </w:r>
      <w:r>
        <w:rPr>
          <w:rFonts w:hint="eastAsia" w:asciiTheme="minorEastAsia" w:hAnsiTheme="minorEastAsia" w:eastAsiaTheme="minorEastAsia"/>
          <w:bCs/>
          <w:sz w:val="28"/>
          <w:szCs w:val="28"/>
        </w:rPr>
        <w:t>；</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bCs/>
          <w:sz w:val="28"/>
          <w:szCs w:val="28"/>
        </w:rPr>
        <w:t>4</w:t>
      </w:r>
      <w:r>
        <w:rPr>
          <w:rFonts w:asciiTheme="minorEastAsia" w:hAnsiTheme="minorEastAsia" w:eastAsiaTheme="minorEastAsia"/>
          <w:bCs/>
          <w:sz w:val="28"/>
          <w:szCs w:val="28"/>
        </w:rPr>
        <w:t>轨道结构应具有足够的强度、稳定性、耐久性和适当的弹性，应保证列车运行平稳、安全，并应满足减振、降噪的要求。</w:t>
      </w:r>
    </w:p>
    <w:p>
      <w:pPr>
        <w:spacing w:line="360" w:lineRule="auto"/>
        <w:jc w:val="left"/>
        <w:rPr>
          <w:rFonts w:ascii="微软雅黑" w:hAnsi="微软雅黑" w:eastAsia="微软雅黑" w:cs="微软雅黑"/>
          <w:sz w:val="28"/>
          <w:szCs w:val="28"/>
        </w:rPr>
      </w:pPr>
      <w:r>
        <w:rPr>
          <w:rFonts w:hint="eastAsia" w:ascii="微软雅黑" w:hAnsi="微软雅黑" w:eastAsia="微软雅黑" w:cs="微软雅黑"/>
          <w:bCs/>
          <w:sz w:val="28"/>
          <w:szCs w:val="28"/>
        </w:rPr>
        <w:t>【条文说明】</w:t>
      </w:r>
      <w:r>
        <w:rPr>
          <w:rFonts w:hint="eastAsia" w:ascii="微软雅黑" w:hAnsi="微软雅黑" w:eastAsia="微软雅黑" w:cs="微软雅黑"/>
          <w:b/>
          <w:bCs/>
          <w:sz w:val="28"/>
          <w:szCs w:val="28"/>
        </w:rPr>
        <w:t>6.3.4</w:t>
      </w:r>
      <w:r>
        <w:rPr>
          <w:rFonts w:hint="eastAsia" w:ascii="微软雅黑" w:hAnsi="微软雅黑" w:eastAsia="微软雅黑" w:cs="微软雅黑"/>
          <w:bCs/>
          <w:sz w:val="28"/>
          <w:szCs w:val="28"/>
        </w:rPr>
        <w:t xml:space="preserve"> </w:t>
      </w:r>
      <w:r>
        <w:rPr>
          <w:rFonts w:hint="eastAsia" w:ascii="微软雅黑" w:hAnsi="微软雅黑" w:eastAsia="微软雅黑" w:cs="微软雅黑"/>
          <w:sz w:val="28"/>
          <w:szCs w:val="28"/>
        </w:rPr>
        <w:t>第1款 地铁地下结构使用期间不可更换（或其更换会影响运营）的结构构件,应严格按100年使用年限设计。</w:t>
      </w:r>
    </w:p>
    <w:p>
      <w:pPr>
        <w:spacing w:line="360" w:lineRule="auto"/>
        <w:ind w:firstLine="560" w:firstLineChars="200"/>
        <w:jc w:val="left"/>
        <w:rPr>
          <w:rFonts w:ascii="微软雅黑" w:hAnsi="微软雅黑" w:eastAsia="微软雅黑" w:cs="微软雅黑"/>
          <w:sz w:val="28"/>
          <w:szCs w:val="28"/>
        </w:rPr>
      </w:pPr>
      <w:r>
        <w:rPr>
          <w:rFonts w:hint="eastAsia" w:ascii="微软雅黑" w:hAnsi="微软雅黑" w:eastAsia="微软雅黑" w:cs="微软雅黑"/>
          <w:sz w:val="28"/>
          <w:szCs w:val="28"/>
        </w:rPr>
        <w:t>第2款 地铁建设和运营会产生噪声、振动、粉尘等环境污染。因此，设计应采取综合创新举措，包括采用装配式结构、减振轨道、隔音屏等新技术、新工艺、新设备，以降低不利影响。</w:t>
      </w:r>
    </w:p>
    <w:p>
      <w:pPr>
        <w:spacing w:line="360" w:lineRule="auto"/>
        <w:jc w:val="lef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6</w:t>
      </w:r>
      <w:r>
        <w:rPr>
          <w:rFonts w:asciiTheme="minorEastAsia" w:hAnsiTheme="minorEastAsia" w:eastAsiaTheme="minorEastAsia"/>
          <w:b/>
          <w:bCs/>
          <w:sz w:val="28"/>
          <w:szCs w:val="28"/>
        </w:rPr>
        <w:t>.3.</w:t>
      </w:r>
      <w:r>
        <w:rPr>
          <w:rFonts w:hint="eastAsia" w:asciiTheme="minorEastAsia" w:hAnsiTheme="minorEastAsia" w:eastAsiaTheme="minorEastAsia"/>
          <w:b/>
          <w:bCs/>
          <w:sz w:val="28"/>
          <w:szCs w:val="28"/>
        </w:rPr>
        <w:t xml:space="preserve">5 </w:t>
      </w:r>
      <w:r>
        <w:rPr>
          <w:rFonts w:asciiTheme="minorEastAsia" w:hAnsiTheme="minorEastAsia" w:eastAsiaTheme="minorEastAsia"/>
          <w:bCs/>
          <w:sz w:val="28"/>
          <w:szCs w:val="28"/>
        </w:rPr>
        <w:t>通风空调</w:t>
      </w:r>
      <w:r>
        <w:rPr>
          <w:rFonts w:hint="eastAsia" w:asciiTheme="minorEastAsia" w:hAnsiTheme="minorEastAsia" w:eastAsiaTheme="minorEastAsia"/>
          <w:bCs/>
          <w:sz w:val="28"/>
          <w:szCs w:val="28"/>
        </w:rPr>
        <w:t>和给排水设计，应符合下列规定：</w:t>
      </w:r>
    </w:p>
    <w:p>
      <w:pPr>
        <w:spacing w:line="360" w:lineRule="auto"/>
        <w:ind w:firstLine="562" w:firstLineChars="200"/>
        <w:jc w:val="left"/>
        <w:rPr>
          <w:rFonts w:asciiTheme="minorEastAsia" w:hAnsiTheme="minorEastAsia" w:eastAsiaTheme="minorEastAsia"/>
          <w:bCs/>
          <w:sz w:val="28"/>
          <w:szCs w:val="28"/>
        </w:rPr>
      </w:pPr>
      <w:r>
        <w:rPr>
          <w:rFonts w:asciiTheme="minorEastAsia" w:hAnsiTheme="minorEastAsia" w:eastAsiaTheme="minorEastAsia"/>
          <w:b/>
          <w:sz w:val="28"/>
          <w:szCs w:val="28"/>
        </w:rPr>
        <w:t>1</w:t>
      </w:r>
      <w:r>
        <w:rPr>
          <w:rFonts w:asciiTheme="minorEastAsia" w:hAnsiTheme="minorEastAsia" w:eastAsiaTheme="minorEastAsia"/>
          <w:bCs/>
          <w:sz w:val="28"/>
          <w:szCs w:val="28"/>
        </w:rPr>
        <w:t>地下车站公共区应设置空调系统，地铁连通的地下过街通道宜设置空调系统</w:t>
      </w:r>
      <w:r>
        <w:rPr>
          <w:rFonts w:hint="eastAsia" w:asciiTheme="minorEastAsia" w:hAnsiTheme="minorEastAsia" w:eastAsiaTheme="minorEastAsia"/>
          <w:bCs/>
          <w:sz w:val="28"/>
          <w:szCs w:val="28"/>
        </w:rPr>
        <w:t>；</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2</w:t>
      </w:r>
      <w:r>
        <w:rPr>
          <w:rFonts w:asciiTheme="minorEastAsia" w:hAnsiTheme="minorEastAsia" w:eastAsiaTheme="minorEastAsia"/>
          <w:bCs/>
          <w:sz w:val="28"/>
          <w:szCs w:val="28"/>
        </w:rPr>
        <w:t>公共卫生间应设置净化消毒除味装置。</w:t>
      </w:r>
      <w:r>
        <w:rPr>
          <w:rFonts w:hint="eastAsia" w:asciiTheme="minorEastAsia" w:hAnsiTheme="minorEastAsia" w:eastAsiaTheme="minorEastAsia"/>
          <w:bCs/>
          <w:sz w:val="28"/>
          <w:szCs w:val="28"/>
        </w:rPr>
        <w:t>每个蹲位隔间、小便斗区域和洗手台区域，宜设置独立风口和导管式排气扇；</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3</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车站公共</w:t>
      </w:r>
      <w:r>
        <w:rPr>
          <w:rFonts w:hint="eastAsia" w:asciiTheme="minorEastAsia" w:hAnsiTheme="minorEastAsia" w:eastAsiaTheme="minorEastAsia"/>
          <w:bCs/>
          <w:sz w:val="28"/>
          <w:szCs w:val="28"/>
        </w:rPr>
        <w:t>区域宜</w:t>
      </w:r>
      <w:r>
        <w:rPr>
          <w:rFonts w:asciiTheme="minorEastAsia" w:hAnsiTheme="minorEastAsia" w:eastAsiaTheme="minorEastAsia"/>
          <w:bCs/>
          <w:sz w:val="28"/>
          <w:szCs w:val="28"/>
        </w:rPr>
        <w:t>设置直饮水</w:t>
      </w:r>
      <w:r>
        <w:rPr>
          <w:rFonts w:hint="eastAsia" w:asciiTheme="minorEastAsia" w:hAnsiTheme="minorEastAsia" w:eastAsiaTheme="minorEastAsia"/>
          <w:bCs/>
          <w:sz w:val="28"/>
          <w:szCs w:val="28"/>
        </w:rPr>
        <w:t>装置；</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bCs/>
          <w:sz w:val="28"/>
          <w:szCs w:val="28"/>
        </w:rPr>
        <w:t>4</w:t>
      </w:r>
      <w:r>
        <w:rPr>
          <w:rFonts w:hint="eastAsia" w:asciiTheme="minorEastAsia" w:hAnsiTheme="minorEastAsia" w:eastAsiaTheme="minorEastAsia"/>
          <w:sz w:val="28"/>
          <w:szCs w:val="28"/>
        </w:rPr>
        <w:t>公共</w:t>
      </w:r>
      <w:r>
        <w:rPr>
          <w:rFonts w:asciiTheme="minorEastAsia" w:hAnsiTheme="minorEastAsia" w:eastAsiaTheme="minorEastAsia"/>
          <w:bCs/>
          <w:sz w:val="28"/>
          <w:szCs w:val="28"/>
        </w:rPr>
        <w:t>卫生间</w:t>
      </w:r>
      <w:r>
        <w:rPr>
          <w:rFonts w:hint="eastAsia" w:asciiTheme="minorEastAsia" w:hAnsiTheme="minorEastAsia" w:eastAsiaTheme="minorEastAsia"/>
          <w:bCs/>
          <w:sz w:val="28"/>
          <w:szCs w:val="28"/>
        </w:rPr>
        <w:t>应</w:t>
      </w:r>
      <w:r>
        <w:rPr>
          <w:rFonts w:asciiTheme="minorEastAsia" w:hAnsiTheme="minorEastAsia" w:eastAsiaTheme="minorEastAsia"/>
          <w:bCs/>
          <w:sz w:val="28"/>
          <w:szCs w:val="28"/>
        </w:rPr>
        <w:t>采用感应式卫生洁具</w:t>
      </w:r>
      <w:r>
        <w:rPr>
          <w:rFonts w:hint="eastAsia" w:asciiTheme="minorEastAsia" w:hAnsiTheme="minorEastAsia" w:eastAsiaTheme="minorEastAsia"/>
          <w:bCs/>
          <w:sz w:val="28"/>
          <w:szCs w:val="28"/>
        </w:rPr>
        <w:t>；</w:t>
      </w:r>
    </w:p>
    <w:p>
      <w:pPr>
        <w:spacing w:line="360" w:lineRule="auto"/>
        <w:ind w:firstLine="562" w:firstLineChars="200"/>
        <w:jc w:val="left"/>
        <w:rPr>
          <w:rFonts w:asciiTheme="minorEastAsia" w:hAnsiTheme="minorEastAsia" w:eastAsiaTheme="minorEastAsia"/>
          <w:sz w:val="28"/>
          <w:szCs w:val="28"/>
        </w:rPr>
      </w:pPr>
      <w:r>
        <w:rPr>
          <w:rFonts w:hint="eastAsia" w:asciiTheme="minorEastAsia" w:hAnsiTheme="minorEastAsia" w:eastAsiaTheme="minorEastAsia"/>
          <w:b/>
          <w:bCs/>
          <w:sz w:val="28"/>
          <w:szCs w:val="28"/>
        </w:rPr>
        <w:t>5</w:t>
      </w:r>
      <w:r>
        <w:rPr>
          <w:rFonts w:hint="eastAsia" w:asciiTheme="minorEastAsia" w:hAnsiTheme="minorEastAsia" w:eastAsiaTheme="minorEastAsia"/>
          <w:sz w:val="28"/>
          <w:szCs w:val="28"/>
        </w:rPr>
        <w:t>应采用优质耐久性好的设备及材料。</w:t>
      </w:r>
    </w:p>
    <w:p>
      <w:pPr>
        <w:spacing w:line="360" w:lineRule="auto"/>
        <w:jc w:val="lef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6</w:t>
      </w:r>
      <w:r>
        <w:rPr>
          <w:rFonts w:asciiTheme="minorEastAsia" w:hAnsiTheme="minorEastAsia" w:eastAsiaTheme="minorEastAsia"/>
          <w:b/>
          <w:bCs/>
          <w:sz w:val="28"/>
          <w:szCs w:val="28"/>
        </w:rPr>
        <w:t>.3.</w:t>
      </w:r>
      <w:r>
        <w:rPr>
          <w:rFonts w:hint="eastAsia" w:asciiTheme="minorEastAsia" w:hAnsiTheme="minorEastAsia" w:eastAsiaTheme="minorEastAsia"/>
          <w:b/>
          <w:bCs/>
          <w:sz w:val="28"/>
          <w:szCs w:val="28"/>
        </w:rPr>
        <w:t xml:space="preserve">6 </w:t>
      </w:r>
      <w:r>
        <w:rPr>
          <w:rFonts w:asciiTheme="minorEastAsia" w:hAnsiTheme="minorEastAsia" w:eastAsiaTheme="minorEastAsia"/>
          <w:bCs/>
          <w:sz w:val="28"/>
          <w:szCs w:val="28"/>
        </w:rPr>
        <w:t>供电</w:t>
      </w:r>
      <w:r>
        <w:rPr>
          <w:rFonts w:hint="eastAsia" w:asciiTheme="minorEastAsia" w:hAnsiTheme="minorEastAsia" w:eastAsiaTheme="minorEastAsia"/>
          <w:bCs/>
          <w:sz w:val="28"/>
          <w:szCs w:val="28"/>
        </w:rPr>
        <w:t>、动照、通信及弱电设计，应符合下列规定：</w:t>
      </w:r>
    </w:p>
    <w:p>
      <w:pPr>
        <w:spacing w:line="360" w:lineRule="auto"/>
        <w:ind w:firstLine="562" w:firstLineChars="200"/>
        <w:jc w:val="left"/>
        <w:rPr>
          <w:rFonts w:asciiTheme="minorEastAsia" w:hAnsiTheme="minorEastAsia" w:eastAsiaTheme="minorEastAsia"/>
          <w:bCs/>
          <w:sz w:val="28"/>
          <w:szCs w:val="28"/>
        </w:rPr>
      </w:pPr>
      <w:r>
        <w:rPr>
          <w:rFonts w:asciiTheme="minorEastAsia" w:hAnsiTheme="minorEastAsia" w:eastAsiaTheme="minorEastAsia"/>
          <w:b/>
          <w:bCs/>
          <w:sz w:val="28"/>
          <w:szCs w:val="28"/>
        </w:rPr>
        <w:t>1</w:t>
      </w:r>
      <w:r>
        <w:rPr>
          <w:rFonts w:hint="eastAsia" w:asciiTheme="minorEastAsia" w:hAnsiTheme="minorEastAsia" w:eastAsiaTheme="minorEastAsia"/>
          <w:sz w:val="28"/>
          <w:szCs w:val="28"/>
        </w:rPr>
        <w:t>应</w:t>
      </w:r>
      <w:r>
        <w:rPr>
          <w:rFonts w:asciiTheme="minorEastAsia" w:hAnsiTheme="minorEastAsia" w:eastAsiaTheme="minorEastAsia"/>
          <w:bCs/>
          <w:sz w:val="28"/>
          <w:szCs w:val="28"/>
        </w:rPr>
        <w:t>实现主变电所共享</w:t>
      </w:r>
      <w:r>
        <w:rPr>
          <w:rFonts w:hint="eastAsia" w:asciiTheme="minorEastAsia" w:hAnsiTheme="minorEastAsia" w:eastAsiaTheme="minorEastAsia"/>
          <w:bCs/>
          <w:sz w:val="28"/>
          <w:szCs w:val="28"/>
        </w:rPr>
        <w:t>；</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2</w:t>
      </w:r>
      <w:r>
        <w:rPr>
          <w:rFonts w:asciiTheme="minorEastAsia" w:hAnsiTheme="minorEastAsia" w:eastAsiaTheme="minorEastAsia"/>
          <w:bCs/>
          <w:sz w:val="28"/>
          <w:szCs w:val="28"/>
        </w:rPr>
        <w:t>在满足技术要求的条件下，主变电所选址尽量避开重点区域和敏感区域，或采用地下主变电所</w:t>
      </w:r>
      <w:r>
        <w:rPr>
          <w:rFonts w:hint="eastAsia" w:asciiTheme="minorEastAsia" w:hAnsiTheme="minorEastAsia" w:eastAsiaTheme="minorEastAsia"/>
          <w:bCs/>
          <w:sz w:val="28"/>
          <w:szCs w:val="28"/>
        </w:rPr>
        <w:t>；主变压器宜采用干式变压器；</w:t>
      </w:r>
    </w:p>
    <w:p>
      <w:pPr>
        <w:spacing w:line="360" w:lineRule="auto"/>
        <w:ind w:firstLine="562" w:firstLineChars="200"/>
        <w:jc w:val="left"/>
        <w:rPr>
          <w:rFonts w:asciiTheme="minorEastAsia" w:hAnsiTheme="minorEastAsia" w:eastAsiaTheme="minorEastAsia"/>
          <w:sz w:val="28"/>
          <w:szCs w:val="28"/>
        </w:rPr>
      </w:pPr>
      <w:r>
        <w:rPr>
          <w:rFonts w:hint="eastAsia" w:asciiTheme="minorEastAsia" w:hAnsiTheme="minorEastAsia" w:eastAsiaTheme="minorEastAsia"/>
          <w:b/>
          <w:bCs/>
          <w:sz w:val="28"/>
          <w:szCs w:val="28"/>
        </w:rPr>
        <w:t xml:space="preserve">3 </w:t>
      </w:r>
      <w:r>
        <w:rPr>
          <w:rFonts w:hint="eastAsia" w:asciiTheme="minorEastAsia" w:hAnsiTheme="minorEastAsia" w:eastAsiaTheme="minorEastAsia"/>
          <w:sz w:val="28"/>
          <w:szCs w:val="28"/>
        </w:rPr>
        <w:t>与地铁距离较近的钢质高压燃气管道，应按相关标准进行腐蚀防护及外腐蚀控制，并按杂散电流地区相关规定采取适当保护措施；</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4</w:t>
      </w:r>
      <w:r>
        <w:rPr>
          <w:rFonts w:asciiTheme="minorEastAsia" w:hAnsiTheme="minorEastAsia" w:eastAsiaTheme="minorEastAsia"/>
          <w:bCs/>
          <w:sz w:val="28"/>
          <w:szCs w:val="28"/>
        </w:rPr>
        <w:t>车站公共区</w:t>
      </w:r>
      <w:r>
        <w:rPr>
          <w:rFonts w:hint="eastAsia" w:asciiTheme="minorEastAsia" w:hAnsiTheme="minorEastAsia" w:eastAsiaTheme="minorEastAsia"/>
          <w:bCs/>
          <w:sz w:val="28"/>
          <w:szCs w:val="28"/>
        </w:rPr>
        <w:t>可考虑</w:t>
      </w:r>
      <w:r>
        <w:rPr>
          <w:rFonts w:asciiTheme="minorEastAsia" w:hAnsiTheme="minorEastAsia" w:eastAsiaTheme="minorEastAsia"/>
          <w:bCs/>
          <w:sz w:val="28"/>
          <w:szCs w:val="28"/>
        </w:rPr>
        <w:t>手机共享充电</w:t>
      </w:r>
      <w:r>
        <w:rPr>
          <w:rFonts w:hint="eastAsia" w:asciiTheme="minorEastAsia" w:hAnsiTheme="minorEastAsia" w:eastAsiaTheme="minorEastAsia"/>
          <w:bCs/>
          <w:sz w:val="28"/>
          <w:szCs w:val="28"/>
        </w:rPr>
        <w:t>可能；</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5</w:t>
      </w:r>
      <w:r>
        <w:rPr>
          <w:rFonts w:hint="eastAsia" w:asciiTheme="minorEastAsia" w:hAnsiTheme="minorEastAsia" w:eastAsiaTheme="minorEastAsia"/>
          <w:bCs/>
          <w:sz w:val="28"/>
          <w:szCs w:val="28"/>
        </w:rPr>
        <w:t>车站</w:t>
      </w:r>
      <w:r>
        <w:rPr>
          <w:rFonts w:asciiTheme="minorEastAsia" w:hAnsiTheme="minorEastAsia" w:eastAsiaTheme="minorEastAsia"/>
          <w:bCs/>
          <w:sz w:val="28"/>
          <w:szCs w:val="28"/>
        </w:rPr>
        <w:t>照明控制宜采用智能调光系统</w:t>
      </w:r>
      <w:r>
        <w:rPr>
          <w:rFonts w:hint="eastAsia" w:asciiTheme="minorEastAsia" w:hAnsiTheme="minorEastAsia" w:eastAsiaTheme="minorEastAsia"/>
          <w:bCs/>
          <w:sz w:val="28"/>
          <w:szCs w:val="28"/>
        </w:rPr>
        <w:t>；</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6</w:t>
      </w:r>
      <w:r>
        <w:rPr>
          <w:rFonts w:asciiTheme="minorEastAsia" w:hAnsiTheme="minorEastAsia" w:eastAsiaTheme="minorEastAsia"/>
          <w:bCs/>
          <w:sz w:val="28"/>
          <w:szCs w:val="28"/>
        </w:rPr>
        <w:t>车站</w:t>
      </w:r>
      <w:r>
        <w:rPr>
          <w:rFonts w:hint="eastAsia" w:asciiTheme="minorEastAsia" w:hAnsiTheme="minorEastAsia" w:eastAsiaTheme="minorEastAsia"/>
          <w:bCs/>
          <w:sz w:val="28"/>
          <w:szCs w:val="28"/>
        </w:rPr>
        <w:t>及与其接驳的客流转换区域，应设有列车导乘和安全疏散信息显示、应急广播等设施及多媒体信息查询终端；</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 xml:space="preserve">7 </w:t>
      </w:r>
      <w:r>
        <w:rPr>
          <w:rFonts w:hint="eastAsia" w:asciiTheme="minorEastAsia" w:hAnsiTheme="minorEastAsia" w:eastAsiaTheme="minorEastAsia"/>
          <w:bCs/>
          <w:sz w:val="28"/>
          <w:szCs w:val="28"/>
        </w:rPr>
        <w:t>根据地域或建设需要，可考虑广播、电视等公众信息引入地铁车站；</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8</w:t>
      </w:r>
      <w:r>
        <w:rPr>
          <w:rFonts w:hint="eastAsia" w:asciiTheme="minorEastAsia" w:hAnsiTheme="minorEastAsia" w:eastAsiaTheme="minorEastAsia"/>
          <w:bCs/>
          <w:sz w:val="28"/>
          <w:szCs w:val="28"/>
        </w:rPr>
        <w:t>地下车站内应实现5G移动互联网全覆盖。其公众通信、警用通信等设施的建设标准应与地面同类设施建设标准协调一致。</w:t>
      </w:r>
    </w:p>
    <w:p>
      <w:pPr>
        <w:spacing w:line="360" w:lineRule="auto"/>
        <w:jc w:val="left"/>
        <w:rPr>
          <w:rFonts w:ascii="微软雅黑" w:hAnsi="微软雅黑" w:eastAsia="微软雅黑" w:cs="微软雅黑"/>
          <w:sz w:val="28"/>
          <w:szCs w:val="28"/>
        </w:rPr>
      </w:pPr>
      <w:r>
        <w:rPr>
          <w:rFonts w:hint="eastAsia" w:ascii="微软雅黑" w:hAnsi="微软雅黑" w:eastAsia="微软雅黑" w:cs="微软雅黑"/>
          <w:bCs/>
          <w:sz w:val="28"/>
          <w:szCs w:val="28"/>
        </w:rPr>
        <w:t>【条文说明】</w:t>
      </w:r>
      <w:r>
        <w:rPr>
          <w:rFonts w:hint="eastAsia" w:ascii="微软雅黑" w:hAnsi="微软雅黑" w:eastAsia="微软雅黑" w:cs="微软雅黑"/>
          <w:b/>
          <w:bCs/>
          <w:sz w:val="28"/>
          <w:szCs w:val="28"/>
        </w:rPr>
        <w:t>6.3.6</w:t>
      </w:r>
      <w:r>
        <w:rPr>
          <w:rFonts w:hint="eastAsia" w:ascii="微软雅黑" w:hAnsi="微软雅黑" w:eastAsia="微软雅黑" w:cs="微软雅黑"/>
          <w:bCs/>
          <w:sz w:val="28"/>
          <w:szCs w:val="28"/>
        </w:rPr>
        <w:t xml:space="preserve"> </w:t>
      </w:r>
      <w:r>
        <w:rPr>
          <w:rFonts w:hint="eastAsia" w:ascii="微软雅黑" w:hAnsi="微软雅黑" w:eastAsia="微软雅黑" w:cs="微软雅黑"/>
          <w:sz w:val="28"/>
          <w:szCs w:val="28"/>
        </w:rPr>
        <w:t>第1款《地铁设计规范》GB 50157-2013未对主变电所资源共享作出规定。随着经济发展和城市建设加快，本市土地资源愈发紧张；而实现主变电所共享，可以减少主变电所设置数量，集约用地，从而大幅节约工程投资和土地资源。</w:t>
      </w:r>
    </w:p>
    <w:p>
      <w:pPr>
        <w:spacing w:line="360" w:lineRule="auto"/>
        <w:jc w:val="left"/>
        <w:rPr>
          <w:rFonts w:ascii="微软雅黑" w:hAnsi="微软雅黑" w:eastAsia="微软雅黑" w:cs="微软雅黑"/>
          <w:sz w:val="28"/>
          <w:szCs w:val="28"/>
        </w:rPr>
      </w:pPr>
      <w:r>
        <w:rPr>
          <w:rFonts w:hint="eastAsia" w:ascii="微软雅黑" w:hAnsi="微软雅黑" w:eastAsia="微软雅黑" w:cs="微软雅黑"/>
          <w:sz w:val="28"/>
          <w:szCs w:val="28"/>
        </w:rPr>
        <w:t xml:space="preserve">    第2款《地铁设计规范》GB50157-2013未对此提出要求。地面主变电所一般设置油浸式主变压器，有一定的环境污染风险。采用地下主变电所和干式主变压器可减少对周边环境的不利影响，同时降低维稳风险。</w:t>
      </w:r>
    </w:p>
    <w:p>
      <w:pPr>
        <w:spacing w:line="360" w:lineRule="auto"/>
        <w:jc w:val="left"/>
        <w:rPr>
          <w:rFonts w:ascii="微软雅黑" w:hAnsi="微软雅黑" w:eastAsia="微软雅黑" w:cs="微软雅黑"/>
          <w:sz w:val="28"/>
          <w:szCs w:val="28"/>
        </w:rPr>
      </w:pPr>
      <w:r>
        <w:rPr>
          <w:rFonts w:hint="eastAsia" w:ascii="微软雅黑" w:hAnsi="微软雅黑" w:eastAsia="微软雅黑" w:cs="微软雅黑"/>
          <w:sz w:val="28"/>
          <w:szCs w:val="28"/>
        </w:rPr>
        <w:t xml:space="preserve">    第3款《地铁设计规范》GB 50157-2013和《地铁杂散电流腐蚀防护技术规程》CJJ 49-1992 未对此提出要求。与地铁距离较近的钢质高压燃气管道，应采取主动防护措施。</w:t>
      </w:r>
    </w:p>
    <w:p>
      <w:pPr>
        <w:spacing w:line="360" w:lineRule="auto"/>
        <w:jc w:val="left"/>
        <w:rPr>
          <w:rFonts w:ascii="微软雅黑" w:hAnsi="微软雅黑" w:eastAsia="微软雅黑" w:cs="微软雅黑"/>
          <w:bCs/>
          <w:sz w:val="28"/>
          <w:szCs w:val="28"/>
        </w:rPr>
      </w:pPr>
      <w:r>
        <w:rPr>
          <w:rFonts w:hint="eastAsia" w:ascii="微软雅黑" w:hAnsi="微软雅黑" w:eastAsia="微软雅黑" w:cs="微软雅黑"/>
          <w:sz w:val="28"/>
          <w:szCs w:val="28"/>
        </w:rPr>
        <w:t xml:space="preserve">    第8款 本条规定，车站列车导乘及信息查询设施的建设标准不宜低于周边区域（含地面）相关建设标准。</w:t>
      </w:r>
    </w:p>
    <w:p>
      <w:pPr>
        <w:spacing w:line="360" w:lineRule="auto"/>
        <w:jc w:val="lef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6</w:t>
      </w:r>
      <w:r>
        <w:rPr>
          <w:rFonts w:asciiTheme="minorEastAsia" w:hAnsiTheme="minorEastAsia" w:eastAsiaTheme="minorEastAsia"/>
          <w:b/>
          <w:bCs/>
          <w:sz w:val="28"/>
          <w:szCs w:val="28"/>
        </w:rPr>
        <w:t>.3.</w:t>
      </w:r>
      <w:r>
        <w:rPr>
          <w:rFonts w:hint="eastAsia" w:asciiTheme="minorEastAsia" w:hAnsiTheme="minorEastAsia" w:eastAsiaTheme="minorEastAsia"/>
          <w:b/>
          <w:bCs/>
          <w:sz w:val="28"/>
          <w:szCs w:val="28"/>
        </w:rPr>
        <w:t xml:space="preserve">7 </w:t>
      </w:r>
      <w:r>
        <w:rPr>
          <w:rFonts w:hint="eastAsia" w:asciiTheme="minorEastAsia" w:hAnsiTheme="minorEastAsia" w:eastAsiaTheme="minorEastAsia"/>
          <w:bCs/>
          <w:sz w:val="28"/>
          <w:szCs w:val="28"/>
        </w:rPr>
        <w:t>车站装修、</w:t>
      </w:r>
      <w:r>
        <w:rPr>
          <w:rFonts w:asciiTheme="minorEastAsia" w:hAnsiTheme="minorEastAsia" w:eastAsiaTheme="minorEastAsia"/>
          <w:bCs/>
          <w:sz w:val="28"/>
          <w:szCs w:val="28"/>
        </w:rPr>
        <w:t>标识</w:t>
      </w:r>
      <w:r>
        <w:rPr>
          <w:rFonts w:hint="eastAsia" w:asciiTheme="minorEastAsia" w:hAnsiTheme="minorEastAsia" w:eastAsiaTheme="minorEastAsia"/>
          <w:bCs/>
          <w:sz w:val="28"/>
          <w:szCs w:val="28"/>
        </w:rPr>
        <w:t>和公共艺术设计，应符合下列规定：</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1</w:t>
      </w:r>
      <w:r>
        <w:rPr>
          <w:rFonts w:hint="eastAsia" w:asciiTheme="minorEastAsia" w:hAnsiTheme="minorEastAsia" w:eastAsiaTheme="minorEastAsia"/>
          <w:sz w:val="28"/>
          <w:szCs w:val="28"/>
        </w:rPr>
        <w:t>车站应进行</w:t>
      </w:r>
      <w:r>
        <w:rPr>
          <w:rFonts w:hint="eastAsia" w:asciiTheme="minorEastAsia" w:hAnsiTheme="minorEastAsia" w:eastAsiaTheme="minorEastAsia"/>
          <w:bCs/>
          <w:sz w:val="28"/>
          <w:szCs w:val="28"/>
        </w:rPr>
        <w:t>装修设计、</w:t>
      </w:r>
      <w:r>
        <w:rPr>
          <w:rFonts w:asciiTheme="minorEastAsia" w:hAnsiTheme="minorEastAsia" w:eastAsiaTheme="minorEastAsia"/>
          <w:bCs/>
          <w:sz w:val="28"/>
          <w:szCs w:val="28"/>
        </w:rPr>
        <w:t>标识</w:t>
      </w:r>
      <w:r>
        <w:rPr>
          <w:rFonts w:hint="eastAsia" w:asciiTheme="minorEastAsia" w:hAnsiTheme="minorEastAsia" w:eastAsiaTheme="minorEastAsia"/>
          <w:bCs/>
          <w:sz w:val="28"/>
          <w:szCs w:val="28"/>
        </w:rPr>
        <w:t>设计和公共艺术设计，三者宜为一体化设计；</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2</w:t>
      </w:r>
      <w:r>
        <w:rPr>
          <w:rFonts w:asciiTheme="minorEastAsia" w:hAnsiTheme="minorEastAsia" w:eastAsiaTheme="minorEastAsia"/>
          <w:bCs/>
          <w:sz w:val="28"/>
          <w:szCs w:val="28"/>
        </w:rPr>
        <w:t>车站装修风格尽量体现</w:t>
      </w:r>
      <w:r>
        <w:rPr>
          <w:rFonts w:hint="eastAsia" w:asciiTheme="minorEastAsia" w:hAnsiTheme="minorEastAsia" w:eastAsiaTheme="minorEastAsia"/>
          <w:bCs/>
          <w:sz w:val="28"/>
          <w:szCs w:val="28"/>
        </w:rPr>
        <w:t>土建</w:t>
      </w:r>
      <w:r>
        <w:rPr>
          <w:rFonts w:asciiTheme="minorEastAsia" w:hAnsiTheme="minorEastAsia" w:eastAsiaTheme="minorEastAsia"/>
          <w:bCs/>
          <w:sz w:val="28"/>
          <w:szCs w:val="28"/>
        </w:rPr>
        <w:t>结构自然美感，</w:t>
      </w:r>
      <w:r>
        <w:rPr>
          <w:rFonts w:hint="eastAsia" w:asciiTheme="minorEastAsia" w:hAnsiTheme="minorEastAsia" w:eastAsiaTheme="minorEastAsia"/>
          <w:bCs/>
          <w:sz w:val="28"/>
          <w:szCs w:val="28"/>
        </w:rPr>
        <w:t>可</w:t>
      </w:r>
      <w:r>
        <w:rPr>
          <w:rFonts w:asciiTheme="minorEastAsia" w:hAnsiTheme="minorEastAsia" w:eastAsiaTheme="minorEastAsia"/>
          <w:bCs/>
          <w:sz w:val="28"/>
          <w:szCs w:val="28"/>
        </w:rPr>
        <w:t>采用新工艺、新材料、新技术，</w:t>
      </w:r>
      <w:r>
        <w:rPr>
          <w:rFonts w:hint="eastAsia" w:asciiTheme="minorEastAsia" w:hAnsiTheme="minorEastAsia" w:eastAsiaTheme="minorEastAsia"/>
          <w:bCs/>
          <w:sz w:val="28"/>
          <w:szCs w:val="28"/>
        </w:rPr>
        <w:t>并应</w:t>
      </w:r>
      <w:r>
        <w:rPr>
          <w:rFonts w:asciiTheme="minorEastAsia" w:hAnsiTheme="minorEastAsia" w:eastAsiaTheme="minorEastAsia"/>
          <w:bCs/>
          <w:sz w:val="28"/>
          <w:szCs w:val="28"/>
        </w:rPr>
        <w:t>满足防火、防潮、防霉、耐擦洗</w:t>
      </w:r>
      <w:r>
        <w:rPr>
          <w:rFonts w:hint="eastAsia" w:asciiTheme="minorEastAsia" w:hAnsiTheme="minorEastAsia" w:eastAsiaTheme="minorEastAsia"/>
          <w:bCs/>
          <w:sz w:val="28"/>
          <w:szCs w:val="28"/>
        </w:rPr>
        <w:t>和</w:t>
      </w:r>
      <w:r>
        <w:rPr>
          <w:rFonts w:asciiTheme="minorEastAsia" w:hAnsiTheme="minorEastAsia" w:eastAsiaTheme="minorEastAsia"/>
          <w:bCs/>
          <w:sz w:val="28"/>
          <w:szCs w:val="28"/>
        </w:rPr>
        <w:t>便于维修等要求</w:t>
      </w:r>
      <w:r>
        <w:rPr>
          <w:rFonts w:hint="eastAsia" w:asciiTheme="minorEastAsia" w:hAnsiTheme="minorEastAsia" w:eastAsiaTheme="minorEastAsia"/>
          <w:bCs/>
          <w:sz w:val="28"/>
          <w:szCs w:val="28"/>
        </w:rPr>
        <w:t>；</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3</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装修</w:t>
      </w:r>
      <w:r>
        <w:rPr>
          <w:rFonts w:hint="eastAsia" w:asciiTheme="minorEastAsia" w:hAnsiTheme="minorEastAsia" w:eastAsiaTheme="minorEastAsia"/>
          <w:bCs/>
          <w:sz w:val="28"/>
          <w:szCs w:val="28"/>
        </w:rPr>
        <w:t>设计</w:t>
      </w:r>
      <w:r>
        <w:rPr>
          <w:rFonts w:asciiTheme="minorEastAsia" w:hAnsiTheme="minorEastAsia" w:eastAsiaTheme="minorEastAsia"/>
          <w:bCs/>
          <w:sz w:val="28"/>
          <w:szCs w:val="28"/>
        </w:rPr>
        <w:t>应体现</w:t>
      </w:r>
      <w:r>
        <w:rPr>
          <w:rFonts w:hint="eastAsia" w:asciiTheme="minorEastAsia" w:hAnsiTheme="minorEastAsia" w:eastAsiaTheme="minorEastAsia"/>
          <w:bCs/>
          <w:sz w:val="28"/>
          <w:szCs w:val="28"/>
        </w:rPr>
        <w:t>地铁</w:t>
      </w:r>
      <w:r>
        <w:rPr>
          <w:rFonts w:asciiTheme="minorEastAsia" w:hAnsiTheme="minorEastAsia" w:eastAsiaTheme="minorEastAsia"/>
          <w:bCs/>
          <w:sz w:val="28"/>
          <w:szCs w:val="28"/>
        </w:rPr>
        <w:t>线路特征</w:t>
      </w:r>
      <w:r>
        <w:rPr>
          <w:rFonts w:hint="eastAsia" w:asciiTheme="minorEastAsia" w:hAnsiTheme="minorEastAsia" w:eastAsiaTheme="minorEastAsia"/>
          <w:bCs/>
          <w:sz w:val="28"/>
          <w:szCs w:val="28"/>
        </w:rPr>
        <w:t>和</w:t>
      </w:r>
      <w:r>
        <w:rPr>
          <w:rFonts w:asciiTheme="minorEastAsia" w:hAnsiTheme="minorEastAsia" w:eastAsiaTheme="minorEastAsia"/>
          <w:bCs/>
          <w:sz w:val="28"/>
          <w:szCs w:val="28"/>
        </w:rPr>
        <w:t>各站识别性</w:t>
      </w:r>
      <w:r>
        <w:rPr>
          <w:rFonts w:hint="eastAsia" w:asciiTheme="minorEastAsia" w:hAnsiTheme="minorEastAsia" w:eastAsiaTheme="minorEastAsia"/>
          <w:bCs/>
          <w:sz w:val="28"/>
          <w:szCs w:val="28"/>
        </w:rPr>
        <w:t>；</w:t>
      </w:r>
    </w:p>
    <w:p>
      <w:pPr>
        <w:pStyle w:val="77"/>
        <w:numPr>
          <w:ilvl w:val="0"/>
          <w:numId w:val="7"/>
        </w:numPr>
        <w:spacing w:line="360" w:lineRule="auto"/>
        <w:ind w:firstLineChars="0"/>
        <w:jc w:val="left"/>
        <w:rPr>
          <w:rFonts w:asciiTheme="minorEastAsia" w:hAnsiTheme="minorEastAsia" w:eastAsiaTheme="minorEastAsia"/>
          <w:bCs/>
          <w:sz w:val="28"/>
          <w:szCs w:val="28"/>
        </w:rPr>
      </w:pPr>
      <w:r>
        <w:rPr>
          <w:rFonts w:asciiTheme="minorEastAsia" w:hAnsiTheme="minorEastAsia" w:eastAsiaTheme="minorEastAsia"/>
          <w:bCs/>
          <w:sz w:val="28"/>
          <w:szCs w:val="28"/>
        </w:rPr>
        <w:t>标识系统</w:t>
      </w:r>
      <w:r>
        <w:rPr>
          <w:rFonts w:hint="eastAsia" w:asciiTheme="minorEastAsia" w:hAnsiTheme="minorEastAsia" w:eastAsiaTheme="minorEastAsia"/>
          <w:bCs/>
          <w:sz w:val="28"/>
          <w:szCs w:val="28"/>
        </w:rPr>
        <w:t>设置，</w:t>
      </w:r>
      <w:r>
        <w:rPr>
          <w:rFonts w:asciiTheme="minorEastAsia" w:hAnsiTheme="minorEastAsia" w:eastAsiaTheme="minorEastAsia"/>
          <w:bCs/>
          <w:sz w:val="28"/>
          <w:szCs w:val="28"/>
        </w:rPr>
        <w:t>应</w:t>
      </w:r>
      <w:r>
        <w:rPr>
          <w:rFonts w:hint="eastAsia" w:asciiTheme="minorEastAsia" w:hAnsiTheme="minorEastAsia" w:eastAsiaTheme="minorEastAsia"/>
          <w:bCs/>
          <w:sz w:val="28"/>
          <w:szCs w:val="28"/>
        </w:rPr>
        <w:t>内容准确、形式</w:t>
      </w:r>
      <w:r>
        <w:rPr>
          <w:rFonts w:asciiTheme="minorEastAsia" w:hAnsiTheme="minorEastAsia" w:eastAsiaTheme="minorEastAsia"/>
          <w:bCs/>
          <w:sz w:val="28"/>
          <w:szCs w:val="28"/>
        </w:rPr>
        <w:t>简洁、</w:t>
      </w:r>
      <w:r>
        <w:rPr>
          <w:rFonts w:hint="eastAsia" w:asciiTheme="minorEastAsia" w:hAnsiTheme="minorEastAsia" w:eastAsiaTheme="minorEastAsia"/>
          <w:bCs/>
          <w:sz w:val="28"/>
          <w:szCs w:val="28"/>
        </w:rPr>
        <w:t>醒目</w:t>
      </w:r>
      <w:r>
        <w:rPr>
          <w:rFonts w:asciiTheme="minorEastAsia" w:hAnsiTheme="minorEastAsia" w:eastAsiaTheme="minorEastAsia"/>
          <w:bCs/>
          <w:sz w:val="28"/>
          <w:szCs w:val="28"/>
        </w:rPr>
        <w:t>美观</w:t>
      </w:r>
      <w:r>
        <w:rPr>
          <w:rFonts w:hint="eastAsia" w:asciiTheme="minorEastAsia" w:hAnsiTheme="minorEastAsia" w:eastAsiaTheme="minorEastAsia"/>
          <w:bCs/>
          <w:sz w:val="28"/>
          <w:szCs w:val="28"/>
        </w:rPr>
        <w:t>；</w:t>
      </w:r>
    </w:p>
    <w:p>
      <w:pPr>
        <w:pStyle w:val="77"/>
        <w:numPr>
          <w:ilvl w:val="0"/>
          <w:numId w:val="7"/>
        </w:numPr>
        <w:spacing w:line="360" w:lineRule="auto"/>
        <w:ind w:left="0" w:firstLine="560" w:firstLineChars="0"/>
        <w:jc w:val="left"/>
        <w:rPr>
          <w:rFonts w:asciiTheme="minorEastAsia" w:hAnsiTheme="minorEastAsia" w:eastAsiaTheme="minorEastAsia"/>
          <w:bCs/>
          <w:sz w:val="28"/>
          <w:szCs w:val="28"/>
        </w:rPr>
      </w:pPr>
      <w:r>
        <w:rPr>
          <w:rFonts w:asciiTheme="minorEastAsia" w:hAnsiTheme="minorEastAsia" w:eastAsiaTheme="minorEastAsia"/>
          <w:bCs/>
          <w:sz w:val="28"/>
          <w:szCs w:val="28"/>
        </w:rPr>
        <w:t>导向标识应设置在</w:t>
      </w:r>
      <w:r>
        <w:rPr>
          <w:rFonts w:hint="eastAsia" w:asciiTheme="minorEastAsia" w:hAnsiTheme="minorEastAsia" w:eastAsiaTheme="minorEastAsia"/>
          <w:bCs/>
          <w:sz w:val="28"/>
          <w:szCs w:val="28"/>
        </w:rPr>
        <w:t>岔路口以及</w:t>
      </w:r>
      <w:r>
        <w:rPr>
          <w:rFonts w:asciiTheme="minorEastAsia" w:hAnsiTheme="minorEastAsia" w:eastAsiaTheme="minorEastAsia"/>
          <w:bCs/>
          <w:sz w:val="28"/>
          <w:szCs w:val="28"/>
        </w:rPr>
        <w:t>通道或客流通行区域的中线位置，并与客流方向垂直</w:t>
      </w:r>
      <w:r>
        <w:rPr>
          <w:rFonts w:hint="eastAsia" w:asciiTheme="minorEastAsia" w:hAnsiTheme="minorEastAsia" w:eastAsiaTheme="minorEastAsia"/>
          <w:bCs/>
          <w:sz w:val="28"/>
          <w:szCs w:val="28"/>
        </w:rPr>
        <w:t>。导向标识水平间距不应大于30m（端头为15m）；</w:t>
      </w:r>
    </w:p>
    <w:p>
      <w:pPr>
        <w:spacing w:line="360" w:lineRule="auto"/>
        <w:ind w:firstLine="562" w:firstLineChars="200"/>
        <w:jc w:val="left"/>
        <w:rPr>
          <w:rFonts w:asciiTheme="minorEastAsia" w:hAnsiTheme="minorEastAsia" w:eastAsiaTheme="minorEastAsia"/>
          <w:sz w:val="28"/>
          <w:szCs w:val="28"/>
        </w:rPr>
      </w:pPr>
      <w:r>
        <w:rPr>
          <w:rFonts w:hint="eastAsia" w:asciiTheme="minorEastAsia" w:hAnsiTheme="minorEastAsia" w:eastAsiaTheme="minorEastAsia"/>
          <w:b/>
          <w:sz w:val="28"/>
          <w:szCs w:val="28"/>
        </w:rPr>
        <w:t>6</w:t>
      </w:r>
      <w:r>
        <w:rPr>
          <w:rFonts w:asciiTheme="minorEastAsia" w:hAnsiTheme="minorEastAsia" w:eastAsiaTheme="minorEastAsia"/>
          <w:bCs/>
          <w:sz w:val="28"/>
          <w:szCs w:val="28"/>
        </w:rPr>
        <w:t>资讯类标识LCD</w:t>
      </w:r>
      <w:r>
        <w:rPr>
          <w:rFonts w:hint="eastAsia" w:asciiTheme="minorEastAsia" w:hAnsiTheme="minorEastAsia" w:eastAsiaTheme="minorEastAsia"/>
          <w:bCs/>
          <w:sz w:val="28"/>
          <w:szCs w:val="28"/>
        </w:rPr>
        <w:t>电子屏应</w:t>
      </w:r>
      <w:r>
        <w:rPr>
          <w:rFonts w:asciiTheme="minorEastAsia" w:hAnsiTheme="minorEastAsia" w:eastAsiaTheme="minorEastAsia"/>
          <w:bCs/>
          <w:sz w:val="28"/>
          <w:szCs w:val="28"/>
        </w:rPr>
        <w:t>可实现多信息平台融合、信息可切换等功能</w:t>
      </w:r>
      <w:r>
        <w:rPr>
          <w:rFonts w:hint="eastAsia" w:asciiTheme="minorEastAsia" w:hAnsiTheme="minorEastAsia" w:eastAsiaTheme="minorEastAsia"/>
          <w:bCs/>
          <w:sz w:val="28"/>
          <w:szCs w:val="28"/>
        </w:rPr>
        <w:t>；</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7</w:t>
      </w:r>
      <w:r>
        <w:rPr>
          <w:rFonts w:hint="eastAsia" w:asciiTheme="minorEastAsia" w:hAnsiTheme="minorEastAsia" w:eastAsiaTheme="minorEastAsia"/>
          <w:bCs/>
          <w:sz w:val="28"/>
          <w:szCs w:val="28"/>
        </w:rPr>
        <w:t>地面</w:t>
      </w:r>
      <w:r>
        <w:rPr>
          <w:rFonts w:asciiTheme="minorEastAsia" w:hAnsiTheme="minorEastAsia" w:eastAsiaTheme="minorEastAsia"/>
          <w:bCs/>
          <w:sz w:val="28"/>
          <w:szCs w:val="28"/>
        </w:rPr>
        <w:t>公共艺术设置</w:t>
      </w:r>
      <w:r>
        <w:rPr>
          <w:rFonts w:hint="eastAsia" w:asciiTheme="minorEastAsia" w:hAnsiTheme="minorEastAsia" w:eastAsiaTheme="minorEastAsia"/>
          <w:bCs/>
          <w:sz w:val="28"/>
          <w:szCs w:val="28"/>
        </w:rPr>
        <w:t>，应</w:t>
      </w:r>
      <w:r>
        <w:rPr>
          <w:rFonts w:asciiTheme="minorEastAsia" w:hAnsiTheme="minorEastAsia" w:eastAsiaTheme="minorEastAsia"/>
          <w:bCs/>
          <w:sz w:val="28"/>
          <w:szCs w:val="28"/>
        </w:rPr>
        <w:t>与城市设计</w:t>
      </w:r>
      <w:r>
        <w:rPr>
          <w:rFonts w:hint="eastAsia" w:asciiTheme="minorEastAsia" w:hAnsiTheme="minorEastAsia" w:eastAsiaTheme="minorEastAsia"/>
          <w:bCs/>
          <w:sz w:val="28"/>
          <w:szCs w:val="28"/>
        </w:rPr>
        <w:t>和景观设计相</w:t>
      </w:r>
      <w:r>
        <w:rPr>
          <w:rFonts w:asciiTheme="minorEastAsia" w:hAnsiTheme="minorEastAsia" w:eastAsiaTheme="minorEastAsia"/>
          <w:bCs/>
          <w:sz w:val="28"/>
          <w:szCs w:val="28"/>
        </w:rPr>
        <w:t>衔接</w:t>
      </w:r>
      <w:r>
        <w:rPr>
          <w:rFonts w:hint="eastAsia" w:asciiTheme="minorEastAsia" w:hAnsiTheme="minorEastAsia" w:eastAsiaTheme="minorEastAsia"/>
          <w:bCs/>
          <w:sz w:val="28"/>
          <w:szCs w:val="28"/>
        </w:rPr>
        <w:t>；</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bCs/>
          <w:sz w:val="28"/>
          <w:szCs w:val="28"/>
        </w:rPr>
        <w:t>8</w:t>
      </w:r>
      <w:r>
        <w:rPr>
          <w:rFonts w:asciiTheme="minorEastAsia" w:hAnsiTheme="minorEastAsia" w:eastAsiaTheme="minorEastAsia"/>
          <w:bCs/>
          <w:sz w:val="28"/>
          <w:szCs w:val="28"/>
        </w:rPr>
        <w:t>公共艺术</w:t>
      </w:r>
      <w:r>
        <w:rPr>
          <w:rFonts w:hint="eastAsia" w:asciiTheme="minorEastAsia" w:hAnsiTheme="minorEastAsia" w:eastAsiaTheme="minorEastAsia"/>
          <w:bCs/>
          <w:sz w:val="28"/>
          <w:szCs w:val="28"/>
        </w:rPr>
        <w:t>设计，宜进行文化主题策划和色彩、照明等专项设计，可运用</w:t>
      </w:r>
      <w:r>
        <w:rPr>
          <w:rFonts w:asciiTheme="minorEastAsia" w:hAnsiTheme="minorEastAsia" w:eastAsiaTheme="minorEastAsia"/>
          <w:bCs/>
          <w:sz w:val="28"/>
          <w:szCs w:val="28"/>
        </w:rPr>
        <w:t>壁画、雕塑、装置艺术</w:t>
      </w:r>
      <w:r>
        <w:rPr>
          <w:rFonts w:hint="eastAsia" w:asciiTheme="minorEastAsia" w:hAnsiTheme="minorEastAsia" w:eastAsiaTheme="minorEastAsia"/>
          <w:bCs/>
          <w:sz w:val="28"/>
          <w:szCs w:val="28"/>
        </w:rPr>
        <w:t>和</w:t>
      </w:r>
      <w:r>
        <w:rPr>
          <w:rFonts w:asciiTheme="minorEastAsia" w:hAnsiTheme="minorEastAsia" w:eastAsiaTheme="minorEastAsia"/>
          <w:bCs/>
          <w:sz w:val="28"/>
          <w:szCs w:val="28"/>
        </w:rPr>
        <w:t>多媒体艺术等多</w:t>
      </w:r>
      <w:r>
        <w:rPr>
          <w:rFonts w:hint="eastAsia" w:asciiTheme="minorEastAsia" w:hAnsiTheme="minorEastAsia" w:eastAsiaTheme="minorEastAsia"/>
          <w:bCs/>
          <w:sz w:val="28"/>
          <w:szCs w:val="28"/>
        </w:rPr>
        <w:t>元</w:t>
      </w:r>
      <w:r>
        <w:rPr>
          <w:rFonts w:asciiTheme="minorEastAsia" w:hAnsiTheme="minorEastAsia" w:eastAsiaTheme="minorEastAsia"/>
          <w:bCs/>
          <w:sz w:val="28"/>
          <w:szCs w:val="28"/>
        </w:rPr>
        <w:t>媒介</w:t>
      </w:r>
      <w:r>
        <w:rPr>
          <w:rFonts w:hint="eastAsia" w:asciiTheme="minorEastAsia" w:hAnsiTheme="minorEastAsia" w:eastAsiaTheme="minorEastAsia"/>
          <w:bCs/>
          <w:sz w:val="28"/>
          <w:szCs w:val="28"/>
        </w:rPr>
        <w:t>；</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 xml:space="preserve">9 </w:t>
      </w:r>
      <w:r>
        <w:rPr>
          <w:rFonts w:hint="eastAsia" w:asciiTheme="minorEastAsia" w:hAnsiTheme="minorEastAsia" w:eastAsiaTheme="minorEastAsia"/>
          <w:bCs/>
          <w:sz w:val="28"/>
          <w:szCs w:val="28"/>
        </w:rPr>
        <w:t>设置或观赏</w:t>
      </w:r>
      <w:r>
        <w:rPr>
          <w:rFonts w:asciiTheme="minorEastAsia" w:hAnsiTheme="minorEastAsia" w:eastAsiaTheme="minorEastAsia"/>
          <w:bCs/>
          <w:sz w:val="28"/>
          <w:szCs w:val="28"/>
        </w:rPr>
        <w:t>公共艺术</w:t>
      </w:r>
      <w:r>
        <w:rPr>
          <w:rFonts w:hint="eastAsia" w:asciiTheme="minorEastAsia" w:hAnsiTheme="minorEastAsia" w:eastAsiaTheme="minorEastAsia"/>
          <w:bCs/>
          <w:sz w:val="28"/>
          <w:szCs w:val="28"/>
        </w:rPr>
        <w:t>，均</w:t>
      </w:r>
      <w:r>
        <w:rPr>
          <w:rFonts w:asciiTheme="minorEastAsia" w:hAnsiTheme="minorEastAsia" w:eastAsiaTheme="minorEastAsia"/>
          <w:bCs/>
          <w:sz w:val="28"/>
          <w:szCs w:val="28"/>
        </w:rPr>
        <w:t>不</w:t>
      </w:r>
      <w:r>
        <w:rPr>
          <w:rFonts w:hint="eastAsia" w:asciiTheme="minorEastAsia" w:hAnsiTheme="minorEastAsia" w:eastAsiaTheme="minorEastAsia"/>
          <w:bCs/>
          <w:sz w:val="28"/>
          <w:szCs w:val="28"/>
        </w:rPr>
        <w:t>得</w:t>
      </w:r>
      <w:r>
        <w:rPr>
          <w:rFonts w:asciiTheme="minorEastAsia" w:hAnsiTheme="minorEastAsia" w:eastAsiaTheme="minorEastAsia"/>
          <w:bCs/>
          <w:sz w:val="28"/>
          <w:szCs w:val="28"/>
        </w:rPr>
        <w:t>干扰地铁本身公共交通服务功能。</w:t>
      </w:r>
    </w:p>
    <w:p>
      <w:pPr>
        <w:spacing w:line="360" w:lineRule="auto"/>
        <w:jc w:val="left"/>
        <w:rPr>
          <w:rFonts w:ascii="微软雅黑" w:hAnsi="微软雅黑" w:eastAsia="微软雅黑" w:cs="微软雅黑"/>
          <w:bCs/>
          <w:sz w:val="28"/>
          <w:szCs w:val="28"/>
        </w:rPr>
      </w:pPr>
      <w:r>
        <w:rPr>
          <w:rFonts w:hint="eastAsia" w:ascii="微软雅黑" w:hAnsi="微软雅黑" w:eastAsia="微软雅黑" w:cs="微软雅黑"/>
          <w:bCs/>
          <w:sz w:val="28"/>
          <w:szCs w:val="28"/>
        </w:rPr>
        <w:t>【条文说明】</w:t>
      </w:r>
      <w:r>
        <w:rPr>
          <w:rFonts w:hint="eastAsia" w:ascii="微软雅黑" w:hAnsi="微软雅黑" w:eastAsia="微软雅黑" w:cs="微软雅黑"/>
          <w:b/>
          <w:bCs/>
          <w:sz w:val="28"/>
          <w:szCs w:val="28"/>
        </w:rPr>
        <w:t xml:space="preserve">6.3.7 </w:t>
      </w:r>
      <w:r>
        <w:rPr>
          <w:rFonts w:hint="eastAsia" w:ascii="微软雅黑" w:hAnsi="微软雅黑" w:eastAsia="微软雅黑" w:cs="微软雅黑"/>
          <w:bCs/>
          <w:sz w:val="28"/>
          <w:szCs w:val="28"/>
        </w:rPr>
        <w:t>第1款 一体化设计，有利于到达预想效果，且节约投资。</w:t>
      </w:r>
    </w:p>
    <w:p>
      <w:pPr>
        <w:spacing w:line="360" w:lineRule="auto"/>
        <w:ind w:firstLine="560" w:firstLineChars="200"/>
        <w:jc w:val="left"/>
        <w:rPr>
          <w:rFonts w:ascii="微软雅黑" w:hAnsi="微软雅黑" w:eastAsia="微软雅黑" w:cs="微软雅黑"/>
          <w:bCs/>
          <w:sz w:val="28"/>
          <w:szCs w:val="28"/>
        </w:rPr>
      </w:pPr>
      <w:r>
        <w:rPr>
          <w:rFonts w:hint="eastAsia" w:ascii="微软雅黑" w:hAnsi="微软雅黑" w:eastAsia="微软雅黑" w:cs="微软雅黑"/>
          <w:sz w:val="28"/>
          <w:szCs w:val="28"/>
        </w:rPr>
        <w:t xml:space="preserve">第4~6款 </w:t>
      </w:r>
      <w:r>
        <w:rPr>
          <w:rFonts w:hint="eastAsia" w:ascii="微软雅黑" w:hAnsi="微软雅黑" w:eastAsia="微软雅黑" w:cs="微软雅黑"/>
          <w:bCs/>
          <w:sz w:val="28"/>
          <w:szCs w:val="28"/>
        </w:rPr>
        <w:t>标识系统设置，应以消防安全疏散优先、箭头方向优先、图形符号优先、信息适量为基本原则。标识系统应包括确认标识、导向标识、综合信息标识、禁止标识、警告标识和消防安全标识等。</w:t>
      </w:r>
    </w:p>
    <w:p>
      <w:pPr>
        <w:spacing w:line="360" w:lineRule="auto"/>
        <w:ind w:firstLine="560" w:firstLineChars="200"/>
        <w:jc w:val="left"/>
        <w:rPr>
          <w:rFonts w:ascii="微软雅黑" w:hAnsi="微软雅黑" w:eastAsia="微软雅黑" w:cs="微软雅黑"/>
        </w:rPr>
      </w:pPr>
      <w:r>
        <w:rPr>
          <w:rFonts w:hint="eastAsia" w:ascii="微软雅黑" w:hAnsi="微软雅黑" w:eastAsia="微软雅黑" w:cs="微软雅黑"/>
          <w:bCs/>
          <w:sz w:val="28"/>
          <w:szCs w:val="28"/>
        </w:rPr>
        <w:t>第7、8款 车站进行公共艺术设计，可达到美化城市形象、传承地铁文化、连结市民生活、改善乘客体验的功效。其可分广义和狭义两个层面，可包含建筑方案、建筑装饰装修、地面景观和公共艺术品等内容，设计作品可为永久性或阶段性作品。</w:t>
      </w:r>
    </w:p>
    <w:p>
      <w:pPr>
        <w:pStyle w:val="3"/>
      </w:pPr>
      <w:bookmarkStart w:id="70" w:name="_Toc11914"/>
      <w:r>
        <w:rPr>
          <w:rFonts w:hint="eastAsia"/>
        </w:rPr>
        <w:t>6.4 综合管廊工程</w:t>
      </w:r>
      <w:bookmarkEnd w:id="70"/>
    </w:p>
    <w:p>
      <w:pPr>
        <w:spacing w:line="360" w:lineRule="auto"/>
        <w:jc w:val="left"/>
        <w:rPr>
          <w:rFonts w:asciiTheme="minorEastAsia" w:hAnsiTheme="minorEastAsia" w:eastAsiaTheme="minorEastAsia"/>
          <w:bCs/>
          <w:sz w:val="28"/>
          <w:szCs w:val="28"/>
        </w:rPr>
      </w:pPr>
      <w:r>
        <w:rPr>
          <w:rFonts w:hint="eastAsia" w:asciiTheme="minorEastAsia" w:hAnsiTheme="minorEastAsia" w:eastAsiaTheme="minorEastAsia"/>
          <w:b/>
          <w:bCs/>
          <w:sz w:val="28"/>
          <w:szCs w:val="28"/>
        </w:rPr>
        <w:t>6.4.1</w:t>
      </w:r>
      <w:r>
        <w:rPr>
          <w:rFonts w:hint="eastAsia"/>
          <w:sz w:val="28"/>
          <w:szCs w:val="28"/>
        </w:rPr>
        <w:t>当综合管廊工程与地下道路、轨道交通、地下空间相邻时，相关工程宜统筹设计，节约工程总投资。</w:t>
      </w:r>
    </w:p>
    <w:p>
      <w:pPr>
        <w:spacing w:line="360" w:lineRule="auto"/>
        <w:jc w:val="left"/>
        <w:rPr>
          <w:rFonts w:asciiTheme="minorEastAsia" w:hAnsiTheme="minorEastAsia" w:eastAsiaTheme="minorEastAsia"/>
          <w:bCs/>
          <w:sz w:val="28"/>
          <w:szCs w:val="28"/>
        </w:rPr>
      </w:pPr>
      <w:r>
        <w:rPr>
          <w:rFonts w:hint="eastAsia" w:asciiTheme="minorEastAsia" w:hAnsiTheme="minorEastAsia" w:eastAsiaTheme="minorEastAsia"/>
          <w:b/>
          <w:bCs/>
          <w:sz w:val="28"/>
          <w:szCs w:val="28"/>
        </w:rPr>
        <w:t xml:space="preserve">6.4.2 </w:t>
      </w:r>
      <w:r>
        <w:rPr>
          <w:rFonts w:hint="eastAsia" w:asciiTheme="minorEastAsia" w:hAnsiTheme="minorEastAsia" w:eastAsiaTheme="minorEastAsia"/>
          <w:bCs/>
          <w:sz w:val="28"/>
          <w:szCs w:val="28"/>
        </w:rPr>
        <w:t>综合管廊工程设计前应充分开展现状调研，且符合下列规定：</w:t>
      </w:r>
    </w:p>
    <w:p>
      <w:pPr>
        <w:spacing w:line="360" w:lineRule="auto"/>
        <w:ind w:firstLine="562" w:firstLineChars="200"/>
        <w:jc w:val="lef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1 </w:t>
      </w:r>
      <w:r>
        <w:rPr>
          <w:rFonts w:hint="eastAsia" w:asciiTheme="minorEastAsia" w:hAnsiTheme="minorEastAsia" w:eastAsiaTheme="minorEastAsia"/>
          <w:bCs/>
          <w:sz w:val="28"/>
          <w:szCs w:val="28"/>
        </w:rPr>
        <w:t>调查同片区综合管廊规划或建设的总体情况；</w:t>
      </w:r>
    </w:p>
    <w:p>
      <w:pPr>
        <w:spacing w:line="360" w:lineRule="auto"/>
        <w:ind w:firstLine="562" w:firstLineChars="200"/>
        <w:jc w:val="lef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2 </w:t>
      </w:r>
      <w:r>
        <w:rPr>
          <w:rFonts w:hint="eastAsia" w:asciiTheme="minorEastAsia" w:hAnsiTheme="minorEastAsia" w:eastAsiaTheme="minorEastAsia"/>
          <w:bCs/>
          <w:sz w:val="28"/>
          <w:szCs w:val="28"/>
        </w:rPr>
        <w:t>实地考察了解邻近综合管廊（已建或待建）与拟建项目的位置关系，以及其消防系统、通风系统、监控系统、监控中心建设情况和露出地面建（构）筑物风格等；</w:t>
      </w:r>
    </w:p>
    <w:p>
      <w:pPr>
        <w:spacing w:line="360" w:lineRule="auto"/>
        <w:ind w:firstLine="562" w:firstLineChars="200"/>
        <w:jc w:val="left"/>
        <w:rPr>
          <w:rFonts w:asciiTheme="minorEastAsia" w:hAnsiTheme="minorEastAsia" w:eastAsiaTheme="minorEastAsia"/>
          <w:bCs/>
          <w:sz w:val="28"/>
          <w:szCs w:val="28"/>
        </w:rPr>
      </w:pPr>
      <w:r>
        <w:rPr>
          <w:rFonts w:hint="eastAsia" w:asciiTheme="minorEastAsia" w:hAnsiTheme="minorEastAsia" w:eastAsiaTheme="minorEastAsia"/>
          <w:b/>
          <w:bCs/>
          <w:sz w:val="28"/>
          <w:szCs w:val="28"/>
        </w:rPr>
        <w:t xml:space="preserve">3 </w:t>
      </w:r>
      <w:r>
        <w:rPr>
          <w:rFonts w:hint="eastAsia" w:asciiTheme="minorEastAsia" w:hAnsiTheme="minorEastAsia" w:eastAsiaTheme="minorEastAsia"/>
          <w:bCs/>
          <w:sz w:val="28"/>
          <w:szCs w:val="28"/>
        </w:rPr>
        <w:t>收集涉及道路、轨道交通、给水、排水、电力、通信、广电、燃气、供热等有关资料，以及相应行业主管部门和有关单位对项目建设的意见及建议。</w:t>
      </w:r>
    </w:p>
    <w:p>
      <w:pPr>
        <w:spacing w:line="360" w:lineRule="auto"/>
        <w:jc w:val="left"/>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【条文说明】</w:t>
      </w:r>
      <w:r>
        <w:rPr>
          <w:rFonts w:hint="eastAsia" w:ascii="微软雅黑" w:hAnsi="微软雅黑" w:eastAsia="微软雅黑" w:cs="微软雅黑"/>
          <w:b/>
          <w:kern w:val="0"/>
          <w:sz w:val="28"/>
          <w:szCs w:val="28"/>
        </w:rPr>
        <w:t xml:space="preserve">6.4.2 </w:t>
      </w:r>
      <w:r>
        <w:rPr>
          <w:rFonts w:hint="eastAsia" w:ascii="微软雅黑" w:hAnsi="微软雅黑" w:eastAsia="微软雅黑" w:cs="微软雅黑"/>
          <w:kern w:val="0"/>
          <w:sz w:val="28"/>
          <w:szCs w:val="28"/>
        </w:rPr>
        <w:t>在综合管廊工程设计之前开展现状调研，主要是了解项目所在区域综合管廊建设基本情况，做好与已建待建附属系统衔接工作，协调好露出地面建(构)筑物风格，并与相关部门沟通，确保管廊经济合理建设及安全可靠运营。</w:t>
      </w:r>
    </w:p>
    <w:p>
      <w:pPr>
        <w:spacing w:line="360" w:lineRule="auto"/>
        <w:jc w:val="left"/>
        <w:rPr>
          <w:rFonts w:asciiTheme="minorEastAsia" w:hAnsiTheme="minorEastAsia" w:eastAsiaTheme="minorEastAsia"/>
          <w:sz w:val="28"/>
          <w:szCs w:val="28"/>
        </w:rPr>
      </w:pPr>
      <w:r>
        <w:rPr>
          <w:rFonts w:hint="eastAsia" w:asciiTheme="minorEastAsia" w:hAnsiTheme="minorEastAsia" w:eastAsiaTheme="minorEastAsia"/>
          <w:b/>
          <w:bCs/>
          <w:sz w:val="28"/>
          <w:szCs w:val="28"/>
        </w:rPr>
        <w:t xml:space="preserve">6.4.3 </w:t>
      </w:r>
      <w:r>
        <w:rPr>
          <w:rFonts w:hint="eastAsia" w:asciiTheme="minorEastAsia" w:hAnsiTheme="minorEastAsia" w:eastAsiaTheme="minorEastAsia"/>
          <w:bCs/>
          <w:sz w:val="28"/>
          <w:szCs w:val="28"/>
        </w:rPr>
        <w:t>总体设计中断面设计，应符合下列规定：</w:t>
      </w:r>
    </w:p>
    <w:p>
      <w:pPr>
        <w:spacing w:line="360" w:lineRule="auto"/>
        <w:ind w:firstLine="562" w:firstLineChars="200"/>
        <w:rPr>
          <w:rFonts w:asciiTheme="minorEastAsia" w:hAnsiTheme="minorEastAsia" w:eastAsiaTheme="minorEastAsia"/>
          <w:sz w:val="28"/>
          <w:szCs w:val="28"/>
          <w:lang w:val="zh-CN"/>
        </w:rPr>
      </w:pPr>
      <w:r>
        <w:rPr>
          <w:rFonts w:hint="eastAsia" w:asciiTheme="minorEastAsia" w:hAnsiTheme="minorEastAsia" w:eastAsiaTheme="minorEastAsia"/>
          <w:b/>
          <w:sz w:val="28"/>
          <w:szCs w:val="28"/>
          <w:lang w:val="zh-CN"/>
        </w:rPr>
        <w:t xml:space="preserve">1 </w:t>
      </w:r>
      <w:r>
        <w:rPr>
          <w:rFonts w:hint="eastAsia" w:asciiTheme="minorEastAsia" w:hAnsiTheme="minorEastAsia" w:eastAsiaTheme="minorEastAsia"/>
          <w:sz w:val="28"/>
          <w:szCs w:val="28"/>
          <w:lang w:val="zh-CN"/>
        </w:rPr>
        <w:t>500kV超高压电缆甲乙线应各自单独成舱；</w:t>
      </w:r>
    </w:p>
    <w:p>
      <w:pPr>
        <w:spacing w:line="360" w:lineRule="auto"/>
        <w:ind w:firstLine="562" w:firstLineChars="200"/>
        <w:rPr>
          <w:rFonts w:asciiTheme="minorEastAsia" w:hAnsiTheme="minorEastAsia" w:eastAsiaTheme="minorEastAsia"/>
          <w:sz w:val="28"/>
          <w:szCs w:val="28"/>
          <w:lang w:val="zh-CN"/>
        </w:rPr>
      </w:pPr>
      <w:r>
        <w:rPr>
          <w:rFonts w:hint="eastAsia" w:asciiTheme="minorEastAsia" w:hAnsiTheme="minorEastAsia" w:eastAsiaTheme="minorEastAsia"/>
          <w:b/>
          <w:sz w:val="28"/>
          <w:szCs w:val="28"/>
          <w:lang w:val="zh-CN"/>
        </w:rPr>
        <w:t xml:space="preserve">2 </w:t>
      </w:r>
      <w:r>
        <w:rPr>
          <w:rFonts w:hint="eastAsia" w:asciiTheme="minorEastAsia" w:hAnsiTheme="minorEastAsia" w:eastAsiaTheme="minorEastAsia"/>
          <w:sz w:val="28"/>
          <w:szCs w:val="28"/>
          <w:lang w:val="zh-CN"/>
        </w:rPr>
        <w:t>4回路及以上的高压（110kV 或220kV）电力电缆应在独立高压舱室敷设。4回路以下的高压（110kV 或220kV）电力电缆可与中压（10kV 或20kV）电力电缆共舱敷设，且两者之间应采取可靠隔离措施；</w:t>
      </w:r>
    </w:p>
    <w:p>
      <w:pPr>
        <w:spacing w:line="360" w:lineRule="auto"/>
        <w:ind w:firstLine="562" w:firstLineChars="200"/>
        <w:rPr>
          <w:rFonts w:asciiTheme="minorEastAsia" w:hAnsiTheme="minorEastAsia" w:eastAsiaTheme="minorEastAsia"/>
          <w:sz w:val="28"/>
          <w:szCs w:val="28"/>
          <w:lang w:val="zh-CN"/>
        </w:rPr>
      </w:pPr>
      <w:r>
        <w:rPr>
          <w:rFonts w:hint="eastAsia" w:asciiTheme="minorEastAsia" w:hAnsiTheme="minorEastAsia" w:eastAsiaTheme="minorEastAsia"/>
          <w:b/>
          <w:sz w:val="28"/>
          <w:szCs w:val="28"/>
          <w:lang w:val="zh-CN"/>
        </w:rPr>
        <w:t>3</w:t>
      </w:r>
      <w:r>
        <w:rPr>
          <w:rFonts w:hint="eastAsia" w:asciiTheme="minorEastAsia" w:hAnsiTheme="minorEastAsia" w:eastAsiaTheme="minorEastAsia"/>
          <w:sz w:val="28"/>
          <w:szCs w:val="28"/>
          <w:lang w:val="zh-CN"/>
        </w:rPr>
        <w:t xml:space="preserve"> 综合管廊分层分舱布置时，天然气舱室应设置在综合管廊上层。</w:t>
      </w:r>
    </w:p>
    <w:p>
      <w:pPr>
        <w:spacing w:line="360" w:lineRule="auto"/>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【条文说明】</w:t>
      </w:r>
      <w:r>
        <w:rPr>
          <w:rFonts w:hint="eastAsia" w:ascii="微软雅黑" w:hAnsi="微软雅黑" w:eastAsia="微软雅黑" w:cs="微软雅黑"/>
          <w:b/>
          <w:kern w:val="0"/>
          <w:sz w:val="28"/>
          <w:szCs w:val="28"/>
        </w:rPr>
        <w:t xml:space="preserve">6.4.3 </w:t>
      </w:r>
      <w:r>
        <w:rPr>
          <w:rFonts w:hint="eastAsia" w:ascii="微软雅黑" w:hAnsi="微软雅黑" w:eastAsia="微软雅黑" w:cs="微软雅黑"/>
          <w:kern w:val="0"/>
          <w:sz w:val="28"/>
          <w:szCs w:val="28"/>
        </w:rPr>
        <w:t>第1款  500kV超高压电缆供电发生事故影响范围大，甲乙线各自单独成舱可提高供电系统安全可靠性。既有工程建设标准无此规定。</w:t>
      </w:r>
    </w:p>
    <w:p>
      <w:pPr>
        <w:spacing w:line="360" w:lineRule="auto"/>
        <w:ind w:firstLine="560" w:firstLineChars="200"/>
        <w:rPr>
          <w:rFonts w:ascii="微软雅黑" w:hAnsi="微软雅黑" w:eastAsia="微软雅黑" w:cs="微软雅黑"/>
          <w:b/>
          <w:kern w:val="0"/>
          <w:sz w:val="28"/>
          <w:szCs w:val="28"/>
          <w:u w:val="single"/>
        </w:rPr>
      </w:pPr>
      <w:r>
        <w:rPr>
          <w:rFonts w:hint="eastAsia" w:ascii="微软雅黑" w:hAnsi="微软雅黑" w:eastAsia="微软雅黑" w:cs="微软雅黑"/>
          <w:kern w:val="0"/>
          <w:sz w:val="28"/>
          <w:szCs w:val="28"/>
        </w:rPr>
        <w:t>第2款 本款源自《深圳市地下综合管廊工程技术规程》SJG 32-2017编制组“关于《深圳市地下综合管廊工程技术规程》SJG 32-2017第4.3.8条的细化规定”（已取得该规程本市主管部门认可）。无论各自几个回路，110kV 电力电缆与220kV电力电缆，均可共舱敷设。</w:t>
      </w:r>
    </w:p>
    <w:p>
      <w:pPr>
        <w:spacing w:line="360" w:lineRule="auto"/>
        <w:ind w:firstLine="560" w:firstLineChars="200"/>
        <w:jc w:val="left"/>
        <w:rPr>
          <w:rFonts w:ascii="微软雅黑" w:hAnsi="微软雅黑" w:eastAsia="微软雅黑" w:cs="微软雅黑"/>
          <w:sz w:val="28"/>
          <w:szCs w:val="28"/>
        </w:rPr>
      </w:pPr>
      <w:r>
        <w:rPr>
          <w:rFonts w:hint="eastAsia" w:ascii="微软雅黑" w:hAnsi="微软雅黑" w:eastAsia="微软雅黑" w:cs="微软雅黑"/>
          <w:kern w:val="0"/>
          <w:sz w:val="28"/>
          <w:szCs w:val="28"/>
        </w:rPr>
        <w:t>第3款 多层综合管廊中含有天然气管道的，将天然气舱室设置在上层，可避免天然气管道故障时可燃气体进入其它舱室。</w:t>
      </w:r>
    </w:p>
    <w:p>
      <w:pPr>
        <w:spacing w:line="360" w:lineRule="auto"/>
        <w:jc w:val="left"/>
        <w:rPr>
          <w:rFonts w:asciiTheme="minorEastAsia" w:hAnsiTheme="minorEastAsia" w:eastAsiaTheme="minorEastAsia"/>
          <w:bCs/>
          <w:sz w:val="28"/>
          <w:szCs w:val="28"/>
        </w:rPr>
      </w:pPr>
      <w:r>
        <w:rPr>
          <w:rFonts w:hint="eastAsia" w:asciiTheme="minorEastAsia" w:hAnsiTheme="minorEastAsia" w:eastAsiaTheme="minorEastAsia"/>
          <w:b/>
          <w:bCs/>
          <w:sz w:val="28"/>
          <w:szCs w:val="28"/>
        </w:rPr>
        <w:t xml:space="preserve">6.4.4 </w:t>
      </w:r>
      <w:r>
        <w:rPr>
          <w:rFonts w:hint="eastAsia" w:asciiTheme="minorEastAsia" w:hAnsiTheme="minorEastAsia" w:eastAsiaTheme="minorEastAsia"/>
          <w:bCs/>
          <w:sz w:val="28"/>
          <w:szCs w:val="28"/>
        </w:rPr>
        <w:t>总体设计中平面及空间布置，应符合下列规定：</w:t>
      </w:r>
    </w:p>
    <w:p>
      <w:pPr>
        <w:spacing w:line="360" w:lineRule="auto"/>
        <w:ind w:firstLine="562" w:firstLineChars="200"/>
        <w:rPr>
          <w:rFonts w:asciiTheme="minorEastAsia" w:hAnsiTheme="minorEastAsia" w:eastAsiaTheme="minorEastAsia"/>
          <w:sz w:val="28"/>
          <w:szCs w:val="28"/>
          <w:lang w:val="zh-CN"/>
        </w:rPr>
      </w:pPr>
      <w:r>
        <w:rPr>
          <w:rFonts w:hint="eastAsia" w:asciiTheme="minorEastAsia" w:hAnsiTheme="minorEastAsia" w:eastAsiaTheme="minorEastAsia"/>
          <w:b/>
          <w:sz w:val="28"/>
          <w:szCs w:val="28"/>
          <w:lang w:val="zh-CN"/>
        </w:rPr>
        <w:t xml:space="preserve">1 </w:t>
      </w:r>
      <w:r>
        <w:rPr>
          <w:rFonts w:asciiTheme="minorEastAsia" w:hAnsiTheme="minorEastAsia" w:eastAsiaTheme="minorEastAsia"/>
          <w:sz w:val="28"/>
          <w:szCs w:val="28"/>
          <w:lang w:val="zh-CN"/>
        </w:rPr>
        <w:t>与</w:t>
      </w:r>
      <w:r>
        <w:rPr>
          <w:rFonts w:hint="eastAsia" w:asciiTheme="minorEastAsia" w:hAnsiTheme="minorEastAsia" w:eastAsiaTheme="minorEastAsia"/>
          <w:sz w:val="28"/>
          <w:szCs w:val="28"/>
          <w:lang w:val="zh-CN"/>
        </w:rPr>
        <w:t>城市</w:t>
      </w:r>
      <w:r>
        <w:rPr>
          <w:rFonts w:asciiTheme="minorEastAsia" w:hAnsiTheme="minorEastAsia" w:eastAsiaTheme="minorEastAsia"/>
          <w:sz w:val="28"/>
          <w:szCs w:val="28"/>
          <w:lang w:val="zh-CN"/>
        </w:rPr>
        <w:t>道路走向一致的综合管廊宜布置在绿化带、人行道</w:t>
      </w:r>
      <w:r>
        <w:rPr>
          <w:rFonts w:hint="eastAsia" w:asciiTheme="minorEastAsia" w:hAnsiTheme="minorEastAsia" w:eastAsiaTheme="minorEastAsia"/>
          <w:sz w:val="28"/>
          <w:szCs w:val="28"/>
          <w:lang w:val="zh-CN"/>
        </w:rPr>
        <w:t>和</w:t>
      </w:r>
      <w:r>
        <w:rPr>
          <w:rFonts w:asciiTheme="minorEastAsia" w:hAnsiTheme="minorEastAsia" w:eastAsiaTheme="minorEastAsia"/>
          <w:sz w:val="28"/>
          <w:szCs w:val="28"/>
          <w:lang w:val="zh-CN"/>
        </w:rPr>
        <w:t>非机动车道下</w:t>
      </w:r>
      <w:r>
        <w:rPr>
          <w:rFonts w:hint="eastAsia" w:asciiTheme="minorEastAsia" w:hAnsiTheme="minorEastAsia" w:eastAsiaTheme="minorEastAsia"/>
          <w:sz w:val="28"/>
          <w:szCs w:val="28"/>
          <w:lang w:val="zh-CN"/>
        </w:rPr>
        <w:t>，条件受限时可设置于机动车道下；</w:t>
      </w:r>
    </w:p>
    <w:p>
      <w:pPr>
        <w:spacing w:line="360" w:lineRule="auto"/>
        <w:ind w:firstLine="562" w:firstLineChars="200"/>
        <w:rPr>
          <w:rFonts w:asciiTheme="minorEastAsia" w:hAnsiTheme="minorEastAsia" w:eastAsiaTheme="minorEastAsia"/>
          <w:sz w:val="28"/>
          <w:szCs w:val="28"/>
          <w:lang w:val="zh-CN"/>
        </w:rPr>
      </w:pPr>
      <w:r>
        <w:rPr>
          <w:rFonts w:hint="eastAsia" w:asciiTheme="minorEastAsia" w:hAnsiTheme="minorEastAsia" w:eastAsiaTheme="minorEastAsia"/>
          <w:b/>
          <w:sz w:val="28"/>
          <w:szCs w:val="28"/>
          <w:lang w:val="zh-CN"/>
        </w:rPr>
        <w:t xml:space="preserve">2 </w:t>
      </w:r>
      <w:r>
        <w:rPr>
          <w:rFonts w:asciiTheme="minorEastAsia" w:hAnsiTheme="minorEastAsia" w:eastAsiaTheme="minorEastAsia"/>
          <w:sz w:val="28"/>
          <w:szCs w:val="28"/>
          <w:lang w:val="zh-CN"/>
        </w:rPr>
        <w:t>综合管廊</w:t>
      </w:r>
      <w:r>
        <w:rPr>
          <w:rFonts w:hint="eastAsia" w:asciiTheme="minorEastAsia" w:hAnsiTheme="minorEastAsia" w:eastAsiaTheme="minorEastAsia"/>
          <w:sz w:val="28"/>
          <w:szCs w:val="28"/>
          <w:lang w:val="zh-CN"/>
        </w:rPr>
        <w:t>最小转弯半径，应满足入廊各种管线的转弯半径和管线运输、安装、检修及检测的要求；</w:t>
      </w:r>
    </w:p>
    <w:p>
      <w:pPr>
        <w:spacing w:line="360" w:lineRule="auto"/>
        <w:ind w:firstLine="562" w:firstLineChars="200"/>
        <w:rPr>
          <w:rFonts w:asciiTheme="minorEastAsia" w:hAnsiTheme="minorEastAsia" w:eastAsiaTheme="minorEastAsia"/>
          <w:sz w:val="28"/>
          <w:szCs w:val="28"/>
          <w:lang w:val="zh-CN"/>
        </w:rPr>
      </w:pPr>
      <w:r>
        <w:rPr>
          <w:rFonts w:hint="eastAsia" w:asciiTheme="minorEastAsia" w:hAnsiTheme="minorEastAsia" w:eastAsiaTheme="minorEastAsia"/>
          <w:b/>
          <w:sz w:val="28"/>
          <w:szCs w:val="28"/>
          <w:lang w:val="zh-CN"/>
        </w:rPr>
        <w:t>3</w:t>
      </w:r>
      <w:r>
        <w:rPr>
          <w:rFonts w:asciiTheme="minorEastAsia" w:hAnsiTheme="minorEastAsia" w:eastAsiaTheme="minorEastAsia"/>
          <w:sz w:val="28"/>
          <w:szCs w:val="28"/>
          <w:lang w:val="zh-CN"/>
        </w:rPr>
        <w:t>综合管廊的埋</w:t>
      </w:r>
      <w:r>
        <w:rPr>
          <w:rFonts w:hint="eastAsia" w:asciiTheme="minorEastAsia" w:hAnsiTheme="minorEastAsia" w:eastAsiaTheme="minorEastAsia"/>
          <w:sz w:val="28"/>
          <w:szCs w:val="28"/>
          <w:lang w:val="zh-CN"/>
        </w:rPr>
        <w:t>设</w:t>
      </w:r>
      <w:r>
        <w:rPr>
          <w:rFonts w:asciiTheme="minorEastAsia" w:hAnsiTheme="minorEastAsia" w:eastAsiaTheme="minorEastAsia"/>
          <w:sz w:val="28"/>
          <w:szCs w:val="28"/>
          <w:lang w:val="zh-CN"/>
        </w:rPr>
        <w:t>深度</w:t>
      </w:r>
      <w:r>
        <w:rPr>
          <w:rFonts w:hint="eastAsia" w:asciiTheme="minorEastAsia" w:hAnsiTheme="minorEastAsia" w:eastAsiaTheme="minorEastAsia"/>
          <w:sz w:val="28"/>
          <w:szCs w:val="28"/>
          <w:lang w:val="zh-CN"/>
        </w:rPr>
        <w:t>，</w:t>
      </w:r>
      <w:r>
        <w:rPr>
          <w:rFonts w:asciiTheme="minorEastAsia" w:hAnsiTheme="minorEastAsia" w:eastAsiaTheme="minorEastAsia"/>
          <w:sz w:val="28"/>
          <w:szCs w:val="28"/>
          <w:lang w:val="zh-CN"/>
        </w:rPr>
        <w:t>应根据城市地下空间综合利用规划、市政管线出入</w:t>
      </w:r>
      <w:r>
        <w:rPr>
          <w:rFonts w:hint="eastAsia" w:asciiTheme="minorEastAsia" w:hAnsiTheme="minorEastAsia" w:eastAsiaTheme="minorEastAsia"/>
          <w:sz w:val="28"/>
          <w:szCs w:val="28"/>
          <w:lang w:val="zh-CN"/>
        </w:rPr>
        <w:t>管</w:t>
      </w:r>
      <w:r>
        <w:rPr>
          <w:rFonts w:asciiTheme="minorEastAsia" w:hAnsiTheme="minorEastAsia" w:eastAsiaTheme="minorEastAsia"/>
          <w:sz w:val="28"/>
          <w:szCs w:val="28"/>
          <w:lang w:val="zh-CN"/>
        </w:rPr>
        <w:t>廊标高、</w:t>
      </w:r>
      <w:r>
        <w:rPr>
          <w:rFonts w:hint="eastAsia" w:asciiTheme="minorEastAsia" w:hAnsiTheme="minorEastAsia" w:eastAsiaTheme="minorEastAsia"/>
          <w:sz w:val="28"/>
          <w:szCs w:val="28"/>
          <w:lang w:val="zh-CN"/>
        </w:rPr>
        <w:t>沿线河道及水系标高、现状及规划管线标高、</w:t>
      </w:r>
      <w:r>
        <w:rPr>
          <w:rFonts w:asciiTheme="minorEastAsia" w:hAnsiTheme="minorEastAsia" w:eastAsiaTheme="minorEastAsia"/>
          <w:sz w:val="28"/>
          <w:szCs w:val="28"/>
          <w:lang w:val="zh-CN"/>
        </w:rPr>
        <w:t>绿化种植等因素综合确定</w:t>
      </w:r>
      <w:r>
        <w:rPr>
          <w:rFonts w:hint="eastAsia" w:asciiTheme="minorEastAsia" w:hAnsiTheme="minorEastAsia" w:eastAsiaTheme="minorEastAsia"/>
          <w:sz w:val="28"/>
          <w:szCs w:val="28"/>
          <w:lang w:val="zh-CN"/>
        </w:rPr>
        <w:t>；</w:t>
      </w:r>
    </w:p>
    <w:p>
      <w:pPr>
        <w:spacing w:line="360" w:lineRule="auto"/>
        <w:ind w:firstLine="562" w:firstLineChars="200"/>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4</w:t>
      </w:r>
      <w:r>
        <w:rPr>
          <w:rFonts w:hint="eastAsia" w:asciiTheme="minorEastAsia" w:hAnsiTheme="minorEastAsia" w:eastAsiaTheme="minorEastAsia"/>
          <w:sz w:val="28"/>
          <w:szCs w:val="28"/>
          <w:lang w:val="zh-CN"/>
        </w:rPr>
        <w:t>综合管廊下穿河道时，</w:t>
      </w:r>
      <w:r>
        <w:rPr>
          <w:rFonts w:asciiTheme="minorEastAsia" w:hAnsiTheme="minorEastAsia" w:eastAsiaTheme="minorEastAsia"/>
          <w:sz w:val="28"/>
          <w:szCs w:val="28"/>
          <w:lang w:val="zh-CN"/>
        </w:rPr>
        <w:t>管廊顶板与河道设计底高程间</w:t>
      </w:r>
      <w:r>
        <w:rPr>
          <w:rFonts w:hint="eastAsia" w:asciiTheme="minorEastAsia" w:hAnsiTheme="minorEastAsia" w:eastAsiaTheme="minorEastAsia"/>
          <w:sz w:val="28"/>
          <w:szCs w:val="28"/>
          <w:lang w:val="zh-CN"/>
        </w:rPr>
        <w:t>距离不得小于2.5m，且应满足现行《</w:t>
      </w:r>
      <w:r>
        <w:rPr>
          <w:rFonts w:asciiTheme="minorEastAsia" w:hAnsiTheme="minorEastAsia" w:eastAsiaTheme="minorEastAsia"/>
          <w:sz w:val="28"/>
          <w:szCs w:val="28"/>
          <w:lang w:val="zh-CN"/>
        </w:rPr>
        <w:t>涉河建设项目防洪评价和管理技术规范</w:t>
      </w:r>
      <w:r>
        <w:rPr>
          <w:rFonts w:hint="eastAsia" w:asciiTheme="minorEastAsia" w:hAnsiTheme="minorEastAsia" w:eastAsiaTheme="minorEastAsia"/>
          <w:sz w:val="28"/>
          <w:szCs w:val="28"/>
          <w:lang w:val="zh-CN"/>
        </w:rPr>
        <w:t>》</w:t>
      </w:r>
      <w:r>
        <w:rPr>
          <w:rFonts w:asciiTheme="minorEastAsia" w:hAnsiTheme="minorEastAsia" w:eastAsiaTheme="minorEastAsia"/>
          <w:sz w:val="28"/>
          <w:szCs w:val="28"/>
          <w:lang w:val="zh-CN"/>
        </w:rPr>
        <w:t>SZDB/Z 215</w:t>
      </w:r>
      <w:r>
        <w:rPr>
          <w:rFonts w:hint="eastAsia" w:asciiTheme="minorEastAsia" w:hAnsiTheme="minorEastAsia" w:eastAsiaTheme="minorEastAsia"/>
          <w:sz w:val="28"/>
          <w:szCs w:val="28"/>
          <w:lang w:val="zh-CN"/>
        </w:rPr>
        <w:t>的要求；</w:t>
      </w:r>
    </w:p>
    <w:p>
      <w:pPr>
        <w:spacing w:line="360" w:lineRule="auto"/>
        <w:ind w:firstLine="562" w:firstLineChars="200"/>
        <w:rPr>
          <w:rFonts w:asciiTheme="minorEastAsia" w:hAnsiTheme="minorEastAsia" w:eastAsiaTheme="minorEastAsia"/>
          <w:sz w:val="28"/>
          <w:szCs w:val="28"/>
          <w:lang w:val="zh-CN"/>
        </w:rPr>
      </w:pPr>
      <w:r>
        <w:rPr>
          <w:rFonts w:hint="eastAsia" w:asciiTheme="minorEastAsia" w:hAnsiTheme="minorEastAsia" w:eastAsiaTheme="minorEastAsia"/>
          <w:b/>
          <w:sz w:val="28"/>
          <w:szCs w:val="28"/>
          <w:lang w:val="zh-CN"/>
        </w:rPr>
        <w:t>5</w:t>
      </w:r>
      <w:r>
        <w:rPr>
          <w:rFonts w:hint="eastAsia" w:asciiTheme="minorEastAsia" w:hAnsiTheme="minorEastAsia" w:eastAsiaTheme="minorEastAsia"/>
          <w:sz w:val="28"/>
          <w:szCs w:val="28"/>
          <w:lang w:val="zh-CN"/>
        </w:rPr>
        <w:t>综合管廊的纵坡变化应满足各类管线自身敷设的要求。</w:t>
      </w:r>
    </w:p>
    <w:p>
      <w:pPr>
        <w:spacing w:line="360" w:lineRule="auto"/>
        <w:jc w:val="left"/>
        <w:rPr>
          <w:rFonts w:asciiTheme="minorEastAsia" w:hAnsiTheme="minorEastAsia" w:eastAsiaTheme="minorEastAsia"/>
          <w:sz w:val="28"/>
          <w:szCs w:val="28"/>
        </w:rPr>
      </w:pPr>
      <w:r>
        <w:rPr>
          <w:rFonts w:hint="eastAsia" w:asciiTheme="minorEastAsia" w:hAnsiTheme="minorEastAsia" w:eastAsiaTheme="minorEastAsia"/>
          <w:b/>
          <w:bCs/>
          <w:sz w:val="28"/>
          <w:szCs w:val="28"/>
        </w:rPr>
        <w:t xml:space="preserve">6.4.5 </w:t>
      </w:r>
      <w:r>
        <w:rPr>
          <w:rFonts w:hint="eastAsia" w:asciiTheme="minorEastAsia" w:hAnsiTheme="minorEastAsia" w:eastAsiaTheme="minorEastAsia"/>
          <w:bCs/>
          <w:sz w:val="28"/>
          <w:szCs w:val="28"/>
        </w:rPr>
        <w:t>总体设计中</w:t>
      </w:r>
      <w:r>
        <w:rPr>
          <w:rFonts w:hint="eastAsia" w:asciiTheme="minorEastAsia" w:hAnsiTheme="minorEastAsia" w:eastAsiaTheme="minorEastAsia"/>
          <w:sz w:val="28"/>
          <w:szCs w:val="28"/>
        </w:rPr>
        <w:t>节点</w:t>
      </w:r>
      <w:r>
        <w:rPr>
          <w:rFonts w:hint="eastAsia" w:asciiTheme="minorEastAsia" w:hAnsiTheme="minorEastAsia" w:eastAsiaTheme="minorEastAsia"/>
          <w:bCs/>
          <w:sz w:val="28"/>
          <w:szCs w:val="28"/>
        </w:rPr>
        <w:t>设计，应符合下列规定：</w:t>
      </w:r>
    </w:p>
    <w:p>
      <w:pPr>
        <w:spacing w:line="360" w:lineRule="auto"/>
        <w:ind w:firstLine="562" w:firstLineChars="200"/>
        <w:rPr>
          <w:rFonts w:asciiTheme="minorEastAsia" w:hAnsiTheme="minorEastAsia" w:eastAsiaTheme="minorEastAsia"/>
          <w:sz w:val="28"/>
          <w:szCs w:val="28"/>
          <w:lang w:val="zh-CN"/>
        </w:rPr>
      </w:pPr>
      <w:r>
        <w:rPr>
          <w:rFonts w:hint="eastAsia" w:asciiTheme="minorEastAsia" w:hAnsiTheme="minorEastAsia" w:eastAsiaTheme="minorEastAsia"/>
          <w:b/>
          <w:sz w:val="28"/>
          <w:szCs w:val="28"/>
          <w:lang w:val="zh-CN"/>
        </w:rPr>
        <w:t xml:space="preserve">1 </w:t>
      </w:r>
      <w:r>
        <w:rPr>
          <w:rFonts w:hint="eastAsia" w:asciiTheme="minorEastAsia" w:hAnsiTheme="minorEastAsia" w:eastAsiaTheme="minorEastAsia"/>
          <w:sz w:val="28"/>
          <w:szCs w:val="28"/>
          <w:lang w:val="zh-CN"/>
        </w:rPr>
        <w:t>综合管廊每个舱室均应设置出入口、逃生口、吊装口、进风口、排风口和管线分支口等节点（口部设施）；</w:t>
      </w:r>
    </w:p>
    <w:p>
      <w:pPr>
        <w:spacing w:line="360" w:lineRule="auto"/>
        <w:ind w:firstLine="562" w:firstLineChars="200"/>
        <w:rPr>
          <w:rFonts w:asciiTheme="minorEastAsia" w:hAnsiTheme="minorEastAsia" w:eastAsiaTheme="minorEastAsia"/>
          <w:sz w:val="28"/>
          <w:szCs w:val="28"/>
          <w:lang w:val="zh-CN"/>
        </w:rPr>
      </w:pPr>
      <w:r>
        <w:rPr>
          <w:rFonts w:hint="eastAsia" w:asciiTheme="minorEastAsia" w:hAnsiTheme="minorEastAsia" w:eastAsiaTheme="minorEastAsia"/>
          <w:b/>
          <w:sz w:val="28"/>
          <w:szCs w:val="28"/>
          <w:lang w:val="zh-CN"/>
        </w:rPr>
        <w:t xml:space="preserve">2 </w:t>
      </w:r>
      <w:r>
        <w:rPr>
          <w:rFonts w:hint="eastAsia" w:asciiTheme="minorEastAsia" w:hAnsiTheme="minorEastAsia" w:eastAsiaTheme="minorEastAsia"/>
          <w:sz w:val="28"/>
          <w:szCs w:val="28"/>
          <w:lang w:val="zh-CN"/>
        </w:rPr>
        <w:t>综合管廊露出地面口部设施，宜设置在道路绿化带、人行道或非机动车道。各类口部设施应结合建设场地条件，尽量合并设置,并应</w:t>
      </w:r>
      <w:r>
        <w:rPr>
          <w:rFonts w:hint="eastAsia"/>
          <w:sz w:val="28"/>
          <w:szCs w:val="28"/>
        </w:rPr>
        <w:t>与城市景观协调</w:t>
      </w:r>
      <w:r>
        <w:rPr>
          <w:rFonts w:hint="eastAsia" w:asciiTheme="minorEastAsia" w:hAnsiTheme="minorEastAsia" w:eastAsiaTheme="minorEastAsia"/>
          <w:sz w:val="28"/>
          <w:szCs w:val="28"/>
          <w:lang w:val="zh-CN"/>
        </w:rPr>
        <w:t>；</w:t>
      </w:r>
    </w:p>
    <w:p>
      <w:pPr>
        <w:spacing w:line="360" w:lineRule="auto"/>
        <w:ind w:firstLine="562" w:firstLineChars="200"/>
        <w:rPr>
          <w:rFonts w:asciiTheme="minorEastAsia" w:hAnsiTheme="minorEastAsia" w:eastAsiaTheme="minorEastAsia"/>
          <w:sz w:val="28"/>
          <w:szCs w:val="28"/>
          <w:lang w:val="zh-CN"/>
        </w:rPr>
      </w:pPr>
      <w:r>
        <w:rPr>
          <w:rFonts w:hint="eastAsia" w:asciiTheme="minorEastAsia" w:hAnsiTheme="minorEastAsia" w:eastAsiaTheme="minorEastAsia"/>
          <w:b/>
          <w:sz w:val="28"/>
          <w:szCs w:val="28"/>
          <w:lang w:val="zh-CN"/>
        </w:rPr>
        <w:t xml:space="preserve">3 </w:t>
      </w:r>
      <w:r>
        <w:rPr>
          <w:rFonts w:hint="eastAsia" w:asciiTheme="minorEastAsia" w:hAnsiTheme="minorEastAsia" w:eastAsiaTheme="minorEastAsia"/>
          <w:sz w:val="28"/>
          <w:szCs w:val="28"/>
          <w:lang w:val="zh-CN"/>
        </w:rPr>
        <w:t>天然气管道舱室的排风口与周边建（构）筑物口部距离不应小于10m。</w:t>
      </w:r>
    </w:p>
    <w:p>
      <w:pPr>
        <w:spacing w:line="360" w:lineRule="auto"/>
        <w:jc w:val="left"/>
        <w:rPr>
          <w:rFonts w:ascii="微软雅黑" w:hAnsi="微软雅黑" w:eastAsia="微软雅黑" w:cs="微软雅黑"/>
          <w:sz w:val="28"/>
          <w:szCs w:val="28"/>
        </w:rPr>
      </w:pPr>
      <w:r>
        <w:rPr>
          <w:rFonts w:hint="eastAsia" w:ascii="微软雅黑" w:hAnsi="微软雅黑" w:eastAsia="微软雅黑" w:cs="微软雅黑"/>
          <w:kern w:val="0"/>
          <w:sz w:val="28"/>
          <w:szCs w:val="28"/>
        </w:rPr>
        <w:t>【条文说明】</w:t>
      </w:r>
      <w:r>
        <w:rPr>
          <w:rFonts w:hint="eastAsia" w:ascii="微软雅黑" w:hAnsi="微软雅黑" w:eastAsia="微软雅黑" w:cs="微软雅黑"/>
          <w:b/>
          <w:bCs/>
          <w:kern w:val="0"/>
          <w:sz w:val="28"/>
          <w:szCs w:val="28"/>
        </w:rPr>
        <w:t>6.4.5</w:t>
      </w:r>
      <w:r>
        <w:rPr>
          <w:rFonts w:hint="eastAsia" w:ascii="微软雅黑" w:hAnsi="微软雅黑" w:eastAsia="微软雅黑" w:cs="微软雅黑"/>
          <w:kern w:val="0"/>
          <w:sz w:val="28"/>
          <w:szCs w:val="28"/>
        </w:rPr>
        <w:t>第2款 综合管廊露出地面口部设施众多，合并设置可减少露出地面设施数量，降低对城市景观的影响；此外，口部设施应与景观设计相融合。</w:t>
      </w:r>
    </w:p>
    <w:p>
      <w:pPr>
        <w:spacing w:line="360" w:lineRule="auto"/>
        <w:jc w:val="left"/>
        <w:rPr>
          <w:rFonts w:asciiTheme="minorEastAsia" w:hAnsiTheme="minorEastAsia" w:eastAsiaTheme="minorEastAsia"/>
          <w:bCs/>
          <w:sz w:val="28"/>
          <w:szCs w:val="28"/>
        </w:rPr>
      </w:pPr>
      <w:r>
        <w:rPr>
          <w:rFonts w:hint="eastAsia" w:asciiTheme="minorEastAsia" w:hAnsiTheme="minorEastAsia" w:eastAsiaTheme="minorEastAsia"/>
          <w:b/>
          <w:bCs/>
          <w:sz w:val="28"/>
          <w:szCs w:val="28"/>
        </w:rPr>
        <w:t xml:space="preserve">6.4.6 </w:t>
      </w:r>
      <w:r>
        <w:rPr>
          <w:rFonts w:hint="eastAsia" w:asciiTheme="minorEastAsia" w:hAnsiTheme="minorEastAsia" w:eastAsiaTheme="minorEastAsia"/>
          <w:bCs/>
          <w:sz w:val="28"/>
          <w:szCs w:val="28"/>
        </w:rPr>
        <w:t>入廊管线设计，应符合下列规定：</w:t>
      </w:r>
    </w:p>
    <w:p>
      <w:pPr>
        <w:pStyle w:val="44"/>
        <w:spacing w:before="0" w:beforeAutospacing="0" w:after="0" w:afterAutospacing="0" w:line="360" w:lineRule="auto"/>
        <w:ind w:firstLine="562" w:firstLineChars="200"/>
        <w:rPr>
          <w:sz w:val="28"/>
          <w:szCs w:val="28"/>
        </w:rPr>
      </w:pPr>
      <w:r>
        <w:rPr>
          <w:rFonts w:hint="eastAsia"/>
          <w:b/>
          <w:sz w:val="28"/>
          <w:szCs w:val="28"/>
        </w:rPr>
        <w:t>1</w:t>
      </w:r>
      <w:r>
        <w:rPr>
          <w:rFonts w:hint="eastAsia"/>
          <w:sz w:val="28"/>
          <w:szCs w:val="28"/>
        </w:rPr>
        <w:t xml:space="preserve"> 市政管线应尽量入廊。雨水、污水管道标高适宜的，可入廊敷设；</w:t>
      </w:r>
    </w:p>
    <w:p>
      <w:pPr>
        <w:spacing w:line="360" w:lineRule="auto"/>
        <w:ind w:firstLine="562" w:firstLineChars="200"/>
        <w:jc w:val="left"/>
        <w:rPr>
          <w:rFonts w:asciiTheme="minorEastAsia" w:hAnsiTheme="minorEastAsia" w:eastAsiaTheme="minorEastAsia"/>
          <w:sz w:val="28"/>
          <w:szCs w:val="28"/>
        </w:rPr>
      </w:pPr>
      <w:r>
        <w:rPr>
          <w:rFonts w:hint="eastAsia" w:asciiTheme="minorEastAsia" w:hAnsiTheme="minorEastAsia" w:eastAsiaTheme="minorEastAsia"/>
          <w:b/>
          <w:bCs/>
          <w:sz w:val="28"/>
          <w:szCs w:val="28"/>
        </w:rPr>
        <w:t>2</w:t>
      </w:r>
      <w:r>
        <w:rPr>
          <w:rFonts w:hint="eastAsia" w:asciiTheme="minorEastAsia" w:hAnsiTheme="minorEastAsia" w:eastAsiaTheme="minorEastAsia"/>
          <w:sz w:val="28"/>
          <w:szCs w:val="28"/>
        </w:rPr>
        <w:t xml:space="preserve"> 入廊管线容量应满足预期扩容的需求；</w:t>
      </w:r>
    </w:p>
    <w:p>
      <w:pPr>
        <w:spacing w:line="360" w:lineRule="auto"/>
        <w:ind w:firstLine="562" w:firstLineChars="200"/>
        <w:jc w:val="lef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3 </w:t>
      </w:r>
      <w:r>
        <w:rPr>
          <w:rFonts w:hint="eastAsia" w:asciiTheme="minorEastAsia" w:hAnsiTheme="minorEastAsia" w:eastAsiaTheme="minorEastAsia"/>
          <w:bCs/>
          <w:sz w:val="28"/>
          <w:szCs w:val="28"/>
        </w:rPr>
        <w:t>确定</w:t>
      </w:r>
      <w:r>
        <w:rPr>
          <w:rFonts w:hint="eastAsia" w:cs="仿宋_GB2312" w:asciiTheme="minorEastAsia" w:hAnsiTheme="minorEastAsia" w:eastAsiaTheme="minorEastAsia"/>
          <w:sz w:val="28"/>
          <w:szCs w:val="28"/>
        </w:rPr>
        <w:t>入廊管线建设标准时，应结合管线实际使用单位意见，并考虑工程实施的经济合理性；</w:t>
      </w:r>
    </w:p>
    <w:p>
      <w:pPr>
        <w:spacing w:line="360" w:lineRule="auto"/>
        <w:ind w:firstLine="562" w:firstLineChars="200"/>
        <w:jc w:val="left"/>
        <w:rPr>
          <w:rFonts w:asciiTheme="minorEastAsia" w:hAnsiTheme="minorEastAsia" w:eastAsiaTheme="minorEastAsia"/>
          <w:sz w:val="28"/>
          <w:szCs w:val="28"/>
        </w:rPr>
      </w:pPr>
      <w:r>
        <w:rPr>
          <w:rFonts w:hint="eastAsia" w:asciiTheme="minorEastAsia" w:hAnsiTheme="minorEastAsia" w:eastAsiaTheme="minorEastAsia"/>
          <w:b/>
          <w:bCs/>
          <w:sz w:val="28"/>
          <w:szCs w:val="28"/>
        </w:rPr>
        <w:t>4</w:t>
      </w:r>
      <w:r>
        <w:rPr>
          <w:rFonts w:hint="eastAsia" w:asciiTheme="minorEastAsia" w:hAnsiTheme="minorEastAsia" w:eastAsiaTheme="minorEastAsia"/>
          <w:sz w:val="28"/>
          <w:szCs w:val="28"/>
        </w:rPr>
        <w:t xml:space="preserve"> 入廊管线设计，尚应分别满足各自专业管线设计标准的要求。</w:t>
      </w:r>
    </w:p>
    <w:p>
      <w:pPr>
        <w:spacing w:line="360" w:lineRule="auto"/>
        <w:jc w:val="left"/>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【条文说明】</w:t>
      </w:r>
      <w:r>
        <w:rPr>
          <w:rFonts w:hint="eastAsia" w:ascii="微软雅黑" w:hAnsi="微软雅黑" w:eastAsia="微软雅黑" w:cs="微软雅黑"/>
          <w:b/>
          <w:bCs/>
          <w:kern w:val="0"/>
          <w:sz w:val="28"/>
          <w:szCs w:val="28"/>
        </w:rPr>
        <w:t>6.4.6</w:t>
      </w:r>
      <w:r>
        <w:rPr>
          <w:rFonts w:hint="eastAsia" w:ascii="微软雅黑" w:hAnsi="微软雅黑" w:eastAsia="微软雅黑" w:cs="微软雅黑"/>
          <w:kern w:val="0"/>
          <w:sz w:val="28"/>
          <w:szCs w:val="28"/>
        </w:rPr>
        <w:t>第1款 原则上给水管、再生水管、电力电缆、通信及广播电视电缆、燃气管和热力管应入廊敷设。</w:t>
      </w:r>
    </w:p>
    <w:p>
      <w:pPr>
        <w:spacing w:line="360" w:lineRule="auto"/>
        <w:jc w:val="lef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6.4.7 </w:t>
      </w:r>
      <w:r>
        <w:rPr>
          <w:rFonts w:hint="eastAsia" w:asciiTheme="minorEastAsia" w:hAnsiTheme="minorEastAsia" w:eastAsiaTheme="minorEastAsia"/>
          <w:bCs/>
          <w:sz w:val="28"/>
          <w:szCs w:val="28"/>
        </w:rPr>
        <w:t>附属设施设计，应符合下列规定：</w:t>
      </w:r>
    </w:p>
    <w:p>
      <w:pPr>
        <w:spacing w:line="360" w:lineRule="auto"/>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lang w:val="zh-CN"/>
        </w:rPr>
        <w:t>1</w:t>
      </w:r>
      <w:r>
        <w:rPr>
          <w:rFonts w:hint="eastAsia" w:asciiTheme="minorEastAsia" w:hAnsiTheme="minorEastAsia" w:eastAsiaTheme="minorEastAsia"/>
          <w:sz w:val="28"/>
          <w:szCs w:val="28"/>
          <w:lang w:val="zh-CN"/>
        </w:rPr>
        <w:t xml:space="preserve"> 附属设施建设标准的确定，应兼顾管廊安全性、管线可靠性、系统先进性和造价经济性；</w:t>
      </w:r>
    </w:p>
    <w:p>
      <w:pPr>
        <w:spacing w:line="360" w:lineRule="auto"/>
        <w:ind w:firstLine="562" w:firstLineChars="200"/>
        <w:rPr>
          <w:rFonts w:asciiTheme="minorEastAsia" w:hAnsiTheme="minorEastAsia" w:eastAsiaTheme="minorEastAsia"/>
          <w:sz w:val="28"/>
          <w:szCs w:val="28"/>
          <w:lang w:val="zh-CN"/>
        </w:rPr>
      </w:pPr>
      <w:r>
        <w:rPr>
          <w:rFonts w:hint="eastAsia" w:asciiTheme="minorEastAsia" w:hAnsiTheme="minorEastAsia" w:eastAsiaTheme="minorEastAsia"/>
          <w:b/>
          <w:sz w:val="28"/>
          <w:szCs w:val="28"/>
          <w:lang w:val="zh-CN"/>
        </w:rPr>
        <w:t>2</w:t>
      </w:r>
      <w:r>
        <w:rPr>
          <w:rFonts w:hint="eastAsia" w:asciiTheme="minorEastAsia" w:hAnsiTheme="minorEastAsia" w:eastAsiaTheme="minorEastAsia"/>
          <w:sz w:val="28"/>
          <w:szCs w:val="28"/>
          <w:lang w:val="zh-CN"/>
        </w:rPr>
        <w:t xml:space="preserve"> 附属设施设置应注重近远期结合；</w:t>
      </w:r>
    </w:p>
    <w:p>
      <w:pPr>
        <w:spacing w:line="360" w:lineRule="auto"/>
        <w:ind w:firstLine="562" w:firstLineChars="200"/>
        <w:rPr>
          <w:rFonts w:asciiTheme="minorEastAsia" w:hAnsiTheme="minorEastAsia" w:eastAsiaTheme="minorEastAsia"/>
          <w:sz w:val="28"/>
          <w:szCs w:val="28"/>
          <w:lang w:val="zh-CN"/>
        </w:rPr>
      </w:pPr>
      <w:r>
        <w:rPr>
          <w:rFonts w:hint="eastAsia" w:asciiTheme="minorEastAsia" w:hAnsiTheme="minorEastAsia" w:eastAsiaTheme="minorEastAsia"/>
          <w:b/>
          <w:sz w:val="28"/>
          <w:szCs w:val="28"/>
          <w:lang w:val="zh-CN"/>
        </w:rPr>
        <w:t xml:space="preserve">3 </w:t>
      </w:r>
      <w:r>
        <w:rPr>
          <w:rFonts w:hint="eastAsia" w:asciiTheme="minorEastAsia" w:hAnsiTheme="minorEastAsia" w:eastAsiaTheme="minorEastAsia"/>
          <w:sz w:val="28"/>
          <w:szCs w:val="28"/>
          <w:lang w:val="zh-CN"/>
        </w:rPr>
        <w:t>电力电缆所在舱室内自动灭火系统选择，应结合消防部门意见，并经技术经济比较后确定；</w:t>
      </w:r>
    </w:p>
    <w:p>
      <w:pPr>
        <w:spacing w:line="360" w:lineRule="auto"/>
        <w:ind w:firstLine="562" w:firstLineChars="200"/>
        <w:rPr>
          <w:rFonts w:asciiTheme="minorEastAsia" w:hAnsiTheme="minorEastAsia" w:eastAsiaTheme="minorEastAsia"/>
          <w:sz w:val="28"/>
          <w:szCs w:val="28"/>
          <w:lang w:val="zh-CN"/>
        </w:rPr>
      </w:pPr>
      <w:r>
        <w:rPr>
          <w:rFonts w:hint="eastAsia" w:asciiTheme="minorEastAsia" w:hAnsiTheme="minorEastAsia" w:eastAsiaTheme="minorEastAsia"/>
          <w:b/>
          <w:sz w:val="28"/>
          <w:szCs w:val="28"/>
          <w:lang w:val="zh-CN"/>
        </w:rPr>
        <w:t>4</w:t>
      </w:r>
      <w:r>
        <w:rPr>
          <w:rFonts w:hint="eastAsia" w:asciiTheme="minorEastAsia" w:hAnsiTheme="minorEastAsia" w:eastAsiaTheme="minorEastAsia"/>
          <w:sz w:val="28"/>
          <w:szCs w:val="28"/>
          <w:lang w:val="zh-CN"/>
        </w:rPr>
        <w:t>通风设备应符合节能环保要求。天然气管道舱室应进行防爆设计，风机应采用防爆型；</w:t>
      </w:r>
    </w:p>
    <w:p>
      <w:pPr>
        <w:spacing w:line="360" w:lineRule="auto"/>
        <w:ind w:firstLine="562" w:firstLineChars="200"/>
        <w:rPr>
          <w:rFonts w:asciiTheme="minorEastAsia" w:hAnsiTheme="minorEastAsia" w:eastAsiaTheme="minorEastAsia"/>
          <w:sz w:val="28"/>
          <w:szCs w:val="28"/>
          <w:lang w:val="zh-CN"/>
        </w:rPr>
      </w:pPr>
      <w:r>
        <w:rPr>
          <w:rFonts w:hint="eastAsia" w:asciiTheme="minorEastAsia" w:hAnsiTheme="minorEastAsia" w:eastAsiaTheme="minorEastAsia"/>
          <w:b/>
          <w:sz w:val="28"/>
          <w:szCs w:val="28"/>
          <w:lang w:val="zh-CN"/>
        </w:rPr>
        <w:t>5</w:t>
      </w:r>
      <w:r>
        <w:rPr>
          <w:rFonts w:hint="eastAsia" w:asciiTheme="minorEastAsia" w:hAnsiTheme="minorEastAsia" w:eastAsiaTheme="minorEastAsia"/>
          <w:sz w:val="28"/>
          <w:szCs w:val="28"/>
          <w:lang w:val="zh-CN"/>
        </w:rPr>
        <w:t>管廊低压</w:t>
      </w:r>
      <w:r>
        <w:rPr>
          <w:rFonts w:hint="eastAsia" w:asciiTheme="minorEastAsia" w:hAnsiTheme="minorEastAsia" w:eastAsiaTheme="minorEastAsia"/>
          <w:sz w:val="28"/>
          <w:szCs w:val="28"/>
        </w:rPr>
        <w:t>配电</w:t>
      </w:r>
      <w:r>
        <w:rPr>
          <w:rFonts w:hint="eastAsia" w:asciiTheme="minorEastAsia" w:hAnsiTheme="minorEastAsia" w:eastAsiaTheme="minorEastAsia"/>
          <w:bCs/>
          <w:sz w:val="28"/>
          <w:szCs w:val="28"/>
        </w:rPr>
        <w:t>线路应作短路保护灵敏度校验。</w:t>
      </w:r>
      <w:r>
        <w:rPr>
          <w:rFonts w:asciiTheme="minorEastAsia" w:hAnsiTheme="minorEastAsia" w:eastAsiaTheme="minorEastAsia"/>
          <w:bCs/>
          <w:sz w:val="28"/>
          <w:szCs w:val="28"/>
        </w:rPr>
        <w:t>当短路保护电器为断路器时，被保护线路末端的短路电流</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不应小于</w:t>
      </w:r>
      <w:r>
        <w:rPr>
          <w:rFonts w:hint="eastAsia" w:asciiTheme="minorEastAsia" w:hAnsiTheme="minorEastAsia" w:eastAsiaTheme="minorEastAsia"/>
          <w:bCs/>
          <w:sz w:val="28"/>
          <w:szCs w:val="28"/>
        </w:rPr>
        <w:t>相应</w:t>
      </w:r>
      <w:r>
        <w:rPr>
          <w:rFonts w:asciiTheme="minorEastAsia" w:hAnsiTheme="minorEastAsia" w:eastAsiaTheme="minorEastAsia"/>
          <w:bCs/>
          <w:sz w:val="28"/>
          <w:szCs w:val="28"/>
        </w:rPr>
        <w:t>断路器瞬时或短延时过电流脱扣器整定电流的1.3倍</w:t>
      </w:r>
      <w:r>
        <w:rPr>
          <w:rFonts w:hint="eastAsia" w:asciiTheme="minorEastAsia" w:hAnsiTheme="minorEastAsia" w:eastAsiaTheme="minorEastAsia"/>
          <w:bCs/>
          <w:sz w:val="28"/>
          <w:szCs w:val="28"/>
        </w:rPr>
        <w:t>；</w:t>
      </w:r>
    </w:p>
    <w:p>
      <w:pPr>
        <w:spacing w:line="360" w:lineRule="auto"/>
        <w:ind w:firstLine="562" w:firstLineChars="200"/>
        <w:rPr>
          <w:rFonts w:asciiTheme="minorEastAsia" w:hAnsiTheme="minorEastAsia" w:eastAsiaTheme="minorEastAsia"/>
          <w:sz w:val="28"/>
          <w:szCs w:val="28"/>
          <w:lang w:val="zh-CN"/>
        </w:rPr>
      </w:pPr>
      <w:r>
        <w:rPr>
          <w:rFonts w:hint="eastAsia" w:asciiTheme="minorEastAsia" w:hAnsiTheme="minorEastAsia" w:eastAsiaTheme="minorEastAsia"/>
          <w:b/>
          <w:sz w:val="28"/>
          <w:szCs w:val="28"/>
          <w:lang w:val="zh-CN"/>
        </w:rPr>
        <w:t>6</w:t>
      </w:r>
      <w:r>
        <w:rPr>
          <w:rFonts w:hint="eastAsia" w:asciiTheme="minorEastAsia" w:hAnsiTheme="minorEastAsia" w:eastAsiaTheme="minorEastAsia"/>
          <w:sz w:val="28"/>
          <w:szCs w:val="28"/>
          <w:lang w:val="zh-CN"/>
        </w:rPr>
        <w:t>监控与报警系统应根据综合管廊运行管理需求设置，并预留相关接口；</w:t>
      </w:r>
    </w:p>
    <w:p>
      <w:pPr>
        <w:spacing w:line="360" w:lineRule="auto"/>
        <w:ind w:firstLine="562" w:firstLineChars="200"/>
        <w:rPr>
          <w:rFonts w:asciiTheme="minorEastAsia" w:hAnsiTheme="minorEastAsia" w:eastAsiaTheme="minorEastAsia"/>
          <w:sz w:val="28"/>
          <w:szCs w:val="28"/>
          <w:lang w:val="zh-CN"/>
        </w:rPr>
      </w:pPr>
      <w:r>
        <w:rPr>
          <w:rFonts w:hint="eastAsia" w:asciiTheme="minorEastAsia" w:hAnsiTheme="minorEastAsia" w:eastAsiaTheme="minorEastAsia"/>
          <w:b/>
          <w:sz w:val="28"/>
          <w:szCs w:val="28"/>
          <w:lang w:val="zh-CN"/>
        </w:rPr>
        <w:t>7</w:t>
      </w:r>
      <w:r>
        <w:rPr>
          <w:rFonts w:hint="eastAsia" w:asciiTheme="minorEastAsia" w:hAnsiTheme="minorEastAsia" w:eastAsiaTheme="minorEastAsia"/>
          <w:sz w:val="28"/>
          <w:szCs w:val="28"/>
          <w:lang w:val="zh-CN"/>
        </w:rPr>
        <w:t>管廊内宜设置清扫冲洗水系统，每个排水分区至少设置一处冲洗水点，并配置皮质水嘴。废水宜排入城市污水系统；</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8</w:t>
      </w:r>
      <w:r>
        <w:rPr>
          <w:rFonts w:hint="eastAsia" w:asciiTheme="minorEastAsia" w:hAnsiTheme="minorEastAsia" w:eastAsiaTheme="minorEastAsia"/>
          <w:bCs/>
          <w:sz w:val="28"/>
          <w:szCs w:val="28"/>
        </w:rPr>
        <w:t>重点综合管廊工程可按智慧管廊标准建设。</w:t>
      </w:r>
    </w:p>
    <w:p>
      <w:pPr>
        <w:spacing w:line="360" w:lineRule="auto"/>
        <w:jc w:val="left"/>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【条文说明】</w:t>
      </w:r>
      <w:r>
        <w:rPr>
          <w:rFonts w:hint="eastAsia" w:ascii="微软雅黑" w:hAnsi="微软雅黑" w:eastAsia="微软雅黑" w:cs="微软雅黑"/>
          <w:b/>
          <w:kern w:val="0"/>
          <w:sz w:val="28"/>
          <w:szCs w:val="28"/>
        </w:rPr>
        <w:t>6.4.7</w:t>
      </w:r>
      <w:r>
        <w:rPr>
          <w:rFonts w:hint="eastAsia" w:ascii="微软雅黑" w:hAnsi="微软雅黑" w:eastAsia="微软雅黑" w:cs="微软雅黑"/>
          <w:kern w:val="0"/>
          <w:sz w:val="28"/>
          <w:szCs w:val="28"/>
        </w:rPr>
        <w:t xml:space="preserve"> 第2款 综合管廊建设一般分近、远期，不同路段管廊建设时机通常也不一致，但综合管廊内通风、消防、监控、供电等附属设施配置，均需考虑系统性和协调性。为保证不同时期建设管廊之间系统相互衔接，在综合管廊建设前期阶段,尤应注重近、远期结合。</w:t>
      </w:r>
    </w:p>
    <w:p>
      <w:pPr>
        <w:spacing w:line="360" w:lineRule="auto"/>
        <w:jc w:val="left"/>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 xml:space="preserve">   第5款 管廊工程一般较长，其配电（含照明）线路</w:t>
      </w:r>
      <w:r>
        <w:rPr>
          <w:rFonts w:hint="eastAsia" w:ascii="微软雅黑" w:hAnsi="微软雅黑" w:eastAsia="微软雅黑" w:cs="微软雅黑"/>
          <w:bCs/>
          <w:sz w:val="28"/>
          <w:szCs w:val="28"/>
        </w:rPr>
        <w:t>短路保护灵敏度不容易达到要求，从而埋下短路（接地）故障和火灾隐患。故本条特别提出应作短路计算及校验。</w:t>
      </w:r>
    </w:p>
    <w:p>
      <w:pPr>
        <w:spacing w:line="360" w:lineRule="auto"/>
        <w:jc w:val="left"/>
        <w:rPr>
          <w:rFonts w:asciiTheme="minorEastAsia" w:hAnsiTheme="minorEastAsia" w:eastAsiaTheme="minorEastAsia"/>
          <w:sz w:val="28"/>
          <w:szCs w:val="28"/>
        </w:rPr>
      </w:pPr>
      <w:r>
        <w:rPr>
          <w:rFonts w:hint="eastAsia"/>
          <w:b/>
          <w:bCs/>
          <w:sz w:val="28"/>
          <w:szCs w:val="28"/>
        </w:rPr>
        <w:t>6.4.8</w:t>
      </w:r>
      <w:r>
        <w:rPr>
          <w:rFonts w:hint="eastAsia"/>
          <w:sz w:val="28"/>
          <w:szCs w:val="28"/>
        </w:rPr>
        <w:t>条件适宜的</w:t>
      </w:r>
      <w:r>
        <w:rPr>
          <w:rFonts w:hint="eastAsia" w:ascii="宋体" w:hAnsi="宋体" w:cs="宋体"/>
          <w:kern w:val="0"/>
          <w:sz w:val="28"/>
          <w:szCs w:val="28"/>
        </w:rPr>
        <w:t>综合管廊结构应采用预制装配式技术。</w:t>
      </w:r>
    </w:p>
    <w:p>
      <w:pPr>
        <w:spacing w:line="360" w:lineRule="auto"/>
        <w:jc w:val="left"/>
        <w:rPr>
          <w:rFonts w:asciiTheme="minorEastAsia" w:hAnsiTheme="minorEastAsia" w:eastAsiaTheme="minorEastAsia"/>
          <w:b/>
          <w:bCs/>
          <w:sz w:val="28"/>
          <w:szCs w:val="28"/>
        </w:rPr>
      </w:pPr>
    </w:p>
    <w:p>
      <w:pPr>
        <w:pStyle w:val="2"/>
        <w:pageBreakBefore/>
        <w:ind w:firstLine="3212" w:firstLineChars="1000"/>
        <w:jc w:val="both"/>
      </w:pPr>
      <w:bookmarkStart w:id="71" w:name="_Toc23138"/>
      <w:bookmarkStart w:id="72" w:name="_Toc23092_WPSOffice_Level1"/>
      <w:bookmarkStart w:id="73" w:name="_Toc7660"/>
      <w:r>
        <w:rPr>
          <w:rFonts w:hint="eastAsia"/>
        </w:rPr>
        <w:t xml:space="preserve">7 </w:t>
      </w:r>
      <w:bookmarkEnd w:id="71"/>
      <w:bookmarkEnd w:id="72"/>
      <w:r>
        <w:rPr>
          <w:rFonts w:hint="eastAsia"/>
        </w:rPr>
        <w:t>水利工程设计</w:t>
      </w:r>
      <w:bookmarkEnd w:id="73"/>
    </w:p>
    <w:p>
      <w:pPr>
        <w:pStyle w:val="3"/>
        <w:rPr>
          <w:kern w:val="0"/>
        </w:rPr>
      </w:pPr>
      <w:bookmarkStart w:id="74" w:name="_Toc20711"/>
      <w:bookmarkStart w:id="75" w:name="_Toc30998"/>
      <w:r>
        <w:rPr>
          <w:rFonts w:hint="eastAsia"/>
          <w:kern w:val="0"/>
        </w:rPr>
        <w:t>7.1一般规定</w:t>
      </w:r>
      <w:bookmarkEnd w:id="74"/>
      <w:bookmarkEnd w:id="75"/>
    </w:p>
    <w:p>
      <w:pPr>
        <w:autoSpaceDE w:val="0"/>
        <w:autoSpaceDN w:val="0"/>
        <w:adjustRightInd w:val="0"/>
        <w:spacing w:line="360" w:lineRule="auto"/>
        <w:jc w:val="left"/>
        <w:rPr>
          <w:rFonts w:ascii="宋体" w:hAnsi="宋体" w:cs="宋体"/>
          <w:b/>
          <w:kern w:val="0"/>
          <w:sz w:val="28"/>
          <w:szCs w:val="28"/>
        </w:rPr>
      </w:pPr>
      <w:r>
        <w:rPr>
          <w:rFonts w:hint="eastAsia" w:asciiTheme="minorEastAsia" w:hAnsiTheme="minorEastAsia" w:eastAsiaTheme="minorEastAsia"/>
          <w:b/>
          <w:sz w:val="28"/>
          <w:szCs w:val="28"/>
          <w:shd w:val="clear" w:color="auto" w:fill="FFFFFF"/>
        </w:rPr>
        <w:t>7.1.1</w:t>
      </w:r>
      <w:r>
        <w:rPr>
          <w:rFonts w:hint="eastAsia" w:ascii="宋体" w:hAnsi="宋体" w:cs="宋体"/>
          <w:b/>
          <w:kern w:val="0"/>
          <w:sz w:val="28"/>
          <w:szCs w:val="28"/>
        </w:rPr>
        <w:t xml:space="preserve"> </w:t>
      </w:r>
      <w:r>
        <w:rPr>
          <w:rFonts w:hint="eastAsia" w:ascii="宋体" w:hAnsi="宋体" w:cs="宋体"/>
          <w:kern w:val="0"/>
          <w:sz w:val="28"/>
          <w:szCs w:val="28"/>
        </w:rPr>
        <w:t>水利工程</w:t>
      </w:r>
      <w:r>
        <w:rPr>
          <w:rFonts w:ascii="宋体" w:hAnsi="宋体" w:cs="宋体"/>
          <w:kern w:val="0"/>
          <w:sz w:val="28"/>
          <w:szCs w:val="28"/>
        </w:rPr>
        <w:t>设计</w:t>
      </w:r>
      <w:r>
        <w:rPr>
          <w:rFonts w:hint="eastAsia" w:ascii="宋体" w:hAnsi="宋体" w:cs="宋体"/>
          <w:kern w:val="0"/>
          <w:sz w:val="28"/>
          <w:szCs w:val="28"/>
        </w:rPr>
        <w:t>应</w:t>
      </w:r>
      <w:r>
        <w:rPr>
          <w:rFonts w:ascii="宋体" w:hAnsi="宋体" w:cs="宋体"/>
          <w:kern w:val="0"/>
          <w:sz w:val="28"/>
          <w:szCs w:val="28"/>
        </w:rPr>
        <w:t>充分考虑</w:t>
      </w:r>
      <w:r>
        <w:rPr>
          <w:rFonts w:hint="eastAsia" w:ascii="宋体" w:hAnsi="宋体" w:cs="宋体"/>
          <w:kern w:val="0"/>
          <w:sz w:val="28"/>
          <w:szCs w:val="28"/>
        </w:rPr>
        <w:t>功能性</w:t>
      </w:r>
      <w:r>
        <w:rPr>
          <w:rFonts w:hint="eastAsia" w:ascii="宋体" w:hAnsi="宋体" w:cs="宋体"/>
          <w:bCs/>
          <w:kern w:val="0"/>
          <w:sz w:val="28"/>
          <w:szCs w:val="28"/>
        </w:rPr>
        <w:t>、</w:t>
      </w:r>
      <w:r>
        <w:rPr>
          <w:rFonts w:ascii="宋体" w:hAnsi="宋体" w:cs="宋体"/>
          <w:kern w:val="0"/>
          <w:sz w:val="28"/>
          <w:szCs w:val="28"/>
        </w:rPr>
        <w:t>安全性</w:t>
      </w:r>
      <w:r>
        <w:rPr>
          <w:rFonts w:hint="eastAsia" w:ascii="宋体" w:hAnsi="宋体" w:cs="宋体"/>
          <w:kern w:val="0"/>
          <w:sz w:val="28"/>
          <w:szCs w:val="28"/>
        </w:rPr>
        <w:t>、系统性、科学性、</w:t>
      </w:r>
      <w:r>
        <w:rPr>
          <w:rFonts w:ascii="宋体" w:hAnsi="宋体" w:cs="宋体"/>
          <w:kern w:val="0"/>
          <w:sz w:val="28"/>
          <w:szCs w:val="28"/>
        </w:rPr>
        <w:t>生态</w:t>
      </w:r>
      <w:r>
        <w:rPr>
          <w:rFonts w:hint="eastAsia" w:ascii="宋体" w:hAnsi="宋体" w:cs="宋体"/>
          <w:kern w:val="0"/>
          <w:sz w:val="28"/>
          <w:szCs w:val="28"/>
        </w:rPr>
        <w:t>性、</w:t>
      </w:r>
      <w:r>
        <w:rPr>
          <w:rFonts w:ascii="宋体" w:hAnsi="宋体" w:cs="宋体"/>
          <w:kern w:val="0"/>
          <w:sz w:val="28"/>
          <w:szCs w:val="28"/>
        </w:rPr>
        <w:t>景观性</w:t>
      </w:r>
      <w:r>
        <w:rPr>
          <w:rFonts w:hint="eastAsia" w:ascii="宋体" w:hAnsi="宋体" w:cs="宋体"/>
          <w:kern w:val="0"/>
          <w:sz w:val="28"/>
          <w:szCs w:val="28"/>
        </w:rPr>
        <w:t>和</w:t>
      </w:r>
      <w:r>
        <w:rPr>
          <w:rFonts w:ascii="宋体" w:hAnsi="宋体" w:cs="宋体"/>
          <w:kern w:val="0"/>
          <w:sz w:val="28"/>
          <w:szCs w:val="28"/>
        </w:rPr>
        <w:t>可持续性。</w:t>
      </w:r>
    </w:p>
    <w:p>
      <w:pPr>
        <w:spacing w:line="360" w:lineRule="auto"/>
        <w:rPr>
          <w:rFonts w:ascii="宋体" w:hAnsi="宋体" w:cs="宋体"/>
          <w:b/>
          <w:kern w:val="0"/>
          <w:sz w:val="28"/>
          <w:szCs w:val="28"/>
        </w:rPr>
      </w:pPr>
      <w:r>
        <w:rPr>
          <w:rFonts w:hint="eastAsia" w:ascii="宋体" w:hAnsi="宋体" w:cs="宋体"/>
          <w:b/>
          <w:kern w:val="0"/>
          <w:sz w:val="28"/>
          <w:szCs w:val="28"/>
        </w:rPr>
        <w:t xml:space="preserve">7.1.2 </w:t>
      </w:r>
      <w:r>
        <w:rPr>
          <w:rFonts w:hint="eastAsia" w:ascii="宋体" w:hAnsi="宋体" w:cs="宋体"/>
          <w:bCs/>
          <w:kern w:val="0"/>
          <w:sz w:val="28"/>
          <w:szCs w:val="28"/>
        </w:rPr>
        <w:t>城市水系海绵</w:t>
      </w:r>
      <w:r>
        <w:rPr>
          <w:rFonts w:ascii="宋体" w:hAnsi="宋体" w:cs="宋体"/>
          <w:bCs/>
          <w:kern w:val="0"/>
          <w:sz w:val="28"/>
          <w:szCs w:val="28"/>
        </w:rPr>
        <w:t>城市设计</w:t>
      </w:r>
      <w:r>
        <w:rPr>
          <w:rFonts w:hint="eastAsia" w:ascii="宋体" w:hAnsi="宋体" w:cs="宋体"/>
          <w:bCs/>
          <w:kern w:val="0"/>
          <w:sz w:val="28"/>
          <w:szCs w:val="28"/>
        </w:rPr>
        <w:t>，应在满足雨洪行泄等功能条件下，有效衔接城市雨水管渠系统和超标雨水径流排放系统，</w:t>
      </w:r>
      <w:r>
        <w:rPr>
          <w:rFonts w:hint="eastAsia" w:ascii="宋体" w:hAnsi="宋体" w:cs="宋体"/>
          <w:kern w:val="0"/>
          <w:sz w:val="28"/>
          <w:szCs w:val="28"/>
        </w:rPr>
        <w:t>统筹雨水径流和面源污染控制。</w:t>
      </w:r>
    </w:p>
    <w:p>
      <w:pPr>
        <w:spacing w:line="360" w:lineRule="auto"/>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【条文说明】</w:t>
      </w:r>
      <w:r>
        <w:rPr>
          <w:rFonts w:hint="eastAsia" w:ascii="微软雅黑" w:hAnsi="微软雅黑" w:eastAsia="微软雅黑" w:cs="微软雅黑"/>
          <w:b/>
          <w:kern w:val="0"/>
          <w:sz w:val="28"/>
          <w:szCs w:val="28"/>
        </w:rPr>
        <w:t>7.1.2</w:t>
      </w:r>
      <w:r>
        <w:rPr>
          <w:rFonts w:hint="eastAsia" w:ascii="微软雅黑" w:hAnsi="微软雅黑" w:eastAsia="微软雅黑" w:cs="微软雅黑"/>
          <w:kern w:val="0"/>
          <w:sz w:val="28"/>
          <w:szCs w:val="28"/>
        </w:rPr>
        <w:t xml:space="preserve"> 城市水系是城市重要的“海绵体”，保护和恢复现有城市“海绵体”更是海绵城市建设的重要内容。鉴于不同类型城市水系的海绵城市控制目标和指标，一般均有所不同，本导则不提出细化指标要求，具体设计可参照</w:t>
      </w:r>
      <w:r>
        <w:rPr>
          <w:rFonts w:hint="eastAsia" w:ascii="微软雅黑" w:hAnsi="微软雅黑" w:eastAsia="微软雅黑" w:cs="微软雅黑"/>
          <w:bCs/>
          <w:kern w:val="0"/>
          <w:sz w:val="28"/>
          <w:szCs w:val="28"/>
        </w:rPr>
        <w:t>《深圳市水务工程项目海绵城市建设技术指引（试行）》</w:t>
      </w:r>
      <w:r>
        <w:rPr>
          <w:rFonts w:hint="eastAsia" w:ascii="微软雅黑" w:hAnsi="微软雅黑" w:eastAsia="微软雅黑" w:cs="微软雅黑"/>
          <w:kern w:val="0"/>
          <w:sz w:val="28"/>
          <w:szCs w:val="28"/>
        </w:rPr>
        <w:t>执行。</w:t>
      </w:r>
    </w:p>
    <w:p>
      <w:pPr>
        <w:widowControl/>
        <w:spacing w:line="360" w:lineRule="auto"/>
        <w:jc w:val="left"/>
        <w:rPr>
          <w:rFonts w:ascii="宋体" w:hAnsi="宋体" w:cs="宋体"/>
          <w:kern w:val="0"/>
          <w:sz w:val="28"/>
          <w:szCs w:val="28"/>
        </w:rPr>
      </w:pPr>
      <w:r>
        <w:rPr>
          <w:rFonts w:hint="eastAsia" w:ascii="宋体" w:hAnsi="宋体" w:cs="宋体"/>
          <w:b/>
          <w:kern w:val="0"/>
          <w:sz w:val="28"/>
          <w:szCs w:val="28"/>
        </w:rPr>
        <w:t>7</w:t>
      </w:r>
      <w:r>
        <w:rPr>
          <w:rFonts w:ascii="宋体" w:hAnsi="宋体" w:cs="宋体"/>
          <w:b/>
          <w:kern w:val="0"/>
          <w:sz w:val="28"/>
          <w:szCs w:val="28"/>
        </w:rPr>
        <w:t>.1.</w:t>
      </w:r>
      <w:r>
        <w:rPr>
          <w:rFonts w:hint="eastAsia" w:ascii="宋体" w:hAnsi="宋体" w:cs="宋体"/>
          <w:b/>
          <w:kern w:val="0"/>
          <w:sz w:val="28"/>
          <w:szCs w:val="28"/>
        </w:rPr>
        <w:t xml:space="preserve">3 </w:t>
      </w:r>
      <w:r>
        <w:rPr>
          <w:rFonts w:hint="eastAsia" w:ascii="宋体" w:hAnsi="宋体" w:cs="宋体"/>
          <w:kern w:val="0"/>
          <w:sz w:val="28"/>
          <w:szCs w:val="28"/>
        </w:rPr>
        <w:t>水利工程</w:t>
      </w:r>
      <w:r>
        <w:rPr>
          <w:rFonts w:ascii="宋体" w:hAnsi="宋体" w:cs="宋体"/>
          <w:kern w:val="0"/>
          <w:sz w:val="28"/>
          <w:szCs w:val="28"/>
        </w:rPr>
        <w:t>设计</w:t>
      </w:r>
      <w:r>
        <w:rPr>
          <w:rFonts w:hint="eastAsia" w:ascii="宋体" w:hAnsi="宋体" w:cs="宋体"/>
          <w:kern w:val="0"/>
          <w:sz w:val="28"/>
          <w:szCs w:val="28"/>
        </w:rPr>
        <w:t>应积极采用BIM技术和智慧城市建设技术。</w:t>
      </w:r>
    </w:p>
    <w:p>
      <w:pPr>
        <w:pStyle w:val="3"/>
        <w:rPr>
          <w:rFonts w:ascii="宋体" w:hAnsi="宋体"/>
          <w:kern w:val="0"/>
        </w:rPr>
      </w:pPr>
      <w:bookmarkStart w:id="76" w:name="_Toc32196"/>
      <w:bookmarkStart w:id="77" w:name="_Toc26790"/>
      <w:r>
        <w:rPr>
          <w:rFonts w:hint="eastAsia"/>
          <w:kern w:val="0"/>
        </w:rPr>
        <w:t>7.2河道整治工程</w:t>
      </w:r>
      <w:bookmarkEnd w:id="76"/>
      <w:bookmarkEnd w:id="77"/>
    </w:p>
    <w:p>
      <w:pPr>
        <w:autoSpaceDE w:val="0"/>
        <w:autoSpaceDN w:val="0"/>
        <w:adjustRightInd w:val="0"/>
        <w:spacing w:line="360" w:lineRule="auto"/>
        <w:jc w:val="left"/>
        <w:rPr>
          <w:rFonts w:asciiTheme="minorEastAsia" w:hAnsiTheme="minorEastAsia" w:eastAsiaTheme="minorEastAsia"/>
          <w:sz w:val="28"/>
          <w:szCs w:val="28"/>
          <w:shd w:val="clear" w:color="auto" w:fill="FFFFFF"/>
        </w:rPr>
      </w:pPr>
      <w:r>
        <w:rPr>
          <w:rFonts w:hint="eastAsia" w:asciiTheme="minorEastAsia" w:hAnsiTheme="minorEastAsia" w:eastAsiaTheme="minorEastAsia"/>
          <w:b/>
          <w:sz w:val="28"/>
          <w:szCs w:val="28"/>
          <w:shd w:val="clear" w:color="auto" w:fill="FFFFFF"/>
        </w:rPr>
        <w:t>7</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2</w:t>
      </w:r>
      <w:r>
        <w:rPr>
          <w:rFonts w:asciiTheme="minorEastAsia" w:hAnsiTheme="minorEastAsia" w:eastAsiaTheme="minorEastAsia"/>
          <w:b/>
          <w:sz w:val="28"/>
          <w:szCs w:val="28"/>
          <w:shd w:val="clear" w:color="auto" w:fill="FFFFFF"/>
        </w:rPr>
        <w:t xml:space="preserve">.1 </w:t>
      </w:r>
      <w:r>
        <w:rPr>
          <w:rFonts w:hint="eastAsia" w:asciiTheme="minorEastAsia" w:hAnsiTheme="minorEastAsia" w:eastAsiaTheme="minorEastAsia"/>
          <w:sz w:val="28"/>
          <w:szCs w:val="28"/>
          <w:shd w:val="clear" w:color="auto" w:fill="FFFFFF"/>
        </w:rPr>
        <w:t>河道整治工程应根据规划，确定</w:t>
      </w:r>
      <w:r>
        <w:rPr>
          <w:rFonts w:hint="eastAsia" w:asciiTheme="minorEastAsia" w:hAnsiTheme="minorEastAsia" w:eastAsiaTheme="minorEastAsia"/>
          <w:bCs/>
          <w:sz w:val="28"/>
          <w:szCs w:val="28"/>
          <w:shd w:val="clear" w:color="auto" w:fill="FFFFFF"/>
        </w:rPr>
        <w:t>适宜的建设目标，并应充分考虑河道生态环境保护与恢复、人文景观营造和历史遗迹保护等。</w:t>
      </w:r>
    </w:p>
    <w:p>
      <w:pPr>
        <w:autoSpaceDE w:val="0"/>
        <w:autoSpaceDN w:val="0"/>
        <w:adjustRightInd w:val="0"/>
        <w:spacing w:line="360" w:lineRule="auto"/>
        <w:jc w:val="left"/>
        <w:rPr>
          <w:rFonts w:ascii="微软雅黑" w:hAnsi="微软雅黑" w:eastAsia="微软雅黑" w:cs="微软雅黑"/>
          <w:sz w:val="28"/>
          <w:szCs w:val="28"/>
          <w:shd w:val="clear" w:color="auto" w:fill="FFFFFF"/>
        </w:rPr>
      </w:pPr>
      <w:r>
        <w:rPr>
          <w:rFonts w:hint="eastAsia" w:ascii="微软雅黑" w:hAnsi="微软雅黑" w:eastAsia="微软雅黑" w:cs="微软雅黑"/>
          <w:sz w:val="28"/>
          <w:szCs w:val="28"/>
          <w:shd w:val="clear" w:color="auto" w:fill="FFFFFF"/>
        </w:rPr>
        <w:t>【条文说明】</w:t>
      </w:r>
      <w:r>
        <w:rPr>
          <w:rFonts w:hint="eastAsia" w:ascii="微软雅黑" w:hAnsi="微软雅黑" w:eastAsia="微软雅黑" w:cs="微软雅黑"/>
          <w:b/>
          <w:sz w:val="28"/>
          <w:szCs w:val="28"/>
          <w:shd w:val="clear" w:color="auto" w:fill="FFFFFF"/>
        </w:rPr>
        <w:t xml:space="preserve">7.2.1 </w:t>
      </w:r>
      <w:r>
        <w:rPr>
          <w:rFonts w:hint="eastAsia" w:ascii="微软雅黑" w:hAnsi="微软雅黑" w:eastAsia="微软雅黑" w:cs="微软雅黑"/>
          <w:kern w:val="0"/>
          <w:sz w:val="28"/>
          <w:szCs w:val="28"/>
        </w:rPr>
        <w:t>河道整治目标制订应与规划衔接，满足防洪、水质及水功能区划等既定功能</w:t>
      </w:r>
      <w:r>
        <w:rPr>
          <w:rFonts w:hint="eastAsia" w:ascii="微软雅黑" w:hAnsi="微软雅黑" w:eastAsia="微软雅黑" w:cs="微软雅黑"/>
          <w:sz w:val="28"/>
          <w:szCs w:val="28"/>
        </w:rPr>
        <w:t>，并科学分析整治工程对于河道的影响。具体</w:t>
      </w:r>
      <w:r>
        <w:rPr>
          <w:rFonts w:hint="eastAsia" w:ascii="微软雅黑" w:hAnsi="微软雅黑" w:eastAsia="微软雅黑" w:cs="微软雅黑"/>
          <w:sz w:val="28"/>
          <w:szCs w:val="28"/>
          <w:shd w:val="clear" w:color="auto" w:fill="FFFFFF"/>
        </w:rPr>
        <w:t>设计可考虑下列因素，以合理确定河道整治工程的建设目标：防洪标准应根据上位规划和保护对象确定；水质标准应符合“地表水环境功能区划”的要求，且不低于现状和流入河道的水质标准；功能定位应符合水功能区划、流入的上一级河道规划和区域规划对该河道（段）的要求。</w:t>
      </w:r>
    </w:p>
    <w:p>
      <w:pPr>
        <w:pStyle w:val="114"/>
        <w:spacing w:line="360" w:lineRule="auto"/>
        <w:outlineLvl w:val="3"/>
        <w:rPr>
          <w:rFonts w:ascii="宋体" w:hAnsi="宋体" w:eastAsia="宋体" w:cs="宋体"/>
          <w:color w:val="FF0000"/>
          <w:sz w:val="28"/>
          <w:szCs w:val="28"/>
          <w:highlight w:val="yellow"/>
        </w:rPr>
      </w:pPr>
      <w:r>
        <w:rPr>
          <w:rFonts w:hint="eastAsia" w:asciiTheme="minorEastAsia" w:hAnsiTheme="minorEastAsia" w:eastAsiaTheme="minorEastAsia"/>
          <w:b/>
          <w:sz w:val="28"/>
          <w:szCs w:val="28"/>
          <w:shd w:val="clear" w:color="auto" w:fill="FFFFFF"/>
        </w:rPr>
        <w:t>7</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2</w:t>
      </w:r>
      <w:r>
        <w:rPr>
          <w:rFonts w:asciiTheme="minorEastAsia" w:hAnsiTheme="minorEastAsia" w:eastAsiaTheme="minorEastAsia"/>
          <w:b/>
          <w:sz w:val="28"/>
          <w:szCs w:val="28"/>
          <w:shd w:val="clear" w:color="auto" w:fill="FFFFFF"/>
        </w:rPr>
        <w:t>.2</w:t>
      </w:r>
      <w:r>
        <w:rPr>
          <w:rFonts w:hint="eastAsia" w:asciiTheme="minorEastAsia" w:hAnsiTheme="minorEastAsia" w:eastAsiaTheme="minorEastAsia"/>
          <w:sz w:val="28"/>
          <w:szCs w:val="28"/>
          <w:shd w:val="clear" w:color="auto" w:fill="FFFFFF"/>
        </w:rPr>
        <w:t xml:space="preserve"> </w:t>
      </w:r>
      <w:r>
        <w:rPr>
          <w:rFonts w:hint="eastAsia" w:cs="Times New Roman" w:asciiTheme="minorEastAsia" w:hAnsiTheme="minorEastAsia" w:eastAsiaTheme="minorEastAsia"/>
          <w:color w:val="auto"/>
          <w:kern w:val="2"/>
          <w:sz w:val="28"/>
          <w:szCs w:val="28"/>
          <w:shd w:val="clear" w:color="auto" w:fill="FFFFFF"/>
        </w:rPr>
        <w:t>城郊山区河道（段）治理应以生态保护为主，城市河道（段）应以综合治理为主。</w:t>
      </w:r>
    </w:p>
    <w:p>
      <w:pPr>
        <w:widowControl/>
        <w:spacing w:line="360" w:lineRule="auto"/>
        <w:jc w:val="left"/>
        <w:rPr>
          <w:rFonts w:asciiTheme="minorEastAsia" w:hAnsiTheme="minorEastAsia" w:eastAsiaTheme="minorEastAsia"/>
          <w:sz w:val="28"/>
          <w:szCs w:val="28"/>
          <w:shd w:val="clear" w:color="auto" w:fill="FFFFFF"/>
        </w:rPr>
      </w:pPr>
      <w:r>
        <w:rPr>
          <w:rFonts w:hint="eastAsia" w:asciiTheme="minorEastAsia" w:hAnsiTheme="minorEastAsia" w:eastAsiaTheme="minorEastAsia"/>
          <w:b/>
          <w:sz w:val="28"/>
          <w:szCs w:val="28"/>
          <w:shd w:val="clear" w:color="auto" w:fill="FFFFFF"/>
        </w:rPr>
        <w:t>7</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2</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3</w:t>
      </w:r>
      <w:r>
        <w:rPr>
          <w:rFonts w:hint="eastAsia" w:asciiTheme="minorEastAsia" w:hAnsiTheme="minorEastAsia" w:eastAsiaTheme="minorEastAsia"/>
          <w:sz w:val="28"/>
          <w:szCs w:val="28"/>
          <w:shd w:val="clear" w:color="auto" w:fill="FFFFFF"/>
        </w:rPr>
        <w:t xml:space="preserve"> </w:t>
      </w:r>
      <w:r>
        <w:rPr>
          <w:rFonts w:hint="eastAsia" w:asciiTheme="minorEastAsia" w:hAnsiTheme="minorEastAsia" w:eastAsiaTheme="minorEastAsia"/>
          <w:bCs/>
          <w:sz w:val="28"/>
          <w:szCs w:val="28"/>
          <w:shd w:val="clear" w:color="auto" w:fill="FFFFFF"/>
        </w:rPr>
        <w:t>设计</w:t>
      </w:r>
      <w:r>
        <w:rPr>
          <w:rFonts w:hint="eastAsia" w:asciiTheme="minorEastAsia" w:hAnsiTheme="minorEastAsia" w:eastAsiaTheme="minorEastAsia"/>
          <w:sz w:val="28"/>
          <w:szCs w:val="28"/>
          <w:shd w:val="clear" w:color="auto" w:fill="FFFFFF"/>
        </w:rPr>
        <w:t>宜在保持河道自然形态和现状的前提下，确定河道主流中心线的走向。</w:t>
      </w:r>
    </w:p>
    <w:p>
      <w:pPr>
        <w:widowControl/>
        <w:spacing w:line="360" w:lineRule="auto"/>
        <w:jc w:val="left"/>
        <w:rPr>
          <w:rFonts w:asciiTheme="minorEastAsia" w:hAnsiTheme="minorEastAsia" w:eastAsiaTheme="minorEastAsia"/>
          <w:sz w:val="28"/>
          <w:szCs w:val="28"/>
          <w:shd w:val="clear" w:color="auto" w:fill="FFFFFF"/>
        </w:rPr>
      </w:pPr>
      <w:r>
        <w:rPr>
          <w:rFonts w:hint="eastAsia" w:asciiTheme="minorEastAsia" w:hAnsiTheme="minorEastAsia" w:eastAsiaTheme="minorEastAsia"/>
          <w:b/>
          <w:sz w:val="28"/>
          <w:szCs w:val="28"/>
          <w:shd w:val="clear" w:color="auto" w:fill="FFFFFF"/>
        </w:rPr>
        <w:t>7</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2</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4</w:t>
      </w:r>
      <w:r>
        <w:rPr>
          <w:rFonts w:asciiTheme="minorEastAsia" w:hAnsiTheme="minorEastAsia" w:eastAsiaTheme="minorEastAsia"/>
          <w:b/>
          <w:sz w:val="28"/>
          <w:szCs w:val="28"/>
          <w:shd w:val="clear" w:color="auto" w:fill="FFFFFF"/>
        </w:rPr>
        <w:t xml:space="preserve"> </w:t>
      </w:r>
      <w:r>
        <w:rPr>
          <w:rFonts w:hint="eastAsia" w:asciiTheme="minorEastAsia" w:hAnsiTheme="minorEastAsia" w:eastAsiaTheme="minorEastAsia"/>
          <w:sz w:val="28"/>
          <w:szCs w:val="28"/>
          <w:shd w:val="clear" w:color="auto" w:fill="FFFFFF"/>
        </w:rPr>
        <w:t>天然河道横断面宜保持原自然断面，治理河段宜保持或恢复断面的差异性。</w:t>
      </w:r>
    </w:p>
    <w:p>
      <w:pPr>
        <w:widowControl/>
        <w:spacing w:line="360" w:lineRule="auto"/>
        <w:jc w:val="left"/>
        <w:rPr>
          <w:rFonts w:asciiTheme="minorEastAsia" w:hAnsiTheme="minorEastAsia" w:eastAsiaTheme="minorEastAsia"/>
          <w:sz w:val="28"/>
          <w:szCs w:val="28"/>
          <w:shd w:val="clear" w:color="auto" w:fill="FFFFFF"/>
        </w:rPr>
      </w:pPr>
      <w:r>
        <w:rPr>
          <w:rFonts w:hint="eastAsia" w:asciiTheme="minorEastAsia" w:hAnsiTheme="minorEastAsia" w:eastAsiaTheme="minorEastAsia"/>
          <w:b/>
          <w:sz w:val="28"/>
          <w:szCs w:val="28"/>
          <w:shd w:val="clear" w:color="auto" w:fill="FFFFFF"/>
        </w:rPr>
        <w:t>7</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2</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5</w:t>
      </w:r>
      <w:r>
        <w:rPr>
          <w:rFonts w:hint="eastAsia" w:asciiTheme="minorEastAsia" w:hAnsiTheme="minorEastAsia" w:eastAsiaTheme="minorEastAsia"/>
          <w:sz w:val="28"/>
          <w:szCs w:val="28"/>
          <w:shd w:val="clear" w:color="auto" w:fill="FFFFFF"/>
        </w:rPr>
        <w:t xml:space="preserve"> 对需要改善水质的稳定河道（段），经论证后可采用曝气、种植适宜治污植物、构建生物浮岛等原位措施；对坡降较陡，水位不稳定的河道（段），应采用异位措施修复水环境。</w:t>
      </w:r>
    </w:p>
    <w:p>
      <w:pPr>
        <w:widowControl/>
        <w:spacing w:line="360" w:lineRule="auto"/>
        <w:jc w:val="left"/>
        <w:rPr>
          <w:rFonts w:asciiTheme="minorEastAsia" w:hAnsiTheme="minorEastAsia" w:eastAsiaTheme="minorEastAsia"/>
          <w:sz w:val="28"/>
          <w:szCs w:val="28"/>
          <w:shd w:val="clear" w:color="auto" w:fill="FFFFFF"/>
        </w:rPr>
      </w:pPr>
      <w:r>
        <w:rPr>
          <w:rFonts w:hint="eastAsia" w:asciiTheme="minorEastAsia" w:hAnsiTheme="minorEastAsia" w:eastAsiaTheme="minorEastAsia"/>
          <w:b/>
          <w:sz w:val="28"/>
          <w:szCs w:val="28"/>
          <w:shd w:val="clear" w:color="auto" w:fill="FFFFFF"/>
        </w:rPr>
        <w:t>7</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2</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6</w:t>
      </w:r>
      <w:r>
        <w:rPr>
          <w:rFonts w:asciiTheme="minorEastAsia" w:hAnsiTheme="minorEastAsia" w:eastAsiaTheme="minorEastAsia"/>
          <w:b/>
          <w:sz w:val="28"/>
          <w:szCs w:val="28"/>
          <w:shd w:val="clear" w:color="auto" w:fill="FFFFFF"/>
        </w:rPr>
        <w:t xml:space="preserve"> </w:t>
      </w:r>
      <w:r>
        <w:rPr>
          <w:rFonts w:hint="eastAsia" w:asciiTheme="minorEastAsia" w:hAnsiTheme="minorEastAsia" w:eastAsiaTheme="minorEastAsia"/>
          <w:sz w:val="28"/>
          <w:szCs w:val="28"/>
          <w:shd w:val="clear" w:color="auto" w:fill="FFFFFF"/>
        </w:rPr>
        <w:t>岸坡防护应引入生态景观要素，适地种植植物。</w:t>
      </w:r>
    </w:p>
    <w:p>
      <w:pPr>
        <w:widowControl/>
        <w:spacing w:line="360" w:lineRule="auto"/>
        <w:jc w:val="left"/>
        <w:rPr>
          <w:rFonts w:asciiTheme="minorEastAsia" w:hAnsiTheme="minorEastAsia" w:eastAsiaTheme="minorEastAsia"/>
          <w:sz w:val="28"/>
          <w:szCs w:val="28"/>
          <w:shd w:val="clear" w:color="auto" w:fill="FFFFFF"/>
        </w:rPr>
      </w:pPr>
      <w:r>
        <w:rPr>
          <w:rFonts w:hint="eastAsia" w:asciiTheme="minorEastAsia" w:hAnsiTheme="minorEastAsia" w:eastAsiaTheme="minorEastAsia"/>
          <w:b/>
          <w:sz w:val="28"/>
          <w:szCs w:val="28"/>
          <w:shd w:val="clear" w:color="auto" w:fill="FFFFFF"/>
        </w:rPr>
        <w:t>7</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2</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7</w:t>
      </w:r>
      <w:r>
        <w:rPr>
          <w:rFonts w:asciiTheme="minorEastAsia" w:hAnsiTheme="minorEastAsia" w:eastAsiaTheme="minorEastAsia"/>
          <w:b/>
          <w:sz w:val="28"/>
          <w:szCs w:val="28"/>
          <w:shd w:val="clear" w:color="auto" w:fill="FFFFFF"/>
        </w:rPr>
        <w:t xml:space="preserve"> </w:t>
      </w:r>
      <w:r>
        <w:rPr>
          <w:rFonts w:asciiTheme="minorEastAsia" w:hAnsiTheme="minorEastAsia" w:eastAsiaTheme="minorEastAsia"/>
          <w:sz w:val="28"/>
          <w:szCs w:val="28"/>
          <w:shd w:val="clear" w:color="auto" w:fill="FFFFFF"/>
        </w:rPr>
        <w:t>滨水区营造应优先选择</w:t>
      </w:r>
      <w:r>
        <w:rPr>
          <w:rFonts w:hint="eastAsia" w:asciiTheme="minorEastAsia" w:hAnsiTheme="minorEastAsia" w:eastAsiaTheme="minorEastAsia"/>
          <w:sz w:val="28"/>
          <w:szCs w:val="28"/>
          <w:shd w:val="clear" w:color="auto" w:fill="FFFFFF"/>
        </w:rPr>
        <w:t>净水能力强的乡土植物。有维护河道生态系统需求的</w:t>
      </w:r>
      <w:r>
        <w:rPr>
          <w:rFonts w:asciiTheme="minorEastAsia" w:hAnsiTheme="minorEastAsia" w:eastAsiaTheme="minorEastAsia"/>
          <w:sz w:val="28"/>
          <w:szCs w:val="28"/>
          <w:shd w:val="clear" w:color="auto" w:fill="FFFFFF"/>
        </w:rPr>
        <w:t>河岸植被</w:t>
      </w:r>
      <w:r>
        <w:rPr>
          <w:rFonts w:hint="eastAsia" w:asciiTheme="minorEastAsia" w:hAnsiTheme="minorEastAsia" w:eastAsiaTheme="minorEastAsia"/>
          <w:sz w:val="28"/>
          <w:szCs w:val="28"/>
          <w:shd w:val="clear" w:color="auto" w:fill="FFFFFF"/>
        </w:rPr>
        <w:t>宽度</w:t>
      </w:r>
      <w:r>
        <w:rPr>
          <w:rFonts w:asciiTheme="minorEastAsia" w:hAnsiTheme="minorEastAsia" w:eastAsiaTheme="minorEastAsia"/>
          <w:sz w:val="28"/>
          <w:szCs w:val="28"/>
          <w:shd w:val="clear" w:color="auto" w:fill="FFFFFF"/>
        </w:rPr>
        <w:t>不</w:t>
      </w:r>
      <w:r>
        <w:rPr>
          <w:rFonts w:hint="eastAsia" w:asciiTheme="minorEastAsia" w:hAnsiTheme="minorEastAsia" w:eastAsiaTheme="minorEastAsia"/>
          <w:sz w:val="28"/>
          <w:szCs w:val="28"/>
          <w:shd w:val="clear" w:color="auto" w:fill="FFFFFF"/>
        </w:rPr>
        <w:t>宜</w:t>
      </w:r>
      <w:r>
        <w:rPr>
          <w:rFonts w:asciiTheme="minorEastAsia" w:hAnsiTheme="minorEastAsia" w:eastAsiaTheme="minorEastAsia"/>
          <w:sz w:val="28"/>
          <w:szCs w:val="28"/>
          <w:shd w:val="clear" w:color="auto" w:fill="FFFFFF"/>
        </w:rPr>
        <w:t>小于</w:t>
      </w:r>
      <w:r>
        <w:rPr>
          <w:rFonts w:hint="eastAsia" w:asciiTheme="minorEastAsia" w:hAnsiTheme="minorEastAsia" w:eastAsiaTheme="minorEastAsia"/>
          <w:sz w:val="28"/>
          <w:szCs w:val="28"/>
          <w:shd w:val="clear" w:color="auto" w:fill="FFFFFF"/>
        </w:rPr>
        <w:t>3</w:t>
      </w:r>
      <w:r>
        <w:rPr>
          <w:rFonts w:asciiTheme="minorEastAsia" w:hAnsiTheme="minorEastAsia" w:eastAsiaTheme="minorEastAsia"/>
          <w:sz w:val="28"/>
          <w:szCs w:val="28"/>
          <w:shd w:val="clear" w:color="auto" w:fill="FFFFFF"/>
        </w:rPr>
        <w:t>0m</w:t>
      </w:r>
      <w:r>
        <w:rPr>
          <w:rFonts w:hint="eastAsia" w:asciiTheme="minorEastAsia" w:hAnsiTheme="minorEastAsia" w:eastAsiaTheme="minorEastAsia"/>
          <w:sz w:val="28"/>
          <w:szCs w:val="28"/>
          <w:shd w:val="clear" w:color="auto" w:fill="FFFFFF"/>
        </w:rPr>
        <w:t>。</w:t>
      </w:r>
    </w:p>
    <w:p>
      <w:pPr>
        <w:autoSpaceDE w:val="0"/>
        <w:autoSpaceDN w:val="0"/>
        <w:adjustRightInd w:val="0"/>
        <w:spacing w:line="360" w:lineRule="auto"/>
        <w:jc w:val="left"/>
        <w:rPr>
          <w:rFonts w:asciiTheme="minorEastAsia" w:hAnsiTheme="minorEastAsia" w:eastAsiaTheme="minorEastAsia"/>
          <w:sz w:val="28"/>
          <w:szCs w:val="28"/>
          <w:shd w:val="clear" w:color="auto" w:fill="FFFFFF"/>
        </w:rPr>
      </w:pPr>
      <w:r>
        <w:rPr>
          <w:rFonts w:hint="eastAsia" w:ascii="微软雅黑" w:hAnsi="微软雅黑" w:eastAsia="微软雅黑" w:cs="微软雅黑"/>
          <w:sz w:val="28"/>
          <w:szCs w:val="28"/>
          <w:shd w:val="clear" w:color="auto" w:fill="FFFFFF"/>
        </w:rPr>
        <w:t>【条文说明】</w:t>
      </w:r>
      <w:r>
        <w:rPr>
          <w:rFonts w:hint="eastAsia" w:ascii="微软雅黑" w:hAnsi="微软雅黑" w:eastAsia="微软雅黑" w:cs="微软雅黑"/>
          <w:b/>
          <w:bCs/>
          <w:sz w:val="28"/>
          <w:szCs w:val="28"/>
          <w:shd w:val="clear" w:color="auto" w:fill="FFFFFF"/>
        </w:rPr>
        <w:t xml:space="preserve">7.2.7 </w:t>
      </w:r>
      <w:r>
        <w:rPr>
          <w:rFonts w:hint="eastAsia" w:ascii="微软雅黑" w:hAnsi="微软雅黑" w:eastAsia="微软雅黑" w:cs="微软雅黑"/>
          <w:sz w:val="28"/>
          <w:szCs w:val="28"/>
          <w:shd w:val="clear" w:color="auto" w:fill="FFFFFF"/>
        </w:rPr>
        <w:t>有关研究表明，当河岸植被宽度大于30m时，能够有效降低温度、增加河流生物食物供应，并有效过滤污染物。</w:t>
      </w:r>
    </w:p>
    <w:p>
      <w:pPr>
        <w:pStyle w:val="3"/>
        <w:rPr>
          <w:kern w:val="0"/>
        </w:rPr>
      </w:pPr>
      <w:bookmarkStart w:id="78" w:name="_Toc2609"/>
      <w:bookmarkStart w:id="79" w:name="_Toc10978"/>
      <w:r>
        <w:rPr>
          <w:rFonts w:hint="eastAsia"/>
          <w:kern w:val="0"/>
        </w:rPr>
        <w:t>7</w:t>
      </w:r>
      <w:r>
        <w:rPr>
          <w:kern w:val="0"/>
        </w:rPr>
        <w:t>.</w:t>
      </w:r>
      <w:r>
        <w:rPr>
          <w:rFonts w:hint="eastAsia"/>
          <w:kern w:val="0"/>
        </w:rPr>
        <w:t>3防洪排涝工程</w:t>
      </w:r>
      <w:bookmarkEnd w:id="78"/>
      <w:bookmarkEnd w:id="79"/>
    </w:p>
    <w:p>
      <w:pPr>
        <w:widowControl/>
        <w:spacing w:line="360" w:lineRule="auto"/>
        <w:jc w:val="left"/>
        <w:rPr>
          <w:rFonts w:asciiTheme="minorEastAsia" w:hAnsiTheme="minorEastAsia" w:eastAsiaTheme="minorEastAsia"/>
          <w:sz w:val="28"/>
          <w:szCs w:val="28"/>
          <w:shd w:val="clear" w:color="auto" w:fill="FFFFFF"/>
        </w:rPr>
      </w:pPr>
      <w:r>
        <w:rPr>
          <w:rFonts w:hint="eastAsia" w:asciiTheme="minorEastAsia" w:hAnsiTheme="minorEastAsia" w:eastAsiaTheme="minorEastAsia"/>
          <w:b/>
          <w:sz w:val="28"/>
          <w:szCs w:val="28"/>
          <w:shd w:val="clear" w:color="auto" w:fill="FFFFFF"/>
        </w:rPr>
        <w:t>7</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3</w:t>
      </w:r>
      <w:r>
        <w:rPr>
          <w:rFonts w:asciiTheme="minorEastAsia" w:hAnsiTheme="minorEastAsia" w:eastAsiaTheme="minorEastAsia"/>
          <w:b/>
          <w:sz w:val="28"/>
          <w:szCs w:val="28"/>
          <w:shd w:val="clear" w:color="auto" w:fill="FFFFFF"/>
        </w:rPr>
        <w:t>.1</w:t>
      </w:r>
      <w:r>
        <w:rPr>
          <w:rFonts w:hint="eastAsia" w:asciiTheme="minorEastAsia" w:hAnsiTheme="minorEastAsia" w:eastAsiaTheme="minorEastAsia"/>
          <w:sz w:val="28"/>
          <w:szCs w:val="28"/>
          <w:shd w:val="clear" w:color="auto" w:fill="FFFFFF"/>
        </w:rPr>
        <w:t>防洪排涝工程应统筹治理洪、涝、潮灾害，工程与非工程措施结合，兼顾综合利用要求，并与城市环境和建筑协调，美化城市景观。</w:t>
      </w:r>
    </w:p>
    <w:p>
      <w:pPr>
        <w:autoSpaceDE w:val="0"/>
        <w:autoSpaceDN w:val="0"/>
        <w:adjustRightInd w:val="0"/>
        <w:spacing w:line="360" w:lineRule="auto"/>
        <w:jc w:val="left"/>
        <w:rPr>
          <w:rFonts w:ascii="微软雅黑" w:hAnsi="微软雅黑" w:eastAsia="微软雅黑" w:cs="微软雅黑"/>
          <w:sz w:val="28"/>
          <w:szCs w:val="28"/>
          <w:shd w:val="clear" w:color="auto" w:fill="FFFFFF"/>
        </w:rPr>
      </w:pPr>
      <w:r>
        <w:rPr>
          <w:rFonts w:hint="eastAsia" w:ascii="微软雅黑" w:hAnsi="微软雅黑" w:eastAsia="微软雅黑" w:cs="微软雅黑"/>
          <w:sz w:val="28"/>
          <w:szCs w:val="28"/>
          <w:shd w:val="clear" w:color="auto" w:fill="FFFFFF"/>
        </w:rPr>
        <w:t>【条文说明】</w:t>
      </w:r>
      <w:r>
        <w:rPr>
          <w:rFonts w:hint="eastAsia" w:ascii="微软雅黑" w:hAnsi="微软雅黑" w:eastAsia="微软雅黑" w:cs="微软雅黑"/>
          <w:b/>
          <w:bCs/>
          <w:sz w:val="28"/>
          <w:szCs w:val="28"/>
          <w:shd w:val="clear" w:color="auto" w:fill="FFFFFF"/>
        </w:rPr>
        <w:t xml:space="preserve">7.3.1 </w:t>
      </w:r>
      <w:r>
        <w:rPr>
          <w:rFonts w:hint="eastAsia" w:ascii="微软雅黑" w:hAnsi="微软雅黑" w:eastAsia="微软雅黑" w:cs="微软雅黑"/>
          <w:sz w:val="28"/>
          <w:szCs w:val="28"/>
          <w:shd w:val="clear" w:color="auto" w:fill="FFFFFF"/>
        </w:rPr>
        <w:t>涝水防治应根据自然地理条件、涝水特点和城市可持续发展要求，统筹兼顾，科学处理上游与下游、除害与兴利、整体与局部、近期与远期等各种关系。</w:t>
      </w:r>
    </w:p>
    <w:p>
      <w:pPr>
        <w:widowControl/>
        <w:spacing w:line="360" w:lineRule="auto"/>
        <w:jc w:val="left"/>
        <w:rPr>
          <w:rFonts w:asciiTheme="minorEastAsia" w:hAnsiTheme="minorEastAsia" w:eastAsiaTheme="minorEastAsia"/>
          <w:sz w:val="28"/>
          <w:szCs w:val="28"/>
          <w:shd w:val="clear" w:color="auto" w:fill="FFFFFF"/>
        </w:rPr>
      </w:pPr>
    </w:p>
    <w:p>
      <w:pPr>
        <w:widowControl/>
        <w:spacing w:line="360" w:lineRule="auto"/>
        <w:jc w:val="left"/>
        <w:rPr>
          <w:rFonts w:asciiTheme="minorEastAsia" w:hAnsiTheme="minorEastAsia" w:eastAsiaTheme="minorEastAsia"/>
          <w:sz w:val="28"/>
          <w:szCs w:val="28"/>
          <w:shd w:val="clear" w:color="auto" w:fill="FFFFFF"/>
        </w:rPr>
      </w:pPr>
      <w:r>
        <w:rPr>
          <w:rFonts w:hint="eastAsia" w:asciiTheme="minorEastAsia" w:hAnsiTheme="minorEastAsia" w:eastAsiaTheme="minorEastAsia"/>
          <w:b/>
          <w:sz w:val="28"/>
          <w:szCs w:val="28"/>
          <w:shd w:val="clear" w:color="auto" w:fill="FFFFFF"/>
        </w:rPr>
        <w:t>7</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3</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 xml:space="preserve">2 </w:t>
      </w:r>
      <w:r>
        <w:rPr>
          <w:rFonts w:hint="eastAsia" w:asciiTheme="minorEastAsia" w:hAnsiTheme="minorEastAsia" w:eastAsiaTheme="minorEastAsia"/>
          <w:bCs/>
          <w:sz w:val="28"/>
          <w:szCs w:val="28"/>
          <w:shd w:val="clear" w:color="auto" w:fill="FFFFFF"/>
        </w:rPr>
        <w:t>防洪排涝工程设计，应分别计算设计流量、时段水量及洪涝过程线。河道达到一定长度的，宜选定某个控制断面作为设计断面，进行设计洪水计算。城市防洪建筑物选型宜由洪峰流量起控制作用。</w:t>
      </w:r>
    </w:p>
    <w:p>
      <w:pPr>
        <w:autoSpaceDE w:val="0"/>
        <w:autoSpaceDN w:val="0"/>
        <w:adjustRightInd w:val="0"/>
        <w:spacing w:line="360" w:lineRule="auto"/>
        <w:jc w:val="left"/>
        <w:rPr>
          <w:rFonts w:ascii="微软雅黑" w:hAnsi="微软雅黑" w:eastAsia="微软雅黑" w:cs="微软雅黑"/>
          <w:sz w:val="28"/>
          <w:szCs w:val="28"/>
          <w:shd w:val="clear" w:color="auto" w:fill="FFFFFF"/>
        </w:rPr>
      </w:pPr>
      <w:r>
        <w:rPr>
          <w:rFonts w:hint="eastAsia" w:ascii="微软雅黑" w:hAnsi="微软雅黑" w:eastAsia="微软雅黑" w:cs="微软雅黑"/>
          <w:sz w:val="28"/>
          <w:szCs w:val="28"/>
          <w:shd w:val="clear" w:color="auto" w:fill="FFFFFF"/>
        </w:rPr>
        <w:t>【条文说明】</w:t>
      </w:r>
      <w:r>
        <w:rPr>
          <w:rFonts w:hint="eastAsia" w:ascii="微软雅黑" w:hAnsi="微软雅黑" w:eastAsia="微软雅黑" w:cs="微软雅黑"/>
          <w:b/>
          <w:bCs/>
          <w:sz w:val="28"/>
          <w:szCs w:val="28"/>
          <w:shd w:val="clear" w:color="auto" w:fill="FFFFFF"/>
        </w:rPr>
        <w:t xml:space="preserve">7.3.2 </w:t>
      </w:r>
      <w:r>
        <w:rPr>
          <w:rFonts w:hint="eastAsia" w:ascii="微软雅黑" w:hAnsi="微软雅黑" w:eastAsia="微软雅黑" w:cs="微软雅黑"/>
          <w:sz w:val="28"/>
          <w:szCs w:val="28"/>
          <w:shd w:val="clear" w:color="auto" w:fill="FFFFFF"/>
        </w:rPr>
        <w:t>一般先计算设计洪水流量，再用水位流量关系法或推水面线方法，最终确定设计洪水位。不宜通过洪水位频率曲线外延推求稀遇标准的设计洪水位。</w:t>
      </w:r>
    </w:p>
    <w:p>
      <w:pPr>
        <w:widowControl/>
        <w:spacing w:line="360" w:lineRule="auto"/>
        <w:jc w:val="left"/>
        <w:rPr>
          <w:rFonts w:asciiTheme="minorEastAsia" w:hAnsiTheme="minorEastAsia" w:eastAsiaTheme="minorEastAsia"/>
          <w:b/>
          <w:sz w:val="28"/>
          <w:szCs w:val="28"/>
          <w:shd w:val="clear" w:color="auto" w:fill="FFFFFF"/>
        </w:rPr>
      </w:pPr>
      <w:r>
        <w:rPr>
          <w:rFonts w:hint="eastAsia" w:asciiTheme="minorEastAsia" w:hAnsiTheme="minorEastAsia" w:eastAsiaTheme="minorEastAsia"/>
          <w:b/>
          <w:sz w:val="28"/>
          <w:szCs w:val="28"/>
          <w:shd w:val="clear" w:color="auto" w:fill="FFFFFF"/>
        </w:rPr>
        <w:t>7</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3</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3</w:t>
      </w:r>
      <w:r>
        <w:rPr>
          <w:rFonts w:asciiTheme="minorEastAsia" w:hAnsiTheme="minorEastAsia" w:eastAsiaTheme="minorEastAsia"/>
          <w:b/>
          <w:sz w:val="28"/>
          <w:szCs w:val="28"/>
          <w:shd w:val="clear" w:color="auto" w:fill="FFFFFF"/>
        </w:rPr>
        <w:t xml:space="preserve"> </w:t>
      </w:r>
      <w:r>
        <w:rPr>
          <w:rFonts w:asciiTheme="minorEastAsia" w:hAnsiTheme="minorEastAsia" w:eastAsiaTheme="minorEastAsia"/>
          <w:sz w:val="28"/>
          <w:szCs w:val="28"/>
          <w:shd w:val="clear" w:color="auto" w:fill="FFFFFF"/>
        </w:rPr>
        <w:t>汇流计算</w:t>
      </w:r>
      <w:r>
        <w:rPr>
          <w:rFonts w:hint="eastAsia" w:asciiTheme="minorEastAsia" w:hAnsiTheme="minorEastAsia" w:eastAsiaTheme="minorEastAsia"/>
          <w:sz w:val="28"/>
          <w:szCs w:val="28"/>
          <w:shd w:val="clear" w:color="auto" w:fill="FFFFFF"/>
        </w:rPr>
        <w:t>，一般</w:t>
      </w:r>
      <w:r>
        <w:rPr>
          <w:rFonts w:asciiTheme="minorEastAsia" w:hAnsiTheme="minorEastAsia" w:eastAsiaTheme="minorEastAsia"/>
          <w:sz w:val="28"/>
          <w:szCs w:val="28"/>
          <w:shd w:val="clear" w:color="auto" w:fill="FFFFFF"/>
        </w:rPr>
        <w:t>应采用等流时线等方法</w:t>
      </w:r>
      <w:r>
        <w:rPr>
          <w:rFonts w:hint="eastAsia" w:asciiTheme="minorEastAsia" w:hAnsiTheme="minorEastAsia" w:eastAsiaTheme="minorEastAsia"/>
          <w:sz w:val="28"/>
          <w:szCs w:val="28"/>
          <w:shd w:val="clear" w:color="auto" w:fill="FFFFFF"/>
        </w:rPr>
        <w:t>。</w:t>
      </w:r>
      <w:r>
        <w:rPr>
          <w:rFonts w:asciiTheme="minorEastAsia" w:hAnsiTheme="minorEastAsia" w:eastAsiaTheme="minorEastAsia"/>
          <w:sz w:val="28"/>
          <w:szCs w:val="28"/>
          <w:shd w:val="clear" w:color="auto" w:fill="FFFFFF"/>
        </w:rPr>
        <w:t>当资料条件具备时</w:t>
      </w:r>
      <w:r>
        <w:rPr>
          <w:rFonts w:hint="eastAsia" w:asciiTheme="minorEastAsia" w:hAnsiTheme="minorEastAsia" w:eastAsiaTheme="minorEastAsia"/>
          <w:sz w:val="28"/>
          <w:szCs w:val="28"/>
          <w:shd w:val="clear" w:color="auto" w:fill="FFFFFF"/>
        </w:rPr>
        <w:t>，</w:t>
      </w:r>
      <w:r>
        <w:rPr>
          <w:rFonts w:asciiTheme="minorEastAsia" w:hAnsiTheme="minorEastAsia" w:eastAsiaTheme="minorEastAsia"/>
          <w:sz w:val="28"/>
          <w:szCs w:val="28"/>
          <w:shd w:val="clear" w:color="auto" w:fill="FFFFFF"/>
        </w:rPr>
        <w:t>也可采用数学模型进行计算</w:t>
      </w:r>
      <w:r>
        <w:rPr>
          <w:rFonts w:hint="eastAsia" w:asciiTheme="minorEastAsia" w:hAnsiTheme="minorEastAsia" w:eastAsiaTheme="minorEastAsia"/>
          <w:sz w:val="28"/>
          <w:szCs w:val="28"/>
          <w:shd w:val="clear" w:color="auto" w:fill="FFFFFF"/>
        </w:rPr>
        <w:t>。</w:t>
      </w:r>
    </w:p>
    <w:p>
      <w:pPr>
        <w:widowControl/>
        <w:spacing w:line="360" w:lineRule="auto"/>
        <w:jc w:val="left"/>
        <w:rPr>
          <w:rFonts w:asciiTheme="minorEastAsia" w:hAnsiTheme="minorEastAsia" w:eastAsiaTheme="minorEastAsia"/>
          <w:sz w:val="28"/>
          <w:szCs w:val="28"/>
          <w:shd w:val="clear" w:color="auto" w:fill="FFFFFF"/>
        </w:rPr>
      </w:pPr>
      <w:r>
        <w:rPr>
          <w:rFonts w:hint="eastAsia" w:asciiTheme="minorEastAsia" w:hAnsiTheme="minorEastAsia" w:eastAsiaTheme="minorEastAsia"/>
          <w:b/>
          <w:sz w:val="28"/>
          <w:szCs w:val="28"/>
          <w:shd w:val="clear" w:color="auto" w:fill="FFFFFF"/>
        </w:rPr>
        <w:t>7</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3</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4</w:t>
      </w:r>
      <w:r>
        <w:rPr>
          <w:rFonts w:asciiTheme="minorEastAsia" w:hAnsiTheme="minorEastAsia" w:eastAsiaTheme="minorEastAsia"/>
          <w:b/>
          <w:sz w:val="28"/>
          <w:szCs w:val="28"/>
          <w:shd w:val="clear" w:color="auto" w:fill="FFFFFF"/>
        </w:rPr>
        <w:t xml:space="preserve"> </w:t>
      </w:r>
      <w:r>
        <w:rPr>
          <w:rFonts w:asciiTheme="minorEastAsia" w:hAnsiTheme="minorEastAsia" w:eastAsiaTheme="minorEastAsia"/>
          <w:sz w:val="28"/>
          <w:szCs w:val="28"/>
          <w:shd w:val="clear" w:color="auto" w:fill="FFFFFF"/>
        </w:rPr>
        <w:t>洪水防治</w:t>
      </w:r>
      <w:r>
        <w:rPr>
          <w:rFonts w:hint="eastAsia" w:asciiTheme="minorEastAsia" w:hAnsiTheme="minorEastAsia" w:eastAsiaTheme="minorEastAsia"/>
          <w:sz w:val="28"/>
          <w:szCs w:val="28"/>
          <w:shd w:val="clear" w:color="auto" w:fill="FFFFFF"/>
        </w:rPr>
        <w:t>，</w:t>
      </w:r>
      <w:r>
        <w:rPr>
          <w:rFonts w:asciiTheme="minorEastAsia" w:hAnsiTheme="minorEastAsia" w:eastAsiaTheme="minorEastAsia"/>
          <w:sz w:val="28"/>
          <w:szCs w:val="28"/>
          <w:shd w:val="clear" w:color="auto" w:fill="FFFFFF"/>
        </w:rPr>
        <w:t>应分析城市发展建设对河道行洪能力和洪水位</w:t>
      </w:r>
      <w:r>
        <w:rPr>
          <w:rFonts w:hint="eastAsia" w:asciiTheme="minorEastAsia" w:hAnsiTheme="minorEastAsia" w:eastAsiaTheme="minorEastAsia"/>
          <w:sz w:val="28"/>
          <w:szCs w:val="28"/>
          <w:shd w:val="clear" w:color="auto" w:fill="FFFFFF"/>
        </w:rPr>
        <w:t>的</w:t>
      </w:r>
      <w:r>
        <w:rPr>
          <w:rFonts w:asciiTheme="minorEastAsia" w:hAnsiTheme="minorEastAsia" w:eastAsiaTheme="minorEastAsia"/>
          <w:sz w:val="28"/>
          <w:szCs w:val="28"/>
          <w:shd w:val="clear" w:color="auto" w:fill="FFFFFF"/>
        </w:rPr>
        <w:t>影响</w:t>
      </w:r>
      <w:r>
        <w:rPr>
          <w:rFonts w:hint="eastAsia" w:asciiTheme="minorEastAsia" w:hAnsiTheme="minorEastAsia" w:eastAsiaTheme="minorEastAsia"/>
          <w:sz w:val="28"/>
          <w:szCs w:val="28"/>
          <w:shd w:val="clear" w:color="auto" w:fill="FFFFFF"/>
        </w:rPr>
        <w:t>。</w:t>
      </w:r>
    </w:p>
    <w:p>
      <w:pPr>
        <w:widowControl/>
        <w:spacing w:line="360" w:lineRule="auto"/>
        <w:jc w:val="left"/>
        <w:rPr>
          <w:rFonts w:asciiTheme="minorEastAsia" w:hAnsiTheme="minorEastAsia" w:eastAsiaTheme="minorEastAsia"/>
          <w:bCs/>
          <w:sz w:val="28"/>
          <w:szCs w:val="28"/>
          <w:shd w:val="clear" w:color="auto" w:fill="FFFFFF"/>
        </w:rPr>
      </w:pPr>
      <w:r>
        <w:rPr>
          <w:rFonts w:hint="eastAsia" w:asciiTheme="minorEastAsia" w:hAnsiTheme="minorEastAsia" w:eastAsiaTheme="minorEastAsia"/>
          <w:b/>
          <w:sz w:val="28"/>
          <w:szCs w:val="28"/>
          <w:shd w:val="clear" w:color="auto" w:fill="FFFFFF"/>
        </w:rPr>
        <w:t>7</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3</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5</w:t>
      </w:r>
      <w:r>
        <w:rPr>
          <w:rFonts w:asciiTheme="minorEastAsia" w:hAnsiTheme="minorEastAsia" w:eastAsiaTheme="minorEastAsia"/>
          <w:b/>
          <w:sz w:val="28"/>
          <w:szCs w:val="28"/>
          <w:shd w:val="clear" w:color="auto" w:fill="FFFFFF"/>
        </w:rPr>
        <w:t xml:space="preserve"> </w:t>
      </w:r>
      <w:r>
        <w:rPr>
          <w:rFonts w:asciiTheme="minorEastAsia" w:hAnsiTheme="minorEastAsia" w:eastAsiaTheme="minorEastAsia"/>
          <w:bCs/>
          <w:sz w:val="28"/>
          <w:szCs w:val="28"/>
          <w:shd w:val="clear" w:color="auto" w:fill="FFFFFF"/>
        </w:rPr>
        <w:t>山洪防治应以治沟与治坡相结合</w:t>
      </w:r>
      <w:r>
        <w:rPr>
          <w:rFonts w:hint="eastAsia" w:asciiTheme="minorEastAsia" w:hAnsiTheme="minorEastAsia" w:eastAsiaTheme="minorEastAsia"/>
          <w:bCs/>
          <w:sz w:val="28"/>
          <w:szCs w:val="28"/>
          <w:shd w:val="clear" w:color="auto" w:fill="FFFFFF"/>
        </w:rPr>
        <w:t>。治坡宜以生物措施为主，治沟宜以工程措施为主。</w:t>
      </w:r>
    </w:p>
    <w:p>
      <w:pPr>
        <w:autoSpaceDE w:val="0"/>
        <w:autoSpaceDN w:val="0"/>
        <w:adjustRightInd w:val="0"/>
        <w:spacing w:line="360" w:lineRule="auto"/>
        <w:jc w:val="left"/>
        <w:rPr>
          <w:rFonts w:asciiTheme="minorEastAsia" w:hAnsiTheme="minorEastAsia" w:eastAsiaTheme="minorEastAsia"/>
          <w:bCs/>
          <w:sz w:val="28"/>
          <w:szCs w:val="28"/>
          <w:shd w:val="clear" w:color="auto" w:fill="FFFFFF"/>
        </w:rPr>
      </w:pPr>
      <w:r>
        <w:rPr>
          <w:rFonts w:hint="eastAsia" w:ascii="微软雅黑" w:hAnsi="微软雅黑" w:eastAsia="微软雅黑" w:cs="微软雅黑"/>
          <w:sz w:val="28"/>
          <w:szCs w:val="28"/>
          <w:shd w:val="clear" w:color="auto" w:fill="FFFFFF"/>
        </w:rPr>
        <w:t>【条文说明】</w:t>
      </w:r>
      <w:r>
        <w:rPr>
          <w:rFonts w:hint="eastAsia" w:ascii="微软雅黑" w:hAnsi="微软雅黑" w:eastAsia="微软雅黑" w:cs="微软雅黑"/>
          <w:b/>
          <w:bCs/>
          <w:sz w:val="28"/>
          <w:szCs w:val="28"/>
          <w:shd w:val="clear" w:color="auto" w:fill="FFFFFF"/>
        </w:rPr>
        <w:t>7.3.5</w:t>
      </w:r>
      <w:r>
        <w:rPr>
          <w:rFonts w:hint="eastAsia" w:ascii="微软雅黑" w:hAnsi="微软雅黑" w:eastAsia="微软雅黑" w:cs="微软雅黑"/>
          <w:sz w:val="28"/>
          <w:szCs w:val="28"/>
          <w:shd w:val="clear" w:color="auto" w:fill="FFFFFF"/>
        </w:rPr>
        <w:t xml:space="preserve"> 山洪防治，旨在削减洪峰及拦截泥沙，避免洪灾损失，保卫城市安全。防洪对策，就是采用各种工程措施和生物措施，实行综合治理。实践证明，工程措施和生物措施相辅相成、缺一不可，二者应同步进行。</w:t>
      </w:r>
    </w:p>
    <w:p>
      <w:pPr>
        <w:widowControl/>
        <w:spacing w:line="360" w:lineRule="auto"/>
        <w:jc w:val="left"/>
        <w:rPr>
          <w:rFonts w:asciiTheme="minorEastAsia" w:hAnsiTheme="minorEastAsia" w:eastAsiaTheme="minorEastAsia"/>
          <w:b/>
          <w:sz w:val="28"/>
          <w:szCs w:val="28"/>
          <w:shd w:val="clear" w:color="auto" w:fill="FFFFFF"/>
        </w:rPr>
      </w:pPr>
      <w:r>
        <w:rPr>
          <w:rFonts w:hint="eastAsia" w:asciiTheme="minorEastAsia" w:hAnsiTheme="minorEastAsia" w:eastAsiaTheme="minorEastAsia"/>
          <w:b/>
          <w:sz w:val="28"/>
          <w:szCs w:val="28"/>
          <w:shd w:val="clear" w:color="auto" w:fill="FFFFFF"/>
        </w:rPr>
        <w:t>7</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3</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6</w:t>
      </w:r>
      <w:r>
        <w:rPr>
          <w:rFonts w:asciiTheme="minorEastAsia" w:hAnsiTheme="minorEastAsia" w:eastAsiaTheme="minorEastAsia"/>
          <w:b/>
          <w:sz w:val="28"/>
          <w:szCs w:val="28"/>
          <w:shd w:val="clear" w:color="auto" w:fill="FFFFFF"/>
        </w:rPr>
        <w:t xml:space="preserve"> </w:t>
      </w:r>
      <w:r>
        <w:rPr>
          <w:rFonts w:asciiTheme="minorEastAsia" w:hAnsiTheme="minorEastAsia" w:eastAsiaTheme="minorEastAsia"/>
          <w:sz w:val="28"/>
          <w:szCs w:val="28"/>
          <w:shd w:val="clear" w:color="auto" w:fill="FFFFFF"/>
        </w:rPr>
        <w:t>防潮堤防布置应与滨海市政建设相结合</w:t>
      </w:r>
      <w:r>
        <w:rPr>
          <w:rFonts w:hint="eastAsia" w:asciiTheme="minorEastAsia" w:hAnsiTheme="minorEastAsia" w:eastAsiaTheme="minorEastAsia"/>
          <w:sz w:val="28"/>
          <w:szCs w:val="28"/>
          <w:shd w:val="clear" w:color="auto" w:fill="FFFFFF"/>
        </w:rPr>
        <w:t>，</w:t>
      </w:r>
      <w:r>
        <w:rPr>
          <w:rFonts w:asciiTheme="minorEastAsia" w:hAnsiTheme="minorEastAsia" w:eastAsiaTheme="minorEastAsia"/>
          <w:sz w:val="28"/>
          <w:szCs w:val="28"/>
          <w:shd w:val="clear" w:color="auto" w:fill="FFFFFF"/>
        </w:rPr>
        <w:t>与城市海滨环境</w:t>
      </w:r>
      <w:r>
        <w:rPr>
          <w:rFonts w:hint="eastAsia" w:asciiTheme="minorEastAsia" w:hAnsiTheme="minorEastAsia" w:eastAsiaTheme="minorEastAsia"/>
          <w:sz w:val="28"/>
          <w:szCs w:val="28"/>
          <w:shd w:val="clear" w:color="auto" w:fill="FFFFFF"/>
        </w:rPr>
        <w:t>相</w:t>
      </w:r>
      <w:r>
        <w:rPr>
          <w:rFonts w:asciiTheme="minorEastAsia" w:hAnsiTheme="minorEastAsia" w:eastAsiaTheme="minorEastAsia"/>
          <w:sz w:val="28"/>
          <w:szCs w:val="28"/>
          <w:shd w:val="clear" w:color="auto" w:fill="FFFFFF"/>
        </w:rPr>
        <w:t>协调</w:t>
      </w:r>
      <w:r>
        <w:rPr>
          <w:rFonts w:hint="eastAsia" w:asciiTheme="minorEastAsia" w:hAnsiTheme="minorEastAsia" w:eastAsiaTheme="minorEastAsia"/>
          <w:sz w:val="28"/>
          <w:szCs w:val="28"/>
          <w:shd w:val="clear" w:color="auto" w:fill="FFFFFF"/>
        </w:rPr>
        <w:t>，</w:t>
      </w:r>
      <w:r>
        <w:rPr>
          <w:rFonts w:asciiTheme="minorEastAsia" w:hAnsiTheme="minorEastAsia" w:eastAsiaTheme="minorEastAsia"/>
          <w:sz w:val="28"/>
          <w:szCs w:val="28"/>
          <w:shd w:val="clear" w:color="auto" w:fill="FFFFFF"/>
        </w:rPr>
        <w:t>与滩涂开发利用相适应</w:t>
      </w:r>
      <w:r>
        <w:rPr>
          <w:rFonts w:hint="eastAsia" w:asciiTheme="minorEastAsia" w:hAnsiTheme="minorEastAsia" w:eastAsiaTheme="minorEastAsia"/>
          <w:sz w:val="28"/>
          <w:szCs w:val="28"/>
          <w:shd w:val="clear" w:color="auto" w:fill="FFFFFF"/>
        </w:rPr>
        <w:t>。</w:t>
      </w:r>
    </w:p>
    <w:p>
      <w:pPr>
        <w:widowControl/>
        <w:spacing w:line="360" w:lineRule="auto"/>
        <w:jc w:val="left"/>
        <w:rPr>
          <w:rFonts w:asciiTheme="minorEastAsia" w:hAnsiTheme="minorEastAsia" w:eastAsiaTheme="minorEastAsia"/>
          <w:b/>
          <w:sz w:val="28"/>
          <w:szCs w:val="28"/>
          <w:shd w:val="clear" w:color="auto" w:fill="FFFFFF"/>
        </w:rPr>
      </w:pPr>
      <w:r>
        <w:rPr>
          <w:rFonts w:hint="eastAsia" w:asciiTheme="minorEastAsia" w:hAnsiTheme="minorEastAsia" w:eastAsiaTheme="minorEastAsia"/>
          <w:b/>
          <w:sz w:val="28"/>
          <w:szCs w:val="28"/>
          <w:shd w:val="clear" w:color="auto" w:fill="FFFFFF"/>
        </w:rPr>
        <w:t>7</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3</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 xml:space="preserve">7 </w:t>
      </w:r>
      <w:r>
        <w:rPr>
          <w:rFonts w:hint="eastAsia" w:asciiTheme="minorEastAsia" w:hAnsiTheme="minorEastAsia" w:eastAsiaTheme="minorEastAsia"/>
          <w:sz w:val="28"/>
          <w:szCs w:val="28"/>
          <w:shd w:val="clear" w:color="auto" w:fill="FFFFFF"/>
        </w:rPr>
        <w:t>水工建筑物外观轮廓、装饰及基地建设，应与城市建筑风格和整体环境相融合，实现生态保护和景观美化。</w:t>
      </w:r>
    </w:p>
    <w:p>
      <w:pPr>
        <w:widowControl/>
        <w:spacing w:line="360" w:lineRule="auto"/>
        <w:jc w:val="left"/>
        <w:rPr>
          <w:rFonts w:asciiTheme="minorEastAsia" w:hAnsiTheme="minorEastAsia" w:eastAsiaTheme="minorEastAsia"/>
          <w:sz w:val="28"/>
          <w:szCs w:val="28"/>
          <w:shd w:val="clear" w:color="auto" w:fill="FFFFFF"/>
        </w:rPr>
      </w:pPr>
      <w:r>
        <w:rPr>
          <w:rFonts w:hint="eastAsia" w:asciiTheme="minorEastAsia" w:hAnsiTheme="minorEastAsia" w:eastAsiaTheme="minorEastAsia"/>
          <w:b/>
          <w:sz w:val="28"/>
          <w:szCs w:val="28"/>
          <w:shd w:val="clear" w:color="auto" w:fill="FFFFFF"/>
        </w:rPr>
        <w:t>7</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3</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8</w:t>
      </w:r>
      <w:r>
        <w:rPr>
          <w:rFonts w:asciiTheme="minorEastAsia" w:hAnsiTheme="minorEastAsia" w:eastAsiaTheme="minorEastAsia"/>
          <w:b/>
          <w:sz w:val="28"/>
          <w:szCs w:val="28"/>
          <w:shd w:val="clear" w:color="auto" w:fill="FFFFFF"/>
        </w:rPr>
        <w:t xml:space="preserve"> </w:t>
      </w:r>
      <w:r>
        <w:rPr>
          <w:rFonts w:asciiTheme="minorEastAsia" w:hAnsiTheme="minorEastAsia" w:eastAsiaTheme="minorEastAsia"/>
          <w:color w:val="000000" w:themeColor="text1"/>
          <w:sz w:val="28"/>
          <w:szCs w:val="28"/>
          <w:shd w:val="clear" w:color="auto" w:fill="FFFFFF"/>
        </w:rPr>
        <w:t>与堤防</w:t>
      </w:r>
      <w:r>
        <w:rPr>
          <w:rFonts w:hint="eastAsia" w:asciiTheme="minorEastAsia" w:hAnsiTheme="minorEastAsia" w:eastAsiaTheme="minorEastAsia"/>
          <w:color w:val="000000" w:themeColor="text1"/>
          <w:sz w:val="28"/>
          <w:szCs w:val="28"/>
          <w:shd w:val="clear" w:color="auto" w:fill="FFFFFF"/>
        </w:rPr>
        <w:t>等</w:t>
      </w:r>
      <w:r>
        <w:rPr>
          <w:rFonts w:asciiTheme="minorEastAsia" w:hAnsiTheme="minorEastAsia" w:eastAsiaTheme="minorEastAsia"/>
          <w:color w:val="000000" w:themeColor="text1"/>
          <w:sz w:val="28"/>
          <w:szCs w:val="28"/>
          <w:shd w:val="clear" w:color="auto" w:fill="FFFFFF"/>
        </w:rPr>
        <w:t>城市防洪设施</w:t>
      </w:r>
      <w:r>
        <w:rPr>
          <w:rFonts w:hint="eastAsia" w:asciiTheme="minorEastAsia" w:hAnsiTheme="minorEastAsia" w:eastAsiaTheme="minorEastAsia"/>
          <w:color w:val="000000" w:themeColor="text1"/>
          <w:sz w:val="28"/>
          <w:szCs w:val="28"/>
          <w:shd w:val="clear" w:color="auto" w:fill="FFFFFF"/>
        </w:rPr>
        <w:t>交叉</w:t>
      </w:r>
      <w:r>
        <w:rPr>
          <w:rFonts w:asciiTheme="minorEastAsia" w:hAnsiTheme="minorEastAsia" w:eastAsiaTheme="minorEastAsia"/>
          <w:color w:val="000000" w:themeColor="text1"/>
          <w:sz w:val="28"/>
          <w:szCs w:val="28"/>
          <w:shd w:val="clear" w:color="auto" w:fill="FFFFFF"/>
        </w:rPr>
        <w:t>的建</w:t>
      </w:r>
      <w:r>
        <w:rPr>
          <w:rFonts w:hint="eastAsia" w:asciiTheme="minorEastAsia" w:hAnsiTheme="minorEastAsia" w:eastAsiaTheme="minorEastAsia"/>
          <w:color w:val="000000" w:themeColor="text1"/>
          <w:sz w:val="28"/>
          <w:szCs w:val="28"/>
          <w:shd w:val="clear" w:color="auto" w:fill="FFFFFF"/>
        </w:rPr>
        <w:t>（构）</w:t>
      </w:r>
      <w:r>
        <w:rPr>
          <w:rFonts w:asciiTheme="minorEastAsia" w:hAnsiTheme="minorEastAsia" w:eastAsiaTheme="minorEastAsia"/>
          <w:color w:val="000000" w:themeColor="text1"/>
          <w:sz w:val="28"/>
          <w:szCs w:val="28"/>
          <w:shd w:val="clear" w:color="auto" w:fill="FFFFFF"/>
        </w:rPr>
        <w:t>筑物</w:t>
      </w:r>
      <w:r>
        <w:rPr>
          <w:rFonts w:hint="eastAsia" w:asciiTheme="minorEastAsia" w:hAnsiTheme="minorEastAsia" w:eastAsiaTheme="minorEastAsia"/>
          <w:color w:val="000000" w:themeColor="text1"/>
          <w:sz w:val="28"/>
          <w:szCs w:val="28"/>
          <w:shd w:val="clear" w:color="auto" w:fill="FFFFFF"/>
        </w:rPr>
        <w:t>的</w:t>
      </w:r>
      <w:r>
        <w:rPr>
          <w:rFonts w:asciiTheme="minorEastAsia" w:hAnsiTheme="minorEastAsia" w:eastAsiaTheme="minorEastAsia"/>
          <w:color w:val="000000" w:themeColor="text1"/>
          <w:sz w:val="28"/>
          <w:szCs w:val="28"/>
          <w:shd w:val="clear" w:color="auto" w:fill="FFFFFF"/>
        </w:rPr>
        <w:t>建设</w:t>
      </w:r>
      <w:r>
        <w:rPr>
          <w:rFonts w:hint="eastAsia" w:asciiTheme="minorEastAsia" w:hAnsiTheme="minorEastAsia" w:eastAsiaTheme="minorEastAsia"/>
          <w:color w:val="000000" w:themeColor="text1"/>
          <w:sz w:val="28"/>
          <w:szCs w:val="28"/>
          <w:shd w:val="clear" w:color="auto" w:fill="FFFFFF"/>
        </w:rPr>
        <w:t>，</w:t>
      </w:r>
      <w:r>
        <w:rPr>
          <w:rFonts w:asciiTheme="minorEastAsia" w:hAnsiTheme="minorEastAsia" w:eastAsiaTheme="minorEastAsia"/>
          <w:color w:val="000000" w:themeColor="text1"/>
          <w:sz w:val="28"/>
          <w:szCs w:val="28"/>
          <w:shd w:val="clear" w:color="auto" w:fill="FFFFFF"/>
        </w:rPr>
        <w:t>不得影响防洪安全</w:t>
      </w:r>
      <w:r>
        <w:rPr>
          <w:rFonts w:hint="eastAsia" w:asciiTheme="minorEastAsia" w:hAnsiTheme="minorEastAsia" w:eastAsiaTheme="minorEastAsia"/>
          <w:color w:val="000000" w:themeColor="text1"/>
          <w:sz w:val="28"/>
          <w:szCs w:val="28"/>
          <w:shd w:val="clear" w:color="auto" w:fill="FFFFFF"/>
        </w:rPr>
        <w:t>、</w:t>
      </w:r>
      <w:r>
        <w:rPr>
          <w:rFonts w:asciiTheme="minorEastAsia" w:hAnsiTheme="minorEastAsia" w:eastAsiaTheme="minorEastAsia"/>
          <w:color w:val="000000" w:themeColor="text1"/>
          <w:sz w:val="28"/>
          <w:szCs w:val="28"/>
          <w:shd w:val="clear" w:color="auto" w:fill="FFFFFF"/>
        </w:rPr>
        <w:t>运用和管理</w:t>
      </w:r>
      <w:r>
        <w:rPr>
          <w:rFonts w:hint="eastAsia" w:asciiTheme="minorEastAsia" w:hAnsiTheme="minorEastAsia" w:eastAsiaTheme="minorEastAsia"/>
          <w:color w:val="000000" w:themeColor="text1"/>
          <w:sz w:val="28"/>
          <w:szCs w:val="28"/>
          <w:shd w:val="clear" w:color="auto" w:fill="FFFFFF"/>
        </w:rPr>
        <w:t>。</w:t>
      </w:r>
    </w:p>
    <w:p>
      <w:pPr>
        <w:pStyle w:val="3"/>
        <w:rPr>
          <w:kern w:val="0"/>
        </w:rPr>
      </w:pPr>
      <w:bookmarkStart w:id="80" w:name="_Toc5532"/>
      <w:bookmarkStart w:id="81" w:name="_Toc16011"/>
      <w:r>
        <w:rPr>
          <w:rFonts w:hint="eastAsia"/>
          <w:kern w:val="0"/>
        </w:rPr>
        <w:t>7</w:t>
      </w:r>
      <w:r>
        <w:rPr>
          <w:kern w:val="0"/>
        </w:rPr>
        <w:t>.</w:t>
      </w:r>
      <w:r>
        <w:rPr>
          <w:rFonts w:hint="eastAsia"/>
          <w:kern w:val="0"/>
        </w:rPr>
        <w:t>4水土保持</w:t>
      </w:r>
      <w:bookmarkEnd w:id="80"/>
      <w:r>
        <w:rPr>
          <w:rFonts w:hint="eastAsia"/>
          <w:kern w:val="0"/>
        </w:rPr>
        <w:t>设计</w:t>
      </w:r>
      <w:bookmarkEnd w:id="81"/>
    </w:p>
    <w:p>
      <w:pPr>
        <w:widowControl/>
        <w:spacing w:line="360" w:lineRule="auto"/>
        <w:jc w:val="left"/>
        <w:rPr>
          <w:rFonts w:asciiTheme="minorEastAsia" w:hAnsiTheme="minorEastAsia" w:eastAsiaTheme="minorEastAsia"/>
          <w:b/>
          <w:sz w:val="28"/>
          <w:szCs w:val="28"/>
          <w:shd w:val="clear" w:color="auto" w:fill="FFFFFF"/>
        </w:rPr>
      </w:pPr>
      <w:bookmarkStart w:id="82" w:name="_Toc513047006"/>
      <w:bookmarkStart w:id="83" w:name="_Toc513045149"/>
      <w:bookmarkStart w:id="84" w:name="_Toc513045387"/>
      <w:bookmarkStart w:id="85" w:name="_Toc513975307"/>
      <w:bookmarkStart w:id="86" w:name="_Toc513975454"/>
      <w:bookmarkStart w:id="87" w:name="_Toc440460644"/>
      <w:bookmarkStart w:id="88" w:name="_Toc446665343"/>
      <w:bookmarkStart w:id="89" w:name="_Toc440461042"/>
      <w:bookmarkStart w:id="90" w:name="_Toc441829299"/>
      <w:bookmarkStart w:id="91" w:name="_Toc441851471"/>
      <w:bookmarkStart w:id="92" w:name="_Toc441162658"/>
      <w:bookmarkStart w:id="93" w:name="_Toc440986238"/>
      <w:bookmarkStart w:id="94" w:name="_Toc439944887"/>
      <w:bookmarkStart w:id="95" w:name="_Toc447094084"/>
      <w:bookmarkStart w:id="96" w:name="_Toc441563713"/>
      <w:bookmarkStart w:id="97" w:name="_Toc442168776"/>
      <w:bookmarkStart w:id="98" w:name="_Toc439944429"/>
      <w:bookmarkStart w:id="99" w:name="_Toc442083426"/>
      <w:bookmarkStart w:id="100" w:name="_Toc439945014"/>
      <w:bookmarkStart w:id="101" w:name="_Toc444597946"/>
      <w:bookmarkStart w:id="102" w:name="_Toc500412288"/>
      <w:r>
        <w:rPr>
          <w:rFonts w:hint="eastAsia" w:asciiTheme="minorEastAsia" w:hAnsiTheme="minorEastAsia" w:eastAsiaTheme="minorEastAsia"/>
          <w:b/>
          <w:sz w:val="28"/>
          <w:szCs w:val="28"/>
          <w:shd w:val="clear" w:color="auto" w:fill="FFFFFF"/>
        </w:rPr>
        <w:t>7</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 xml:space="preserve">4.1 </w:t>
      </w:r>
      <w:r>
        <w:rPr>
          <w:rFonts w:hint="eastAsia" w:asciiTheme="minorEastAsia" w:hAnsiTheme="minorEastAsia" w:eastAsiaTheme="minorEastAsia"/>
          <w:bCs/>
          <w:sz w:val="28"/>
          <w:szCs w:val="28"/>
          <w:shd w:val="clear" w:color="auto" w:fill="FFFFFF"/>
        </w:rPr>
        <w:t>建设工程项目应根据表7.4.1所示水土流失隐患风险等级</w:t>
      </w:r>
      <w:bookmarkEnd w:id="82"/>
      <w:bookmarkEnd w:id="83"/>
      <w:bookmarkEnd w:id="84"/>
      <w:bookmarkEnd w:id="85"/>
      <w:bookmarkEnd w:id="86"/>
      <w:r>
        <w:rPr>
          <w:rFonts w:hint="eastAsia" w:asciiTheme="minorEastAsia" w:hAnsiTheme="minorEastAsia" w:eastAsiaTheme="minorEastAsia"/>
          <w:bCs/>
          <w:sz w:val="28"/>
          <w:szCs w:val="28"/>
          <w:shd w:val="clear" w:color="auto" w:fill="FFFFFF"/>
        </w:rPr>
        <w:t>，进行其施工期间临时水土保持设计</w:t>
      </w:r>
      <w:r>
        <w:rPr>
          <w:rFonts w:asciiTheme="minorEastAsia" w:hAnsiTheme="minorEastAsia" w:eastAsiaTheme="minorEastAsia"/>
          <w:bCs/>
          <w:sz w:val="28"/>
          <w:szCs w:val="28"/>
          <w:shd w:val="clear" w:color="auto" w:fill="FFFFFF"/>
        </w:rPr>
        <w:t>。</w:t>
      </w:r>
    </w:p>
    <w:p>
      <w:pPr>
        <w:widowControl/>
        <w:spacing w:line="360" w:lineRule="auto"/>
        <w:ind w:firstLine="1325" w:firstLineChars="550"/>
        <w:jc w:val="left"/>
        <w:rPr>
          <w:rFonts w:asciiTheme="minorEastAsia" w:hAnsiTheme="minorEastAsia" w:eastAsiaTheme="minorEastAsia"/>
          <w:b/>
          <w:bCs/>
          <w:sz w:val="24"/>
          <w:shd w:val="clear" w:color="auto" w:fill="FFFFFF"/>
        </w:rPr>
      </w:pPr>
      <w:r>
        <w:rPr>
          <w:rFonts w:hint="eastAsia" w:asciiTheme="minorEastAsia" w:hAnsiTheme="minorEastAsia" w:eastAsiaTheme="minorEastAsia"/>
          <w:b/>
          <w:sz w:val="24"/>
          <w:shd w:val="clear" w:color="auto" w:fill="FFFFFF"/>
        </w:rPr>
        <w:t>表7.4.1  建设工程项目水土流失隐患风险等级划分表</w:t>
      </w:r>
    </w:p>
    <w:tbl>
      <w:tblPr>
        <w:tblStyle w:val="50"/>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1445"/>
        <w:gridCol w:w="1985"/>
        <w:gridCol w:w="1618"/>
        <w:gridCol w:w="1567"/>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714" w:type="dxa"/>
            <w:vMerge w:val="restart"/>
            <w:tcBorders>
              <w:top w:val="single" w:color="auto" w:sz="8" w:space="0"/>
              <w:left w:val="single" w:color="auto" w:sz="8" w:space="0"/>
              <w:tl2br w:val="single" w:color="auto" w:sz="4" w:space="0"/>
            </w:tcBorders>
            <w:vAlign w:val="center"/>
          </w:tcPr>
          <w:p>
            <w:pPr>
              <w:adjustRightInd w:val="0"/>
              <w:snapToGrid w:val="0"/>
              <w:spacing w:line="360" w:lineRule="auto"/>
              <w:ind w:right="-59" w:rightChars="-28"/>
              <w:jc w:val="right"/>
              <w:rPr>
                <w:rFonts w:ascii="宋体" w:hAnsi="宋体"/>
                <w:sz w:val="18"/>
                <w:szCs w:val="18"/>
              </w:rPr>
            </w:pPr>
            <w:r>
              <w:rPr>
                <w:rFonts w:hint="eastAsia" w:ascii="宋体" w:hAnsi="宋体"/>
                <w:sz w:val="18"/>
                <w:szCs w:val="18"/>
              </w:rPr>
              <w:t>因子及赋值</w:t>
            </w:r>
          </w:p>
          <w:p>
            <w:pPr>
              <w:adjustRightInd w:val="0"/>
              <w:snapToGrid w:val="0"/>
              <w:spacing w:line="360" w:lineRule="auto"/>
              <w:ind w:right="105" w:rightChars="50"/>
              <w:jc w:val="left"/>
              <w:rPr>
                <w:rFonts w:ascii="宋体" w:hAnsi="宋体"/>
                <w:sz w:val="18"/>
                <w:szCs w:val="18"/>
              </w:rPr>
            </w:pPr>
            <w:r>
              <w:rPr>
                <w:rFonts w:hint="eastAsia" w:ascii="宋体" w:hAnsi="宋体"/>
                <w:sz w:val="18"/>
                <w:szCs w:val="18"/>
              </w:rPr>
              <w:t>等级</w:t>
            </w:r>
          </w:p>
        </w:tc>
        <w:tc>
          <w:tcPr>
            <w:tcW w:w="1445" w:type="dxa"/>
            <w:vMerge w:val="restart"/>
            <w:tcBorders>
              <w:top w:val="single" w:color="auto" w:sz="8" w:space="0"/>
            </w:tcBorders>
            <w:vAlign w:val="center"/>
          </w:tcPr>
          <w:p>
            <w:pPr>
              <w:adjustRightInd w:val="0"/>
              <w:snapToGrid w:val="0"/>
              <w:spacing w:line="360" w:lineRule="auto"/>
              <w:ind w:right="105" w:rightChars="50"/>
              <w:jc w:val="center"/>
              <w:rPr>
                <w:rFonts w:ascii="宋体" w:hAnsi="宋体"/>
                <w:sz w:val="18"/>
                <w:szCs w:val="18"/>
              </w:rPr>
            </w:pPr>
            <w:r>
              <w:rPr>
                <w:rFonts w:hint="eastAsia" w:ascii="宋体" w:hAnsi="宋体"/>
                <w:sz w:val="18"/>
                <w:szCs w:val="18"/>
              </w:rPr>
              <w:t>潜在裸露地表</w:t>
            </w:r>
            <w:r>
              <w:rPr>
                <w:rFonts w:ascii="宋体" w:hAnsi="宋体"/>
                <w:sz w:val="18"/>
                <w:szCs w:val="18"/>
              </w:rPr>
              <w:t>面积</w:t>
            </w:r>
            <w:r>
              <w:rPr>
                <w:rFonts w:hint="eastAsia" w:ascii="宋体" w:hAnsi="宋体"/>
                <w:sz w:val="18"/>
                <w:szCs w:val="18"/>
              </w:rPr>
              <w:t>（hm</w:t>
            </w:r>
            <w:r>
              <w:rPr>
                <w:rFonts w:hint="eastAsia" w:ascii="宋体" w:hAnsi="宋体"/>
                <w:sz w:val="18"/>
                <w:szCs w:val="18"/>
                <w:vertAlign w:val="superscript"/>
              </w:rPr>
              <w:t>2</w:t>
            </w:r>
            <w:r>
              <w:rPr>
                <w:rFonts w:hint="eastAsia" w:ascii="宋体" w:hAnsi="宋体"/>
                <w:sz w:val="18"/>
                <w:szCs w:val="18"/>
              </w:rPr>
              <w:t>）</w:t>
            </w:r>
          </w:p>
        </w:tc>
        <w:tc>
          <w:tcPr>
            <w:tcW w:w="1985" w:type="dxa"/>
            <w:vMerge w:val="restart"/>
            <w:tcBorders>
              <w:top w:val="single" w:color="auto" w:sz="8" w:space="0"/>
            </w:tcBorders>
            <w:vAlign w:val="center"/>
          </w:tcPr>
          <w:p>
            <w:pPr>
              <w:adjustRightInd w:val="0"/>
              <w:snapToGrid w:val="0"/>
              <w:spacing w:line="360" w:lineRule="auto"/>
              <w:ind w:right="105" w:rightChars="50"/>
              <w:jc w:val="center"/>
              <w:rPr>
                <w:rFonts w:ascii="宋体" w:hAnsi="宋体"/>
                <w:sz w:val="18"/>
                <w:szCs w:val="18"/>
              </w:rPr>
            </w:pPr>
            <w:r>
              <w:rPr>
                <w:rFonts w:hint="eastAsia" w:ascii="宋体" w:hAnsi="宋体"/>
                <w:sz w:val="18"/>
                <w:szCs w:val="18"/>
              </w:rPr>
              <w:t>项目区内计划最大</w:t>
            </w:r>
            <w:r>
              <w:rPr>
                <w:rFonts w:ascii="宋体" w:hAnsi="宋体"/>
                <w:sz w:val="18"/>
                <w:szCs w:val="18"/>
              </w:rPr>
              <w:t>堆土（</w:t>
            </w:r>
            <w:r>
              <w:rPr>
                <w:rFonts w:hint="eastAsia" w:ascii="宋体" w:hAnsi="宋体"/>
                <w:sz w:val="18"/>
                <w:szCs w:val="18"/>
              </w:rPr>
              <w:t>石</w:t>
            </w:r>
            <w:r>
              <w:rPr>
                <w:rFonts w:ascii="宋体" w:hAnsi="宋体"/>
                <w:sz w:val="18"/>
                <w:szCs w:val="18"/>
              </w:rPr>
              <w:t>）量</w:t>
            </w:r>
            <w:r>
              <w:rPr>
                <w:rFonts w:hint="eastAsia" w:ascii="宋体" w:hAnsi="宋体"/>
                <w:sz w:val="18"/>
                <w:szCs w:val="18"/>
              </w:rPr>
              <w:t>（万m</w:t>
            </w:r>
            <w:r>
              <w:rPr>
                <w:rFonts w:hint="eastAsia" w:ascii="宋体" w:hAnsi="宋体"/>
                <w:sz w:val="18"/>
                <w:szCs w:val="18"/>
                <w:vertAlign w:val="superscript"/>
              </w:rPr>
              <w:t>3</w:t>
            </w:r>
            <w:r>
              <w:rPr>
                <w:rFonts w:hint="eastAsia" w:ascii="宋体" w:hAnsi="宋体"/>
                <w:sz w:val="18"/>
                <w:szCs w:val="18"/>
              </w:rPr>
              <w:t>）</w:t>
            </w:r>
          </w:p>
        </w:tc>
        <w:tc>
          <w:tcPr>
            <w:tcW w:w="1618" w:type="dxa"/>
            <w:vMerge w:val="restart"/>
            <w:tcBorders>
              <w:top w:val="single" w:color="auto" w:sz="8" w:space="0"/>
            </w:tcBorders>
            <w:vAlign w:val="center"/>
          </w:tcPr>
          <w:p>
            <w:pPr>
              <w:adjustRightInd w:val="0"/>
              <w:snapToGrid w:val="0"/>
              <w:spacing w:line="360" w:lineRule="auto"/>
              <w:ind w:right="105" w:rightChars="50"/>
              <w:jc w:val="center"/>
              <w:rPr>
                <w:rFonts w:ascii="宋体" w:hAnsi="宋体"/>
                <w:sz w:val="18"/>
                <w:szCs w:val="18"/>
              </w:rPr>
            </w:pPr>
            <w:r>
              <w:rPr>
                <w:rFonts w:hint="eastAsia" w:ascii="宋体" w:hAnsi="宋体"/>
                <w:sz w:val="18"/>
                <w:szCs w:val="18"/>
              </w:rPr>
              <w:t>项目</w:t>
            </w:r>
            <w:r>
              <w:rPr>
                <w:rFonts w:ascii="宋体" w:hAnsi="宋体"/>
                <w:sz w:val="18"/>
                <w:szCs w:val="18"/>
              </w:rPr>
              <w:t>汇水面积</w:t>
            </w:r>
          </w:p>
          <w:p>
            <w:pPr>
              <w:adjustRightInd w:val="0"/>
              <w:snapToGrid w:val="0"/>
              <w:spacing w:line="360" w:lineRule="auto"/>
              <w:ind w:right="105" w:rightChars="50"/>
              <w:jc w:val="center"/>
              <w:rPr>
                <w:rFonts w:ascii="宋体" w:hAnsi="宋体"/>
                <w:sz w:val="18"/>
                <w:szCs w:val="18"/>
              </w:rPr>
            </w:pPr>
            <w:r>
              <w:rPr>
                <w:rFonts w:hint="eastAsia" w:ascii="宋体" w:hAnsi="宋体"/>
                <w:sz w:val="18"/>
                <w:szCs w:val="18"/>
              </w:rPr>
              <w:t>（hm</w:t>
            </w:r>
            <w:r>
              <w:rPr>
                <w:rFonts w:hint="eastAsia" w:ascii="宋体" w:hAnsi="宋体"/>
                <w:sz w:val="18"/>
                <w:szCs w:val="18"/>
                <w:vertAlign w:val="superscript"/>
              </w:rPr>
              <w:t>2</w:t>
            </w:r>
            <w:r>
              <w:rPr>
                <w:rFonts w:hint="eastAsia" w:ascii="宋体" w:hAnsi="宋体"/>
                <w:sz w:val="18"/>
                <w:szCs w:val="18"/>
              </w:rPr>
              <w:t>）</w:t>
            </w:r>
          </w:p>
        </w:tc>
        <w:tc>
          <w:tcPr>
            <w:tcW w:w="2956" w:type="dxa"/>
            <w:gridSpan w:val="2"/>
            <w:tcBorders>
              <w:top w:val="single" w:color="auto" w:sz="8" w:space="0"/>
              <w:right w:val="single" w:color="auto" w:sz="8" w:space="0"/>
            </w:tcBorders>
            <w:vAlign w:val="center"/>
          </w:tcPr>
          <w:p>
            <w:pPr>
              <w:adjustRightInd w:val="0"/>
              <w:snapToGrid w:val="0"/>
              <w:spacing w:line="360" w:lineRule="auto"/>
              <w:ind w:right="105" w:rightChars="50"/>
              <w:jc w:val="center"/>
              <w:rPr>
                <w:rFonts w:ascii="宋体" w:hAnsi="宋体"/>
                <w:sz w:val="18"/>
                <w:szCs w:val="18"/>
              </w:rPr>
            </w:pPr>
            <w:r>
              <w:rPr>
                <w:rFonts w:ascii="宋体" w:hAnsi="宋体"/>
                <w:sz w:val="18"/>
                <w:szCs w:val="18"/>
              </w:rPr>
              <w:t>边坡</w:t>
            </w:r>
            <w:r>
              <w:rPr>
                <w:rFonts w:hint="eastAsia" w:ascii="宋体" w:hAnsi="宋体"/>
                <w:sz w:val="18"/>
                <w:szCs w:val="18"/>
              </w:rPr>
              <w:t>高度（m）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714" w:type="dxa"/>
            <w:vMerge w:val="continue"/>
            <w:tcBorders>
              <w:left w:val="single" w:color="auto" w:sz="8" w:space="0"/>
              <w:bottom w:val="single" w:color="auto" w:sz="8" w:space="0"/>
              <w:tl2br w:val="single" w:color="auto" w:sz="4" w:space="0"/>
            </w:tcBorders>
            <w:vAlign w:val="center"/>
          </w:tcPr>
          <w:p>
            <w:pPr>
              <w:adjustRightInd w:val="0"/>
              <w:snapToGrid w:val="0"/>
              <w:spacing w:line="360" w:lineRule="auto"/>
              <w:ind w:right="105" w:rightChars="50"/>
              <w:jc w:val="center"/>
              <w:rPr>
                <w:rFonts w:ascii="宋体" w:hAnsi="宋体"/>
                <w:sz w:val="18"/>
                <w:szCs w:val="18"/>
              </w:rPr>
            </w:pPr>
          </w:p>
        </w:tc>
        <w:tc>
          <w:tcPr>
            <w:tcW w:w="1445" w:type="dxa"/>
            <w:vMerge w:val="continue"/>
            <w:tcBorders>
              <w:bottom w:val="single" w:color="auto" w:sz="8" w:space="0"/>
            </w:tcBorders>
            <w:vAlign w:val="center"/>
          </w:tcPr>
          <w:p>
            <w:pPr>
              <w:adjustRightInd w:val="0"/>
              <w:snapToGrid w:val="0"/>
              <w:spacing w:line="360" w:lineRule="auto"/>
              <w:ind w:right="105" w:rightChars="50"/>
              <w:jc w:val="center"/>
              <w:rPr>
                <w:rFonts w:ascii="宋体" w:hAnsi="宋体"/>
                <w:sz w:val="18"/>
                <w:szCs w:val="18"/>
              </w:rPr>
            </w:pPr>
          </w:p>
        </w:tc>
        <w:tc>
          <w:tcPr>
            <w:tcW w:w="1985" w:type="dxa"/>
            <w:vMerge w:val="continue"/>
            <w:tcBorders>
              <w:bottom w:val="single" w:color="auto" w:sz="8" w:space="0"/>
            </w:tcBorders>
            <w:vAlign w:val="center"/>
          </w:tcPr>
          <w:p>
            <w:pPr>
              <w:adjustRightInd w:val="0"/>
              <w:snapToGrid w:val="0"/>
              <w:spacing w:line="360" w:lineRule="auto"/>
              <w:ind w:right="105" w:rightChars="50"/>
              <w:jc w:val="center"/>
              <w:rPr>
                <w:rFonts w:ascii="宋体" w:hAnsi="宋体"/>
                <w:sz w:val="18"/>
                <w:szCs w:val="18"/>
              </w:rPr>
            </w:pPr>
          </w:p>
        </w:tc>
        <w:tc>
          <w:tcPr>
            <w:tcW w:w="1618" w:type="dxa"/>
            <w:vMerge w:val="continue"/>
            <w:tcBorders>
              <w:bottom w:val="single" w:color="auto" w:sz="8" w:space="0"/>
            </w:tcBorders>
            <w:vAlign w:val="center"/>
          </w:tcPr>
          <w:p>
            <w:pPr>
              <w:adjustRightInd w:val="0"/>
              <w:snapToGrid w:val="0"/>
              <w:spacing w:line="360" w:lineRule="auto"/>
              <w:ind w:right="105" w:rightChars="50"/>
              <w:jc w:val="center"/>
              <w:rPr>
                <w:rFonts w:ascii="宋体" w:hAnsi="宋体"/>
                <w:sz w:val="18"/>
                <w:szCs w:val="18"/>
              </w:rPr>
            </w:pPr>
          </w:p>
        </w:tc>
        <w:tc>
          <w:tcPr>
            <w:tcW w:w="1567" w:type="dxa"/>
            <w:tcBorders>
              <w:bottom w:val="single" w:color="auto" w:sz="8" w:space="0"/>
            </w:tcBorders>
            <w:vAlign w:val="center"/>
          </w:tcPr>
          <w:p>
            <w:pPr>
              <w:adjustRightInd w:val="0"/>
              <w:snapToGrid w:val="0"/>
              <w:spacing w:line="360" w:lineRule="auto"/>
              <w:ind w:right="105" w:rightChars="50"/>
              <w:jc w:val="center"/>
              <w:rPr>
                <w:rFonts w:ascii="宋体" w:hAnsi="宋体"/>
                <w:sz w:val="18"/>
                <w:szCs w:val="18"/>
              </w:rPr>
            </w:pPr>
            <w:r>
              <w:rPr>
                <w:rFonts w:hint="eastAsia" w:ascii="宋体" w:hAnsi="宋体"/>
                <w:sz w:val="18"/>
                <w:szCs w:val="18"/>
              </w:rPr>
              <w:t>土石混合边坡</w:t>
            </w:r>
          </w:p>
        </w:tc>
        <w:tc>
          <w:tcPr>
            <w:tcW w:w="1389" w:type="dxa"/>
            <w:tcBorders>
              <w:bottom w:val="single" w:color="auto" w:sz="8" w:space="0"/>
              <w:right w:val="single" w:color="auto" w:sz="8" w:space="0"/>
            </w:tcBorders>
            <w:vAlign w:val="center"/>
          </w:tcPr>
          <w:p>
            <w:pPr>
              <w:adjustRightInd w:val="0"/>
              <w:snapToGrid w:val="0"/>
              <w:spacing w:line="360" w:lineRule="auto"/>
              <w:ind w:right="105" w:rightChars="50"/>
              <w:jc w:val="center"/>
              <w:rPr>
                <w:rFonts w:ascii="宋体" w:hAnsi="宋体"/>
                <w:sz w:val="18"/>
                <w:szCs w:val="18"/>
              </w:rPr>
            </w:pPr>
            <w:r>
              <w:rPr>
                <w:rFonts w:hint="eastAsia" w:ascii="宋体" w:hAnsi="宋体"/>
                <w:sz w:val="18"/>
                <w:szCs w:val="18"/>
              </w:rPr>
              <w:t>土质边坡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714" w:type="dxa"/>
            <w:tcBorders>
              <w:top w:val="single" w:color="auto" w:sz="8" w:space="0"/>
              <w:left w:val="single" w:color="auto" w:sz="8" w:space="0"/>
            </w:tcBorders>
            <w:vAlign w:val="center"/>
          </w:tcPr>
          <w:p>
            <w:pPr>
              <w:adjustRightInd w:val="0"/>
              <w:snapToGrid w:val="0"/>
              <w:spacing w:line="360" w:lineRule="auto"/>
              <w:ind w:right="105" w:rightChars="50"/>
              <w:jc w:val="center"/>
              <w:rPr>
                <w:rFonts w:ascii="宋体" w:hAnsi="宋体"/>
                <w:sz w:val="18"/>
                <w:szCs w:val="18"/>
              </w:rPr>
            </w:pPr>
            <w:r>
              <w:rPr>
                <w:rFonts w:ascii="宋体" w:hAnsi="宋体"/>
                <w:sz w:val="18"/>
                <w:szCs w:val="18"/>
              </w:rPr>
              <w:t>重大隐患</w:t>
            </w:r>
          </w:p>
        </w:tc>
        <w:tc>
          <w:tcPr>
            <w:tcW w:w="1445" w:type="dxa"/>
            <w:tcBorders>
              <w:top w:val="single" w:color="auto" w:sz="8" w:space="0"/>
            </w:tcBorders>
            <w:vAlign w:val="center"/>
          </w:tcPr>
          <w:p>
            <w:pPr>
              <w:adjustRightInd w:val="0"/>
              <w:snapToGrid w:val="0"/>
              <w:spacing w:line="360" w:lineRule="auto"/>
              <w:ind w:right="105" w:rightChars="50"/>
              <w:jc w:val="center"/>
              <w:rPr>
                <w:rFonts w:ascii="宋体" w:hAnsi="宋体"/>
                <w:sz w:val="18"/>
                <w:szCs w:val="18"/>
              </w:rPr>
            </w:pPr>
            <w:r>
              <w:rPr>
                <w:rFonts w:hint="eastAsia" w:ascii="宋体" w:hAnsi="宋体"/>
                <w:sz w:val="18"/>
                <w:szCs w:val="18"/>
              </w:rPr>
              <w:t>≥15</w:t>
            </w:r>
          </w:p>
        </w:tc>
        <w:tc>
          <w:tcPr>
            <w:tcW w:w="1985" w:type="dxa"/>
            <w:tcBorders>
              <w:top w:val="single" w:color="auto" w:sz="8" w:space="0"/>
            </w:tcBorders>
            <w:vAlign w:val="center"/>
          </w:tcPr>
          <w:p>
            <w:pPr>
              <w:adjustRightInd w:val="0"/>
              <w:snapToGrid w:val="0"/>
              <w:spacing w:line="360" w:lineRule="auto"/>
              <w:ind w:right="105" w:rightChars="50"/>
              <w:jc w:val="center"/>
              <w:rPr>
                <w:rFonts w:ascii="宋体" w:hAnsi="宋体"/>
                <w:sz w:val="18"/>
                <w:szCs w:val="18"/>
              </w:rPr>
            </w:pPr>
            <w:r>
              <w:rPr>
                <w:rFonts w:hint="eastAsia" w:ascii="宋体" w:hAnsi="宋体"/>
                <w:sz w:val="18"/>
                <w:szCs w:val="18"/>
              </w:rPr>
              <w:t>≥20</w:t>
            </w:r>
          </w:p>
        </w:tc>
        <w:tc>
          <w:tcPr>
            <w:tcW w:w="1618" w:type="dxa"/>
            <w:tcBorders>
              <w:top w:val="single" w:color="auto" w:sz="8" w:space="0"/>
            </w:tcBorders>
            <w:vAlign w:val="center"/>
          </w:tcPr>
          <w:p>
            <w:pPr>
              <w:adjustRightInd w:val="0"/>
              <w:snapToGrid w:val="0"/>
              <w:spacing w:line="360" w:lineRule="auto"/>
              <w:ind w:right="105" w:rightChars="50"/>
              <w:jc w:val="center"/>
              <w:rPr>
                <w:rFonts w:ascii="宋体" w:hAnsi="宋体"/>
                <w:sz w:val="18"/>
                <w:szCs w:val="18"/>
              </w:rPr>
            </w:pPr>
            <w:r>
              <w:rPr>
                <w:rFonts w:hint="eastAsia" w:ascii="宋体" w:hAnsi="宋体"/>
                <w:sz w:val="18"/>
                <w:szCs w:val="18"/>
              </w:rPr>
              <w:t>≥20</w:t>
            </w:r>
          </w:p>
        </w:tc>
        <w:tc>
          <w:tcPr>
            <w:tcW w:w="1567" w:type="dxa"/>
            <w:tcBorders>
              <w:top w:val="single" w:color="auto" w:sz="8" w:space="0"/>
            </w:tcBorders>
            <w:vAlign w:val="center"/>
          </w:tcPr>
          <w:p>
            <w:pPr>
              <w:adjustRightInd w:val="0"/>
              <w:snapToGrid w:val="0"/>
              <w:spacing w:line="360" w:lineRule="auto"/>
              <w:ind w:right="105" w:rightChars="50"/>
              <w:jc w:val="center"/>
              <w:rPr>
                <w:rFonts w:ascii="宋体" w:hAnsi="宋体"/>
                <w:sz w:val="18"/>
                <w:szCs w:val="18"/>
              </w:rPr>
            </w:pPr>
            <w:r>
              <w:rPr>
                <w:rFonts w:hint="eastAsia" w:ascii="宋体" w:hAnsi="宋体"/>
                <w:sz w:val="18"/>
                <w:szCs w:val="18"/>
              </w:rPr>
              <w:t>≥20</w:t>
            </w:r>
          </w:p>
        </w:tc>
        <w:tc>
          <w:tcPr>
            <w:tcW w:w="1389" w:type="dxa"/>
            <w:tcBorders>
              <w:top w:val="single" w:color="auto" w:sz="8" w:space="0"/>
              <w:right w:val="single" w:color="auto" w:sz="8" w:space="0"/>
            </w:tcBorders>
            <w:vAlign w:val="center"/>
          </w:tcPr>
          <w:p>
            <w:pPr>
              <w:adjustRightInd w:val="0"/>
              <w:snapToGrid w:val="0"/>
              <w:spacing w:line="360" w:lineRule="auto"/>
              <w:ind w:right="105" w:rightChars="50"/>
              <w:jc w:val="center"/>
              <w:rPr>
                <w:rFonts w:ascii="宋体" w:hAnsi="宋体"/>
                <w:sz w:val="18"/>
                <w:szCs w:val="18"/>
              </w:rPr>
            </w:pPr>
            <w:r>
              <w:rPr>
                <w:rFonts w:hint="eastAsia" w:ascii="宋体"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714" w:type="dxa"/>
            <w:tcBorders>
              <w:left w:val="single" w:color="auto" w:sz="8" w:space="0"/>
            </w:tcBorders>
            <w:vAlign w:val="center"/>
          </w:tcPr>
          <w:p>
            <w:pPr>
              <w:adjustRightInd w:val="0"/>
              <w:snapToGrid w:val="0"/>
              <w:spacing w:line="360" w:lineRule="auto"/>
              <w:ind w:right="105" w:rightChars="50"/>
              <w:jc w:val="center"/>
              <w:rPr>
                <w:rFonts w:ascii="宋体" w:hAnsi="宋体"/>
                <w:sz w:val="18"/>
                <w:szCs w:val="18"/>
              </w:rPr>
            </w:pPr>
            <w:r>
              <w:rPr>
                <w:rFonts w:ascii="宋体" w:hAnsi="宋体"/>
                <w:sz w:val="18"/>
                <w:szCs w:val="18"/>
              </w:rPr>
              <w:t>严重隐患</w:t>
            </w:r>
          </w:p>
        </w:tc>
        <w:tc>
          <w:tcPr>
            <w:tcW w:w="1445" w:type="dxa"/>
            <w:vAlign w:val="center"/>
          </w:tcPr>
          <w:p>
            <w:pPr>
              <w:adjustRightInd w:val="0"/>
              <w:snapToGrid w:val="0"/>
              <w:spacing w:line="360" w:lineRule="auto"/>
              <w:ind w:right="105" w:rightChars="50"/>
              <w:jc w:val="center"/>
              <w:rPr>
                <w:rFonts w:ascii="宋体" w:hAnsi="宋体"/>
                <w:sz w:val="18"/>
                <w:szCs w:val="18"/>
              </w:rPr>
            </w:pPr>
            <w:r>
              <w:rPr>
                <w:rFonts w:hint="eastAsia" w:ascii="宋体" w:hAnsi="宋体"/>
                <w:sz w:val="18"/>
                <w:szCs w:val="18"/>
              </w:rPr>
              <w:t>10（含）～15</w:t>
            </w:r>
          </w:p>
        </w:tc>
        <w:tc>
          <w:tcPr>
            <w:tcW w:w="1985" w:type="dxa"/>
            <w:vAlign w:val="center"/>
          </w:tcPr>
          <w:p>
            <w:pPr>
              <w:adjustRightInd w:val="0"/>
              <w:snapToGrid w:val="0"/>
              <w:spacing w:line="360" w:lineRule="auto"/>
              <w:ind w:right="105" w:rightChars="50"/>
              <w:jc w:val="center"/>
              <w:rPr>
                <w:rFonts w:ascii="宋体" w:hAnsi="宋体"/>
                <w:sz w:val="18"/>
                <w:szCs w:val="18"/>
              </w:rPr>
            </w:pPr>
            <w:r>
              <w:rPr>
                <w:rFonts w:hint="eastAsia" w:ascii="宋体" w:hAnsi="宋体"/>
                <w:sz w:val="18"/>
                <w:szCs w:val="18"/>
              </w:rPr>
              <w:t>10（含）～20</w:t>
            </w:r>
          </w:p>
        </w:tc>
        <w:tc>
          <w:tcPr>
            <w:tcW w:w="1618" w:type="dxa"/>
            <w:vAlign w:val="center"/>
          </w:tcPr>
          <w:p>
            <w:pPr>
              <w:adjustRightInd w:val="0"/>
              <w:snapToGrid w:val="0"/>
              <w:spacing w:line="360" w:lineRule="auto"/>
              <w:ind w:right="105" w:rightChars="50"/>
              <w:jc w:val="center"/>
              <w:rPr>
                <w:rFonts w:ascii="宋体" w:hAnsi="宋体"/>
                <w:sz w:val="18"/>
                <w:szCs w:val="18"/>
              </w:rPr>
            </w:pPr>
            <w:r>
              <w:rPr>
                <w:rFonts w:hint="eastAsia" w:ascii="宋体" w:hAnsi="宋体"/>
                <w:sz w:val="18"/>
                <w:szCs w:val="18"/>
              </w:rPr>
              <w:t>10（含）～20</w:t>
            </w:r>
          </w:p>
        </w:tc>
        <w:tc>
          <w:tcPr>
            <w:tcW w:w="1567" w:type="dxa"/>
            <w:vAlign w:val="center"/>
          </w:tcPr>
          <w:p>
            <w:pPr>
              <w:adjustRightInd w:val="0"/>
              <w:snapToGrid w:val="0"/>
              <w:spacing w:line="360" w:lineRule="auto"/>
              <w:ind w:right="105" w:rightChars="50"/>
              <w:jc w:val="center"/>
              <w:rPr>
                <w:rFonts w:ascii="宋体" w:hAnsi="宋体"/>
                <w:sz w:val="18"/>
                <w:szCs w:val="18"/>
              </w:rPr>
            </w:pPr>
            <w:r>
              <w:rPr>
                <w:rFonts w:hint="eastAsia" w:ascii="宋体" w:hAnsi="宋体"/>
                <w:sz w:val="18"/>
                <w:szCs w:val="18"/>
              </w:rPr>
              <w:t>10（含）～20</w:t>
            </w:r>
          </w:p>
        </w:tc>
        <w:tc>
          <w:tcPr>
            <w:tcW w:w="1389" w:type="dxa"/>
            <w:tcBorders>
              <w:right w:val="single" w:color="auto" w:sz="8" w:space="0"/>
            </w:tcBorders>
            <w:vAlign w:val="center"/>
          </w:tcPr>
          <w:p>
            <w:pPr>
              <w:adjustRightInd w:val="0"/>
              <w:snapToGrid w:val="0"/>
              <w:spacing w:line="360" w:lineRule="auto"/>
              <w:ind w:right="105" w:rightChars="50"/>
              <w:jc w:val="center"/>
              <w:rPr>
                <w:rFonts w:ascii="宋体" w:hAnsi="宋体"/>
                <w:sz w:val="18"/>
                <w:szCs w:val="18"/>
              </w:rPr>
            </w:pPr>
            <w:r>
              <w:rPr>
                <w:rFonts w:hint="eastAsia" w:ascii="宋体" w:hAnsi="宋体"/>
                <w:sz w:val="18"/>
                <w:szCs w:val="18"/>
              </w:rPr>
              <w:t>10（含）～20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714" w:type="dxa"/>
            <w:tcBorders>
              <w:left w:val="single" w:color="auto" w:sz="8" w:space="0"/>
            </w:tcBorders>
            <w:vAlign w:val="center"/>
          </w:tcPr>
          <w:p>
            <w:pPr>
              <w:adjustRightInd w:val="0"/>
              <w:snapToGrid w:val="0"/>
              <w:spacing w:line="360" w:lineRule="auto"/>
              <w:ind w:right="105" w:rightChars="50"/>
              <w:jc w:val="center"/>
              <w:rPr>
                <w:rFonts w:ascii="宋体" w:hAnsi="宋体"/>
                <w:sz w:val="18"/>
                <w:szCs w:val="18"/>
              </w:rPr>
            </w:pPr>
            <w:r>
              <w:rPr>
                <w:rFonts w:ascii="宋体" w:hAnsi="宋体"/>
                <w:sz w:val="18"/>
                <w:szCs w:val="18"/>
              </w:rPr>
              <w:t>一般隐患</w:t>
            </w:r>
          </w:p>
        </w:tc>
        <w:tc>
          <w:tcPr>
            <w:tcW w:w="1445" w:type="dxa"/>
            <w:vAlign w:val="center"/>
          </w:tcPr>
          <w:p>
            <w:pPr>
              <w:adjustRightInd w:val="0"/>
              <w:snapToGrid w:val="0"/>
              <w:spacing w:line="360" w:lineRule="auto"/>
              <w:ind w:right="105" w:rightChars="50"/>
              <w:jc w:val="center"/>
              <w:rPr>
                <w:rFonts w:ascii="宋体" w:hAnsi="宋体"/>
                <w:sz w:val="18"/>
                <w:szCs w:val="18"/>
              </w:rPr>
            </w:pPr>
            <w:r>
              <w:rPr>
                <w:rFonts w:hint="eastAsia" w:ascii="宋体" w:hAnsi="宋体"/>
                <w:sz w:val="18"/>
                <w:szCs w:val="18"/>
              </w:rPr>
              <w:t>5（含）～10</w:t>
            </w:r>
          </w:p>
        </w:tc>
        <w:tc>
          <w:tcPr>
            <w:tcW w:w="1985" w:type="dxa"/>
            <w:vAlign w:val="center"/>
          </w:tcPr>
          <w:p>
            <w:pPr>
              <w:adjustRightInd w:val="0"/>
              <w:snapToGrid w:val="0"/>
              <w:spacing w:line="360" w:lineRule="auto"/>
              <w:ind w:right="105" w:rightChars="50"/>
              <w:jc w:val="center"/>
              <w:rPr>
                <w:rFonts w:ascii="宋体" w:hAnsi="宋体"/>
                <w:sz w:val="18"/>
                <w:szCs w:val="18"/>
              </w:rPr>
            </w:pPr>
            <w:r>
              <w:rPr>
                <w:rFonts w:hint="eastAsia" w:ascii="宋体" w:hAnsi="宋体"/>
                <w:sz w:val="18"/>
                <w:szCs w:val="18"/>
              </w:rPr>
              <w:t>5（含）～10</w:t>
            </w:r>
          </w:p>
        </w:tc>
        <w:tc>
          <w:tcPr>
            <w:tcW w:w="1618" w:type="dxa"/>
            <w:vAlign w:val="center"/>
          </w:tcPr>
          <w:p>
            <w:pPr>
              <w:adjustRightInd w:val="0"/>
              <w:snapToGrid w:val="0"/>
              <w:spacing w:line="360" w:lineRule="auto"/>
              <w:ind w:right="105" w:rightChars="50"/>
              <w:jc w:val="center"/>
              <w:rPr>
                <w:rFonts w:ascii="宋体" w:hAnsi="宋体"/>
                <w:sz w:val="18"/>
                <w:szCs w:val="18"/>
              </w:rPr>
            </w:pPr>
            <w:r>
              <w:rPr>
                <w:rFonts w:hint="eastAsia" w:ascii="宋体" w:hAnsi="宋体"/>
                <w:sz w:val="18"/>
                <w:szCs w:val="18"/>
              </w:rPr>
              <w:t>5（含）～10</w:t>
            </w:r>
          </w:p>
        </w:tc>
        <w:tc>
          <w:tcPr>
            <w:tcW w:w="1567" w:type="dxa"/>
            <w:vAlign w:val="center"/>
          </w:tcPr>
          <w:p>
            <w:pPr>
              <w:adjustRightInd w:val="0"/>
              <w:snapToGrid w:val="0"/>
              <w:spacing w:line="360" w:lineRule="auto"/>
              <w:ind w:right="105" w:rightChars="50"/>
              <w:jc w:val="center"/>
              <w:rPr>
                <w:rFonts w:ascii="宋体" w:hAnsi="宋体"/>
                <w:sz w:val="18"/>
                <w:szCs w:val="18"/>
              </w:rPr>
            </w:pPr>
            <w:r>
              <w:rPr>
                <w:rFonts w:hint="eastAsia" w:ascii="宋体" w:hAnsi="宋体"/>
                <w:sz w:val="18"/>
                <w:szCs w:val="18"/>
              </w:rPr>
              <w:t>5（含）～10</w:t>
            </w:r>
          </w:p>
        </w:tc>
        <w:tc>
          <w:tcPr>
            <w:tcW w:w="1389" w:type="dxa"/>
            <w:tcBorders>
              <w:right w:val="single" w:color="auto" w:sz="8" w:space="0"/>
            </w:tcBorders>
            <w:vAlign w:val="center"/>
          </w:tcPr>
          <w:p>
            <w:pPr>
              <w:adjustRightInd w:val="0"/>
              <w:snapToGrid w:val="0"/>
              <w:spacing w:line="360" w:lineRule="auto"/>
              <w:ind w:right="105" w:rightChars="50"/>
              <w:jc w:val="center"/>
              <w:rPr>
                <w:rFonts w:ascii="宋体" w:hAnsi="宋体"/>
                <w:sz w:val="18"/>
                <w:szCs w:val="18"/>
              </w:rPr>
            </w:pPr>
            <w:r>
              <w:rPr>
                <w:rFonts w:hint="eastAsia" w:ascii="宋体" w:hAnsi="宋体"/>
                <w:sz w:val="18"/>
                <w:szCs w:val="18"/>
              </w:rPr>
              <w:t>5（含）～10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714" w:type="dxa"/>
            <w:tcBorders>
              <w:left w:val="single" w:color="auto" w:sz="8" w:space="0"/>
              <w:bottom w:val="single" w:color="auto" w:sz="4" w:space="0"/>
            </w:tcBorders>
            <w:vAlign w:val="center"/>
          </w:tcPr>
          <w:p>
            <w:pPr>
              <w:adjustRightInd w:val="0"/>
              <w:snapToGrid w:val="0"/>
              <w:spacing w:line="360" w:lineRule="auto"/>
              <w:ind w:right="105" w:rightChars="50"/>
              <w:jc w:val="center"/>
              <w:rPr>
                <w:rFonts w:ascii="宋体" w:hAnsi="宋体"/>
                <w:sz w:val="18"/>
                <w:szCs w:val="18"/>
              </w:rPr>
            </w:pPr>
            <w:r>
              <w:rPr>
                <w:rFonts w:hint="eastAsia" w:ascii="宋体" w:hAnsi="宋体"/>
                <w:sz w:val="18"/>
                <w:szCs w:val="18"/>
              </w:rPr>
              <w:t>轻微隐患</w:t>
            </w:r>
          </w:p>
        </w:tc>
        <w:tc>
          <w:tcPr>
            <w:tcW w:w="1445" w:type="dxa"/>
            <w:tcBorders>
              <w:bottom w:val="single" w:color="auto" w:sz="4" w:space="0"/>
            </w:tcBorders>
            <w:vAlign w:val="center"/>
          </w:tcPr>
          <w:p>
            <w:pPr>
              <w:adjustRightInd w:val="0"/>
              <w:snapToGrid w:val="0"/>
              <w:spacing w:line="360" w:lineRule="auto"/>
              <w:ind w:right="105" w:rightChars="50"/>
              <w:jc w:val="center"/>
              <w:rPr>
                <w:rFonts w:ascii="宋体" w:hAnsi="宋体"/>
                <w:sz w:val="18"/>
                <w:szCs w:val="18"/>
              </w:rPr>
            </w:pPr>
            <w:r>
              <w:rPr>
                <w:rFonts w:hint="eastAsia" w:ascii="宋体" w:hAnsi="宋体"/>
                <w:sz w:val="18"/>
                <w:szCs w:val="18"/>
              </w:rPr>
              <w:t>1（含）～5</w:t>
            </w:r>
          </w:p>
        </w:tc>
        <w:tc>
          <w:tcPr>
            <w:tcW w:w="1985" w:type="dxa"/>
            <w:tcBorders>
              <w:bottom w:val="single" w:color="auto" w:sz="4" w:space="0"/>
            </w:tcBorders>
            <w:vAlign w:val="center"/>
          </w:tcPr>
          <w:p>
            <w:pPr>
              <w:adjustRightInd w:val="0"/>
              <w:snapToGrid w:val="0"/>
              <w:spacing w:line="360" w:lineRule="auto"/>
              <w:ind w:right="105" w:rightChars="50"/>
              <w:jc w:val="center"/>
              <w:rPr>
                <w:rFonts w:ascii="宋体" w:hAnsi="宋体"/>
                <w:sz w:val="18"/>
                <w:szCs w:val="18"/>
              </w:rPr>
            </w:pPr>
            <w:r>
              <w:rPr>
                <w:rFonts w:hint="eastAsia" w:ascii="宋体" w:hAnsi="宋体"/>
                <w:sz w:val="18"/>
                <w:szCs w:val="18"/>
              </w:rPr>
              <w:t>0.5（含）～5</w:t>
            </w:r>
          </w:p>
        </w:tc>
        <w:tc>
          <w:tcPr>
            <w:tcW w:w="1618" w:type="dxa"/>
            <w:tcBorders>
              <w:bottom w:val="single" w:color="auto" w:sz="4" w:space="0"/>
            </w:tcBorders>
            <w:vAlign w:val="center"/>
          </w:tcPr>
          <w:p>
            <w:pPr>
              <w:adjustRightInd w:val="0"/>
              <w:snapToGrid w:val="0"/>
              <w:spacing w:line="360" w:lineRule="auto"/>
              <w:ind w:right="105" w:rightChars="50"/>
              <w:jc w:val="center"/>
              <w:rPr>
                <w:rFonts w:ascii="宋体" w:hAnsi="宋体"/>
                <w:sz w:val="18"/>
                <w:szCs w:val="18"/>
              </w:rPr>
            </w:pPr>
            <w:r>
              <w:rPr>
                <w:rFonts w:hint="eastAsia" w:ascii="宋体" w:hAnsi="宋体"/>
                <w:sz w:val="18"/>
                <w:szCs w:val="18"/>
              </w:rPr>
              <w:t>1（含）～5</w:t>
            </w:r>
          </w:p>
        </w:tc>
        <w:tc>
          <w:tcPr>
            <w:tcW w:w="1567" w:type="dxa"/>
            <w:tcBorders>
              <w:bottom w:val="single" w:color="auto" w:sz="4" w:space="0"/>
            </w:tcBorders>
            <w:vAlign w:val="center"/>
          </w:tcPr>
          <w:p>
            <w:pPr>
              <w:adjustRightInd w:val="0"/>
              <w:snapToGrid w:val="0"/>
              <w:spacing w:line="360" w:lineRule="auto"/>
              <w:ind w:right="105" w:rightChars="50"/>
              <w:jc w:val="center"/>
              <w:rPr>
                <w:rFonts w:ascii="宋体" w:hAnsi="宋体"/>
                <w:sz w:val="18"/>
                <w:szCs w:val="18"/>
              </w:rPr>
            </w:pPr>
            <w:r>
              <w:rPr>
                <w:rFonts w:hint="eastAsia" w:ascii="宋体" w:hAnsi="宋体"/>
                <w:sz w:val="18"/>
                <w:szCs w:val="18"/>
              </w:rPr>
              <w:t>2（含）～5</w:t>
            </w:r>
          </w:p>
        </w:tc>
        <w:tc>
          <w:tcPr>
            <w:tcW w:w="1389" w:type="dxa"/>
            <w:tcBorders>
              <w:bottom w:val="single" w:color="auto" w:sz="4" w:space="0"/>
              <w:right w:val="single" w:color="auto" w:sz="8" w:space="0"/>
            </w:tcBorders>
            <w:vAlign w:val="center"/>
          </w:tcPr>
          <w:p>
            <w:pPr>
              <w:adjustRightInd w:val="0"/>
              <w:snapToGrid w:val="0"/>
              <w:spacing w:line="360" w:lineRule="auto"/>
              <w:ind w:right="105" w:rightChars="50"/>
              <w:jc w:val="center"/>
              <w:rPr>
                <w:rFonts w:ascii="宋体" w:hAnsi="宋体"/>
                <w:sz w:val="18"/>
                <w:szCs w:val="18"/>
              </w:rPr>
            </w:pPr>
            <w:r>
              <w:rPr>
                <w:rFonts w:hint="eastAsia" w:ascii="宋体" w:hAnsi="宋体"/>
                <w:sz w:val="18"/>
                <w:szCs w:val="18"/>
              </w:rPr>
              <w:t>3（含）～5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714" w:type="dxa"/>
            <w:tcBorders>
              <w:left w:val="single" w:color="auto" w:sz="8" w:space="0"/>
              <w:bottom w:val="single" w:color="auto" w:sz="8" w:space="0"/>
            </w:tcBorders>
            <w:vAlign w:val="center"/>
          </w:tcPr>
          <w:p>
            <w:pPr>
              <w:adjustRightInd w:val="0"/>
              <w:snapToGrid w:val="0"/>
              <w:spacing w:line="360" w:lineRule="auto"/>
              <w:ind w:right="105" w:rightChars="50"/>
              <w:jc w:val="center"/>
              <w:rPr>
                <w:rFonts w:ascii="宋体" w:hAnsi="宋体"/>
                <w:sz w:val="18"/>
                <w:szCs w:val="18"/>
              </w:rPr>
            </w:pPr>
            <w:r>
              <w:rPr>
                <w:rFonts w:ascii="宋体" w:hAnsi="宋体"/>
                <w:sz w:val="18"/>
                <w:szCs w:val="18"/>
              </w:rPr>
              <w:t>无明显隐患</w:t>
            </w:r>
          </w:p>
        </w:tc>
        <w:tc>
          <w:tcPr>
            <w:tcW w:w="1445" w:type="dxa"/>
            <w:tcBorders>
              <w:bottom w:val="single" w:color="auto" w:sz="8" w:space="0"/>
            </w:tcBorders>
            <w:vAlign w:val="center"/>
          </w:tcPr>
          <w:p>
            <w:pPr>
              <w:adjustRightInd w:val="0"/>
              <w:snapToGrid w:val="0"/>
              <w:spacing w:line="360" w:lineRule="auto"/>
              <w:ind w:right="105" w:rightChars="50"/>
              <w:jc w:val="center"/>
              <w:rPr>
                <w:rFonts w:ascii="宋体" w:hAnsi="宋体"/>
                <w:sz w:val="18"/>
                <w:szCs w:val="18"/>
              </w:rPr>
            </w:pPr>
            <w:r>
              <w:rPr>
                <w:rFonts w:hint="eastAsia" w:ascii="宋体" w:hAnsi="宋体"/>
                <w:sz w:val="18"/>
                <w:szCs w:val="18"/>
              </w:rPr>
              <w:t>＜1</w:t>
            </w:r>
          </w:p>
        </w:tc>
        <w:tc>
          <w:tcPr>
            <w:tcW w:w="1985" w:type="dxa"/>
            <w:tcBorders>
              <w:bottom w:val="single" w:color="auto" w:sz="8" w:space="0"/>
            </w:tcBorders>
            <w:vAlign w:val="center"/>
          </w:tcPr>
          <w:p>
            <w:pPr>
              <w:adjustRightInd w:val="0"/>
              <w:snapToGrid w:val="0"/>
              <w:spacing w:line="360" w:lineRule="auto"/>
              <w:ind w:right="105" w:rightChars="50"/>
              <w:jc w:val="center"/>
              <w:rPr>
                <w:rFonts w:ascii="宋体" w:hAnsi="宋体"/>
                <w:sz w:val="18"/>
                <w:szCs w:val="18"/>
              </w:rPr>
            </w:pPr>
            <w:r>
              <w:rPr>
                <w:rFonts w:hint="eastAsia" w:ascii="宋体" w:hAnsi="宋体"/>
                <w:sz w:val="18"/>
                <w:szCs w:val="18"/>
              </w:rPr>
              <w:t>＜0.5</w:t>
            </w:r>
          </w:p>
        </w:tc>
        <w:tc>
          <w:tcPr>
            <w:tcW w:w="1618" w:type="dxa"/>
            <w:tcBorders>
              <w:bottom w:val="single" w:color="auto" w:sz="8" w:space="0"/>
            </w:tcBorders>
            <w:vAlign w:val="center"/>
          </w:tcPr>
          <w:p>
            <w:pPr>
              <w:adjustRightInd w:val="0"/>
              <w:snapToGrid w:val="0"/>
              <w:spacing w:line="360" w:lineRule="auto"/>
              <w:ind w:right="105" w:rightChars="50"/>
              <w:jc w:val="center"/>
              <w:rPr>
                <w:rFonts w:ascii="宋体" w:hAnsi="宋体"/>
                <w:sz w:val="18"/>
                <w:szCs w:val="18"/>
              </w:rPr>
            </w:pPr>
            <w:r>
              <w:rPr>
                <w:rFonts w:hint="eastAsia" w:ascii="宋体" w:hAnsi="宋体"/>
                <w:sz w:val="18"/>
                <w:szCs w:val="18"/>
              </w:rPr>
              <w:t>＜1</w:t>
            </w:r>
          </w:p>
        </w:tc>
        <w:tc>
          <w:tcPr>
            <w:tcW w:w="1567" w:type="dxa"/>
            <w:tcBorders>
              <w:bottom w:val="single" w:color="auto" w:sz="8" w:space="0"/>
            </w:tcBorders>
            <w:vAlign w:val="center"/>
          </w:tcPr>
          <w:p>
            <w:pPr>
              <w:adjustRightInd w:val="0"/>
              <w:snapToGrid w:val="0"/>
              <w:spacing w:line="360" w:lineRule="auto"/>
              <w:ind w:right="105" w:rightChars="50"/>
              <w:jc w:val="center"/>
              <w:rPr>
                <w:rFonts w:ascii="宋体" w:hAnsi="宋体"/>
                <w:sz w:val="18"/>
                <w:szCs w:val="18"/>
              </w:rPr>
            </w:pPr>
            <w:r>
              <w:rPr>
                <w:rFonts w:hint="eastAsia" w:ascii="宋体" w:hAnsi="宋体"/>
                <w:sz w:val="18"/>
                <w:szCs w:val="18"/>
              </w:rPr>
              <w:t>＜2</w:t>
            </w:r>
          </w:p>
        </w:tc>
        <w:tc>
          <w:tcPr>
            <w:tcW w:w="1389" w:type="dxa"/>
            <w:tcBorders>
              <w:bottom w:val="single" w:color="auto" w:sz="8" w:space="0"/>
              <w:right w:val="single" w:color="auto" w:sz="8" w:space="0"/>
            </w:tcBorders>
            <w:vAlign w:val="center"/>
          </w:tcPr>
          <w:p>
            <w:pPr>
              <w:adjustRightInd w:val="0"/>
              <w:snapToGrid w:val="0"/>
              <w:spacing w:line="360" w:lineRule="auto"/>
              <w:ind w:right="105" w:rightChars="50"/>
              <w:jc w:val="center"/>
              <w:rPr>
                <w:rFonts w:ascii="宋体" w:hAnsi="宋体"/>
                <w:sz w:val="18"/>
                <w:szCs w:val="18"/>
              </w:rPr>
            </w:pPr>
            <w:r>
              <w:rPr>
                <w:rFonts w:hint="eastAsia"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718" w:type="dxa"/>
            <w:gridSpan w:val="6"/>
            <w:tcBorders>
              <w:top w:val="single" w:color="auto" w:sz="8" w:space="0"/>
              <w:left w:val="single" w:color="auto" w:sz="8" w:space="0"/>
              <w:bottom w:val="single" w:color="auto" w:sz="8" w:space="0"/>
              <w:right w:val="single" w:color="auto" w:sz="8" w:space="0"/>
            </w:tcBorders>
            <w:vAlign w:val="center"/>
          </w:tcPr>
          <w:p>
            <w:pPr>
              <w:pStyle w:val="227"/>
              <w:spacing w:line="360" w:lineRule="auto"/>
            </w:pPr>
            <w:r>
              <w:rPr>
                <w:rFonts w:hint="eastAsia"/>
              </w:rPr>
              <w:t>建设工程项目只要符合表中四个因子中一个最高等级的因子数值，即判定为属于该等级；</w:t>
            </w:r>
          </w:p>
          <w:p>
            <w:pPr>
              <w:pStyle w:val="227"/>
              <w:spacing w:line="360" w:lineRule="auto"/>
            </w:pPr>
            <w:r>
              <w:rPr>
                <w:rFonts w:hint="eastAsia"/>
              </w:rPr>
              <w:t>当项目区边坡坡率大于1：1时，水土流失隐患风险等级（严重隐患等级及以下）增加一级。</w:t>
            </w:r>
          </w:p>
        </w:tc>
      </w:tr>
    </w:tbl>
    <w:p>
      <w:pPr>
        <w:widowControl/>
        <w:spacing w:line="360" w:lineRule="auto"/>
        <w:jc w:val="left"/>
        <w:rPr>
          <w:rFonts w:asciiTheme="minorEastAsia" w:hAnsiTheme="minorEastAsia" w:eastAsiaTheme="minorEastAsia"/>
          <w:b/>
          <w:sz w:val="28"/>
          <w:szCs w:val="28"/>
          <w:shd w:val="clear" w:color="auto" w:fill="FFFFFF"/>
        </w:rPr>
      </w:pPr>
      <w:bookmarkStart w:id="103" w:name="_Toc500412293"/>
      <w:bookmarkStart w:id="104" w:name="_Toc500412289"/>
      <w:r>
        <w:rPr>
          <w:rFonts w:hint="eastAsia" w:asciiTheme="minorEastAsia" w:hAnsiTheme="minorEastAsia" w:eastAsiaTheme="minorEastAsia"/>
          <w:b/>
          <w:sz w:val="28"/>
          <w:szCs w:val="28"/>
          <w:shd w:val="clear" w:color="auto" w:fill="FFFFFF"/>
        </w:rPr>
        <w:t>7</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 xml:space="preserve">4.2 </w:t>
      </w:r>
      <w:r>
        <w:rPr>
          <w:rFonts w:hint="eastAsia" w:asciiTheme="minorEastAsia" w:hAnsiTheme="minorEastAsia" w:eastAsiaTheme="minorEastAsia"/>
          <w:sz w:val="28"/>
          <w:szCs w:val="28"/>
          <w:shd w:val="clear" w:color="auto" w:fill="FFFFFF"/>
        </w:rPr>
        <w:t>临时水土保持设计，</w:t>
      </w:r>
      <w:r>
        <w:rPr>
          <w:rFonts w:asciiTheme="minorEastAsia" w:hAnsiTheme="minorEastAsia" w:eastAsiaTheme="minorEastAsia"/>
          <w:sz w:val="28"/>
          <w:szCs w:val="28"/>
          <w:shd w:val="clear" w:color="auto" w:fill="FFFFFF"/>
        </w:rPr>
        <w:t>应</w:t>
      </w:r>
      <w:bookmarkEnd w:id="103"/>
      <w:r>
        <w:rPr>
          <w:rFonts w:hint="eastAsia" w:asciiTheme="minorEastAsia" w:hAnsiTheme="minorEastAsia" w:eastAsiaTheme="minorEastAsia"/>
          <w:sz w:val="28"/>
          <w:szCs w:val="28"/>
          <w:shd w:val="clear" w:color="auto" w:fill="FFFFFF"/>
        </w:rPr>
        <w:t>采取 “降流速、沉泥沙；调水流、削洪峰；配植物、优生态”技术策略。</w:t>
      </w:r>
    </w:p>
    <w:p>
      <w:pPr>
        <w:widowControl/>
        <w:spacing w:line="360" w:lineRule="auto"/>
        <w:jc w:val="left"/>
        <w:rPr>
          <w:rFonts w:ascii="微软雅黑" w:hAnsi="微软雅黑" w:eastAsia="微软雅黑" w:cs="微软雅黑"/>
          <w:sz w:val="28"/>
          <w:szCs w:val="28"/>
          <w:shd w:val="clear" w:color="auto" w:fill="FFFFFF"/>
        </w:rPr>
      </w:pPr>
      <w:r>
        <w:rPr>
          <w:rFonts w:hint="eastAsia" w:ascii="微软雅黑" w:hAnsi="微软雅黑" w:eastAsia="微软雅黑" w:cs="微软雅黑"/>
          <w:sz w:val="28"/>
          <w:szCs w:val="28"/>
          <w:shd w:val="clear" w:color="auto" w:fill="FFFFFF"/>
        </w:rPr>
        <w:t>【条文说明】</w:t>
      </w:r>
      <w:r>
        <w:rPr>
          <w:rFonts w:hint="eastAsia" w:ascii="微软雅黑" w:hAnsi="微软雅黑" w:eastAsia="微软雅黑" w:cs="微软雅黑"/>
          <w:b/>
          <w:sz w:val="28"/>
          <w:szCs w:val="28"/>
          <w:shd w:val="clear" w:color="auto" w:fill="FFFFFF"/>
        </w:rPr>
        <w:t xml:space="preserve">7.4.2 </w:t>
      </w:r>
      <w:r>
        <w:rPr>
          <w:rFonts w:hint="eastAsia" w:ascii="微软雅黑" w:hAnsi="微软雅黑" w:eastAsia="微软雅黑" w:cs="微软雅黑"/>
          <w:sz w:val="28"/>
          <w:szCs w:val="28"/>
          <w:shd w:val="clear" w:color="auto" w:fill="FFFFFF"/>
        </w:rPr>
        <w:t>建设工程项目临时水土保持设计，应遵循“预防为主，保护优先，综合防治，注重生态，景观协调”的总体原则，并采取本条规定的技术策略。</w:t>
      </w:r>
    </w:p>
    <w:p>
      <w:pPr>
        <w:widowControl/>
        <w:spacing w:line="360" w:lineRule="auto"/>
        <w:jc w:val="left"/>
        <w:rPr>
          <w:rFonts w:asciiTheme="minorEastAsia" w:hAnsiTheme="minorEastAsia" w:eastAsiaTheme="minorEastAsia"/>
          <w:sz w:val="28"/>
          <w:szCs w:val="28"/>
          <w:shd w:val="clear" w:color="auto" w:fill="FFFFFF"/>
        </w:rPr>
      </w:pPr>
      <w:r>
        <w:rPr>
          <w:rFonts w:hint="eastAsia" w:asciiTheme="minorEastAsia" w:hAnsiTheme="minorEastAsia" w:eastAsiaTheme="minorEastAsia"/>
          <w:b/>
          <w:bCs/>
          <w:sz w:val="28"/>
          <w:szCs w:val="28"/>
          <w:shd w:val="clear" w:color="auto" w:fill="FFFFFF"/>
        </w:rPr>
        <w:t xml:space="preserve">7.4.3 </w:t>
      </w:r>
      <w:r>
        <w:rPr>
          <w:rFonts w:hint="eastAsia" w:asciiTheme="minorEastAsia" w:hAnsiTheme="minorEastAsia" w:eastAsiaTheme="minorEastAsia"/>
          <w:sz w:val="28"/>
          <w:szCs w:val="28"/>
          <w:shd w:val="clear" w:color="auto" w:fill="FFFFFF"/>
        </w:rPr>
        <w:t>临时水土保持设计，应结合主体工程特性和施工工艺，选择适宜的水土保持措施，鼓励采用新技术、新工艺、新材料和新设备。</w:t>
      </w:r>
    </w:p>
    <w:p>
      <w:pPr>
        <w:widowControl/>
        <w:spacing w:line="360" w:lineRule="auto"/>
        <w:jc w:val="left"/>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【条文说明】</w:t>
      </w:r>
      <w:r>
        <w:rPr>
          <w:rFonts w:hint="eastAsia" w:ascii="微软雅黑" w:hAnsi="微软雅黑" w:eastAsia="微软雅黑" w:cs="微软雅黑"/>
          <w:b/>
          <w:bCs/>
          <w:kern w:val="0"/>
          <w:sz w:val="28"/>
          <w:szCs w:val="28"/>
        </w:rPr>
        <w:t xml:space="preserve">7.4.3 </w:t>
      </w:r>
      <w:r>
        <w:rPr>
          <w:rFonts w:hint="eastAsia" w:ascii="微软雅黑" w:hAnsi="微软雅黑" w:eastAsia="微软雅黑" w:cs="微软雅黑"/>
          <w:kern w:val="0"/>
          <w:sz w:val="28"/>
          <w:szCs w:val="28"/>
        </w:rPr>
        <w:t>施工期临时排水、沉沙、拦挡、覆盖措施应分期动态布置，并分别计算工程量。水土保持施工图纸设计应根据施工现场变化，及时补充、变更设计图纸，准确反应施工现场情况。</w:t>
      </w:r>
    </w:p>
    <w:p>
      <w:pPr>
        <w:pStyle w:val="114"/>
        <w:spacing w:line="360" w:lineRule="auto"/>
        <w:outlineLvl w:val="3"/>
        <w:rPr>
          <w:rFonts w:ascii="宋体" w:hAnsi="宋体" w:eastAsia="宋体" w:cs="宋体"/>
          <w:color w:val="auto"/>
          <w:sz w:val="28"/>
          <w:szCs w:val="28"/>
        </w:rPr>
      </w:pPr>
      <w:r>
        <w:rPr>
          <w:rFonts w:hint="eastAsia" w:ascii="宋体" w:hAnsi="宋体" w:eastAsia="宋体" w:cs="宋体"/>
          <w:b/>
          <w:color w:val="auto"/>
          <w:sz w:val="28"/>
          <w:szCs w:val="28"/>
        </w:rPr>
        <w:t xml:space="preserve">7.4.4 </w:t>
      </w:r>
      <w:r>
        <w:rPr>
          <w:rFonts w:hint="eastAsia" w:ascii="宋体" w:hAnsi="宋体" w:eastAsia="宋体" w:cs="宋体"/>
          <w:bCs/>
          <w:color w:val="auto"/>
          <w:sz w:val="28"/>
          <w:szCs w:val="28"/>
        </w:rPr>
        <w:t>临时</w:t>
      </w:r>
      <w:r>
        <w:rPr>
          <w:rFonts w:hint="eastAsia" w:ascii="宋体" w:hAnsi="宋体" w:eastAsia="宋体" w:cs="宋体"/>
          <w:color w:val="auto"/>
          <w:sz w:val="28"/>
          <w:szCs w:val="28"/>
        </w:rPr>
        <w:t>水体保持设计应符合下列规定：</w:t>
      </w:r>
    </w:p>
    <w:p>
      <w:pPr>
        <w:pStyle w:val="114"/>
        <w:spacing w:line="360" w:lineRule="auto"/>
        <w:ind w:firstLine="562" w:firstLineChars="200"/>
        <w:outlineLvl w:val="3"/>
        <w:rPr>
          <w:rFonts w:ascii="宋体" w:hAnsi="宋体" w:eastAsia="宋体" w:cs="宋体"/>
          <w:color w:val="auto"/>
          <w:sz w:val="28"/>
          <w:szCs w:val="28"/>
        </w:rPr>
      </w:pPr>
      <w:r>
        <w:rPr>
          <w:rFonts w:ascii="宋体" w:hAnsi="宋体" w:eastAsia="宋体" w:cs="宋体"/>
          <w:b/>
          <w:color w:val="auto"/>
          <w:sz w:val="28"/>
          <w:szCs w:val="28"/>
        </w:rPr>
        <w:t>1</w:t>
      </w:r>
      <w:r>
        <w:rPr>
          <w:rFonts w:ascii="宋体" w:hAnsi="宋体" w:eastAsia="宋体" w:cs="宋体"/>
          <w:color w:val="auto"/>
          <w:sz w:val="28"/>
          <w:szCs w:val="28"/>
        </w:rPr>
        <w:t xml:space="preserve"> 对</w:t>
      </w:r>
      <w:r>
        <w:rPr>
          <w:rFonts w:hint="eastAsia" w:ascii="宋体" w:hAnsi="宋体" w:eastAsia="宋体" w:cs="宋体"/>
          <w:color w:val="auto"/>
          <w:sz w:val="28"/>
          <w:szCs w:val="28"/>
        </w:rPr>
        <w:t>临时堆土区、施工迹地、临时性边坡等，裸露时间大于2</w:t>
      </w:r>
      <w:r>
        <w:rPr>
          <w:rFonts w:ascii="宋体" w:hAnsi="宋体" w:eastAsia="宋体" w:cs="宋体"/>
          <w:color w:val="auto"/>
          <w:sz w:val="28"/>
          <w:szCs w:val="28"/>
        </w:rPr>
        <w:t>4小时</w:t>
      </w:r>
      <w:r>
        <w:rPr>
          <w:rFonts w:hint="eastAsia" w:ascii="宋体" w:hAnsi="宋体" w:eastAsia="宋体" w:cs="宋体"/>
          <w:color w:val="auto"/>
          <w:sz w:val="28"/>
          <w:szCs w:val="28"/>
        </w:rPr>
        <w:t>的，</w:t>
      </w:r>
      <w:r>
        <w:rPr>
          <w:rFonts w:ascii="宋体" w:hAnsi="宋体" w:eastAsia="宋体" w:cs="宋体"/>
          <w:color w:val="auto"/>
          <w:sz w:val="28"/>
          <w:szCs w:val="28"/>
        </w:rPr>
        <w:t>均应采取</w:t>
      </w:r>
      <w:r>
        <w:rPr>
          <w:rFonts w:hint="eastAsia" w:ascii="宋体" w:hAnsi="宋体" w:eastAsia="宋体" w:cs="宋体"/>
          <w:color w:val="auto"/>
          <w:sz w:val="28"/>
          <w:szCs w:val="28"/>
        </w:rPr>
        <w:t>100%</w:t>
      </w:r>
      <w:r>
        <w:rPr>
          <w:rFonts w:ascii="宋体" w:hAnsi="宋体" w:eastAsia="宋体" w:cs="宋体"/>
          <w:color w:val="auto"/>
          <w:sz w:val="28"/>
          <w:szCs w:val="28"/>
        </w:rPr>
        <w:t>全覆盖防护</w:t>
      </w:r>
      <w:r>
        <w:rPr>
          <w:rFonts w:hint="eastAsia" w:ascii="宋体" w:hAnsi="宋体" w:eastAsia="宋体" w:cs="宋体"/>
          <w:color w:val="auto"/>
          <w:sz w:val="28"/>
          <w:szCs w:val="28"/>
        </w:rPr>
        <w:t>；裸露期超过3个月的，应采用撒草籽、喷草、铺草皮等方式进行临时绿化；</w:t>
      </w:r>
    </w:p>
    <w:p>
      <w:pPr>
        <w:pStyle w:val="114"/>
        <w:spacing w:line="360" w:lineRule="auto"/>
        <w:ind w:firstLine="562" w:firstLineChars="200"/>
        <w:outlineLvl w:val="3"/>
        <w:rPr>
          <w:rFonts w:ascii="宋体" w:hAnsi="宋体" w:eastAsia="宋体" w:cs="宋体"/>
          <w:color w:val="auto"/>
          <w:sz w:val="28"/>
          <w:szCs w:val="28"/>
        </w:rPr>
      </w:pPr>
      <w:r>
        <w:rPr>
          <w:rFonts w:ascii="宋体" w:hAnsi="宋体" w:eastAsia="宋体" w:cs="宋体"/>
          <w:b/>
          <w:color w:val="auto"/>
          <w:sz w:val="28"/>
          <w:szCs w:val="28"/>
        </w:rPr>
        <w:t xml:space="preserve">2 </w:t>
      </w:r>
      <w:r>
        <w:rPr>
          <w:rFonts w:ascii="宋体" w:hAnsi="宋体" w:eastAsia="宋体" w:cs="宋体"/>
          <w:color w:val="auto"/>
          <w:sz w:val="28"/>
          <w:szCs w:val="28"/>
        </w:rPr>
        <w:t>临时沉砂池设计中</w:t>
      </w:r>
      <w:r>
        <w:rPr>
          <w:rFonts w:hint="eastAsia" w:ascii="宋体" w:hAnsi="宋体" w:eastAsia="宋体" w:cs="宋体"/>
          <w:color w:val="auto"/>
          <w:sz w:val="28"/>
          <w:szCs w:val="28"/>
        </w:rPr>
        <w:t>，生产建设项目汛期施工时，征占地单位面积内容量之和不应小于100m</w:t>
      </w:r>
      <w:r>
        <w:rPr>
          <w:rFonts w:hint="eastAsia" w:ascii="宋体" w:hAnsi="宋体" w:eastAsia="宋体" w:cs="宋体"/>
          <w:color w:val="auto"/>
          <w:sz w:val="28"/>
          <w:szCs w:val="28"/>
          <w:vertAlign w:val="superscript"/>
        </w:rPr>
        <w:t>3</w:t>
      </w:r>
      <w:r>
        <w:rPr>
          <w:rFonts w:hint="eastAsia" w:ascii="宋体" w:hAnsi="宋体" w:eastAsia="宋体" w:cs="宋体"/>
          <w:color w:val="auto"/>
          <w:sz w:val="28"/>
          <w:szCs w:val="28"/>
        </w:rPr>
        <w:t>/hm</w:t>
      </w:r>
      <w:r>
        <w:rPr>
          <w:rFonts w:hint="eastAsia" w:ascii="宋体" w:hAnsi="宋体" w:eastAsia="宋体" w:cs="宋体"/>
          <w:color w:val="auto"/>
          <w:sz w:val="28"/>
          <w:szCs w:val="28"/>
          <w:vertAlign w:val="superscript"/>
        </w:rPr>
        <w:t>2</w:t>
      </w:r>
      <w:r>
        <w:rPr>
          <w:rFonts w:hint="eastAsia" w:ascii="宋体" w:hAnsi="宋体" w:eastAsia="宋体" w:cs="宋体"/>
          <w:color w:val="auto"/>
          <w:sz w:val="28"/>
          <w:szCs w:val="28"/>
        </w:rPr>
        <w:t>；非汛期施工时，征占地单位面积内容量之和不应小于50m</w:t>
      </w:r>
      <w:r>
        <w:rPr>
          <w:rFonts w:hint="eastAsia" w:ascii="宋体" w:hAnsi="宋体" w:eastAsia="宋体" w:cs="宋体"/>
          <w:color w:val="auto"/>
          <w:sz w:val="28"/>
          <w:szCs w:val="28"/>
          <w:vertAlign w:val="superscript"/>
        </w:rPr>
        <w:t>3</w:t>
      </w:r>
      <w:r>
        <w:rPr>
          <w:rFonts w:hint="eastAsia" w:ascii="宋体" w:hAnsi="宋体" w:eastAsia="宋体" w:cs="宋体"/>
          <w:color w:val="auto"/>
          <w:sz w:val="28"/>
          <w:szCs w:val="28"/>
        </w:rPr>
        <w:t>/hm</w:t>
      </w:r>
      <w:r>
        <w:rPr>
          <w:rFonts w:hint="eastAsia" w:ascii="宋体" w:hAnsi="宋体" w:eastAsia="宋体" w:cs="宋体"/>
          <w:color w:val="auto"/>
          <w:sz w:val="28"/>
          <w:szCs w:val="28"/>
          <w:vertAlign w:val="superscript"/>
        </w:rPr>
        <w:t>2</w:t>
      </w:r>
      <w:r>
        <w:rPr>
          <w:rFonts w:hint="eastAsia" w:ascii="宋体" w:hAnsi="宋体" w:eastAsia="宋体" w:cs="宋体"/>
          <w:color w:val="auto"/>
          <w:sz w:val="28"/>
          <w:szCs w:val="28"/>
        </w:rPr>
        <w:t>。</w:t>
      </w:r>
    </w:p>
    <w:p>
      <w:pPr>
        <w:widowControl/>
        <w:spacing w:line="360" w:lineRule="auto"/>
        <w:jc w:val="left"/>
        <w:rPr>
          <w:rFonts w:ascii="微软雅黑" w:hAnsi="微软雅黑" w:eastAsia="微软雅黑" w:cs="微软雅黑"/>
          <w:sz w:val="28"/>
          <w:szCs w:val="28"/>
          <w:shd w:val="clear" w:color="auto" w:fill="FFFFFF"/>
        </w:rPr>
      </w:pPr>
      <w:r>
        <w:rPr>
          <w:rFonts w:hint="eastAsia" w:ascii="微软雅黑" w:hAnsi="微软雅黑" w:eastAsia="微软雅黑" w:cs="微软雅黑"/>
          <w:sz w:val="28"/>
          <w:szCs w:val="28"/>
          <w:shd w:val="clear" w:color="auto" w:fill="FFFFFF"/>
        </w:rPr>
        <w:t>【条文说明】</w:t>
      </w:r>
      <w:r>
        <w:rPr>
          <w:rFonts w:hint="eastAsia" w:ascii="微软雅黑" w:hAnsi="微软雅黑" w:eastAsia="微软雅黑" w:cs="微软雅黑"/>
          <w:b/>
          <w:sz w:val="28"/>
          <w:szCs w:val="28"/>
          <w:shd w:val="clear" w:color="auto" w:fill="FFFFFF"/>
        </w:rPr>
        <w:t xml:space="preserve">7.4.4 </w:t>
      </w:r>
      <w:r>
        <w:rPr>
          <w:rFonts w:hint="eastAsia" w:ascii="微软雅黑" w:hAnsi="微软雅黑" w:eastAsia="微软雅黑" w:cs="微软雅黑"/>
          <w:sz w:val="28"/>
          <w:szCs w:val="28"/>
          <w:shd w:val="clear" w:color="auto" w:fill="FFFFFF"/>
        </w:rPr>
        <w:t>水土保持设计其他技术要求，详见《生产建设项目水土保持技术标准》GB 50433有关规定。</w:t>
      </w:r>
    </w:p>
    <w:p>
      <w:pPr>
        <w:widowControl/>
        <w:spacing w:line="360" w:lineRule="auto"/>
        <w:jc w:val="left"/>
        <w:rPr>
          <w:rFonts w:asciiTheme="minorEastAsia" w:hAnsiTheme="minorEastAsia" w:eastAsiaTheme="minorEastAsia"/>
          <w:sz w:val="28"/>
          <w:szCs w:val="28"/>
          <w:shd w:val="clear" w:color="auto" w:fill="FFFFFF"/>
        </w:rPr>
      </w:pPr>
      <w:r>
        <w:rPr>
          <w:rFonts w:hint="eastAsia" w:asciiTheme="minorEastAsia" w:hAnsiTheme="minorEastAsia" w:eastAsiaTheme="minorEastAsia"/>
          <w:b/>
          <w:sz w:val="28"/>
          <w:szCs w:val="28"/>
          <w:shd w:val="clear" w:color="auto" w:fill="FFFFFF"/>
        </w:rPr>
        <w:t>7</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4.</w:t>
      </w:r>
      <w:bookmarkStart w:id="105" w:name="_Toc500412294"/>
      <w:r>
        <w:rPr>
          <w:rFonts w:hint="eastAsia" w:asciiTheme="minorEastAsia" w:hAnsiTheme="minorEastAsia" w:eastAsiaTheme="minorEastAsia"/>
          <w:b/>
          <w:sz w:val="28"/>
          <w:szCs w:val="28"/>
          <w:shd w:val="clear" w:color="auto" w:fill="FFFFFF"/>
        </w:rPr>
        <w:t xml:space="preserve">5 </w:t>
      </w:r>
      <w:r>
        <w:rPr>
          <w:rFonts w:hint="eastAsia" w:asciiTheme="minorEastAsia" w:hAnsiTheme="minorEastAsia" w:eastAsiaTheme="minorEastAsia"/>
          <w:bCs/>
          <w:sz w:val="28"/>
          <w:szCs w:val="28"/>
          <w:shd w:val="clear" w:color="auto" w:fill="FFFFFF"/>
        </w:rPr>
        <w:t>临时</w:t>
      </w:r>
      <w:r>
        <w:rPr>
          <w:rFonts w:hint="eastAsia" w:asciiTheme="minorEastAsia" w:hAnsiTheme="minorEastAsia" w:eastAsiaTheme="minorEastAsia"/>
          <w:sz w:val="28"/>
          <w:szCs w:val="28"/>
          <w:shd w:val="clear" w:color="auto" w:fill="FFFFFF"/>
        </w:rPr>
        <w:t>水土保持设计应加强雨水资源的合理利用，优化地表径流控制，并与排水设施衔接</w:t>
      </w:r>
      <w:bookmarkEnd w:id="105"/>
      <w:r>
        <w:rPr>
          <w:rFonts w:hint="eastAsia" w:asciiTheme="minorEastAsia" w:hAnsiTheme="minorEastAsia" w:eastAsiaTheme="minorEastAsia"/>
          <w:sz w:val="28"/>
          <w:szCs w:val="28"/>
          <w:shd w:val="clear" w:color="auto" w:fill="FFFFFF"/>
        </w:rPr>
        <w:t>；另宜考虑超标准降雨情况下的应急措施。</w:t>
      </w:r>
    </w:p>
    <w:bookmarkEnd w:id="104"/>
    <w:p>
      <w:pPr>
        <w:widowControl/>
        <w:spacing w:line="360" w:lineRule="auto"/>
        <w:jc w:val="left"/>
        <w:rPr>
          <w:rFonts w:asciiTheme="minorEastAsia" w:hAnsiTheme="minorEastAsia" w:eastAsiaTheme="minorEastAsia"/>
          <w:sz w:val="28"/>
          <w:szCs w:val="28"/>
          <w:shd w:val="clear" w:color="auto" w:fill="FFFFFF"/>
        </w:rPr>
      </w:pPr>
      <w:r>
        <w:rPr>
          <w:rFonts w:hint="eastAsia" w:asciiTheme="minorEastAsia" w:hAnsiTheme="minorEastAsia" w:eastAsiaTheme="minorEastAsia"/>
          <w:b/>
          <w:sz w:val="28"/>
          <w:szCs w:val="28"/>
          <w:shd w:val="clear" w:color="auto" w:fill="FFFFFF"/>
        </w:rPr>
        <w:t xml:space="preserve">7.4.6 </w:t>
      </w:r>
      <w:r>
        <w:rPr>
          <w:rFonts w:hint="eastAsia" w:asciiTheme="minorEastAsia" w:hAnsiTheme="minorEastAsia" w:eastAsiaTheme="minorEastAsia"/>
          <w:sz w:val="28"/>
          <w:szCs w:val="28"/>
          <w:shd w:val="clear" w:color="auto" w:fill="FFFFFF"/>
        </w:rPr>
        <w:t>建设工程项目设计应考虑施工过程中尽量少挖少弃，并应综合利用开挖土</w:t>
      </w:r>
      <w:r>
        <w:rPr>
          <w:rFonts w:asciiTheme="minorEastAsia" w:hAnsiTheme="minorEastAsia" w:eastAsiaTheme="minorEastAsia"/>
          <w:sz w:val="28"/>
          <w:szCs w:val="28"/>
          <w:shd w:val="clear" w:color="auto" w:fill="FFFFFF"/>
        </w:rPr>
        <w:t>石方</w:t>
      </w:r>
      <w:r>
        <w:rPr>
          <w:rFonts w:hint="eastAsia" w:asciiTheme="minorEastAsia" w:hAnsiTheme="minorEastAsia" w:eastAsiaTheme="minorEastAsia"/>
          <w:sz w:val="28"/>
          <w:szCs w:val="28"/>
          <w:shd w:val="clear" w:color="auto" w:fill="FFFFFF"/>
        </w:rPr>
        <w:t>。</w:t>
      </w:r>
    </w:p>
    <w:p>
      <w:pPr>
        <w:widowControl/>
        <w:spacing w:line="360" w:lineRule="auto"/>
        <w:jc w:val="left"/>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【条文说明】</w:t>
      </w:r>
      <w:r>
        <w:rPr>
          <w:rFonts w:hint="eastAsia" w:ascii="微软雅黑" w:hAnsi="微软雅黑" w:eastAsia="微软雅黑" w:cs="微软雅黑"/>
          <w:b/>
          <w:bCs/>
          <w:kern w:val="0"/>
          <w:sz w:val="28"/>
          <w:szCs w:val="28"/>
        </w:rPr>
        <w:t xml:space="preserve">7.4.6 </w:t>
      </w:r>
      <w:r>
        <w:rPr>
          <w:rFonts w:hint="eastAsia" w:ascii="微软雅黑" w:hAnsi="微软雅黑" w:eastAsia="微软雅黑" w:cs="微软雅黑"/>
          <w:kern w:val="0"/>
          <w:sz w:val="28"/>
          <w:szCs w:val="28"/>
        </w:rPr>
        <w:t>设计可通过优化竖向标高、提出合理调整施工时序建议等措施，减少土石方量。设计所不能完全利用的土石方，应外弃到合法余泥渣土受纳场或项目指定弃渣场。</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bookmarkEnd w:id="102"/>
    <w:p>
      <w:pPr>
        <w:pStyle w:val="3"/>
        <w:rPr>
          <w:kern w:val="0"/>
        </w:rPr>
      </w:pPr>
      <w:bookmarkStart w:id="106" w:name="_Toc7306"/>
      <w:bookmarkStart w:id="107" w:name="_Toc21651"/>
      <w:r>
        <w:rPr>
          <w:rFonts w:hint="eastAsia"/>
          <w:kern w:val="0"/>
        </w:rPr>
        <w:t>7</w:t>
      </w:r>
      <w:r>
        <w:rPr>
          <w:kern w:val="0"/>
        </w:rPr>
        <w:t>.</w:t>
      </w:r>
      <w:r>
        <w:rPr>
          <w:rFonts w:hint="eastAsia"/>
          <w:kern w:val="0"/>
        </w:rPr>
        <w:t>5黑臭水体治理工程</w:t>
      </w:r>
      <w:bookmarkEnd w:id="106"/>
      <w:bookmarkEnd w:id="107"/>
    </w:p>
    <w:p>
      <w:pPr>
        <w:widowControl/>
        <w:spacing w:line="360" w:lineRule="auto"/>
        <w:jc w:val="left"/>
        <w:rPr>
          <w:rFonts w:asciiTheme="minorEastAsia" w:hAnsiTheme="minorEastAsia" w:eastAsiaTheme="minorEastAsia"/>
          <w:sz w:val="28"/>
          <w:szCs w:val="28"/>
          <w:shd w:val="clear" w:color="auto" w:fill="FFFFFF"/>
        </w:rPr>
      </w:pPr>
      <w:r>
        <w:rPr>
          <w:rFonts w:hint="eastAsia" w:asciiTheme="minorEastAsia" w:hAnsiTheme="minorEastAsia" w:eastAsiaTheme="minorEastAsia"/>
          <w:b/>
          <w:sz w:val="28"/>
          <w:szCs w:val="28"/>
          <w:shd w:val="clear" w:color="auto" w:fill="FFFFFF"/>
        </w:rPr>
        <w:t>7</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5</w:t>
      </w:r>
      <w:r>
        <w:rPr>
          <w:rFonts w:asciiTheme="minorEastAsia" w:hAnsiTheme="minorEastAsia" w:eastAsiaTheme="minorEastAsia"/>
          <w:b/>
          <w:sz w:val="28"/>
          <w:szCs w:val="28"/>
          <w:shd w:val="clear" w:color="auto" w:fill="FFFFFF"/>
        </w:rPr>
        <w:t>.1</w:t>
      </w:r>
      <w:r>
        <w:rPr>
          <w:rFonts w:asciiTheme="minorEastAsia" w:hAnsiTheme="minorEastAsia" w:eastAsiaTheme="minorEastAsia"/>
          <w:sz w:val="28"/>
          <w:szCs w:val="28"/>
          <w:shd w:val="clear" w:color="auto" w:fill="FFFFFF"/>
        </w:rPr>
        <w:t>黑臭水体</w:t>
      </w:r>
      <w:r>
        <w:rPr>
          <w:rFonts w:hint="eastAsia" w:asciiTheme="minorEastAsia" w:hAnsiTheme="minorEastAsia" w:eastAsiaTheme="minorEastAsia"/>
          <w:sz w:val="28"/>
          <w:szCs w:val="28"/>
          <w:shd w:val="clear" w:color="auto" w:fill="FFFFFF"/>
        </w:rPr>
        <w:t>治理工程，</w:t>
      </w:r>
      <w:r>
        <w:rPr>
          <w:rFonts w:asciiTheme="minorEastAsia" w:hAnsiTheme="minorEastAsia" w:eastAsiaTheme="minorEastAsia"/>
          <w:sz w:val="28"/>
          <w:szCs w:val="28"/>
          <w:shd w:val="clear" w:color="auto" w:fill="FFFFFF"/>
        </w:rPr>
        <w:t xml:space="preserve">应以保护现状生态水系，恢复原有河湖生态系统的环境容量，减少城市建设对生态环境的影响为前提，加强河湖水系对于降雨径流的调蓄利用功能，提高雨水、再生水利用效率。 </w:t>
      </w:r>
    </w:p>
    <w:p>
      <w:pPr>
        <w:widowControl/>
        <w:spacing w:line="360" w:lineRule="auto"/>
        <w:jc w:val="left"/>
        <w:rPr>
          <w:rFonts w:asciiTheme="minorEastAsia" w:hAnsiTheme="minorEastAsia" w:eastAsiaTheme="minorEastAsia"/>
          <w:b/>
          <w:sz w:val="28"/>
          <w:szCs w:val="28"/>
          <w:shd w:val="clear" w:color="auto" w:fill="FFFFFF"/>
        </w:rPr>
      </w:pPr>
      <w:r>
        <w:rPr>
          <w:rFonts w:hint="eastAsia" w:asciiTheme="minorEastAsia" w:hAnsiTheme="minorEastAsia" w:eastAsiaTheme="minorEastAsia"/>
          <w:b/>
          <w:sz w:val="28"/>
          <w:szCs w:val="28"/>
          <w:shd w:val="clear" w:color="auto" w:fill="FFFFFF"/>
        </w:rPr>
        <w:t>7</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5</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 xml:space="preserve">2 </w:t>
      </w:r>
      <w:r>
        <w:rPr>
          <w:rFonts w:asciiTheme="minorEastAsia" w:hAnsiTheme="minorEastAsia" w:eastAsiaTheme="minorEastAsia"/>
          <w:sz w:val="28"/>
          <w:szCs w:val="28"/>
          <w:shd w:val="clear" w:color="auto" w:fill="FFFFFF"/>
        </w:rPr>
        <w:t>黑臭水体</w:t>
      </w:r>
      <w:r>
        <w:rPr>
          <w:rFonts w:hint="eastAsia" w:asciiTheme="minorEastAsia" w:hAnsiTheme="minorEastAsia" w:eastAsiaTheme="minorEastAsia"/>
          <w:sz w:val="28"/>
          <w:szCs w:val="28"/>
          <w:shd w:val="clear" w:color="auto" w:fill="FFFFFF"/>
        </w:rPr>
        <w:t>治理</w:t>
      </w:r>
      <w:r>
        <w:rPr>
          <w:rFonts w:asciiTheme="minorEastAsia" w:hAnsiTheme="minorEastAsia" w:eastAsiaTheme="minorEastAsia"/>
          <w:sz w:val="28"/>
          <w:szCs w:val="28"/>
          <w:shd w:val="clear" w:color="auto" w:fill="FFFFFF"/>
        </w:rPr>
        <w:t>方案中，应根据水体类型和水文特征的不同，区分封闭水体和开敞水体、需要承担防洪功能水体和不承担防洪功能水体等，分类分级</w:t>
      </w:r>
      <w:r>
        <w:rPr>
          <w:rFonts w:hint="eastAsia" w:asciiTheme="minorEastAsia" w:hAnsiTheme="minorEastAsia" w:eastAsiaTheme="minorEastAsia"/>
          <w:sz w:val="28"/>
          <w:szCs w:val="28"/>
          <w:shd w:val="clear" w:color="auto" w:fill="FFFFFF"/>
        </w:rPr>
        <w:t>予以</w:t>
      </w:r>
      <w:r>
        <w:rPr>
          <w:rFonts w:asciiTheme="minorEastAsia" w:hAnsiTheme="minorEastAsia" w:eastAsiaTheme="minorEastAsia"/>
          <w:sz w:val="28"/>
          <w:szCs w:val="28"/>
          <w:shd w:val="clear" w:color="auto" w:fill="FFFFFF"/>
        </w:rPr>
        <w:t>治理。</w:t>
      </w:r>
    </w:p>
    <w:p>
      <w:pPr>
        <w:widowControl/>
        <w:spacing w:line="360" w:lineRule="auto"/>
        <w:jc w:val="left"/>
        <w:rPr>
          <w:rFonts w:asciiTheme="minorEastAsia" w:hAnsiTheme="minorEastAsia" w:eastAsiaTheme="minorEastAsia"/>
          <w:sz w:val="28"/>
          <w:szCs w:val="28"/>
          <w:shd w:val="clear" w:color="auto" w:fill="FFFFFF"/>
        </w:rPr>
      </w:pPr>
      <w:r>
        <w:rPr>
          <w:rFonts w:hint="eastAsia" w:asciiTheme="minorEastAsia" w:hAnsiTheme="minorEastAsia" w:eastAsiaTheme="minorEastAsia"/>
          <w:b/>
          <w:sz w:val="28"/>
          <w:szCs w:val="28"/>
          <w:shd w:val="clear" w:color="auto" w:fill="FFFFFF"/>
        </w:rPr>
        <w:t>7</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5</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3</w:t>
      </w:r>
      <w:r>
        <w:rPr>
          <w:rFonts w:asciiTheme="minorEastAsia" w:hAnsiTheme="minorEastAsia" w:eastAsiaTheme="minorEastAsia"/>
          <w:sz w:val="28"/>
          <w:szCs w:val="28"/>
          <w:shd w:val="clear" w:color="auto" w:fill="FFFFFF"/>
        </w:rPr>
        <w:t>黑臭水体</w:t>
      </w:r>
      <w:r>
        <w:rPr>
          <w:rFonts w:hint="eastAsia" w:asciiTheme="minorEastAsia" w:hAnsiTheme="minorEastAsia" w:eastAsiaTheme="minorEastAsia"/>
          <w:sz w:val="28"/>
          <w:szCs w:val="28"/>
          <w:shd w:val="clear" w:color="auto" w:fill="FFFFFF"/>
        </w:rPr>
        <w:t>治理，</w:t>
      </w:r>
      <w:r>
        <w:rPr>
          <w:rFonts w:asciiTheme="minorEastAsia" w:hAnsiTheme="minorEastAsia" w:eastAsiaTheme="minorEastAsia"/>
          <w:sz w:val="28"/>
          <w:szCs w:val="28"/>
          <w:shd w:val="clear" w:color="auto" w:fill="FFFFFF"/>
        </w:rPr>
        <w:t>应按“一河一策”方针</w:t>
      </w:r>
      <w:r>
        <w:rPr>
          <w:rFonts w:hint="eastAsia" w:asciiTheme="minorEastAsia" w:hAnsiTheme="minorEastAsia" w:eastAsiaTheme="minorEastAsia"/>
          <w:sz w:val="28"/>
          <w:szCs w:val="28"/>
          <w:shd w:val="clear" w:color="auto" w:fill="FFFFFF"/>
        </w:rPr>
        <w:t>，因地制宜</w:t>
      </w:r>
      <w:r>
        <w:rPr>
          <w:rFonts w:asciiTheme="minorEastAsia" w:hAnsiTheme="minorEastAsia" w:eastAsiaTheme="minorEastAsia"/>
          <w:sz w:val="28"/>
          <w:szCs w:val="28"/>
          <w:shd w:val="clear" w:color="auto" w:fill="FFFFFF"/>
        </w:rPr>
        <w:t>采用外源减排、内源清淤、清水补给、活水循环</w:t>
      </w:r>
      <w:r>
        <w:rPr>
          <w:rFonts w:hint="eastAsia" w:asciiTheme="minorEastAsia" w:hAnsiTheme="minorEastAsia" w:eastAsiaTheme="minorEastAsia"/>
          <w:sz w:val="28"/>
          <w:szCs w:val="28"/>
          <w:shd w:val="clear" w:color="auto" w:fill="FFFFFF"/>
        </w:rPr>
        <w:t>和</w:t>
      </w:r>
      <w:r>
        <w:rPr>
          <w:rFonts w:asciiTheme="minorEastAsia" w:hAnsiTheme="minorEastAsia" w:eastAsiaTheme="minorEastAsia"/>
          <w:sz w:val="28"/>
          <w:szCs w:val="28"/>
          <w:shd w:val="clear" w:color="auto" w:fill="FFFFFF"/>
        </w:rPr>
        <w:t>生态恢复等</w:t>
      </w:r>
      <w:r>
        <w:rPr>
          <w:rFonts w:hint="eastAsia" w:asciiTheme="minorEastAsia" w:hAnsiTheme="minorEastAsia" w:eastAsiaTheme="minorEastAsia"/>
          <w:sz w:val="28"/>
          <w:szCs w:val="28"/>
          <w:shd w:val="clear" w:color="auto" w:fill="FFFFFF"/>
        </w:rPr>
        <w:t>技术</w:t>
      </w:r>
      <w:r>
        <w:rPr>
          <w:rFonts w:asciiTheme="minorEastAsia" w:hAnsiTheme="minorEastAsia" w:eastAsiaTheme="minorEastAsia"/>
          <w:sz w:val="28"/>
          <w:szCs w:val="28"/>
          <w:shd w:val="clear" w:color="auto" w:fill="FFFFFF"/>
        </w:rPr>
        <w:t xml:space="preserve">措施。 </w:t>
      </w:r>
    </w:p>
    <w:p>
      <w:pPr>
        <w:widowControl/>
        <w:spacing w:line="360" w:lineRule="auto"/>
        <w:jc w:val="left"/>
        <w:rPr>
          <w:rFonts w:asciiTheme="minorEastAsia" w:hAnsiTheme="minorEastAsia" w:eastAsiaTheme="minorEastAsia"/>
          <w:sz w:val="28"/>
          <w:szCs w:val="28"/>
          <w:shd w:val="clear" w:color="auto" w:fill="FFFFFF"/>
        </w:rPr>
      </w:pPr>
      <w:r>
        <w:rPr>
          <w:rFonts w:hint="eastAsia" w:asciiTheme="minorEastAsia" w:hAnsiTheme="minorEastAsia" w:eastAsiaTheme="minorEastAsia"/>
          <w:b/>
          <w:sz w:val="28"/>
          <w:szCs w:val="28"/>
          <w:shd w:val="clear" w:color="auto" w:fill="FFFFFF"/>
        </w:rPr>
        <w:t>7</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5</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4</w:t>
      </w:r>
      <w:r>
        <w:rPr>
          <w:rFonts w:asciiTheme="minorEastAsia" w:hAnsiTheme="minorEastAsia" w:eastAsiaTheme="minorEastAsia"/>
          <w:sz w:val="28"/>
          <w:szCs w:val="28"/>
          <w:shd w:val="clear" w:color="auto" w:fill="FFFFFF"/>
        </w:rPr>
        <w:t xml:space="preserve"> 黑臭水体</w:t>
      </w:r>
      <w:r>
        <w:rPr>
          <w:rFonts w:hint="eastAsia" w:asciiTheme="minorEastAsia" w:hAnsiTheme="minorEastAsia" w:eastAsiaTheme="minorEastAsia"/>
          <w:sz w:val="28"/>
          <w:szCs w:val="28"/>
          <w:shd w:val="clear" w:color="auto" w:fill="FFFFFF"/>
        </w:rPr>
        <w:t>治理</w:t>
      </w:r>
      <w:r>
        <w:rPr>
          <w:rFonts w:asciiTheme="minorEastAsia" w:hAnsiTheme="minorEastAsia" w:eastAsiaTheme="minorEastAsia"/>
          <w:sz w:val="28"/>
          <w:szCs w:val="28"/>
          <w:shd w:val="clear" w:color="auto" w:fill="FFFFFF"/>
        </w:rPr>
        <w:t>，应加强对河湖</w:t>
      </w:r>
      <w:r>
        <w:rPr>
          <w:rFonts w:hint="eastAsia" w:asciiTheme="minorEastAsia" w:hAnsiTheme="minorEastAsia" w:eastAsiaTheme="minorEastAsia"/>
          <w:sz w:val="28"/>
          <w:szCs w:val="28"/>
          <w:shd w:val="clear" w:color="auto" w:fill="FFFFFF"/>
        </w:rPr>
        <w:t>、</w:t>
      </w:r>
      <w:r>
        <w:rPr>
          <w:rFonts w:asciiTheme="minorEastAsia" w:hAnsiTheme="minorEastAsia" w:eastAsiaTheme="minorEastAsia"/>
          <w:sz w:val="28"/>
          <w:szCs w:val="28"/>
          <w:shd w:val="clear" w:color="auto" w:fill="FFFFFF"/>
        </w:rPr>
        <w:t>坑塘、湿地等水体自然形态的保护和恢复，</w:t>
      </w:r>
      <w:r>
        <w:rPr>
          <w:rFonts w:hint="eastAsia" w:asciiTheme="minorEastAsia" w:hAnsiTheme="minorEastAsia" w:eastAsiaTheme="minorEastAsia"/>
          <w:sz w:val="28"/>
          <w:szCs w:val="28"/>
          <w:shd w:val="clear" w:color="auto" w:fill="FFFFFF"/>
        </w:rPr>
        <w:t>宜保持</w:t>
      </w:r>
      <w:r>
        <w:rPr>
          <w:rFonts w:asciiTheme="minorEastAsia" w:hAnsiTheme="minorEastAsia" w:eastAsiaTheme="minorEastAsia"/>
          <w:sz w:val="28"/>
          <w:szCs w:val="28"/>
          <w:shd w:val="clear" w:color="auto" w:fill="FFFFFF"/>
        </w:rPr>
        <w:t>河湖水系的自然连通</w:t>
      </w:r>
      <w:r>
        <w:rPr>
          <w:rFonts w:hint="eastAsia" w:asciiTheme="minorEastAsia" w:hAnsiTheme="minorEastAsia" w:eastAsiaTheme="minorEastAsia"/>
          <w:sz w:val="28"/>
          <w:szCs w:val="28"/>
          <w:shd w:val="clear" w:color="auto" w:fill="FFFFFF"/>
        </w:rPr>
        <w:t>，</w:t>
      </w:r>
      <w:r>
        <w:rPr>
          <w:rFonts w:asciiTheme="minorEastAsia" w:hAnsiTheme="minorEastAsia" w:eastAsiaTheme="minorEastAsia"/>
          <w:sz w:val="28"/>
          <w:szCs w:val="28"/>
          <w:shd w:val="clear" w:color="auto" w:fill="FFFFFF"/>
        </w:rPr>
        <w:t>因势利导改造渠化河道</w:t>
      </w:r>
      <w:r>
        <w:rPr>
          <w:rFonts w:hint="eastAsia" w:asciiTheme="minorEastAsia" w:hAnsiTheme="minorEastAsia" w:eastAsiaTheme="minorEastAsia"/>
          <w:sz w:val="28"/>
          <w:szCs w:val="28"/>
          <w:shd w:val="clear" w:color="auto" w:fill="FFFFFF"/>
        </w:rPr>
        <w:t>。不得</w:t>
      </w:r>
      <w:r>
        <w:rPr>
          <w:rFonts w:asciiTheme="minorEastAsia" w:hAnsiTheme="minorEastAsia" w:eastAsiaTheme="minorEastAsia"/>
          <w:sz w:val="28"/>
          <w:szCs w:val="28"/>
          <w:shd w:val="clear" w:color="auto" w:fill="FFFFFF"/>
        </w:rPr>
        <w:t>采用填湖造地、截弯取直</w:t>
      </w:r>
      <w:r>
        <w:rPr>
          <w:rFonts w:hint="eastAsia" w:asciiTheme="minorEastAsia" w:hAnsiTheme="minorEastAsia" w:eastAsiaTheme="minorEastAsia"/>
          <w:sz w:val="28"/>
          <w:szCs w:val="28"/>
          <w:shd w:val="clear" w:color="auto" w:fill="FFFFFF"/>
        </w:rPr>
        <w:t>、</w:t>
      </w:r>
      <w:r>
        <w:rPr>
          <w:rFonts w:asciiTheme="minorEastAsia" w:hAnsiTheme="minorEastAsia" w:eastAsiaTheme="minorEastAsia"/>
          <w:sz w:val="28"/>
          <w:szCs w:val="28"/>
          <w:shd w:val="clear" w:color="auto" w:fill="FFFFFF"/>
        </w:rPr>
        <w:t>河道硬化等破坏水生态环境</w:t>
      </w:r>
      <w:r>
        <w:rPr>
          <w:rFonts w:hint="eastAsia" w:asciiTheme="minorEastAsia" w:hAnsiTheme="minorEastAsia" w:eastAsiaTheme="minorEastAsia"/>
          <w:sz w:val="28"/>
          <w:szCs w:val="28"/>
          <w:shd w:val="clear" w:color="auto" w:fill="FFFFFF"/>
        </w:rPr>
        <w:t>的</w:t>
      </w:r>
      <w:r>
        <w:rPr>
          <w:rFonts w:asciiTheme="minorEastAsia" w:hAnsiTheme="minorEastAsia" w:eastAsiaTheme="minorEastAsia"/>
          <w:sz w:val="28"/>
          <w:szCs w:val="28"/>
          <w:shd w:val="clear" w:color="auto" w:fill="FFFFFF"/>
        </w:rPr>
        <w:t>设计方案。</w:t>
      </w:r>
    </w:p>
    <w:p>
      <w:pPr>
        <w:widowControl/>
        <w:spacing w:line="360" w:lineRule="auto"/>
        <w:jc w:val="left"/>
        <w:rPr>
          <w:rFonts w:ascii="微软雅黑" w:hAnsi="微软雅黑" w:eastAsia="微软雅黑" w:cs="微软雅黑"/>
          <w:sz w:val="28"/>
          <w:szCs w:val="28"/>
          <w:shd w:val="clear" w:color="auto" w:fill="FFFFFF"/>
        </w:rPr>
      </w:pPr>
      <w:r>
        <w:rPr>
          <w:rFonts w:hint="eastAsia" w:ascii="微软雅黑" w:hAnsi="微软雅黑" w:eastAsia="微软雅黑" w:cs="微软雅黑"/>
          <w:sz w:val="28"/>
          <w:szCs w:val="28"/>
          <w:shd w:val="clear" w:color="auto" w:fill="FFFFFF"/>
        </w:rPr>
        <w:t>【条文说明】</w:t>
      </w:r>
      <w:r>
        <w:rPr>
          <w:rFonts w:hint="eastAsia" w:ascii="微软雅黑" w:hAnsi="微软雅黑" w:eastAsia="微软雅黑" w:cs="微软雅黑"/>
          <w:b/>
          <w:sz w:val="28"/>
          <w:szCs w:val="28"/>
          <w:shd w:val="clear" w:color="auto" w:fill="FFFFFF"/>
        </w:rPr>
        <w:t xml:space="preserve">7.5.4 </w:t>
      </w:r>
      <w:r>
        <w:rPr>
          <w:rFonts w:hint="eastAsia" w:ascii="微软雅黑" w:hAnsi="微软雅黑" w:eastAsia="微软雅黑" w:cs="微软雅黑"/>
          <w:sz w:val="28"/>
          <w:szCs w:val="28"/>
          <w:shd w:val="clear" w:color="auto" w:fill="FFFFFF"/>
        </w:rPr>
        <w:t xml:space="preserve">本条旨在构建城市良性水循环系统，逐步改善水环境质量；重塑健康自然的弯曲河岸线，恢复自然深潭浅滩和泛洪漫滩，实施生态修复，营造多样性生物生存环境。 </w:t>
      </w:r>
    </w:p>
    <w:p>
      <w:pPr>
        <w:widowControl/>
        <w:spacing w:line="360" w:lineRule="auto"/>
        <w:jc w:val="left"/>
        <w:rPr>
          <w:rFonts w:asciiTheme="minorEastAsia" w:hAnsiTheme="minorEastAsia" w:eastAsiaTheme="minorEastAsia"/>
          <w:sz w:val="28"/>
          <w:szCs w:val="28"/>
          <w:shd w:val="clear" w:color="auto" w:fill="FFFFFF"/>
        </w:rPr>
      </w:pPr>
      <w:r>
        <w:rPr>
          <w:rFonts w:hint="eastAsia" w:asciiTheme="minorEastAsia" w:hAnsiTheme="minorEastAsia" w:eastAsiaTheme="minorEastAsia"/>
          <w:b/>
          <w:sz w:val="28"/>
          <w:szCs w:val="28"/>
          <w:shd w:val="clear" w:color="auto" w:fill="FFFFFF"/>
        </w:rPr>
        <w:t>7</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5</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5</w:t>
      </w:r>
      <w:r>
        <w:rPr>
          <w:rFonts w:asciiTheme="minorEastAsia" w:hAnsiTheme="minorEastAsia" w:eastAsiaTheme="minorEastAsia"/>
          <w:sz w:val="28"/>
          <w:szCs w:val="28"/>
          <w:shd w:val="clear" w:color="auto" w:fill="FFFFFF"/>
        </w:rPr>
        <w:t>黑臭水体</w:t>
      </w:r>
      <w:r>
        <w:rPr>
          <w:rFonts w:hint="eastAsia" w:asciiTheme="minorEastAsia" w:hAnsiTheme="minorEastAsia" w:eastAsiaTheme="minorEastAsia"/>
          <w:sz w:val="28"/>
          <w:szCs w:val="28"/>
          <w:shd w:val="clear" w:color="auto" w:fill="FFFFFF"/>
        </w:rPr>
        <w:t>治理</w:t>
      </w:r>
      <w:r>
        <w:rPr>
          <w:rFonts w:asciiTheme="minorEastAsia" w:hAnsiTheme="minorEastAsia" w:eastAsiaTheme="minorEastAsia"/>
          <w:sz w:val="28"/>
          <w:szCs w:val="28"/>
          <w:shd w:val="clear" w:color="auto" w:fill="FFFFFF"/>
        </w:rPr>
        <w:t>，</w:t>
      </w:r>
      <w:r>
        <w:rPr>
          <w:rFonts w:hint="eastAsia" w:asciiTheme="minorEastAsia" w:hAnsiTheme="minorEastAsia" w:eastAsiaTheme="minorEastAsia"/>
          <w:sz w:val="28"/>
          <w:szCs w:val="28"/>
          <w:shd w:val="clear" w:color="auto" w:fill="FFFFFF"/>
        </w:rPr>
        <w:t>不得</w:t>
      </w:r>
      <w:r>
        <w:rPr>
          <w:rFonts w:asciiTheme="minorEastAsia" w:hAnsiTheme="minorEastAsia" w:eastAsiaTheme="minorEastAsia"/>
          <w:sz w:val="28"/>
          <w:szCs w:val="28"/>
          <w:shd w:val="clear" w:color="auto" w:fill="FFFFFF"/>
        </w:rPr>
        <w:t>采用盖板</w:t>
      </w:r>
      <w:r>
        <w:rPr>
          <w:rFonts w:hint="eastAsia" w:asciiTheme="minorEastAsia" w:hAnsiTheme="minorEastAsia" w:eastAsiaTheme="minorEastAsia"/>
          <w:sz w:val="28"/>
          <w:szCs w:val="28"/>
          <w:shd w:val="clear" w:color="auto" w:fill="FFFFFF"/>
        </w:rPr>
        <w:t>的</w:t>
      </w:r>
      <w:r>
        <w:rPr>
          <w:rFonts w:asciiTheme="minorEastAsia" w:hAnsiTheme="minorEastAsia" w:eastAsiaTheme="minorEastAsia"/>
          <w:sz w:val="28"/>
          <w:szCs w:val="28"/>
          <w:shd w:val="clear" w:color="auto" w:fill="FFFFFF"/>
        </w:rPr>
        <w:t>方式将现状明沟改为暗沟。对于</w:t>
      </w:r>
      <w:r>
        <w:rPr>
          <w:rFonts w:hint="eastAsia" w:asciiTheme="minorEastAsia" w:hAnsiTheme="minorEastAsia" w:eastAsiaTheme="minorEastAsia"/>
          <w:sz w:val="28"/>
          <w:szCs w:val="28"/>
          <w:shd w:val="clear" w:color="auto" w:fill="FFFFFF"/>
        </w:rPr>
        <w:t>既有</w:t>
      </w:r>
      <w:r>
        <w:rPr>
          <w:rFonts w:asciiTheme="minorEastAsia" w:hAnsiTheme="minorEastAsia" w:eastAsiaTheme="minorEastAsia"/>
          <w:sz w:val="28"/>
          <w:szCs w:val="28"/>
          <w:shd w:val="clear" w:color="auto" w:fill="FFFFFF"/>
        </w:rPr>
        <w:t>暗沟，宜在充分论证的基础上，逐步打开，恢复其生态功能。</w:t>
      </w:r>
    </w:p>
    <w:p>
      <w:pPr>
        <w:widowControl/>
        <w:spacing w:line="360" w:lineRule="auto"/>
        <w:jc w:val="left"/>
        <w:rPr>
          <w:rFonts w:asciiTheme="minorEastAsia" w:hAnsiTheme="minorEastAsia" w:eastAsiaTheme="minorEastAsia"/>
          <w:sz w:val="28"/>
          <w:szCs w:val="28"/>
          <w:shd w:val="clear" w:color="auto" w:fill="FFFFFF"/>
        </w:rPr>
      </w:pPr>
      <w:r>
        <w:rPr>
          <w:rFonts w:hint="eastAsia" w:asciiTheme="minorEastAsia" w:hAnsiTheme="minorEastAsia" w:eastAsiaTheme="minorEastAsia"/>
          <w:b/>
          <w:sz w:val="28"/>
          <w:szCs w:val="28"/>
          <w:shd w:val="clear" w:color="auto" w:fill="FFFFFF"/>
        </w:rPr>
        <w:t>7</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5</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6</w:t>
      </w:r>
      <w:r>
        <w:rPr>
          <w:rFonts w:asciiTheme="minorEastAsia" w:hAnsiTheme="minorEastAsia" w:eastAsiaTheme="minorEastAsia"/>
          <w:sz w:val="28"/>
          <w:szCs w:val="28"/>
          <w:shd w:val="clear" w:color="auto" w:fill="FFFFFF"/>
        </w:rPr>
        <w:t>黑臭水体治理</w:t>
      </w:r>
      <w:r>
        <w:rPr>
          <w:rFonts w:hint="eastAsia" w:asciiTheme="minorEastAsia" w:hAnsiTheme="minorEastAsia" w:eastAsiaTheme="minorEastAsia"/>
          <w:sz w:val="28"/>
          <w:szCs w:val="28"/>
          <w:shd w:val="clear" w:color="auto" w:fill="FFFFFF"/>
        </w:rPr>
        <w:t>，</w:t>
      </w:r>
      <w:r>
        <w:rPr>
          <w:rFonts w:asciiTheme="minorEastAsia" w:hAnsiTheme="minorEastAsia" w:eastAsiaTheme="minorEastAsia"/>
          <w:sz w:val="28"/>
          <w:szCs w:val="28"/>
          <w:shd w:val="clear" w:color="auto" w:fill="FFFFFF"/>
        </w:rPr>
        <w:t>应谨慎选择以向水体中投加化学药剂为主的治理措施。</w:t>
      </w:r>
    </w:p>
    <w:p>
      <w:pPr>
        <w:widowControl/>
        <w:spacing w:line="360" w:lineRule="auto"/>
        <w:jc w:val="left"/>
        <w:rPr>
          <w:rFonts w:ascii="微软雅黑" w:hAnsi="微软雅黑" w:eastAsia="微软雅黑" w:cs="微软雅黑"/>
          <w:sz w:val="28"/>
          <w:szCs w:val="28"/>
          <w:shd w:val="clear" w:color="auto" w:fill="FFFFFF"/>
        </w:rPr>
      </w:pPr>
      <w:r>
        <w:rPr>
          <w:rFonts w:hint="eastAsia" w:ascii="微软雅黑" w:hAnsi="微软雅黑" w:eastAsia="微软雅黑" w:cs="微软雅黑"/>
          <w:sz w:val="28"/>
          <w:szCs w:val="28"/>
          <w:shd w:val="clear" w:color="auto" w:fill="FFFFFF"/>
        </w:rPr>
        <w:t>【条文说明】</w:t>
      </w:r>
      <w:r>
        <w:rPr>
          <w:rFonts w:hint="eastAsia" w:ascii="微软雅黑" w:hAnsi="微软雅黑" w:eastAsia="微软雅黑" w:cs="微软雅黑"/>
          <w:b/>
          <w:bCs/>
          <w:sz w:val="28"/>
          <w:szCs w:val="28"/>
          <w:shd w:val="clear" w:color="auto" w:fill="FFFFFF"/>
        </w:rPr>
        <w:t xml:space="preserve">7.5.6 </w:t>
      </w:r>
      <w:r>
        <w:rPr>
          <w:rFonts w:hint="eastAsia" w:ascii="微软雅黑" w:hAnsi="微软雅黑" w:eastAsia="微软雅黑" w:cs="微软雅黑"/>
          <w:sz w:val="28"/>
          <w:szCs w:val="28"/>
          <w:shd w:val="clear" w:color="auto" w:fill="FFFFFF"/>
        </w:rPr>
        <w:t>此条旨在避免造成二次污染。如确须采用以投加化学药剂为主的治理措施，应经充分论证，并提供论证报告。</w:t>
      </w:r>
    </w:p>
    <w:p>
      <w:pPr>
        <w:widowControl/>
        <w:spacing w:line="360" w:lineRule="auto"/>
        <w:jc w:val="left"/>
        <w:rPr>
          <w:rFonts w:asciiTheme="minorEastAsia" w:hAnsiTheme="minorEastAsia" w:eastAsiaTheme="minorEastAsia"/>
          <w:sz w:val="28"/>
          <w:szCs w:val="28"/>
          <w:shd w:val="clear" w:color="auto" w:fill="FFFFFF"/>
        </w:rPr>
      </w:pPr>
      <w:r>
        <w:rPr>
          <w:rFonts w:hint="eastAsia" w:asciiTheme="minorEastAsia" w:hAnsiTheme="minorEastAsia" w:eastAsiaTheme="minorEastAsia"/>
          <w:b/>
          <w:sz w:val="28"/>
          <w:szCs w:val="28"/>
          <w:shd w:val="clear" w:color="auto" w:fill="FFFFFF"/>
        </w:rPr>
        <w:t>7</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5</w:t>
      </w:r>
      <w:r>
        <w:rPr>
          <w:rFonts w:asciiTheme="minorEastAsia" w:hAnsiTheme="minorEastAsia" w:eastAsiaTheme="minorEastAsia"/>
          <w:b/>
          <w:sz w:val="28"/>
          <w:szCs w:val="28"/>
          <w:shd w:val="clear" w:color="auto" w:fill="FFFFFF"/>
        </w:rPr>
        <w:t>.</w:t>
      </w:r>
      <w:r>
        <w:rPr>
          <w:rFonts w:hint="eastAsia" w:asciiTheme="minorEastAsia" w:hAnsiTheme="minorEastAsia" w:eastAsiaTheme="minorEastAsia"/>
          <w:b/>
          <w:sz w:val="28"/>
          <w:szCs w:val="28"/>
          <w:shd w:val="clear" w:color="auto" w:fill="FFFFFF"/>
        </w:rPr>
        <w:t>7</w:t>
      </w:r>
      <w:r>
        <w:rPr>
          <w:rFonts w:asciiTheme="minorEastAsia" w:hAnsiTheme="minorEastAsia" w:eastAsiaTheme="minorEastAsia"/>
          <w:sz w:val="28"/>
          <w:szCs w:val="28"/>
          <w:shd w:val="clear" w:color="auto" w:fill="FFFFFF"/>
        </w:rPr>
        <w:t>合流制溢流污染控制方案设计，应建立</w:t>
      </w:r>
      <w:r>
        <w:rPr>
          <w:rFonts w:hint="eastAsia" w:asciiTheme="minorEastAsia" w:hAnsiTheme="minorEastAsia" w:eastAsiaTheme="minorEastAsia"/>
          <w:sz w:val="28"/>
          <w:szCs w:val="28"/>
          <w:shd w:val="clear" w:color="auto" w:fill="FFFFFF"/>
        </w:rPr>
        <w:t>数学模型或物理</w:t>
      </w:r>
      <w:r>
        <w:rPr>
          <w:rFonts w:asciiTheme="minorEastAsia" w:hAnsiTheme="minorEastAsia" w:eastAsiaTheme="minorEastAsia"/>
          <w:sz w:val="28"/>
          <w:szCs w:val="28"/>
          <w:shd w:val="clear" w:color="auto" w:fill="FFFFFF"/>
        </w:rPr>
        <w:t>模型，评估</w:t>
      </w:r>
      <w:r>
        <w:rPr>
          <w:rFonts w:hint="eastAsia" w:asciiTheme="minorEastAsia" w:hAnsiTheme="minorEastAsia" w:eastAsiaTheme="minorEastAsia"/>
          <w:sz w:val="28"/>
          <w:szCs w:val="28"/>
          <w:shd w:val="clear" w:color="auto" w:fill="FFFFFF"/>
        </w:rPr>
        <w:t>及</w:t>
      </w:r>
      <w:r>
        <w:rPr>
          <w:rFonts w:asciiTheme="minorEastAsia" w:hAnsiTheme="minorEastAsia" w:eastAsiaTheme="minorEastAsia"/>
          <w:sz w:val="28"/>
          <w:szCs w:val="28"/>
          <w:shd w:val="clear" w:color="auto" w:fill="FFFFFF"/>
        </w:rPr>
        <w:t>确保溢流频次和溢流量控制在允许范围内。经论证确需保留合流制排水系统的，新建截污管截流倍数不宜小于</w:t>
      </w:r>
      <w:r>
        <w:rPr>
          <w:rFonts w:hint="eastAsia" w:asciiTheme="minorEastAsia" w:hAnsiTheme="minorEastAsia" w:eastAsiaTheme="minorEastAsia"/>
          <w:sz w:val="28"/>
          <w:szCs w:val="28"/>
          <w:shd w:val="clear" w:color="auto" w:fill="FFFFFF"/>
        </w:rPr>
        <w:t>2</w:t>
      </w:r>
      <w:r>
        <w:rPr>
          <w:rFonts w:asciiTheme="minorEastAsia" w:hAnsiTheme="minorEastAsia" w:eastAsiaTheme="minorEastAsia"/>
          <w:sz w:val="28"/>
          <w:szCs w:val="28"/>
          <w:shd w:val="clear" w:color="auto" w:fill="FFFFFF"/>
        </w:rPr>
        <w:t xml:space="preserve">。 </w:t>
      </w:r>
    </w:p>
    <w:p>
      <w:pPr>
        <w:widowControl/>
        <w:spacing w:line="360" w:lineRule="auto"/>
        <w:jc w:val="left"/>
        <w:rPr>
          <w:rFonts w:ascii="微软雅黑" w:hAnsi="微软雅黑" w:eastAsia="微软雅黑" w:cs="微软雅黑"/>
          <w:sz w:val="28"/>
          <w:szCs w:val="28"/>
          <w:shd w:val="clear" w:color="auto" w:fill="FFFFFF"/>
        </w:rPr>
      </w:pPr>
      <w:r>
        <w:rPr>
          <w:rFonts w:hint="eastAsia" w:ascii="微软雅黑" w:hAnsi="微软雅黑" w:eastAsia="微软雅黑" w:cs="微软雅黑"/>
          <w:sz w:val="28"/>
          <w:szCs w:val="28"/>
          <w:shd w:val="clear" w:color="auto" w:fill="FFFFFF"/>
        </w:rPr>
        <w:t>【条文说明】</w:t>
      </w:r>
      <w:r>
        <w:rPr>
          <w:rFonts w:hint="eastAsia" w:ascii="微软雅黑" w:hAnsi="微软雅黑" w:eastAsia="微软雅黑" w:cs="微软雅黑"/>
          <w:b/>
          <w:bCs/>
          <w:sz w:val="28"/>
          <w:szCs w:val="28"/>
          <w:shd w:val="clear" w:color="auto" w:fill="FFFFFF"/>
        </w:rPr>
        <w:t xml:space="preserve">7.5.7 </w:t>
      </w:r>
      <w:r>
        <w:rPr>
          <w:rFonts w:hint="eastAsia" w:ascii="微软雅黑" w:hAnsi="微软雅黑" w:eastAsia="微软雅黑" w:cs="微软雅黑"/>
          <w:sz w:val="28"/>
          <w:szCs w:val="28"/>
          <w:shd w:val="clear" w:color="auto" w:fill="FFFFFF"/>
        </w:rPr>
        <w:t>深圳之外地区截污管，很多采用更高的截流倍数（3~5）；但深圳地区合流制排水系统多因考虑现阶段雨污分流工作推进，而作阶段性保留，因此取下限2。</w:t>
      </w:r>
    </w:p>
    <w:p>
      <w:pPr>
        <w:widowControl/>
        <w:spacing w:line="360" w:lineRule="auto"/>
        <w:jc w:val="left"/>
        <w:rPr>
          <w:rFonts w:asciiTheme="minorEastAsia" w:hAnsiTheme="minorEastAsia" w:eastAsiaTheme="minorEastAsia"/>
          <w:sz w:val="28"/>
          <w:szCs w:val="28"/>
          <w:shd w:val="clear" w:color="auto" w:fill="FFFFFF"/>
        </w:rPr>
      </w:pPr>
    </w:p>
    <w:p>
      <w:pPr>
        <w:pStyle w:val="2"/>
        <w:pageBreakBefore/>
        <w:rPr>
          <w:color w:val="000000" w:themeColor="text1"/>
        </w:rPr>
      </w:pPr>
      <w:bookmarkStart w:id="108" w:name="_Toc25391_WPSOffice_Level1"/>
      <w:bookmarkStart w:id="109" w:name="_Toc14745"/>
      <w:r>
        <w:rPr>
          <w:rFonts w:hint="eastAsia"/>
          <w:color w:val="000000" w:themeColor="text1"/>
        </w:rPr>
        <w:t>8 园林景观工程</w:t>
      </w:r>
      <w:bookmarkEnd w:id="108"/>
      <w:r>
        <w:rPr>
          <w:rFonts w:hint="eastAsia"/>
          <w:color w:val="000000" w:themeColor="text1"/>
        </w:rPr>
        <w:t>设计</w:t>
      </w:r>
      <w:bookmarkEnd w:id="109"/>
    </w:p>
    <w:p>
      <w:pPr>
        <w:widowControl/>
        <w:spacing w:line="360" w:lineRule="auto"/>
        <w:jc w:val="center"/>
        <w:outlineLvl w:val="1"/>
        <w:rPr>
          <w:rFonts w:cs="Helvetica" w:asciiTheme="minorEastAsia" w:hAnsiTheme="minorEastAsia"/>
          <w:b/>
          <w:color w:val="000000" w:themeColor="text1"/>
          <w:kern w:val="0"/>
          <w:sz w:val="28"/>
          <w:szCs w:val="28"/>
        </w:rPr>
      </w:pPr>
      <w:bookmarkStart w:id="110" w:name="_Toc1210"/>
      <w:r>
        <w:rPr>
          <w:rFonts w:hint="eastAsia" w:cs="Helvetica" w:asciiTheme="minorEastAsia" w:hAnsiTheme="minorEastAsia"/>
          <w:b/>
          <w:color w:val="000000" w:themeColor="text1"/>
          <w:kern w:val="0"/>
          <w:sz w:val="28"/>
          <w:szCs w:val="28"/>
        </w:rPr>
        <w:t>8.1 一 般 规 定</w:t>
      </w:r>
      <w:bookmarkEnd w:id="110"/>
    </w:p>
    <w:p>
      <w:pPr>
        <w:widowControl/>
        <w:spacing w:line="360" w:lineRule="auto"/>
        <w:jc w:val="left"/>
        <w:rPr>
          <w:rFonts w:cs="Helvetica" w:asciiTheme="minorEastAsia" w:hAnsiTheme="minorEastAsia"/>
          <w:color w:val="000000" w:themeColor="text1"/>
          <w:kern w:val="0"/>
          <w:sz w:val="28"/>
          <w:szCs w:val="28"/>
        </w:rPr>
      </w:pPr>
      <w:r>
        <w:rPr>
          <w:rFonts w:hint="eastAsia" w:cs="Helvetica" w:asciiTheme="minorEastAsia" w:hAnsiTheme="minorEastAsia"/>
          <w:b/>
          <w:color w:val="000000" w:themeColor="text1"/>
          <w:kern w:val="0"/>
          <w:sz w:val="28"/>
          <w:szCs w:val="28"/>
        </w:rPr>
        <w:t xml:space="preserve">8.1.1 </w:t>
      </w:r>
      <w:r>
        <w:rPr>
          <w:rFonts w:hint="eastAsia" w:cs="Helvetica" w:asciiTheme="minorEastAsia" w:hAnsiTheme="minorEastAsia"/>
          <w:color w:val="000000" w:themeColor="text1"/>
          <w:kern w:val="0"/>
          <w:sz w:val="28"/>
          <w:szCs w:val="28"/>
        </w:rPr>
        <w:t>园林景观工程设计应以提高城市综合环境质量和美化城市面貌为主要目的，全面融合生态修复、人文艺术、海绵城市和智慧园林等设计要素。</w:t>
      </w:r>
    </w:p>
    <w:p>
      <w:pPr>
        <w:widowControl/>
        <w:spacing w:line="360" w:lineRule="auto"/>
        <w:jc w:val="left"/>
        <w:rPr>
          <w:rFonts w:cs="Helvetica" w:asciiTheme="minorEastAsia" w:hAnsiTheme="minorEastAsia"/>
          <w:color w:val="000000" w:themeColor="text1"/>
          <w:kern w:val="0"/>
          <w:sz w:val="28"/>
          <w:szCs w:val="28"/>
        </w:rPr>
      </w:pPr>
      <w:r>
        <w:rPr>
          <w:rFonts w:hint="eastAsia" w:cs="Helvetica" w:asciiTheme="minorEastAsia" w:hAnsiTheme="minorEastAsia"/>
          <w:b/>
          <w:color w:val="000000" w:themeColor="text1"/>
          <w:kern w:val="0"/>
          <w:sz w:val="28"/>
          <w:szCs w:val="28"/>
        </w:rPr>
        <w:t xml:space="preserve">8.1.2 </w:t>
      </w:r>
      <w:r>
        <w:rPr>
          <w:rFonts w:hint="eastAsia" w:cs="Helvetica" w:asciiTheme="minorEastAsia" w:hAnsiTheme="minorEastAsia"/>
          <w:color w:val="000000" w:themeColor="text1"/>
          <w:kern w:val="0"/>
          <w:sz w:val="28"/>
          <w:szCs w:val="28"/>
        </w:rPr>
        <w:t>园林景观工程设计应注重与周边环境、风貌和功能相协调。</w:t>
      </w:r>
      <w:r>
        <w:rPr>
          <w:rFonts w:cs="Helvetica" w:asciiTheme="minorEastAsia" w:hAnsiTheme="minorEastAsia"/>
          <w:b/>
          <w:color w:val="000000" w:themeColor="text1"/>
          <w:kern w:val="0"/>
          <w:sz w:val="28"/>
          <w:szCs w:val="28"/>
        </w:rPr>
        <w:br w:type="textWrapping"/>
      </w:r>
      <w:r>
        <w:rPr>
          <w:rFonts w:hint="eastAsia" w:cs="Helvetica" w:asciiTheme="minorEastAsia" w:hAnsiTheme="minorEastAsia"/>
          <w:b/>
          <w:color w:val="000000" w:themeColor="text1"/>
          <w:kern w:val="0"/>
          <w:sz w:val="28"/>
          <w:szCs w:val="28"/>
        </w:rPr>
        <w:t xml:space="preserve">8.1.3 </w:t>
      </w:r>
      <w:r>
        <w:rPr>
          <w:rFonts w:hint="eastAsia" w:cs="Helvetica" w:asciiTheme="minorEastAsia" w:hAnsiTheme="minorEastAsia"/>
          <w:color w:val="000000" w:themeColor="text1"/>
          <w:kern w:val="0"/>
          <w:sz w:val="28"/>
          <w:szCs w:val="28"/>
        </w:rPr>
        <w:t>园林景观工程确定应急避险功能及配置相应场地设施时，应符合城市综合防灾规划和资源保护价值等有关要求。</w:t>
      </w:r>
    </w:p>
    <w:p>
      <w:pPr>
        <w:widowControl/>
        <w:spacing w:line="360" w:lineRule="auto"/>
        <w:jc w:val="left"/>
        <w:rPr>
          <w:rFonts w:cs="Helvetica" w:asciiTheme="minorEastAsia" w:hAnsiTheme="minorEastAsia"/>
          <w:color w:val="000000" w:themeColor="text1"/>
          <w:kern w:val="0"/>
          <w:sz w:val="28"/>
          <w:szCs w:val="28"/>
        </w:rPr>
      </w:pPr>
      <w:r>
        <w:rPr>
          <w:rFonts w:hint="eastAsia" w:cs="Helvetica" w:asciiTheme="minorEastAsia" w:hAnsiTheme="minorEastAsia"/>
          <w:b/>
          <w:color w:val="000000" w:themeColor="text1"/>
          <w:kern w:val="0"/>
          <w:sz w:val="28"/>
          <w:szCs w:val="28"/>
        </w:rPr>
        <w:t xml:space="preserve">8.1.4 </w:t>
      </w:r>
      <w:r>
        <w:rPr>
          <w:rFonts w:hint="eastAsia" w:cs="Helvetica" w:asciiTheme="minorEastAsia" w:hAnsiTheme="minorEastAsia"/>
          <w:color w:val="000000" w:themeColor="text1"/>
          <w:kern w:val="0"/>
          <w:sz w:val="28"/>
          <w:szCs w:val="28"/>
        </w:rPr>
        <w:t>园林景观工程与水系相邻或结合时，设计应根据区域防洪要求，综合考虑水系水位变化对基地景观和生态系统的影响。</w:t>
      </w:r>
    </w:p>
    <w:p>
      <w:pPr>
        <w:spacing w:line="360" w:lineRule="auto"/>
        <w:ind w:firstLine="3373" w:firstLineChars="1200"/>
        <w:jc w:val="left"/>
        <w:outlineLvl w:val="1"/>
        <w:rPr>
          <w:rFonts w:cs="Helvetica" w:asciiTheme="minorEastAsia" w:hAnsiTheme="minorEastAsia"/>
          <w:color w:val="000000" w:themeColor="text1"/>
          <w:kern w:val="0"/>
          <w:sz w:val="28"/>
          <w:szCs w:val="28"/>
        </w:rPr>
      </w:pPr>
      <w:bookmarkStart w:id="111" w:name="_Toc9754"/>
      <w:r>
        <w:rPr>
          <w:rFonts w:hint="eastAsia" w:cs="Helvetica" w:asciiTheme="minorEastAsia" w:hAnsiTheme="minorEastAsia"/>
          <w:b/>
          <w:bCs/>
          <w:color w:val="000000" w:themeColor="text1"/>
          <w:kern w:val="0"/>
          <w:sz w:val="28"/>
          <w:szCs w:val="28"/>
        </w:rPr>
        <w:t xml:space="preserve">8.2 </w:t>
      </w:r>
      <w:r>
        <w:rPr>
          <w:rFonts w:hint="eastAsia" w:cs="Helvetica" w:asciiTheme="minorEastAsia" w:hAnsiTheme="minorEastAsia"/>
          <w:b/>
          <w:color w:val="000000" w:themeColor="text1"/>
          <w:kern w:val="0"/>
          <w:sz w:val="28"/>
          <w:szCs w:val="28"/>
        </w:rPr>
        <w:t>总体设计</w:t>
      </w:r>
      <w:bookmarkEnd w:id="111"/>
    </w:p>
    <w:p>
      <w:pPr>
        <w:spacing w:line="360" w:lineRule="auto"/>
        <w:rPr>
          <w:rFonts w:cs="Helvetica" w:asciiTheme="minorEastAsia" w:hAnsiTheme="minorEastAsia"/>
          <w:b/>
          <w:color w:val="000000" w:themeColor="text1"/>
          <w:kern w:val="0"/>
          <w:sz w:val="28"/>
          <w:szCs w:val="28"/>
        </w:rPr>
      </w:pPr>
      <w:r>
        <w:rPr>
          <w:rFonts w:hint="eastAsia" w:cs="Helvetica" w:asciiTheme="minorEastAsia" w:hAnsiTheme="minorEastAsia"/>
          <w:b/>
          <w:color w:val="000000" w:themeColor="text1"/>
          <w:kern w:val="0"/>
          <w:sz w:val="28"/>
          <w:szCs w:val="28"/>
        </w:rPr>
        <w:t xml:space="preserve">8.2.1 </w:t>
      </w:r>
      <w:r>
        <w:rPr>
          <w:rFonts w:hint="eastAsia" w:cs="Helvetica" w:asciiTheme="minorEastAsia" w:hAnsiTheme="minorEastAsia"/>
          <w:color w:val="000000" w:themeColor="text1"/>
          <w:kern w:val="0"/>
          <w:sz w:val="28"/>
          <w:szCs w:val="28"/>
        </w:rPr>
        <w:t>园林景观工程设计，应考虑现状具有纪念意义、生态价值、文化价值或景观价值的风景与人文资源的保护与发扬。</w:t>
      </w:r>
    </w:p>
    <w:p>
      <w:pPr>
        <w:spacing w:line="360" w:lineRule="auto"/>
        <w:rPr>
          <w:rFonts w:cs="Helvetica" w:asciiTheme="minorEastAsia" w:hAnsiTheme="minorEastAsia"/>
          <w:color w:val="000000" w:themeColor="text1"/>
          <w:kern w:val="0"/>
          <w:sz w:val="28"/>
          <w:szCs w:val="28"/>
        </w:rPr>
      </w:pPr>
      <w:r>
        <w:rPr>
          <w:rFonts w:hint="eastAsia" w:cs="Helvetica" w:asciiTheme="minorEastAsia" w:hAnsiTheme="minorEastAsia"/>
          <w:b/>
          <w:color w:val="000000" w:themeColor="text1"/>
          <w:kern w:val="0"/>
          <w:sz w:val="28"/>
          <w:szCs w:val="28"/>
        </w:rPr>
        <w:t xml:space="preserve">8.2.2 </w:t>
      </w:r>
      <w:r>
        <w:rPr>
          <w:rFonts w:hint="eastAsia" w:cs="Helvetica" w:asciiTheme="minorEastAsia" w:hAnsiTheme="minorEastAsia"/>
          <w:color w:val="000000" w:themeColor="text1"/>
          <w:kern w:val="0"/>
          <w:sz w:val="28"/>
          <w:szCs w:val="28"/>
        </w:rPr>
        <w:t>园林景观工程在可能存在污染的基址上建设景观工程时，应根据环境影响评估结果，采取有效消除污染的技术措施。</w:t>
      </w:r>
    </w:p>
    <w:p>
      <w:pPr>
        <w:spacing w:line="360" w:lineRule="auto"/>
        <w:rPr>
          <w:rFonts w:cs="Helvetica" w:asciiTheme="minorEastAsia" w:hAnsiTheme="minorEastAsia"/>
          <w:color w:val="000000" w:themeColor="text1"/>
          <w:kern w:val="0"/>
          <w:sz w:val="28"/>
          <w:szCs w:val="28"/>
        </w:rPr>
      </w:pPr>
      <w:r>
        <w:rPr>
          <w:rFonts w:hint="eastAsia" w:cs="Helvetica" w:asciiTheme="minorEastAsia" w:hAnsiTheme="minorEastAsia"/>
          <w:b/>
          <w:color w:val="000000" w:themeColor="text1"/>
          <w:kern w:val="0"/>
          <w:sz w:val="28"/>
          <w:szCs w:val="28"/>
        </w:rPr>
        <w:t xml:space="preserve">8.2.3 </w:t>
      </w:r>
      <w:r>
        <w:rPr>
          <w:rFonts w:hint="eastAsia" w:cs="Helvetica" w:asciiTheme="minorEastAsia" w:hAnsiTheme="minorEastAsia"/>
          <w:color w:val="000000" w:themeColor="text1"/>
          <w:kern w:val="0"/>
          <w:sz w:val="28"/>
          <w:szCs w:val="28"/>
        </w:rPr>
        <w:t>当保留基地内原有自然岩壁、陡峭边坡，并在其附近设置园路、游憩场地、建筑物等游人聚集场所时，应对岩壁、边坡作地质灾害评估，并采取相应安全防护或避让措施。</w:t>
      </w:r>
    </w:p>
    <w:p>
      <w:pPr>
        <w:spacing w:line="360" w:lineRule="auto"/>
        <w:rPr>
          <w:rFonts w:cs="Helvetica" w:asciiTheme="minorEastAsia" w:hAnsiTheme="minorEastAsia"/>
          <w:color w:val="000000" w:themeColor="text1"/>
          <w:kern w:val="0"/>
          <w:sz w:val="28"/>
          <w:szCs w:val="28"/>
        </w:rPr>
      </w:pPr>
      <w:r>
        <w:rPr>
          <w:rFonts w:hint="eastAsia" w:cs="Helvetica" w:asciiTheme="minorEastAsia" w:hAnsiTheme="minorEastAsia"/>
          <w:b/>
          <w:color w:val="000000" w:themeColor="text1"/>
          <w:kern w:val="0"/>
          <w:sz w:val="28"/>
          <w:szCs w:val="28"/>
        </w:rPr>
        <w:t xml:space="preserve">8.2.4 </w:t>
      </w:r>
      <w:r>
        <w:rPr>
          <w:rFonts w:hint="eastAsia" w:cs="Helvetica" w:asciiTheme="minorEastAsia" w:hAnsiTheme="minorEastAsia"/>
          <w:color w:val="000000" w:themeColor="text1"/>
          <w:kern w:val="0"/>
          <w:sz w:val="28"/>
          <w:szCs w:val="28"/>
        </w:rPr>
        <w:t>园林景观工程设计不应填埋或侵占基地内原有湿地、河湖水系、滞洪或泛洪区及行洪通道。</w:t>
      </w:r>
    </w:p>
    <w:p>
      <w:pPr>
        <w:spacing w:line="360" w:lineRule="auto"/>
        <w:rPr>
          <w:rFonts w:cs="Helvetica" w:asciiTheme="minorEastAsia" w:hAnsiTheme="minorEastAsia"/>
          <w:b/>
          <w:color w:val="000000" w:themeColor="text1"/>
          <w:kern w:val="0"/>
          <w:sz w:val="28"/>
          <w:szCs w:val="28"/>
        </w:rPr>
      </w:pPr>
      <w:r>
        <w:rPr>
          <w:rFonts w:hint="eastAsia" w:cs="Helvetica" w:asciiTheme="minorEastAsia" w:hAnsiTheme="minorEastAsia"/>
          <w:b/>
          <w:color w:val="000000" w:themeColor="text1"/>
          <w:kern w:val="0"/>
          <w:sz w:val="28"/>
          <w:szCs w:val="28"/>
        </w:rPr>
        <w:t xml:space="preserve">8.2.5 </w:t>
      </w:r>
      <w:r>
        <w:rPr>
          <w:rFonts w:hint="eastAsia" w:cs="Helvetica" w:asciiTheme="minorEastAsia" w:hAnsiTheme="minorEastAsia"/>
          <w:bCs/>
          <w:color w:val="000000" w:themeColor="text1"/>
          <w:kern w:val="0"/>
          <w:sz w:val="28"/>
          <w:szCs w:val="28"/>
        </w:rPr>
        <w:t>城市绿地应进行无障碍设计，且与周边公共空间无障碍设施顺接。</w:t>
      </w:r>
    </w:p>
    <w:p>
      <w:pPr>
        <w:spacing w:line="360" w:lineRule="auto"/>
        <w:rPr>
          <w:rFonts w:cs="Helvetica" w:asciiTheme="minorEastAsia" w:hAnsiTheme="minorEastAsia"/>
          <w:color w:val="000000" w:themeColor="text1"/>
          <w:kern w:val="0"/>
          <w:sz w:val="28"/>
          <w:szCs w:val="28"/>
        </w:rPr>
      </w:pPr>
      <w:r>
        <w:rPr>
          <w:rFonts w:hint="eastAsia" w:cs="Helvetica" w:asciiTheme="minorEastAsia" w:hAnsiTheme="minorEastAsia"/>
          <w:b/>
          <w:color w:val="000000" w:themeColor="text1"/>
          <w:kern w:val="0"/>
          <w:sz w:val="28"/>
          <w:szCs w:val="28"/>
        </w:rPr>
        <w:t>8.2.6</w:t>
      </w:r>
      <w:r>
        <w:rPr>
          <w:rFonts w:hint="eastAsia" w:cs="Helvetica" w:asciiTheme="minorEastAsia" w:hAnsiTheme="minorEastAsia"/>
          <w:color w:val="000000" w:themeColor="text1"/>
          <w:kern w:val="0"/>
          <w:sz w:val="28"/>
          <w:szCs w:val="28"/>
        </w:rPr>
        <w:t xml:space="preserve"> 植物景观应根据本地气候、环境特征、立地条件，结合景观构想、功能要求和市民游赏习惯等因素确定，增加植物多样性。</w:t>
      </w:r>
    </w:p>
    <w:p>
      <w:pPr>
        <w:spacing w:line="360" w:lineRule="auto"/>
        <w:rPr>
          <w:rFonts w:cs="Helvetica" w:asciiTheme="minorEastAsia" w:hAnsiTheme="minorEastAsia"/>
          <w:bCs/>
          <w:color w:val="000000" w:themeColor="text1"/>
          <w:kern w:val="0"/>
          <w:sz w:val="28"/>
          <w:szCs w:val="28"/>
        </w:rPr>
      </w:pPr>
      <w:r>
        <w:rPr>
          <w:rFonts w:hint="eastAsia" w:cs="Helvetica" w:asciiTheme="minorEastAsia" w:hAnsiTheme="minorEastAsia"/>
          <w:b/>
          <w:color w:val="000000" w:themeColor="text1"/>
          <w:kern w:val="0"/>
          <w:sz w:val="28"/>
          <w:szCs w:val="28"/>
        </w:rPr>
        <w:t>8.2.7</w:t>
      </w:r>
      <w:r>
        <w:rPr>
          <w:rFonts w:hint="eastAsia" w:cs="Helvetica" w:asciiTheme="minorEastAsia" w:hAnsiTheme="minorEastAsia"/>
          <w:bCs/>
          <w:color w:val="000000" w:themeColor="text1"/>
          <w:kern w:val="0"/>
          <w:sz w:val="28"/>
          <w:szCs w:val="28"/>
        </w:rPr>
        <w:t>屋顶花园的绿化种植面积宜大于屋顶总面积的55%。</w:t>
      </w:r>
    </w:p>
    <w:p>
      <w:pPr>
        <w:spacing w:line="360" w:lineRule="auto"/>
        <w:rPr>
          <w:rFonts w:ascii="微软雅黑" w:hAnsi="微软雅黑" w:eastAsia="微软雅黑" w:cs="微软雅黑"/>
          <w:b/>
          <w:kern w:val="0"/>
          <w:sz w:val="28"/>
          <w:szCs w:val="28"/>
        </w:rPr>
      </w:pPr>
      <w:r>
        <w:rPr>
          <w:rFonts w:hint="eastAsia" w:ascii="微软雅黑" w:hAnsi="微软雅黑" w:eastAsia="微软雅黑" w:cs="微软雅黑"/>
          <w:kern w:val="0"/>
          <w:sz w:val="28"/>
          <w:szCs w:val="28"/>
        </w:rPr>
        <w:t>【条文说明】</w:t>
      </w:r>
      <w:r>
        <w:rPr>
          <w:rFonts w:hint="eastAsia" w:ascii="微软雅黑" w:hAnsi="微软雅黑" w:eastAsia="微软雅黑" w:cs="微软雅黑"/>
          <w:b/>
          <w:kern w:val="0"/>
          <w:sz w:val="28"/>
          <w:szCs w:val="28"/>
        </w:rPr>
        <w:t xml:space="preserve">8.2.7 </w:t>
      </w:r>
      <w:r>
        <w:fldChar w:fldCharType="begin"/>
      </w:r>
      <w:r>
        <w:instrText xml:space="preserve"> HYPERLINK "http://www.roofine.com/" </w:instrText>
      </w:r>
      <w:r>
        <w:fldChar w:fldCharType="separate"/>
      </w:r>
      <w:r>
        <w:rPr>
          <w:rFonts w:hint="eastAsia" w:ascii="微软雅黑" w:hAnsi="微软雅黑" w:eastAsia="微软雅黑" w:cs="微软雅黑"/>
          <w:kern w:val="0"/>
          <w:sz w:val="28"/>
          <w:szCs w:val="28"/>
        </w:rPr>
        <w:t>屋顶花园</w:t>
      </w:r>
      <w:r>
        <w:rPr>
          <w:rFonts w:hint="eastAsia" w:ascii="微软雅黑" w:hAnsi="微软雅黑" w:eastAsia="微软雅黑" w:cs="微软雅黑"/>
          <w:kern w:val="0"/>
          <w:sz w:val="28"/>
          <w:szCs w:val="28"/>
        </w:rPr>
        <w:fldChar w:fldCharType="end"/>
      </w:r>
      <w:r>
        <w:rPr>
          <w:rFonts w:hint="eastAsia" w:ascii="微软雅黑" w:hAnsi="微软雅黑" w:eastAsia="微软雅黑" w:cs="微软雅黑"/>
          <w:kern w:val="0"/>
          <w:sz w:val="28"/>
          <w:szCs w:val="28"/>
        </w:rPr>
        <w:t>作</w:t>
      </w:r>
      <w:r>
        <w:rPr>
          <w:rFonts w:hint="eastAsia" w:ascii="微软雅黑" w:hAnsi="微软雅黑" w:eastAsia="微软雅黑" w:cs="微软雅黑"/>
          <w:kern w:val="0"/>
          <w:sz w:val="30"/>
          <w:szCs w:val="30"/>
        </w:rPr>
        <w:t>为</w:t>
      </w:r>
      <w:r>
        <w:rPr>
          <w:rFonts w:hint="eastAsia" w:ascii="微软雅黑" w:hAnsi="微软雅黑" w:eastAsia="微软雅黑" w:cs="微软雅黑"/>
          <w:kern w:val="0"/>
          <w:sz w:val="28"/>
          <w:szCs w:val="28"/>
        </w:rPr>
        <w:t>缓解热岛效应的重要举措之一，应具备足够的绿化面积。</w:t>
      </w:r>
    </w:p>
    <w:p>
      <w:pPr>
        <w:spacing w:line="360" w:lineRule="auto"/>
        <w:rPr>
          <w:rFonts w:cs="Helvetica" w:asciiTheme="minorEastAsia" w:hAnsiTheme="minorEastAsia"/>
          <w:bCs/>
          <w:kern w:val="0"/>
          <w:sz w:val="28"/>
          <w:szCs w:val="28"/>
        </w:rPr>
      </w:pPr>
      <w:r>
        <w:rPr>
          <w:rFonts w:hint="eastAsia" w:cs="Helvetica" w:asciiTheme="minorEastAsia" w:hAnsiTheme="minorEastAsia"/>
          <w:b/>
          <w:kern w:val="0"/>
          <w:sz w:val="28"/>
          <w:szCs w:val="28"/>
        </w:rPr>
        <w:t xml:space="preserve">8.2.8 </w:t>
      </w:r>
      <w:r>
        <w:rPr>
          <w:rFonts w:hint="eastAsia" w:cs="Helvetica" w:asciiTheme="minorEastAsia" w:hAnsiTheme="minorEastAsia"/>
          <w:bCs/>
          <w:kern w:val="0"/>
          <w:sz w:val="28"/>
          <w:szCs w:val="28"/>
        </w:rPr>
        <w:t>城市绿地重要节点宜考虑乔灌草相结合，每季度开花植被可视面积不宜少于总绿化面积30%。设计采用花境形式的，其面积不宜小于总绿化面积10%。</w:t>
      </w:r>
    </w:p>
    <w:p>
      <w:pPr>
        <w:spacing w:line="360" w:lineRule="auto"/>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【条文说明】</w:t>
      </w:r>
      <w:r>
        <w:rPr>
          <w:rFonts w:hint="eastAsia" w:ascii="微软雅黑" w:hAnsi="微软雅黑" w:eastAsia="微软雅黑" w:cs="微软雅黑"/>
          <w:b/>
          <w:bCs/>
          <w:kern w:val="0"/>
          <w:sz w:val="28"/>
          <w:szCs w:val="28"/>
        </w:rPr>
        <w:t>8.2.8</w:t>
      </w:r>
      <w:r>
        <w:rPr>
          <w:rFonts w:hint="eastAsia" w:ascii="微软雅黑" w:hAnsi="微软雅黑" w:eastAsia="微软雅黑" w:cs="微软雅黑"/>
          <w:kern w:val="0"/>
          <w:sz w:val="28"/>
          <w:szCs w:val="28"/>
        </w:rPr>
        <w:t xml:space="preserve"> 本条提出开花植被可视面积和花境设计有关要求，也是落实本市世界花城建设的具体措施。其中的30%和10%数值，均为工程经验值。开花植被可视面积比率系参考绿视率的概念提出，并在数值上控制为1/3左右，以保证开花植被在四季任何时段均有一定规模，具体可通过上层乔木、中层灌木和下层地被甚至垂直绿化予以实现。花境作为植物景观设计的最高水平展示，管理成本较一般绿化为高，但其出现却深受广大市民喜爱。故特别提出花境建设内容。花境为10%占比，主要系借鉴花境效果获得一致好评的本市北中轴线礼园的项目案例。</w:t>
      </w:r>
    </w:p>
    <w:p>
      <w:pPr>
        <w:pStyle w:val="77"/>
        <w:widowControl/>
        <w:spacing w:line="360" w:lineRule="auto"/>
        <w:ind w:firstLine="0" w:firstLineChars="0"/>
        <w:jc w:val="left"/>
        <w:rPr>
          <w:rFonts w:cs="宋体" w:asciiTheme="minorEastAsia" w:hAnsiTheme="minorEastAsia" w:eastAsiaTheme="minorEastAsia"/>
          <w:sz w:val="28"/>
          <w:szCs w:val="28"/>
        </w:rPr>
      </w:pPr>
      <w:r>
        <w:rPr>
          <w:rFonts w:hint="eastAsia" w:asciiTheme="minorEastAsia" w:hAnsiTheme="minorEastAsia" w:eastAsiaTheme="minorEastAsia" w:cstheme="minorEastAsia"/>
          <w:b/>
          <w:bCs/>
          <w:sz w:val="28"/>
          <w:szCs w:val="28"/>
        </w:rPr>
        <w:t xml:space="preserve">8.2.9 </w:t>
      </w:r>
      <w:r>
        <w:rPr>
          <w:rFonts w:hint="eastAsia" w:asciiTheme="minorEastAsia" w:hAnsiTheme="minorEastAsia" w:eastAsiaTheme="minorEastAsia" w:cstheme="minorEastAsia"/>
          <w:bCs/>
          <w:sz w:val="28"/>
          <w:szCs w:val="28"/>
        </w:rPr>
        <w:t>城市</w:t>
      </w:r>
      <w:r>
        <w:rPr>
          <w:rFonts w:hint="eastAsia" w:cs="宋体" w:asciiTheme="minorEastAsia" w:hAnsiTheme="minorEastAsia" w:eastAsiaTheme="minorEastAsia"/>
          <w:sz w:val="28"/>
          <w:szCs w:val="28"/>
        </w:rPr>
        <w:t>绿地边界应尽量开敞，便于市民抵达。</w:t>
      </w:r>
    </w:p>
    <w:p>
      <w:pPr>
        <w:pStyle w:val="77"/>
        <w:widowControl/>
        <w:spacing w:line="360" w:lineRule="auto"/>
        <w:ind w:firstLine="0" w:firstLineChars="0"/>
        <w:jc w:val="left"/>
        <w:rPr>
          <w:rFonts w:cs="宋体" w:asciiTheme="minorEastAsia" w:hAnsiTheme="minorEastAsia" w:eastAsiaTheme="minorEastAsia"/>
          <w:sz w:val="28"/>
          <w:szCs w:val="28"/>
        </w:rPr>
      </w:pPr>
      <w:r>
        <w:rPr>
          <w:rFonts w:hint="eastAsia" w:asciiTheme="minorEastAsia" w:hAnsiTheme="minorEastAsia" w:eastAsiaTheme="minorEastAsia" w:cstheme="minorEastAsia"/>
          <w:b/>
          <w:bCs/>
          <w:sz w:val="28"/>
          <w:szCs w:val="28"/>
        </w:rPr>
        <w:t xml:space="preserve">8.2.10 </w:t>
      </w:r>
      <w:r>
        <w:rPr>
          <w:rFonts w:cs="宋体" w:asciiTheme="minorEastAsia" w:hAnsiTheme="minorEastAsia" w:eastAsiaTheme="minorEastAsia"/>
          <w:sz w:val="28"/>
          <w:szCs w:val="28"/>
        </w:rPr>
        <w:t>城市广场</w:t>
      </w:r>
      <w:r>
        <w:rPr>
          <w:rFonts w:hint="eastAsia" w:cs="宋体" w:asciiTheme="minorEastAsia" w:hAnsiTheme="minorEastAsia" w:eastAsiaTheme="minorEastAsia"/>
          <w:sz w:val="28"/>
          <w:szCs w:val="28"/>
        </w:rPr>
        <w:t>绿化占地比例不应低于35%，并</w:t>
      </w:r>
      <w:r>
        <w:rPr>
          <w:rFonts w:cs="宋体" w:asciiTheme="minorEastAsia" w:hAnsiTheme="minorEastAsia" w:eastAsiaTheme="minorEastAsia"/>
          <w:sz w:val="28"/>
          <w:szCs w:val="28"/>
        </w:rPr>
        <w:t>应</w:t>
      </w:r>
      <w:r>
        <w:rPr>
          <w:rFonts w:hint="eastAsia" w:cs="宋体" w:asciiTheme="minorEastAsia" w:hAnsiTheme="minorEastAsia" w:eastAsiaTheme="minorEastAsia"/>
          <w:sz w:val="28"/>
          <w:szCs w:val="28"/>
        </w:rPr>
        <w:t>配置可供</w:t>
      </w:r>
      <w:r>
        <w:rPr>
          <w:rFonts w:cs="宋体" w:asciiTheme="minorEastAsia" w:hAnsiTheme="minorEastAsia" w:eastAsiaTheme="minorEastAsia"/>
          <w:sz w:val="28"/>
          <w:szCs w:val="28"/>
        </w:rPr>
        <w:t>遮阳和休憩</w:t>
      </w:r>
      <w:r>
        <w:rPr>
          <w:rFonts w:hint="eastAsia" w:cs="宋体" w:asciiTheme="minorEastAsia" w:hAnsiTheme="minorEastAsia" w:eastAsiaTheme="minorEastAsia"/>
          <w:sz w:val="28"/>
          <w:szCs w:val="28"/>
        </w:rPr>
        <w:t>的一体化</w:t>
      </w:r>
      <w:r>
        <w:rPr>
          <w:rFonts w:cs="宋体" w:asciiTheme="minorEastAsia" w:hAnsiTheme="minorEastAsia" w:eastAsiaTheme="minorEastAsia"/>
          <w:sz w:val="28"/>
          <w:szCs w:val="28"/>
        </w:rPr>
        <w:t>设施</w:t>
      </w:r>
      <w:r>
        <w:rPr>
          <w:rFonts w:hint="eastAsia" w:cs="宋体" w:asciiTheme="minorEastAsia" w:hAnsiTheme="minorEastAsia" w:eastAsiaTheme="minorEastAsia"/>
          <w:sz w:val="28"/>
          <w:szCs w:val="28"/>
        </w:rPr>
        <w:t>。</w:t>
      </w:r>
    </w:p>
    <w:p>
      <w:pPr>
        <w:spacing w:line="360" w:lineRule="auto"/>
        <w:jc w:val="left"/>
        <w:rPr>
          <w:rFonts w:ascii="微软雅黑" w:hAnsi="微软雅黑" w:eastAsia="微软雅黑" w:cs="微软雅黑"/>
          <w:sz w:val="28"/>
          <w:szCs w:val="28"/>
        </w:rPr>
      </w:pPr>
      <w:r>
        <w:rPr>
          <w:rFonts w:hint="eastAsia" w:ascii="微软雅黑" w:hAnsi="微软雅黑" w:eastAsia="微软雅黑" w:cs="微软雅黑"/>
          <w:kern w:val="0"/>
          <w:sz w:val="28"/>
          <w:szCs w:val="28"/>
        </w:rPr>
        <w:t>【条文说明】</w:t>
      </w:r>
      <w:r>
        <w:rPr>
          <w:rFonts w:hint="eastAsia" w:ascii="微软雅黑" w:hAnsi="微软雅黑" w:eastAsia="微软雅黑" w:cs="微软雅黑"/>
          <w:b/>
          <w:bCs/>
          <w:sz w:val="28"/>
          <w:szCs w:val="28"/>
        </w:rPr>
        <w:t xml:space="preserve">3.2.9  </w:t>
      </w:r>
      <w:r>
        <w:rPr>
          <w:rFonts w:hint="eastAsia" w:ascii="微软雅黑" w:hAnsi="微软雅黑" w:eastAsia="微软雅黑" w:cs="微软雅黑"/>
          <w:kern w:val="0"/>
          <w:sz w:val="28"/>
          <w:szCs w:val="28"/>
        </w:rPr>
        <w:t>城市广场 ，系指以游憩、纪念、集会和避险等功能为主的城市公共活动场地。</w:t>
      </w:r>
    </w:p>
    <w:p>
      <w:pPr>
        <w:spacing w:line="360" w:lineRule="auto"/>
        <w:ind w:firstLine="2529" w:firstLineChars="900"/>
        <w:jc w:val="left"/>
        <w:outlineLvl w:val="1"/>
        <w:rPr>
          <w:rFonts w:cs="Helvetica" w:asciiTheme="minorEastAsia" w:hAnsiTheme="minorEastAsia"/>
          <w:b/>
          <w:color w:val="000000" w:themeColor="text1"/>
          <w:kern w:val="0"/>
          <w:sz w:val="28"/>
          <w:szCs w:val="28"/>
        </w:rPr>
      </w:pPr>
      <w:bookmarkStart w:id="112" w:name="_Toc15520"/>
      <w:r>
        <w:rPr>
          <w:rFonts w:hint="eastAsia" w:cs="Helvetica" w:asciiTheme="minorEastAsia" w:hAnsiTheme="minorEastAsia"/>
          <w:b/>
          <w:color w:val="000000" w:themeColor="text1"/>
          <w:kern w:val="0"/>
          <w:sz w:val="28"/>
          <w:szCs w:val="28"/>
        </w:rPr>
        <w:t>8.3 地形、园路及铺装场地设计</w:t>
      </w:r>
      <w:bookmarkEnd w:id="112"/>
    </w:p>
    <w:p>
      <w:pPr>
        <w:spacing w:line="360" w:lineRule="auto"/>
        <w:rPr>
          <w:rFonts w:cs="Helvetica" w:asciiTheme="minorEastAsia" w:hAnsiTheme="minorEastAsia"/>
          <w:color w:val="000000" w:themeColor="text1"/>
          <w:kern w:val="0"/>
          <w:sz w:val="28"/>
          <w:szCs w:val="28"/>
        </w:rPr>
      </w:pPr>
      <w:r>
        <w:rPr>
          <w:rFonts w:hint="eastAsia" w:cs="Helvetica" w:asciiTheme="minorEastAsia" w:hAnsiTheme="minorEastAsia"/>
          <w:b/>
          <w:color w:val="000000" w:themeColor="text1"/>
          <w:kern w:val="0"/>
          <w:sz w:val="28"/>
          <w:szCs w:val="28"/>
        </w:rPr>
        <w:t xml:space="preserve">8.3.1 </w:t>
      </w:r>
      <w:r>
        <w:rPr>
          <w:rFonts w:hint="eastAsia" w:cs="Helvetica" w:asciiTheme="minorEastAsia" w:hAnsiTheme="minorEastAsia"/>
          <w:color w:val="000000" w:themeColor="text1"/>
          <w:kern w:val="0"/>
          <w:sz w:val="28"/>
          <w:szCs w:val="28"/>
        </w:rPr>
        <w:t>地形设计应结合海绵城市建设，考虑微地形起伏，利于雨水收集、滞蓄和渗透。</w:t>
      </w:r>
    </w:p>
    <w:p>
      <w:pPr>
        <w:spacing w:line="360" w:lineRule="auto"/>
        <w:rPr>
          <w:rFonts w:cs="Helvetica" w:asciiTheme="minorEastAsia" w:hAnsiTheme="minorEastAsia"/>
          <w:color w:val="000000" w:themeColor="text1"/>
          <w:kern w:val="0"/>
          <w:sz w:val="28"/>
          <w:szCs w:val="28"/>
        </w:rPr>
      </w:pPr>
      <w:r>
        <w:rPr>
          <w:rFonts w:hint="eastAsia" w:cs="Helvetica" w:asciiTheme="minorEastAsia" w:hAnsiTheme="minorEastAsia"/>
          <w:b/>
          <w:color w:val="000000" w:themeColor="text1"/>
          <w:kern w:val="0"/>
          <w:sz w:val="28"/>
          <w:szCs w:val="28"/>
        </w:rPr>
        <w:t xml:space="preserve">8.3.2 </w:t>
      </w:r>
      <w:r>
        <w:rPr>
          <w:rFonts w:hint="eastAsia" w:cs="Helvetica" w:asciiTheme="minorEastAsia" w:hAnsiTheme="minorEastAsia"/>
          <w:color w:val="000000" w:themeColor="text1"/>
          <w:kern w:val="0"/>
          <w:sz w:val="28"/>
          <w:szCs w:val="28"/>
        </w:rPr>
        <w:t>绿化地形宜按照自然安息角设计坡度。</w:t>
      </w:r>
    </w:p>
    <w:p>
      <w:pPr>
        <w:spacing w:line="360" w:lineRule="auto"/>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【条文说明】</w:t>
      </w:r>
      <w:r>
        <w:rPr>
          <w:rFonts w:hint="eastAsia" w:ascii="微软雅黑" w:hAnsi="微软雅黑" w:eastAsia="微软雅黑" w:cs="微软雅黑"/>
          <w:b/>
          <w:bCs/>
          <w:kern w:val="0"/>
          <w:sz w:val="28"/>
          <w:szCs w:val="28"/>
        </w:rPr>
        <w:t xml:space="preserve">8.3.2 </w:t>
      </w:r>
      <w:r>
        <w:rPr>
          <w:rFonts w:hint="eastAsia" w:ascii="微软雅黑" w:hAnsi="微软雅黑" w:eastAsia="微软雅黑" w:cs="微软雅黑"/>
          <w:kern w:val="0"/>
          <w:sz w:val="28"/>
          <w:szCs w:val="28"/>
        </w:rPr>
        <w:t>当改造的地形坡度超过土壤的自然安息角时，设计应采取护坡、固土或防冲刷的措施。</w:t>
      </w:r>
    </w:p>
    <w:p>
      <w:pPr>
        <w:spacing w:line="360" w:lineRule="auto"/>
        <w:rPr>
          <w:rFonts w:cs="Helvetica" w:asciiTheme="minorEastAsia" w:hAnsiTheme="minorEastAsia"/>
          <w:color w:val="000000" w:themeColor="text1"/>
          <w:kern w:val="0"/>
          <w:sz w:val="28"/>
          <w:szCs w:val="28"/>
        </w:rPr>
      </w:pPr>
      <w:r>
        <w:rPr>
          <w:rFonts w:hint="eastAsia" w:cs="Helvetica" w:asciiTheme="minorEastAsia" w:hAnsiTheme="minorEastAsia"/>
          <w:b/>
          <w:color w:val="000000" w:themeColor="text1"/>
          <w:kern w:val="0"/>
          <w:sz w:val="28"/>
          <w:szCs w:val="28"/>
        </w:rPr>
        <w:t>8.3.3</w:t>
      </w:r>
      <w:r>
        <w:rPr>
          <w:rFonts w:hint="eastAsia" w:cs="Helvetica" w:asciiTheme="minorEastAsia" w:hAnsiTheme="minorEastAsia"/>
          <w:color w:val="000000" w:themeColor="text1"/>
          <w:kern w:val="0"/>
          <w:sz w:val="28"/>
          <w:szCs w:val="28"/>
        </w:rPr>
        <w:t>土方工程调配设计应提出尽量利用原表层栽植土的措施，以及区域内原土的保护、保育和恢复改良的措施。</w:t>
      </w:r>
    </w:p>
    <w:p>
      <w:pPr>
        <w:spacing w:line="360" w:lineRule="auto"/>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【条文说明】</w:t>
      </w:r>
      <w:r>
        <w:rPr>
          <w:rFonts w:hint="eastAsia" w:ascii="微软雅黑" w:hAnsi="微软雅黑" w:eastAsia="微软雅黑" w:cs="微软雅黑"/>
          <w:b/>
          <w:bCs/>
          <w:kern w:val="0"/>
          <w:sz w:val="28"/>
          <w:szCs w:val="28"/>
        </w:rPr>
        <w:t xml:space="preserve">8.3.3 </w:t>
      </w:r>
      <w:r>
        <w:rPr>
          <w:rFonts w:hint="eastAsia" w:ascii="微软雅黑" w:hAnsi="微软雅黑" w:eastAsia="微软雅黑" w:cs="微软雅黑"/>
          <w:kern w:val="0"/>
          <w:sz w:val="28"/>
          <w:szCs w:val="28"/>
        </w:rPr>
        <w:t>地形回填土不应含有对环境、人和动植物安全有害的污染物或放射性物质。</w:t>
      </w:r>
    </w:p>
    <w:p>
      <w:pPr>
        <w:spacing w:line="360" w:lineRule="auto"/>
        <w:rPr>
          <w:rFonts w:cs="Helvetica" w:asciiTheme="minorEastAsia" w:hAnsiTheme="minorEastAsia"/>
          <w:color w:val="000000" w:themeColor="text1"/>
          <w:kern w:val="0"/>
          <w:sz w:val="28"/>
          <w:szCs w:val="28"/>
        </w:rPr>
      </w:pPr>
      <w:r>
        <w:rPr>
          <w:rFonts w:hint="eastAsia" w:cs="Helvetica" w:asciiTheme="minorEastAsia" w:hAnsiTheme="minorEastAsia"/>
          <w:b/>
          <w:color w:val="000000" w:themeColor="text1"/>
          <w:kern w:val="0"/>
          <w:sz w:val="28"/>
          <w:szCs w:val="28"/>
        </w:rPr>
        <w:t>8</w:t>
      </w:r>
      <w:r>
        <w:rPr>
          <w:rFonts w:cs="Helvetica" w:asciiTheme="minorEastAsia" w:hAnsiTheme="minorEastAsia"/>
          <w:b/>
          <w:color w:val="000000" w:themeColor="text1"/>
          <w:kern w:val="0"/>
          <w:sz w:val="28"/>
          <w:szCs w:val="28"/>
        </w:rPr>
        <w:t>.</w:t>
      </w:r>
      <w:r>
        <w:rPr>
          <w:rFonts w:hint="eastAsia" w:cs="Helvetica" w:asciiTheme="minorEastAsia" w:hAnsiTheme="minorEastAsia"/>
          <w:b/>
          <w:color w:val="000000" w:themeColor="text1"/>
          <w:kern w:val="0"/>
          <w:sz w:val="28"/>
          <w:szCs w:val="28"/>
        </w:rPr>
        <w:t>3</w:t>
      </w:r>
      <w:r>
        <w:rPr>
          <w:rFonts w:cs="Helvetica" w:asciiTheme="minorEastAsia" w:hAnsiTheme="minorEastAsia"/>
          <w:b/>
          <w:color w:val="000000" w:themeColor="text1"/>
          <w:kern w:val="0"/>
          <w:sz w:val="28"/>
          <w:szCs w:val="28"/>
        </w:rPr>
        <w:t>.</w:t>
      </w:r>
      <w:r>
        <w:rPr>
          <w:rFonts w:hint="eastAsia" w:cs="Helvetica" w:asciiTheme="minorEastAsia" w:hAnsiTheme="minorEastAsia"/>
          <w:b/>
          <w:color w:val="000000" w:themeColor="text1"/>
          <w:kern w:val="0"/>
          <w:sz w:val="28"/>
          <w:szCs w:val="28"/>
        </w:rPr>
        <w:t>4</w:t>
      </w:r>
      <w:r>
        <w:rPr>
          <w:rFonts w:cs="Helvetica" w:asciiTheme="minorEastAsia" w:hAnsiTheme="minorEastAsia"/>
          <w:b/>
          <w:color w:val="000000" w:themeColor="text1"/>
          <w:kern w:val="0"/>
          <w:sz w:val="28"/>
          <w:szCs w:val="28"/>
        </w:rPr>
        <w:t xml:space="preserve"> </w:t>
      </w:r>
      <w:r>
        <w:rPr>
          <w:rFonts w:hint="eastAsia" w:cs="Helvetica" w:asciiTheme="minorEastAsia" w:hAnsiTheme="minorEastAsia"/>
          <w:bCs/>
          <w:color w:val="000000" w:themeColor="text1"/>
          <w:kern w:val="0"/>
          <w:sz w:val="28"/>
          <w:szCs w:val="28"/>
        </w:rPr>
        <w:t>城市绿地内</w:t>
      </w:r>
      <w:r>
        <w:rPr>
          <w:rFonts w:hint="eastAsia" w:cs="Helvetica" w:asciiTheme="minorEastAsia" w:hAnsiTheme="minorEastAsia"/>
          <w:color w:val="000000" w:themeColor="text1"/>
          <w:kern w:val="0"/>
          <w:sz w:val="28"/>
          <w:szCs w:val="28"/>
        </w:rPr>
        <w:t>淤泥底水体近岸应有防护措施。非淤泥底人工水体设计，应符合下列规定：</w:t>
      </w:r>
    </w:p>
    <w:p>
      <w:pPr>
        <w:spacing w:line="360" w:lineRule="auto"/>
        <w:ind w:firstLine="421" w:firstLineChars="150"/>
        <w:rPr>
          <w:rFonts w:cs="Helvetica" w:asciiTheme="minorEastAsia" w:hAnsiTheme="minorEastAsia"/>
          <w:color w:val="000000" w:themeColor="text1"/>
          <w:kern w:val="0"/>
          <w:sz w:val="28"/>
          <w:szCs w:val="28"/>
        </w:rPr>
      </w:pPr>
      <w:r>
        <w:rPr>
          <w:rFonts w:cs="Helvetica" w:asciiTheme="minorEastAsia" w:hAnsiTheme="minorEastAsia"/>
          <w:b/>
          <w:bCs/>
          <w:color w:val="000000" w:themeColor="text1"/>
          <w:kern w:val="0"/>
          <w:sz w:val="28"/>
          <w:szCs w:val="28"/>
        </w:rPr>
        <w:t xml:space="preserve"> 1 </w:t>
      </w:r>
      <w:r>
        <w:rPr>
          <w:rFonts w:hint="eastAsia" w:cs="Helvetica" w:asciiTheme="minorEastAsia" w:hAnsiTheme="minorEastAsia"/>
          <w:color w:val="000000" w:themeColor="text1"/>
          <w:kern w:val="0"/>
          <w:sz w:val="28"/>
          <w:szCs w:val="28"/>
        </w:rPr>
        <w:t>无防护设施的人工驳岸，近岸</w:t>
      </w:r>
      <w:r>
        <w:rPr>
          <w:rFonts w:cs="Helvetica" w:asciiTheme="minorEastAsia" w:hAnsiTheme="minorEastAsia"/>
          <w:color w:val="000000" w:themeColor="text1"/>
          <w:kern w:val="0"/>
          <w:sz w:val="28"/>
          <w:szCs w:val="28"/>
        </w:rPr>
        <w:t>2.0m</w:t>
      </w:r>
      <w:r>
        <w:rPr>
          <w:rFonts w:hint="eastAsia" w:cs="Helvetica" w:asciiTheme="minorEastAsia" w:hAnsiTheme="minorEastAsia"/>
          <w:color w:val="000000" w:themeColor="text1"/>
          <w:kern w:val="0"/>
          <w:sz w:val="28"/>
          <w:szCs w:val="28"/>
        </w:rPr>
        <w:t>范围内的常水位水深不得大于</w:t>
      </w:r>
      <w:r>
        <w:rPr>
          <w:rFonts w:cs="Helvetica" w:asciiTheme="minorEastAsia" w:hAnsiTheme="minorEastAsia"/>
          <w:color w:val="000000" w:themeColor="text1"/>
          <w:kern w:val="0"/>
          <w:sz w:val="28"/>
          <w:szCs w:val="28"/>
        </w:rPr>
        <w:t>0.7m</w:t>
      </w:r>
      <w:r>
        <w:rPr>
          <w:rFonts w:hint="eastAsia" w:cs="Helvetica" w:asciiTheme="minorEastAsia" w:hAnsiTheme="minorEastAsia"/>
          <w:color w:val="000000" w:themeColor="text1"/>
          <w:kern w:val="0"/>
          <w:sz w:val="28"/>
          <w:szCs w:val="28"/>
        </w:rPr>
        <w:t>；</w:t>
      </w:r>
    </w:p>
    <w:p>
      <w:pPr>
        <w:spacing w:line="360" w:lineRule="auto"/>
        <w:ind w:firstLine="421" w:firstLineChars="150"/>
        <w:rPr>
          <w:rFonts w:cs="Helvetica" w:asciiTheme="minorEastAsia" w:hAnsiTheme="minorEastAsia"/>
          <w:color w:val="000000" w:themeColor="text1"/>
          <w:kern w:val="0"/>
          <w:sz w:val="28"/>
          <w:szCs w:val="28"/>
        </w:rPr>
      </w:pPr>
      <w:r>
        <w:rPr>
          <w:rFonts w:cs="Helvetica" w:asciiTheme="minorEastAsia" w:hAnsiTheme="minorEastAsia"/>
          <w:b/>
          <w:bCs/>
          <w:color w:val="000000" w:themeColor="text1"/>
          <w:kern w:val="0"/>
          <w:sz w:val="28"/>
          <w:szCs w:val="28"/>
        </w:rPr>
        <w:t xml:space="preserve"> 2 </w:t>
      </w:r>
      <w:r>
        <w:rPr>
          <w:rFonts w:hint="eastAsia" w:cs="Helvetica" w:asciiTheme="minorEastAsia" w:hAnsiTheme="minorEastAsia"/>
          <w:color w:val="000000" w:themeColor="text1"/>
          <w:kern w:val="0"/>
          <w:sz w:val="28"/>
          <w:szCs w:val="28"/>
        </w:rPr>
        <w:t>无防护设施的园桥、汀步及临水平台附近</w:t>
      </w:r>
      <w:r>
        <w:rPr>
          <w:rFonts w:cs="Helvetica" w:asciiTheme="minorEastAsia" w:hAnsiTheme="minorEastAsia"/>
          <w:color w:val="000000" w:themeColor="text1"/>
          <w:kern w:val="0"/>
          <w:sz w:val="28"/>
          <w:szCs w:val="28"/>
        </w:rPr>
        <w:t>2.0m</w:t>
      </w:r>
      <w:r>
        <w:rPr>
          <w:rFonts w:hint="eastAsia" w:cs="Helvetica" w:asciiTheme="minorEastAsia" w:hAnsiTheme="minorEastAsia"/>
          <w:color w:val="000000" w:themeColor="text1"/>
          <w:kern w:val="0"/>
          <w:sz w:val="28"/>
          <w:szCs w:val="28"/>
        </w:rPr>
        <w:t>范围以内的常水位水深不得大于</w:t>
      </w:r>
      <w:r>
        <w:rPr>
          <w:rFonts w:cs="Helvetica" w:asciiTheme="minorEastAsia" w:hAnsiTheme="minorEastAsia"/>
          <w:color w:val="000000" w:themeColor="text1"/>
          <w:kern w:val="0"/>
          <w:sz w:val="28"/>
          <w:szCs w:val="28"/>
        </w:rPr>
        <w:t>0.5m</w:t>
      </w:r>
      <w:r>
        <w:rPr>
          <w:rFonts w:hint="eastAsia" w:cs="Helvetica" w:asciiTheme="minorEastAsia" w:hAnsiTheme="minorEastAsia"/>
          <w:color w:val="000000" w:themeColor="text1"/>
          <w:kern w:val="0"/>
          <w:sz w:val="28"/>
          <w:szCs w:val="28"/>
        </w:rPr>
        <w:t>；</w:t>
      </w:r>
    </w:p>
    <w:p>
      <w:pPr>
        <w:spacing w:line="360" w:lineRule="auto"/>
        <w:ind w:firstLine="421" w:firstLineChars="150"/>
        <w:rPr>
          <w:rFonts w:cs="Helvetica" w:asciiTheme="minorEastAsia" w:hAnsiTheme="minorEastAsia"/>
          <w:b/>
          <w:color w:val="000000" w:themeColor="text1"/>
          <w:kern w:val="0"/>
          <w:sz w:val="28"/>
          <w:szCs w:val="28"/>
        </w:rPr>
      </w:pPr>
      <w:r>
        <w:rPr>
          <w:rFonts w:cs="Helvetica" w:asciiTheme="minorEastAsia" w:hAnsiTheme="minorEastAsia"/>
          <w:b/>
          <w:bCs/>
          <w:color w:val="000000" w:themeColor="text1"/>
          <w:kern w:val="0"/>
          <w:sz w:val="28"/>
          <w:szCs w:val="28"/>
        </w:rPr>
        <w:t xml:space="preserve"> 3 </w:t>
      </w:r>
      <w:r>
        <w:rPr>
          <w:rFonts w:hint="eastAsia" w:cs="Helvetica" w:asciiTheme="minorEastAsia" w:hAnsiTheme="minorEastAsia"/>
          <w:color w:val="000000" w:themeColor="text1"/>
          <w:kern w:val="0"/>
          <w:sz w:val="28"/>
          <w:szCs w:val="28"/>
        </w:rPr>
        <w:t>无防护设施的驳岸顶与常水位的垂直距离不得大于</w:t>
      </w:r>
      <w:r>
        <w:rPr>
          <w:rFonts w:cs="Helvetica" w:asciiTheme="minorEastAsia" w:hAnsiTheme="minorEastAsia"/>
          <w:color w:val="000000" w:themeColor="text1"/>
          <w:kern w:val="0"/>
          <w:sz w:val="28"/>
          <w:szCs w:val="28"/>
        </w:rPr>
        <w:t>0.5m</w:t>
      </w:r>
      <w:r>
        <w:rPr>
          <w:rFonts w:hint="eastAsia" w:cs="Helvetica" w:asciiTheme="minorEastAsia" w:hAnsiTheme="minorEastAsia"/>
          <w:color w:val="000000" w:themeColor="text1"/>
          <w:kern w:val="0"/>
          <w:sz w:val="28"/>
          <w:szCs w:val="28"/>
        </w:rPr>
        <w:t>。</w:t>
      </w:r>
    </w:p>
    <w:p>
      <w:pPr>
        <w:spacing w:line="360" w:lineRule="auto"/>
        <w:rPr>
          <w:rFonts w:cs="Helvetica" w:asciiTheme="minorEastAsia" w:hAnsiTheme="minorEastAsia"/>
          <w:b/>
          <w:color w:val="000000" w:themeColor="text1"/>
          <w:kern w:val="0"/>
          <w:sz w:val="28"/>
          <w:szCs w:val="28"/>
        </w:rPr>
      </w:pPr>
      <w:r>
        <w:rPr>
          <w:rFonts w:hint="eastAsia" w:cs="Helvetica" w:asciiTheme="minorEastAsia" w:hAnsiTheme="minorEastAsia"/>
          <w:b/>
          <w:color w:val="000000" w:themeColor="text1"/>
          <w:kern w:val="0"/>
          <w:sz w:val="28"/>
          <w:szCs w:val="28"/>
        </w:rPr>
        <w:t xml:space="preserve">8.3.5 </w:t>
      </w:r>
      <w:r>
        <w:rPr>
          <w:rFonts w:hint="eastAsia" w:cs="Helvetica" w:asciiTheme="minorEastAsia" w:hAnsiTheme="minorEastAsia"/>
          <w:color w:val="000000" w:themeColor="text1"/>
          <w:kern w:val="0"/>
          <w:sz w:val="28"/>
          <w:szCs w:val="28"/>
        </w:rPr>
        <w:t>地形险要地段的园路或场地，应设置安全防护设施。</w:t>
      </w:r>
    </w:p>
    <w:p>
      <w:pPr>
        <w:spacing w:line="360" w:lineRule="auto"/>
        <w:rPr>
          <w:rFonts w:cs="Helvetica" w:asciiTheme="minorEastAsia" w:hAnsiTheme="minorEastAsia"/>
          <w:color w:val="000000" w:themeColor="text1"/>
          <w:kern w:val="0"/>
          <w:sz w:val="28"/>
          <w:szCs w:val="28"/>
        </w:rPr>
      </w:pPr>
      <w:r>
        <w:rPr>
          <w:rFonts w:hint="eastAsia" w:cs="Helvetica" w:asciiTheme="minorEastAsia" w:hAnsiTheme="minorEastAsia"/>
          <w:b/>
          <w:color w:val="000000" w:themeColor="text1"/>
          <w:kern w:val="0"/>
          <w:sz w:val="28"/>
          <w:szCs w:val="28"/>
        </w:rPr>
        <w:t xml:space="preserve">8.3.6 </w:t>
      </w:r>
      <w:r>
        <w:rPr>
          <w:rFonts w:hint="eastAsia" w:cs="Helvetica" w:asciiTheme="minorEastAsia" w:hAnsiTheme="minorEastAsia"/>
          <w:bCs/>
          <w:color w:val="000000" w:themeColor="text1"/>
          <w:kern w:val="0"/>
          <w:sz w:val="28"/>
          <w:szCs w:val="28"/>
        </w:rPr>
        <w:t>城市绿地内，</w:t>
      </w:r>
      <w:r>
        <w:rPr>
          <w:rFonts w:hint="eastAsia" w:cs="Helvetica" w:asciiTheme="minorEastAsia" w:hAnsiTheme="minorEastAsia"/>
          <w:color w:val="000000" w:themeColor="text1"/>
          <w:kern w:val="0"/>
          <w:sz w:val="28"/>
          <w:szCs w:val="28"/>
        </w:rPr>
        <w:t>各类散步道、跑步道和自行车道宜设置景观化的物理隔离。</w:t>
      </w:r>
    </w:p>
    <w:p>
      <w:pPr>
        <w:spacing w:line="360" w:lineRule="auto"/>
        <w:rPr>
          <w:rFonts w:cs="Helvetica" w:asciiTheme="minorEastAsia" w:hAnsiTheme="minorEastAsia"/>
          <w:color w:val="000000" w:themeColor="text1"/>
          <w:kern w:val="0"/>
          <w:sz w:val="28"/>
          <w:szCs w:val="28"/>
        </w:rPr>
      </w:pPr>
      <w:r>
        <w:rPr>
          <w:rFonts w:hint="eastAsia" w:ascii="微软雅黑" w:hAnsi="微软雅黑" w:eastAsia="微软雅黑" w:cs="微软雅黑"/>
          <w:kern w:val="0"/>
          <w:sz w:val="28"/>
          <w:szCs w:val="28"/>
        </w:rPr>
        <w:t>【条文说明】</w:t>
      </w:r>
      <w:r>
        <w:rPr>
          <w:rFonts w:hint="eastAsia" w:ascii="微软雅黑" w:hAnsi="微软雅黑" w:eastAsia="微软雅黑" w:cs="微软雅黑"/>
          <w:b/>
          <w:color w:val="000000" w:themeColor="text1"/>
          <w:kern w:val="0"/>
          <w:sz w:val="28"/>
          <w:szCs w:val="28"/>
        </w:rPr>
        <w:t>8.3.6</w:t>
      </w:r>
      <w:r>
        <w:rPr>
          <w:rFonts w:hint="eastAsia" w:ascii="微软雅黑" w:hAnsi="微软雅黑" w:eastAsia="微软雅黑" w:cs="微软雅黑"/>
          <w:kern w:val="0"/>
          <w:sz w:val="28"/>
          <w:szCs w:val="28"/>
        </w:rPr>
        <w:t>本条结合工程实践，针对重点区域提出稍高于普通区域的景观化和安全化设计标准。</w:t>
      </w:r>
    </w:p>
    <w:p>
      <w:pPr>
        <w:spacing w:line="360" w:lineRule="auto"/>
        <w:jc w:val="left"/>
        <w:rPr>
          <w:rFonts w:cs="Helvetica" w:asciiTheme="minorEastAsia" w:hAnsiTheme="minorEastAsia"/>
          <w:b/>
          <w:color w:val="000000" w:themeColor="text1"/>
          <w:kern w:val="0"/>
          <w:sz w:val="28"/>
          <w:szCs w:val="28"/>
        </w:rPr>
      </w:pPr>
      <w:r>
        <w:rPr>
          <w:rFonts w:hint="eastAsia" w:cs="Helvetica" w:asciiTheme="minorEastAsia" w:hAnsiTheme="minorEastAsia"/>
          <w:b/>
          <w:color w:val="000000" w:themeColor="text1"/>
          <w:kern w:val="0"/>
          <w:sz w:val="28"/>
          <w:szCs w:val="28"/>
        </w:rPr>
        <w:t xml:space="preserve">8.3.7 </w:t>
      </w:r>
      <w:r>
        <w:rPr>
          <w:rFonts w:hint="eastAsia" w:cs="Helvetica" w:asciiTheme="minorEastAsia" w:hAnsiTheme="minorEastAsia"/>
          <w:color w:val="000000" w:themeColor="text1"/>
          <w:kern w:val="0"/>
          <w:sz w:val="28"/>
          <w:szCs w:val="28"/>
        </w:rPr>
        <w:t>地面铺装设计应符合本市海绵城市建设要求。户外场地铺装石材应做好防滑及防返碱措施。</w:t>
      </w:r>
    </w:p>
    <w:p>
      <w:pPr>
        <w:spacing w:line="360" w:lineRule="auto"/>
        <w:rPr>
          <w:rFonts w:cs="Helvetica" w:asciiTheme="minorEastAsia" w:hAnsiTheme="minorEastAsia"/>
          <w:b/>
          <w:color w:val="000000" w:themeColor="text1"/>
          <w:kern w:val="0"/>
          <w:sz w:val="28"/>
          <w:szCs w:val="28"/>
        </w:rPr>
      </w:pPr>
      <w:r>
        <w:rPr>
          <w:rFonts w:hint="eastAsia" w:cs="Helvetica" w:asciiTheme="minorEastAsia" w:hAnsiTheme="minorEastAsia"/>
          <w:b/>
          <w:color w:val="000000" w:themeColor="text1"/>
          <w:kern w:val="0"/>
          <w:sz w:val="28"/>
          <w:szCs w:val="28"/>
        </w:rPr>
        <w:t xml:space="preserve">8.3.8 </w:t>
      </w:r>
      <w:r>
        <w:rPr>
          <w:rFonts w:hint="eastAsia" w:cs="Helvetica" w:asciiTheme="minorEastAsia" w:hAnsiTheme="minorEastAsia"/>
          <w:color w:val="000000" w:themeColor="text1"/>
          <w:kern w:val="0"/>
          <w:sz w:val="28"/>
          <w:szCs w:val="28"/>
        </w:rPr>
        <w:t>儿童活动场地应选择环保、柔性、耐磨的地面材料，不应出现尖锐棱角。</w:t>
      </w:r>
    </w:p>
    <w:p>
      <w:pPr>
        <w:spacing w:line="360" w:lineRule="auto"/>
        <w:ind w:firstLine="3696" w:firstLineChars="1315"/>
        <w:jc w:val="left"/>
        <w:outlineLvl w:val="1"/>
        <w:rPr>
          <w:rFonts w:cs="Helvetica" w:asciiTheme="minorEastAsia" w:hAnsiTheme="minorEastAsia"/>
          <w:b/>
          <w:color w:val="000000" w:themeColor="text1"/>
          <w:kern w:val="0"/>
          <w:sz w:val="28"/>
          <w:szCs w:val="28"/>
        </w:rPr>
      </w:pPr>
      <w:bookmarkStart w:id="113" w:name="_Toc16466"/>
      <w:r>
        <w:rPr>
          <w:rFonts w:hint="eastAsia" w:cs="Helvetica" w:asciiTheme="minorEastAsia" w:hAnsiTheme="minorEastAsia"/>
          <w:b/>
          <w:color w:val="000000" w:themeColor="text1"/>
          <w:kern w:val="0"/>
          <w:sz w:val="28"/>
          <w:szCs w:val="28"/>
        </w:rPr>
        <w:t>8.4 种植设计</w:t>
      </w:r>
      <w:bookmarkEnd w:id="113"/>
    </w:p>
    <w:p>
      <w:pPr>
        <w:spacing w:line="360" w:lineRule="auto"/>
        <w:rPr>
          <w:rFonts w:cs="Helvetica" w:asciiTheme="minorEastAsia" w:hAnsiTheme="minorEastAsia"/>
          <w:color w:val="000000" w:themeColor="text1"/>
          <w:kern w:val="0"/>
          <w:sz w:val="28"/>
          <w:szCs w:val="28"/>
        </w:rPr>
      </w:pPr>
      <w:r>
        <w:rPr>
          <w:rFonts w:hint="eastAsia" w:cs="Helvetica" w:asciiTheme="minorEastAsia" w:hAnsiTheme="minorEastAsia"/>
          <w:b/>
          <w:color w:val="000000" w:themeColor="text1"/>
          <w:kern w:val="0"/>
          <w:sz w:val="28"/>
          <w:szCs w:val="28"/>
        </w:rPr>
        <w:t>8</w:t>
      </w:r>
      <w:r>
        <w:rPr>
          <w:rFonts w:cs="Helvetica" w:asciiTheme="minorEastAsia" w:hAnsiTheme="minorEastAsia"/>
          <w:b/>
          <w:color w:val="000000" w:themeColor="text1"/>
          <w:kern w:val="0"/>
          <w:sz w:val="28"/>
          <w:szCs w:val="28"/>
        </w:rPr>
        <w:t>.</w:t>
      </w:r>
      <w:r>
        <w:rPr>
          <w:rFonts w:hint="eastAsia" w:cs="Helvetica" w:asciiTheme="minorEastAsia" w:hAnsiTheme="minorEastAsia"/>
          <w:b/>
          <w:color w:val="000000" w:themeColor="text1"/>
          <w:kern w:val="0"/>
          <w:sz w:val="28"/>
          <w:szCs w:val="28"/>
        </w:rPr>
        <w:t>4</w:t>
      </w:r>
      <w:r>
        <w:rPr>
          <w:rFonts w:cs="Helvetica" w:asciiTheme="minorEastAsia" w:hAnsiTheme="minorEastAsia"/>
          <w:b/>
          <w:color w:val="000000" w:themeColor="text1"/>
          <w:kern w:val="0"/>
          <w:sz w:val="28"/>
          <w:szCs w:val="28"/>
        </w:rPr>
        <w:t xml:space="preserve">.1 </w:t>
      </w:r>
      <w:r>
        <w:rPr>
          <w:rFonts w:hint="eastAsia" w:cs="Helvetica" w:asciiTheme="minorEastAsia" w:hAnsiTheme="minorEastAsia"/>
          <w:bCs/>
          <w:color w:val="000000" w:themeColor="text1"/>
          <w:kern w:val="0"/>
          <w:sz w:val="28"/>
          <w:szCs w:val="28"/>
        </w:rPr>
        <w:t>种植设计</w:t>
      </w:r>
      <w:r>
        <w:rPr>
          <w:rFonts w:hint="eastAsia" w:cs="Helvetica" w:asciiTheme="minorEastAsia" w:hAnsiTheme="minorEastAsia"/>
          <w:color w:val="000000" w:themeColor="text1"/>
          <w:kern w:val="0"/>
          <w:sz w:val="28"/>
          <w:szCs w:val="28"/>
        </w:rPr>
        <w:t>应以深圳乡土树种为主，并优选形态优美、生态效益高、抗风能力和抗污染能力强的树种。</w:t>
      </w:r>
    </w:p>
    <w:p>
      <w:pPr>
        <w:spacing w:line="360" w:lineRule="auto"/>
        <w:rPr>
          <w:rFonts w:cs="Helvetica" w:asciiTheme="minorEastAsia" w:hAnsiTheme="minorEastAsia"/>
          <w:color w:val="000000" w:themeColor="text1"/>
          <w:kern w:val="0"/>
          <w:sz w:val="28"/>
          <w:szCs w:val="28"/>
        </w:rPr>
      </w:pPr>
      <w:r>
        <w:rPr>
          <w:rFonts w:hint="eastAsia" w:cs="Helvetica" w:asciiTheme="minorEastAsia" w:hAnsiTheme="minorEastAsia"/>
          <w:b/>
          <w:bCs/>
          <w:color w:val="000000" w:themeColor="text1"/>
          <w:kern w:val="0"/>
          <w:sz w:val="28"/>
          <w:szCs w:val="28"/>
        </w:rPr>
        <w:t xml:space="preserve">8.4.2 </w:t>
      </w:r>
      <w:r>
        <w:rPr>
          <w:rFonts w:hint="eastAsia" w:cs="Helvetica" w:asciiTheme="minorEastAsia" w:hAnsiTheme="minorEastAsia"/>
          <w:bCs/>
          <w:color w:val="000000" w:themeColor="text1"/>
          <w:kern w:val="0"/>
          <w:sz w:val="28"/>
          <w:szCs w:val="28"/>
        </w:rPr>
        <w:t>种植设计</w:t>
      </w:r>
      <w:r>
        <w:rPr>
          <w:rFonts w:hint="eastAsia" w:cs="Helvetica" w:asciiTheme="minorEastAsia" w:hAnsiTheme="minorEastAsia"/>
          <w:color w:val="000000" w:themeColor="text1"/>
          <w:kern w:val="0"/>
          <w:sz w:val="28"/>
          <w:szCs w:val="28"/>
        </w:rPr>
        <w:t>应根据立地条件和功能要求，选用适生树种：</w:t>
      </w:r>
    </w:p>
    <w:p>
      <w:pPr>
        <w:spacing w:line="360" w:lineRule="auto"/>
        <w:ind w:firstLine="562" w:firstLineChars="200"/>
        <w:rPr>
          <w:rFonts w:cs="Helvetica" w:asciiTheme="minorEastAsia" w:hAnsiTheme="minorEastAsia"/>
          <w:color w:val="000000" w:themeColor="text1"/>
          <w:kern w:val="0"/>
          <w:sz w:val="28"/>
          <w:szCs w:val="28"/>
        </w:rPr>
      </w:pPr>
      <w:r>
        <w:rPr>
          <w:rFonts w:hint="eastAsia" w:cs="Helvetica" w:asciiTheme="minorEastAsia" w:hAnsiTheme="minorEastAsia"/>
          <w:b/>
          <w:bCs/>
          <w:color w:val="000000" w:themeColor="text1"/>
          <w:kern w:val="0"/>
          <w:sz w:val="28"/>
          <w:szCs w:val="28"/>
        </w:rPr>
        <w:t xml:space="preserve">1 </w:t>
      </w:r>
      <w:r>
        <w:rPr>
          <w:rFonts w:hint="eastAsia" w:cs="Helvetica" w:asciiTheme="minorEastAsia" w:hAnsiTheme="minorEastAsia"/>
          <w:color w:val="000000" w:themeColor="text1"/>
          <w:kern w:val="0"/>
          <w:sz w:val="28"/>
          <w:szCs w:val="28"/>
        </w:rPr>
        <w:t>屋顶花园宜选择浅根性树种；</w:t>
      </w:r>
    </w:p>
    <w:p>
      <w:pPr>
        <w:spacing w:line="360" w:lineRule="auto"/>
        <w:ind w:firstLine="562" w:firstLineChars="200"/>
        <w:rPr>
          <w:rFonts w:cs="Helvetica" w:asciiTheme="minorEastAsia" w:hAnsiTheme="minorEastAsia"/>
          <w:color w:val="000000" w:themeColor="text1"/>
          <w:kern w:val="0"/>
          <w:sz w:val="28"/>
          <w:szCs w:val="28"/>
        </w:rPr>
      </w:pPr>
      <w:r>
        <w:rPr>
          <w:rFonts w:hint="eastAsia" w:cs="Helvetica" w:asciiTheme="minorEastAsia" w:hAnsiTheme="minorEastAsia"/>
          <w:b/>
          <w:bCs/>
          <w:color w:val="000000" w:themeColor="text1"/>
          <w:kern w:val="0"/>
          <w:sz w:val="28"/>
          <w:szCs w:val="28"/>
        </w:rPr>
        <w:t xml:space="preserve">2 </w:t>
      </w:r>
      <w:r>
        <w:rPr>
          <w:rFonts w:hint="eastAsia" w:cs="Helvetica" w:asciiTheme="minorEastAsia" w:hAnsiTheme="minorEastAsia"/>
          <w:color w:val="000000" w:themeColor="text1"/>
          <w:kern w:val="0"/>
          <w:sz w:val="28"/>
          <w:szCs w:val="28"/>
        </w:rPr>
        <w:t>易遭受台风侵害的区域宜选用抗风性树种；</w:t>
      </w:r>
    </w:p>
    <w:p>
      <w:pPr>
        <w:spacing w:line="360" w:lineRule="auto"/>
        <w:ind w:firstLine="562" w:firstLineChars="200"/>
        <w:rPr>
          <w:rFonts w:cs="Helvetica" w:asciiTheme="minorEastAsia" w:hAnsiTheme="minorEastAsia"/>
          <w:bCs/>
          <w:color w:val="000000" w:themeColor="text1"/>
          <w:kern w:val="0"/>
          <w:sz w:val="28"/>
          <w:szCs w:val="28"/>
        </w:rPr>
      </w:pPr>
      <w:r>
        <w:rPr>
          <w:rFonts w:hint="eastAsia" w:cs="Helvetica" w:asciiTheme="minorEastAsia" w:hAnsiTheme="minorEastAsia"/>
          <w:b/>
          <w:bCs/>
          <w:color w:val="000000" w:themeColor="text1"/>
          <w:kern w:val="0"/>
          <w:sz w:val="28"/>
          <w:szCs w:val="28"/>
        </w:rPr>
        <w:t xml:space="preserve">3 </w:t>
      </w:r>
      <w:r>
        <w:rPr>
          <w:rFonts w:hint="eastAsia" w:cs="Helvetica" w:asciiTheme="minorEastAsia" w:hAnsiTheme="minorEastAsia"/>
          <w:bCs/>
          <w:color w:val="000000" w:themeColor="text1"/>
          <w:kern w:val="0"/>
          <w:sz w:val="28"/>
          <w:szCs w:val="28"/>
        </w:rPr>
        <w:t>立体绿化中攀藤植物优选姿态优美的开花藤本；</w:t>
      </w:r>
    </w:p>
    <w:p>
      <w:pPr>
        <w:spacing w:line="360" w:lineRule="auto"/>
        <w:ind w:firstLine="562" w:firstLineChars="200"/>
        <w:rPr>
          <w:rFonts w:cs="Helvetica" w:asciiTheme="minorEastAsia" w:hAnsiTheme="minorEastAsia"/>
          <w:b/>
          <w:bCs/>
          <w:color w:val="000000" w:themeColor="text1"/>
          <w:kern w:val="0"/>
          <w:sz w:val="28"/>
          <w:szCs w:val="28"/>
        </w:rPr>
      </w:pPr>
      <w:r>
        <w:rPr>
          <w:rFonts w:hint="eastAsia" w:cs="Helvetica" w:asciiTheme="minorEastAsia" w:hAnsiTheme="minorEastAsia"/>
          <w:b/>
          <w:color w:val="000000" w:themeColor="text1"/>
          <w:kern w:val="0"/>
          <w:sz w:val="28"/>
          <w:szCs w:val="28"/>
        </w:rPr>
        <w:t xml:space="preserve">4 </w:t>
      </w:r>
      <w:r>
        <w:rPr>
          <w:rFonts w:hint="eastAsia" w:cs="Helvetica" w:asciiTheme="minorEastAsia" w:hAnsiTheme="minorEastAsia"/>
          <w:bCs/>
          <w:color w:val="000000" w:themeColor="text1"/>
          <w:kern w:val="0"/>
          <w:sz w:val="28"/>
          <w:szCs w:val="28"/>
        </w:rPr>
        <w:t>居住区、体育公园和健康步道宜选用康养性树种</w:t>
      </w:r>
      <w:r>
        <w:rPr>
          <w:rFonts w:hint="eastAsia" w:cs="Helvetica" w:asciiTheme="minorEastAsia" w:hAnsiTheme="minorEastAsia"/>
          <w:b/>
          <w:bCs/>
          <w:color w:val="000000" w:themeColor="text1"/>
          <w:kern w:val="0"/>
          <w:sz w:val="28"/>
          <w:szCs w:val="28"/>
        </w:rPr>
        <w:t>；</w:t>
      </w:r>
    </w:p>
    <w:p>
      <w:pPr>
        <w:spacing w:line="360" w:lineRule="auto"/>
        <w:ind w:firstLine="562" w:firstLineChars="200"/>
        <w:rPr>
          <w:rFonts w:cs="Helvetica" w:asciiTheme="minorEastAsia" w:hAnsiTheme="minorEastAsia"/>
          <w:bCs/>
          <w:color w:val="000000" w:themeColor="text1"/>
          <w:kern w:val="0"/>
          <w:sz w:val="28"/>
          <w:szCs w:val="28"/>
        </w:rPr>
      </w:pPr>
      <w:r>
        <w:rPr>
          <w:rFonts w:hint="eastAsia" w:cs="Helvetica" w:asciiTheme="minorEastAsia" w:hAnsiTheme="minorEastAsia"/>
          <w:b/>
          <w:color w:val="000000" w:themeColor="text1"/>
          <w:kern w:val="0"/>
          <w:sz w:val="28"/>
          <w:szCs w:val="28"/>
        </w:rPr>
        <w:t xml:space="preserve">5 </w:t>
      </w:r>
      <w:r>
        <w:rPr>
          <w:rFonts w:hint="eastAsia" w:cs="Helvetica" w:asciiTheme="minorEastAsia" w:hAnsiTheme="minorEastAsia"/>
          <w:bCs/>
          <w:color w:val="000000" w:themeColor="text1"/>
          <w:kern w:val="0"/>
          <w:sz w:val="28"/>
          <w:szCs w:val="28"/>
        </w:rPr>
        <w:t>在海绵城市建设区域，应配置与海绵城市设施充分契合的景观植物；</w:t>
      </w:r>
    </w:p>
    <w:p>
      <w:pPr>
        <w:spacing w:line="360" w:lineRule="auto"/>
        <w:ind w:firstLine="562" w:firstLineChars="200"/>
        <w:rPr>
          <w:rFonts w:cs="Helvetica" w:asciiTheme="minorEastAsia" w:hAnsiTheme="minorEastAsia"/>
          <w:color w:val="000000" w:themeColor="text1"/>
          <w:kern w:val="0"/>
          <w:sz w:val="28"/>
          <w:szCs w:val="28"/>
        </w:rPr>
      </w:pPr>
      <w:r>
        <w:rPr>
          <w:rFonts w:hint="eastAsia" w:cs="Helvetica" w:asciiTheme="minorEastAsia" w:hAnsiTheme="minorEastAsia"/>
          <w:b/>
          <w:color w:val="000000" w:themeColor="text1"/>
          <w:kern w:val="0"/>
          <w:sz w:val="28"/>
          <w:szCs w:val="28"/>
        </w:rPr>
        <w:t xml:space="preserve">6 </w:t>
      </w:r>
      <w:r>
        <w:rPr>
          <w:rFonts w:hint="eastAsia" w:cs="Helvetica" w:asciiTheme="minorEastAsia" w:hAnsiTheme="minorEastAsia"/>
          <w:color w:val="000000" w:themeColor="text1"/>
          <w:kern w:val="0"/>
          <w:sz w:val="28"/>
          <w:szCs w:val="28"/>
        </w:rPr>
        <w:t>儿童活动场内应通透式种植，且严禁配置有毒、有刺或诱发过敏等植物；</w:t>
      </w:r>
    </w:p>
    <w:p>
      <w:pPr>
        <w:spacing w:line="360" w:lineRule="auto"/>
        <w:ind w:firstLine="562" w:firstLineChars="200"/>
        <w:rPr>
          <w:rFonts w:cs="Helvetica" w:asciiTheme="minorEastAsia" w:hAnsiTheme="minorEastAsia"/>
          <w:color w:val="000000" w:themeColor="text1"/>
          <w:kern w:val="0"/>
          <w:sz w:val="28"/>
          <w:szCs w:val="28"/>
        </w:rPr>
      </w:pPr>
      <w:r>
        <w:rPr>
          <w:rFonts w:hint="eastAsia" w:cs="Helvetica" w:asciiTheme="minorEastAsia" w:hAnsiTheme="minorEastAsia"/>
          <w:b/>
          <w:bCs/>
          <w:color w:val="000000" w:themeColor="text1"/>
          <w:kern w:val="0"/>
          <w:sz w:val="28"/>
          <w:szCs w:val="28"/>
        </w:rPr>
        <w:t xml:space="preserve">7 </w:t>
      </w:r>
      <w:r>
        <w:rPr>
          <w:rFonts w:hint="eastAsia" w:cs="Helvetica" w:asciiTheme="minorEastAsia" w:hAnsiTheme="minorEastAsia"/>
          <w:color w:val="000000" w:themeColor="text1"/>
          <w:kern w:val="0"/>
          <w:sz w:val="28"/>
          <w:szCs w:val="28"/>
        </w:rPr>
        <w:t>适地种植可与昆虫共生及诱鸟的植物。</w:t>
      </w:r>
    </w:p>
    <w:p>
      <w:pPr>
        <w:spacing w:line="360" w:lineRule="auto"/>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【条文说明】</w:t>
      </w:r>
      <w:r>
        <w:rPr>
          <w:rFonts w:hint="eastAsia" w:ascii="微软雅黑" w:hAnsi="微软雅黑" w:eastAsia="微软雅黑" w:cs="微软雅黑"/>
          <w:b/>
          <w:bCs/>
          <w:kern w:val="0"/>
          <w:sz w:val="28"/>
          <w:szCs w:val="28"/>
        </w:rPr>
        <w:t xml:space="preserve"> 8.4.2 </w:t>
      </w:r>
      <w:r>
        <w:rPr>
          <w:rFonts w:hint="eastAsia" w:ascii="微软雅黑" w:hAnsi="微软雅黑" w:eastAsia="微软雅黑" w:cs="微软雅黑"/>
          <w:kern w:val="0"/>
          <w:sz w:val="28"/>
          <w:szCs w:val="28"/>
        </w:rPr>
        <w:t>第2款 抗风性树种一般有小叶榄仁、中叶榄仁、尖叶杜英、大丝葵和银海枣等。</w:t>
      </w:r>
    </w:p>
    <w:p>
      <w:pPr>
        <w:spacing w:line="360" w:lineRule="auto"/>
        <w:ind w:firstLine="560" w:firstLineChars="200"/>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第4款 康养性树种一般有香樟、白兰、桂花、鸡蛋花和含笑等。</w:t>
      </w:r>
    </w:p>
    <w:p>
      <w:pPr>
        <w:spacing w:line="360" w:lineRule="auto"/>
        <w:rPr>
          <w:rFonts w:cs="Helvetica" w:asciiTheme="minorEastAsia" w:hAnsiTheme="minorEastAsia"/>
          <w:color w:val="000000" w:themeColor="text1"/>
          <w:kern w:val="0"/>
          <w:sz w:val="28"/>
          <w:szCs w:val="28"/>
        </w:rPr>
      </w:pPr>
      <w:r>
        <w:rPr>
          <w:rFonts w:hint="eastAsia" w:cs="Helvetica" w:asciiTheme="minorEastAsia" w:hAnsiTheme="minorEastAsia"/>
          <w:b/>
          <w:color w:val="000000" w:themeColor="text1"/>
          <w:kern w:val="0"/>
          <w:sz w:val="28"/>
          <w:szCs w:val="28"/>
        </w:rPr>
        <w:t xml:space="preserve">8.4.3 </w:t>
      </w:r>
      <w:r>
        <w:rPr>
          <w:rFonts w:hint="eastAsia" w:cs="Helvetica" w:asciiTheme="minorEastAsia" w:hAnsiTheme="minorEastAsia"/>
          <w:bCs/>
          <w:color w:val="000000" w:themeColor="text1"/>
          <w:kern w:val="0"/>
          <w:sz w:val="28"/>
          <w:szCs w:val="28"/>
        </w:rPr>
        <w:t>种植设计所选用</w:t>
      </w:r>
      <w:r>
        <w:rPr>
          <w:rFonts w:hint="eastAsia" w:cs="Helvetica" w:asciiTheme="minorEastAsia" w:hAnsiTheme="minorEastAsia"/>
          <w:color w:val="000000" w:themeColor="text1"/>
          <w:kern w:val="0"/>
          <w:sz w:val="28"/>
          <w:szCs w:val="28"/>
        </w:rPr>
        <w:t>乔木、散植灌木苗木规格应达到全冠状态，乔木规格胸径宜为12</w:t>
      </w:r>
      <w:r>
        <w:rPr>
          <w:rFonts w:hint="eastAsia" w:ascii="宋体" w:hAnsi="宋体" w:cs="宋体"/>
          <w:color w:val="000000" w:themeColor="text1"/>
          <w:kern w:val="0"/>
          <w:sz w:val="28"/>
          <w:szCs w:val="28"/>
        </w:rPr>
        <w:t>~</w:t>
      </w:r>
      <w:r>
        <w:rPr>
          <w:rFonts w:hint="eastAsia" w:cs="Helvetica" w:asciiTheme="minorEastAsia" w:hAnsiTheme="minorEastAsia"/>
          <w:color w:val="000000" w:themeColor="text1"/>
          <w:kern w:val="0"/>
          <w:sz w:val="28"/>
          <w:szCs w:val="28"/>
        </w:rPr>
        <w:t>30cm。灌木地被植物应采用冠幅完整、根系完整的盆苗，禁止使用未有分枝成冠的单枝独苗。</w:t>
      </w:r>
    </w:p>
    <w:p>
      <w:pPr>
        <w:spacing w:line="360" w:lineRule="auto"/>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【条文说明】</w:t>
      </w:r>
      <w:r>
        <w:rPr>
          <w:rFonts w:hint="eastAsia" w:ascii="微软雅黑" w:hAnsi="微软雅黑" w:eastAsia="微软雅黑" w:cs="微软雅黑"/>
          <w:b/>
          <w:bCs/>
          <w:kern w:val="0"/>
          <w:sz w:val="28"/>
          <w:szCs w:val="28"/>
        </w:rPr>
        <w:t xml:space="preserve">8.4.3 </w:t>
      </w:r>
      <w:r>
        <w:rPr>
          <w:rFonts w:hint="eastAsia" w:ascii="微软雅黑" w:hAnsi="微软雅黑" w:eastAsia="微软雅黑" w:cs="微软雅黑"/>
          <w:kern w:val="0"/>
          <w:sz w:val="28"/>
          <w:szCs w:val="28"/>
        </w:rPr>
        <w:t>若乔木胸径过小，存在感较弱，景观效果不够明显；胸径过大，则不符合自然生态环境保护的要求。具体应执行广东省林业厅、广东省住房和城乡建设厅《关于严禁移植天然大树进城的通知》，即严禁使用天然大树的移植苗。乔木依照场所、功能要求，一般选用12cm~20 cm胸径规格；孤植树（点景树）、庭荫树可适当选用较大规格苗木（25cm~30cm胸径规格）。</w:t>
      </w:r>
    </w:p>
    <w:p>
      <w:pPr>
        <w:spacing w:line="360" w:lineRule="auto"/>
        <w:rPr>
          <w:rFonts w:cs="Helvetica" w:asciiTheme="minorEastAsia" w:hAnsiTheme="minorEastAsia"/>
          <w:color w:val="000000" w:themeColor="text1"/>
          <w:kern w:val="0"/>
          <w:sz w:val="28"/>
          <w:szCs w:val="28"/>
        </w:rPr>
      </w:pPr>
      <w:r>
        <w:rPr>
          <w:rFonts w:hint="eastAsia" w:cs="Helvetica" w:asciiTheme="minorEastAsia" w:hAnsiTheme="minorEastAsia"/>
          <w:b/>
          <w:color w:val="000000" w:themeColor="text1"/>
          <w:kern w:val="0"/>
          <w:sz w:val="28"/>
          <w:szCs w:val="28"/>
        </w:rPr>
        <w:t xml:space="preserve">8.4.4 </w:t>
      </w:r>
      <w:r>
        <w:rPr>
          <w:rFonts w:hint="eastAsia" w:cs="Helvetica" w:asciiTheme="minorEastAsia" w:hAnsiTheme="minorEastAsia"/>
          <w:color w:val="000000" w:themeColor="text1"/>
          <w:kern w:val="0"/>
          <w:sz w:val="28"/>
          <w:szCs w:val="28"/>
        </w:rPr>
        <w:t>种植土壤应符合下列规定：</w:t>
      </w:r>
    </w:p>
    <w:p>
      <w:pPr>
        <w:spacing w:line="360" w:lineRule="auto"/>
        <w:ind w:firstLine="562" w:firstLineChars="200"/>
        <w:rPr>
          <w:rFonts w:cs="Helvetica" w:asciiTheme="minorEastAsia" w:hAnsiTheme="minorEastAsia" w:eastAsiaTheme="minorEastAsia"/>
          <w:color w:val="000000" w:themeColor="text1"/>
          <w:kern w:val="0"/>
          <w:sz w:val="28"/>
          <w:szCs w:val="28"/>
        </w:rPr>
      </w:pPr>
      <w:r>
        <w:rPr>
          <w:rFonts w:hint="eastAsia" w:cs="Helvetica" w:asciiTheme="minorEastAsia" w:hAnsiTheme="minorEastAsia"/>
          <w:b/>
          <w:bCs/>
          <w:color w:val="000000" w:themeColor="text1"/>
          <w:kern w:val="0"/>
          <w:sz w:val="28"/>
          <w:szCs w:val="28"/>
        </w:rPr>
        <w:t>1</w:t>
      </w:r>
      <w:r>
        <w:rPr>
          <w:rFonts w:hint="eastAsia" w:cs="Helvetica" w:asciiTheme="minorEastAsia" w:hAnsiTheme="minorEastAsia"/>
          <w:color w:val="000000" w:themeColor="text1"/>
          <w:kern w:val="0"/>
          <w:sz w:val="28"/>
          <w:szCs w:val="28"/>
        </w:rPr>
        <w:t xml:space="preserve"> 除有设施空间绿化等特殊隔离地带，植物栽植土壤有效土层下不得有不透水层；</w:t>
      </w:r>
    </w:p>
    <w:p>
      <w:pPr>
        <w:spacing w:line="360" w:lineRule="auto"/>
        <w:ind w:firstLine="562" w:firstLineChars="200"/>
        <w:rPr>
          <w:rFonts w:cs="Helvetica" w:asciiTheme="minorEastAsia" w:hAnsiTheme="minorEastAsia" w:eastAsiaTheme="minorEastAsia"/>
          <w:color w:val="000000" w:themeColor="text1"/>
          <w:kern w:val="0"/>
          <w:sz w:val="28"/>
          <w:szCs w:val="28"/>
        </w:rPr>
      </w:pPr>
      <w:r>
        <w:rPr>
          <w:rFonts w:hint="eastAsia" w:cs="Helvetica" w:asciiTheme="minorEastAsia" w:hAnsiTheme="minorEastAsia"/>
          <w:b/>
          <w:bCs/>
          <w:color w:val="000000" w:themeColor="text1"/>
          <w:kern w:val="0"/>
          <w:sz w:val="28"/>
          <w:szCs w:val="28"/>
        </w:rPr>
        <w:t>2</w:t>
      </w:r>
      <w:r>
        <w:rPr>
          <w:rFonts w:hint="eastAsia" w:cs="Helvetica" w:asciiTheme="minorEastAsia" w:hAnsiTheme="minorEastAsia"/>
          <w:color w:val="000000" w:themeColor="text1"/>
          <w:kern w:val="0"/>
          <w:sz w:val="28"/>
          <w:szCs w:val="28"/>
        </w:rPr>
        <w:t>有地下空间的绿地覆土应保障灌木自然生长，栽植乔木的覆土厚度不应小于1.5m；</w:t>
      </w:r>
      <w:r>
        <w:rPr>
          <w:rFonts w:cs="Helvetica" w:asciiTheme="minorEastAsia" w:hAnsiTheme="minorEastAsia" w:eastAsiaTheme="minorEastAsia"/>
          <w:color w:val="000000" w:themeColor="text1"/>
          <w:kern w:val="0"/>
          <w:sz w:val="28"/>
          <w:szCs w:val="28"/>
        </w:rPr>
        <w:t xml:space="preserve"> </w:t>
      </w:r>
    </w:p>
    <w:p>
      <w:pPr>
        <w:spacing w:line="360" w:lineRule="auto"/>
        <w:ind w:firstLine="562" w:firstLineChars="200"/>
        <w:rPr>
          <w:rFonts w:cs="Helvetica" w:asciiTheme="minorEastAsia" w:hAnsiTheme="minorEastAsia" w:eastAsiaTheme="minorEastAsia"/>
          <w:color w:val="000000" w:themeColor="text1"/>
          <w:kern w:val="0"/>
          <w:sz w:val="28"/>
          <w:szCs w:val="28"/>
        </w:rPr>
      </w:pPr>
      <w:r>
        <w:rPr>
          <w:rFonts w:hint="eastAsia" w:cs="Helvetica" w:asciiTheme="minorEastAsia" w:hAnsiTheme="minorEastAsia"/>
          <w:b/>
          <w:bCs/>
          <w:color w:val="000000" w:themeColor="text1"/>
          <w:kern w:val="0"/>
          <w:sz w:val="28"/>
          <w:szCs w:val="28"/>
        </w:rPr>
        <w:t>3</w:t>
      </w:r>
      <w:r>
        <w:rPr>
          <w:rFonts w:hint="eastAsia" w:cs="Helvetica" w:asciiTheme="minorEastAsia" w:hAnsiTheme="minorEastAsia"/>
          <w:color w:val="000000" w:themeColor="text1"/>
          <w:kern w:val="0"/>
          <w:sz w:val="28"/>
          <w:szCs w:val="28"/>
        </w:rPr>
        <w:t>植物栽植前应进行土壤检测，包括土壤有害重金属检测和植物病虫害检测；土壤质量不良时，应更换栽植土或进行土壤改良；园林工程使用的栽植土和肥料不得污染水源；</w:t>
      </w:r>
    </w:p>
    <w:p>
      <w:pPr>
        <w:spacing w:line="360" w:lineRule="auto"/>
        <w:ind w:firstLine="562" w:firstLineChars="200"/>
        <w:rPr>
          <w:rFonts w:cs="Helvetica" w:asciiTheme="minorEastAsia" w:hAnsiTheme="minorEastAsia"/>
          <w:color w:val="000000" w:themeColor="text1"/>
          <w:kern w:val="0"/>
          <w:sz w:val="28"/>
          <w:szCs w:val="28"/>
        </w:rPr>
      </w:pPr>
      <w:r>
        <w:rPr>
          <w:rFonts w:hint="eastAsia" w:cs="Helvetica" w:asciiTheme="minorEastAsia" w:hAnsiTheme="minorEastAsia"/>
          <w:b/>
          <w:bCs/>
          <w:color w:val="000000" w:themeColor="text1"/>
          <w:kern w:val="0"/>
          <w:sz w:val="28"/>
          <w:szCs w:val="28"/>
        </w:rPr>
        <w:t>4</w:t>
      </w:r>
      <w:r>
        <w:rPr>
          <w:rFonts w:hint="eastAsia" w:cs="Helvetica" w:asciiTheme="minorEastAsia" w:hAnsiTheme="minorEastAsia"/>
          <w:color w:val="000000" w:themeColor="text1"/>
          <w:kern w:val="0"/>
          <w:sz w:val="28"/>
          <w:szCs w:val="28"/>
        </w:rPr>
        <w:t>花境种植土应达到现行《</w:t>
      </w:r>
      <w:r>
        <w:fldChar w:fldCharType="begin"/>
      </w:r>
      <w:r>
        <w:instrText xml:space="preserve"> HYPERLINK "https://www.baidu.com/link?url=RR7ix9J_sGHU7rQ34YCucaCtRaFkSHE6lxbzBMswAQQQuPFW4RtpN8W9phLLxNCv8i52G_5WLRMWWrtNyxABmNRVBsRRIfg7rOtzzkPnUc3&amp;wd=&amp;eqid=8da3ae580005c4b1000000035c997deb" \t "_blank" </w:instrText>
      </w:r>
      <w:r>
        <w:fldChar w:fldCharType="separate"/>
      </w:r>
      <w:r>
        <w:rPr>
          <w:rFonts w:cs="Helvetica" w:asciiTheme="minorEastAsia" w:hAnsiTheme="minorEastAsia"/>
          <w:color w:val="000000" w:themeColor="text1"/>
          <w:kern w:val="0"/>
          <w:sz w:val="28"/>
          <w:szCs w:val="28"/>
        </w:rPr>
        <w:t>园林绿化种植土质量</w:t>
      </w:r>
      <w:r>
        <w:rPr>
          <w:rFonts w:cs="Helvetica" w:asciiTheme="minorEastAsia" w:hAnsiTheme="minorEastAsia"/>
          <w:color w:val="000000" w:themeColor="text1"/>
          <w:kern w:val="0"/>
          <w:sz w:val="28"/>
          <w:szCs w:val="28"/>
        </w:rPr>
        <w:fldChar w:fldCharType="end"/>
      </w:r>
      <w:r>
        <w:rPr>
          <w:rFonts w:hint="eastAsia" w:cs="Helvetica" w:asciiTheme="minorEastAsia" w:hAnsiTheme="minorEastAsia"/>
          <w:color w:val="000000" w:themeColor="text1"/>
          <w:kern w:val="0"/>
          <w:sz w:val="28"/>
          <w:szCs w:val="28"/>
        </w:rPr>
        <w:t>》</w:t>
      </w:r>
      <w:r>
        <w:rPr>
          <w:rFonts w:cs="Helvetica" w:asciiTheme="minorEastAsia" w:hAnsiTheme="minorEastAsia"/>
          <w:color w:val="000000" w:themeColor="text1"/>
          <w:kern w:val="0"/>
          <w:sz w:val="28"/>
          <w:szCs w:val="28"/>
        </w:rPr>
        <w:t>DB 440300/T 34</w:t>
      </w:r>
      <w:r>
        <w:rPr>
          <w:rFonts w:hint="eastAsia" w:cs="Helvetica" w:asciiTheme="minorEastAsia" w:hAnsiTheme="minorEastAsia"/>
          <w:color w:val="000000" w:themeColor="text1"/>
          <w:kern w:val="0"/>
          <w:sz w:val="28"/>
          <w:szCs w:val="28"/>
        </w:rPr>
        <w:t>中花坛土一级土标准，树穴种植土和草坪种植土应达到相应一级标准。</w:t>
      </w:r>
    </w:p>
    <w:p>
      <w:pPr>
        <w:spacing w:line="360" w:lineRule="auto"/>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【条文说明】</w:t>
      </w:r>
      <w:r>
        <w:rPr>
          <w:rFonts w:hint="eastAsia" w:ascii="微软雅黑" w:hAnsi="微软雅黑" w:eastAsia="微软雅黑" w:cs="微软雅黑"/>
          <w:b/>
          <w:bCs/>
          <w:kern w:val="0"/>
          <w:sz w:val="28"/>
          <w:szCs w:val="28"/>
        </w:rPr>
        <w:t xml:space="preserve">8.4.4 </w:t>
      </w:r>
      <w:r>
        <w:rPr>
          <w:rFonts w:hint="eastAsia" w:ascii="微软雅黑" w:hAnsi="微软雅黑" w:eastAsia="微软雅黑" w:cs="微软雅黑"/>
          <w:kern w:val="0"/>
          <w:sz w:val="28"/>
          <w:szCs w:val="28"/>
        </w:rPr>
        <w:t>第2款 本款参考《园林绿化工程施工及验收规范》CJJ 82-2012，提出乔木栽植土壤深度要求数值，系综合考虑具有地下空间的绿地荷载局限和乔木健康生长最浅土壤要求。</w:t>
      </w:r>
    </w:p>
    <w:p>
      <w:pPr>
        <w:spacing w:line="360" w:lineRule="auto"/>
        <w:rPr>
          <w:rFonts w:ascii="宋体" w:hAnsi="宋体" w:cs="宋体"/>
          <w:color w:val="FF0000"/>
          <w:kern w:val="0"/>
          <w:sz w:val="28"/>
          <w:szCs w:val="28"/>
        </w:rPr>
      </w:pPr>
      <w:r>
        <w:rPr>
          <w:rFonts w:hint="eastAsia" w:cs="Helvetica" w:asciiTheme="minorEastAsia" w:hAnsiTheme="minorEastAsia"/>
          <w:b/>
          <w:color w:val="000000" w:themeColor="text1"/>
          <w:kern w:val="0"/>
          <w:sz w:val="28"/>
          <w:szCs w:val="28"/>
        </w:rPr>
        <w:t>8.4.5</w:t>
      </w:r>
      <w:r>
        <w:rPr>
          <w:rFonts w:hint="eastAsia" w:cs="Helvetica" w:asciiTheme="minorEastAsia" w:hAnsiTheme="minorEastAsia"/>
          <w:color w:val="000000" w:themeColor="text1"/>
          <w:kern w:val="0"/>
          <w:sz w:val="28"/>
          <w:szCs w:val="28"/>
        </w:rPr>
        <w:t xml:space="preserve"> 城市道路或城市广场的独立树池净空不宜小于2.2m×2.2m×1.8m(长度×宽度×埋深)。</w:t>
      </w:r>
    </w:p>
    <w:p>
      <w:pPr>
        <w:spacing w:line="360" w:lineRule="auto"/>
        <w:ind w:firstLine="2248" w:firstLineChars="800"/>
        <w:jc w:val="left"/>
        <w:outlineLvl w:val="1"/>
        <w:rPr>
          <w:rFonts w:cs="Helvetica" w:asciiTheme="minorEastAsia" w:hAnsiTheme="minorEastAsia"/>
          <w:b/>
          <w:color w:val="000000" w:themeColor="text1"/>
          <w:kern w:val="0"/>
          <w:sz w:val="28"/>
          <w:szCs w:val="28"/>
        </w:rPr>
      </w:pPr>
      <w:bookmarkStart w:id="114" w:name="_Toc31200"/>
      <w:r>
        <w:rPr>
          <w:rFonts w:hint="eastAsia" w:cs="Helvetica" w:asciiTheme="minorEastAsia" w:hAnsiTheme="minorEastAsia"/>
          <w:b/>
          <w:color w:val="000000" w:themeColor="text1"/>
          <w:kern w:val="0"/>
          <w:sz w:val="28"/>
          <w:szCs w:val="28"/>
        </w:rPr>
        <w:t>8.5 建（构）筑物及配套设施设计</w:t>
      </w:r>
      <w:bookmarkEnd w:id="114"/>
    </w:p>
    <w:p>
      <w:pPr>
        <w:spacing w:line="360" w:lineRule="auto"/>
        <w:rPr>
          <w:rFonts w:cs="Helvetica" w:asciiTheme="minorEastAsia" w:hAnsiTheme="minorEastAsia"/>
          <w:b/>
          <w:color w:val="000000" w:themeColor="text1"/>
          <w:kern w:val="0"/>
          <w:sz w:val="28"/>
          <w:szCs w:val="28"/>
        </w:rPr>
      </w:pPr>
      <w:r>
        <w:rPr>
          <w:rFonts w:hint="eastAsia" w:cs="Helvetica" w:asciiTheme="minorEastAsia" w:hAnsiTheme="minorEastAsia"/>
          <w:b/>
          <w:color w:val="000000" w:themeColor="text1"/>
          <w:kern w:val="0"/>
          <w:sz w:val="28"/>
          <w:szCs w:val="28"/>
        </w:rPr>
        <w:t xml:space="preserve">8.5.1 </w:t>
      </w:r>
      <w:r>
        <w:rPr>
          <w:rFonts w:hint="eastAsia" w:cs="Helvetica" w:asciiTheme="minorEastAsia" w:hAnsiTheme="minorEastAsia"/>
          <w:bCs/>
          <w:color w:val="000000" w:themeColor="text1"/>
          <w:kern w:val="0"/>
          <w:sz w:val="28"/>
          <w:szCs w:val="28"/>
        </w:rPr>
        <w:t>城市公园新建厕所服务半径不宜超过250m。</w:t>
      </w:r>
    </w:p>
    <w:p>
      <w:pPr>
        <w:spacing w:line="360" w:lineRule="auto"/>
        <w:rPr>
          <w:rFonts w:cs="Helvetica" w:asciiTheme="minorEastAsia" w:hAnsiTheme="minorEastAsia"/>
          <w:color w:val="000000" w:themeColor="text1"/>
          <w:sz w:val="28"/>
          <w:szCs w:val="28"/>
        </w:rPr>
      </w:pPr>
      <w:r>
        <w:rPr>
          <w:rFonts w:hint="eastAsia" w:cs="Helvetica" w:asciiTheme="minorEastAsia" w:hAnsiTheme="minorEastAsia"/>
          <w:b/>
          <w:color w:val="000000" w:themeColor="text1"/>
          <w:kern w:val="0"/>
          <w:sz w:val="28"/>
          <w:szCs w:val="28"/>
        </w:rPr>
        <w:t xml:space="preserve">8.5.2 </w:t>
      </w:r>
      <w:r>
        <w:rPr>
          <w:rFonts w:hint="eastAsia" w:cs="Helvetica" w:asciiTheme="minorEastAsia" w:hAnsiTheme="minorEastAsia"/>
          <w:bCs/>
          <w:color w:val="000000" w:themeColor="text1"/>
          <w:kern w:val="0"/>
          <w:sz w:val="28"/>
          <w:szCs w:val="28"/>
        </w:rPr>
        <w:t>城市绿地</w:t>
      </w:r>
      <w:r>
        <w:rPr>
          <w:rFonts w:hint="eastAsia" w:cs="Helvetica" w:asciiTheme="minorEastAsia" w:hAnsiTheme="minorEastAsia"/>
          <w:color w:val="000000" w:themeColor="text1"/>
          <w:kern w:val="0"/>
          <w:sz w:val="28"/>
          <w:szCs w:val="28"/>
        </w:rPr>
        <w:t>公共厕所</w:t>
      </w:r>
      <w:r>
        <w:rPr>
          <w:rFonts w:hint="eastAsia" w:cs="Helvetica" w:asciiTheme="minorEastAsia" w:hAnsiTheme="minorEastAsia"/>
          <w:color w:val="000000" w:themeColor="text1"/>
          <w:sz w:val="28"/>
          <w:szCs w:val="28"/>
        </w:rPr>
        <w:t>设计，应符合下列规定：</w:t>
      </w:r>
    </w:p>
    <w:p>
      <w:pPr>
        <w:spacing w:line="360" w:lineRule="auto"/>
        <w:ind w:firstLine="562" w:firstLineChars="200"/>
        <w:rPr>
          <w:rFonts w:cs="Helvetica" w:asciiTheme="minorEastAsia" w:hAnsiTheme="minorEastAsia" w:eastAsiaTheme="minorEastAsia"/>
          <w:color w:val="000000" w:themeColor="text1"/>
          <w:kern w:val="0"/>
          <w:sz w:val="28"/>
          <w:szCs w:val="28"/>
        </w:rPr>
      </w:pPr>
      <w:r>
        <w:rPr>
          <w:rFonts w:hint="eastAsia" w:cs="Helvetica" w:asciiTheme="minorEastAsia" w:hAnsiTheme="minorEastAsia"/>
          <w:b/>
          <w:color w:val="000000" w:themeColor="text1"/>
          <w:kern w:val="0"/>
          <w:sz w:val="28"/>
          <w:szCs w:val="28"/>
        </w:rPr>
        <w:t xml:space="preserve">1 </w:t>
      </w:r>
      <w:r>
        <w:rPr>
          <w:rFonts w:hint="eastAsia" w:cs="Helvetica" w:asciiTheme="minorEastAsia" w:hAnsiTheme="minorEastAsia"/>
          <w:color w:val="000000" w:themeColor="text1"/>
          <w:kern w:val="0"/>
          <w:sz w:val="28"/>
          <w:szCs w:val="28"/>
        </w:rPr>
        <w:t>建筑单体应与环境和谐，以自然、质朴或彰显地方特色为主，注重私密性；</w:t>
      </w:r>
    </w:p>
    <w:p>
      <w:pPr>
        <w:spacing w:line="360" w:lineRule="auto"/>
        <w:ind w:firstLine="562" w:firstLineChars="200"/>
        <w:rPr>
          <w:rFonts w:cs="Helvetica" w:asciiTheme="minorEastAsia" w:hAnsiTheme="minorEastAsia"/>
          <w:color w:val="000000" w:themeColor="text1"/>
          <w:kern w:val="0"/>
          <w:sz w:val="28"/>
          <w:szCs w:val="28"/>
        </w:rPr>
      </w:pPr>
      <w:r>
        <w:rPr>
          <w:rFonts w:hint="eastAsia" w:cs="Helvetica" w:asciiTheme="minorEastAsia" w:hAnsiTheme="minorEastAsia"/>
          <w:b/>
          <w:color w:val="000000" w:themeColor="text1"/>
          <w:kern w:val="0"/>
          <w:sz w:val="28"/>
          <w:szCs w:val="28"/>
        </w:rPr>
        <w:t xml:space="preserve">2 </w:t>
      </w:r>
      <w:r>
        <w:rPr>
          <w:rFonts w:hint="eastAsia" w:cs="Helvetica" w:asciiTheme="minorEastAsia" w:hAnsiTheme="minorEastAsia"/>
          <w:color w:val="000000" w:themeColor="text1"/>
          <w:kern w:val="0"/>
          <w:sz w:val="28"/>
          <w:szCs w:val="28"/>
        </w:rPr>
        <w:t>女厕位不应小于男厕位（大、小便器之和）2倍；</w:t>
      </w:r>
    </w:p>
    <w:p>
      <w:pPr>
        <w:spacing w:line="360" w:lineRule="auto"/>
        <w:ind w:firstLine="562" w:firstLineChars="200"/>
        <w:rPr>
          <w:rFonts w:cs="Helvetica" w:asciiTheme="minorEastAsia" w:hAnsiTheme="minorEastAsia"/>
          <w:color w:val="000000" w:themeColor="text1"/>
          <w:kern w:val="0"/>
          <w:sz w:val="28"/>
          <w:szCs w:val="28"/>
        </w:rPr>
      </w:pPr>
      <w:r>
        <w:rPr>
          <w:rFonts w:hint="eastAsia" w:cs="Helvetica" w:asciiTheme="minorEastAsia" w:hAnsiTheme="minorEastAsia"/>
          <w:b/>
          <w:bCs/>
          <w:color w:val="000000" w:themeColor="text1"/>
          <w:kern w:val="0"/>
          <w:sz w:val="28"/>
          <w:szCs w:val="28"/>
        </w:rPr>
        <w:t>3</w:t>
      </w:r>
      <w:r>
        <w:rPr>
          <w:rFonts w:hint="eastAsia" w:cs="Helvetica" w:asciiTheme="minorEastAsia" w:hAnsiTheme="minorEastAsia"/>
          <w:color w:val="000000" w:themeColor="text1"/>
          <w:kern w:val="0"/>
          <w:sz w:val="28"/>
          <w:szCs w:val="28"/>
        </w:rPr>
        <w:t xml:space="preserve"> 厕所水龙头应采用自动感应式；</w:t>
      </w:r>
    </w:p>
    <w:p>
      <w:pPr>
        <w:spacing w:line="360" w:lineRule="auto"/>
        <w:ind w:firstLine="562" w:firstLineChars="200"/>
        <w:rPr>
          <w:rFonts w:cs="Helvetica" w:asciiTheme="minorEastAsia" w:hAnsiTheme="minorEastAsia" w:eastAsiaTheme="minorEastAsia"/>
          <w:b/>
          <w:color w:val="000000" w:themeColor="text1"/>
          <w:kern w:val="0"/>
          <w:sz w:val="28"/>
          <w:szCs w:val="28"/>
        </w:rPr>
      </w:pPr>
      <w:r>
        <w:rPr>
          <w:rFonts w:hint="eastAsia" w:cs="Helvetica" w:asciiTheme="minorEastAsia" w:hAnsiTheme="minorEastAsia"/>
          <w:b/>
          <w:bCs/>
          <w:color w:val="000000" w:themeColor="text1"/>
          <w:kern w:val="0"/>
          <w:sz w:val="28"/>
          <w:szCs w:val="28"/>
        </w:rPr>
        <w:t>4</w:t>
      </w:r>
      <w:r>
        <w:rPr>
          <w:rFonts w:hint="eastAsia" w:cs="Helvetica" w:asciiTheme="minorEastAsia" w:hAnsiTheme="minorEastAsia"/>
          <w:color w:val="000000" w:themeColor="text1"/>
          <w:kern w:val="0"/>
          <w:sz w:val="28"/>
          <w:szCs w:val="28"/>
        </w:rPr>
        <w:t>应设置</w:t>
      </w:r>
      <w:r>
        <w:rPr>
          <w:rFonts w:cs="Helvetica" w:asciiTheme="minorEastAsia" w:hAnsiTheme="minorEastAsia"/>
          <w:color w:val="000000" w:themeColor="text1"/>
          <w:kern w:val="0"/>
          <w:sz w:val="28"/>
          <w:szCs w:val="28"/>
        </w:rPr>
        <w:t>儿童专用厕所</w:t>
      </w:r>
      <w:r>
        <w:rPr>
          <w:rFonts w:hint="eastAsia" w:cs="Helvetica" w:asciiTheme="minorEastAsia" w:hAnsiTheme="minorEastAsia"/>
          <w:color w:val="000000" w:themeColor="text1"/>
          <w:kern w:val="0"/>
          <w:sz w:val="28"/>
          <w:szCs w:val="28"/>
        </w:rPr>
        <w:t>（</w:t>
      </w:r>
      <w:r>
        <w:rPr>
          <w:rFonts w:cs="Helvetica" w:asciiTheme="minorEastAsia" w:hAnsiTheme="minorEastAsia"/>
          <w:color w:val="000000" w:themeColor="text1"/>
          <w:kern w:val="0"/>
          <w:sz w:val="28"/>
          <w:szCs w:val="28"/>
        </w:rPr>
        <w:t>或厕位</w:t>
      </w:r>
      <w:r>
        <w:rPr>
          <w:rFonts w:hint="eastAsia" w:cs="Helvetica" w:asciiTheme="minorEastAsia" w:hAnsiTheme="minorEastAsia"/>
          <w:color w:val="000000" w:themeColor="text1"/>
          <w:kern w:val="0"/>
          <w:sz w:val="28"/>
          <w:szCs w:val="28"/>
        </w:rPr>
        <w:t>）和专用水龙头；</w:t>
      </w:r>
    </w:p>
    <w:p>
      <w:pPr>
        <w:spacing w:line="360" w:lineRule="auto"/>
        <w:ind w:firstLine="562" w:firstLineChars="200"/>
        <w:rPr>
          <w:rFonts w:cs="Helvetica" w:asciiTheme="minorEastAsia" w:hAnsiTheme="minorEastAsia" w:eastAsiaTheme="minorEastAsia"/>
          <w:color w:val="000000" w:themeColor="text1"/>
          <w:kern w:val="0"/>
          <w:sz w:val="28"/>
          <w:szCs w:val="28"/>
        </w:rPr>
      </w:pPr>
      <w:r>
        <w:rPr>
          <w:rFonts w:hint="eastAsia" w:cs="Helvetica" w:asciiTheme="minorEastAsia" w:hAnsiTheme="minorEastAsia"/>
          <w:b/>
          <w:bCs/>
          <w:color w:val="000000" w:themeColor="text1"/>
          <w:kern w:val="0"/>
          <w:sz w:val="28"/>
          <w:szCs w:val="28"/>
        </w:rPr>
        <w:t xml:space="preserve">5 </w:t>
      </w:r>
      <w:r>
        <w:rPr>
          <w:rFonts w:hint="eastAsia" w:cs="Helvetica" w:asciiTheme="minorEastAsia" w:hAnsiTheme="minorEastAsia"/>
          <w:color w:val="000000" w:themeColor="text1"/>
          <w:kern w:val="0"/>
          <w:sz w:val="28"/>
          <w:szCs w:val="28"/>
        </w:rPr>
        <w:t>应设置无障碍厕所（</w:t>
      </w:r>
      <w:r>
        <w:rPr>
          <w:rFonts w:cs="Helvetica" w:asciiTheme="minorEastAsia" w:hAnsiTheme="minorEastAsia"/>
          <w:color w:val="000000" w:themeColor="text1"/>
          <w:kern w:val="0"/>
          <w:sz w:val="28"/>
          <w:szCs w:val="28"/>
        </w:rPr>
        <w:t>或厕位</w:t>
      </w:r>
      <w:r>
        <w:rPr>
          <w:rFonts w:hint="eastAsia" w:cs="Helvetica" w:asciiTheme="minorEastAsia" w:hAnsiTheme="minorEastAsia"/>
          <w:color w:val="000000" w:themeColor="text1"/>
          <w:kern w:val="0"/>
          <w:sz w:val="28"/>
          <w:szCs w:val="28"/>
        </w:rPr>
        <w:t>）。</w:t>
      </w:r>
    </w:p>
    <w:p>
      <w:pPr>
        <w:spacing w:line="360" w:lineRule="auto"/>
        <w:rPr>
          <w:rFonts w:cs="Helvetica" w:asciiTheme="minorEastAsia" w:hAnsiTheme="minorEastAsia"/>
          <w:color w:val="000000" w:themeColor="text1"/>
          <w:kern w:val="0"/>
          <w:sz w:val="28"/>
          <w:szCs w:val="28"/>
        </w:rPr>
      </w:pPr>
      <w:r>
        <w:rPr>
          <w:rFonts w:hint="eastAsia" w:cs="Helvetica" w:asciiTheme="minorEastAsia" w:hAnsiTheme="minorEastAsia"/>
          <w:b/>
          <w:color w:val="000000" w:themeColor="text1"/>
          <w:kern w:val="0"/>
          <w:sz w:val="28"/>
          <w:szCs w:val="28"/>
        </w:rPr>
        <w:t xml:space="preserve">8.5.3 </w:t>
      </w:r>
      <w:r>
        <w:rPr>
          <w:rFonts w:hint="eastAsia" w:cs="Helvetica" w:asciiTheme="minorEastAsia" w:hAnsiTheme="minorEastAsia"/>
          <w:color w:val="000000" w:themeColor="text1"/>
          <w:kern w:val="0"/>
          <w:sz w:val="28"/>
          <w:szCs w:val="28"/>
        </w:rPr>
        <w:t>城市公园应按现行《深圳市公共场所母婴室设计规程》SJG 39配置母婴室。</w:t>
      </w:r>
    </w:p>
    <w:p>
      <w:pPr>
        <w:spacing w:line="360" w:lineRule="auto"/>
        <w:rPr>
          <w:rFonts w:cs="Helvetica" w:asciiTheme="minorEastAsia" w:hAnsiTheme="minorEastAsia"/>
          <w:b/>
          <w:color w:val="000000" w:themeColor="text1"/>
          <w:kern w:val="0"/>
          <w:sz w:val="28"/>
          <w:szCs w:val="28"/>
        </w:rPr>
      </w:pPr>
      <w:r>
        <w:rPr>
          <w:rFonts w:hint="eastAsia" w:cs="Helvetica" w:asciiTheme="minorEastAsia" w:hAnsiTheme="minorEastAsia"/>
          <w:b/>
          <w:color w:val="000000" w:themeColor="text1"/>
          <w:kern w:val="0"/>
          <w:sz w:val="28"/>
          <w:szCs w:val="28"/>
        </w:rPr>
        <w:t xml:space="preserve">8.5.4 </w:t>
      </w:r>
      <w:r>
        <w:rPr>
          <w:rFonts w:hint="eastAsia" w:cs="Helvetica" w:asciiTheme="minorEastAsia" w:hAnsiTheme="minorEastAsia"/>
          <w:color w:val="000000" w:themeColor="text1"/>
          <w:kern w:val="0"/>
          <w:sz w:val="28"/>
          <w:szCs w:val="28"/>
        </w:rPr>
        <w:t>城市公园驳岸应按生态型设计。</w:t>
      </w:r>
    </w:p>
    <w:p>
      <w:pPr>
        <w:spacing w:line="360" w:lineRule="auto"/>
        <w:rPr>
          <w:rFonts w:cs="Helvetica" w:asciiTheme="minorEastAsia" w:hAnsiTheme="minorEastAsia"/>
          <w:color w:val="000000" w:themeColor="text1"/>
          <w:kern w:val="0"/>
          <w:sz w:val="28"/>
          <w:szCs w:val="28"/>
        </w:rPr>
      </w:pPr>
      <w:r>
        <w:rPr>
          <w:rFonts w:hint="eastAsia" w:cs="Helvetica" w:asciiTheme="minorEastAsia" w:hAnsiTheme="minorEastAsia"/>
          <w:b/>
          <w:color w:val="000000" w:themeColor="text1"/>
          <w:kern w:val="0"/>
          <w:sz w:val="28"/>
          <w:szCs w:val="28"/>
        </w:rPr>
        <w:t xml:space="preserve">8.5.5 </w:t>
      </w:r>
      <w:r>
        <w:rPr>
          <w:rFonts w:hint="eastAsia" w:cs="Helvetica" w:asciiTheme="minorEastAsia" w:hAnsiTheme="minorEastAsia"/>
          <w:color w:val="000000" w:themeColor="text1"/>
          <w:kern w:val="0"/>
          <w:sz w:val="28"/>
          <w:szCs w:val="28"/>
        </w:rPr>
        <w:t>园林景观工程挡土墙设计，应考虑水景、绿植或艺术装置等景观元素。</w:t>
      </w:r>
    </w:p>
    <w:p>
      <w:pPr>
        <w:spacing w:line="360" w:lineRule="auto"/>
        <w:rPr>
          <w:rFonts w:cs="Helvetica" w:asciiTheme="minorEastAsia" w:hAnsiTheme="minorEastAsia"/>
          <w:b/>
          <w:color w:val="000000" w:themeColor="text1"/>
          <w:kern w:val="0"/>
          <w:sz w:val="28"/>
          <w:szCs w:val="28"/>
        </w:rPr>
      </w:pPr>
      <w:r>
        <w:rPr>
          <w:rFonts w:hint="eastAsia" w:cs="Helvetica" w:asciiTheme="minorEastAsia" w:hAnsiTheme="minorEastAsia"/>
          <w:b/>
          <w:color w:val="000000" w:themeColor="text1"/>
          <w:kern w:val="0"/>
          <w:sz w:val="28"/>
          <w:szCs w:val="28"/>
        </w:rPr>
        <w:t xml:space="preserve">8.5.6 </w:t>
      </w:r>
      <w:r>
        <w:rPr>
          <w:rFonts w:hint="eastAsia" w:cs="Helvetica" w:asciiTheme="minorEastAsia" w:hAnsiTheme="minorEastAsia"/>
          <w:color w:val="000000" w:themeColor="text1"/>
          <w:kern w:val="0"/>
          <w:sz w:val="28"/>
          <w:szCs w:val="28"/>
        </w:rPr>
        <w:t>城市公园应配置直接饮水装置，服务半径宜在</w:t>
      </w:r>
      <w:r>
        <w:rPr>
          <w:rFonts w:cs="Helvetica" w:asciiTheme="minorEastAsia" w:hAnsiTheme="minorEastAsia"/>
          <w:color w:val="000000" w:themeColor="text1"/>
          <w:kern w:val="0"/>
          <w:sz w:val="28"/>
          <w:szCs w:val="28"/>
        </w:rPr>
        <w:t>300m以内。</w:t>
      </w:r>
    </w:p>
    <w:p>
      <w:pPr>
        <w:spacing w:line="360" w:lineRule="auto"/>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【条文说明】</w:t>
      </w:r>
      <w:r>
        <w:rPr>
          <w:rFonts w:hint="eastAsia" w:ascii="微软雅黑" w:hAnsi="微软雅黑" w:eastAsia="微软雅黑" w:cs="微软雅黑"/>
          <w:b/>
          <w:bCs/>
          <w:kern w:val="0"/>
          <w:sz w:val="28"/>
          <w:szCs w:val="28"/>
        </w:rPr>
        <w:t xml:space="preserve">8.5.6 </w:t>
      </w:r>
      <w:r>
        <w:rPr>
          <w:rFonts w:hint="eastAsia" w:ascii="微软雅黑" w:hAnsi="微软雅黑" w:eastAsia="微软雅黑" w:cs="微软雅黑"/>
          <w:kern w:val="0"/>
          <w:sz w:val="28"/>
          <w:szCs w:val="28"/>
        </w:rPr>
        <w:t>本条针对重点区域提出稍高于普通区域的设计标准。</w:t>
      </w:r>
    </w:p>
    <w:p>
      <w:pPr>
        <w:spacing w:line="360" w:lineRule="auto"/>
        <w:rPr>
          <w:rFonts w:cs="Helvetica" w:asciiTheme="minorEastAsia" w:hAnsiTheme="minorEastAsia"/>
          <w:b/>
          <w:color w:val="000000" w:themeColor="text1"/>
          <w:kern w:val="0"/>
          <w:sz w:val="28"/>
          <w:szCs w:val="28"/>
        </w:rPr>
      </w:pPr>
      <w:r>
        <w:rPr>
          <w:rFonts w:hint="eastAsia" w:cs="Helvetica" w:asciiTheme="minorEastAsia" w:hAnsiTheme="minorEastAsia"/>
          <w:b/>
          <w:color w:val="000000" w:themeColor="text1"/>
          <w:kern w:val="0"/>
          <w:sz w:val="28"/>
          <w:szCs w:val="28"/>
        </w:rPr>
        <w:t xml:space="preserve">8.5.7 </w:t>
      </w:r>
      <w:r>
        <w:rPr>
          <w:rFonts w:hint="eastAsia" w:cs="Helvetica" w:asciiTheme="minorEastAsia" w:hAnsiTheme="minorEastAsia"/>
          <w:color w:val="000000" w:themeColor="text1"/>
          <w:kern w:val="0"/>
          <w:sz w:val="28"/>
          <w:szCs w:val="28"/>
        </w:rPr>
        <w:t>城市</w:t>
      </w:r>
      <w:r>
        <w:rPr>
          <w:rFonts w:hint="eastAsia" w:cs="Helvetica" w:asciiTheme="minorEastAsia" w:hAnsiTheme="minorEastAsia"/>
          <w:bCs/>
          <w:color w:val="000000" w:themeColor="text1"/>
          <w:kern w:val="0"/>
          <w:sz w:val="28"/>
          <w:szCs w:val="28"/>
        </w:rPr>
        <w:t>公园应考虑游人流量、观景和遮荫等要素，合理设置园椅或座凳。</w:t>
      </w:r>
    </w:p>
    <w:p>
      <w:pPr>
        <w:spacing w:line="360" w:lineRule="auto"/>
        <w:rPr>
          <w:rFonts w:cs="Helvetica" w:asciiTheme="minorEastAsia" w:hAnsiTheme="minorEastAsia"/>
          <w:color w:val="000000" w:themeColor="text1"/>
          <w:kern w:val="0"/>
          <w:sz w:val="28"/>
          <w:szCs w:val="28"/>
        </w:rPr>
      </w:pPr>
      <w:r>
        <w:rPr>
          <w:rFonts w:hint="eastAsia" w:cs="Helvetica" w:asciiTheme="minorEastAsia" w:hAnsiTheme="minorEastAsia"/>
          <w:b/>
          <w:color w:val="000000" w:themeColor="text1"/>
          <w:kern w:val="0"/>
          <w:sz w:val="28"/>
          <w:szCs w:val="28"/>
        </w:rPr>
        <w:t xml:space="preserve">8.5.8 </w:t>
      </w:r>
      <w:r>
        <w:rPr>
          <w:rFonts w:hint="eastAsia" w:cs="Helvetica" w:asciiTheme="minorEastAsia" w:hAnsiTheme="minorEastAsia"/>
          <w:color w:val="000000" w:themeColor="text1"/>
          <w:kern w:val="0"/>
          <w:sz w:val="28"/>
          <w:szCs w:val="28"/>
        </w:rPr>
        <w:t>城市绿地应设置</w:t>
      </w:r>
      <w:r>
        <w:rPr>
          <w:rFonts w:hint="eastAsia" w:cs="Helvetica" w:asciiTheme="minorEastAsia" w:hAnsiTheme="minorEastAsia"/>
          <w:bCs/>
          <w:color w:val="000000" w:themeColor="text1"/>
          <w:kern w:val="0"/>
          <w:sz w:val="28"/>
          <w:szCs w:val="28"/>
        </w:rPr>
        <w:t>分类收集垃圾箱</w:t>
      </w:r>
      <w:r>
        <w:rPr>
          <w:rFonts w:hint="eastAsia" w:cs="Helvetica" w:asciiTheme="minorEastAsia" w:hAnsiTheme="minorEastAsia"/>
          <w:color w:val="000000" w:themeColor="text1"/>
          <w:kern w:val="0"/>
          <w:sz w:val="28"/>
          <w:szCs w:val="28"/>
        </w:rPr>
        <w:t>。</w:t>
      </w:r>
    </w:p>
    <w:p>
      <w:pPr>
        <w:spacing w:line="360" w:lineRule="auto"/>
        <w:rPr>
          <w:rFonts w:cs="Helvetica" w:asciiTheme="minorEastAsia" w:hAnsiTheme="minorEastAsia"/>
          <w:color w:val="000000" w:themeColor="text1"/>
          <w:kern w:val="0"/>
          <w:sz w:val="28"/>
          <w:szCs w:val="28"/>
        </w:rPr>
      </w:pPr>
      <w:r>
        <w:rPr>
          <w:rFonts w:hint="eastAsia" w:cs="Helvetica" w:asciiTheme="minorEastAsia" w:hAnsiTheme="minorEastAsia"/>
          <w:b/>
          <w:color w:val="000000" w:themeColor="text1"/>
          <w:kern w:val="0"/>
          <w:sz w:val="28"/>
          <w:szCs w:val="28"/>
        </w:rPr>
        <w:t xml:space="preserve">8.5.9 </w:t>
      </w:r>
      <w:r>
        <w:rPr>
          <w:rFonts w:hint="eastAsia" w:cs="Helvetica" w:asciiTheme="minorEastAsia" w:hAnsiTheme="minorEastAsia"/>
          <w:color w:val="000000" w:themeColor="text1"/>
          <w:kern w:val="0"/>
          <w:sz w:val="28"/>
          <w:szCs w:val="28"/>
        </w:rPr>
        <w:t>城市绿地应进行标识系统设计。</w:t>
      </w:r>
    </w:p>
    <w:p>
      <w:pPr>
        <w:spacing w:line="360" w:lineRule="auto"/>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【条文说明】</w:t>
      </w:r>
      <w:r>
        <w:rPr>
          <w:rFonts w:hint="eastAsia" w:ascii="微软雅黑" w:hAnsi="微软雅黑" w:eastAsia="微软雅黑" w:cs="微软雅黑"/>
          <w:b/>
          <w:bCs/>
          <w:kern w:val="0"/>
          <w:sz w:val="28"/>
          <w:szCs w:val="28"/>
        </w:rPr>
        <w:t xml:space="preserve">8.5.9 </w:t>
      </w:r>
      <w:r>
        <w:rPr>
          <w:rFonts w:hint="eastAsia" w:ascii="微软雅黑" w:hAnsi="微软雅黑" w:eastAsia="微软雅黑" w:cs="微软雅黑"/>
          <w:kern w:val="0"/>
          <w:sz w:val="28"/>
          <w:szCs w:val="28"/>
        </w:rPr>
        <w:t>标识系统设计应与园林景观工程总体设计风格契合，并符合下列规定：在园林景观工程主要出入口，应设置总平面示意图及导向标志；在园林景观工程主要景点、游客服务中心和各类公共设施周边，应设置位置标志及信息板；无障碍设施应设置无障碍标识；可能对人身安全造成影响的区域，应设置醒目的安全警示标志；标识标牌应采用现行国家标准规定的公共信息图形或符号。</w:t>
      </w:r>
    </w:p>
    <w:p>
      <w:pPr>
        <w:spacing w:line="360" w:lineRule="auto"/>
        <w:ind w:firstLine="2660" w:firstLineChars="950"/>
        <w:outlineLvl w:val="1"/>
        <w:rPr>
          <w:rFonts w:cs="Helvetica" w:asciiTheme="minorEastAsia" w:hAnsiTheme="minorEastAsia"/>
          <w:b/>
          <w:color w:val="000000" w:themeColor="text1"/>
          <w:kern w:val="0"/>
          <w:sz w:val="28"/>
          <w:szCs w:val="28"/>
        </w:rPr>
      </w:pPr>
      <w:r>
        <w:rPr>
          <w:rFonts w:hint="eastAsia" w:cs="Helvetica" w:asciiTheme="minorEastAsia" w:hAnsiTheme="minorEastAsia"/>
          <w:color w:val="000000" w:themeColor="text1"/>
          <w:kern w:val="0"/>
          <w:sz w:val="28"/>
          <w:szCs w:val="28"/>
        </w:rPr>
        <w:t xml:space="preserve">    </w:t>
      </w:r>
      <w:bookmarkStart w:id="115" w:name="_Toc28665"/>
      <w:r>
        <w:rPr>
          <w:rFonts w:hint="eastAsia" w:cs="Helvetica" w:asciiTheme="minorEastAsia" w:hAnsiTheme="minorEastAsia"/>
          <w:b/>
          <w:color w:val="000000" w:themeColor="text1"/>
          <w:kern w:val="0"/>
          <w:sz w:val="28"/>
          <w:szCs w:val="28"/>
        </w:rPr>
        <w:t>8.6 给排水及电气设计</w:t>
      </w:r>
      <w:bookmarkEnd w:id="115"/>
    </w:p>
    <w:p>
      <w:pPr>
        <w:spacing w:line="360" w:lineRule="auto"/>
        <w:rPr>
          <w:rFonts w:cs="Helvetica" w:asciiTheme="minorEastAsia" w:hAnsiTheme="minorEastAsia"/>
          <w:color w:val="000000" w:themeColor="text1"/>
          <w:kern w:val="0"/>
          <w:sz w:val="28"/>
          <w:szCs w:val="28"/>
        </w:rPr>
      </w:pPr>
      <w:r>
        <w:rPr>
          <w:rFonts w:hint="eastAsia" w:cs="Helvetica" w:asciiTheme="minorEastAsia" w:hAnsiTheme="minorEastAsia"/>
          <w:b/>
          <w:color w:val="000000" w:themeColor="text1"/>
          <w:kern w:val="0"/>
          <w:sz w:val="28"/>
          <w:szCs w:val="28"/>
        </w:rPr>
        <w:t>8</w:t>
      </w:r>
      <w:r>
        <w:rPr>
          <w:rFonts w:cs="Helvetica" w:asciiTheme="minorEastAsia" w:hAnsiTheme="minorEastAsia"/>
          <w:b/>
          <w:color w:val="000000" w:themeColor="text1"/>
          <w:kern w:val="0"/>
          <w:sz w:val="28"/>
          <w:szCs w:val="28"/>
        </w:rPr>
        <w:t>.</w:t>
      </w:r>
      <w:r>
        <w:rPr>
          <w:rFonts w:hint="eastAsia" w:cs="Helvetica" w:asciiTheme="minorEastAsia" w:hAnsiTheme="minorEastAsia"/>
          <w:b/>
          <w:color w:val="000000" w:themeColor="text1"/>
          <w:kern w:val="0"/>
          <w:sz w:val="28"/>
          <w:szCs w:val="28"/>
        </w:rPr>
        <w:t>6</w:t>
      </w:r>
      <w:r>
        <w:rPr>
          <w:rFonts w:cs="Helvetica" w:asciiTheme="minorEastAsia" w:hAnsiTheme="minorEastAsia"/>
          <w:b/>
          <w:color w:val="000000" w:themeColor="text1"/>
          <w:kern w:val="0"/>
          <w:sz w:val="28"/>
          <w:szCs w:val="28"/>
        </w:rPr>
        <w:t>.1</w:t>
      </w:r>
      <w:r>
        <w:rPr>
          <w:rFonts w:cs="Helvetica" w:asciiTheme="minorEastAsia" w:hAnsiTheme="minorEastAsia"/>
          <w:color w:val="000000" w:themeColor="text1"/>
          <w:kern w:val="0"/>
          <w:sz w:val="28"/>
          <w:szCs w:val="28"/>
        </w:rPr>
        <w:t xml:space="preserve"> </w:t>
      </w:r>
      <w:r>
        <w:rPr>
          <w:rFonts w:hint="eastAsia" w:cs="Helvetica" w:asciiTheme="minorEastAsia" w:hAnsiTheme="minorEastAsia"/>
          <w:color w:val="000000" w:themeColor="text1"/>
          <w:kern w:val="0"/>
          <w:sz w:val="28"/>
          <w:szCs w:val="28"/>
        </w:rPr>
        <w:t>绿地内绿化灌溉用水，宜首选天然水或中水。</w:t>
      </w:r>
    </w:p>
    <w:p>
      <w:pPr>
        <w:spacing w:line="360" w:lineRule="auto"/>
        <w:rPr>
          <w:rFonts w:cs="Helvetica" w:asciiTheme="minorEastAsia" w:hAnsiTheme="minorEastAsia"/>
          <w:color w:val="000000" w:themeColor="text1"/>
          <w:kern w:val="0"/>
          <w:sz w:val="28"/>
          <w:szCs w:val="28"/>
        </w:rPr>
      </w:pPr>
      <w:r>
        <w:rPr>
          <w:rFonts w:hint="eastAsia" w:cs="Helvetica" w:asciiTheme="minorEastAsia" w:hAnsiTheme="minorEastAsia"/>
          <w:b/>
          <w:color w:val="000000" w:themeColor="text1"/>
          <w:kern w:val="0"/>
          <w:sz w:val="28"/>
          <w:szCs w:val="28"/>
        </w:rPr>
        <w:t>8</w:t>
      </w:r>
      <w:r>
        <w:rPr>
          <w:rFonts w:cs="Helvetica" w:asciiTheme="minorEastAsia" w:hAnsiTheme="minorEastAsia"/>
          <w:b/>
          <w:color w:val="000000" w:themeColor="text1"/>
          <w:kern w:val="0"/>
          <w:sz w:val="28"/>
          <w:szCs w:val="28"/>
        </w:rPr>
        <w:t>.</w:t>
      </w:r>
      <w:r>
        <w:rPr>
          <w:rFonts w:hint="eastAsia" w:cs="Helvetica" w:asciiTheme="minorEastAsia" w:hAnsiTheme="minorEastAsia"/>
          <w:b/>
          <w:color w:val="000000" w:themeColor="text1"/>
          <w:kern w:val="0"/>
          <w:sz w:val="28"/>
          <w:szCs w:val="28"/>
        </w:rPr>
        <w:t>6</w:t>
      </w:r>
      <w:r>
        <w:rPr>
          <w:rFonts w:cs="Helvetica" w:asciiTheme="minorEastAsia" w:hAnsiTheme="minorEastAsia"/>
          <w:b/>
          <w:color w:val="000000" w:themeColor="text1"/>
          <w:kern w:val="0"/>
          <w:sz w:val="28"/>
          <w:szCs w:val="28"/>
        </w:rPr>
        <w:t xml:space="preserve">.2 </w:t>
      </w:r>
      <w:r>
        <w:rPr>
          <w:rFonts w:hint="eastAsia" w:cs="Helvetica" w:asciiTheme="minorEastAsia" w:hAnsiTheme="minorEastAsia"/>
          <w:color w:val="000000" w:themeColor="text1"/>
          <w:kern w:val="0"/>
          <w:sz w:val="28"/>
          <w:szCs w:val="28"/>
        </w:rPr>
        <w:t>当景观给水采用市政给水时，市政给水总管分接处应设置具有空气隔断功能的倒流防止器。</w:t>
      </w:r>
    </w:p>
    <w:p>
      <w:pPr>
        <w:spacing w:line="360" w:lineRule="auto"/>
        <w:rPr>
          <w:rFonts w:cs="Helvetica" w:asciiTheme="minorEastAsia" w:hAnsiTheme="minorEastAsia"/>
          <w:color w:val="000000" w:themeColor="text1"/>
          <w:kern w:val="0"/>
          <w:sz w:val="28"/>
          <w:szCs w:val="28"/>
        </w:rPr>
      </w:pPr>
      <w:r>
        <w:rPr>
          <w:rFonts w:hint="eastAsia" w:cs="Helvetica" w:asciiTheme="minorEastAsia" w:hAnsiTheme="minorEastAsia"/>
          <w:b/>
          <w:color w:val="000000" w:themeColor="text1"/>
          <w:kern w:val="0"/>
          <w:sz w:val="28"/>
          <w:szCs w:val="28"/>
        </w:rPr>
        <w:t>8</w:t>
      </w:r>
      <w:r>
        <w:rPr>
          <w:rFonts w:cs="Helvetica" w:asciiTheme="minorEastAsia" w:hAnsiTheme="minorEastAsia"/>
          <w:b/>
          <w:color w:val="000000" w:themeColor="text1"/>
          <w:kern w:val="0"/>
          <w:sz w:val="28"/>
          <w:szCs w:val="28"/>
        </w:rPr>
        <w:t>.</w:t>
      </w:r>
      <w:r>
        <w:rPr>
          <w:rFonts w:hint="eastAsia" w:cs="Helvetica" w:asciiTheme="minorEastAsia" w:hAnsiTheme="minorEastAsia"/>
          <w:b/>
          <w:color w:val="000000" w:themeColor="text1"/>
          <w:kern w:val="0"/>
          <w:sz w:val="28"/>
          <w:szCs w:val="28"/>
        </w:rPr>
        <w:t>6</w:t>
      </w:r>
      <w:r>
        <w:rPr>
          <w:rFonts w:cs="Helvetica" w:asciiTheme="minorEastAsia" w:hAnsiTheme="minorEastAsia"/>
          <w:b/>
          <w:color w:val="000000" w:themeColor="text1"/>
          <w:kern w:val="0"/>
          <w:sz w:val="28"/>
          <w:szCs w:val="28"/>
        </w:rPr>
        <w:t>.</w:t>
      </w:r>
      <w:r>
        <w:rPr>
          <w:rFonts w:hint="eastAsia" w:cs="Helvetica" w:asciiTheme="minorEastAsia" w:hAnsiTheme="minorEastAsia"/>
          <w:b/>
          <w:color w:val="000000" w:themeColor="text1"/>
          <w:kern w:val="0"/>
          <w:sz w:val="28"/>
          <w:szCs w:val="28"/>
        </w:rPr>
        <w:t>3</w:t>
      </w:r>
      <w:r>
        <w:rPr>
          <w:rFonts w:cs="Helvetica" w:asciiTheme="minorEastAsia" w:hAnsiTheme="minorEastAsia"/>
          <w:color w:val="000000" w:themeColor="text1"/>
          <w:kern w:val="0"/>
          <w:sz w:val="28"/>
          <w:szCs w:val="28"/>
        </w:rPr>
        <w:t xml:space="preserve"> </w:t>
      </w:r>
      <w:r>
        <w:rPr>
          <w:rFonts w:hint="eastAsia" w:cs="Helvetica" w:asciiTheme="minorEastAsia" w:hAnsiTheme="minorEastAsia"/>
          <w:bCs/>
          <w:color w:val="000000" w:themeColor="text1"/>
          <w:kern w:val="0"/>
          <w:sz w:val="28"/>
          <w:szCs w:val="28"/>
        </w:rPr>
        <w:t>戏水池或旱喷泉等与人身大面积接触的水景，应采用管道泵作为循环泵。</w:t>
      </w:r>
    </w:p>
    <w:p>
      <w:pPr>
        <w:spacing w:line="360" w:lineRule="auto"/>
        <w:rPr>
          <w:rFonts w:ascii="宋体" w:hAnsi="宋体" w:cs="宋体"/>
          <w:color w:val="00B050"/>
          <w:kern w:val="0"/>
          <w:sz w:val="28"/>
          <w:szCs w:val="28"/>
        </w:rPr>
      </w:pPr>
      <w:r>
        <w:rPr>
          <w:rFonts w:hint="eastAsia" w:ascii="微软雅黑" w:hAnsi="微软雅黑" w:eastAsia="微软雅黑" w:cs="微软雅黑"/>
          <w:kern w:val="0"/>
          <w:sz w:val="28"/>
          <w:szCs w:val="28"/>
        </w:rPr>
        <w:t>【条文说明】</w:t>
      </w:r>
      <w:r>
        <w:rPr>
          <w:rFonts w:hint="eastAsia" w:ascii="微软雅黑" w:hAnsi="微软雅黑" w:eastAsia="微软雅黑" w:cs="微软雅黑"/>
          <w:b/>
          <w:bCs/>
          <w:kern w:val="0"/>
          <w:sz w:val="28"/>
          <w:szCs w:val="28"/>
        </w:rPr>
        <w:t xml:space="preserve">8.6.3 </w:t>
      </w:r>
      <w:r>
        <w:rPr>
          <w:rFonts w:hint="eastAsia" w:ascii="微软雅黑" w:hAnsi="微软雅黑" w:eastAsia="微软雅黑" w:cs="微软雅黑"/>
          <w:kern w:val="0"/>
          <w:sz w:val="28"/>
          <w:szCs w:val="28"/>
        </w:rPr>
        <w:t>根据《城市绿地设计规范》GB 50420-2007（2016年版）第8.3.5条，旱喷泉内禁止直接使用电压超过12V的潜水泵。为满足水景造景需要，又须避免戏水人员触电，本条特规定，对于旱喷或采用戏水池等与人身大面积接触的水景，循环泵应采用管道泵。</w:t>
      </w:r>
    </w:p>
    <w:p>
      <w:pPr>
        <w:spacing w:line="360" w:lineRule="auto"/>
        <w:rPr>
          <w:rFonts w:ascii="宋体" w:hAnsi="宋体" w:cs="宋体"/>
          <w:color w:val="000000" w:themeColor="text1"/>
          <w:kern w:val="0"/>
          <w:sz w:val="28"/>
          <w:szCs w:val="28"/>
        </w:rPr>
      </w:pPr>
      <w:r>
        <w:rPr>
          <w:rFonts w:hint="eastAsia" w:ascii="宋体" w:hAnsi="宋体" w:cs="宋体"/>
          <w:b/>
          <w:color w:val="000000" w:themeColor="text1"/>
          <w:kern w:val="0"/>
          <w:sz w:val="28"/>
          <w:szCs w:val="28"/>
        </w:rPr>
        <w:t>8.6.4</w:t>
      </w:r>
      <w:r>
        <w:rPr>
          <w:rFonts w:hint="eastAsia" w:ascii="宋体" w:hAnsi="宋体" w:cs="宋体"/>
          <w:color w:val="000000" w:themeColor="text1"/>
          <w:kern w:val="0"/>
          <w:sz w:val="28"/>
          <w:szCs w:val="28"/>
        </w:rPr>
        <w:t xml:space="preserve"> 城市公园绿地应设置海绵城市设施。其设计应满足年径流总量控制率和污染物削减率。</w:t>
      </w:r>
    </w:p>
    <w:p>
      <w:pPr>
        <w:spacing w:line="360" w:lineRule="auto"/>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【条文说明】8.6.4 海绵城市建设指标要求及具体设计，应遵循现行《深圳市海绵型公园绿地建设指引》。</w:t>
      </w:r>
    </w:p>
    <w:p>
      <w:pPr>
        <w:spacing w:line="360" w:lineRule="auto"/>
        <w:rPr>
          <w:rFonts w:ascii="宋体" w:hAnsi="宋体" w:cs="宋体"/>
          <w:color w:val="000000" w:themeColor="text1"/>
          <w:kern w:val="0"/>
          <w:sz w:val="28"/>
          <w:szCs w:val="28"/>
        </w:rPr>
      </w:pPr>
      <w:r>
        <w:rPr>
          <w:rFonts w:hint="eastAsia" w:ascii="宋体" w:hAnsi="宋体" w:cs="宋体"/>
          <w:b/>
          <w:color w:val="000000" w:themeColor="text1"/>
          <w:kern w:val="0"/>
          <w:sz w:val="28"/>
          <w:szCs w:val="28"/>
        </w:rPr>
        <w:t xml:space="preserve">8.6.5 </w:t>
      </w:r>
      <w:r>
        <w:rPr>
          <w:rFonts w:hint="eastAsia" w:ascii="宋体" w:hAnsi="宋体" w:cs="宋体"/>
          <w:color w:val="000000" w:themeColor="text1"/>
          <w:kern w:val="0"/>
          <w:sz w:val="28"/>
          <w:szCs w:val="28"/>
        </w:rPr>
        <w:t>公园绿地海绵设施应以雨水渗透、储存和调节等为主要功能，并衔接区域内雨水管渠系统和超标雨水径流排放系统。</w:t>
      </w:r>
    </w:p>
    <w:p>
      <w:pPr>
        <w:spacing w:line="360" w:lineRule="auto"/>
        <w:rPr>
          <w:rFonts w:cs="Helvetica" w:asciiTheme="minorEastAsia" w:hAnsiTheme="minorEastAsia"/>
          <w:color w:val="000000" w:themeColor="text1"/>
          <w:kern w:val="0"/>
          <w:sz w:val="28"/>
          <w:szCs w:val="28"/>
        </w:rPr>
      </w:pPr>
      <w:r>
        <w:rPr>
          <w:rFonts w:hint="eastAsia" w:cs="Helvetica" w:asciiTheme="minorEastAsia" w:hAnsiTheme="minorEastAsia"/>
          <w:b/>
          <w:color w:val="000000" w:themeColor="text1"/>
          <w:kern w:val="0"/>
          <w:sz w:val="28"/>
          <w:szCs w:val="28"/>
        </w:rPr>
        <w:t>8</w:t>
      </w:r>
      <w:r>
        <w:rPr>
          <w:rFonts w:cs="Helvetica" w:asciiTheme="minorEastAsia" w:hAnsiTheme="minorEastAsia"/>
          <w:b/>
          <w:color w:val="000000" w:themeColor="text1"/>
          <w:kern w:val="0"/>
          <w:sz w:val="28"/>
          <w:szCs w:val="28"/>
        </w:rPr>
        <w:t>.</w:t>
      </w:r>
      <w:r>
        <w:rPr>
          <w:rFonts w:hint="eastAsia" w:cs="Helvetica" w:asciiTheme="minorEastAsia" w:hAnsiTheme="minorEastAsia"/>
          <w:b/>
          <w:color w:val="000000" w:themeColor="text1"/>
          <w:kern w:val="0"/>
          <w:sz w:val="28"/>
          <w:szCs w:val="28"/>
        </w:rPr>
        <w:t>6</w:t>
      </w:r>
      <w:r>
        <w:rPr>
          <w:rFonts w:cs="Helvetica" w:asciiTheme="minorEastAsia" w:hAnsiTheme="minorEastAsia"/>
          <w:b/>
          <w:color w:val="000000" w:themeColor="text1"/>
          <w:kern w:val="0"/>
          <w:sz w:val="28"/>
          <w:szCs w:val="28"/>
        </w:rPr>
        <w:t>.</w:t>
      </w:r>
      <w:r>
        <w:rPr>
          <w:rFonts w:hint="eastAsia" w:cs="Helvetica" w:asciiTheme="minorEastAsia" w:hAnsiTheme="minorEastAsia"/>
          <w:b/>
          <w:color w:val="000000" w:themeColor="text1"/>
          <w:kern w:val="0"/>
          <w:sz w:val="28"/>
          <w:szCs w:val="28"/>
        </w:rPr>
        <w:t>6</w:t>
      </w:r>
      <w:r>
        <w:rPr>
          <w:rFonts w:hint="eastAsia" w:cs="Helvetica" w:asciiTheme="minorEastAsia" w:hAnsiTheme="minorEastAsia"/>
          <w:color w:val="000000" w:themeColor="text1"/>
          <w:kern w:val="0"/>
          <w:sz w:val="28"/>
          <w:szCs w:val="28"/>
        </w:rPr>
        <w:t>化工厂、传染病医院、油库、加油站、污水处理厂或垃圾填埋场等附属绿地，不得采用雨水下渗减排。</w:t>
      </w:r>
    </w:p>
    <w:p>
      <w:pPr>
        <w:spacing w:line="360" w:lineRule="auto"/>
        <w:rPr>
          <w:rFonts w:cs="Helvetica" w:asciiTheme="minorEastAsia" w:hAnsiTheme="minorEastAsia"/>
          <w:color w:val="000000" w:themeColor="text1"/>
          <w:kern w:val="0"/>
          <w:sz w:val="28"/>
          <w:szCs w:val="28"/>
        </w:rPr>
      </w:pPr>
      <w:r>
        <w:rPr>
          <w:rFonts w:hint="eastAsia" w:cs="Helvetica" w:asciiTheme="minorEastAsia" w:hAnsiTheme="minorEastAsia"/>
          <w:b/>
          <w:color w:val="000000" w:themeColor="text1"/>
          <w:kern w:val="0"/>
          <w:sz w:val="28"/>
          <w:szCs w:val="28"/>
        </w:rPr>
        <w:t>8.6.7</w:t>
      </w:r>
      <w:r>
        <w:rPr>
          <w:rFonts w:hint="eastAsia" w:cs="Helvetica" w:asciiTheme="minorEastAsia" w:hAnsiTheme="minorEastAsia"/>
          <w:color w:val="000000" w:themeColor="text1"/>
          <w:kern w:val="0"/>
          <w:sz w:val="28"/>
          <w:szCs w:val="28"/>
        </w:rPr>
        <w:t xml:space="preserve"> 园林景观工程供配电系统设计，应符合下列规定：</w:t>
      </w:r>
    </w:p>
    <w:p>
      <w:pPr>
        <w:spacing w:line="360" w:lineRule="auto"/>
        <w:ind w:firstLine="562" w:firstLineChars="200"/>
        <w:rPr>
          <w:rFonts w:cs="Helvetica" w:asciiTheme="minorEastAsia" w:hAnsiTheme="minorEastAsia" w:eastAsiaTheme="minorEastAsia"/>
          <w:bCs/>
          <w:color w:val="000000" w:themeColor="text1"/>
          <w:kern w:val="0"/>
          <w:sz w:val="28"/>
          <w:szCs w:val="28"/>
        </w:rPr>
      </w:pPr>
      <w:r>
        <w:rPr>
          <w:rFonts w:hint="eastAsia" w:cs="Helvetica" w:asciiTheme="minorEastAsia" w:hAnsiTheme="minorEastAsia"/>
          <w:b/>
          <w:color w:val="000000" w:themeColor="text1"/>
          <w:kern w:val="0"/>
          <w:sz w:val="28"/>
          <w:szCs w:val="28"/>
        </w:rPr>
        <w:t>1</w:t>
      </w:r>
      <w:r>
        <w:rPr>
          <w:rFonts w:hint="eastAsia" w:cs="Helvetica" w:asciiTheme="minorEastAsia" w:hAnsiTheme="minorEastAsia"/>
          <w:bCs/>
          <w:color w:val="000000" w:themeColor="text1"/>
          <w:kern w:val="0"/>
          <w:sz w:val="28"/>
          <w:szCs w:val="28"/>
        </w:rPr>
        <w:t>室外配电线路应采用剩余电流动作保护装置作为接地故障保护；</w:t>
      </w:r>
    </w:p>
    <w:p>
      <w:pPr>
        <w:spacing w:line="360" w:lineRule="auto"/>
        <w:ind w:firstLine="562" w:firstLineChars="200"/>
        <w:rPr>
          <w:rFonts w:cs="Helvetica" w:asciiTheme="minorEastAsia" w:hAnsiTheme="minorEastAsia"/>
          <w:color w:val="000000" w:themeColor="text1"/>
          <w:kern w:val="0"/>
          <w:sz w:val="28"/>
          <w:szCs w:val="28"/>
        </w:rPr>
      </w:pPr>
      <w:r>
        <w:rPr>
          <w:rFonts w:hint="eastAsia" w:cs="Helvetica" w:asciiTheme="minorEastAsia" w:hAnsiTheme="minorEastAsia"/>
          <w:b/>
          <w:color w:val="000000" w:themeColor="text1"/>
          <w:kern w:val="0"/>
          <w:sz w:val="28"/>
          <w:szCs w:val="28"/>
        </w:rPr>
        <w:t xml:space="preserve">2 </w:t>
      </w:r>
      <w:r>
        <w:rPr>
          <w:rFonts w:hint="eastAsia" w:cs="Helvetica" w:asciiTheme="minorEastAsia" w:hAnsiTheme="minorEastAsia"/>
          <w:color w:val="000000" w:themeColor="text1"/>
          <w:kern w:val="0"/>
          <w:sz w:val="28"/>
          <w:szCs w:val="28"/>
        </w:rPr>
        <w:t>喷水池、戏水池或游泳池等所有景观水体电气设计，应严格执行有关安全标准，做好等电位联结、直接接触电击防护和间接接触电击防护；</w:t>
      </w:r>
    </w:p>
    <w:p>
      <w:pPr>
        <w:spacing w:line="360" w:lineRule="auto"/>
        <w:ind w:firstLine="562" w:firstLineChars="200"/>
        <w:rPr>
          <w:rFonts w:cs="Helvetica" w:asciiTheme="minorEastAsia" w:hAnsiTheme="minorEastAsia" w:eastAsiaTheme="minorEastAsia"/>
          <w:bCs/>
          <w:color w:val="000000" w:themeColor="text1"/>
          <w:kern w:val="0"/>
          <w:sz w:val="28"/>
          <w:szCs w:val="28"/>
        </w:rPr>
      </w:pPr>
      <w:r>
        <w:rPr>
          <w:rFonts w:hint="eastAsia" w:cs="Helvetica" w:asciiTheme="minorEastAsia" w:hAnsiTheme="minorEastAsia"/>
          <w:b/>
          <w:color w:val="000000" w:themeColor="text1"/>
          <w:kern w:val="0"/>
          <w:sz w:val="28"/>
          <w:szCs w:val="28"/>
        </w:rPr>
        <w:t xml:space="preserve">3 </w:t>
      </w:r>
      <w:r>
        <w:rPr>
          <w:rFonts w:hint="eastAsia" w:cs="Helvetica" w:asciiTheme="minorEastAsia" w:hAnsiTheme="minorEastAsia"/>
          <w:bCs/>
          <w:color w:val="000000" w:themeColor="text1"/>
          <w:kern w:val="0"/>
          <w:sz w:val="28"/>
          <w:szCs w:val="28"/>
        </w:rPr>
        <w:t>未采用安全电压供电的水体，必须设置阻挡游人进入的设施和标识；</w:t>
      </w:r>
    </w:p>
    <w:p>
      <w:pPr>
        <w:spacing w:line="360" w:lineRule="auto"/>
        <w:ind w:firstLine="562" w:firstLineChars="200"/>
        <w:rPr>
          <w:rFonts w:cs="Helvetica" w:asciiTheme="minorEastAsia" w:hAnsiTheme="minorEastAsia" w:eastAsiaTheme="minorEastAsia"/>
          <w:color w:val="000000" w:themeColor="text1"/>
          <w:kern w:val="0"/>
          <w:sz w:val="28"/>
          <w:szCs w:val="28"/>
        </w:rPr>
      </w:pPr>
      <w:r>
        <w:rPr>
          <w:rFonts w:hint="eastAsia" w:cs="Helvetica" w:asciiTheme="minorEastAsia" w:hAnsiTheme="minorEastAsia"/>
          <w:b/>
          <w:color w:val="000000" w:themeColor="text1"/>
          <w:kern w:val="0"/>
          <w:sz w:val="28"/>
          <w:szCs w:val="28"/>
        </w:rPr>
        <w:t>4</w:t>
      </w:r>
      <w:r>
        <w:rPr>
          <w:rFonts w:hint="eastAsia" w:cs="Helvetica" w:asciiTheme="minorEastAsia" w:hAnsiTheme="minorEastAsia"/>
          <w:color w:val="000000" w:themeColor="text1"/>
          <w:kern w:val="0"/>
          <w:sz w:val="28"/>
          <w:szCs w:val="28"/>
        </w:rPr>
        <w:t>室外配电箱应设在非游览地段的非低洼的不易积水处，箱底距地不得小于5</w:t>
      </w:r>
      <w:r>
        <w:rPr>
          <w:rFonts w:cs="Helvetica" w:asciiTheme="minorEastAsia" w:hAnsiTheme="minorEastAsia"/>
          <w:color w:val="000000" w:themeColor="text1"/>
          <w:kern w:val="0"/>
          <w:sz w:val="28"/>
          <w:szCs w:val="28"/>
        </w:rPr>
        <w:t>00mm</w:t>
      </w:r>
      <w:r>
        <w:rPr>
          <w:rFonts w:hint="eastAsia" w:cs="Helvetica" w:asciiTheme="minorEastAsia" w:hAnsiTheme="minorEastAsia"/>
          <w:color w:val="000000" w:themeColor="text1"/>
          <w:kern w:val="0"/>
          <w:sz w:val="28"/>
          <w:szCs w:val="28"/>
        </w:rPr>
        <w:t>。箱体应为防雨型且加锁。</w:t>
      </w:r>
    </w:p>
    <w:p>
      <w:pPr>
        <w:spacing w:line="360" w:lineRule="auto"/>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【条文说明】8.6.7近些年，室外触电致人伤亡事故屡有发生，这与工程设计、施工、运维、管理和产品质量都可能存在关联性。本条结合相关建设标准要求和工程实践，集中提出涉及安全的设计要素。</w:t>
      </w:r>
    </w:p>
    <w:p>
      <w:pPr>
        <w:spacing w:line="360" w:lineRule="auto"/>
        <w:rPr>
          <w:rFonts w:cs="Helvetica" w:asciiTheme="minorEastAsia" w:hAnsiTheme="minorEastAsia"/>
          <w:color w:val="000000" w:themeColor="text1"/>
          <w:kern w:val="0"/>
          <w:sz w:val="28"/>
          <w:szCs w:val="28"/>
        </w:rPr>
      </w:pPr>
      <w:r>
        <w:rPr>
          <w:rFonts w:hint="eastAsia" w:cs="Helvetica" w:asciiTheme="minorEastAsia" w:hAnsiTheme="minorEastAsia"/>
          <w:b/>
          <w:color w:val="000000" w:themeColor="text1"/>
          <w:kern w:val="0"/>
          <w:sz w:val="28"/>
          <w:szCs w:val="28"/>
        </w:rPr>
        <w:t>8.6.8</w:t>
      </w:r>
      <w:r>
        <w:rPr>
          <w:rFonts w:hint="eastAsia" w:cs="Helvetica" w:asciiTheme="minorEastAsia" w:hAnsiTheme="minorEastAsia"/>
          <w:color w:val="000000" w:themeColor="text1"/>
          <w:kern w:val="0"/>
          <w:sz w:val="28"/>
          <w:szCs w:val="28"/>
        </w:rPr>
        <w:t xml:space="preserve"> 夜景照明设计应符合下列规定：</w:t>
      </w:r>
    </w:p>
    <w:p>
      <w:pPr>
        <w:spacing w:line="360" w:lineRule="auto"/>
        <w:ind w:firstLine="562" w:firstLineChars="200"/>
        <w:rPr>
          <w:rFonts w:cs="Helvetica" w:asciiTheme="minorEastAsia" w:hAnsiTheme="minorEastAsia"/>
          <w:color w:val="000000" w:themeColor="text1"/>
          <w:kern w:val="0"/>
          <w:sz w:val="28"/>
          <w:szCs w:val="28"/>
        </w:rPr>
      </w:pPr>
      <w:r>
        <w:rPr>
          <w:rFonts w:hint="eastAsia" w:cs="Helvetica" w:asciiTheme="minorEastAsia" w:hAnsiTheme="minorEastAsia"/>
          <w:b/>
          <w:color w:val="000000" w:themeColor="text1"/>
          <w:kern w:val="0"/>
          <w:sz w:val="28"/>
          <w:szCs w:val="28"/>
        </w:rPr>
        <w:t>1</w:t>
      </w:r>
      <w:r>
        <w:rPr>
          <w:rFonts w:hint="eastAsia" w:cs="Helvetica" w:asciiTheme="minorEastAsia" w:hAnsiTheme="minorEastAsia"/>
          <w:color w:val="000000" w:themeColor="text1"/>
          <w:kern w:val="0"/>
          <w:sz w:val="28"/>
          <w:szCs w:val="28"/>
        </w:rPr>
        <w:t xml:space="preserve"> 生态敏感区不宜设置夜景照明；</w:t>
      </w:r>
    </w:p>
    <w:p>
      <w:pPr>
        <w:spacing w:line="360" w:lineRule="auto"/>
        <w:ind w:firstLine="562" w:firstLineChars="200"/>
        <w:rPr>
          <w:rFonts w:cs="Helvetica" w:asciiTheme="minorEastAsia" w:hAnsiTheme="minorEastAsia"/>
          <w:color w:val="000000" w:themeColor="text1"/>
          <w:kern w:val="0"/>
          <w:sz w:val="28"/>
          <w:szCs w:val="28"/>
        </w:rPr>
      </w:pPr>
      <w:r>
        <w:rPr>
          <w:rFonts w:hint="eastAsia" w:cs="Helvetica" w:asciiTheme="minorEastAsia" w:hAnsiTheme="minorEastAsia"/>
          <w:b/>
          <w:bCs/>
          <w:color w:val="000000" w:themeColor="text1"/>
          <w:kern w:val="0"/>
          <w:sz w:val="28"/>
          <w:szCs w:val="28"/>
        </w:rPr>
        <w:t>2</w:t>
      </w:r>
      <w:r>
        <w:rPr>
          <w:rFonts w:hint="eastAsia" w:cs="Helvetica" w:asciiTheme="minorEastAsia" w:hAnsiTheme="minorEastAsia"/>
          <w:color w:val="000000" w:themeColor="text1"/>
          <w:kern w:val="0"/>
          <w:sz w:val="28"/>
          <w:szCs w:val="28"/>
        </w:rPr>
        <w:t xml:space="preserve"> 夜景照明应限制光污染，并应符合现行《城市夜景照明设计规范》</w:t>
      </w:r>
      <w:r>
        <w:rPr>
          <w:rFonts w:cs="Helvetica" w:asciiTheme="minorEastAsia" w:hAnsiTheme="minorEastAsia"/>
          <w:color w:val="000000" w:themeColor="text1"/>
          <w:kern w:val="0"/>
          <w:sz w:val="28"/>
          <w:szCs w:val="28"/>
        </w:rPr>
        <w:t>JGJ/T 163</w:t>
      </w:r>
      <w:r>
        <w:rPr>
          <w:rFonts w:hint="eastAsia" w:cs="Helvetica" w:asciiTheme="minorEastAsia" w:hAnsiTheme="minorEastAsia"/>
          <w:color w:val="000000" w:themeColor="text1"/>
          <w:kern w:val="0"/>
          <w:sz w:val="28"/>
          <w:szCs w:val="28"/>
        </w:rPr>
        <w:t>；</w:t>
      </w:r>
    </w:p>
    <w:p>
      <w:pPr>
        <w:spacing w:line="360" w:lineRule="auto"/>
        <w:ind w:firstLine="562" w:firstLineChars="200"/>
        <w:rPr>
          <w:rFonts w:cs="Helvetica" w:asciiTheme="minorEastAsia" w:hAnsiTheme="minorEastAsia"/>
          <w:color w:val="000000" w:themeColor="text1"/>
          <w:kern w:val="0"/>
          <w:sz w:val="28"/>
          <w:szCs w:val="28"/>
        </w:rPr>
      </w:pPr>
      <w:r>
        <w:rPr>
          <w:rFonts w:hint="eastAsia" w:cs="Helvetica" w:asciiTheme="minorEastAsia" w:hAnsiTheme="minorEastAsia"/>
          <w:b/>
          <w:color w:val="000000" w:themeColor="text1"/>
          <w:kern w:val="0"/>
          <w:sz w:val="28"/>
          <w:szCs w:val="28"/>
        </w:rPr>
        <w:t>3</w:t>
      </w:r>
      <w:r>
        <w:rPr>
          <w:rFonts w:hint="eastAsia" w:cs="Helvetica" w:asciiTheme="minorEastAsia" w:hAnsiTheme="minorEastAsia"/>
          <w:color w:val="000000" w:themeColor="text1"/>
          <w:kern w:val="0"/>
          <w:sz w:val="28"/>
          <w:szCs w:val="28"/>
        </w:rPr>
        <w:t xml:space="preserve"> 灯具应选用高效节能产品，宜采用LED灯具；</w:t>
      </w:r>
    </w:p>
    <w:p>
      <w:pPr>
        <w:spacing w:line="360" w:lineRule="auto"/>
        <w:ind w:firstLine="562" w:firstLineChars="200"/>
        <w:rPr>
          <w:rFonts w:cs="Helvetica" w:asciiTheme="minorEastAsia" w:hAnsiTheme="minorEastAsia"/>
          <w:b/>
          <w:color w:val="000000" w:themeColor="text1"/>
          <w:kern w:val="0"/>
          <w:sz w:val="28"/>
          <w:szCs w:val="28"/>
        </w:rPr>
      </w:pPr>
      <w:r>
        <w:rPr>
          <w:rFonts w:hint="eastAsia" w:cs="Helvetica" w:asciiTheme="minorEastAsia" w:hAnsiTheme="minorEastAsia"/>
          <w:b/>
          <w:bCs/>
          <w:color w:val="000000" w:themeColor="text1"/>
          <w:kern w:val="0"/>
          <w:sz w:val="28"/>
          <w:szCs w:val="28"/>
        </w:rPr>
        <w:t>4</w:t>
      </w:r>
      <w:r>
        <w:rPr>
          <w:rFonts w:hint="eastAsia" w:cs="Helvetica" w:asciiTheme="minorEastAsia" w:hAnsiTheme="minorEastAsia"/>
          <w:color w:val="000000" w:themeColor="text1"/>
          <w:kern w:val="0"/>
          <w:sz w:val="28"/>
          <w:szCs w:val="28"/>
        </w:rPr>
        <w:t xml:space="preserve"> 室外灯具外壳防护等级不应低于</w:t>
      </w:r>
      <w:r>
        <w:rPr>
          <w:rFonts w:cs="Helvetica" w:asciiTheme="minorEastAsia" w:hAnsiTheme="minorEastAsia"/>
          <w:color w:val="000000" w:themeColor="text1"/>
          <w:kern w:val="0"/>
          <w:sz w:val="28"/>
          <w:szCs w:val="28"/>
        </w:rPr>
        <w:t>IP</w:t>
      </w:r>
      <w:r>
        <w:rPr>
          <w:rFonts w:hint="eastAsia" w:cs="Helvetica" w:asciiTheme="minorEastAsia" w:hAnsiTheme="minorEastAsia"/>
          <w:color w:val="000000" w:themeColor="text1"/>
          <w:kern w:val="0"/>
          <w:sz w:val="28"/>
          <w:szCs w:val="28"/>
        </w:rPr>
        <w:t>65，埋地灯具不应低于</w:t>
      </w:r>
      <w:r>
        <w:rPr>
          <w:rFonts w:cs="Helvetica" w:asciiTheme="minorEastAsia" w:hAnsiTheme="minorEastAsia"/>
          <w:color w:val="000000" w:themeColor="text1"/>
          <w:kern w:val="0"/>
          <w:sz w:val="28"/>
          <w:szCs w:val="28"/>
        </w:rPr>
        <w:t>IP67</w:t>
      </w:r>
      <w:r>
        <w:rPr>
          <w:rFonts w:hint="eastAsia" w:cs="Helvetica" w:asciiTheme="minorEastAsia" w:hAnsiTheme="minorEastAsia"/>
          <w:color w:val="000000" w:themeColor="text1"/>
          <w:kern w:val="0"/>
          <w:sz w:val="28"/>
          <w:szCs w:val="28"/>
        </w:rPr>
        <w:t>，水下灯具不应低于</w:t>
      </w:r>
      <w:r>
        <w:rPr>
          <w:rFonts w:cs="Helvetica" w:asciiTheme="minorEastAsia" w:hAnsiTheme="minorEastAsia"/>
          <w:color w:val="000000" w:themeColor="text1"/>
          <w:kern w:val="0"/>
          <w:sz w:val="28"/>
          <w:szCs w:val="28"/>
        </w:rPr>
        <w:t>IP68</w:t>
      </w:r>
      <w:r>
        <w:rPr>
          <w:rFonts w:hint="eastAsia" w:cs="Helvetica" w:asciiTheme="minorEastAsia" w:hAnsiTheme="minorEastAsia"/>
          <w:color w:val="000000" w:themeColor="text1"/>
          <w:kern w:val="0"/>
          <w:sz w:val="28"/>
          <w:szCs w:val="28"/>
        </w:rPr>
        <w:t>。</w:t>
      </w:r>
    </w:p>
    <w:p>
      <w:pPr>
        <w:spacing w:line="360" w:lineRule="auto"/>
        <w:rPr>
          <w:rFonts w:cs="Helvetica" w:asciiTheme="minorEastAsia" w:hAnsiTheme="minorEastAsia"/>
          <w:kern w:val="0"/>
          <w:sz w:val="28"/>
          <w:szCs w:val="28"/>
        </w:rPr>
      </w:pPr>
      <w:r>
        <w:rPr>
          <w:rFonts w:hint="eastAsia" w:cs="Helvetica" w:asciiTheme="minorEastAsia" w:hAnsiTheme="minorEastAsia"/>
          <w:b/>
          <w:color w:val="000000" w:themeColor="text1"/>
          <w:kern w:val="0"/>
          <w:sz w:val="28"/>
          <w:szCs w:val="28"/>
        </w:rPr>
        <w:t>8</w:t>
      </w:r>
      <w:r>
        <w:rPr>
          <w:rFonts w:cs="Helvetica" w:asciiTheme="minorEastAsia" w:hAnsiTheme="minorEastAsia"/>
          <w:b/>
          <w:color w:val="000000" w:themeColor="text1"/>
          <w:kern w:val="0"/>
          <w:sz w:val="28"/>
          <w:szCs w:val="28"/>
        </w:rPr>
        <w:t>.</w:t>
      </w:r>
      <w:r>
        <w:rPr>
          <w:rFonts w:hint="eastAsia" w:cs="Helvetica" w:asciiTheme="minorEastAsia" w:hAnsiTheme="minorEastAsia"/>
          <w:b/>
          <w:color w:val="000000" w:themeColor="text1"/>
          <w:kern w:val="0"/>
          <w:sz w:val="28"/>
          <w:szCs w:val="28"/>
        </w:rPr>
        <w:t>6</w:t>
      </w:r>
      <w:r>
        <w:rPr>
          <w:rFonts w:cs="Helvetica" w:asciiTheme="minorEastAsia" w:hAnsiTheme="minorEastAsia"/>
          <w:b/>
          <w:color w:val="000000" w:themeColor="text1"/>
          <w:kern w:val="0"/>
          <w:sz w:val="28"/>
          <w:szCs w:val="28"/>
        </w:rPr>
        <w:t>.</w:t>
      </w:r>
      <w:r>
        <w:rPr>
          <w:rFonts w:hint="eastAsia" w:cs="Helvetica" w:asciiTheme="minorEastAsia" w:hAnsiTheme="minorEastAsia"/>
          <w:b/>
          <w:color w:val="000000" w:themeColor="text1"/>
          <w:kern w:val="0"/>
          <w:sz w:val="28"/>
          <w:szCs w:val="28"/>
        </w:rPr>
        <w:t>9</w:t>
      </w:r>
      <w:r>
        <w:rPr>
          <w:rFonts w:cs="Helvetica" w:asciiTheme="minorEastAsia" w:hAnsiTheme="minorEastAsia"/>
          <w:b/>
          <w:color w:val="000000" w:themeColor="text1"/>
          <w:kern w:val="0"/>
          <w:sz w:val="28"/>
          <w:szCs w:val="28"/>
        </w:rPr>
        <w:t xml:space="preserve"> </w:t>
      </w:r>
      <w:r>
        <w:rPr>
          <w:rFonts w:hint="eastAsia" w:cs="Helvetica" w:asciiTheme="minorEastAsia" w:hAnsiTheme="minorEastAsia"/>
          <w:color w:val="000000" w:themeColor="text1"/>
          <w:kern w:val="0"/>
          <w:sz w:val="28"/>
          <w:szCs w:val="28"/>
        </w:rPr>
        <w:t>城市公园宜设置</w:t>
      </w:r>
      <w:r>
        <w:rPr>
          <w:rFonts w:hint="eastAsia" w:cs="Helvetica" w:asciiTheme="minorEastAsia" w:hAnsiTheme="minorEastAsia"/>
          <w:kern w:val="0"/>
          <w:sz w:val="28"/>
          <w:szCs w:val="28"/>
        </w:rPr>
        <w:t xml:space="preserve">公共通信设施、公共广播及背景音乐系统、安防监控系统；可按需设置信息发布显示、多媒体触摸查询、环境监测和人流监控等智能化系统设施。   </w:t>
      </w:r>
    </w:p>
    <w:p>
      <w:pPr>
        <w:spacing w:line="360" w:lineRule="auto"/>
        <w:outlineLvl w:val="1"/>
        <w:rPr>
          <w:rFonts w:cs="Helvetica" w:asciiTheme="minorEastAsia" w:hAnsiTheme="minorEastAsia"/>
          <w:kern w:val="0"/>
          <w:sz w:val="28"/>
          <w:szCs w:val="28"/>
        </w:rPr>
      </w:pPr>
      <w:r>
        <w:rPr>
          <w:rFonts w:hint="eastAsia" w:cs="Helvetica" w:asciiTheme="minorEastAsia" w:hAnsiTheme="minorEastAsia"/>
          <w:kern w:val="0"/>
          <w:sz w:val="28"/>
          <w:szCs w:val="28"/>
        </w:rPr>
        <w:t xml:space="preserve">                </w:t>
      </w:r>
      <w:bookmarkStart w:id="116" w:name="_Toc4950"/>
      <w:r>
        <w:rPr>
          <w:rFonts w:hint="eastAsia" w:cs="Helvetica" w:asciiTheme="minorEastAsia" w:hAnsiTheme="minorEastAsia"/>
          <w:b/>
          <w:bCs/>
          <w:kern w:val="0"/>
          <w:sz w:val="28"/>
          <w:szCs w:val="28"/>
        </w:rPr>
        <w:t>8.7 公园绿地海绵设施设计</w:t>
      </w:r>
      <w:bookmarkEnd w:id="116"/>
    </w:p>
    <w:p>
      <w:pPr>
        <w:spacing w:line="360" w:lineRule="auto"/>
        <w:rPr>
          <w:rFonts w:ascii="宋体" w:hAnsi="宋体" w:cs="宋体"/>
          <w:kern w:val="0"/>
          <w:sz w:val="28"/>
          <w:szCs w:val="28"/>
        </w:rPr>
      </w:pPr>
      <w:r>
        <w:rPr>
          <w:rFonts w:hint="eastAsia" w:ascii="宋体" w:hAnsi="宋体" w:cs="宋体"/>
          <w:b/>
          <w:kern w:val="0"/>
          <w:sz w:val="28"/>
          <w:szCs w:val="28"/>
        </w:rPr>
        <w:t>8.7.1</w:t>
      </w:r>
      <w:r>
        <w:rPr>
          <w:rFonts w:hint="eastAsia" w:ascii="宋体" w:hAnsi="宋体" w:cs="宋体"/>
          <w:kern w:val="0"/>
          <w:sz w:val="28"/>
          <w:szCs w:val="28"/>
        </w:rPr>
        <w:t>公园绿地类海绵设施工程设计，应将年径流总量控制率和污染物削减率作为控制性指标。</w:t>
      </w:r>
    </w:p>
    <w:p>
      <w:pPr>
        <w:spacing w:line="360" w:lineRule="auto"/>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【条文说明】</w:t>
      </w:r>
      <w:r>
        <w:rPr>
          <w:rFonts w:hint="eastAsia" w:ascii="微软雅黑" w:hAnsi="微软雅黑" w:eastAsia="微软雅黑" w:cs="微软雅黑"/>
          <w:b/>
          <w:bCs/>
          <w:kern w:val="0"/>
          <w:sz w:val="28"/>
          <w:szCs w:val="28"/>
        </w:rPr>
        <w:t>8.7.1</w:t>
      </w:r>
      <w:r>
        <w:rPr>
          <w:rFonts w:hint="eastAsia" w:ascii="微软雅黑" w:hAnsi="微软雅黑" w:eastAsia="微软雅黑" w:cs="微软雅黑"/>
          <w:kern w:val="0"/>
          <w:sz w:val="28"/>
          <w:szCs w:val="28"/>
        </w:rPr>
        <w:t>公园绿地设计应结合海绵城市建设要求，加强对水系廊道的衔接、保护与控制。可在城市内部河流沿线等开敞空间，设置类型丰富、具有雨洪净化功能的滨水绿化带、滨水公园，并与涉水工程、公共景观相协调，营造亲水生态空间。控制性指标要求及具体设计，应遵循现行《深圳市海绵型公园绿地建设指引》。</w:t>
      </w:r>
    </w:p>
    <w:p>
      <w:pPr>
        <w:spacing w:line="360" w:lineRule="auto"/>
        <w:rPr>
          <w:rFonts w:ascii="宋体" w:hAnsi="宋体" w:cs="宋体"/>
          <w:kern w:val="0"/>
          <w:sz w:val="28"/>
          <w:szCs w:val="28"/>
        </w:rPr>
      </w:pPr>
      <w:r>
        <w:rPr>
          <w:rFonts w:hint="eastAsia" w:ascii="宋体" w:hAnsi="宋体" w:cs="宋体"/>
          <w:b/>
          <w:kern w:val="0"/>
          <w:sz w:val="28"/>
          <w:szCs w:val="28"/>
        </w:rPr>
        <w:t xml:space="preserve">8.7.2 </w:t>
      </w:r>
      <w:r>
        <w:rPr>
          <w:rFonts w:hint="eastAsia" w:ascii="宋体" w:hAnsi="宋体" w:cs="宋体"/>
          <w:kern w:val="0"/>
          <w:sz w:val="28"/>
          <w:szCs w:val="28"/>
        </w:rPr>
        <w:t>公园绿地及周边区域径流雨水应通过有组织的汇流与转输，经截污等预处理后，引入绿地内以雨水渗透、储存、调节等为主要功能的海绵设施，并衔接区域内雨水管渠系统和超标雨水径流排放系统。</w:t>
      </w:r>
    </w:p>
    <w:p>
      <w:pPr>
        <w:spacing w:line="360" w:lineRule="auto"/>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【条文说明】</w:t>
      </w:r>
      <w:r>
        <w:rPr>
          <w:rFonts w:hint="eastAsia" w:ascii="微软雅黑" w:hAnsi="微软雅黑" w:eastAsia="微软雅黑" w:cs="微软雅黑"/>
          <w:b/>
          <w:bCs/>
          <w:kern w:val="0"/>
          <w:sz w:val="28"/>
          <w:szCs w:val="28"/>
        </w:rPr>
        <w:t>8.7.2</w:t>
      </w:r>
      <w:r>
        <w:rPr>
          <w:rFonts w:hint="eastAsia" w:ascii="微软雅黑" w:hAnsi="微软雅黑" w:eastAsia="微软雅黑" w:cs="微软雅黑"/>
          <w:kern w:val="0"/>
          <w:sz w:val="28"/>
          <w:szCs w:val="28"/>
        </w:rPr>
        <w:t>按照海绵城市建设要求，公园绿地及周边区域径流雨水，应通过有组织的汇流与转输，经截污等预处理后引入公园绿地内海绵设施，并在消纳自身及周边区域径流雨水的同时，衔接区域内雨水管渠系统和超标雨水径流排放系统，以提高区域内涝防治能力。</w:t>
      </w:r>
    </w:p>
    <w:p>
      <w:pPr>
        <w:spacing w:line="360" w:lineRule="auto"/>
        <w:rPr>
          <w:rFonts w:ascii="宋体" w:hAnsi="宋体" w:cs="宋体"/>
          <w:b/>
          <w:bCs/>
          <w:kern w:val="0"/>
          <w:sz w:val="28"/>
          <w:szCs w:val="28"/>
        </w:rPr>
      </w:pPr>
      <w:r>
        <w:rPr>
          <w:rFonts w:hint="eastAsia" w:ascii="宋体" w:hAnsi="宋体" w:cs="宋体"/>
          <w:b/>
          <w:kern w:val="0"/>
          <w:sz w:val="28"/>
          <w:szCs w:val="28"/>
        </w:rPr>
        <w:t xml:space="preserve">8.7.3 </w:t>
      </w:r>
      <w:r>
        <w:rPr>
          <w:rFonts w:hint="eastAsia" w:ascii="宋体" w:hAnsi="宋体" w:cs="宋体"/>
          <w:kern w:val="0"/>
          <w:sz w:val="28"/>
          <w:szCs w:val="28"/>
        </w:rPr>
        <w:t>面积大于</w:t>
      </w:r>
      <w:r>
        <w:rPr>
          <w:rFonts w:ascii="宋体" w:hAnsi="宋体" w:cs="宋体"/>
          <w:kern w:val="0"/>
          <w:sz w:val="28"/>
          <w:szCs w:val="28"/>
        </w:rPr>
        <w:t>2h</w:t>
      </w:r>
      <w:r>
        <w:rPr>
          <w:rFonts w:hint="eastAsia" w:ascii="宋体" w:hAnsi="宋体" w:cs="宋体"/>
          <w:kern w:val="0"/>
          <w:sz w:val="28"/>
          <w:szCs w:val="28"/>
        </w:rPr>
        <w:t>m</w:t>
      </w:r>
      <w:r>
        <w:rPr>
          <w:rFonts w:hint="eastAsia" w:ascii="宋体" w:hAnsi="宋体" w:cs="宋体"/>
          <w:kern w:val="0"/>
          <w:sz w:val="28"/>
          <w:szCs w:val="28"/>
          <w:vertAlign w:val="superscript"/>
        </w:rPr>
        <w:t>2</w:t>
      </w:r>
      <w:r>
        <w:rPr>
          <w:rFonts w:hint="eastAsia" w:ascii="宋体" w:hAnsi="宋体" w:cs="宋体"/>
          <w:kern w:val="0"/>
          <w:sz w:val="28"/>
          <w:szCs w:val="28"/>
        </w:rPr>
        <w:t>的公园绿地，可因地制宜设置水面。初期雨水径流水质等级为</w:t>
      </w:r>
      <w:r>
        <w:rPr>
          <w:rFonts w:ascii="宋体" w:hAnsi="宋体" w:cs="宋体"/>
          <w:kern w:val="0"/>
          <w:sz w:val="28"/>
          <w:szCs w:val="28"/>
        </w:rPr>
        <w:t>C</w:t>
      </w:r>
      <w:r>
        <w:rPr>
          <w:rFonts w:hint="eastAsia" w:ascii="宋体" w:hAnsi="宋体" w:cs="宋体"/>
          <w:kern w:val="0"/>
          <w:sz w:val="28"/>
          <w:szCs w:val="28"/>
        </w:rPr>
        <w:t>级的，宜设置初期雨水弃流设施或预处理设施；水质等级达到</w:t>
      </w:r>
      <w:r>
        <w:rPr>
          <w:rFonts w:ascii="宋体" w:hAnsi="宋体" w:cs="宋体"/>
          <w:kern w:val="0"/>
          <w:sz w:val="28"/>
          <w:szCs w:val="28"/>
        </w:rPr>
        <w:t>D</w:t>
      </w:r>
      <w:r>
        <w:rPr>
          <w:rFonts w:hint="eastAsia" w:ascii="宋体" w:hAnsi="宋体" w:cs="宋体"/>
          <w:kern w:val="0"/>
          <w:sz w:val="28"/>
          <w:szCs w:val="28"/>
        </w:rPr>
        <w:t>级的，初期雨水径流不应引入公园绿地。</w:t>
      </w:r>
    </w:p>
    <w:p>
      <w:pPr>
        <w:spacing w:line="360" w:lineRule="auto"/>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【条文说明】</w:t>
      </w:r>
      <w:r>
        <w:rPr>
          <w:rFonts w:hint="eastAsia" w:ascii="微软雅黑" w:hAnsi="微软雅黑" w:eastAsia="微软雅黑" w:cs="微软雅黑"/>
          <w:b/>
          <w:bCs/>
          <w:kern w:val="0"/>
          <w:sz w:val="28"/>
          <w:szCs w:val="28"/>
        </w:rPr>
        <w:t xml:space="preserve">8.7.3 </w:t>
      </w:r>
      <w:r>
        <w:rPr>
          <w:rFonts w:hint="eastAsia" w:ascii="微软雅黑" w:hAnsi="微软雅黑" w:eastAsia="微软雅黑" w:cs="微软雅黑"/>
          <w:kern w:val="0"/>
          <w:sz w:val="28"/>
          <w:szCs w:val="28"/>
        </w:rPr>
        <w:t>中初期雨水径流水质等级，一般应以项目建设场地的实测资料为准。根据实测资料，并按照下表，将初期雨水径流水质划分等级；当无实测资料时，可根据下垫面类型，再按照下表进行水质等级划分。</w:t>
      </w:r>
    </w:p>
    <w:p>
      <w:pPr>
        <w:spacing w:line="360" w:lineRule="auto"/>
        <w:jc w:val="center"/>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初期雨水径流水质等级划分标准</w:t>
      </w:r>
    </w:p>
    <w:tbl>
      <w:tblPr>
        <w:tblStyle w:val="5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664"/>
        <w:gridCol w:w="1176"/>
        <w:gridCol w:w="1264"/>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rPr>
                <w:rFonts w:ascii="微软雅黑" w:hAnsi="微软雅黑" w:eastAsia="微软雅黑" w:cs="微软雅黑"/>
                <w:kern w:val="0"/>
                <w:sz w:val="24"/>
              </w:rPr>
            </w:pPr>
            <w:r>
              <w:rPr>
                <w:rFonts w:hint="eastAsia" w:ascii="微软雅黑" w:hAnsi="微软雅黑" w:eastAsia="微软雅黑" w:cs="微软雅黑"/>
                <w:kern w:val="0"/>
                <w:sz w:val="24"/>
              </w:rPr>
              <w:t>水质等级</w:t>
            </w:r>
          </w:p>
        </w:tc>
        <w:tc>
          <w:tcPr>
            <w:tcW w:w="3664" w:type="dxa"/>
          </w:tcPr>
          <w:p>
            <w:pPr>
              <w:spacing w:line="360" w:lineRule="auto"/>
              <w:rPr>
                <w:rFonts w:ascii="微软雅黑" w:hAnsi="微软雅黑" w:eastAsia="微软雅黑" w:cs="微软雅黑"/>
                <w:kern w:val="0"/>
                <w:sz w:val="24"/>
              </w:rPr>
            </w:pPr>
            <w:r>
              <w:rPr>
                <w:rFonts w:hint="eastAsia" w:ascii="微软雅黑" w:hAnsi="微软雅黑" w:eastAsia="微软雅黑" w:cs="微软雅黑"/>
                <w:kern w:val="0"/>
                <w:sz w:val="24"/>
              </w:rPr>
              <w:t>下垫面</w:t>
            </w:r>
          </w:p>
        </w:tc>
        <w:tc>
          <w:tcPr>
            <w:tcW w:w="1176" w:type="dxa"/>
          </w:tcPr>
          <w:p>
            <w:pPr>
              <w:spacing w:line="360" w:lineRule="auto"/>
              <w:rPr>
                <w:rFonts w:ascii="微软雅黑" w:hAnsi="微软雅黑" w:eastAsia="微软雅黑" w:cs="微软雅黑"/>
                <w:kern w:val="0"/>
                <w:sz w:val="24"/>
              </w:rPr>
            </w:pPr>
            <w:r>
              <w:rPr>
                <w:rFonts w:hint="eastAsia" w:ascii="微软雅黑" w:hAnsi="微软雅黑" w:eastAsia="微软雅黑" w:cs="微软雅黑"/>
                <w:kern w:val="0"/>
                <w:sz w:val="24"/>
              </w:rPr>
              <w:t>平均COD</w:t>
            </w:r>
          </w:p>
          <w:p>
            <w:pPr>
              <w:spacing w:line="360" w:lineRule="auto"/>
              <w:rPr>
                <w:rFonts w:ascii="微软雅黑" w:hAnsi="微软雅黑" w:eastAsia="微软雅黑" w:cs="微软雅黑"/>
                <w:kern w:val="0"/>
                <w:sz w:val="24"/>
              </w:rPr>
            </w:pPr>
            <w:r>
              <w:rPr>
                <w:rFonts w:hint="eastAsia" w:ascii="微软雅黑" w:hAnsi="微软雅黑" w:eastAsia="微软雅黑" w:cs="微软雅黑"/>
                <w:kern w:val="0"/>
                <w:sz w:val="24"/>
              </w:rPr>
              <w:t>（mg/l）</w:t>
            </w:r>
          </w:p>
        </w:tc>
        <w:tc>
          <w:tcPr>
            <w:tcW w:w="1264" w:type="dxa"/>
          </w:tcPr>
          <w:p>
            <w:pPr>
              <w:spacing w:line="360" w:lineRule="auto"/>
              <w:rPr>
                <w:rFonts w:ascii="微软雅黑" w:hAnsi="微软雅黑" w:eastAsia="微软雅黑" w:cs="微软雅黑"/>
                <w:kern w:val="0"/>
                <w:sz w:val="24"/>
              </w:rPr>
            </w:pPr>
            <w:r>
              <w:rPr>
                <w:rFonts w:hint="eastAsia" w:ascii="微软雅黑" w:hAnsi="微软雅黑" w:eastAsia="微软雅黑" w:cs="微软雅黑"/>
                <w:kern w:val="0"/>
                <w:sz w:val="24"/>
              </w:rPr>
              <w:t>平均TSS</w:t>
            </w:r>
          </w:p>
          <w:p>
            <w:pPr>
              <w:spacing w:line="360" w:lineRule="auto"/>
              <w:rPr>
                <w:rFonts w:ascii="微软雅黑" w:hAnsi="微软雅黑" w:eastAsia="微软雅黑" w:cs="微软雅黑"/>
                <w:kern w:val="0"/>
                <w:sz w:val="24"/>
              </w:rPr>
            </w:pPr>
            <w:r>
              <w:rPr>
                <w:rFonts w:hint="eastAsia" w:ascii="微软雅黑" w:hAnsi="微软雅黑" w:eastAsia="微软雅黑" w:cs="微软雅黑"/>
                <w:kern w:val="0"/>
                <w:sz w:val="24"/>
              </w:rPr>
              <w:t>（mg/l）</w:t>
            </w:r>
          </w:p>
        </w:tc>
        <w:tc>
          <w:tcPr>
            <w:tcW w:w="1346" w:type="dxa"/>
          </w:tcPr>
          <w:p>
            <w:pPr>
              <w:spacing w:line="360" w:lineRule="auto"/>
              <w:rPr>
                <w:rFonts w:ascii="微软雅黑" w:hAnsi="微软雅黑" w:eastAsia="微软雅黑" w:cs="微软雅黑"/>
                <w:kern w:val="0"/>
                <w:sz w:val="24"/>
              </w:rPr>
            </w:pPr>
            <w:r>
              <w:rPr>
                <w:rFonts w:hint="eastAsia" w:ascii="微软雅黑" w:hAnsi="微软雅黑" w:eastAsia="微软雅黑" w:cs="微软雅黑"/>
                <w:kern w:val="0"/>
                <w:sz w:val="24"/>
              </w:rPr>
              <w:t>平均TP</w:t>
            </w:r>
          </w:p>
          <w:p>
            <w:pPr>
              <w:spacing w:line="360" w:lineRule="auto"/>
              <w:rPr>
                <w:rFonts w:ascii="微软雅黑" w:hAnsi="微软雅黑" w:eastAsia="微软雅黑" w:cs="微软雅黑"/>
                <w:kern w:val="0"/>
                <w:sz w:val="24"/>
              </w:rPr>
            </w:pPr>
            <w:r>
              <w:rPr>
                <w:rFonts w:hint="eastAsia" w:ascii="微软雅黑" w:hAnsi="微软雅黑" w:eastAsia="微软雅黑" w:cs="微软雅黑"/>
                <w:kern w:val="0"/>
                <w:sz w:val="24"/>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微软雅黑" w:hAnsi="微软雅黑" w:eastAsia="微软雅黑" w:cs="微软雅黑"/>
                <w:kern w:val="0"/>
                <w:sz w:val="24"/>
              </w:rPr>
            </w:pPr>
            <w:r>
              <w:rPr>
                <w:rFonts w:hint="eastAsia" w:ascii="微软雅黑" w:hAnsi="微软雅黑" w:eastAsia="微软雅黑" w:cs="微软雅黑"/>
                <w:kern w:val="0"/>
                <w:sz w:val="24"/>
              </w:rPr>
              <w:t>C</w:t>
            </w:r>
          </w:p>
        </w:tc>
        <w:tc>
          <w:tcPr>
            <w:tcW w:w="3664" w:type="dxa"/>
          </w:tcPr>
          <w:p>
            <w:pPr>
              <w:spacing w:line="360" w:lineRule="auto"/>
              <w:rPr>
                <w:rFonts w:ascii="微软雅黑" w:hAnsi="微软雅黑" w:eastAsia="微软雅黑" w:cs="微软雅黑"/>
                <w:kern w:val="0"/>
                <w:sz w:val="24"/>
              </w:rPr>
            </w:pPr>
            <w:r>
              <w:rPr>
                <w:rFonts w:hint="eastAsia" w:ascii="微软雅黑" w:hAnsi="微软雅黑" w:eastAsia="微软雅黑" w:cs="微软雅黑"/>
                <w:kern w:val="0"/>
                <w:sz w:val="24"/>
              </w:rPr>
              <w:t>公共建筑、道路等</w:t>
            </w:r>
          </w:p>
        </w:tc>
        <w:tc>
          <w:tcPr>
            <w:tcW w:w="1176" w:type="dxa"/>
          </w:tcPr>
          <w:p>
            <w:pPr>
              <w:spacing w:line="360" w:lineRule="auto"/>
              <w:rPr>
                <w:rFonts w:ascii="微软雅黑" w:hAnsi="微软雅黑" w:eastAsia="微软雅黑" w:cs="微软雅黑"/>
                <w:kern w:val="0"/>
                <w:sz w:val="24"/>
              </w:rPr>
            </w:pPr>
            <w:r>
              <w:rPr>
                <w:rFonts w:hint="eastAsia" w:ascii="微软雅黑" w:hAnsi="微软雅黑" w:eastAsia="微软雅黑" w:cs="微软雅黑"/>
                <w:kern w:val="0"/>
                <w:sz w:val="24"/>
              </w:rPr>
              <w:t>400-800</w:t>
            </w:r>
          </w:p>
        </w:tc>
        <w:tc>
          <w:tcPr>
            <w:tcW w:w="1264" w:type="dxa"/>
          </w:tcPr>
          <w:p>
            <w:pPr>
              <w:spacing w:line="360" w:lineRule="auto"/>
              <w:rPr>
                <w:rFonts w:ascii="微软雅黑" w:hAnsi="微软雅黑" w:eastAsia="微软雅黑" w:cs="微软雅黑"/>
                <w:kern w:val="0"/>
                <w:sz w:val="24"/>
              </w:rPr>
            </w:pPr>
            <w:r>
              <w:rPr>
                <w:rFonts w:hint="eastAsia" w:ascii="微软雅黑" w:hAnsi="微软雅黑" w:eastAsia="微软雅黑" w:cs="微软雅黑"/>
                <w:kern w:val="0"/>
                <w:sz w:val="24"/>
              </w:rPr>
              <w:t>500-1000</w:t>
            </w:r>
          </w:p>
        </w:tc>
        <w:tc>
          <w:tcPr>
            <w:tcW w:w="1346" w:type="dxa"/>
          </w:tcPr>
          <w:p>
            <w:pPr>
              <w:spacing w:line="360" w:lineRule="auto"/>
              <w:rPr>
                <w:rFonts w:ascii="微软雅黑" w:hAnsi="微软雅黑" w:eastAsia="微软雅黑" w:cs="微软雅黑"/>
                <w:kern w:val="0"/>
                <w:sz w:val="24"/>
              </w:rPr>
            </w:pPr>
            <w:r>
              <w:rPr>
                <w:rFonts w:hint="eastAsia" w:ascii="微软雅黑" w:hAnsi="微软雅黑" w:eastAsia="微软雅黑" w:cs="微软雅黑"/>
                <w:kern w:val="0"/>
                <w:sz w:val="24"/>
              </w:rPr>
              <w:t>0.5-1.0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微软雅黑" w:hAnsi="微软雅黑" w:eastAsia="微软雅黑" w:cs="微软雅黑"/>
                <w:kern w:val="0"/>
                <w:sz w:val="24"/>
              </w:rPr>
            </w:pPr>
            <w:r>
              <w:rPr>
                <w:rFonts w:hint="eastAsia" w:ascii="微软雅黑" w:hAnsi="微软雅黑" w:eastAsia="微软雅黑" w:cs="微软雅黑"/>
                <w:kern w:val="0"/>
                <w:sz w:val="24"/>
              </w:rPr>
              <w:t>D</w:t>
            </w:r>
          </w:p>
        </w:tc>
        <w:tc>
          <w:tcPr>
            <w:tcW w:w="3664" w:type="dxa"/>
          </w:tcPr>
          <w:p>
            <w:pPr>
              <w:spacing w:line="360" w:lineRule="auto"/>
              <w:rPr>
                <w:rFonts w:ascii="微软雅黑" w:hAnsi="微软雅黑" w:eastAsia="微软雅黑" w:cs="微软雅黑"/>
                <w:kern w:val="0"/>
                <w:sz w:val="24"/>
              </w:rPr>
            </w:pPr>
            <w:r>
              <w:rPr>
                <w:rFonts w:hint="eastAsia" w:ascii="微软雅黑" w:hAnsi="微软雅黑" w:eastAsia="微软雅黑" w:cs="微软雅黑"/>
                <w:kern w:val="0"/>
                <w:sz w:val="24"/>
              </w:rPr>
              <w:t>公园周边存在城中村、繁忙的市政道路、工业区、汽车修理厂、废弃回收站、农贸市场等（但不包括特殊污染源地区）。</w:t>
            </w:r>
          </w:p>
        </w:tc>
        <w:tc>
          <w:tcPr>
            <w:tcW w:w="1176" w:type="dxa"/>
          </w:tcPr>
          <w:p>
            <w:pPr>
              <w:spacing w:line="360" w:lineRule="auto"/>
              <w:rPr>
                <w:rFonts w:ascii="微软雅黑" w:hAnsi="微软雅黑" w:eastAsia="微软雅黑" w:cs="微软雅黑"/>
                <w:kern w:val="0"/>
                <w:sz w:val="24"/>
              </w:rPr>
            </w:pPr>
            <w:r>
              <w:rPr>
                <w:rFonts w:hint="eastAsia" w:ascii="微软雅黑" w:hAnsi="微软雅黑" w:eastAsia="微软雅黑" w:cs="微软雅黑"/>
                <w:kern w:val="0"/>
                <w:sz w:val="24"/>
              </w:rPr>
              <w:t>&gt;800</w:t>
            </w:r>
          </w:p>
        </w:tc>
        <w:tc>
          <w:tcPr>
            <w:tcW w:w="1264" w:type="dxa"/>
          </w:tcPr>
          <w:p>
            <w:pPr>
              <w:spacing w:line="360" w:lineRule="auto"/>
              <w:rPr>
                <w:rFonts w:ascii="微软雅黑" w:hAnsi="微软雅黑" w:eastAsia="微软雅黑" w:cs="微软雅黑"/>
                <w:kern w:val="0"/>
                <w:sz w:val="24"/>
              </w:rPr>
            </w:pPr>
            <w:r>
              <w:rPr>
                <w:rFonts w:hint="eastAsia" w:ascii="微软雅黑" w:hAnsi="微软雅黑" w:eastAsia="微软雅黑" w:cs="微软雅黑"/>
                <w:kern w:val="0"/>
                <w:sz w:val="24"/>
              </w:rPr>
              <w:t>＞1000</w:t>
            </w:r>
          </w:p>
        </w:tc>
        <w:tc>
          <w:tcPr>
            <w:tcW w:w="1346" w:type="dxa"/>
          </w:tcPr>
          <w:p>
            <w:pPr>
              <w:spacing w:line="360" w:lineRule="auto"/>
              <w:rPr>
                <w:rFonts w:ascii="微软雅黑" w:hAnsi="微软雅黑" w:eastAsia="微软雅黑" w:cs="微软雅黑"/>
                <w:kern w:val="0"/>
                <w:sz w:val="24"/>
              </w:rPr>
            </w:pPr>
            <w:r>
              <w:rPr>
                <w:rFonts w:hint="eastAsia" w:ascii="微软雅黑" w:hAnsi="微软雅黑" w:eastAsia="微软雅黑" w:cs="微软雅黑"/>
                <w:kern w:val="0"/>
                <w:sz w:val="24"/>
              </w:rPr>
              <w:t>&gt;1.0</w:t>
            </w:r>
          </w:p>
        </w:tc>
      </w:tr>
    </w:tbl>
    <w:p>
      <w:pPr>
        <w:spacing w:line="360" w:lineRule="auto"/>
        <w:rPr>
          <w:rFonts w:ascii="宋体" w:hAnsi="宋体" w:cs="宋体"/>
          <w:kern w:val="0"/>
          <w:sz w:val="28"/>
          <w:szCs w:val="28"/>
        </w:rPr>
      </w:pPr>
      <w:r>
        <w:rPr>
          <w:rFonts w:hint="eastAsia" w:ascii="宋体" w:hAnsi="宋体" w:cs="宋体"/>
          <w:b/>
          <w:kern w:val="0"/>
          <w:sz w:val="28"/>
          <w:szCs w:val="28"/>
        </w:rPr>
        <w:t>8.7</w:t>
      </w:r>
      <w:r>
        <w:rPr>
          <w:rFonts w:ascii="宋体" w:hAnsi="宋体" w:cs="宋体"/>
          <w:b/>
          <w:kern w:val="0"/>
          <w:sz w:val="28"/>
          <w:szCs w:val="28"/>
        </w:rPr>
        <w:t>.</w:t>
      </w:r>
      <w:r>
        <w:rPr>
          <w:rFonts w:hint="eastAsia" w:ascii="宋体" w:hAnsi="宋体" w:cs="宋体"/>
          <w:b/>
          <w:kern w:val="0"/>
          <w:sz w:val="28"/>
          <w:szCs w:val="28"/>
        </w:rPr>
        <w:t xml:space="preserve">4 </w:t>
      </w:r>
      <w:r>
        <w:rPr>
          <w:rFonts w:hint="eastAsia" w:ascii="宋体" w:hAnsi="宋体" w:cs="宋体"/>
          <w:kern w:val="0"/>
          <w:sz w:val="28"/>
          <w:szCs w:val="28"/>
        </w:rPr>
        <w:t>雨水利用应以入渗、景观水体补水和净化回用为主，且力避建设维护费用高的净化设施。土壤入渗率低的公园绿地，应以受纳调蓄设施为主。公园绿地内景观水体可作为雨水调蓄设施，并与景观设计相结合。</w:t>
      </w:r>
    </w:p>
    <w:p>
      <w:pPr>
        <w:spacing w:line="360" w:lineRule="auto"/>
        <w:rPr>
          <w:rFonts w:ascii="宋体" w:hAnsi="宋体" w:cs="宋体"/>
          <w:kern w:val="0"/>
          <w:sz w:val="28"/>
          <w:szCs w:val="28"/>
        </w:rPr>
      </w:pPr>
      <w:r>
        <w:rPr>
          <w:rFonts w:hint="eastAsia" w:ascii="宋体" w:hAnsi="宋体" w:cs="宋体"/>
          <w:b/>
          <w:kern w:val="0"/>
          <w:sz w:val="28"/>
          <w:szCs w:val="28"/>
        </w:rPr>
        <w:t>8.7</w:t>
      </w:r>
      <w:r>
        <w:rPr>
          <w:rFonts w:ascii="宋体" w:hAnsi="宋体" w:cs="宋体"/>
          <w:b/>
          <w:kern w:val="0"/>
          <w:sz w:val="28"/>
          <w:szCs w:val="28"/>
        </w:rPr>
        <w:t>.</w:t>
      </w:r>
      <w:r>
        <w:rPr>
          <w:rFonts w:hint="eastAsia" w:ascii="宋体" w:hAnsi="宋体" w:cs="宋体"/>
          <w:b/>
          <w:kern w:val="0"/>
          <w:sz w:val="28"/>
          <w:szCs w:val="28"/>
        </w:rPr>
        <w:t>5</w:t>
      </w:r>
      <w:r>
        <w:rPr>
          <w:rFonts w:hint="eastAsia" w:ascii="宋体" w:hAnsi="宋体" w:cs="宋体"/>
          <w:kern w:val="0"/>
          <w:sz w:val="28"/>
          <w:szCs w:val="28"/>
        </w:rPr>
        <w:t>城市</w:t>
      </w:r>
      <w:r>
        <w:rPr>
          <w:rFonts w:hint="eastAsia" w:ascii="宋体" w:hAnsi="宋体" w:cs="宋体"/>
          <w:bCs/>
          <w:kern w:val="0"/>
          <w:sz w:val="28"/>
          <w:szCs w:val="28"/>
        </w:rPr>
        <w:t>山野公园中，</w:t>
      </w:r>
      <w:r>
        <w:rPr>
          <w:rFonts w:hint="eastAsia" w:ascii="宋体" w:hAnsi="宋体" w:cs="宋体"/>
          <w:kern w:val="0"/>
          <w:sz w:val="28"/>
          <w:szCs w:val="28"/>
        </w:rPr>
        <w:t>山体</w:t>
      </w:r>
      <w:r>
        <w:rPr>
          <w:rFonts w:ascii="宋体" w:hAnsi="宋体" w:cs="宋体"/>
          <w:kern w:val="0"/>
          <w:sz w:val="28"/>
          <w:szCs w:val="28"/>
        </w:rPr>
        <w:t>截洪沟系统设计应符合</w:t>
      </w:r>
      <w:r>
        <w:rPr>
          <w:rFonts w:hint="eastAsia" w:ascii="宋体" w:hAnsi="宋体" w:cs="宋体"/>
          <w:kern w:val="0"/>
          <w:sz w:val="28"/>
          <w:szCs w:val="28"/>
        </w:rPr>
        <w:t>有关</w:t>
      </w:r>
      <w:r>
        <w:rPr>
          <w:rFonts w:ascii="宋体" w:hAnsi="宋体" w:cs="宋体"/>
          <w:kern w:val="0"/>
          <w:sz w:val="28"/>
          <w:szCs w:val="28"/>
        </w:rPr>
        <w:t>规定</w:t>
      </w:r>
      <w:r>
        <w:rPr>
          <w:rFonts w:hint="eastAsia" w:ascii="宋体" w:hAnsi="宋体" w:cs="宋体"/>
          <w:kern w:val="0"/>
          <w:sz w:val="28"/>
          <w:szCs w:val="28"/>
        </w:rPr>
        <w:t>。</w:t>
      </w:r>
    </w:p>
    <w:p>
      <w:pPr>
        <w:spacing w:line="360" w:lineRule="auto"/>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条文说明】8.7.5具体规定如下：（1）按现行工程建设标准，合理设计截洪系统和市政排水管道；（2）宜采用生态断面与铺砌，充分利用山坡地形设计集水地形及其他渗透设施。山坡因地制宜，可设计为梯田形，分段消能，滞蓄雨水；（3）结合截洪沟，可在山坡设置渗井或蓄水池，或在山下建设蓄水池。蓄水池雨水在非雨季时应可利用。</w:t>
      </w:r>
    </w:p>
    <w:p>
      <w:pPr>
        <w:spacing w:line="360" w:lineRule="auto"/>
        <w:rPr>
          <w:rFonts w:ascii="宋体" w:hAnsi="宋体" w:cs="宋体"/>
          <w:bCs/>
          <w:kern w:val="0"/>
          <w:sz w:val="28"/>
          <w:szCs w:val="28"/>
        </w:rPr>
      </w:pPr>
      <w:r>
        <w:rPr>
          <w:rFonts w:hint="eastAsia" w:ascii="宋体" w:hAnsi="宋体" w:cs="宋体"/>
          <w:b/>
          <w:kern w:val="0"/>
          <w:sz w:val="28"/>
          <w:szCs w:val="28"/>
        </w:rPr>
        <w:t>8.7.6</w:t>
      </w:r>
      <w:r>
        <w:rPr>
          <w:rFonts w:hint="eastAsia" w:ascii="宋体" w:hAnsi="宋体" w:cs="宋体"/>
          <w:bCs/>
          <w:kern w:val="0"/>
          <w:sz w:val="28"/>
          <w:szCs w:val="28"/>
        </w:rPr>
        <w:t>可通过地形整理，构建适宜规模的调蓄水塘。</w:t>
      </w:r>
    </w:p>
    <w:p>
      <w:pPr>
        <w:spacing w:line="360" w:lineRule="auto"/>
        <w:rPr>
          <w:rFonts w:ascii="微软雅黑" w:hAnsi="微软雅黑" w:eastAsia="微软雅黑" w:cs="微软雅黑"/>
          <w:kern w:val="0"/>
          <w:sz w:val="28"/>
          <w:szCs w:val="28"/>
        </w:rPr>
      </w:pPr>
      <w:r>
        <w:rPr>
          <w:rFonts w:hint="eastAsia" w:ascii="微软雅黑" w:hAnsi="微软雅黑" w:eastAsia="微软雅黑" w:cs="微软雅黑"/>
          <w:kern w:val="0"/>
          <w:sz w:val="28"/>
          <w:szCs w:val="28"/>
        </w:rPr>
        <w:t>【条文说明】</w:t>
      </w:r>
      <w:r>
        <w:rPr>
          <w:rFonts w:hint="eastAsia" w:ascii="微软雅黑" w:hAnsi="微软雅黑" w:eastAsia="微软雅黑" w:cs="微软雅黑"/>
          <w:b/>
          <w:bCs/>
          <w:kern w:val="0"/>
          <w:sz w:val="28"/>
          <w:szCs w:val="28"/>
        </w:rPr>
        <w:t>8.7.6</w:t>
      </w:r>
      <w:r>
        <w:rPr>
          <w:rFonts w:hint="eastAsia" w:ascii="微软雅黑" w:hAnsi="微软雅黑" w:eastAsia="微软雅黑" w:cs="微软雅黑"/>
          <w:kern w:val="0"/>
          <w:sz w:val="28"/>
          <w:szCs w:val="28"/>
        </w:rPr>
        <w:t>具体做法如下：（1）地形平坦，高水景营造需求时，采取挖方营造能够承接径流的调蓄水塘，同时将这部分土方就近堆筑在周边区域，结合空间营造，形成一系列朝向水塘的微地形，人为增加用地的汇水面积，并通过竖向设计将雨水内聚，由地形坡度引导径流至水塘；（2）现状地势虽然存在明显的坡地汇水区，但不具备洼地蓄水条件，或是集水区的规模不能应对特定降雨强度的雨水调蓄量，宜通过挖方增加调蓄水塘的容积并将土方堆筑在主要汇水方向的相反侧，依据设计需求营造与水面相宜的地形景观。</w:t>
      </w:r>
    </w:p>
    <w:p>
      <w:pPr>
        <w:spacing w:line="360" w:lineRule="auto"/>
        <w:rPr>
          <w:rFonts w:cs="Helvetica" w:asciiTheme="minorEastAsia" w:hAnsiTheme="minorEastAsia"/>
          <w:kern w:val="0"/>
          <w:sz w:val="28"/>
          <w:szCs w:val="28"/>
        </w:rPr>
      </w:pPr>
      <w:r>
        <w:rPr>
          <w:rFonts w:hint="eastAsia" w:ascii="宋体" w:hAnsi="宋体" w:cs="宋体"/>
          <w:b/>
          <w:kern w:val="0"/>
          <w:sz w:val="28"/>
          <w:szCs w:val="28"/>
        </w:rPr>
        <w:t>8.7</w:t>
      </w:r>
      <w:r>
        <w:rPr>
          <w:rFonts w:ascii="宋体" w:hAnsi="宋体" w:cs="宋体"/>
          <w:b/>
          <w:kern w:val="0"/>
          <w:sz w:val="28"/>
          <w:szCs w:val="28"/>
        </w:rPr>
        <w:t>.</w:t>
      </w:r>
      <w:r>
        <w:rPr>
          <w:rFonts w:hint="eastAsia" w:ascii="宋体" w:hAnsi="宋体" w:cs="宋体"/>
          <w:b/>
          <w:kern w:val="0"/>
          <w:sz w:val="28"/>
          <w:szCs w:val="28"/>
        </w:rPr>
        <w:t xml:space="preserve">7 </w:t>
      </w:r>
      <w:r>
        <w:rPr>
          <w:rFonts w:hint="eastAsia" w:ascii="宋体" w:hAnsi="宋体" w:cs="宋体"/>
          <w:kern w:val="0"/>
          <w:sz w:val="28"/>
          <w:szCs w:val="28"/>
        </w:rPr>
        <w:t>绿地应尽量低于周围地面，便于雨水迅速分散及入渗。</w:t>
      </w:r>
      <w:r>
        <w:rPr>
          <w:rFonts w:hint="eastAsia" w:cs="Helvetica" w:asciiTheme="minorEastAsia" w:hAnsiTheme="minorEastAsia"/>
          <w:kern w:val="0"/>
          <w:sz w:val="28"/>
          <w:szCs w:val="28"/>
        </w:rPr>
        <w:t xml:space="preserve">            </w:t>
      </w:r>
    </w:p>
    <w:p>
      <w:pPr>
        <w:pStyle w:val="2"/>
        <w:pageBreakBefore/>
        <w:rPr>
          <w:color w:val="000000" w:themeColor="text1"/>
        </w:rPr>
      </w:pPr>
      <w:bookmarkStart w:id="117" w:name="_Toc28172_WPSOffice_Level1"/>
      <w:bookmarkStart w:id="118" w:name="_Toc3702"/>
      <w:bookmarkStart w:id="119" w:name="_Toc24073_WPSOffice_Level1"/>
      <w:bookmarkStart w:id="120" w:name="_Toc8173"/>
      <w:r>
        <w:rPr>
          <w:rFonts w:hint="eastAsia"/>
          <w:color w:val="000000" w:themeColor="text1"/>
        </w:rPr>
        <w:t xml:space="preserve">9 </w:t>
      </w:r>
      <w:r>
        <w:rPr>
          <w:color w:val="000000" w:themeColor="text1"/>
        </w:rPr>
        <w:t>岩土工程</w:t>
      </w:r>
      <w:bookmarkEnd w:id="117"/>
      <w:r>
        <w:rPr>
          <w:rFonts w:hint="eastAsia"/>
          <w:color w:val="000000" w:themeColor="text1"/>
        </w:rPr>
        <w:t>设计</w:t>
      </w:r>
      <w:bookmarkEnd w:id="118"/>
    </w:p>
    <w:p>
      <w:pPr>
        <w:pStyle w:val="3"/>
        <w:rPr>
          <w:color w:val="000000" w:themeColor="text1"/>
        </w:rPr>
      </w:pPr>
      <w:bookmarkStart w:id="121" w:name="_Toc19163"/>
      <w:r>
        <w:rPr>
          <w:rFonts w:hint="eastAsia"/>
          <w:color w:val="000000" w:themeColor="text1"/>
        </w:rPr>
        <w:t>9.1一般规定</w:t>
      </w:r>
      <w:bookmarkEnd w:id="121"/>
    </w:p>
    <w:p>
      <w:pPr>
        <w:adjustRightInd w:val="0"/>
        <w:snapToGrid w:val="0"/>
        <w:spacing w:line="360" w:lineRule="auto"/>
        <w:rPr>
          <w:rFonts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b/>
          <w:color w:val="000000" w:themeColor="text1"/>
          <w:kern w:val="0"/>
          <w:sz w:val="28"/>
          <w:szCs w:val="28"/>
        </w:rPr>
        <w:t xml:space="preserve">9.1.1 </w:t>
      </w:r>
      <w:r>
        <w:rPr>
          <w:rFonts w:hint="eastAsia" w:asciiTheme="minorEastAsia" w:hAnsiTheme="minorEastAsia" w:eastAsiaTheme="minorEastAsia" w:cstheme="minorEastAsia"/>
          <w:bCs/>
          <w:color w:val="000000" w:themeColor="text1"/>
          <w:kern w:val="0"/>
          <w:sz w:val="28"/>
          <w:szCs w:val="28"/>
        </w:rPr>
        <w:t>本导则</w:t>
      </w:r>
      <w:r>
        <w:rPr>
          <w:rFonts w:hint="eastAsia" w:asciiTheme="minorEastAsia" w:hAnsiTheme="minorEastAsia" w:eastAsiaTheme="minorEastAsia" w:cstheme="minorEastAsia"/>
          <w:color w:val="000000" w:themeColor="text1"/>
          <w:kern w:val="0"/>
          <w:sz w:val="28"/>
          <w:szCs w:val="28"/>
        </w:rPr>
        <w:t>岩土工程设计范围主要包括边坡工程、基坑工程、填海及软基工程、岩溶及采空区治理工程、临近地铁及特殊管线岩土工程。</w:t>
      </w:r>
    </w:p>
    <w:p>
      <w:pPr>
        <w:adjustRightInd w:val="0"/>
        <w:snapToGrid w:val="0"/>
        <w:spacing w:line="360" w:lineRule="auto"/>
        <w:rPr>
          <w:rFonts w:asciiTheme="minorEastAsia" w:hAnsiTheme="minorEastAsia" w:eastAsiaTheme="minorEastAsia" w:cstheme="minorEastAsia"/>
          <w:bCs/>
          <w:color w:val="000000" w:themeColor="text1"/>
          <w:kern w:val="0"/>
          <w:sz w:val="28"/>
          <w:szCs w:val="28"/>
        </w:rPr>
      </w:pPr>
      <w:r>
        <w:rPr>
          <w:rFonts w:hint="eastAsia" w:asciiTheme="minorEastAsia" w:hAnsiTheme="minorEastAsia" w:eastAsiaTheme="minorEastAsia" w:cstheme="minorEastAsia"/>
          <w:b/>
          <w:color w:val="000000" w:themeColor="text1"/>
          <w:kern w:val="0"/>
          <w:sz w:val="28"/>
          <w:szCs w:val="28"/>
        </w:rPr>
        <w:t xml:space="preserve">9.1.2 </w:t>
      </w:r>
      <w:r>
        <w:rPr>
          <w:rFonts w:hint="eastAsia" w:asciiTheme="minorEastAsia" w:hAnsiTheme="minorEastAsia" w:eastAsiaTheme="minorEastAsia" w:cstheme="minorEastAsia"/>
          <w:bCs/>
          <w:color w:val="000000" w:themeColor="text1"/>
          <w:kern w:val="0"/>
          <w:sz w:val="28"/>
          <w:szCs w:val="28"/>
        </w:rPr>
        <w:t>岩土工程应做到动态化设计、信息化施工，因地制宜，就地取材，保护环境、节约资源；适当结合景观设计，美化城市环境。</w:t>
      </w:r>
    </w:p>
    <w:p>
      <w:pPr>
        <w:adjustRightInd w:val="0"/>
        <w:snapToGrid w:val="0"/>
        <w:spacing w:line="360" w:lineRule="auto"/>
        <w:rPr>
          <w:rFonts w:ascii="微软雅黑" w:hAnsi="微软雅黑" w:eastAsia="微软雅黑" w:cs="微软雅黑"/>
          <w:bCs/>
          <w:color w:val="000000" w:themeColor="text1"/>
          <w:kern w:val="0"/>
          <w:sz w:val="28"/>
          <w:szCs w:val="28"/>
        </w:rPr>
      </w:pPr>
      <w:r>
        <w:rPr>
          <w:rFonts w:hint="eastAsia" w:ascii="微软雅黑" w:hAnsi="微软雅黑" w:eastAsia="微软雅黑" w:cs="微软雅黑"/>
          <w:bCs/>
          <w:kern w:val="0"/>
          <w:sz w:val="28"/>
          <w:szCs w:val="28"/>
        </w:rPr>
        <w:t>【条文说明】</w:t>
      </w:r>
      <w:r>
        <w:rPr>
          <w:rFonts w:hint="eastAsia" w:ascii="微软雅黑" w:hAnsi="微软雅黑" w:eastAsia="微软雅黑" w:cs="微软雅黑"/>
          <w:b/>
          <w:color w:val="000000" w:themeColor="text1"/>
          <w:kern w:val="0"/>
          <w:sz w:val="28"/>
          <w:szCs w:val="28"/>
        </w:rPr>
        <w:t xml:space="preserve">9.1.2 </w:t>
      </w:r>
      <w:r>
        <w:rPr>
          <w:rFonts w:hint="eastAsia" w:ascii="微软雅黑" w:hAnsi="微软雅黑" w:eastAsia="微软雅黑" w:cs="微软雅黑"/>
          <w:sz w:val="28"/>
          <w:szCs w:val="28"/>
        </w:rPr>
        <w:t>鉴于地质条件的复杂性和周边环境的重要性，要求做到岩土工程精心勘察设计、精心施工和严格监控。岩土工程设计和施工除考虑工程地质和周边环境等因素外，特别强调借鉴本土经验，因地制宜，具体问题、具体分析。保护环境，是指在岩土工程设计、施工中要密切注意保护周边建筑、地铁、道路和管线等设施设备安全；节约资源，主要是指节约土地资源和地下水资源及节省建筑材料。</w:t>
      </w:r>
    </w:p>
    <w:p>
      <w:pPr>
        <w:adjustRightInd w:val="0"/>
        <w:snapToGrid w:val="0"/>
        <w:spacing w:line="360" w:lineRule="auto"/>
        <w:rPr>
          <w:rFonts w:asciiTheme="minorEastAsia" w:hAnsiTheme="minorEastAsia" w:eastAsiaTheme="minorEastAsia" w:cstheme="minorEastAsia"/>
          <w:b/>
          <w:color w:val="000000" w:themeColor="text1"/>
          <w:kern w:val="0"/>
          <w:sz w:val="28"/>
          <w:szCs w:val="28"/>
        </w:rPr>
      </w:pPr>
      <w:r>
        <w:rPr>
          <w:rFonts w:hint="eastAsia" w:asciiTheme="minorEastAsia" w:hAnsiTheme="minorEastAsia" w:eastAsiaTheme="minorEastAsia" w:cstheme="minorEastAsia"/>
          <w:b/>
          <w:color w:val="000000" w:themeColor="text1"/>
          <w:kern w:val="0"/>
          <w:sz w:val="28"/>
          <w:szCs w:val="28"/>
        </w:rPr>
        <w:t xml:space="preserve">9.1.3 </w:t>
      </w:r>
      <w:r>
        <w:rPr>
          <w:rFonts w:hint="eastAsia" w:asciiTheme="minorEastAsia" w:hAnsiTheme="minorEastAsia" w:eastAsiaTheme="minorEastAsia" w:cstheme="minorEastAsia"/>
          <w:bCs/>
          <w:color w:val="000000" w:themeColor="text1"/>
          <w:kern w:val="0"/>
          <w:sz w:val="28"/>
          <w:szCs w:val="28"/>
        </w:rPr>
        <w:t>岩土工程设计应在满足安全性前提下，积极采用新技术（含BIM）、新工艺和新装备。</w:t>
      </w:r>
    </w:p>
    <w:p>
      <w:pPr>
        <w:pStyle w:val="3"/>
        <w:rPr>
          <w:color w:val="000000" w:themeColor="text1"/>
          <w:kern w:val="0"/>
        </w:rPr>
      </w:pPr>
      <w:bookmarkStart w:id="122" w:name="_Toc13323"/>
      <w:r>
        <w:rPr>
          <w:rFonts w:hint="eastAsia"/>
          <w:color w:val="000000" w:themeColor="text1"/>
        </w:rPr>
        <w:t>9.2边坡工程</w:t>
      </w:r>
      <w:bookmarkEnd w:id="122"/>
    </w:p>
    <w:p>
      <w:pPr>
        <w:adjustRightInd w:val="0"/>
        <w:snapToGrid w:val="0"/>
        <w:spacing w:line="360" w:lineRule="auto"/>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b/>
          <w:bCs/>
          <w:color w:val="000000" w:themeColor="text1"/>
          <w:sz w:val="28"/>
          <w:szCs w:val="28"/>
        </w:rPr>
        <w:t>9.2.1</w:t>
      </w:r>
      <w:r>
        <w:rPr>
          <w:rFonts w:hint="eastAsia" w:asciiTheme="minorEastAsia" w:hAnsiTheme="minorEastAsia" w:eastAsiaTheme="minorEastAsia" w:cstheme="minorEastAsia"/>
          <w:color w:val="000000" w:themeColor="text1"/>
          <w:sz w:val="28"/>
          <w:szCs w:val="28"/>
        </w:rPr>
        <w:t>边坡工程设计应综合考虑工程地质、水文地质、边坡高度、环境条件、邻近建(构)筑物、地下市政设施、施工条件和工期等因素。</w:t>
      </w:r>
    </w:p>
    <w:p>
      <w:pPr>
        <w:adjustRightInd w:val="0"/>
        <w:snapToGrid w:val="0"/>
        <w:spacing w:line="360" w:lineRule="auto"/>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b/>
          <w:bCs/>
          <w:color w:val="000000" w:themeColor="text1"/>
          <w:sz w:val="28"/>
          <w:szCs w:val="28"/>
        </w:rPr>
        <w:t xml:space="preserve">9.2.2 </w:t>
      </w:r>
      <w:r>
        <w:rPr>
          <w:rFonts w:hint="eastAsia" w:asciiTheme="minorEastAsia" w:hAnsiTheme="minorEastAsia" w:eastAsiaTheme="minorEastAsia" w:cstheme="minorEastAsia"/>
          <w:color w:val="000000" w:themeColor="text1"/>
          <w:sz w:val="28"/>
          <w:szCs w:val="28"/>
        </w:rPr>
        <w:t>边坡工程设计使用年限不应低于被保护建（构）筑物设计使用年限。</w:t>
      </w:r>
    </w:p>
    <w:p>
      <w:pPr>
        <w:adjustRightInd w:val="0"/>
        <w:snapToGrid w:val="0"/>
        <w:spacing w:line="360" w:lineRule="auto"/>
        <w:rPr>
          <w:rFonts w:ascii="微软雅黑" w:hAnsi="微软雅黑" w:eastAsia="微软雅黑" w:cs="微软雅黑"/>
          <w:sz w:val="28"/>
          <w:szCs w:val="28"/>
        </w:rPr>
      </w:pPr>
      <w:r>
        <w:rPr>
          <w:rFonts w:hint="eastAsia" w:ascii="微软雅黑" w:hAnsi="微软雅黑" w:eastAsia="微软雅黑" w:cs="微软雅黑"/>
          <w:sz w:val="28"/>
          <w:szCs w:val="28"/>
        </w:rPr>
        <w:t>【条文说明】</w:t>
      </w:r>
      <w:r>
        <w:rPr>
          <w:rFonts w:hint="eastAsia" w:ascii="微软雅黑" w:hAnsi="微软雅黑" w:eastAsia="微软雅黑" w:cs="微软雅黑"/>
          <w:b/>
          <w:bCs/>
          <w:sz w:val="28"/>
          <w:szCs w:val="28"/>
        </w:rPr>
        <w:t xml:space="preserve">9.2.2 </w:t>
      </w:r>
      <w:r>
        <w:rPr>
          <w:rFonts w:hint="eastAsia" w:ascii="微软雅黑" w:hAnsi="微软雅黑" w:eastAsia="微软雅黑" w:cs="微软雅黑"/>
          <w:sz w:val="28"/>
          <w:szCs w:val="28"/>
        </w:rPr>
        <w:t>边坡使用年限，是指边坡工程支护结构能发挥其正常支护功能的年限。通常，临时边坡按2年设计,永久边坡按50年设计。当受边坡支护结构保护的建筑物(坡顶塌滑区、坡下塌方区)为临时或永久性时,支护结构设计使用年限应不低于上述值。因此,本条为强制执行条文。</w:t>
      </w:r>
    </w:p>
    <w:p>
      <w:pPr>
        <w:adjustRightInd w:val="0"/>
        <w:snapToGrid w:val="0"/>
        <w:spacing w:line="360" w:lineRule="auto"/>
        <w:rPr>
          <w:rFonts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
          <w:bCs/>
          <w:color w:val="000000" w:themeColor="text1"/>
          <w:sz w:val="28"/>
          <w:szCs w:val="28"/>
        </w:rPr>
        <w:t xml:space="preserve">9.2.3 </w:t>
      </w:r>
      <w:r>
        <w:rPr>
          <w:rFonts w:hint="eastAsia" w:asciiTheme="minorEastAsia" w:hAnsiTheme="minorEastAsia" w:eastAsiaTheme="minorEastAsia" w:cstheme="minorEastAsia"/>
          <w:bCs/>
          <w:color w:val="000000" w:themeColor="text1"/>
          <w:sz w:val="28"/>
          <w:szCs w:val="28"/>
        </w:rPr>
        <w:t>边坡支护结构设计，应按相关标准进行有关承载力计算和稳定性验算。</w:t>
      </w:r>
      <w:r>
        <w:rPr>
          <w:rFonts w:hint="eastAsia" w:asciiTheme="minorEastAsia" w:hAnsiTheme="minorEastAsia" w:eastAsiaTheme="minorEastAsia" w:cstheme="minorEastAsia"/>
          <w:color w:val="000000" w:themeColor="text1"/>
          <w:sz w:val="28"/>
          <w:szCs w:val="28"/>
        </w:rPr>
        <w:t>当支护结构变形不满足主动岩土压力产生条件时，或当边坡上方有重要建筑物时，应对侧向岩土压力进行修正。</w:t>
      </w:r>
    </w:p>
    <w:p>
      <w:pPr>
        <w:adjustRightInd w:val="0"/>
        <w:snapToGrid w:val="0"/>
        <w:spacing w:line="360" w:lineRule="auto"/>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b/>
          <w:bCs/>
          <w:color w:val="000000" w:themeColor="text1"/>
          <w:sz w:val="28"/>
          <w:szCs w:val="28"/>
        </w:rPr>
        <w:t>9.2.4</w:t>
      </w:r>
      <w:r>
        <w:rPr>
          <w:rFonts w:hint="eastAsia" w:asciiTheme="minorEastAsia" w:hAnsiTheme="minorEastAsia" w:eastAsiaTheme="minorEastAsia" w:cstheme="minorEastAsia"/>
          <w:color w:val="000000" w:themeColor="text1"/>
          <w:sz w:val="28"/>
          <w:szCs w:val="28"/>
        </w:rPr>
        <w:t>边坡工程应进行截排水设计，内容包括坡顶截水、坡面排水、坡体排水和坡脚排水等。</w:t>
      </w:r>
    </w:p>
    <w:p>
      <w:pPr>
        <w:adjustRightInd w:val="0"/>
        <w:snapToGrid w:val="0"/>
        <w:spacing w:line="360" w:lineRule="auto"/>
        <w:rPr>
          <w:rFonts w:ascii="微软雅黑" w:hAnsi="微软雅黑" w:eastAsia="微软雅黑" w:cs="微软雅黑"/>
          <w:sz w:val="28"/>
          <w:szCs w:val="28"/>
        </w:rPr>
      </w:pPr>
      <w:r>
        <w:rPr>
          <w:rFonts w:hint="eastAsia" w:ascii="微软雅黑" w:hAnsi="微软雅黑" w:eastAsia="微软雅黑" w:cs="微软雅黑"/>
          <w:sz w:val="28"/>
          <w:szCs w:val="28"/>
        </w:rPr>
        <w:t>【条文说明】</w:t>
      </w:r>
      <w:r>
        <w:rPr>
          <w:rFonts w:hint="eastAsia" w:ascii="微软雅黑" w:hAnsi="微软雅黑" w:eastAsia="微软雅黑" w:cs="微软雅黑"/>
          <w:b/>
          <w:bCs/>
          <w:sz w:val="28"/>
          <w:szCs w:val="28"/>
        </w:rPr>
        <w:t xml:space="preserve">9.2.4 </w:t>
      </w:r>
      <w:r>
        <w:rPr>
          <w:rFonts w:hint="eastAsia" w:ascii="微软雅黑" w:hAnsi="微软雅黑" w:eastAsia="微软雅黑" w:cs="微软雅黑"/>
          <w:sz w:val="28"/>
          <w:szCs w:val="28"/>
        </w:rPr>
        <w:t>边坡坡面、地表排水和地下排水与防渗措施，设计应一并考虑，使之形成相辅相成的完整体系。为了确保实践中排水措施的有效性，坡面排水设施须防止渗漏。</w:t>
      </w:r>
    </w:p>
    <w:p>
      <w:pPr>
        <w:adjustRightInd w:val="0"/>
        <w:snapToGrid w:val="0"/>
        <w:spacing w:line="360" w:lineRule="auto"/>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b/>
          <w:bCs/>
          <w:color w:val="000000" w:themeColor="text1"/>
          <w:sz w:val="28"/>
          <w:szCs w:val="28"/>
        </w:rPr>
        <w:t xml:space="preserve">9.2.5 </w:t>
      </w:r>
      <w:r>
        <w:rPr>
          <w:rFonts w:hint="eastAsia" w:asciiTheme="minorEastAsia" w:hAnsiTheme="minorEastAsia" w:eastAsiaTheme="minorEastAsia" w:cstheme="minorEastAsia"/>
          <w:color w:val="000000" w:themeColor="text1"/>
          <w:sz w:val="28"/>
          <w:szCs w:val="28"/>
        </w:rPr>
        <w:t>在（潜在）滑坡区进行工程建设和滑坡整治时，应以防为主、防治结合，先治坡、后建房，并注重治坡与治水相结合。当滑坡体上有重要建(构)筑物时，应在确保滑体整体稳定的同时，选择有利于减小坡体变形的设计方案。</w:t>
      </w:r>
    </w:p>
    <w:p>
      <w:pPr>
        <w:adjustRightInd w:val="0"/>
        <w:snapToGrid w:val="0"/>
        <w:spacing w:line="360" w:lineRule="auto"/>
        <w:rPr>
          <w:rFonts w:asciiTheme="minorEastAsia" w:hAnsiTheme="minorEastAsia" w:eastAsiaTheme="minorEastAsia" w:cstheme="minorEastAsia"/>
          <w:color w:val="000000" w:themeColor="text1"/>
          <w:sz w:val="28"/>
          <w:szCs w:val="28"/>
        </w:rPr>
      </w:pPr>
      <w:r>
        <w:rPr>
          <w:rFonts w:hint="eastAsia" w:ascii="微软雅黑" w:hAnsi="微软雅黑" w:eastAsia="微软雅黑" w:cs="微软雅黑"/>
          <w:sz w:val="28"/>
          <w:szCs w:val="28"/>
        </w:rPr>
        <w:t>【条文说明】</w:t>
      </w:r>
      <w:r>
        <w:rPr>
          <w:rFonts w:hint="eastAsia" w:ascii="微软雅黑" w:hAnsi="微软雅黑" w:eastAsia="微软雅黑" w:cs="微软雅黑"/>
          <w:b/>
          <w:bCs/>
          <w:sz w:val="28"/>
          <w:szCs w:val="28"/>
        </w:rPr>
        <w:t xml:space="preserve">9.2.5 </w:t>
      </w:r>
      <w:r>
        <w:rPr>
          <w:rFonts w:hint="eastAsia" w:ascii="微软雅黑" w:hAnsi="微软雅黑" w:eastAsia="微软雅黑" w:cs="微软雅黑"/>
          <w:sz w:val="28"/>
          <w:szCs w:val="28"/>
        </w:rPr>
        <w:t>对于潜在滑坡,其滑动面尚未全面贯通,岩土力学性能要优于滑坡产生后滑动面贯通的情况,因此事先对滑坡采取相对简易的预防措施，所费人力、物力要比滑坡产生后再设法整治更为经济合理,且可避免滑坡危害,此即所谓“以防为主,防治结合”。另从某种意义上讲,“无水不滑坡”。治水应是改善滑体土物理力学性质的重要途径,也是滑坡治本思想的体现。滑坡防治务必采取“坡水两治”，从而从根本上解决问题。</w:t>
      </w:r>
    </w:p>
    <w:p>
      <w:pPr>
        <w:adjustRightInd w:val="0"/>
        <w:snapToGrid w:val="0"/>
        <w:spacing w:line="360" w:lineRule="auto"/>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bCs/>
          <w:color w:val="000000" w:themeColor="text1"/>
          <w:sz w:val="28"/>
          <w:szCs w:val="28"/>
        </w:rPr>
        <w:t xml:space="preserve">9.2.6 </w:t>
      </w:r>
      <w:r>
        <w:rPr>
          <w:rFonts w:hint="eastAsia" w:asciiTheme="minorEastAsia" w:hAnsiTheme="minorEastAsia" w:eastAsiaTheme="minorEastAsia" w:cstheme="minorEastAsia"/>
          <w:color w:val="000000" w:themeColor="text1"/>
          <w:sz w:val="28"/>
          <w:szCs w:val="28"/>
        </w:rPr>
        <w:t>边坡工程应进行植物防护与绿化设计，并优先选择更新能力强、根系发达、多年生占优势地位的本土物种。</w:t>
      </w:r>
    </w:p>
    <w:p>
      <w:pPr>
        <w:adjustRightInd w:val="0"/>
        <w:snapToGrid w:val="0"/>
        <w:spacing w:line="360" w:lineRule="auto"/>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 xml:space="preserve">9.2.7 </w:t>
      </w:r>
      <w:r>
        <w:rPr>
          <w:rFonts w:hint="eastAsia" w:asciiTheme="minorEastAsia" w:hAnsiTheme="minorEastAsia" w:eastAsiaTheme="minorEastAsia" w:cstheme="minorEastAsia"/>
          <w:bCs/>
          <w:color w:val="000000" w:themeColor="text1"/>
          <w:sz w:val="28"/>
          <w:szCs w:val="28"/>
        </w:rPr>
        <w:t>安全等级为一级的边坡工程，应设置自动化监测系统。</w:t>
      </w:r>
    </w:p>
    <w:p>
      <w:pPr>
        <w:pStyle w:val="3"/>
        <w:rPr>
          <w:color w:val="000000" w:themeColor="text1"/>
        </w:rPr>
      </w:pPr>
      <w:bookmarkStart w:id="123" w:name="_Toc26195"/>
      <w:r>
        <w:rPr>
          <w:rFonts w:hint="eastAsia"/>
          <w:color w:val="000000" w:themeColor="text1"/>
        </w:rPr>
        <w:t>9.3基坑工程</w:t>
      </w:r>
      <w:bookmarkEnd w:id="123"/>
    </w:p>
    <w:p>
      <w:pPr>
        <w:adjustRightInd w:val="0"/>
        <w:snapToGrid w:val="0"/>
        <w:spacing w:line="360" w:lineRule="auto"/>
        <w:rPr>
          <w:rFonts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b/>
          <w:color w:val="000000" w:themeColor="text1"/>
          <w:kern w:val="0"/>
          <w:sz w:val="28"/>
          <w:szCs w:val="28"/>
        </w:rPr>
        <w:t xml:space="preserve">9.3.1 </w:t>
      </w:r>
      <w:r>
        <w:rPr>
          <w:rFonts w:hint="eastAsia" w:asciiTheme="minorEastAsia" w:hAnsiTheme="minorEastAsia" w:eastAsiaTheme="minorEastAsia" w:cstheme="minorEastAsia"/>
          <w:bCs/>
          <w:color w:val="000000" w:themeColor="text1"/>
          <w:kern w:val="0"/>
          <w:sz w:val="28"/>
          <w:szCs w:val="28"/>
        </w:rPr>
        <w:t>深度大于30m的基坑工程，基坑支护方案应作专门论证。本节内容适用于基坑深度为30m以内的基坑工程设计。</w:t>
      </w:r>
    </w:p>
    <w:p>
      <w:pPr>
        <w:adjustRightInd w:val="0"/>
        <w:snapToGrid w:val="0"/>
        <w:spacing w:line="360" w:lineRule="auto"/>
        <w:rPr>
          <w:rFonts w:ascii="微软雅黑" w:hAnsi="微软雅黑" w:eastAsia="微软雅黑" w:cs="微软雅黑"/>
          <w:sz w:val="28"/>
          <w:szCs w:val="28"/>
        </w:rPr>
      </w:pPr>
      <w:r>
        <w:rPr>
          <w:rFonts w:hint="eastAsia" w:ascii="微软雅黑" w:hAnsi="微软雅黑" w:eastAsia="微软雅黑" w:cs="微软雅黑"/>
          <w:bCs/>
          <w:kern w:val="0"/>
          <w:sz w:val="28"/>
          <w:szCs w:val="28"/>
        </w:rPr>
        <w:t>【条文说明】</w:t>
      </w:r>
      <w:r>
        <w:rPr>
          <w:rFonts w:hint="eastAsia" w:ascii="微软雅黑" w:hAnsi="微软雅黑" w:eastAsia="微软雅黑" w:cs="微软雅黑"/>
          <w:b/>
          <w:color w:val="000000" w:themeColor="text1"/>
          <w:kern w:val="0"/>
          <w:sz w:val="28"/>
          <w:szCs w:val="28"/>
        </w:rPr>
        <w:t>9.3.1</w:t>
      </w:r>
      <w:r>
        <w:rPr>
          <w:rFonts w:hint="eastAsia" w:ascii="微软雅黑" w:hAnsi="微软雅黑" w:eastAsia="微软雅黑" w:cs="微软雅黑"/>
          <w:sz w:val="28"/>
          <w:szCs w:val="28"/>
        </w:rPr>
        <w:t>近些年来,本市超高层建筑和轨道交通工程中，深度超过25m（甚至30m）的基坑日趋增多，而基坑深度超过30m的为数还不多,且超深基坑土压力计算和支护结构计算，需专题分析研究，故本导则将深度定为30m以内，主要是因为这类基坑在本市已有较多工程案例。</w:t>
      </w:r>
    </w:p>
    <w:p>
      <w:pPr>
        <w:adjustRightInd w:val="0"/>
        <w:snapToGrid w:val="0"/>
        <w:spacing w:line="360" w:lineRule="auto"/>
        <w:rPr>
          <w:rFonts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b/>
          <w:color w:val="000000" w:themeColor="text1"/>
          <w:kern w:val="0"/>
          <w:sz w:val="28"/>
          <w:szCs w:val="28"/>
        </w:rPr>
        <w:t>9.3.2</w:t>
      </w:r>
      <w:r>
        <w:rPr>
          <w:rFonts w:hint="eastAsia" w:asciiTheme="minorEastAsia" w:hAnsiTheme="minorEastAsia" w:eastAsiaTheme="minorEastAsia" w:cstheme="minorEastAsia"/>
          <w:color w:val="000000" w:themeColor="text1"/>
          <w:kern w:val="0"/>
          <w:sz w:val="28"/>
          <w:szCs w:val="28"/>
        </w:rPr>
        <w:t>基坑支护设计应按现行《深圳市基坑支护技术规范》SJG 05选定基坑支护安全等级。对于同一基坑的不同部位，可采用不同的安全等级。</w:t>
      </w:r>
    </w:p>
    <w:p>
      <w:pPr>
        <w:adjustRightInd w:val="0"/>
        <w:snapToGrid w:val="0"/>
        <w:spacing w:line="360" w:lineRule="auto"/>
        <w:rPr>
          <w:rFonts w:asciiTheme="minorEastAsia" w:hAnsiTheme="minorEastAsia" w:eastAsiaTheme="minorEastAsia" w:cstheme="minorEastAsia"/>
          <w:bCs/>
          <w:color w:val="000000" w:themeColor="text1"/>
          <w:kern w:val="0"/>
          <w:sz w:val="28"/>
          <w:szCs w:val="28"/>
        </w:rPr>
      </w:pPr>
      <w:r>
        <w:rPr>
          <w:rFonts w:hint="eastAsia" w:asciiTheme="minorEastAsia" w:hAnsiTheme="minorEastAsia" w:eastAsiaTheme="minorEastAsia" w:cstheme="minorEastAsia"/>
          <w:b/>
          <w:color w:val="000000" w:themeColor="text1"/>
          <w:kern w:val="0"/>
          <w:sz w:val="28"/>
          <w:szCs w:val="28"/>
        </w:rPr>
        <w:t xml:space="preserve">9.3.3 </w:t>
      </w:r>
      <w:r>
        <w:rPr>
          <w:rFonts w:hint="eastAsia" w:asciiTheme="minorEastAsia" w:hAnsiTheme="minorEastAsia" w:eastAsiaTheme="minorEastAsia" w:cstheme="minorEastAsia"/>
          <w:bCs/>
          <w:color w:val="000000" w:themeColor="text1"/>
          <w:kern w:val="0"/>
          <w:sz w:val="28"/>
          <w:szCs w:val="28"/>
        </w:rPr>
        <w:t>基坑支护设计，应能保证提供建设项目主体地下结构的施工空间，并保证基坑周边建（构）筑物、地下管线、道路的安全和正常使用。</w:t>
      </w:r>
    </w:p>
    <w:p>
      <w:pPr>
        <w:adjustRightInd w:val="0"/>
        <w:snapToGrid w:val="0"/>
        <w:spacing w:line="360" w:lineRule="auto"/>
        <w:rPr>
          <w:rFonts w:asciiTheme="minorEastAsia" w:hAnsiTheme="minorEastAsia" w:eastAsiaTheme="minorEastAsia" w:cstheme="minorEastAsia"/>
          <w:bCs/>
          <w:color w:val="000000" w:themeColor="text1"/>
          <w:kern w:val="0"/>
          <w:sz w:val="28"/>
          <w:szCs w:val="28"/>
        </w:rPr>
      </w:pPr>
      <w:r>
        <w:rPr>
          <w:rFonts w:hint="eastAsia" w:ascii="微软雅黑" w:hAnsi="微软雅黑" w:eastAsia="微软雅黑" w:cs="微软雅黑"/>
          <w:sz w:val="28"/>
          <w:szCs w:val="28"/>
        </w:rPr>
        <w:t>【条文说明】</w:t>
      </w:r>
      <w:r>
        <w:rPr>
          <w:rFonts w:hint="eastAsia" w:ascii="微软雅黑" w:hAnsi="微软雅黑" w:eastAsia="微软雅黑" w:cs="微软雅黑"/>
          <w:b/>
          <w:bCs/>
          <w:sz w:val="28"/>
          <w:szCs w:val="28"/>
        </w:rPr>
        <w:t xml:space="preserve">9.3.3 </w:t>
      </w:r>
      <w:r>
        <w:rPr>
          <w:rFonts w:hint="eastAsia" w:ascii="微软雅黑" w:hAnsi="微软雅黑" w:eastAsia="微软雅黑" w:cs="微软雅黑"/>
          <w:sz w:val="28"/>
          <w:szCs w:val="28"/>
        </w:rPr>
        <w:t>基坑支护工程是为进行主体结构地下部分施工而采取的临时性措施。因基坑开挖涉及基坑周边环境安全,支护结构除满足主体结构施工要求外,还必须满足基坑周边环境要求。支护结构设计和施工，应把保护基坑周边环境安全放在重要位置。本条规定基坑支护应具有两种功能：首先，它应具有防止因基坑开挖而危害周边环境的功能；其次,它应具有保证工程自身主体结构施工安全的功能,即应为主体地下结构施工提供正常作业空间及环境,提供施工材料、设备堆放和运输场地、道路条件,隔断基坑内外地下水、地表水（以保证地下结构和防水工程的正常施工）。总之，本条旨在强调，基坑支护工程不能仅仅考虑本工程项目实施,还不得损害周边环境、相邻建(构)筑物等。</w:t>
      </w:r>
    </w:p>
    <w:p>
      <w:pPr>
        <w:adjustRightInd w:val="0"/>
        <w:snapToGrid w:val="0"/>
        <w:spacing w:line="360" w:lineRule="auto"/>
        <w:rPr>
          <w:rFonts w:asciiTheme="minorEastAsia" w:hAnsiTheme="minorEastAsia" w:eastAsiaTheme="minorEastAsia" w:cstheme="minorEastAsia"/>
          <w:b/>
          <w:color w:val="000000" w:themeColor="text1"/>
          <w:kern w:val="0"/>
          <w:sz w:val="28"/>
          <w:szCs w:val="28"/>
        </w:rPr>
      </w:pPr>
      <w:r>
        <w:rPr>
          <w:rFonts w:hint="eastAsia" w:asciiTheme="minorEastAsia" w:hAnsiTheme="minorEastAsia" w:eastAsiaTheme="minorEastAsia" w:cstheme="minorEastAsia"/>
          <w:b/>
          <w:color w:val="000000" w:themeColor="text1"/>
          <w:kern w:val="0"/>
          <w:sz w:val="28"/>
          <w:szCs w:val="28"/>
        </w:rPr>
        <w:t xml:space="preserve">9.3.4 </w:t>
      </w:r>
      <w:r>
        <w:rPr>
          <w:rFonts w:hint="eastAsia" w:asciiTheme="minorEastAsia" w:hAnsiTheme="minorEastAsia" w:eastAsiaTheme="minorEastAsia" w:cstheme="minorEastAsia"/>
          <w:bCs/>
          <w:color w:val="000000" w:themeColor="text1"/>
          <w:kern w:val="0"/>
          <w:sz w:val="28"/>
          <w:szCs w:val="28"/>
        </w:rPr>
        <w:t>除有特殊要求外，各种支护结构均应按开挖至坑底后，尚需保证安全和正常使用一年的临时性构筑物设计；对有内支撑的基坑，其暴露时间不宜超过两年。</w:t>
      </w:r>
    </w:p>
    <w:p>
      <w:pPr>
        <w:adjustRightInd w:val="0"/>
        <w:snapToGrid w:val="0"/>
        <w:spacing w:line="360" w:lineRule="auto"/>
        <w:rPr>
          <w:rFonts w:ascii="微软雅黑" w:hAnsi="微软雅黑" w:eastAsia="微软雅黑" w:cs="微软雅黑"/>
          <w:sz w:val="28"/>
          <w:szCs w:val="28"/>
        </w:rPr>
      </w:pPr>
      <w:r>
        <w:rPr>
          <w:rFonts w:hint="eastAsia" w:ascii="微软雅黑" w:hAnsi="微软雅黑" w:eastAsia="微软雅黑" w:cs="微软雅黑"/>
          <w:sz w:val="28"/>
          <w:szCs w:val="28"/>
        </w:rPr>
        <w:t>【条文说明】</w:t>
      </w:r>
      <w:r>
        <w:rPr>
          <w:rFonts w:hint="eastAsia" w:ascii="微软雅黑" w:hAnsi="微软雅黑" w:eastAsia="微软雅黑" w:cs="微软雅黑"/>
          <w:b/>
          <w:bCs/>
          <w:sz w:val="28"/>
          <w:szCs w:val="28"/>
        </w:rPr>
        <w:t xml:space="preserve">9.3.4 </w:t>
      </w:r>
      <w:r>
        <w:rPr>
          <w:rFonts w:hint="eastAsia" w:ascii="微软雅黑" w:hAnsi="微软雅黑" w:eastAsia="微软雅黑" w:cs="微软雅黑"/>
          <w:sz w:val="28"/>
          <w:szCs w:val="28"/>
        </w:rPr>
        <w:t>基坑支护属于临时性支护结构。按其正常使用一年，是考虑地下室施工一般需半年到一年时间,一年刚好经历一个水文年周期。由于土钉和锚杆随时间推进而作用有所减小,截水帷幕渗漏量也随时间推进而增加,如果基坑开挖形成后超过一年,则需对土钉、锚杆(索)和截水帷幕等作用进行评估,必要时进行检测或加固。对于采用支护桩或地下连续墙结合内支撑的支护结构,其正常使用年限可延长至两年。</w:t>
      </w:r>
    </w:p>
    <w:p>
      <w:pPr>
        <w:adjustRightInd w:val="0"/>
        <w:snapToGrid w:val="0"/>
        <w:spacing w:line="360" w:lineRule="auto"/>
        <w:rPr>
          <w:rFonts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b/>
          <w:bCs/>
          <w:color w:val="000000" w:themeColor="text1"/>
          <w:kern w:val="0"/>
          <w:sz w:val="28"/>
          <w:szCs w:val="28"/>
        </w:rPr>
        <w:t>9.3.5</w:t>
      </w:r>
      <w:r>
        <w:rPr>
          <w:rFonts w:hint="eastAsia" w:asciiTheme="minorEastAsia" w:hAnsiTheme="minorEastAsia" w:eastAsiaTheme="minorEastAsia" w:cstheme="minorEastAsia"/>
          <w:color w:val="000000" w:themeColor="text1"/>
          <w:kern w:val="0"/>
          <w:sz w:val="28"/>
          <w:szCs w:val="28"/>
        </w:rPr>
        <w:t xml:space="preserve"> 当基坑开挖面以下需要再开挖较深的电梯井、集水井大型承台等深坑时，应验算“坑中坑”对基坑安全的影响；尤其当基坑底为软土时，基坑深度应充分考虑“坑中坑”最低开挖面的影响和被动区抗力稳定性问题。</w:t>
      </w:r>
    </w:p>
    <w:p>
      <w:pPr>
        <w:adjustRightInd w:val="0"/>
        <w:snapToGrid w:val="0"/>
        <w:spacing w:line="360" w:lineRule="auto"/>
        <w:rPr>
          <w:rFonts w:asciiTheme="minorEastAsia" w:hAnsiTheme="minorEastAsia" w:eastAsiaTheme="minorEastAsia" w:cstheme="minorEastAsia"/>
          <w:b/>
          <w:color w:val="000000" w:themeColor="text1"/>
          <w:kern w:val="0"/>
          <w:sz w:val="28"/>
          <w:szCs w:val="28"/>
        </w:rPr>
      </w:pPr>
      <w:r>
        <w:rPr>
          <w:rFonts w:hint="eastAsia" w:asciiTheme="minorEastAsia" w:hAnsiTheme="minorEastAsia" w:eastAsiaTheme="minorEastAsia" w:cstheme="minorEastAsia"/>
          <w:b/>
          <w:bCs/>
          <w:color w:val="000000" w:themeColor="text1"/>
          <w:kern w:val="0"/>
          <w:sz w:val="28"/>
          <w:szCs w:val="28"/>
        </w:rPr>
        <w:t>9.3.6</w:t>
      </w:r>
      <w:r>
        <w:rPr>
          <w:rFonts w:hint="eastAsia" w:asciiTheme="minorEastAsia" w:hAnsiTheme="minorEastAsia" w:eastAsiaTheme="minorEastAsia" w:cstheme="minorEastAsia"/>
          <w:b/>
          <w:color w:val="000000" w:themeColor="text1"/>
          <w:kern w:val="0"/>
          <w:sz w:val="28"/>
          <w:szCs w:val="28"/>
        </w:rPr>
        <w:t xml:space="preserve"> </w:t>
      </w:r>
      <w:r>
        <w:rPr>
          <w:rFonts w:hint="eastAsia" w:asciiTheme="minorEastAsia" w:hAnsiTheme="minorEastAsia" w:eastAsiaTheme="minorEastAsia" w:cstheme="minorEastAsia"/>
          <w:bCs/>
          <w:color w:val="000000" w:themeColor="text1"/>
          <w:kern w:val="0"/>
          <w:sz w:val="28"/>
          <w:szCs w:val="28"/>
        </w:rPr>
        <w:t>基坑工程设计，应提出有效管控地下水影响的措施。</w:t>
      </w:r>
    </w:p>
    <w:p>
      <w:pPr>
        <w:adjustRightInd w:val="0"/>
        <w:snapToGrid w:val="0"/>
        <w:spacing w:line="360" w:lineRule="auto"/>
        <w:rPr>
          <w:rFonts w:ascii="微软雅黑" w:hAnsi="微软雅黑" w:eastAsia="微软雅黑" w:cs="微软雅黑"/>
          <w:sz w:val="28"/>
          <w:szCs w:val="28"/>
        </w:rPr>
      </w:pPr>
      <w:r>
        <w:rPr>
          <w:rFonts w:hint="eastAsia" w:ascii="微软雅黑" w:hAnsi="微软雅黑" w:eastAsia="微软雅黑" w:cs="微软雅黑"/>
          <w:sz w:val="28"/>
          <w:szCs w:val="28"/>
        </w:rPr>
        <w:t>【条文说明】</w:t>
      </w:r>
      <w:r>
        <w:rPr>
          <w:rFonts w:hint="eastAsia" w:ascii="微软雅黑" w:hAnsi="微软雅黑" w:eastAsia="微软雅黑" w:cs="微软雅黑"/>
          <w:b/>
          <w:bCs/>
          <w:sz w:val="28"/>
          <w:szCs w:val="28"/>
        </w:rPr>
        <w:t>9.3.6</w:t>
      </w:r>
      <w:r>
        <w:rPr>
          <w:rFonts w:hint="eastAsia" w:ascii="微软雅黑" w:hAnsi="微软雅黑" w:eastAsia="微软雅黑" w:cs="微软雅黑"/>
          <w:sz w:val="28"/>
          <w:szCs w:val="28"/>
        </w:rPr>
        <w:t>地下水对基坑工程的安全及基坑周围环境的影响很大，如果控制不好，会给基坑工程和周围环境带来严重危害。故本条提出本要求。地下水控制方法应根据场地工程地质、水文地质和周边环境条件，并结合基坑支护和基础施工方案综合分析、确定。常用方法有下列四种：基坑内排水、基坑外隔水、基坑降水和回灌。</w:t>
      </w:r>
    </w:p>
    <w:p>
      <w:pPr>
        <w:adjustRightInd w:val="0"/>
        <w:snapToGrid w:val="0"/>
        <w:spacing w:line="360" w:lineRule="auto"/>
        <w:rPr>
          <w:rFonts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b/>
          <w:bCs/>
          <w:color w:val="000000" w:themeColor="text1"/>
          <w:kern w:val="0"/>
          <w:sz w:val="28"/>
          <w:szCs w:val="28"/>
        </w:rPr>
        <w:t xml:space="preserve">9.3.7 </w:t>
      </w:r>
      <w:r>
        <w:rPr>
          <w:rFonts w:hint="eastAsia" w:asciiTheme="minorEastAsia" w:hAnsiTheme="minorEastAsia" w:eastAsiaTheme="minorEastAsia" w:cstheme="minorEastAsia"/>
          <w:color w:val="000000" w:themeColor="text1"/>
          <w:kern w:val="0"/>
          <w:sz w:val="28"/>
          <w:szCs w:val="28"/>
        </w:rPr>
        <w:t>基坑设计和施工应密切配合。</w:t>
      </w:r>
    </w:p>
    <w:p>
      <w:pPr>
        <w:adjustRightInd w:val="0"/>
        <w:snapToGrid w:val="0"/>
        <w:spacing w:line="360" w:lineRule="auto"/>
        <w:rPr>
          <w:rFonts w:ascii="微软雅黑" w:hAnsi="微软雅黑" w:eastAsia="微软雅黑" w:cs="微软雅黑"/>
          <w:sz w:val="28"/>
          <w:szCs w:val="28"/>
        </w:rPr>
      </w:pPr>
      <w:r>
        <w:rPr>
          <w:rFonts w:hint="eastAsia" w:ascii="微软雅黑" w:hAnsi="微软雅黑" w:eastAsia="微软雅黑" w:cs="微软雅黑"/>
          <w:sz w:val="28"/>
          <w:szCs w:val="28"/>
        </w:rPr>
        <w:t>【条文说明】</w:t>
      </w:r>
      <w:r>
        <w:rPr>
          <w:rFonts w:hint="eastAsia" w:ascii="微软雅黑" w:hAnsi="微软雅黑" w:eastAsia="微软雅黑" w:cs="微软雅黑"/>
          <w:b/>
          <w:bCs/>
          <w:sz w:val="28"/>
          <w:szCs w:val="28"/>
        </w:rPr>
        <w:t>9.3.7</w:t>
      </w:r>
      <w:r>
        <w:rPr>
          <w:rFonts w:hint="eastAsia" w:ascii="微软雅黑" w:hAnsi="微软雅黑" w:eastAsia="微软雅黑" w:cs="微软雅黑"/>
          <w:sz w:val="28"/>
          <w:szCs w:val="28"/>
        </w:rPr>
        <w:t>根据《深圳市深基坑管理规定》第十七条，“深基坑施工图应当包括下列内容：深基坑工程安全等级，深基坑工程设计使用年限，支护结构设计，监测要求，支护结构及相邻设施变形预警值和控制值，相邻设施保护措施，深基坑周边地面允许荷载，深基坑内外地表水排放系统，地下水位控制，支护结构施工，土方开挖，基本试验和检测，应急措施等”。基坑施工过程中发现的问题及有关监测信息,应实时反馈设计单位；设计单位应及时处理，并可以调整后续施工方案。</w:t>
      </w:r>
    </w:p>
    <w:p>
      <w:pPr>
        <w:widowControl/>
        <w:spacing w:line="360" w:lineRule="auto"/>
        <w:jc w:val="left"/>
        <w:rPr>
          <w:rFonts w:cstheme="minorEastAsia"/>
          <w:color w:val="000000" w:themeColor="text1"/>
          <w:sz w:val="28"/>
          <w:szCs w:val="28"/>
        </w:rPr>
      </w:pPr>
      <w:r>
        <w:rPr>
          <w:rFonts w:hint="eastAsia" w:cstheme="minorEastAsia"/>
          <w:color w:val="000000" w:themeColor="text1"/>
          <w:kern w:val="0"/>
          <w:sz w:val="28"/>
          <w:szCs w:val="28"/>
        </w:rPr>
        <w:t xml:space="preserve">9.3.8 </w:t>
      </w:r>
      <w:r>
        <w:rPr>
          <w:rFonts w:hint="eastAsia" w:cstheme="minorEastAsia"/>
          <w:color w:val="000000" w:themeColor="text1"/>
          <w:sz w:val="28"/>
          <w:szCs w:val="28"/>
        </w:rPr>
        <w:t>基坑监测内容应根据基坑支护安全等级、设计要求、支护结构形式、变形控制、施工工艺和周边环境保护要求等因素确定。</w:t>
      </w:r>
    </w:p>
    <w:p>
      <w:pPr>
        <w:adjustRightInd w:val="0"/>
        <w:snapToGrid w:val="0"/>
        <w:spacing w:line="360" w:lineRule="auto"/>
        <w:rPr>
          <w:rFonts w:ascii="微软雅黑" w:hAnsi="微软雅黑" w:eastAsia="微软雅黑" w:cs="微软雅黑"/>
          <w:sz w:val="28"/>
          <w:szCs w:val="28"/>
        </w:rPr>
      </w:pPr>
      <w:r>
        <w:rPr>
          <w:rFonts w:hint="eastAsia" w:ascii="微软雅黑" w:hAnsi="微软雅黑" w:eastAsia="微软雅黑" w:cs="微软雅黑"/>
          <w:sz w:val="28"/>
          <w:szCs w:val="28"/>
        </w:rPr>
        <w:t>【条文说明】9.3.8 基坑监测内容，具体可执行现行《深圳市基坑支护技术规范》SJG 05。</w:t>
      </w:r>
    </w:p>
    <w:p>
      <w:pPr>
        <w:adjustRightInd w:val="0"/>
        <w:snapToGrid w:val="0"/>
        <w:spacing w:line="360" w:lineRule="auto"/>
        <w:rPr>
          <w:rFonts w:asciiTheme="minorEastAsia" w:hAnsiTheme="minorEastAsia" w:eastAsiaTheme="minorEastAsia" w:cstheme="minorEastAsia"/>
          <w:b/>
          <w:color w:val="000000" w:themeColor="text1"/>
          <w:kern w:val="0"/>
          <w:sz w:val="28"/>
          <w:szCs w:val="28"/>
        </w:rPr>
      </w:pPr>
      <w:r>
        <w:rPr>
          <w:rFonts w:hint="eastAsia" w:asciiTheme="minorEastAsia" w:hAnsiTheme="minorEastAsia" w:eastAsiaTheme="minorEastAsia" w:cstheme="minorEastAsia"/>
          <w:b/>
          <w:color w:val="000000" w:themeColor="text1"/>
          <w:sz w:val="28"/>
          <w:szCs w:val="28"/>
        </w:rPr>
        <w:t xml:space="preserve">9.3.9 </w:t>
      </w:r>
      <w:r>
        <w:rPr>
          <w:rFonts w:hint="eastAsia" w:asciiTheme="minorEastAsia" w:hAnsiTheme="minorEastAsia" w:eastAsiaTheme="minorEastAsia" w:cstheme="minorEastAsia"/>
          <w:bCs/>
          <w:color w:val="000000" w:themeColor="text1"/>
          <w:sz w:val="28"/>
          <w:szCs w:val="28"/>
        </w:rPr>
        <w:t>深度大于20m或周边环境复杂的基坑工程，应设置自动化监测系统。</w:t>
      </w:r>
    </w:p>
    <w:p>
      <w:pPr>
        <w:pStyle w:val="3"/>
        <w:rPr>
          <w:color w:val="000000" w:themeColor="text1"/>
          <w:kern w:val="0"/>
        </w:rPr>
      </w:pPr>
      <w:bookmarkStart w:id="124" w:name="_Toc27427"/>
      <w:r>
        <w:rPr>
          <w:rFonts w:hint="eastAsia"/>
          <w:color w:val="000000" w:themeColor="text1"/>
        </w:rPr>
        <w:t>9.4填海及软基工程</w:t>
      </w:r>
      <w:bookmarkEnd w:id="124"/>
    </w:p>
    <w:p>
      <w:pPr>
        <w:adjustRightInd w:val="0"/>
        <w:snapToGrid w:val="0"/>
        <w:spacing w:line="360" w:lineRule="auto"/>
        <w:rPr>
          <w:rFonts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
          <w:bCs/>
          <w:color w:val="000000" w:themeColor="text1"/>
          <w:sz w:val="28"/>
          <w:szCs w:val="28"/>
          <w:lang w:bidi="en-US"/>
        </w:rPr>
        <w:t>9.4.1</w:t>
      </w:r>
      <w:r>
        <w:rPr>
          <w:rFonts w:hint="eastAsia" w:asciiTheme="minorEastAsia" w:hAnsiTheme="minorEastAsia" w:eastAsiaTheme="minorEastAsia" w:cstheme="minorEastAsia"/>
          <w:bCs/>
          <w:color w:val="000000" w:themeColor="text1"/>
          <w:sz w:val="28"/>
          <w:szCs w:val="28"/>
        </w:rPr>
        <w:t>海域或滨海滩涂地带进行填海开发利用前，应进行填筑设计。</w:t>
      </w:r>
    </w:p>
    <w:p>
      <w:pPr>
        <w:adjustRightInd w:val="0"/>
        <w:snapToGrid w:val="0"/>
        <w:spacing w:line="360" w:lineRule="auto"/>
        <w:rPr>
          <w:rFonts w:ascii="微软雅黑" w:hAnsi="微软雅黑" w:eastAsia="微软雅黑" w:cs="微软雅黑"/>
          <w:sz w:val="28"/>
          <w:szCs w:val="28"/>
        </w:rPr>
      </w:pPr>
      <w:r>
        <w:rPr>
          <w:rFonts w:hint="eastAsia" w:ascii="微软雅黑" w:hAnsi="微软雅黑" w:eastAsia="微软雅黑" w:cs="微软雅黑"/>
          <w:sz w:val="28"/>
          <w:szCs w:val="28"/>
        </w:rPr>
        <w:t>【条文说明】</w:t>
      </w:r>
      <w:r>
        <w:rPr>
          <w:rFonts w:hint="eastAsia" w:ascii="微软雅黑" w:hAnsi="微软雅黑" w:eastAsia="微软雅黑" w:cs="微软雅黑"/>
          <w:b/>
          <w:bCs/>
          <w:sz w:val="28"/>
          <w:szCs w:val="28"/>
        </w:rPr>
        <w:t xml:space="preserve">9.4.1 </w:t>
      </w:r>
      <w:r>
        <w:rPr>
          <w:rFonts w:hint="eastAsia" w:ascii="微软雅黑" w:hAnsi="微软雅黑" w:eastAsia="微软雅黑" w:cs="微软雅黑"/>
          <w:sz w:val="28"/>
          <w:szCs w:val="28"/>
        </w:rPr>
        <w:t>所称填筑设计，即综合考虑填海场地用途、海洋水文条件及气象条件、工程地质、地形地貌、地域环境、材料和施工条件等因素，以及滨海岸线生态环境协调及保护、填海造陆区域后续开发建设需要，确定填筑设计方案。</w:t>
      </w:r>
    </w:p>
    <w:p>
      <w:pPr>
        <w:adjustRightInd w:val="0"/>
        <w:snapToGrid w:val="0"/>
        <w:spacing w:line="360" w:lineRule="auto"/>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b/>
          <w:bCs/>
          <w:color w:val="000000" w:themeColor="text1"/>
          <w:sz w:val="28"/>
          <w:szCs w:val="28"/>
          <w:lang w:bidi="en-US"/>
        </w:rPr>
        <w:t xml:space="preserve">9.4.2 </w:t>
      </w:r>
      <w:r>
        <w:rPr>
          <w:rFonts w:hint="eastAsia" w:asciiTheme="minorEastAsia" w:hAnsiTheme="minorEastAsia" w:eastAsiaTheme="minorEastAsia" w:cstheme="minorEastAsia"/>
          <w:color w:val="000000" w:themeColor="text1"/>
          <w:sz w:val="28"/>
          <w:szCs w:val="28"/>
        </w:rPr>
        <w:t>填海场地的设计地面标高，应根据规划使用、防洪防潮、场地排水、填筑方法和填筑材料等因素综合确定。填海场地交工面尚应考虑地面临时排水的要求。</w:t>
      </w:r>
    </w:p>
    <w:p>
      <w:pPr>
        <w:adjustRightInd w:val="0"/>
        <w:snapToGrid w:val="0"/>
        <w:spacing w:line="360" w:lineRule="auto"/>
        <w:rPr>
          <w:rFonts w:asciiTheme="minorEastAsia" w:hAnsiTheme="minorEastAsia" w:eastAsiaTheme="minorEastAsia" w:cstheme="minorEastAsia"/>
          <w:color w:val="000000" w:themeColor="text1"/>
          <w:sz w:val="28"/>
          <w:szCs w:val="28"/>
          <w:lang w:bidi="en-US"/>
        </w:rPr>
      </w:pPr>
      <w:r>
        <w:rPr>
          <w:rFonts w:hint="eastAsia" w:asciiTheme="minorEastAsia" w:hAnsiTheme="minorEastAsia" w:eastAsiaTheme="minorEastAsia" w:cstheme="minorEastAsia"/>
          <w:b/>
          <w:bCs/>
          <w:color w:val="000000" w:themeColor="text1"/>
          <w:sz w:val="28"/>
          <w:szCs w:val="28"/>
          <w:lang w:bidi="en-US"/>
        </w:rPr>
        <w:t>9.4.3</w:t>
      </w:r>
      <w:r>
        <w:rPr>
          <w:rFonts w:hint="eastAsia" w:asciiTheme="minorEastAsia" w:hAnsiTheme="minorEastAsia" w:eastAsiaTheme="minorEastAsia" w:cstheme="minorEastAsia"/>
          <w:color w:val="000000" w:themeColor="text1"/>
          <w:sz w:val="28"/>
          <w:szCs w:val="28"/>
          <w:lang w:bidi="en-US"/>
        </w:rPr>
        <w:t xml:space="preserve"> 填海</w:t>
      </w:r>
      <w:r>
        <w:rPr>
          <w:rFonts w:hint="eastAsia" w:asciiTheme="minorEastAsia" w:hAnsiTheme="minorEastAsia" w:eastAsiaTheme="minorEastAsia" w:cstheme="minorEastAsia"/>
          <w:color w:val="000000" w:themeColor="text1"/>
          <w:sz w:val="28"/>
          <w:szCs w:val="28"/>
        </w:rPr>
        <w:t>场地</w:t>
      </w:r>
      <w:r>
        <w:rPr>
          <w:rFonts w:hint="eastAsia" w:asciiTheme="minorEastAsia" w:hAnsiTheme="minorEastAsia" w:eastAsiaTheme="minorEastAsia" w:cstheme="minorEastAsia"/>
          <w:color w:val="000000" w:themeColor="text1"/>
          <w:sz w:val="28"/>
          <w:szCs w:val="28"/>
          <w:lang w:bidi="en-US"/>
        </w:rPr>
        <w:t>在选择地基处理设计方案时，应考虑建（构）筑物上部结构、基础和地基的共同作用。</w:t>
      </w:r>
    </w:p>
    <w:p>
      <w:pPr>
        <w:adjustRightInd w:val="0"/>
        <w:snapToGrid w:val="0"/>
        <w:spacing w:line="360" w:lineRule="auto"/>
        <w:rPr>
          <w:rFonts w:ascii="微软雅黑" w:hAnsi="微软雅黑" w:eastAsia="微软雅黑" w:cs="微软雅黑"/>
          <w:sz w:val="28"/>
          <w:szCs w:val="28"/>
        </w:rPr>
      </w:pPr>
      <w:r>
        <w:rPr>
          <w:rFonts w:hint="eastAsia" w:ascii="微软雅黑" w:hAnsi="微软雅黑" w:eastAsia="微软雅黑" w:cs="微软雅黑"/>
          <w:sz w:val="28"/>
          <w:szCs w:val="28"/>
        </w:rPr>
        <w:t>【条文说明】</w:t>
      </w:r>
      <w:r>
        <w:rPr>
          <w:rFonts w:hint="eastAsia" w:ascii="微软雅黑" w:hAnsi="微软雅黑" w:eastAsia="微软雅黑" w:cs="微软雅黑"/>
          <w:b/>
          <w:bCs/>
          <w:sz w:val="28"/>
          <w:szCs w:val="28"/>
        </w:rPr>
        <w:t>9.4.3</w:t>
      </w:r>
      <w:r>
        <w:rPr>
          <w:rFonts w:hint="eastAsia" w:ascii="微软雅黑" w:hAnsi="微软雅黑" w:eastAsia="微软雅黑" w:cs="微软雅黑"/>
          <w:sz w:val="28"/>
          <w:szCs w:val="28"/>
        </w:rPr>
        <w:t>工程实践证明,在填海场地等软土地基上,采用加强建筑（构）物上部结构刚度和强度的方法，可以有效减少地基不均匀沉降,能取得良好的技术经济效果,因此在选择地基处理方案时,应同时考虑工程上部结构、基础类型及其与地基的共同作用，优先选用加强上部结构和基础结构类型与地基处理相结合的方案。</w:t>
      </w:r>
    </w:p>
    <w:p>
      <w:pPr>
        <w:adjustRightInd w:val="0"/>
        <w:snapToGrid w:val="0"/>
        <w:spacing w:line="360" w:lineRule="auto"/>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b/>
          <w:bCs/>
          <w:color w:val="000000" w:themeColor="text1"/>
          <w:sz w:val="28"/>
          <w:szCs w:val="28"/>
          <w:lang w:bidi="en-US"/>
        </w:rPr>
        <w:t xml:space="preserve">9.4.4 </w:t>
      </w:r>
      <w:r>
        <w:rPr>
          <w:rFonts w:hint="eastAsia" w:asciiTheme="minorEastAsia" w:hAnsiTheme="minorEastAsia" w:eastAsiaTheme="minorEastAsia" w:cstheme="minorEastAsia"/>
          <w:color w:val="000000" w:themeColor="text1"/>
          <w:sz w:val="28"/>
          <w:szCs w:val="28"/>
        </w:rPr>
        <w:t>填海场地软基处理方案应根据场地用途、地基处理技术标准，结合工期要求和造价等要素，通过比选确定。对于大面积淤泥或淤泥质土等软基，处理方案宜优先考虑排水固结法。</w:t>
      </w:r>
    </w:p>
    <w:p>
      <w:pPr>
        <w:adjustRightInd w:val="0"/>
        <w:snapToGrid w:val="0"/>
        <w:spacing w:line="360" w:lineRule="auto"/>
        <w:rPr>
          <w:rFonts w:asciiTheme="minorEastAsia" w:hAnsiTheme="minorEastAsia" w:eastAsiaTheme="minorEastAsia" w:cstheme="minorEastAsia"/>
          <w:color w:val="00B050"/>
          <w:sz w:val="28"/>
          <w:szCs w:val="28"/>
        </w:rPr>
      </w:pPr>
      <w:r>
        <w:rPr>
          <w:rFonts w:hint="eastAsia" w:ascii="微软雅黑" w:hAnsi="微软雅黑" w:eastAsia="微软雅黑" w:cs="微软雅黑"/>
          <w:sz w:val="28"/>
          <w:szCs w:val="28"/>
        </w:rPr>
        <w:t>【条文说明】9.4.4 各种软基处理方法都有其适用的自然及社会条件。因此，在软基处理方案选择阶段，应根据场地用途、地基处理技术标准，结合工期要求、造价等要素，初步遴选几种可行软基处理方案，并进行技术、经济、安全、工期等要素比较分析，从中选出最佳方案。与其他方法相比，在工期相对宽松的条件下，排水固结法作为经济合理的软基处理方法，已在深圳很多填海工程中使用，宜优先采用。当然，填海场地软基处理方案也可视具体情况，选用换填垫层法、强夯法、强夯置换法、注浆法和复合地基法等处理方法。其中，复合地基法一般包括水泥土搅拌法、砂石桩法、刚性桩法、桩网法和高压喷射注浆法等。</w:t>
      </w:r>
    </w:p>
    <w:p>
      <w:pPr>
        <w:adjustRightInd w:val="0"/>
        <w:snapToGrid w:val="0"/>
        <w:spacing w:line="360" w:lineRule="auto"/>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b/>
          <w:bCs/>
          <w:color w:val="000000" w:themeColor="text1"/>
          <w:sz w:val="28"/>
          <w:szCs w:val="28"/>
          <w:lang w:bidi="en-US"/>
        </w:rPr>
        <w:t xml:space="preserve">9.4.5 </w:t>
      </w:r>
      <w:r>
        <w:rPr>
          <w:rFonts w:hint="eastAsia" w:asciiTheme="minorEastAsia" w:hAnsiTheme="minorEastAsia" w:eastAsiaTheme="minorEastAsia" w:cstheme="minorEastAsia"/>
          <w:color w:val="000000" w:themeColor="text1"/>
          <w:sz w:val="28"/>
          <w:szCs w:val="28"/>
          <w:lang w:bidi="en-US"/>
        </w:rPr>
        <w:t>填海场地</w:t>
      </w:r>
      <w:r>
        <w:rPr>
          <w:rFonts w:hint="eastAsia" w:asciiTheme="minorEastAsia" w:hAnsiTheme="minorEastAsia" w:eastAsiaTheme="minorEastAsia" w:cstheme="minorEastAsia"/>
          <w:color w:val="000000" w:themeColor="text1"/>
          <w:sz w:val="28"/>
          <w:szCs w:val="28"/>
        </w:rPr>
        <w:t>地基处理设计措施，应符合下列要求：工后沉降、差异沉降和沉降速率；承载力；加固土体强度指标；环保和景观等有关要求。</w:t>
      </w:r>
    </w:p>
    <w:p>
      <w:pPr>
        <w:pStyle w:val="3"/>
        <w:rPr>
          <w:color w:val="000000" w:themeColor="text1"/>
        </w:rPr>
      </w:pPr>
      <w:bookmarkStart w:id="125" w:name="_TOC_250008"/>
      <w:bookmarkEnd w:id="125"/>
      <w:bookmarkStart w:id="126" w:name="_Toc6697"/>
      <w:r>
        <w:rPr>
          <w:rFonts w:hint="eastAsia"/>
          <w:color w:val="000000" w:themeColor="text1"/>
        </w:rPr>
        <w:t>9.5岩溶及采空区治理工程</w:t>
      </w:r>
      <w:bookmarkEnd w:id="126"/>
    </w:p>
    <w:p>
      <w:pPr>
        <w:adjustRightInd w:val="0"/>
        <w:snapToGrid w:val="0"/>
        <w:spacing w:line="360" w:lineRule="auto"/>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b/>
          <w:bCs/>
          <w:color w:val="000000" w:themeColor="text1"/>
          <w:sz w:val="28"/>
          <w:szCs w:val="28"/>
        </w:rPr>
        <w:t xml:space="preserve">9.5.1 </w:t>
      </w:r>
      <w:r>
        <w:rPr>
          <w:rFonts w:hint="eastAsia" w:asciiTheme="minorEastAsia" w:hAnsiTheme="minorEastAsia" w:eastAsiaTheme="minorEastAsia" w:cstheme="minorEastAsia"/>
          <w:bCs/>
          <w:color w:val="000000" w:themeColor="text1"/>
          <w:sz w:val="28"/>
          <w:szCs w:val="28"/>
        </w:rPr>
        <w:t>岩溶地区建筑地基基础设计，可因地制宜，采用无筋扩展基础、扩展基础、柱下条形基础、岩石锚杆基础、筏形基础和桩基础等类型。</w:t>
      </w:r>
    </w:p>
    <w:p>
      <w:pPr>
        <w:adjustRightInd w:val="0"/>
        <w:snapToGrid w:val="0"/>
        <w:spacing w:line="360" w:lineRule="auto"/>
        <w:rPr>
          <w:rFonts w:ascii="微软雅黑" w:hAnsi="微软雅黑" w:eastAsia="微软雅黑" w:cs="微软雅黑"/>
          <w:sz w:val="28"/>
          <w:szCs w:val="28"/>
        </w:rPr>
      </w:pPr>
      <w:r>
        <w:rPr>
          <w:rFonts w:hint="eastAsia" w:ascii="微软雅黑" w:hAnsi="微软雅黑" w:eastAsia="微软雅黑" w:cs="微软雅黑"/>
          <w:sz w:val="28"/>
          <w:szCs w:val="28"/>
        </w:rPr>
        <w:t>【条文说明】</w:t>
      </w:r>
      <w:r>
        <w:rPr>
          <w:rFonts w:hint="eastAsia" w:ascii="微软雅黑" w:hAnsi="微软雅黑" w:eastAsia="微软雅黑" w:cs="微软雅黑"/>
          <w:b/>
          <w:bCs/>
          <w:sz w:val="28"/>
          <w:szCs w:val="28"/>
        </w:rPr>
        <w:t>9.5.1</w:t>
      </w:r>
      <w:r>
        <w:rPr>
          <w:rFonts w:hint="eastAsia" w:ascii="微软雅黑" w:hAnsi="微软雅黑" w:eastAsia="微软雅黑" w:cs="微软雅黑"/>
          <w:sz w:val="28"/>
          <w:szCs w:val="28"/>
        </w:rPr>
        <w:t>岩溶地区建筑地基基础设计之前，应进行岩土工程勘察与评价，综合考虑工程结构类型、材料与施工条件等因素。</w:t>
      </w:r>
    </w:p>
    <w:p>
      <w:pPr>
        <w:adjustRightInd w:val="0"/>
        <w:snapToGrid w:val="0"/>
        <w:spacing w:line="360" w:lineRule="auto"/>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b/>
          <w:bCs/>
          <w:color w:val="000000" w:themeColor="text1"/>
          <w:sz w:val="28"/>
          <w:szCs w:val="28"/>
        </w:rPr>
        <w:t xml:space="preserve">9.5.2 </w:t>
      </w:r>
      <w:r>
        <w:rPr>
          <w:rFonts w:hint="eastAsia" w:asciiTheme="minorEastAsia" w:hAnsiTheme="minorEastAsia" w:eastAsiaTheme="minorEastAsia" w:cstheme="minorEastAsia"/>
          <w:color w:val="000000" w:themeColor="text1"/>
          <w:sz w:val="28"/>
          <w:szCs w:val="28"/>
        </w:rPr>
        <w:t>岩溶地基基础设计应符合下列规定：</w:t>
      </w:r>
    </w:p>
    <w:p>
      <w:pPr>
        <w:adjustRightInd w:val="0"/>
        <w:snapToGrid w:val="0"/>
        <w:spacing w:line="360" w:lineRule="auto"/>
        <w:ind w:firstLine="562" w:firstLineChars="200"/>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b/>
          <w:color w:val="000000" w:themeColor="text1"/>
          <w:sz w:val="28"/>
          <w:szCs w:val="28"/>
        </w:rPr>
        <w:t>1</w:t>
      </w:r>
      <w:r>
        <w:rPr>
          <w:rFonts w:hint="eastAsia" w:asciiTheme="minorEastAsia" w:hAnsiTheme="minorEastAsia" w:eastAsiaTheme="minorEastAsia" w:cstheme="minorEastAsia"/>
          <w:color w:val="000000" w:themeColor="text1"/>
          <w:sz w:val="28"/>
          <w:szCs w:val="28"/>
        </w:rPr>
        <w:t>应根据岩溶裂隙、溶蚀、溶洞、土洞等发育条件和发育程度，对基础选型进行论证；</w:t>
      </w:r>
    </w:p>
    <w:p>
      <w:pPr>
        <w:adjustRightInd w:val="0"/>
        <w:snapToGrid w:val="0"/>
        <w:spacing w:line="360" w:lineRule="auto"/>
        <w:ind w:firstLine="562" w:firstLineChars="200"/>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b/>
          <w:color w:val="000000" w:themeColor="text1"/>
          <w:sz w:val="28"/>
          <w:szCs w:val="28"/>
        </w:rPr>
        <w:t>2</w:t>
      </w:r>
      <w:r>
        <w:rPr>
          <w:rFonts w:hint="eastAsia" w:asciiTheme="minorEastAsia" w:hAnsiTheme="minorEastAsia" w:eastAsiaTheme="minorEastAsia" w:cstheme="minorEastAsia"/>
          <w:color w:val="000000" w:themeColor="text1"/>
          <w:sz w:val="28"/>
          <w:szCs w:val="28"/>
        </w:rPr>
        <w:t>当岩溶上部覆盖土层较厚时，宜利用上部覆土层作为建(构)筑物的天然地基；天然地基不能满足要求的，可采用复合地基或桩基；</w:t>
      </w:r>
    </w:p>
    <w:p>
      <w:pPr>
        <w:adjustRightInd w:val="0"/>
        <w:snapToGrid w:val="0"/>
        <w:spacing w:line="360" w:lineRule="auto"/>
        <w:ind w:firstLine="562" w:firstLineChars="200"/>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3</w:t>
      </w:r>
      <w:r>
        <w:rPr>
          <w:rFonts w:hint="eastAsia" w:asciiTheme="minorEastAsia" w:hAnsiTheme="minorEastAsia" w:eastAsiaTheme="minorEastAsia" w:cstheme="minorEastAsia"/>
          <w:bCs/>
          <w:color w:val="000000" w:themeColor="text1"/>
          <w:sz w:val="28"/>
          <w:szCs w:val="28"/>
        </w:rPr>
        <w:t>当桩端以下3倍桩径及5m深度范围内为完整或较完整岩层时，可利用溶洞顶板作为基桩持力层，并应对顶板进行强度计算和稳定性验算；当溶洞顶板不能作为基桩持力层时，桩端应进入至强度和稳定性符合要求的岩层，或对溶洞进行处理；</w:t>
      </w:r>
    </w:p>
    <w:p>
      <w:pPr>
        <w:adjustRightInd w:val="0"/>
        <w:snapToGrid w:val="0"/>
        <w:spacing w:line="360" w:lineRule="auto"/>
        <w:ind w:firstLine="562" w:firstLineChars="200"/>
        <w:rPr>
          <w:rFonts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
          <w:color w:val="000000" w:themeColor="text1"/>
          <w:sz w:val="28"/>
          <w:szCs w:val="28"/>
        </w:rPr>
        <w:t>4</w:t>
      </w:r>
      <w:r>
        <w:rPr>
          <w:rFonts w:hint="eastAsia" w:asciiTheme="minorEastAsia" w:hAnsiTheme="minorEastAsia" w:eastAsiaTheme="minorEastAsia" w:cstheme="minorEastAsia"/>
          <w:bCs/>
          <w:color w:val="000000" w:themeColor="text1"/>
          <w:sz w:val="28"/>
          <w:szCs w:val="28"/>
        </w:rPr>
        <w:t>位于溶洞顶(隔)板岩体之间的基桩，应进行桩身压稳定性验算；</w:t>
      </w:r>
    </w:p>
    <w:p>
      <w:pPr>
        <w:adjustRightInd w:val="0"/>
        <w:snapToGrid w:val="0"/>
        <w:spacing w:line="360" w:lineRule="auto"/>
        <w:ind w:firstLine="562" w:firstLineChars="200"/>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5</w:t>
      </w:r>
      <w:r>
        <w:rPr>
          <w:rFonts w:hint="eastAsia" w:asciiTheme="minorEastAsia" w:hAnsiTheme="minorEastAsia" w:eastAsiaTheme="minorEastAsia" w:cstheme="minorEastAsia"/>
          <w:bCs/>
          <w:color w:val="000000" w:themeColor="text1"/>
          <w:sz w:val="28"/>
          <w:szCs w:val="28"/>
        </w:rPr>
        <w:t>基桩竖向承载力计算时，不宜计入溶洞顶(隔)板和洞内天然充填物产生的桩身侧阻力。当溶洞顶(隔)板岩体的基本质量等级为I级或Ⅱ级且厚度大于2m时，可将溶洞顶(隔)板产生桩身侧阻力乘以0.75的系数；</w:t>
      </w:r>
    </w:p>
    <w:p>
      <w:pPr>
        <w:adjustRightInd w:val="0"/>
        <w:snapToGrid w:val="0"/>
        <w:spacing w:line="360" w:lineRule="auto"/>
        <w:ind w:firstLine="562" w:firstLineChars="200"/>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6</w:t>
      </w:r>
      <w:r>
        <w:rPr>
          <w:rFonts w:hint="eastAsia" w:asciiTheme="minorEastAsia" w:hAnsiTheme="minorEastAsia" w:eastAsiaTheme="minorEastAsia" w:cstheme="minorEastAsia"/>
          <w:bCs/>
          <w:color w:val="000000" w:themeColor="text1"/>
          <w:sz w:val="28"/>
          <w:szCs w:val="28"/>
        </w:rPr>
        <w:t>对于完整或较完整的坚硬岩、较硬岩地基，洞体较小，基础底面尺寸大于溶洞的平面尺寸，并有足够的支承长度，顶板岩石厚度大于或等于溶洞的跨度时，可不考虑岩溶对地基稳定性的影响；不符合以上要求时，应进行洞体稳定性分析。</w:t>
      </w:r>
    </w:p>
    <w:p>
      <w:pPr>
        <w:adjustRightInd w:val="0"/>
        <w:snapToGrid w:val="0"/>
        <w:spacing w:line="360" w:lineRule="auto"/>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b/>
          <w:bCs/>
          <w:color w:val="000000" w:themeColor="text1"/>
          <w:sz w:val="28"/>
          <w:szCs w:val="28"/>
        </w:rPr>
        <w:t xml:space="preserve">9.5.3 </w:t>
      </w:r>
      <w:r>
        <w:rPr>
          <w:rFonts w:hint="eastAsia" w:asciiTheme="minorEastAsia" w:hAnsiTheme="minorEastAsia" w:eastAsiaTheme="minorEastAsia" w:cstheme="minorEastAsia"/>
          <w:color w:val="000000" w:themeColor="text1"/>
          <w:sz w:val="28"/>
          <w:szCs w:val="28"/>
        </w:rPr>
        <w:t>对于评定为稳定及基本稳定的采空区场地，在确定其地基处理设计方案时，应分析可能引起采空区活化的不利因素。</w:t>
      </w:r>
    </w:p>
    <w:p>
      <w:pPr>
        <w:adjustRightInd w:val="0"/>
        <w:snapToGrid w:val="0"/>
        <w:spacing w:line="360" w:lineRule="auto"/>
        <w:rPr>
          <w:rFonts w:ascii="微软雅黑" w:hAnsi="微软雅黑" w:eastAsia="微软雅黑" w:cs="微软雅黑"/>
          <w:sz w:val="28"/>
          <w:szCs w:val="28"/>
        </w:rPr>
      </w:pPr>
      <w:r>
        <w:rPr>
          <w:rFonts w:hint="eastAsia" w:ascii="微软雅黑" w:hAnsi="微软雅黑" w:eastAsia="微软雅黑" w:cs="微软雅黑"/>
          <w:sz w:val="28"/>
          <w:szCs w:val="28"/>
        </w:rPr>
        <w:t>【条文说明】</w:t>
      </w:r>
      <w:r>
        <w:rPr>
          <w:rFonts w:hint="eastAsia" w:ascii="微软雅黑" w:hAnsi="微软雅黑" w:eastAsia="微软雅黑" w:cs="微软雅黑"/>
          <w:b/>
          <w:bCs/>
          <w:sz w:val="28"/>
          <w:szCs w:val="28"/>
        </w:rPr>
        <w:t xml:space="preserve">9.5.3 </w:t>
      </w:r>
      <w:r>
        <w:rPr>
          <w:rFonts w:hint="eastAsia" w:ascii="微软雅黑" w:hAnsi="微软雅黑" w:eastAsia="微软雅黑" w:cs="微软雅黑"/>
          <w:sz w:val="28"/>
          <w:szCs w:val="28"/>
        </w:rPr>
        <w:t>本条所称不利因素系指：非充分采动的采空区及小窑采空区，地下水长期对岩柱、顶底板岩石的软化作用；充分采动采空区垮落、断裂带地下水长期对覆岩的潜蚀、软化作用；地表水经塌陷坑、采动裂缝等长期入渗对采空区的作用；地质构造褶皱、断裂强烈发育的采空区，受邻近矿区采动、爆破振动、地震等作用；充分采空区，因相邻矿区开采的疏排水作用；未充水采空区，因外界因素积水的软化作用；垮落带、断裂带发育且密实程度差的浅层、中深层采空区场地上的附加荷载作用。</w:t>
      </w:r>
    </w:p>
    <w:p>
      <w:pPr>
        <w:adjustRightInd w:val="0"/>
        <w:snapToGrid w:val="0"/>
        <w:spacing w:line="360" w:lineRule="auto"/>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b/>
          <w:bCs/>
          <w:color w:val="000000" w:themeColor="text1"/>
          <w:sz w:val="28"/>
          <w:szCs w:val="28"/>
        </w:rPr>
        <w:t xml:space="preserve">9.5.4 </w:t>
      </w:r>
      <w:r>
        <w:rPr>
          <w:rFonts w:hint="eastAsia" w:asciiTheme="minorEastAsia" w:hAnsiTheme="minorEastAsia" w:eastAsiaTheme="minorEastAsia" w:cstheme="minorEastAsia"/>
          <w:color w:val="000000" w:themeColor="text1"/>
          <w:sz w:val="28"/>
          <w:szCs w:val="28"/>
        </w:rPr>
        <w:t>采空区地基处理设计,应符合下列规定：</w:t>
      </w:r>
    </w:p>
    <w:p>
      <w:pPr>
        <w:adjustRightInd w:val="0"/>
        <w:snapToGrid w:val="0"/>
        <w:spacing w:line="360" w:lineRule="auto"/>
        <w:ind w:firstLine="562" w:firstLineChars="200"/>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b/>
          <w:color w:val="000000" w:themeColor="text1"/>
          <w:sz w:val="28"/>
          <w:szCs w:val="28"/>
        </w:rPr>
        <w:t xml:space="preserve">1 </w:t>
      </w:r>
      <w:r>
        <w:rPr>
          <w:rFonts w:hint="eastAsia" w:asciiTheme="minorEastAsia" w:hAnsiTheme="minorEastAsia" w:eastAsiaTheme="minorEastAsia" w:cstheme="minorEastAsia"/>
          <w:color w:val="000000" w:themeColor="text1"/>
          <w:sz w:val="28"/>
          <w:szCs w:val="28"/>
        </w:rPr>
        <w:t>所有采空区建(构)筑物地基计算，应满足承载力计算的有关规定；</w:t>
      </w:r>
    </w:p>
    <w:p>
      <w:pPr>
        <w:adjustRightInd w:val="0"/>
        <w:snapToGrid w:val="0"/>
        <w:spacing w:line="360" w:lineRule="auto"/>
        <w:ind w:firstLine="562" w:firstLineChars="200"/>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b/>
          <w:color w:val="000000" w:themeColor="text1"/>
          <w:sz w:val="28"/>
          <w:szCs w:val="28"/>
        </w:rPr>
        <w:t xml:space="preserve">2 </w:t>
      </w:r>
      <w:r>
        <w:rPr>
          <w:rFonts w:hint="eastAsia" w:asciiTheme="minorEastAsia" w:hAnsiTheme="minorEastAsia" w:eastAsiaTheme="minorEastAsia" w:cstheme="minorEastAsia"/>
          <w:color w:val="000000" w:themeColor="text1"/>
          <w:sz w:val="28"/>
          <w:szCs w:val="28"/>
        </w:rPr>
        <w:t>采空区建(构)筑物地基变形验算，应分析评价采空区残余变形的影响；</w:t>
      </w:r>
    </w:p>
    <w:p>
      <w:pPr>
        <w:adjustRightInd w:val="0"/>
        <w:snapToGrid w:val="0"/>
        <w:spacing w:line="360" w:lineRule="auto"/>
        <w:ind w:firstLine="562" w:firstLineChars="200"/>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b/>
          <w:color w:val="000000" w:themeColor="text1"/>
          <w:sz w:val="28"/>
          <w:szCs w:val="28"/>
        </w:rPr>
        <w:t xml:space="preserve">3 </w:t>
      </w:r>
      <w:r>
        <w:rPr>
          <w:rFonts w:hint="eastAsia" w:asciiTheme="minorEastAsia" w:hAnsiTheme="minorEastAsia" w:eastAsiaTheme="minorEastAsia" w:cstheme="minorEastAsia"/>
          <w:color w:val="000000" w:themeColor="text1"/>
          <w:sz w:val="28"/>
          <w:szCs w:val="28"/>
        </w:rPr>
        <w:t>对位于斜坡上或边坡附近的采空区建(构)筑物以及受较大水平荷载作用的高层建筑、高耸结构，尚应进行地基稳定性验算。</w:t>
      </w:r>
    </w:p>
    <w:p>
      <w:pPr>
        <w:adjustRightInd w:val="0"/>
        <w:snapToGrid w:val="0"/>
        <w:spacing w:line="360" w:lineRule="auto"/>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b/>
          <w:bCs/>
          <w:color w:val="000000" w:themeColor="text1"/>
          <w:sz w:val="28"/>
          <w:szCs w:val="28"/>
        </w:rPr>
        <w:t xml:space="preserve">9.5.5 </w:t>
      </w:r>
      <w:r>
        <w:rPr>
          <w:rFonts w:hint="eastAsia" w:asciiTheme="minorEastAsia" w:hAnsiTheme="minorEastAsia" w:eastAsiaTheme="minorEastAsia" w:cstheme="minorEastAsia"/>
          <w:color w:val="000000" w:themeColor="text1"/>
          <w:sz w:val="28"/>
          <w:szCs w:val="28"/>
        </w:rPr>
        <w:t>采空区工程治理方法，应根据工程特点、处治目的、地质条件、开采方式、拟建(构)筑物地基条件、施工条件等综合确定。</w:t>
      </w:r>
    </w:p>
    <w:p>
      <w:pPr>
        <w:adjustRightInd w:val="0"/>
        <w:snapToGrid w:val="0"/>
        <w:spacing w:line="360" w:lineRule="auto"/>
        <w:rPr>
          <w:rFonts w:ascii="微软雅黑" w:hAnsi="微软雅黑" w:eastAsia="微软雅黑" w:cs="微软雅黑"/>
          <w:sz w:val="28"/>
          <w:szCs w:val="28"/>
        </w:rPr>
      </w:pPr>
      <w:r>
        <w:rPr>
          <w:rFonts w:hint="eastAsia" w:ascii="微软雅黑" w:hAnsi="微软雅黑" w:eastAsia="微软雅黑" w:cs="微软雅黑"/>
          <w:sz w:val="28"/>
          <w:szCs w:val="28"/>
        </w:rPr>
        <w:t>【条文说明】</w:t>
      </w:r>
      <w:r>
        <w:rPr>
          <w:rFonts w:hint="eastAsia" w:ascii="微软雅黑" w:hAnsi="微软雅黑" w:eastAsia="微软雅黑" w:cs="微软雅黑"/>
          <w:b/>
          <w:bCs/>
          <w:sz w:val="28"/>
          <w:szCs w:val="28"/>
        </w:rPr>
        <w:t>9.5.5</w:t>
      </w:r>
      <w:r>
        <w:rPr>
          <w:rFonts w:hint="eastAsia" w:ascii="微软雅黑" w:hAnsi="微软雅黑" w:eastAsia="微软雅黑" w:cs="微软雅黑"/>
          <w:sz w:val="28"/>
          <w:szCs w:val="28"/>
        </w:rPr>
        <w:t>采空区工程治理方法，具体可分为灌注充填法、穿越/跨越法、砌筑法、剥挖回填法、强夯法、堆载预压法、采动边坡防治、采空区治理综合措施等。</w:t>
      </w:r>
    </w:p>
    <w:p>
      <w:pPr>
        <w:pStyle w:val="3"/>
        <w:rPr>
          <w:color w:val="000000" w:themeColor="text1"/>
        </w:rPr>
      </w:pPr>
      <w:bookmarkStart w:id="127" w:name="_Toc25449"/>
      <w:r>
        <w:rPr>
          <w:rFonts w:hint="eastAsia"/>
          <w:color w:val="000000" w:themeColor="text1"/>
        </w:rPr>
        <w:t>9.6 临近地铁及特殊管线岩土工程</w:t>
      </w:r>
      <w:bookmarkEnd w:id="127"/>
    </w:p>
    <w:p>
      <w:pPr>
        <w:adjustRightInd w:val="0"/>
        <w:snapToGrid w:val="0"/>
        <w:spacing w:line="360" w:lineRule="auto"/>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b/>
          <w:color w:val="000000" w:themeColor="text1"/>
          <w:sz w:val="28"/>
          <w:szCs w:val="28"/>
        </w:rPr>
        <w:t xml:space="preserve">9.6.1 </w:t>
      </w:r>
      <w:r>
        <w:rPr>
          <w:rFonts w:hint="eastAsia" w:asciiTheme="minorEastAsia" w:hAnsiTheme="minorEastAsia" w:eastAsiaTheme="minorEastAsia" w:cstheme="minorEastAsia"/>
          <w:color w:val="000000" w:themeColor="text1"/>
          <w:sz w:val="28"/>
          <w:szCs w:val="28"/>
        </w:rPr>
        <w:t>开展临近地铁及特殊管线的岩土工程设计前，应取得其相关工程资料；设计方案中，应载明相关保护控制指标、监测指标和技术措施。</w:t>
      </w:r>
    </w:p>
    <w:p>
      <w:pPr>
        <w:adjustRightInd w:val="0"/>
        <w:snapToGrid w:val="0"/>
        <w:spacing w:line="360" w:lineRule="auto"/>
        <w:rPr>
          <w:rFonts w:ascii="微软雅黑" w:hAnsi="微软雅黑" w:eastAsia="微软雅黑" w:cs="微软雅黑"/>
          <w:sz w:val="28"/>
          <w:szCs w:val="28"/>
        </w:rPr>
      </w:pPr>
      <w:r>
        <w:rPr>
          <w:rFonts w:hint="eastAsia" w:ascii="微软雅黑" w:hAnsi="微软雅黑" w:eastAsia="微软雅黑" w:cs="微软雅黑"/>
          <w:sz w:val="28"/>
          <w:szCs w:val="28"/>
        </w:rPr>
        <w:t>【条文说明】</w:t>
      </w:r>
      <w:r>
        <w:rPr>
          <w:rFonts w:hint="eastAsia" w:ascii="微软雅黑" w:hAnsi="微软雅黑" w:eastAsia="微软雅黑" w:cs="微软雅黑"/>
          <w:b/>
          <w:bCs/>
          <w:sz w:val="28"/>
          <w:szCs w:val="28"/>
        </w:rPr>
        <w:t>9.6.1</w:t>
      </w:r>
      <w:r>
        <w:rPr>
          <w:rFonts w:hint="eastAsia" w:ascii="微软雅黑" w:hAnsi="微软雅黑" w:eastAsia="微软雅黑" w:cs="微软雅黑"/>
          <w:sz w:val="28"/>
          <w:szCs w:val="28"/>
        </w:rPr>
        <w:t>“相关工程资料”，系指既有地铁工程或特殊管线（燃气管道、高压电力线路、通信线路、地下综合管廊）的结构形式、基础类型、分布范围、埋置深度、管线是否渗漏，以及相关权属单位提出的控制标准等。</w:t>
      </w:r>
    </w:p>
    <w:p>
      <w:pPr>
        <w:adjustRightInd w:val="0"/>
        <w:snapToGrid w:val="0"/>
        <w:spacing w:line="360" w:lineRule="auto"/>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 xml:space="preserve">9.6.2 </w:t>
      </w:r>
      <w:r>
        <w:rPr>
          <w:rFonts w:hint="eastAsia" w:asciiTheme="minorEastAsia" w:hAnsiTheme="minorEastAsia" w:eastAsiaTheme="minorEastAsia" w:cstheme="minorEastAsia"/>
          <w:bCs/>
          <w:color w:val="000000" w:themeColor="text1"/>
          <w:sz w:val="28"/>
          <w:szCs w:val="28"/>
        </w:rPr>
        <w:t>深基坑临近地铁的，应采取混凝土连续墙或咬合桩等隔水措施。深基坑采用土钉或者锚杆（索）且伸入地铁安全保护区或者燃气管道（综合管廊）安全保护范围内的，设计方案应取得相邻建（构）筑物物权人或者地铁建设及管线运营单位的认可。具体应执行《深圳市深基坑管理规定》。</w:t>
      </w:r>
    </w:p>
    <w:p>
      <w:pPr>
        <w:adjustRightInd w:val="0"/>
        <w:snapToGrid w:val="0"/>
        <w:spacing w:line="360" w:lineRule="auto"/>
        <w:rPr>
          <w:rFonts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
          <w:color w:val="000000" w:themeColor="text1"/>
          <w:sz w:val="28"/>
          <w:szCs w:val="28"/>
        </w:rPr>
        <w:t xml:space="preserve">9.6.3 </w:t>
      </w:r>
      <w:r>
        <w:rPr>
          <w:rFonts w:hint="eastAsia" w:asciiTheme="minorEastAsia" w:hAnsiTheme="minorEastAsia" w:eastAsiaTheme="minorEastAsia" w:cstheme="minorEastAsia"/>
          <w:bCs/>
          <w:color w:val="000000" w:themeColor="text1"/>
          <w:sz w:val="28"/>
          <w:szCs w:val="28"/>
        </w:rPr>
        <w:t>岩土工程设计范围临近地铁的，应执行《深圳市城市轨道交通运营管理办法》。</w:t>
      </w:r>
    </w:p>
    <w:p>
      <w:pPr>
        <w:adjustRightInd w:val="0"/>
        <w:snapToGrid w:val="0"/>
        <w:spacing w:line="360" w:lineRule="auto"/>
        <w:rPr>
          <w:rFonts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
          <w:color w:val="000000" w:themeColor="text1"/>
          <w:sz w:val="28"/>
          <w:szCs w:val="28"/>
        </w:rPr>
        <w:t xml:space="preserve">9.6.4 </w:t>
      </w:r>
      <w:r>
        <w:rPr>
          <w:rFonts w:hint="eastAsia" w:asciiTheme="minorEastAsia" w:hAnsiTheme="minorEastAsia" w:eastAsiaTheme="minorEastAsia" w:cstheme="minorEastAsia"/>
          <w:bCs/>
          <w:color w:val="000000" w:themeColor="text1"/>
          <w:sz w:val="28"/>
          <w:szCs w:val="28"/>
        </w:rPr>
        <w:t>在燃气管道安全保护范围内从事顶进等可能危害燃气管道安全的活动，建设单位应会同作业单位与管道燃气企业签订协议，制定燃气管道安全保护方案并采取安全防护措施。具体应执行《深圳市燃气管道安全保护办法》。</w:t>
      </w:r>
    </w:p>
    <w:p>
      <w:pPr>
        <w:adjustRightInd w:val="0"/>
        <w:snapToGrid w:val="0"/>
        <w:spacing w:line="360" w:lineRule="auto"/>
        <w:rPr>
          <w:rFonts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
          <w:color w:val="000000" w:themeColor="text1"/>
          <w:sz w:val="28"/>
          <w:szCs w:val="28"/>
        </w:rPr>
        <w:t>9.6.5</w:t>
      </w:r>
      <w:r>
        <w:rPr>
          <w:rFonts w:hint="eastAsia" w:asciiTheme="minorEastAsia" w:hAnsiTheme="minorEastAsia" w:eastAsiaTheme="minorEastAsia" w:cstheme="minorEastAsia"/>
          <w:bCs/>
          <w:color w:val="000000" w:themeColor="text1"/>
          <w:sz w:val="28"/>
          <w:szCs w:val="28"/>
        </w:rPr>
        <w:t xml:space="preserve"> 临近架空或地下高压电力线路进行取土、打桩、钻探、开挖等岩土工程有关活动的，应执行《电力设施保护条例实施细则》。</w:t>
      </w:r>
    </w:p>
    <w:p>
      <w:pPr>
        <w:adjustRightInd w:val="0"/>
        <w:snapToGrid w:val="0"/>
        <w:spacing w:line="360" w:lineRule="auto"/>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bCs/>
          <w:color w:val="000000" w:themeColor="text1"/>
          <w:sz w:val="28"/>
          <w:szCs w:val="28"/>
        </w:rPr>
        <w:t xml:space="preserve">9.6.6 </w:t>
      </w:r>
      <w:r>
        <w:rPr>
          <w:rFonts w:hint="eastAsia" w:asciiTheme="minorEastAsia" w:hAnsiTheme="minorEastAsia" w:eastAsiaTheme="minorEastAsia" w:cstheme="minorEastAsia"/>
          <w:bCs/>
          <w:color w:val="000000" w:themeColor="text1"/>
          <w:sz w:val="28"/>
          <w:szCs w:val="28"/>
        </w:rPr>
        <w:t>岩土工程设计范围临近城市通信设施的，应执行《广东省通信设施建设与保护规定》。</w:t>
      </w:r>
    </w:p>
    <w:p>
      <w:pPr>
        <w:adjustRightInd w:val="0"/>
        <w:snapToGrid w:val="0"/>
        <w:spacing w:line="360" w:lineRule="auto"/>
        <w:rPr>
          <w:rFonts w:ascii="微软雅黑" w:hAnsi="微软雅黑" w:eastAsia="微软雅黑" w:cs="微软雅黑"/>
          <w:color w:val="000000"/>
          <w:szCs w:val="21"/>
          <w:shd w:val="clear" w:color="auto" w:fill="FFFFFF"/>
        </w:rPr>
      </w:pPr>
      <w:r>
        <w:rPr>
          <w:rFonts w:hint="eastAsia" w:asciiTheme="minorEastAsia" w:hAnsiTheme="minorEastAsia" w:eastAsiaTheme="minorEastAsia" w:cstheme="minorEastAsia"/>
          <w:b/>
          <w:color w:val="000000" w:themeColor="text1"/>
          <w:sz w:val="28"/>
          <w:szCs w:val="28"/>
        </w:rPr>
        <w:t xml:space="preserve">9.6.7 </w:t>
      </w:r>
      <w:r>
        <w:rPr>
          <w:rFonts w:hint="eastAsia" w:asciiTheme="minorEastAsia" w:hAnsiTheme="minorEastAsia" w:eastAsiaTheme="minorEastAsia" w:cstheme="minorEastAsia"/>
          <w:bCs/>
          <w:color w:val="000000" w:themeColor="text1"/>
          <w:sz w:val="28"/>
          <w:szCs w:val="28"/>
        </w:rPr>
        <w:t>在综合管廊安全保护范围内从事打桩、挖掘、钻探、地下顶进、架设、降水、地基加固等有关作业的，建设单位应委托专业机构就规划设计方案等开展管廊运营安全影响评估、防范措施可行性评估。具体应执行《深圳市地下综合管廊管理办法（试行）》。</w:t>
      </w:r>
    </w:p>
    <w:bookmarkEnd w:id="119"/>
    <w:bookmarkEnd w:id="120"/>
    <w:p>
      <w:pPr>
        <w:spacing w:line="360" w:lineRule="auto"/>
        <w:ind w:firstLine="560" w:firstLineChars="200"/>
        <w:rPr>
          <w:rFonts w:ascii="宋体" w:hAnsi="宋体" w:cs="宋体"/>
          <w:kern w:val="0"/>
          <w:sz w:val="28"/>
          <w:szCs w:val="28"/>
        </w:rPr>
      </w:pPr>
    </w:p>
    <w:p>
      <w:pPr>
        <w:spacing w:line="360" w:lineRule="auto"/>
        <w:rPr>
          <w:rFonts w:ascii="宋体" w:hAnsi="宋体" w:cs="宋体"/>
          <w:kern w:val="0"/>
          <w:sz w:val="28"/>
          <w:szCs w:val="28"/>
        </w:rPr>
      </w:pPr>
    </w:p>
    <w:p>
      <w:pPr>
        <w:spacing w:line="360" w:lineRule="auto"/>
        <w:ind w:firstLine="560" w:firstLineChars="200"/>
        <w:rPr>
          <w:rFonts w:ascii="宋体" w:hAnsi="宋体" w:cs="宋体"/>
          <w:kern w:val="0"/>
          <w:sz w:val="28"/>
          <w:szCs w:val="28"/>
        </w:rPr>
      </w:pPr>
    </w:p>
    <w:p>
      <w:pPr>
        <w:adjustRightInd w:val="0"/>
        <w:snapToGrid w:val="0"/>
        <w:spacing w:line="360" w:lineRule="auto"/>
        <w:ind w:firstLine="3212" w:firstLineChars="1000"/>
        <w:outlineLvl w:val="0"/>
        <w:rPr>
          <w:rFonts w:asciiTheme="minorEastAsia" w:hAnsiTheme="minorEastAsia" w:eastAsiaTheme="minorEastAsia"/>
          <w:b/>
          <w:sz w:val="32"/>
          <w:szCs w:val="32"/>
        </w:rPr>
      </w:pPr>
    </w:p>
    <w:p>
      <w:pPr>
        <w:adjustRightInd w:val="0"/>
        <w:snapToGrid w:val="0"/>
        <w:spacing w:line="360" w:lineRule="auto"/>
        <w:ind w:firstLine="3212" w:firstLineChars="1000"/>
        <w:outlineLvl w:val="0"/>
        <w:rPr>
          <w:rFonts w:asciiTheme="minorEastAsia" w:hAnsiTheme="minorEastAsia" w:eastAsiaTheme="minorEastAsia"/>
          <w:b/>
          <w:sz w:val="32"/>
          <w:szCs w:val="32"/>
        </w:rPr>
      </w:pPr>
    </w:p>
    <w:p>
      <w:pPr>
        <w:adjustRightInd w:val="0"/>
        <w:snapToGrid w:val="0"/>
        <w:spacing w:line="360" w:lineRule="auto"/>
        <w:ind w:firstLine="560" w:firstLineChars="200"/>
        <w:rPr>
          <w:rFonts w:asciiTheme="minorEastAsia" w:hAnsiTheme="minorEastAsia" w:eastAsiaTheme="minorEastAsia" w:cstheme="minorEastAsia"/>
          <w:bCs/>
          <w:sz w:val="28"/>
          <w:szCs w:val="28"/>
        </w:rPr>
      </w:pPr>
    </w:p>
    <w:p>
      <w:pPr>
        <w:spacing w:line="360" w:lineRule="auto"/>
        <w:rPr>
          <w:rFonts w:asciiTheme="minorEastAsia" w:hAnsiTheme="minorEastAsia" w:eastAsiaTheme="minorEastAsia" w:cstheme="minorEastAsia"/>
          <w:sz w:val="28"/>
          <w:szCs w:val="28"/>
        </w:rPr>
      </w:pPr>
    </w:p>
    <w:p>
      <w:pPr>
        <w:pStyle w:val="2"/>
        <w:pageBreakBefore/>
      </w:pPr>
      <w:bookmarkStart w:id="128" w:name="_Toc6300"/>
      <w:r>
        <w:rPr>
          <w:rFonts w:hint="eastAsia"/>
        </w:rPr>
        <w:t>引用标准名录</w:t>
      </w:r>
      <w:bookmarkEnd w:id="128"/>
    </w:p>
    <w:p>
      <w:pPr>
        <w:spacing w:line="360" w:lineRule="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一、国家标准</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1</w:t>
      </w:r>
      <w:r>
        <w:rPr>
          <w:rFonts w:hint="eastAsia" w:asciiTheme="minorEastAsia" w:hAnsiTheme="minorEastAsia" w:eastAsiaTheme="minorEastAsia"/>
          <w:bCs/>
          <w:sz w:val="28"/>
          <w:szCs w:val="28"/>
        </w:rPr>
        <w:t xml:space="preserve"> 《建筑地基基础设计规范》GB 50007-2011</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2</w:t>
      </w:r>
      <w:r>
        <w:rPr>
          <w:rFonts w:hint="eastAsia" w:asciiTheme="minorEastAsia" w:hAnsiTheme="minorEastAsia" w:eastAsiaTheme="minorEastAsia"/>
          <w:bCs/>
          <w:sz w:val="28"/>
          <w:szCs w:val="28"/>
        </w:rPr>
        <w:t xml:space="preserve"> 《建筑结构荷载规范》GB 50009-2012</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3</w:t>
      </w:r>
      <w:r>
        <w:rPr>
          <w:rFonts w:hint="eastAsia" w:asciiTheme="minorEastAsia" w:hAnsiTheme="minorEastAsia" w:eastAsiaTheme="minorEastAsia"/>
          <w:bCs/>
          <w:sz w:val="28"/>
          <w:szCs w:val="28"/>
        </w:rPr>
        <w:t xml:space="preserve"> 《混凝土结构设计规范》GB 50010-2010（2015年版）</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4</w:t>
      </w:r>
      <w:r>
        <w:rPr>
          <w:rFonts w:hint="eastAsia" w:asciiTheme="minorEastAsia" w:hAnsiTheme="minorEastAsia" w:eastAsiaTheme="minorEastAsia"/>
          <w:bCs/>
          <w:sz w:val="28"/>
          <w:szCs w:val="28"/>
        </w:rPr>
        <w:t xml:space="preserve"> 《建筑抗震设计规范》GB 50011-2010（2016年版）</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5</w:t>
      </w:r>
      <w:r>
        <w:rPr>
          <w:rFonts w:hint="eastAsia" w:asciiTheme="minorEastAsia" w:hAnsiTheme="minorEastAsia" w:eastAsiaTheme="minorEastAsia"/>
          <w:bCs/>
          <w:sz w:val="28"/>
          <w:szCs w:val="28"/>
        </w:rPr>
        <w:t xml:space="preserve"> 《室外给水设计规范》GB 50013 -2006</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6</w:t>
      </w:r>
      <w:r>
        <w:rPr>
          <w:rFonts w:hint="eastAsia" w:asciiTheme="minorEastAsia" w:hAnsiTheme="minorEastAsia" w:eastAsiaTheme="minorEastAsia"/>
          <w:bCs/>
          <w:sz w:val="28"/>
          <w:szCs w:val="28"/>
        </w:rPr>
        <w:t xml:space="preserve"> 《室外排水设计规范》GB 50014 -2006（2016版）</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7</w:t>
      </w:r>
      <w:r>
        <w:rPr>
          <w:rFonts w:hint="eastAsia" w:asciiTheme="minorEastAsia" w:hAnsiTheme="minorEastAsia" w:eastAsiaTheme="minorEastAsia"/>
          <w:bCs/>
          <w:sz w:val="28"/>
          <w:szCs w:val="28"/>
        </w:rPr>
        <w:t xml:space="preserve"> 《建筑给水排水设计规范》GB 50015-2003（2009版）</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8</w:t>
      </w:r>
      <w:r>
        <w:rPr>
          <w:rFonts w:hint="eastAsia" w:asciiTheme="minorEastAsia" w:hAnsiTheme="minorEastAsia" w:eastAsiaTheme="minorEastAsia"/>
          <w:bCs/>
          <w:sz w:val="28"/>
          <w:szCs w:val="28"/>
        </w:rPr>
        <w:t xml:space="preserve"> 《建筑设计防火规范》GB 50016-2014（2018年版）</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9</w:t>
      </w:r>
      <w:r>
        <w:rPr>
          <w:rFonts w:hint="eastAsia" w:asciiTheme="minorEastAsia" w:hAnsiTheme="minorEastAsia" w:eastAsiaTheme="minorEastAsia"/>
          <w:bCs/>
          <w:sz w:val="28"/>
          <w:szCs w:val="28"/>
        </w:rPr>
        <w:t xml:space="preserve"> 《钢结构设计标准》GB 50017-2017</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10</w:t>
      </w:r>
      <w:r>
        <w:rPr>
          <w:rFonts w:hint="eastAsia" w:asciiTheme="minorEastAsia" w:hAnsiTheme="minorEastAsia" w:eastAsiaTheme="minorEastAsia"/>
          <w:bCs/>
          <w:sz w:val="28"/>
          <w:szCs w:val="28"/>
        </w:rPr>
        <w:t xml:space="preserve"> 《岩土工程勘察规范》GB 50021-2001（2009年版）</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11</w:t>
      </w:r>
      <w:r>
        <w:rPr>
          <w:rFonts w:hint="eastAsia" w:asciiTheme="minorEastAsia" w:hAnsiTheme="minorEastAsia" w:eastAsiaTheme="minorEastAsia"/>
          <w:bCs/>
          <w:sz w:val="28"/>
          <w:szCs w:val="28"/>
        </w:rPr>
        <w:t xml:space="preserve"> 《建筑采光设计标准》GB 50033-2013</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12</w:t>
      </w:r>
      <w:r>
        <w:rPr>
          <w:rFonts w:hint="eastAsia" w:asciiTheme="minorEastAsia" w:hAnsiTheme="minorEastAsia" w:eastAsiaTheme="minorEastAsia"/>
          <w:bCs/>
          <w:sz w:val="28"/>
          <w:szCs w:val="28"/>
        </w:rPr>
        <w:t xml:space="preserve"> 《建筑照明设计标准》GB 50034-2013</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13</w:t>
      </w:r>
      <w:r>
        <w:rPr>
          <w:rFonts w:hint="eastAsia" w:asciiTheme="minorEastAsia" w:hAnsiTheme="minorEastAsia" w:eastAsiaTheme="minorEastAsia"/>
          <w:bCs/>
          <w:sz w:val="28"/>
          <w:szCs w:val="28"/>
        </w:rPr>
        <w:t xml:space="preserve"> 《供配电系统设计规范》GB 50052-2009</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14</w:t>
      </w:r>
      <w:r>
        <w:rPr>
          <w:rFonts w:hint="eastAsia" w:asciiTheme="minorEastAsia" w:hAnsiTheme="minorEastAsia" w:eastAsiaTheme="minorEastAsia"/>
          <w:bCs/>
          <w:sz w:val="28"/>
          <w:szCs w:val="28"/>
        </w:rPr>
        <w:t xml:space="preserve"> 《20kV及以下变电所设计规范》GB 50053-2013</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15</w:t>
      </w:r>
      <w:r>
        <w:rPr>
          <w:rFonts w:hint="eastAsia" w:asciiTheme="minorEastAsia" w:hAnsiTheme="minorEastAsia" w:eastAsiaTheme="minorEastAsia"/>
          <w:bCs/>
          <w:sz w:val="28"/>
          <w:szCs w:val="28"/>
        </w:rPr>
        <w:t xml:space="preserve"> 《低压配电设计规范》GB 50054-2011</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16</w:t>
      </w:r>
      <w:r>
        <w:rPr>
          <w:rFonts w:hint="eastAsia" w:asciiTheme="minorEastAsia" w:hAnsiTheme="minorEastAsia" w:eastAsiaTheme="minorEastAsia"/>
          <w:bCs/>
          <w:sz w:val="28"/>
          <w:szCs w:val="28"/>
        </w:rPr>
        <w:t xml:space="preserve"> 《建筑物防雷设计规范》GB 50057-2010</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17</w:t>
      </w:r>
      <w:r>
        <w:rPr>
          <w:rFonts w:hint="eastAsia" w:asciiTheme="minorEastAsia" w:hAnsiTheme="minorEastAsia" w:eastAsiaTheme="minorEastAsia"/>
          <w:bCs/>
          <w:sz w:val="28"/>
          <w:szCs w:val="28"/>
        </w:rPr>
        <w:t xml:space="preserve"> 《3kV～110kV高压配电装置设计规范》GB 50060-2008</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18</w:t>
      </w:r>
      <w:r>
        <w:rPr>
          <w:rFonts w:hint="eastAsia" w:asciiTheme="minorEastAsia" w:hAnsiTheme="minorEastAsia" w:eastAsiaTheme="minorEastAsia"/>
          <w:bCs/>
          <w:sz w:val="28"/>
          <w:szCs w:val="28"/>
        </w:rPr>
        <w:t xml:space="preserve"> 《汽车库、修车库、停车场设计防火规范》GB 50067-2014</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19</w:t>
      </w:r>
      <w:r>
        <w:rPr>
          <w:rFonts w:hint="eastAsia" w:asciiTheme="minorEastAsia" w:hAnsiTheme="minorEastAsia" w:eastAsiaTheme="minorEastAsia"/>
          <w:bCs/>
          <w:sz w:val="28"/>
          <w:szCs w:val="28"/>
        </w:rPr>
        <w:t xml:space="preserve"> 《建筑结构可靠性设计统一标准》GB 50068-2018</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20</w:t>
      </w:r>
      <w:r>
        <w:rPr>
          <w:rFonts w:hint="eastAsia" w:asciiTheme="minorEastAsia" w:hAnsiTheme="minorEastAsia" w:eastAsiaTheme="minorEastAsia"/>
          <w:bCs/>
          <w:sz w:val="28"/>
          <w:szCs w:val="28"/>
        </w:rPr>
        <w:t xml:space="preserve"> 《岩土锚杆与喷射混凝土支护工程技术规范》GB 50086-2015</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21</w:t>
      </w:r>
      <w:r>
        <w:rPr>
          <w:rFonts w:hint="eastAsia" w:asciiTheme="minorEastAsia" w:hAnsiTheme="minorEastAsia" w:eastAsiaTheme="minorEastAsia"/>
          <w:bCs/>
          <w:sz w:val="28"/>
          <w:szCs w:val="28"/>
        </w:rPr>
        <w:t xml:space="preserve"> 《火灾自动报警系统设计规范》GB 50116-2013</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22</w:t>
      </w:r>
      <w:r>
        <w:rPr>
          <w:rFonts w:hint="eastAsia" w:asciiTheme="minorEastAsia" w:hAnsiTheme="minorEastAsia" w:eastAsiaTheme="minorEastAsia"/>
          <w:bCs/>
          <w:sz w:val="28"/>
          <w:szCs w:val="28"/>
        </w:rPr>
        <w:t xml:space="preserve"> 《民用建筑隔声设计规范》GB 50118-2010</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23</w:t>
      </w:r>
      <w:r>
        <w:rPr>
          <w:rFonts w:hint="eastAsia" w:asciiTheme="minorEastAsia" w:hAnsiTheme="minorEastAsia" w:eastAsiaTheme="minorEastAsia"/>
          <w:bCs/>
          <w:sz w:val="28"/>
          <w:szCs w:val="28"/>
        </w:rPr>
        <w:t xml:space="preserve"> 《地铁设计规范》 GB 50157-2013</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24</w:t>
      </w:r>
      <w:r>
        <w:rPr>
          <w:rFonts w:hint="eastAsia" w:asciiTheme="minorEastAsia" w:hAnsiTheme="minorEastAsia" w:eastAsiaTheme="minorEastAsia"/>
          <w:bCs/>
          <w:sz w:val="28"/>
          <w:szCs w:val="28"/>
        </w:rPr>
        <w:t xml:space="preserve"> 《数据中心设计规范》GB 50174-2017</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25</w:t>
      </w:r>
      <w:r>
        <w:rPr>
          <w:rFonts w:hint="eastAsia" w:asciiTheme="minorEastAsia" w:hAnsiTheme="minorEastAsia" w:eastAsiaTheme="minorEastAsia"/>
          <w:bCs/>
          <w:sz w:val="28"/>
          <w:szCs w:val="28"/>
        </w:rPr>
        <w:t xml:space="preserve"> 《民用建筑热工设计规范》GB 50176-2016</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26</w:t>
      </w:r>
      <w:r>
        <w:rPr>
          <w:rFonts w:hint="eastAsia" w:asciiTheme="minorEastAsia" w:hAnsiTheme="minorEastAsia" w:eastAsiaTheme="minorEastAsia"/>
          <w:bCs/>
          <w:sz w:val="28"/>
          <w:szCs w:val="28"/>
        </w:rPr>
        <w:t>《城市居住区规划设计规范》GB 50180-2018</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27</w:t>
      </w:r>
      <w:r>
        <w:rPr>
          <w:rFonts w:hint="eastAsia" w:asciiTheme="minorEastAsia" w:hAnsiTheme="minorEastAsia" w:eastAsiaTheme="minorEastAsia"/>
          <w:bCs/>
          <w:sz w:val="28"/>
          <w:szCs w:val="28"/>
        </w:rPr>
        <w:t xml:space="preserve"> 《公共建筑节能设计标准》GB 50189-2015</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28</w:t>
      </w:r>
      <w:r>
        <w:rPr>
          <w:rFonts w:hint="eastAsia" w:asciiTheme="minorEastAsia" w:hAnsiTheme="minorEastAsia" w:eastAsiaTheme="minorEastAsia"/>
          <w:bCs/>
          <w:sz w:val="28"/>
          <w:szCs w:val="28"/>
        </w:rPr>
        <w:t xml:space="preserve"> 《有线电视网络工程设计标准》GB/T 50200-2018</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29</w:t>
      </w:r>
      <w:r>
        <w:rPr>
          <w:rFonts w:hint="eastAsia" w:asciiTheme="minorEastAsia" w:hAnsiTheme="minorEastAsia" w:eastAsiaTheme="minorEastAsia"/>
          <w:bCs/>
          <w:sz w:val="28"/>
          <w:szCs w:val="28"/>
        </w:rPr>
        <w:t xml:space="preserve"> 《防洪标准》GB 50201-2014</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30</w:t>
      </w:r>
      <w:r>
        <w:rPr>
          <w:rFonts w:hint="eastAsia" w:asciiTheme="minorEastAsia" w:hAnsiTheme="minorEastAsia" w:eastAsiaTheme="minorEastAsia"/>
          <w:bCs/>
          <w:sz w:val="28"/>
          <w:szCs w:val="28"/>
        </w:rPr>
        <w:t xml:space="preserve"> 《混凝土结构工程施工质量验收规范》GB 50204-2015</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31</w:t>
      </w:r>
      <w:r>
        <w:rPr>
          <w:rFonts w:hint="eastAsia" w:asciiTheme="minorEastAsia" w:hAnsiTheme="minorEastAsia" w:eastAsiaTheme="minorEastAsia"/>
          <w:bCs/>
          <w:sz w:val="28"/>
          <w:szCs w:val="28"/>
        </w:rPr>
        <w:t xml:space="preserve"> 《建筑工程抗震设防分类标准》GB 50223-2008</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32</w:t>
      </w:r>
      <w:r>
        <w:rPr>
          <w:rFonts w:hint="eastAsia" w:asciiTheme="minorEastAsia" w:hAnsiTheme="minorEastAsia" w:eastAsiaTheme="minorEastAsia"/>
          <w:bCs/>
          <w:sz w:val="28"/>
          <w:szCs w:val="28"/>
        </w:rPr>
        <w:t xml:space="preserve"> 《通风与空调工程施工质量验收规范》GB 50243-2016</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33</w:t>
      </w:r>
      <w:r>
        <w:rPr>
          <w:rFonts w:hint="eastAsia" w:asciiTheme="minorEastAsia" w:hAnsiTheme="minorEastAsia" w:eastAsiaTheme="minorEastAsia"/>
          <w:bCs/>
          <w:sz w:val="28"/>
          <w:szCs w:val="28"/>
        </w:rPr>
        <w:t xml:space="preserve"> 《堤防工程设计规范》GB 50286-2013</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34</w:t>
      </w:r>
      <w:r>
        <w:rPr>
          <w:rFonts w:hint="eastAsia" w:asciiTheme="minorEastAsia" w:hAnsiTheme="minorEastAsia" w:eastAsiaTheme="minorEastAsia"/>
          <w:bCs/>
          <w:sz w:val="28"/>
          <w:szCs w:val="28"/>
        </w:rPr>
        <w:t xml:space="preserve"> 《城市工程管线综合规划规范》GB 50289-2016</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35</w:t>
      </w:r>
      <w:r>
        <w:rPr>
          <w:rFonts w:hint="eastAsia" w:asciiTheme="minorEastAsia" w:hAnsiTheme="minorEastAsia" w:eastAsiaTheme="minorEastAsia"/>
          <w:bCs/>
          <w:sz w:val="28"/>
          <w:szCs w:val="28"/>
        </w:rPr>
        <w:t xml:space="preserve"> 《综合布线系统工程设计规范》GB 50311-2016</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36</w:t>
      </w:r>
      <w:r>
        <w:rPr>
          <w:rFonts w:hint="eastAsia" w:asciiTheme="minorEastAsia" w:hAnsiTheme="minorEastAsia" w:eastAsiaTheme="minorEastAsia"/>
          <w:bCs/>
          <w:sz w:val="28"/>
          <w:szCs w:val="28"/>
        </w:rPr>
        <w:t xml:space="preserve"> 《智能建筑设计标准》GB 50314-2015</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37</w:t>
      </w:r>
      <w:r>
        <w:rPr>
          <w:rFonts w:hint="eastAsia" w:asciiTheme="minorEastAsia" w:hAnsiTheme="minorEastAsia" w:eastAsiaTheme="minorEastAsia"/>
          <w:bCs/>
          <w:sz w:val="28"/>
          <w:szCs w:val="28"/>
        </w:rPr>
        <w:t xml:space="preserve"> 《城市排水工程规划规范》GB 50318-2017</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38</w:t>
      </w:r>
      <w:r>
        <w:rPr>
          <w:rFonts w:hint="eastAsia" w:asciiTheme="minorEastAsia" w:hAnsiTheme="minorEastAsia" w:eastAsiaTheme="minorEastAsia"/>
          <w:bCs/>
          <w:sz w:val="28"/>
          <w:szCs w:val="28"/>
        </w:rPr>
        <w:t xml:space="preserve"> 《建筑边坡工程技术规范》GB 50330-2013</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39</w:t>
      </w:r>
      <w:r>
        <w:rPr>
          <w:rFonts w:hint="eastAsia" w:asciiTheme="minorEastAsia" w:hAnsiTheme="minorEastAsia" w:eastAsiaTheme="minorEastAsia"/>
          <w:bCs/>
          <w:sz w:val="28"/>
          <w:szCs w:val="28"/>
        </w:rPr>
        <w:t>《污水再生利用工程设计规范》GB 50335-2016</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40</w:t>
      </w:r>
      <w:r>
        <w:rPr>
          <w:rFonts w:hint="eastAsia" w:asciiTheme="minorEastAsia" w:hAnsiTheme="minorEastAsia" w:eastAsiaTheme="minorEastAsia"/>
          <w:bCs/>
          <w:sz w:val="28"/>
          <w:szCs w:val="28"/>
        </w:rPr>
        <w:t xml:space="preserve"> 《建筑中水设计标准》GB 50336-2018</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41</w:t>
      </w:r>
      <w:r>
        <w:rPr>
          <w:rFonts w:hint="eastAsia" w:asciiTheme="minorEastAsia" w:hAnsiTheme="minorEastAsia" w:eastAsiaTheme="minorEastAsia"/>
          <w:bCs/>
          <w:sz w:val="28"/>
          <w:szCs w:val="28"/>
        </w:rPr>
        <w:t xml:space="preserve"> 《建筑物电子信息系统防雷技术规范》GB 50343-2012</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42</w:t>
      </w:r>
      <w:r>
        <w:rPr>
          <w:rFonts w:hint="eastAsia" w:asciiTheme="minorEastAsia" w:hAnsiTheme="minorEastAsia" w:eastAsiaTheme="minorEastAsia"/>
          <w:bCs/>
          <w:sz w:val="28"/>
          <w:szCs w:val="28"/>
        </w:rPr>
        <w:t xml:space="preserve"> 《安全防范工程技术规范》GB 50348-2018</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43</w:t>
      </w:r>
      <w:r>
        <w:rPr>
          <w:rFonts w:hint="eastAsia" w:asciiTheme="minorEastAsia" w:hAnsiTheme="minorEastAsia" w:eastAsiaTheme="minorEastAsia"/>
          <w:bCs/>
          <w:sz w:val="28"/>
          <w:szCs w:val="28"/>
        </w:rPr>
        <w:t>《民用建筑设计通则》GB 50352-2019</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44</w:t>
      </w:r>
      <w:r>
        <w:rPr>
          <w:rFonts w:hint="eastAsia" w:asciiTheme="minorEastAsia" w:hAnsiTheme="minorEastAsia" w:eastAsiaTheme="minorEastAsia"/>
          <w:bCs/>
          <w:sz w:val="28"/>
          <w:szCs w:val="28"/>
        </w:rPr>
        <w:t xml:space="preserve"> 《厅堂扩声系统设计规范》GB 50371-2006</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45</w:t>
      </w:r>
      <w:r>
        <w:rPr>
          <w:rFonts w:hint="eastAsia" w:asciiTheme="minorEastAsia" w:hAnsiTheme="minorEastAsia" w:eastAsiaTheme="minorEastAsia"/>
          <w:bCs/>
          <w:sz w:val="28"/>
          <w:szCs w:val="28"/>
        </w:rPr>
        <w:t>《绿色建筑评价标准》GB／T 50378-2019</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46</w:t>
      </w:r>
      <w:r>
        <w:rPr>
          <w:rFonts w:hint="eastAsia" w:asciiTheme="minorEastAsia" w:hAnsiTheme="minorEastAsia" w:eastAsiaTheme="minorEastAsia"/>
          <w:bCs/>
          <w:sz w:val="28"/>
          <w:szCs w:val="28"/>
        </w:rPr>
        <w:t xml:space="preserve"> 《入侵报警系统工程设计规范》GB 50394-2007</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47</w:t>
      </w:r>
      <w:r>
        <w:rPr>
          <w:rFonts w:hint="eastAsia" w:asciiTheme="minorEastAsia" w:hAnsiTheme="minorEastAsia" w:eastAsiaTheme="minorEastAsia"/>
          <w:bCs/>
          <w:sz w:val="28"/>
          <w:szCs w:val="28"/>
        </w:rPr>
        <w:t xml:space="preserve"> 《视频安防监控系统工程设计规范》GB 50395-2007</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48</w:t>
      </w:r>
      <w:r>
        <w:rPr>
          <w:rFonts w:hint="eastAsia" w:asciiTheme="minorEastAsia" w:hAnsiTheme="minorEastAsia" w:eastAsiaTheme="minorEastAsia"/>
          <w:bCs/>
          <w:sz w:val="28"/>
          <w:szCs w:val="28"/>
        </w:rPr>
        <w:t xml:space="preserve"> 《出入口控制系统工程设计规范》GB 50396-2007</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49</w:t>
      </w:r>
      <w:r>
        <w:rPr>
          <w:rFonts w:hint="eastAsia" w:asciiTheme="minorEastAsia" w:hAnsiTheme="minorEastAsia" w:eastAsiaTheme="minorEastAsia"/>
          <w:bCs/>
          <w:sz w:val="28"/>
          <w:szCs w:val="28"/>
        </w:rPr>
        <w:t xml:space="preserve"> 《建筑与小区雨水利用工程技术规范》GB 50400-2016</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50</w:t>
      </w:r>
      <w:r>
        <w:rPr>
          <w:rFonts w:hint="eastAsia" w:asciiTheme="minorEastAsia" w:hAnsiTheme="minorEastAsia" w:eastAsiaTheme="minorEastAsia"/>
          <w:bCs/>
          <w:sz w:val="28"/>
          <w:szCs w:val="28"/>
        </w:rPr>
        <w:t xml:space="preserve"> 《城市绿地设计规范》GB 50420-2007（2016年版）</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51</w:t>
      </w:r>
      <w:r>
        <w:rPr>
          <w:rFonts w:hint="eastAsia" w:asciiTheme="minorEastAsia" w:hAnsiTheme="minorEastAsia" w:eastAsiaTheme="minorEastAsia"/>
          <w:bCs/>
          <w:sz w:val="28"/>
          <w:szCs w:val="28"/>
        </w:rPr>
        <w:t xml:space="preserve"> 《视频显示系统工程技术规范》GB 50464-2008</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52</w:t>
      </w:r>
      <w:r>
        <w:rPr>
          <w:rFonts w:hint="eastAsia" w:asciiTheme="minorEastAsia" w:hAnsiTheme="minorEastAsia" w:eastAsiaTheme="minorEastAsia"/>
          <w:bCs/>
          <w:sz w:val="28"/>
          <w:szCs w:val="28"/>
        </w:rPr>
        <w:t xml:space="preserve"> 《建筑基坑工程监测技术规范》GB 50497-2009</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53</w:t>
      </w:r>
      <w:r>
        <w:rPr>
          <w:rFonts w:hint="eastAsia" w:asciiTheme="minorEastAsia" w:hAnsiTheme="minorEastAsia" w:eastAsiaTheme="minorEastAsia"/>
          <w:bCs/>
          <w:sz w:val="28"/>
          <w:szCs w:val="28"/>
        </w:rPr>
        <w:t xml:space="preserve"> 《城市水系规划规范》GB 50513-2009（2016版）</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54</w:t>
      </w:r>
      <w:r>
        <w:rPr>
          <w:rFonts w:hint="eastAsia" w:asciiTheme="minorEastAsia" w:hAnsiTheme="minorEastAsia" w:eastAsiaTheme="minorEastAsia"/>
          <w:bCs/>
          <w:sz w:val="28"/>
          <w:szCs w:val="28"/>
        </w:rPr>
        <w:t xml:space="preserve"> 《公共广播系统工程技术规范》GB 50526-2010</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55</w:t>
      </w:r>
      <w:r>
        <w:rPr>
          <w:rFonts w:hint="eastAsia" w:asciiTheme="minorEastAsia" w:hAnsiTheme="minorEastAsia" w:eastAsiaTheme="minorEastAsia"/>
          <w:bCs/>
          <w:sz w:val="28"/>
          <w:szCs w:val="28"/>
        </w:rPr>
        <w:t xml:space="preserve"> 《城市轨道交通线网规划标准》GB/T 50546-2018</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56</w:t>
      </w:r>
      <w:r>
        <w:rPr>
          <w:rFonts w:hint="eastAsia" w:asciiTheme="minorEastAsia" w:hAnsiTheme="minorEastAsia" w:eastAsiaTheme="minorEastAsia"/>
          <w:bCs/>
          <w:sz w:val="28"/>
          <w:szCs w:val="28"/>
        </w:rPr>
        <w:t xml:space="preserve"> 《民用建筑节水设计标准》GB 50555-2010</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57</w:t>
      </w:r>
      <w:r>
        <w:rPr>
          <w:rFonts w:hint="eastAsia" w:asciiTheme="minorEastAsia" w:hAnsiTheme="minorEastAsia" w:eastAsiaTheme="minorEastAsia"/>
          <w:bCs/>
          <w:sz w:val="28"/>
          <w:szCs w:val="28"/>
        </w:rPr>
        <w:t>《城市园林绿化评价标准》GB/T 50563-2010</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58</w:t>
      </w:r>
      <w:r>
        <w:rPr>
          <w:rFonts w:hint="eastAsia" w:asciiTheme="minorEastAsia" w:hAnsiTheme="minorEastAsia" w:eastAsiaTheme="minorEastAsia"/>
          <w:bCs/>
          <w:sz w:val="28"/>
          <w:szCs w:val="28"/>
        </w:rPr>
        <w:t xml:space="preserve"> 《雨水集蓄利用工程技术规范》GB/T 50596-2010</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59</w:t>
      </w:r>
      <w:r>
        <w:rPr>
          <w:rFonts w:hint="eastAsia" w:asciiTheme="minorEastAsia" w:hAnsiTheme="minorEastAsia" w:eastAsiaTheme="minorEastAsia"/>
          <w:bCs/>
          <w:sz w:val="28"/>
          <w:szCs w:val="28"/>
        </w:rPr>
        <w:t xml:space="preserve"> 《用户电话交换系统工程设计规范》GB／T 50622-2010</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60</w:t>
      </w:r>
      <w:r>
        <w:rPr>
          <w:rFonts w:hint="eastAsia" w:asciiTheme="minorEastAsia" w:hAnsiTheme="minorEastAsia" w:eastAsiaTheme="minorEastAsia"/>
          <w:bCs/>
          <w:sz w:val="28"/>
          <w:szCs w:val="28"/>
        </w:rPr>
        <w:t xml:space="preserve"> 《会议电视会场系统工程设计规范》GB 50635-2010</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61</w:t>
      </w:r>
      <w:r>
        <w:rPr>
          <w:rFonts w:hint="eastAsia" w:asciiTheme="minorEastAsia" w:hAnsiTheme="minorEastAsia" w:eastAsiaTheme="minorEastAsia"/>
          <w:bCs/>
          <w:sz w:val="28"/>
          <w:szCs w:val="28"/>
        </w:rPr>
        <w:t xml:space="preserve"> 《民用建筑供暖通风与空气调节设计规范》GB 50736-2012</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62</w:t>
      </w:r>
      <w:r>
        <w:rPr>
          <w:rFonts w:hint="eastAsia" w:asciiTheme="minorEastAsia" w:hAnsiTheme="minorEastAsia" w:eastAsiaTheme="minorEastAsia"/>
          <w:bCs/>
          <w:sz w:val="28"/>
          <w:szCs w:val="28"/>
        </w:rPr>
        <w:t xml:space="preserve"> 《无障碍设计规范》GB 50763-2012</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63</w:t>
      </w:r>
      <w:r>
        <w:rPr>
          <w:rFonts w:hint="eastAsia" w:asciiTheme="minorEastAsia" w:hAnsiTheme="minorEastAsia" w:eastAsiaTheme="minorEastAsia"/>
          <w:bCs/>
          <w:sz w:val="28"/>
          <w:szCs w:val="28"/>
        </w:rPr>
        <w:t xml:space="preserve"> 《电子会议系统设计规范》GB 50799-2012</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64</w:t>
      </w:r>
      <w:r>
        <w:rPr>
          <w:rFonts w:hint="eastAsia" w:asciiTheme="minorEastAsia" w:hAnsiTheme="minorEastAsia" w:eastAsiaTheme="minorEastAsia"/>
          <w:bCs/>
          <w:sz w:val="28"/>
          <w:szCs w:val="28"/>
        </w:rPr>
        <w:t xml:space="preserve"> 《城市综合管廊工程技术规范》GB 50838-2015</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65</w:t>
      </w:r>
      <w:r>
        <w:rPr>
          <w:rFonts w:hint="eastAsia" w:asciiTheme="minorEastAsia" w:hAnsiTheme="minorEastAsia" w:eastAsiaTheme="minorEastAsia"/>
          <w:bCs/>
          <w:sz w:val="28"/>
          <w:szCs w:val="28"/>
        </w:rPr>
        <w:t xml:space="preserve"> 《住宅区和住宅建筑内光纤到户通信设施工程设计规范》GB 50846-2012</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66</w:t>
      </w:r>
      <w:r>
        <w:rPr>
          <w:rFonts w:hint="eastAsia" w:asciiTheme="minorEastAsia" w:hAnsiTheme="minorEastAsia" w:eastAsiaTheme="minorEastAsia"/>
          <w:bCs/>
          <w:sz w:val="28"/>
          <w:szCs w:val="28"/>
        </w:rPr>
        <w:t xml:space="preserve"> 《建筑机电工程抗震设计规范》GB 50981-2014</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67</w:t>
      </w:r>
      <w:r>
        <w:rPr>
          <w:rFonts w:hint="eastAsia" w:asciiTheme="minorEastAsia" w:hAnsiTheme="minorEastAsia" w:eastAsiaTheme="minorEastAsia"/>
          <w:bCs/>
          <w:sz w:val="28"/>
          <w:szCs w:val="28"/>
        </w:rPr>
        <w:t xml:space="preserve"> 《海堤工程设计规范》GB/T 51015-2014</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68</w:t>
      </w:r>
      <w:r>
        <w:rPr>
          <w:rFonts w:hint="eastAsia" w:asciiTheme="minorEastAsia" w:hAnsiTheme="minorEastAsia" w:eastAsiaTheme="minorEastAsia"/>
          <w:bCs/>
          <w:sz w:val="28"/>
          <w:szCs w:val="28"/>
        </w:rPr>
        <w:t xml:space="preserve"> 《水土保持工程设计规范》GB 51018-2014</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69</w:t>
      </w:r>
      <w:r>
        <w:rPr>
          <w:rFonts w:hint="eastAsia" w:asciiTheme="minorEastAsia" w:hAnsiTheme="minorEastAsia" w:eastAsiaTheme="minorEastAsia"/>
          <w:bCs/>
          <w:sz w:val="28"/>
          <w:szCs w:val="28"/>
        </w:rPr>
        <w:t>《煤矿采空区岩土工程勘察规范》GB 51044-2014（2017年版）</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70</w:t>
      </w:r>
      <w:r>
        <w:rPr>
          <w:rFonts w:hint="eastAsia" w:asciiTheme="minorEastAsia" w:hAnsiTheme="minorEastAsia" w:eastAsiaTheme="minorEastAsia"/>
          <w:bCs/>
          <w:sz w:val="28"/>
          <w:szCs w:val="28"/>
        </w:rPr>
        <w:t xml:space="preserve"> 《城市防洪规划规范》GB 51079-2016</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71</w:t>
      </w:r>
      <w:r>
        <w:rPr>
          <w:rFonts w:hint="eastAsia" w:asciiTheme="minorEastAsia" w:hAnsiTheme="minorEastAsia" w:eastAsiaTheme="minorEastAsia"/>
          <w:bCs/>
          <w:sz w:val="28"/>
          <w:szCs w:val="28"/>
        </w:rPr>
        <w:t xml:space="preserve"> 《城市停车规划规范》GB/T 51149-2016</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72</w:t>
      </w:r>
      <w:r>
        <w:rPr>
          <w:rFonts w:hint="eastAsia" w:asciiTheme="minorEastAsia" w:hAnsiTheme="minorEastAsia" w:eastAsiaTheme="minorEastAsia"/>
          <w:bCs/>
          <w:sz w:val="28"/>
          <w:szCs w:val="28"/>
        </w:rPr>
        <w:t xml:space="preserve"> 《民用建筑能耗标准》GB/T 51161-2016</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73</w:t>
      </w:r>
      <w:r>
        <w:rPr>
          <w:rFonts w:hint="eastAsia" w:asciiTheme="minorEastAsia" w:hAnsiTheme="minorEastAsia" w:eastAsiaTheme="minorEastAsia"/>
          <w:bCs/>
          <w:sz w:val="28"/>
          <w:szCs w:val="28"/>
        </w:rPr>
        <w:t xml:space="preserve"> 《煤炭采空区建（构）筑物地基处理技术规范》GB 51180-2016</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74</w:t>
      </w:r>
      <w:r>
        <w:rPr>
          <w:rFonts w:hint="eastAsia" w:asciiTheme="minorEastAsia" w:hAnsiTheme="minorEastAsia" w:eastAsiaTheme="minorEastAsia"/>
          <w:bCs/>
          <w:sz w:val="28"/>
          <w:szCs w:val="28"/>
        </w:rPr>
        <w:t xml:space="preserve"> 《公园设计规范》GB 51192-2016</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75</w:t>
      </w:r>
      <w:r>
        <w:rPr>
          <w:rFonts w:hint="eastAsia" w:asciiTheme="minorEastAsia" w:hAnsiTheme="minorEastAsia" w:eastAsiaTheme="minorEastAsia"/>
          <w:bCs/>
          <w:sz w:val="28"/>
          <w:szCs w:val="28"/>
        </w:rPr>
        <w:t xml:space="preserve"> 《公共建筑标识系统技术规范》GB/T 51223-2017</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76</w:t>
      </w:r>
      <w:r>
        <w:rPr>
          <w:rFonts w:hint="eastAsia" w:asciiTheme="minorEastAsia" w:hAnsiTheme="minorEastAsia" w:eastAsiaTheme="minorEastAsia"/>
          <w:bCs/>
          <w:sz w:val="28"/>
          <w:szCs w:val="28"/>
        </w:rPr>
        <w:t xml:space="preserve"> 《装配式混凝土建筑技术标准》GB/T 51231-2016</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77</w:t>
      </w:r>
      <w:r>
        <w:rPr>
          <w:rFonts w:hint="eastAsia" w:asciiTheme="minorEastAsia" w:hAnsiTheme="minorEastAsia" w:eastAsiaTheme="minorEastAsia"/>
          <w:bCs/>
          <w:sz w:val="28"/>
          <w:szCs w:val="28"/>
        </w:rPr>
        <w:t xml:space="preserve"> 《装配式钢结构建筑技术标准》GB/T 51232-2016</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78</w:t>
      </w:r>
      <w:r>
        <w:rPr>
          <w:rFonts w:hint="eastAsia" w:asciiTheme="minorEastAsia" w:hAnsiTheme="minorEastAsia" w:eastAsiaTheme="minorEastAsia"/>
          <w:bCs/>
          <w:sz w:val="28"/>
          <w:szCs w:val="28"/>
        </w:rPr>
        <w:t xml:space="preserve"> 《岩溶地区建筑地基基础技术标准》GB/T 51238-2018</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79</w:t>
      </w:r>
      <w:r>
        <w:rPr>
          <w:rFonts w:hint="eastAsia" w:asciiTheme="minorEastAsia" w:hAnsiTheme="minorEastAsia" w:eastAsiaTheme="minorEastAsia"/>
          <w:bCs/>
          <w:sz w:val="28"/>
          <w:szCs w:val="28"/>
        </w:rPr>
        <w:t xml:space="preserve"> 《城镇综合管廊监控与报警系统工程技术标准》GB∕T 51274-2017</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80</w:t>
      </w:r>
      <w:r>
        <w:rPr>
          <w:rFonts w:hint="eastAsia" w:asciiTheme="minorEastAsia" w:hAnsiTheme="minorEastAsia" w:eastAsiaTheme="minorEastAsia"/>
          <w:bCs/>
          <w:sz w:val="28"/>
          <w:szCs w:val="28"/>
        </w:rPr>
        <w:t xml:space="preserve"> 《电动汽车分散充电设施工程技术标准》GB/T 51313-2018</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81</w:t>
      </w:r>
      <w:r>
        <w:rPr>
          <w:rFonts w:hint="eastAsia" w:asciiTheme="minorEastAsia" w:hAnsiTheme="minorEastAsia" w:eastAsiaTheme="minorEastAsia"/>
          <w:bCs/>
          <w:sz w:val="28"/>
          <w:szCs w:val="28"/>
        </w:rPr>
        <w:t xml:space="preserve"> 《声环境质量标准》GB 3096-2008</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82</w:t>
      </w:r>
      <w:r>
        <w:rPr>
          <w:rFonts w:hint="eastAsia" w:asciiTheme="minorEastAsia" w:hAnsiTheme="minorEastAsia" w:eastAsiaTheme="minorEastAsia"/>
          <w:bCs/>
          <w:sz w:val="28"/>
          <w:szCs w:val="28"/>
        </w:rPr>
        <w:t xml:space="preserve"> 《地表水环境质量标准》GB 3838-2002</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83</w:t>
      </w:r>
      <w:r>
        <w:rPr>
          <w:rFonts w:hint="eastAsia" w:asciiTheme="minorEastAsia" w:hAnsiTheme="minorEastAsia" w:eastAsiaTheme="minorEastAsia"/>
          <w:bCs/>
          <w:sz w:val="28"/>
          <w:szCs w:val="28"/>
        </w:rPr>
        <w:t xml:space="preserve"> 《电磁环境控制限值》GB 8702-2014</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84</w:t>
      </w:r>
      <w:r>
        <w:rPr>
          <w:rFonts w:hint="eastAsia" w:asciiTheme="minorEastAsia" w:hAnsiTheme="minorEastAsia" w:eastAsiaTheme="minorEastAsia"/>
          <w:bCs/>
          <w:sz w:val="28"/>
          <w:szCs w:val="28"/>
        </w:rPr>
        <w:t>《污水综合排放标准》GB 8978–2002</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85</w:t>
      </w:r>
      <w:r>
        <w:rPr>
          <w:rFonts w:hint="eastAsia" w:asciiTheme="minorEastAsia" w:hAnsiTheme="minorEastAsia" w:eastAsiaTheme="minorEastAsia"/>
          <w:bCs/>
          <w:sz w:val="28"/>
          <w:szCs w:val="28"/>
        </w:rPr>
        <w:t xml:space="preserve"> 《城市轨道交通牵引供电系统》GB/T 10411-2005</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86</w:t>
      </w:r>
      <w:r>
        <w:rPr>
          <w:rFonts w:hint="eastAsia" w:asciiTheme="minorEastAsia" w:hAnsiTheme="minorEastAsia" w:eastAsiaTheme="minorEastAsia"/>
          <w:bCs/>
          <w:sz w:val="28"/>
          <w:szCs w:val="28"/>
        </w:rPr>
        <w:t xml:space="preserve"> 《地下水质量标准》GB/T 14848–2017</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87</w:t>
      </w:r>
      <w:r>
        <w:rPr>
          <w:rFonts w:hint="eastAsia" w:asciiTheme="minorEastAsia" w:hAnsiTheme="minorEastAsia" w:eastAsiaTheme="minorEastAsia"/>
          <w:bCs/>
          <w:sz w:val="28"/>
          <w:szCs w:val="28"/>
        </w:rPr>
        <w:t xml:space="preserve"> 《玻璃幕墙光学性能》 GB/T 18091-2016</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88</w:t>
      </w:r>
      <w:r>
        <w:rPr>
          <w:rFonts w:hint="eastAsia" w:asciiTheme="minorEastAsia" w:hAnsiTheme="minorEastAsia" w:eastAsiaTheme="minorEastAsia"/>
          <w:bCs/>
          <w:sz w:val="28"/>
          <w:szCs w:val="28"/>
        </w:rPr>
        <w:t xml:space="preserve"> 《室内空气质量标准》GB/T 18883-2002</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89</w:t>
      </w:r>
      <w:r>
        <w:rPr>
          <w:rFonts w:hint="eastAsia" w:asciiTheme="minorEastAsia" w:hAnsiTheme="minorEastAsia" w:eastAsiaTheme="minorEastAsia"/>
          <w:bCs/>
          <w:sz w:val="28"/>
          <w:szCs w:val="28"/>
        </w:rPr>
        <w:t xml:space="preserve"> 《三相配电变压器能效限定值及能效等级》 GB 20052-2013</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90</w:t>
      </w:r>
      <w:r>
        <w:rPr>
          <w:rFonts w:hint="eastAsia" w:asciiTheme="minorEastAsia" w:hAnsiTheme="minorEastAsia" w:eastAsiaTheme="minorEastAsia"/>
          <w:bCs/>
          <w:sz w:val="28"/>
          <w:szCs w:val="28"/>
        </w:rPr>
        <w:t xml:space="preserve"> 《灯和灯系统的光生物安全性》GB/T 20145-2006</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91</w:t>
      </w:r>
      <w:r>
        <w:rPr>
          <w:rFonts w:hint="eastAsia" w:asciiTheme="minorEastAsia" w:hAnsiTheme="minorEastAsia" w:eastAsiaTheme="minorEastAsia"/>
          <w:bCs/>
          <w:sz w:val="28"/>
          <w:szCs w:val="28"/>
        </w:rPr>
        <w:t xml:space="preserve"> 《LED室内照明应用技术要求》GB/T 31831-2015</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92</w:t>
      </w:r>
      <w:r>
        <w:rPr>
          <w:rFonts w:hint="eastAsia" w:asciiTheme="minorEastAsia" w:hAnsiTheme="minorEastAsia" w:eastAsiaTheme="minorEastAsia"/>
          <w:bCs/>
          <w:sz w:val="28"/>
          <w:szCs w:val="28"/>
        </w:rPr>
        <w:t xml:space="preserve"> 《室外照明干扰光限制规范》GB/T 35626-2017</w:t>
      </w:r>
    </w:p>
    <w:p>
      <w:pPr>
        <w:spacing w:line="360" w:lineRule="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二、行业标准</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1</w:t>
      </w:r>
      <w:r>
        <w:rPr>
          <w:rFonts w:hint="eastAsia" w:asciiTheme="minorEastAsia" w:hAnsiTheme="minorEastAsia" w:eastAsiaTheme="minorEastAsia"/>
          <w:bCs/>
          <w:sz w:val="28"/>
          <w:szCs w:val="28"/>
        </w:rPr>
        <w:t xml:space="preserve"> 《装配式混凝土结构技术规程》JGJ 1-2014</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2</w:t>
      </w:r>
      <w:r>
        <w:rPr>
          <w:rFonts w:hint="eastAsia" w:asciiTheme="minorEastAsia" w:hAnsiTheme="minorEastAsia" w:eastAsiaTheme="minorEastAsia"/>
          <w:bCs/>
          <w:sz w:val="28"/>
          <w:szCs w:val="28"/>
        </w:rPr>
        <w:t xml:space="preserve"> 《高层建筑混凝土结构技术规程》JGJ 3-2010</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3</w:t>
      </w:r>
      <w:r>
        <w:rPr>
          <w:rFonts w:hint="eastAsia" w:asciiTheme="minorEastAsia" w:hAnsiTheme="minorEastAsia" w:eastAsiaTheme="minorEastAsia"/>
          <w:bCs/>
          <w:sz w:val="28"/>
          <w:szCs w:val="28"/>
        </w:rPr>
        <w:t xml:space="preserve"> 《民用建筑电气设计规范》JGJ 16-2008</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4</w:t>
      </w:r>
      <w:r>
        <w:rPr>
          <w:rFonts w:hint="eastAsia" w:asciiTheme="minorEastAsia" w:hAnsiTheme="minorEastAsia" w:eastAsiaTheme="minorEastAsia"/>
          <w:bCs/>
          <w:sz w:val="28"/>
          <w:szCs w:val="28"/>
        </w:rPr>
        <w:t xml:space="preserve"> 《夏热冬暖地区居住建筑节能设计标准》JGJ 75-2012</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5</w:t>
      </w:r>
      <w:r>
        <w:rPr>
          <w:rFonts w:hint="eastAsia" w:asciiTheme="minorEastAsia" w:hAnsiTheme="minorEastAsia" w:eastAsiaTheme="minorEastAsia"/>
          <w:bCs/>
          <w:sz w:val="28"/>
          <w:szCs w:val="28"/>
        </w:rPr>
        <w:t xml:space="preserve"> 《建筑地基处理规范》JGJ 79-2012</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6</w:t>
      </w:r>
      <w:r>
        <w:rPr>
          <w:rFonts w:hint="eastAsia" w:asciiTheme="minorEastAsia" w:hAnsiTheme="minorEastAsia" w:eastAsiaTheme="minorEastAsia"/>
          <w:bCs/>
          <w:sz w:val="28"/>
          <w:szCs w:val="28"/>
        </w:rPr>
        <w:t xml:space="preserve"> 《建筑桩基技术规范》JGJ 94-2008</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7</w:t>
      </w:r>
      <w:r>
        <w:rPr>
          <w:rFonts w:hint="eastAsia" w:asciiTheme="minorEastAsia" w:hAnsiTheme="minorEastAsia" w:eastAsiaTheme="minorEastAsia"/>
          <w:bCs/>
          <w:sz w:val="28"/>
          <w:szCs w:val="28"/>
        </w:rPr>
        <w:t xml:space="preserve"> 《高层民用建筑钢结构技术规程》JGJ 99-2015</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8</w:t>
      </w:r>
      <w:r>
        <w:rPr>
          <w:rFonts w:hint="eastAsia" w:asciiTheme="minorEastAsia" w:hAnsiTheme="minorEastAsia" w:eastAsiaTheme="minorEastAsia"/>
          <w:bCs/>
          <w:sz w:val="28"/>
          <w:szCs w:val="28"/>
        </w:rPr>
        <w:t xml:space="preserve"> 《钢筋机械连接技术规程》JGJ 107-2016</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9</w:t>
      </w:r>
      <w:r>
        <w:rPr>
          <w:rFonts w:hint="eastAsia" w:asciiTheme="minorEastAsia" w:hAnsiTheme="minorEastAsia" w:eastAsiaTheme="minorEastAsia"/>
          <w:bCs/>
          <w:sz w:val="28"/>
          <w:szCs w:val="28"/>
        </w:rPr>
        <w:t xml:space="preserve"> 《建筑与市政工程地下水控制技术规范》JGJ 111-2016</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10</w:t>
      </w:r>
      <w:r>
        <w:rPr>
          <w:rFonts w:hint="eastAsia" w:asciiTheme="minorEastAsia" w:hAnsiTheme="minorEastAsia" w:eastAsiaTheme="minorEastAsia"/>
          <w:bCs/>
          <w:sz w:val="28"/>
          <w:szCs w:val="28"/>
        </w:rPr>
        <w:t xml:space="preserve"> 《建筑基坑支护技术规程》JGJ 120-2012</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11</w:t>
      </w:r>
      <w:r>
        <w:rPr>
          <w:rFonts w:hint="eastAsia" w:asciiTheme="minorEastAsia" w:hAnsiTheme="minorEastAsia" w:eastAsiaTheme="minorEastAsia"/>
          <w:bCs/>
          <w:sz w:val="28"/>
          <w:szCs w:val="28"/>
        </w:rPr>
        <w:t xml:space="preserve"> 《种植屋面工程技术规程》JGJ 155-2013</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12</w:t>
      </w:r>
      <w:r>
        <w:rPr>
          <w:rFonts w:hint="eastAsia" w:asciiTheme="minorEastAsia" w:hAnsiTheme="minorEastAsia" w:eastAsiaTheme="minorEastAsia"/>
          <w:bCs/>
          <w:sz w:val="28"/>
          <w:szCs w:val="28"/>
        </w:rPr>
        <w:t xml:space="preserve"> 《城市夜景照明设计规范》JGJ/T 163-2008</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13</w:t>
      </w:r>
      <w:r>
        <w:rPr>
          <w:rFonts w:hint="eastAsia" w:asciiTheme="minorEastAsia" w:hAnsiTheme="minorEastAsia" w:eastAsiaTheme="minorEastAsia"/>
          <w:bCs/>
          <w:sz w:val="28"/>
          <w:szCs w:val="28"/>
        </w:rPr>
        <w:t xml:space="preserve"> 《民用建筑绿色设计规范》JGJ/T 229-2010</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14</w:t>
      </w:r>
      <w:r>
        <w:rPr>
          <w:rFonts w:hint="eastAsia" w:asciiTheme="minorEastAsia" w:hAnsiTheme="minorEastAsia" w:eastAsiaTheme="minorEastAsia"/>
          <w:bCs/>
          <w:sz w:val="28"/>
          <w:szCs w:val="28"/>
        </w:rPr>
        <w:t xml:space="preserve"> 《住宅建筑电气设计规范》JGJ 242-2011</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15</w:t>
      </w:r>
      <w:r>
        <w:rPr>
          <w:rFonts w:hint="eastAsia" w:asciiTheme="minorEastAsia" w:hAnsiTheme="minorEastAsia" w:eastAsiaTheme="minorEastAsia"/>
          <w:bCs/>
          <w:sz w:val="28"/>
          <w:szCs w:val="28"/>
        </w:rPr>
        <w:t xml:space="preserve"> 《交通建筑电气设计规范》JGJ 243-2011</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16</w:t>
      </w:r>
      <w:r>
        <w:rPr>
          <w:rFonts w:hint="eastAsia" w:asciiTheme="minorEastAsia" w:hAnsiTheme="minorEastAsia" w:eastAsiaTheme="minorEastAsia"/>
          <w:bCs/>
          <w:sz w:val="28"/>
          <w:szCs w:val="28"/>
        </w:rPr>
        <w:t xml:space="preserve"> 《建筑钢结构防腐蚀技术规程》JGJ/T 251-2011</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17</w:t>
      </w:r>
      <w:r>
        <w:rPr>
          <w:rFonts w:hint="eastAsia" w:asciiTheme="minorEastAsia" w:hAnsiTheme="minorEastAsia" w:eastAsiaTheme="minorEastAsia"/>
          <w:bCs/>
          <w:sz w:val="28"/>
          <w:szCs w:val="28"/>
        </w:rPr>
        <w:t xml:space="preserve"> 《钢筋锚固板应用技术规程》JGJ 256-2011</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18</w:t>
      </w:r>
      <w:r>
        <w:rPr>
          <w:rFonts w:hint="eastAsia" w:asciiTheme="minorEastAsia" w:hAnsiTheme="minorEastAsia" w:eastAsiaTheme="minorEastAsia"/>
          <w:bCs/>
          <w:sz w:val="28"/>
          <w:szCs w:val="28"/>
        </w:rPr>
        <w:t xml:space="preserve"> 《金融建筑电气设计规范》JGJ 284-2012</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19</w:t>
      </w:r>
      <w:r>
        <w:rPr>
          <w:rFonts w:hint="eastAsia" w:asciiTheme="minorEastAsia" w:hAnsiTheme="minorEastAsia" w:eastAsiaTheme="minorEastAsia"/>
          <w:bCs/>
          <w:sz w:val="28"/>
          <w:szCs w:val="28"/>
        </w:rPr>
        <w:t xml:space="preserve"> 《公共建筑能耗远程监测系统技术规程》JGJ/T 285-2014</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20</w:t>
      </w:r>
      <w:r>
        <w:rPr>
          <w:rFonts w:hint="eastAsia" w:asciiTheme="minorEastAsia" w:hAnsiTheme="minorEastAsia" w:eastAsiaTheme="minorEastAsia"/>
          <w:bCs/>
          <w:sz w:val="28"/>
          <w:szCs w:val="28"/>
        </w:rPr>
        <w:t xml:space="preserve"> 《城市居住区热环境设计标准》 JGJ 286-2013</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21</w:t>
      </w:r>
      <w:r>
        <w:rPr>
          <w:rFonts w:hint="eastAsia" w:asciiTheme="minorEastAsia" w:hAnsiTheme="minorEastAsia" w:eastAsiaTheme="minorEastAsia"/>
          <w:bCs/>
          <w:sz w:val="28"/>
          <w:szCs w:val="28"/>
        </w:rPr>
        <w:t xml:space="preserve"> 《建筑通风效果测试与评价标准》JGJ/T 309-2013</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22</w:t>
      </w:r>
      <w:r>
        <w:rPr>
          <w:rFonts w:hint="eastAsia" w:asciiTheme="minorEastAsia" w:hAnsiTheme="minorEastAsia" w:eastAsiaTheme="minorEastAsia"/>
          <w:bCs/>
          <w:sz w:val="28"/>
          <w:szCs w:val="28"/>
        </w:rPr>
        <w:t xml:space="preserve"> 《教育建筑电气设计规范》JGJ 310-2013</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23</w:t>
      </w:r>
      <w:r>
        <w:rPr>
          <w:rFonts w:hint="eastAsia" w:asciiTheme="minorEastAsia" w:hAnsiTheme="minorEastAsia" w:eastAsiaTheme="minorEastAsia"/>
          <w:bCs/>
          <w:sz w:val="28"/>
          <w:szCs w:val="28"/>
        </w:rPr>
        <w:t xml:space="preserve"> 《医疗建筑电气设计规范》JGJ 312-2013</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24</w:t>
      </w:r>
      <w:r>
        <w:rPr>
          <w:rFonts w:hint="eastAsia" w:asciiTheme="minorEastAsia" w:hAnsiTheme="minorEastAsia" w:eastAsiaTheme="minorEastAsia"/>
          <w:bCs/>
          <w:sz w:val="28"/>
          <w:szCs w:val="28"/>
        </w:rPr>
        <w:t xml:space="preserve"> 《建筑地面工程防滑技术规程》JGJ/T 331-2014</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25</w:t>
      </w:r>
      <w:r>
        <w:rPr>
          <w:rFonts w:hint="eastAsia" w:asciiTheme="minorEastAsia" w:hAnsiTheme="minorEastAsia" w:eastAsiaTheme="minorEastAsia"/>
          <w:bCs/>
          <w:sz w:val="28"/>
          <w:szCs w:val="28"/>
        </w:rPr>
        <w:t xml:space="preserve"> 《会展建筑电气设计规范》JGJ 333-2014</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26</w:t>
      </w:r>
      <w:r>
        <w:rPr>
          <w:rFonts w:hint="eastAsia" w:asciiTheme="minorEastAsia" w:hAnsiTheme="minorEastAsia" w:eastAsiaTheme="minorEastAsia"/>
          <w:bCs/>
          <w:sz w:val="28"/>
          <w:szCs w:val="28"/>
        </w:rPr>
        <w:t xml:space="preserve"> 《建筑设备监控系统工程技术规范》JGJ／T 334-2014</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27</w:t>
      </w:r>
      <w:r>
        <w:rPr>
          <w:rFonts w:hint="eastAsia" w:asciiTheme="minorEastAsia" w:hAnsiTheme="minorEastAsia" w:eastAsiaTheme="minorEastAsia"/>
          <w:bCs/>
          <w:sz w:val="28"/>
          <w:szCs w:val="28"/>
        </w:rPr>
        <w:t xml:space="preserve"> 《体育建筑电气设计规范》JGJ 354-2014</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28</w:t>
      </w:r>
      <w:r>
        <w:rPr>
          <w:rFonts w:hint="eastAsia" w:asciiTheme="minorEastAsia" w:hAnsiTheme="minorEastAsia" w:eastAsiaTheme="minorEastAsia"/>
          <w:bCs/>
          <w:sz w:val="28"/>
          <w:szCs w:val="28"/>
        </w:rPr>
        <w:t xml:space="preserve"> 《钢筋套筒灌浆连接应用技术规程》JGJ 355-2015</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29</w:t>
      </w:r>
      <w:r>
        <w:rPr>
          <w:rFonts w:hint="eastAsia" w:asciiTheme="minorEastAsia" w:hAnsiTheme="minorEastAsia" w:eastAsiaTheme="minorEastAsia"/>
          <w:bCs/>
          <w:sz w:val="28"/>
          <w:szCs w:val="28"/>
        </w:rPr>
        <w:t xml:space="preserve"> 《住宅室内装饰装修设计规范》JGJ 367-2015</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30</w:t>
      </w:r>
      <w:r>
        <w:rPr>
          <w:rFonts w:hint="eastAsia" w:asciiTheme="minorEastAsia" w:hAnsiTheme="minorEastAsia" w:eastAsiaTheme="minorEastAsia"/>
          <w:bCs/>
          <w:sz w:val="28"/>
          <w:szCs w:val="28"/>
        </w:rPr>
        <w:t xml:space="preserve"> 《城市道路工程设计规范》CJJ 37-2012（2016年版）</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31</w:t>
      </w:r>
      <w:r>
        <w:rPr>
          <w:rFonts w:hint="eastAsia" w:asciiTheme="minorEastAsia" w:hAnsiTheme="minorEastAsia" w:eastAsiaTheme="minorEastAsia"/>
          <w:bCs/>
          <w:sz w:val="28"/>
          <w:szCs w:val="28"/>
        </w:rPr>
        <w:t xml:space="preserve"> 《城市道路照明设计标准》CJJ 45-2015</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32</w:t>
      </w:r>
      <w:r>
        <w:rPr>
          <w:rFonts w:hint="eastAsia" w:asciiTheme="minorEastAsia" w:hAnsiTheme="minorEastAsia" w:eastAsiaTheme="minorEastAsia"/>
          <w:bCs/>
          <w:sz w:val="28"/>
          <w:szCs w:val="28"/>
        </w:rPr>
        <w:t>《城市人行天桥与人行地道技术规范》CJJ 69-95</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33</w:t>
      </w:r>
      <w:r>
        <w:rPr>
          <w:rFonts w:hint="eastAsia" w:asciiTheme="minorEastAsia" w:hAnsiTheme="minorEastAsia" w:eastAsiaTheme="minorEastAsia"/>
          <w:bCs/>
          <w:sz w:val="28"/>
          <w:szCs w:val="28"/>
        </w:rPr>
        <w:t xml:space="preserve"> 《城市道路绿化规划与设计规范》CJJ 75-97</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34</w:t>
      </w:r>
      <w:r>
        <w:rPr>
          <w:rFonts w:hint="eastAsia" w:asciiTheme="minorEastAsia" w:hAnsiTheme="minorEastAsia" w:eastAsiaTheme="minorEastAsia"/>
          <w:bCs/>
          <w:sz w:val="28"/>
          <w:szCs w:val="28"/>
        </w:rPr>
        <w:t xml:space="preserve"> 《城乡建设用地竖向规划规范》CJJ 83-2016</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35</w:t>
      </w:r>
      <w:r>
        <w:rPr>
          <w:rFonts w:hint="eastAsia" w:asciiTheme="minorEastAsia" w:hAnsiTheme="minorEastAsia" w:eastAsiaTheme="minorEastAsia"/>
          <w:bCs/>
          <w:sz w:val="28"/>
          <w:szCs w:val="28"/>
        </w:rPr>
        <w:t xml:space="preserve"> 《城市绿地分类标准》CJJ/T 85-2017</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36</w:t>
      </w:r>
      <w:r>
        <w:rPr>
          <w:rFonts w:hint="eastAsia" w:asciiTheme="minorEastAsia" w:hAnsiTheme="minorEastAsia" w:eastAsiaTheme="minorEastAsia"/>
          <w:bCs/>
          <w:sz w:val="28"/>
          <w:szCs w:val="28"/>
        </w:rPr>
        <w:t xml:space="preserve"> 《饮用净水水质标准》CJ 94-2005</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37</w:t>
      </w:r>
      <w:r>
        <w:rPr>
          <w:rFonts w:hint="eastAsia" w:asciiTheme="minorEastAsia" w:hAnsiTheme="minorEastAsia" w:eastAsiaTheme="minorEastAsia"/>
          <w:bCs/>
          <w:sz w:val="28"/>
          <w:szCs w:val="28"/>
        </w:rPr>
        <w:t xml:space="preserve"> 《透水水泥混凝土路面技术规程》CJJ/T 135-2009</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38</w:t>
      </w:r>
      <w:r>
        <w:rPr>
          <w:rFonts w:hint="eastAsia" w:asciiTheme="minorEastAsia" w:hAnsiTheme="minorEastAsia" w:eastAsiaTheme="minorEastAsia"/>
          <w:bCs/>
          <w:sz w:val="28"/>
          <w:szCs w:val="28"/>
        </w:rPr>
        <w:t xml:space="preserve"> 《透水砖路面技术规程》CJJ/T 188-2012</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39</w:t>
      </w:r>
      <w:r>
        <w:rPr>
          <w:rFonts w:hint="eastAsia" w:asciiTheme="minorEastAsia" w:hAnsiTheme="minorEastAsia" w:eastAsiaTheme="minorEastAsia"/>
          <w:bCs/>
          <w:sz w:val="28"/>
          <w:szCs w:val="28"/>
        </w:rPr>
        <w:t xml:space="preserve"> 《透水沥青路面技术规程》CJJ/T 190-2012 </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40</w:t>
      </w:r>
      <w:r>
        <w:rPr>
          <w:rFonts w:hint="eastAsia" w:asciiTheme="minorEastAsia" w:hAnsiTheme="minorEastAsia" w:eastAsiaTheme="minorEastAsia"/>
          <w:bCs/>
          <w:sz w:val="28"/>
          <w:szCs w:val="28"/>
        </w:rPr>
        <w:t xml:space="preserve"> 《城市道路路基设计规范》CJJ 194-2013</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41</w:t>
      </w:r>
      <w:r>
        <w:rPr>
          <w:rFonts w:hint="eastAsia" w:asciiTheme="minorEastAsia" w:hAnsiTheme="minorEastAsia" w:eastAsiaTheme="minorEastAsia"/>
          <w:bCs/>
          <w:sz w:val="28"/>
          <w:szCs w:val="28"/>
        </w:rPr>
        <w:t xml:space="preserve"> 《城市地下道路工程设计规范》CJJ 221-2015</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42</w:t>
      </w:r>
      <w:r>
        <w:rPr>
          <w:rFonts w:hint="eastAsia" w:asciiTheme="minorEastAsia" w:hAnsiTheme="minorEastAsia" w:eastAsiaTheme="minorEastAsia"/>
          <w:bCs/>
          <w:sz w:val="28"/>
          <w:szCs w:val="28"/>
        </w:rPr>
        <w:t xml:space="preserve"> 《自动导向轨道交通设计标准》CJJ/T 277-2018</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43</w:t>
      </w:r>
      <w:r>
        <w:rPr>
          <w:rFonts w:hint="eastAsia" w:asciiTheme="minorEastAsia" w:hAnsiTheme="minorEastAsia" w:eastAsiaTheme="minorEastAsia"/>
          <w:bCs/>
          <w:sz w:val="28"/>
          <w:szCs w:val="28"/>
        </w:rPr>
        <w:t xml:space="preserve"> 《雨水控制与利用工程设计规范》DB 11/685-2013</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44</w:t>
      </w:r>
      <w:r>
        <w:rPr>
          <w:rFonts w:hint="eastAsia" w:asciiTheme="minorEastAsia" w:hAnsiTheme="minorEastAsia" w:eastAsiaTheme="minorEastAsia"/>
          <w:bCs/>
          <w:sz w:val="28"/>
          <w:szCs w:val="28"/>
        </w:rPr>
        <w:t>《城市建设工程地下水控制技术规范》DB11/ 1115-2014</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45</w:t>
      </w:r>
      <w:r>
        <w:rPr>
          <w:rFonts w:hint="eastAsia" w:asciiTheme="minorEastAsia" w:hAnsiTheme="minorEastAsia" w:eastAsiaTheme="minorEastAsia"/>
          <w:bCs/>
          <w:sz w:val="28"/>
          <w:szCs w:val="28"/>
        </w:rPr>
        <w:t>《建筑基底静水压力控制技术规程》DB37/T 5038-2015</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46</w:t>
      </w:r>
      <w:r>
        <w:rPr>
          <w:rFonts w:hint="eastAsia" w:asciiTheme="minorEastAsia" w:hAnsiTheme="minorEastAsia" w:eastAsiaTheme="minorEastAsia"/>
          <w:bCs/>
          <w:sz w:val="28"/>
          <w:szCs w:val="28"/>
        </w:rPr>
        <w:t xml:space="preserve"> 《园林绿化种植土质量》DB 440300/T 34-2008</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47</w:t>
      </w:r>
      <w:r>
        <w:rPr>
          <w:rFonts w:hint="eastAsia" w:asciiTheme="minorEastAsia" w:hAnsiTheme="minorEastAsia" w:eastAsiaTheme="minorEastAsia"/>
          <w:bCs/>
          <w:sz w:val="28"/>
          <w:szCs w:val="28"/>
        </w:rPr>
        <w:t xml:space="preserve"> 《有线接入网设备安装工程设计规范》YD／T 5139-2005</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48</w:t>
      </w:r>
      <w:r>
        <w:rPr>
          <w:rFonts w:hint="eastAsia" w:asciiTheme="minorEastAsia" w:hAnsiTheme="minorEastAsia" w:eastAsiaTheme="minorEastAsia"/>
          <w:bCs/>
          <w:sz w:val="28"/>
          <w:szCs w:val="28"/>
        </w:rPr>
        <w:t xml:space="preserve"> 《铁路电力牵引设计规范》TB 10009-2016</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49</w:t>
      </w:r>
      <w:r>
        <w:rPr>
          <w:rFonts w:hint="eastAsia" w:asciiTheme="minorEastAsia" w:hAnsiTheme="minorEastAsia" w:eastAsiaTheme="minorEastAsia"/>
          <w:bCs/>
          <w:sz w:val="28"/>
          <w:szCs w:val="28"/>
        </w:rPr>
        <w:t xml:space="preserve"> 《轨道交通工程人民防空设计规范》RFJ 02-2009</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50</w:t>
      </w:r>
      <w:r>
        <w:rPr>
          <w:rFonts w:hint="eastAsia" w:asciiTheme="minorEastAsia" w:hAnsiTheme="minorEastAsia" w:eastAsiaTheme="minorEastAsia"/>
          <w:bCs/>
          <w:sz w:val="28"/>
          <w:szCs w:val="28"/>
        </w:rPr>
        <w:t xml:space="preserve"> 《水工挡土墙设计规范》SL 379-2007</w:t>
      </w:r>
    </w:p>
    <w:p>
      <w:pPr>
        <w:spacing w:line="360" w:lineRule="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三、本省市地方标准</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1</w:t>
      </w:r>
      <w:r>
        <w:rPr>
          <w:rFonts w:hint="eastAsia" w:asciiTheme="minorEastAsia" w:hAnsiTheme="minorEastAsia" w:eastAsiaTheme="minorEastAsia"/>
          <w:bCs/>
          <w:sz w:val="28"/>
          <w:szCs w:val="28"/>
        </w:rPr>
        <w:t>《建筑基坑工程技术规程》DBJ/T 15-20-2016</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 xml:space="preserve">2 </w:t>
      </w:r>
      <w:r>
        <w:rPr>
          <w:rFonts w:hint="eastAsia" w:asciiTheme="minorEastAsia" w:hAnsiTheme="minorEastAsia" w:eastAsiaTheme="minorEastAsia"/>
          <w:bCs/>
          <w:sz w:val="28"/>
          <w:szCs w:val="28"/>
        </w:rPr>
        <w:t>《建筑地基基础设计规范》DBJ 15-31-2016</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 xml:space="preserve">3 </w:t>
      </w:r>
      <w:r>
        <w:rPr>
          <w:rFonts w:hint="eastAsia" w:asciiTheme="minorEastAsia" w:hAnsiTheme="minorEastAsia" w:eastAsiaTheme="minorEastAsia"/>
          <w:bCs/>
          <w:sz w:val="28"/>
          <w:szCs w:val="28"/>
        </w:rPr>
        <w:t>《高层建筑混凝土结构技术规程》DBJ 15-92-2013</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4 </w:t>
      </w:r>
      <w:r>
        <w:rPr>
          <w:rFonts w:hint="eastAsia" w:asciiTheme="minorEastAsia" w:hAnsiTheme="minorEastAsia" w:eastAsiaTheme="minorEastAsia"/>
          <w:bCs/>
          <w:sz w:val="28"/>
          <w:szCs w:val="28"/>
        </w:rPr>
        <w:t>《建筑结构荷载规范》DBJ 15-101-2014</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5</w:t>
      </w:r>
      <w:r>
        <w:rPr>
          <w:rFonts w:hint="eastAsia" w:asciiTheme="minorEastAsia" w:hAnsiTheme="minorEastAsia" w:eastAsiaTheme="minorEastAsia"/>
          <w:bCs/>
          <w:sz w:val="28"/>
          <w:szCs w:val="28"/>
        </w:rPr>
        <w:t>《装配式混凝土建筑结构技术规程》DBJ 15-107-2016</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 xml:space="preserve">6 </w:t>
      </w:r>
      <w:r>
        <w:rPr>
          <w:rFonts w:hint="eastAsia" w:asciiTheme="minorEastAsia" w:hAnsiTheme="minorEastAsia" w:eastAsiaTheme="minorEastAsia"/>
          <w:bCs/>
          <w:sz w:val="28"/>
          <w:szCs w:val="28"/>
        </w:rPr>
        <w:t>《广东省城市轨道交通既有结构保护技术规范》DBJ/T 15-120-2017</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 xml:space="preserve">7 </w:t>
      </w:r>
      <w:r>
        <w:rPr>
          <w:rFonts w:hint="eastAsia" w:asciiTheme="minorEastAsia" w:hAnsiTheme="minorEastAsia" w:eastAsiaTheme="minorEastAsia"/>
          <w:bCs/>
          <w:sz w:val="28"/>
          <w:szCs w:val="28"/>
        </w:rPr>
        <w:t>《广东省海堤工程设计导则（试行）》DB44/T 182-2004</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8</w:t>
      </w:r>
      <w:r>
        <w:rPr>
          <w:rFonts w:hint="eastAsia" w:asciiTheme="minorEastAsia" w:hAnsiTheme="minorEastAsia" w:eastAsiaTheme="minorEastAsia"/>
          <w:bCs/>
          <w:sz w:val="28"/>
          <w:szCs w:val="28"/>
        </w:rPr>
        <w:t xml:space="preserve"> 《地基基础勘察设计规范》SJG 01-2010</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9</w:t>
      </w:r>
      <w:r>
        <w:rPr>
          <w:rFonts w:hint="eastAsia" w:asciiTheme="minorEastAsia" w:hAnsiTheme="minorEastAsia" w:eastAsiaTheme="minorEastAsia"/>
          <w:bCs/>
          <w:sz w:val="28"/>
          <w:szCs w:val="28"/>
        </w:rPr>
        <w:t xml:space="preserve"> 《深圳市地基处理技术规范》SJG 04-2015</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10</w:t>
      </w:r>
      <w:r>
        <w:rPr>
          <w:rFonts w:hint="eastAsia" w:asciiTheme="minorEastAsia" w:hAnsiTheme="minorEastAsia" w:eastAsiaTheme="minorEastAsia"/>
          <w:bCs/>
          <w:sz w:val="28"/>
          <w:szCs w:val="28"/>
        </w:rPr>
        <w:t xml:space="preserve"> 《深圳市基坑支护技术规范》SJG 05-2011</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11</w:t>
      </w:r>
      <w:r>
        <w:rPr>
          <w:rFonts w:hint="eastAsia" w:asciiTheme="minorEastAsia" w:hAnsiTheme="minorEastAsia" w:eastAsiaTheme="minorEastAsia"/>
          <w:bCs/>
          <w:sz w:val="28"/>
          <w:szCs w:val="28"/>
        </w:rPr>
        <w:t xml:space="preserve"> 《深圳市建设工程防水技术标准》SJG 19-2019</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12</w:t>
      </w:r>
      <w:r>
        <w:rPr>
          <w:rFonts w:hint="eastAsia" w:asciiTheme="minorEastAsia" w:hAnsiTheme="minorEastAsia" w:eastAsiaTheme="minorEastAsia"/>
          <w:bCs/>
          <w:sz w:val="28"/>
          <w:szCs w:val="28"/>
        </w:rPr>
        <w:t xml:space="preserve"> 《深圳市地下综合管廊工程技术规程》SJG 32-2017</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13</w:t>
      </w:r>
      <w:r>
        <w:rPr>
          <w:rFonts w:hint="eastAsia" w:asciiTheme="minorEastAsia" w:hAnsiTheme="minorEastAsia" w:eastAsiaTheme="minorEastAsia"/>
          <w:bCs/>
          <w:sz w:val="28"/>
          <w:szCs w:val="28"/>
        </w:rPr>
        <w:t xml:space="preserve"> 《深圳市公共建筑能耗标准》SJG 34-2017</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14</w:t>
      </w:r>
      <w:r>
        <w:rPr>
          <w:rFonts w:hint="eastAsia" w:asciiTheme="minorEastAsia" w:hAnsiTheme="minorEastAsia" w:eastAsiaTheme="minorEastAsia"/>
          <w:bCs/>
          <w:sz w:val="28"/>
          <w:szCs w:val="28"/>
        </w:rPr>
        <w:t xml:space="preserve"> 《深圳市建筑废弃物再生产品应用工程技术规程》SJG 37-2017</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15</w:t>
      </w:r>
      <w:r>
        <w:rPr>
          <w:rFonts w:hint="eastAsia" w:asciiTheme="minorEastAsia" w:hAnsiTheme="minorEastAsia" w:eastAsiaTheme="minorEastAsia"/>
          <w:bCs/>
          <w:sz w:val="28"/>
          <w:szCs w:val="28"/>
        </w:rPr>
        <w:t xml:space="preserve"> 《深圳市房屋建筑工程海绵设施设计规程》SJG 38-2017</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16</w:t>
      </w:r>
      <w:r>
        <w:rPr>
          <w:rFonts w:hint="eastAsia" w:asciiTheme="minorEastAsia" w:hAnsiTheme="minorEastAsia" w:eastAsiaTheme="minorEastAsia"/>
          <w:bCs/>
          <w:sz w:val="28"/>
          <w:szCs w:val="28"/>
        </w:rPr>
        <w:t xml:space="preserve"> 《深圳市电动自行车充电库（棚）工程技术规程》SJG 39-2017</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17</w:t>
      </w:r>
      <w:r>
        <w:rPr>
          <w:rFonts w:hint="eastAsia" w:asciiTheme="minorEastAsia" w:hAnsiTheme="minorEastAsia" w:eastAsiaTheme="minorEastAsia"/>
          <w:bCs/>
          <w:sz w:val="28"/>
          <w:szCs w:val="28"/>
        </w:rPr>
        <w:t xml:space="preserve"> 《深圳市公共建筑节能设计规范》 SJG 44-2018</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18</w:t>
      </w:r>
      <w:r>
        <w:rPr>
          <w:rFonts w:hint="eastAsia" w:asciiTheme="minorEastAsia" w:hAnsiTheme="minorEastAsia" w:eastAsiaTheme="minorEastAsia"/>
          <w:bCs/>
          <w:sz w:val="28"/>
          <w:szCs w:val="28"/>
        </w:rPr>
        <w:t xml:space="preserve"> 《深圳市居住建筑节能设计规范》SJG 45-2018</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19</w:t>
      </w:r>
      <w:r>
        <w:rPr>
          <w:rFonts w:hint="eastAsia" w:asciiTheme="minorEastAsia" w:hAnsiTheme="minorEastAsia" w:eastAsiaTheme="minorEastAsia"/>
          <w:bCs/>
          <w:sz w:val="28"/>
          <w:szCs w:val="28"/>
        </w:rPr>
        <w:t xml:space="preserve"> 《道路工程建筑废弃物再生产品应用技术规程》SJG 48-2018</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20</w:t>
      </w:r>
      <w:r>
        <w:rPr>
          <w:rFonts w:hint="eastAsia" w:asciiTheme="minorEastAsia" w:hAnsiTheme="minorEastAsia" w:eastAsiaTheme="minorEastAsia"/>
          <w:bCs/>
          <w:sz w:val="28"/>
          <w:szCs w:val="28"/>
        </w:rPr>
        <w:t xml:space="preserve"> 《深圳市公共场所母婴室设计规程》SJG 54-2019</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21</w:t>
      </w:r>
      <w:r>
        <w:rPr>
          <w:rFonts w:hint="eastAsia" w:asciiTheme="minorEastAsia" w:hAnsiTheme="minorEastAsia" w:eastAsiaTheme="minorEastAsia"/>
          <w:bCs/>
          <w:sz w:val="28"/>
          <w:szCs w:val="28"/>
        </w:rPr>
        <w:t xml:space="preserve"> 《深圳市抗震与消能减震技术规程》SJG 56-2019</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22</w:t>
      </w:r>
      <w:r>
        <w:rPr>
          <w:rFonts w:hint="eastAsia" w:asciiTheme="minorEastAsia" w:hAnsiTheme="minorEastAsia" w:eastAsiaTheme="minorEastAsia"/>
          <w:bCs/>
          <w:sz w:val="28"/>
          <w:szCs w:val="28"/>
        </w:rPr>
        <w:t xml:space="preserve"> 《深圳市道路声屏障设计指引》SJG 57-2019</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23</w:t>
      </w:r>
      <w:r>
        <w:rPr>
          <w:rFonts w:hint="eastAsia" w:asciiTheme="minorEastAsia" w:hAnsiTheme="minorEastAsia" w:eastAsiaTheme="minorEastAsia"/>
          <w:bCs/>
          <w:sz w:val="28"/>
          <w:szCs w:val="28"/>
        </w:rPr>
        <w:t xml:space="preserve"> 《园林绿化种植土质量》DB 440300/T34-2008</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24</w:t>
      </w:r>
      <w:r>
        <w:rPr>
          <w:rFonts w:hint="eastAsia" w:asciiTheme="minorEastAsia" w:hAnsiTheme="minorEastAsia" w:eastAsiaTheme="minorEastAsia"/>
          <w:bCs/>
          <w:sz w:val="28"/>
          <w:szCs w:val="28"/>
        </w:rPr>
        <w:t xml:space="preserve"> 《屋顶绿化设计规范》DB 440300/T37-2009</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25</w:t>
      </w:r>
      <w:r>
        <w:rPr>
          <w:rFonts w:hint="eastAsia" w:asciiTheme="minorEastAsia" w:hAnsiTheme="minorEastAsia" w:eastAsiaTheme="minorEastAsia"/>
          <w:bCs/>
          <w:sz w:val="28"/>
          <w:szCs w:val="28"/>
        </w:rPr>
        <w:t xml:space="preserve"> 《园林绿化管养规范化》DB 4403000/T6-1999</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26</w:t>
      </w:r>
      <w:r>
        <w:rPr>
          <w:rFonts w:hint="eastAsia" w:asciiTheme="minorEastAsia" w:hAnsiTheme="minorEastAsia" w:eastAsiaTheme="minorEastAsia"/>
          <w:bCs/>
          <w:sz w:val="28"/>
          <w:szCs w:val="28"/>
        </w:rPr>
        <w:t xml:space="preserve"> 《城市园林绿化用苗—木本苗木分级》DB 4403000/T28-2006</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27</w:t>
      </w:r>
      <w:r>
        <w:rPr>
          <w:rFonts w:hint="eastAsia" w:asciiTheme="minorEastAsia" w:hAnsiTheme="minorEastAsia" w:eastAsiaTheme="minorEastAsia"/>
          <w:bCs/>
          <w:sz w:val="28"/>
          <w:szCs w:val="28"/>
        </w:rPr>
        <w:t xml:space="preserve"> 《园林绿化工程验收规范 》DB 4403000/T29-2006</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28</w:t>
      </w:r>
      <w:r>
        <w:rPr>
          <w:rFonts w:hint="eastAsia" w:asciiTheme="minorEastAsia" w:hAnsiTheme="minorEastAsia" w:eastAsiaTheme="minorEastAsia"/>
          <w:bCs/>
          <w:sz w:val="28"/>
          <w:szCs w:val="28"/>
        </w:rPr>
        <w:t xml:space="preserve"> 《岩溶地区建筑地基基础技术规范》DBJT 15-136-2018</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29</w:t>
      </w:r>
      <w:r>
        <w:rPr>
          <w:rFonts w:hint="eastAsia" w:asciiTheme="minorEastAsia" w:hAnsiTheme="minorEastAsia" w:eastAsiaTheme="minorEastAsia"/>
          <w:bCs/>
          <w:sz w:val="28"/>
          <w:szCs w:val="28"/>
        </w:rPr>
        <w:t xml:space="preserve"> 《雨水利用工程技术规范》SZDB/Z 49-2011</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30</w:t>
      </w:r>
      <w:r>
        <w:rPr>
          <w:rFonts w:hint="eastAsia" w:asciiTheme="minorEastAsia" w:hAnsiTheme="minorEastAsia" w:eastAsiaTheme="minorEastAsia"/>
          <w:bCs/>
          <w:sz w:val="28"/>
          <w:szCs w:val="28"/>
        </w:rPr>
        <w:t xml:space="preserve"> 《公园标识系统建设规范》SZDB/Z 77—2013</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31</w:t>
      </w:r>
      <w:r>
        <w:rPr>
          <w:rFonts w:hint="eastAsia" w:asciiTheme="minorEastAsia" w:hAnsiTheme="minorEastAsia" w:eastAsiaTheme="minorEastAsia"/>
          <w:bCs/>
          <w:sz w:val="28"/>
          <w:szCs w:val="28"/>
        </w:rPr>
        <w:t xml:space="preserve"> 《低影响开发雨水综合利用技术规范》SZDB/Z 145-2015</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32</w:t>
      </w:r>
      <w:r>
        <w:rPr>
          <w:rFonts w:hint="eastAsia" w:asciiTheme="minorEastAsia" w:hAnsiTheme="minorEastAsia" w:eastAsiaTheme="minorEastAsia"/>
          <w:bCs/>
          <w:sz w:val="28"/>
          <w:szCs w:val="28"/>
        </w:rPr>
        <w:t xml:space="preserve"> 《涉河建设项目防洪评价和管理技术规范》SZDB/Z 215-2016</w:t>
      </w:r>
    </w:p>
    <w:p>
      <w:pPr>
        <w:spacing w:line="360" w:lineRule="auto"/>
        <w:rPr>
          <w:rFonts w:asciiTheme="minorEastAsia" w:hAnsiTheme="minorEastAsia" w:eastAsiaTheme="minorEastAsia"/>
          <w:bCs/>
          <w:sz w:val="28"/>
          <w:szCs w:val="28"/>
        </w:rPr>
      </w:pPr>
      <w:r>
        <w:rPr>
          <w:rFonts w:hint="eastAsia" w:asciiTheme="minorEastAsia" w:hAnsiTheme="minorEastAsia" w:eastAsiaTheme="minorEastAsia"/>
          <w:b/>
          <w:bCs/>
          <w:sz w:val="28"/>
          <w:szCs w:val="28"/>
        </w:rPr>
        <w:t>四、本市技术规定</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sz w:val="28"/>
          <w:szCs w:val="28"/>
        </w:rPr>
        <w:t>1</w:t>
      </w:r>
      <w:r>
        <w:rPr>
          <w:rFonts w:hint="eastAsia" w:asciiTheme="minorEastAsia" w:hAnsiTheme="minorEastAsia" w:eastAsiaTheme="minorEastAsia"/>
          <w:bCs/>
          <w:sz w:val="28"/>
          <w:szCs w:val="28"/>
        </w:rPr>
        <w:t xml:space="preserve"> 《深圳市道路设计指引（2017年版）》</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2</w:t>
      </w:r>
      <w:r>
        <w:rPr>
          <w:rFonts w:hint="eastAsia" w:asciiTheme="minorEastAsia" w:hAnsiTheme="minorEastAsia" w:eastAsiaTheme="minorEastAsia"/>
          <w:bCs/>
          <w:sz w:val="28"/>
          <w:szCs w:val="28"/>
        </w:rPr>
        <w:t xml:space="preserve"> 《深圳市环境噪声标准适用区划分》（深府[2008]99号）</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sz w:val="28"/>
          <w:szCs w:val="28"/>
        </w:rPr>
        <w:t>3</w:t>
      </w:r>
      <w:r>
        <w:rPr>
          <w:rFonts w:hint="eastAsia" w:asciiTheme="minorEastAsia" w:hAnsiTheme="minorEastAsia" w:eastAsiaTheme="minorEastAsia"/>
          <w:bCs/>
          <w:sz w:val="28"/>
          <w:szCs w:val="28"/>
        </w:rPr>
        <w:t xml:space="preserve"> 《深圳市城市规划标准与准则（2018年版）》</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4</w:t>
      </w:r>
      <w:r>
        <w:rPr>
          <w:rFonts w:hint="eastAsia" w:asciiTheme="minorEastAsia" w:hAnsiTheme="minorEastAsia" w:eastAsiaTheme="minorEastAsia"/>
          <w:bCs/>
          <w:sz w:val="28"/>
          <w:szCs w:val="28"/>
        </w:rPr>
        <w:t xml:space="preserve"> 《深圳市建筑设计规则（2019年版）》</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5</w:t>
      </w:r>
      <w:r>
        <w:rPr>
          <w:rFonts w:hint="eastAsia" w:asciiTheme="minorEastAsia" w:hAnsiTheme="minorEastAsia" w:eastAsiaTheme="minorEastAsia"/>
          <w:bCs/>
          <w:sz w:val="28"/>
          <w:szCs w:val="28"/>
        </w:rPr>
        <w:t xml:space="preserve"> 《深圳市海绵城市规划要点与审查细则（2019年版）》</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6</w:t>
      </w:r>
      <w:r>
        <w:rPr>
          <w:rFonts w:hint="eastAsia" w:asciiTheme="minorEastAsia" w:hAnsiTheme="minorEastAsia" w:eastAsiaTheme="minorEastAsia"/>
          <w:bCs/>
          <w:sz w:val="28"/>
          <w:szCs w:val="28"/>
        </w:rPr>
        <w:t xml:space="preserve"> 《深圳市海绵型公园绿地建设指引（2017年版）》</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7</w:t>
      </w:r>
      <w:r>
        <w:rPr>
          <w:rFonts w:hint="eastAsia" w:asciiTheme="minorEastAsia" w:hAnsiTheme="minorEastAsia" w:eastAsiaTheme="minorEastAsia"/>
          <w:bCs/>
          <w:sz w:val="28"/>
          <w:szCs w:val="28"/>
        </w:rPr>
        <w:t xml:space="preserve"> 《深圳市水务工程项目海绵城市建设技术指引（试行）》（2018年版）</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8</w:t>
      </w:r>
      <w:r>
        <w:rPr>
          <w:rFonts w:hint="eastAsia" w:asciiTheme="minorEastAsia" w:hAnsiTheme="minorEastAsia" w:eastAsiaTheme="minorEastAsia"/>
          <w:bCs/>
          <w:sz w:val="28"/>
          <w:szCs w:val="28"/>
        </w:rPr>
        <w:t xml:space="preserve"> 《深圳市海绵型道路建设技术指引（2019年版）》</w:t>
      </w:r>
    </w:p>
    <w:p>
      <w:pPr>
        <w:spacing w:line="360" w:lineRule="auto"/>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bCs/>
          <w:sz w:val="28"/>
          <w:szCs w:val="28"/>
        </w:rPr>
        <w:t>9</w:t>
      </w:r>
      <w:r>
        <w:rPr>
          <w:rFonts w:hint="eastAsia" w:asciiTheme="minorEastAsia" w:hAnsiTheme="minorEastAsia" w:eastAsiaTheme="minorEastAsia"/>
          <w:bCs/>
          <w:sz w:val="28"/>
          <w:szCs w:val="28"/>
        </w:rPr>
        <w:t xml:space="preserve"> 《深圳市城市轨道交通公共标志系统实施方案（修订本）》</w:t>
      </w:r>
    </w:p>
    <w:p>
      <w:pPr>
        <w:spacing w:line="360" w:lineRule="auto"/>
        <w:ind w:firstLine="560" w:firstLineChars="200"/>
        <w:rPr>
          <w:rFonts w:asciiTheme="minorEastAsia" w:hAnsiTheme="minorEastAsia" w:eastAsiaTheme="minorEastAsia"/>
          <w:bCs/>
          <w:sz w:val="28"/>
          <w:szCs w:val="28"/>
        </w:rPr>
      </w:pPr>
    </w:p>
    <w:p>
      <w:pPr>
        <w:spacing w:line="360" w:lineRule="auto"/>
        <w:ind w:firstLine="560" w:firstLineChars="200"/>
        <w:rPr>
          <w:rFonts w:asciiTheme="minorEastAsia" w:hAnsiTheme="minorEastAsia" w:eastAsiaTheme="minorEastAsia"/>
          <w:bCs/>
          <w:sz w:val="28"/>
          <w:szCs w:val="28"/>
        </w:rPr>
      </w:pPr>
    </w:p>
    <w:p>
      <w:pPr>
        <w:spacing w:line="360" w:lineRule="auto"/>
        <w:ind w:firstLine="560" w:firstLineChars="200"/>
        <w:rPr>
          <w:rFonts w:asciiTheme="minorEastAsia" w:hAnsiTheme="minorEastAsia" w:eastAsiaTheme="minorEastAsia"/>
          <w:bCs/>
          <w:sz w:val="28"/>
          <w:szCs w:val="28"/>
        </w:rPr>
      </w:pPr>
    </w:p>
    <w:p>
      <w:pPr>
        <w:pStyle w:val="2"/>
        <w:jc w:val="both"/>
        <w:rPr>
          <w:rFonts w:asciiTheme="minorEastAsia" w:hAnsiTheme="minorEastAsia" w:eastAsiaTheme="minorEastAsia"/>
          <w:b w:val="0"/>
          <w:kern w:val="2"/>
          <w:sz w:val="28"/>
          <w:szCs w:val="28"/>
        </w:rPr>
      </w:pPr>
    </w:p>
    <w:p>
      <w:pPr>
        <w:pStyle w:val="2"/>
        <w:jc w:val="both"/>
      </w:pPr>
    </w:p>
    <w:p>
      <w:pPr>
        <w:spacing w:line="360" w:lineRule="auto"/>
      </w:pPr>
    </w:p>
    <w:p>
      <w:pPr>
        <w:pageBreakBefore/>
        <w:tabs>
          <w:tab w:val="left" w:pos="709"/>
        </w:tabs>
        <w:adjustRightInd w:val="0"/>
        <w:snapToGrid w:val="0"/>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本导则用词说明</w:t>
      </w:r>
    </w:p>
    <w:p>
      <w:pPr>
        <w:tabs>
          <w:tab w:val="left" w:pos="709"/>
        </w:tabs>
        <w:adjustRightInd w:val="0"/>
        <w:snapToGrid w:val="0"/>
        <w:spacing w:line="360" w:lineRule="auto"/>
        <w:ind w:firstLine="550" w:firstLineChars="196"/>
        <w:jc w:val="left"/>
        <w:rPr>
          <w:rFonts w:asciiTheme="minorEastAsia" w:hAnsiTheme="minorEastAsia" w:eastAsiaTheme="minorEastAsia"/>
          <w:sz w:val="28"/>
          <w:szCs w:val="28"/>
        </w:rPr>
      </w:pPr>
      <w:r>
        <w:rPr>
          <w:rFonts w:hint="eastAsia" w:asciiTheme="minorEastAsia" w:hAnsiTheme="minorEastAsia" w:eastAsiaTheme="minorEastAsia"/>
          <w:b/>
          <w:bCs/>
          <w:sz w:val="28"/>
          <w:szCs w:val="28"/>
        </w:rPr>
        <w:t xml:space="preserve">1 </w:t>
      </w:r>
      <w:r>
        <w:rPr>
          <w:rFonts w:hint="eastAsia" w:asciiTheme="minorEastAsia" w:hAnsiTheme="minorEastAsia" w:eastAsiaTheme="minorEastAsia"/>
          <w:sz w:val="28"/>
          <w:szCs w:val="28"/>
        </w:rPr>
        <w:t>为了便于在执行本导则条文时区别对待，对要求严格程度不同的用词说明如下：</w:t>
      </w:r>
    </w:p>
    <w:p>
      <w:pPr>
        <w:tabs>
          <w:tab w:val="left" w:pos="709"/>
        </w:tabs>
        <w:adjustRightInd w:val="0"/>
        <w:snapToGrid w:val="0"/>
        <w:spacing w:line="36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1）表示很严格，非这样做不可的：</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　　正面词采用“必须”,反面词采用“严禁”；</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 xml:space="preserve">   2）表示严格，在正常情况下均应这样做的：</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　　正面词采用“应”,反面词采用“不应”或“不得”；</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 xml:space="preserve">   3）表示允许稍有选择，在条件许可时首先这样做的：</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　　正面词采用“宜”,反面词采用“不宜”；</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 xml:space="preserve">   4）表示有选择，在一定条件下可以这样做的，采用“可”。</w:t>
      </w:r>
    </w:p>
    <w:p>
      <w:pPr>
        <w:tabs>
          <w:tab w:val="left" w:pos="709"/>
        </w:tabs>
        <w:adjustRightInd w:val="0"/>
        <w:snapToGrid w:val="0"/>
        <w:spacing w:line="360" w:lineRule="auto"/>
        <w:ind w:firstLine="413" w:firstLineChars="147"/>
        <w:jc w:val="left"/>
        <w:rPr>
          <w:rFonts w:asciiTheme="minorEastAsia" w:hAnsiTheme="minorEastAsia" w:eastAsiaTheme="minorEastAsia"/>
          <w:sz w:val="28"/>
          <w:szCs w:val="28"/>
        </w:rPr>
      </w:pPr>
      <w:r>
        <w:rPr>
          <w:rFonts w:hint="eastAsia" w:asciiTheme="minorEastAsia" w:hAnsiTheme="minorEastAsia" w:eastAsiaTheme="minorEastAsia"/>
          <w:b/>
          <w:bCs/>
          <w:sz w:val="28"/>
          <w:szCs w:val="28"/>
        </w:rPr>
        <w:t xml:space="preserve">2 </w:t>
      </w:r>
      <w:r>
        <w:rPr>
          <w:rFonts w:hint="eastAsia" w:asciiTheme="minorEastAsia" w:hAnsiTheme="minorEastAsia" w:eastAsiaTheme="minorEastAsia"/>
          <w:sz w:val="28"/>
          <w:szCs w:val="28"/>
        </w:rPr>
        <w:t>本导则条文中指明应按其他有关标准、规范执行时，写法为：“应符合……的规定（或要求）”或“应按……执行”。</w:t>
      </w:r>
    </w:p>
    <w:p>
      <w:pPr>
        <w:spacing w:line="360" w:lineRule="auto"/>
        <w:ind w:right="-42" w:rightChars="-20"/>
        <w:jc w:val="center"/>
        <w:rPr>
          <w:rFonts w:eastAsia="黑体"/>
          <w:b/>
          <w:sz w:val="48"/>
          <w:szCs w:val="48"/>
        </w:rPr>
      </w:pPr>
    </w:p>
    <w:p>
      <w:pPr>
        <w:adjustRightInd w:val="0"/>
        <w:snapToGrid w:val="0"/>
        <w:spacing w:line="360" w:lineRule="auto"/>
        <w:rPr>
          <w:rFonts w:asciiTheme="minorEastAsia" w:hAnsiTheme="minorEastAsia" w:eastAsiaTheme="minorEastAsia" w:cstheme="minorEastAsia"/>
          <w:sz w:val="28"/>
          <w:szCs w:val="28"/>
        </w:rPr>
      </w:pPr>
    </w:p>
    <w:p>
      <w:pPr>
        <w:adjustRightInd w:val="0"/>
        <w:snapToGrid w:val="0"/>
        <w:spacing w:line="360" w:lineRule="auto"/>
        <w:rPr>
          <w:rFonts w:asciiTheme="minorEastAsia" w:hAnsiTheme="minorEastAsia" w:eastAsiaTheme="minorEastAsia" w:cstheme="minorEastAsia"/>
          <w:sz w:val="28"/>
          <w:szCs w:val="28"/>
        </w:rPr>
      </w:pPr>
    </w:p>
    <w:p>
      <w:pPr>
        <w:spacing w:line="360" w:lineRule="auto"/>
        <w:rPr>
          <w:rFonts w:asciiTheme="minorEastAsia" w:hAnsiTheme="minorEastAsia"/>
          <w:b/>
          <w:bCs/>
          <w:sz w:val="28"/>
          <w:szCs w:val="28"/>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华文中宋">
    <w:altName w:val="汉仪中宋简"/>
    <w:panose1 w:val="02010600040101010101"/>
    <w:charset w:val="86"/>
    <w:family w:val="auto"/>
    <w:pitch w:val="default"/>
    <w:sig w:usb0="00000000" w:usb1="00000000" w:usb2="00000000" w:usb3="00000000" w:csb0="0004009F" w:csb1="DFD70000"/>
  </w:font>
  <w:font w:name="Cambria">
    <w:altName w:val="FreeSerif"/>
    <w:panose1 w:val="02040503050406030204"/>
    <w:charset w:val="00"/>
    <w:family w:val="roman"/>
    <w:pitch w:val="default"/>
    <w:sig w:usb0="00000000" w:usb1="00000000" w:usb2="02000000" w:usb3="00000000" w:csb0="0000019F" w:csb1="00000000"/>
  </w:font>
  <w:font w:name="Verdana">
    <w:altName w:val="Ubuntu"/>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
    <w:altName w:val="URW Bookman"/>
    <w:panose1 w:val="00000000000000000000"/>
    <w:charset w:val="00"/>
    <w:family w:val="roman"/>
    <w:pitch w:val="default"/>
    <w:sig w:usb0="00000000" w:usb1="00000000" w:usb2="00000000" w:usb3="00000000" w:csb0="00000001" w:csb1="00000000"/>
  </w:font>
  <w:font w:name="?_GB2312">
    <w:altName w:val="URW Bookman"/>
    <w:panose1 w:val="00000000000000000000"/>
    <w:charset w:val="00"/>
    <w:family w:val="roman"/>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Century Schoolbook">
    <w:altName w:val="URW Bookman"/>
    <w:panose1 w:val="00000000000000000000"/>
    <w:charset w:val="00"/>
    <w:family w:val="roman"/>
    <w:pitch w:val="default"/>
    <w:sig w:usb0="00000000" w:usb1="00000000" w:usb2="00000000" w:usb3="00000000" w:csb0="2000009F" w:csb1="DFD70000"/>
  </w:font>
  <w:font w:name="黑体e眠副浡渀.">
    <w:altName w:val="黑体"/>
    <w:panose1 w:val="00000000000000000000"/>
    <w:charset w:val="86"/>
    <w:family w:val="auto"/>
    <w:pitch w:val="default"/>
    <w:sig w:usb0="00000000" w:usb1="00000000" w:usb2="00000010" w:usb3="00000000" w:csb0="00040000" w:csb1="00000000"/>
  </w:font>
  <w:font w:name="Helvetica">
    <w:altName w:val="Liberation Sans"/>
    <w:panose1 w:val="020B0604020202020204"/>
    <w:charset w:val="00"/>
    <w:family w:val="swiss"/>
    <w:pitch w:val="default"/>
    <w:sig w:usb0="00000000" w:usb1="00000000" w:usb2="00000000" w:usb3="00000000" w:csb0="0000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pStyle w:val="28"/>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22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1DBF583A"/>
    <w:multiLevelType w:val="multilevel"/>
    <w:tmpl w:val="1DBF583A"/>
    <w:lvl w:ilvl="0" w:tentative="0">
      <w:start w:val="1"/>
      <w:numFmt w:val="decimal"/>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pStyle w:val="220"/>
      <w:lvlText w:val="%2)"/>
      <w:lvlJc w:val="left"/>
      <w:pPr>
        <w:tabs>
          <w:tab w:val="left" w:pos="180"/>
        </w:tabs>
        <w:ind w:left="1172" w:hanging="629"/>
      </w:pPr>
      <w:rPr>
        <w:rFonts w:hint="eastAsia"/>
        <w:vertAlign w:val="baseline"/>
      </w:rPr>
    </w:lvl>
    <w:lvl w:ilvl="2" w:tentative="0">
      <w:start w:val="1"/>
      <w:numFmt w:val="lowerRoman"/>
      <w:pStyle w:val="221"/>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71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22"/>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568" w:firstLine="0"/>
      </w:pPr>
      <w:rPr>
        <w:rFonts w:hint="eastAsia" w:ascii="黑体" w:hAnsi="Times New Roman" w:eastAsia="黑体"/>
        <w:b w:val="0"/>
        <w:i w:val="0"/>
        <w:sz w:val="21"/>
      </w:rPr>
    </w:lvl>
    <w:lvl w:ilvl="4" w:tentative="0">
      <w:start w:val="1"/>
      <w:numFmt w:val="decimal"/>
      <w:pStyle w:val="223"/>
      <w:suff w:val="nothing"/>
      <w:lvlText w:val="%1.%2.%3.%4.%5　"/>
      <w:lvlJc w:val="left"/>
      <w:pPr>
        <w:ind w:left="0" w:firstLine="0"/>
      </w:pPr>
      <w:rPr>
        <w:rFonts w:hint="eastAsia" w:ascii="黑体" w:hAnsi="Times New Roman" w:eastAsia="黑体"/>
        <w:b w:val="0"/>
        <w:i w:val="0"/>
        <w:sz w:val="21"/>
      </w:rPr>
    </w:lvl>
    <w:lvl w:ilvl="5" w:tentative="0">
      <w:start w:val="1"/>
      <w:numFmt w:val="decimal"/>
      <w:pStyle w:val="22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B947E7C"/>
    <w:multiLevelType w:val="multilevel"/>
    <w:tmpl w:val="2B947E7C"/>
    <w:lvl w:ilvl="0" w:tentative="0">
      <w:start w:val="1"/>
      <w:numFmt w:val="japaneseCounting"/>
      <w:lvlText w:val="第%1条"/>
      <w:lvlJc w:val="left"/>
      <w:pPr>
        <w:tabs>
          <w:tab w:val="left" w:pos="1200"/>
        </w:tabs>
        <w:ind w:left="1200" w:hanging="960"/>
      </w:pPr>
    </w:lvl>
    <w:lvl w:ilvl="1" w:tentative="0">
      <w:start w:val="1"/>
      <w:numFmt w:val="decimal"/>
      <w:lvlText w:val="%2."/>
      <w:lvlJc w:val="left"/>
      <w:pPr>
        <w:tabs>
          <w:tab w:val="left" w:pos="1680"/>
        </w:tabs>
        <w:ind w:left="1680" w:hanging="360"/>
      </w:pPr>
    </w:lvl>
    <w:lvl w:ilvl="2" w:tentative="0">
      <w:start w:val="1"/>
      <w:numFmt w:val="decimal"/>
      <w:lvlText w:val="%3."/>
      <w:lvlJc w:val="left"/>
      <w:pPr>
        <w:tabs>
          <w:tab w:val="left" w:pos="2400"/>
        </w:tabs>
        <w:ind w:left="2400" w:hanging="360"/>
      </w:pPr>
    </w:lvl>
    <w:lvl w:ilvl="3" w:tentative="0">
      <w:start w:val="1"/>
      <w:numFmt w:val="decimal"/>
      <w:lvlText w:val="%4."/>
      <w:lvlJc w:val="left"/>
      <w:pPr>
        <w:tabs>
          <w:tab w:val="left" w:pos="3120"/>
        </w:tabs>
        <w:ind w:left="3120" w:hanging="360"/>
      </w:pPr>
    </w:lvl>
    <w:lvl w:ilvl="4" w:tentative="0">
      <w:start w:val="1"/>
      <w:numFmt w:val="decimal"/>
      <w:pStyle w:val="6"/>
      <w:lvlText w:val="%5."/>
      <w:lvlJc w:val="left"/>
      <w:pPr>
        <w:tabs>
          <w:tab w:val="left" w:pos="3840"/>
        </w:tabs>
        <w:ind w:left="3840" w:hanging="360"/>
      </w:pPr>
    </w:lvl>
    <w:lvl w:ilvl="5" w:tentative="0">
      <w:start w:val="1"/>
      <w:numFmt w:val="decimal"/>
      <w:pStyle w:val="7"/>
      <w:lvlText w:val="%6."/>
      <w:lvlJc w:val="left"/>
      <w:pPr>
        <w:tabs>
          <w:tab w:val="left" w:pos="4560"/>
        </w:tabs>
        <w:ind w:left="4560" w:hanging="360"/>
      </w:pPr>
    </w:lvl>
    <w:lvl w:ilvl="6" w:tentative="0">
      <w:start w:val="1"/>
      <w:numFmt w:val="decimal"/>
      <w:pStyle w:val="8"/>
      <w:lvlText w:val="%7."/>
      <w:lvlJc w:val="left"/>
      <w:pPr>
        <w:tabs>
          <w:tab w:val="left" w:pos="5280"/>
        </w:tabs>
        <w:ind w:left="5280" w:hanging="360"/>
      </w:pPr>
    </w:lvl>
    <w:lvl w:ilvl="7" w:tentative="0">
      <w:start w:val="1"/>
      <w:numFmt w:val="decimal"/>
      <w:pStyle w:val="9"/>
      <w:lvlText w:val="%8."/>
      <w:lvlJc w:val="left"/>
      <w:pPr>
        <w:tabs>
          <w:tab w:val="left" w:pos="6000"/>
        </w:tabs>
        <w:ind w:left="6000" w:hanging="360"/>
      </w:pPr>
    </w:lvl>
    <w:lvl w:ilvl="8" w:tentative="0">
      <w:start w:val="1"/>
      <w:numFmt w:val="decimal"/>
      <w:pStyle w:val="10"/>
      <w:lvlText w:val="%9."/>
      <w:lvlJc w:val="left"/>
      <w:pPr>
        <w:tabs>
          <w:tab w:val="left" w:pos="6720"/>
        </w:tabs>
        <w:ind w:left="6720" w:hanging="360"/>
      </w:pPr>
    </w:lvl>
  </w:abstractNum>
  <w:abstractNum w:abstractNumId="4">
    <w:nsid w:val="42C8412C"/>
    <w:multiLevelType w:val="multilevel"/>
    <w:tmpl w:val="42C8412C"/>
    <w:lvl w:ilvl="0" w:tentative="0">
      <w:start w:val="1"/>
      <w:numFmt w:val="decimal"/>
      <w:pStyle w:val="216"/>
      <w:lvlText w:val="%1"/>
      <w:lvlJc w:val="left"/>
      <w:pPr>
        <w:ind w:left="425" w:hanging="425"/>
      </w:pPr>
      <w:rPr>
        <w:rFonts w:hint="eastAsia"/>
      </w:rPr>
    </w:lvl>
    <w:lvl w:ilvl="1" w:tentative="0">
      <w:start w:val="1"/>
      <w:numFmt w:val="decimal"/>
      <w:pStyle w:val="217"/>
      <w:lvlText w:val="%1.%2"/>
      <w:lvlJc w:val="left"/>
      <w:pPr>
        <w:tabs>
          <w:tab w:val="left" w:pos="851"/>
        </w:tabs>
        <w:ind w:left="851" w:hanging="426"/>
      </w:pPr>
      <w:rPr>
        <w:rFonts w:hint="eastAsia"/>
      </w:rPr>
    </w:lvl>
    <w:lvl w:ilvl="2" w:tentative="0">
      <w:start w:val="1"/>
      <w:numFmt w:val="decimal"/>
      <w:pStyle w:val="218"/>
      <w:lvlText w:val="%1.%2.%3"/>
      <w:lvlJc w:val="left"/>
      <w:pPr>
        <w:tabs>
          <w:tab w:val="left" w:pos="1276"/>
        </w:tabs>
        <w:ind w:left="1276" w:hanging="425"/>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44302462"/>
    <w:multiLevelType w:val="multilevel"/>
    <w:tmpl w:val="44302462"/>
    <w:lvl w:ilvl="0" w:tentative="0">
      <w:start w:val="1"/>
      <w:numFmt w:val="decimal"/>
      <w:lvlText w:val="%1"/>
      <w:lvlJc w:val="left"/>
      <w:pPr>
        <w:ind w:left="920" w:hanging="36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646260FA"/>
    <w:multiLevelType w:val="multilevel"/>
    <w:tmpl w:val="646260FA"/>
    <w:lvl w:ilvl="0" w:tentative="0">
      <w:start w:val="1"/>
      <w:numFmt w:val="decimal"/>
      <w:pStyle w:val="228"/>
      <w:suff w:val="nothing"/>
      <w:lvlText w:val="表%1　"/>
      <w:lvlJc w:val="left"/>
      <w:pPr>
        <w:ind w:left="993" w:firstLine="0"/>
      </w:pPr>
      <w:rPr>
        <w:rFonts w:hint="eastAsia" w:ascii="黑体" w:hAnsi="Times New Roman" w:eastAsia="黑体"/>
        <w:b w:val="0"/>
        <w:i w:val="0"/>
        <w:sz w:val="21"/>
      </w:rPr>
    </w:lvl>
    <w:lvl w:ilvl="1" w:tentative="0">
      <w:start w:val="1"/>
      <w:numFmt w:val="decimal"/>
      <w:lvlText w:val="%1.%2"/>
      <w:lvlJc w:val="left"/>
      <w:pPr>
        <w:tabs>
          <w:tab w:val="left" w:pos="-1701"/>
        </w:tabs>
        <w:ind w:left="-1701" w:hanging="567"/>
      </w:pPr>
      <w:rPr>
        <w:rFonts w:hint="eastAsia"/>
      </w:rPr>
    </w:lvl>
    <w:lvl w:ilvl="2" w:tentative="0">
      <w:start w:val="1"/>
      <w:numFmt w:val="decimal"/>
      <w:lvlText w:val="%1.%2.%3"/>
      <w:lvlJc w:val="left"/>
      <w:pPr>
        <w:tabs>
          <w:tab w:val="left" w:pos="-1275"/>
        </w:tabs>
        <w:ind w:left="-1275" w:hanging="567"/>
      </w:pPr>
      <w:rPr>
        <w:rFonts w:hint="eastAsia"/>
      </w:rPr>
    </w:lvl>
    <w:lvl w:ilvl="3" w:tentative="0">
      <w:start w:val="1"/>
      <w:numFmt w:val="decimal"/>
      <w:lvlText w:val="%1.%2.%3.%4"/>
      <w:lvlJc w:val="left"/>
      <w:pPr>
        <w:tabs>
          <w:tab w:val="left" w:pos="-709"/>
        </w:tabs>
        <w:ind w:left="-709" w:hanging="708"/>
      </w:pPr>
      <w:rPr>
        <w:rFonts w:hint="eastAsia"/>
      </w:rPr>
    </w:lvl>
    <w:lvl w:ilvl="4" w:tentative="0">
      <w:start w:val="1"/>
      <w:numFmt w:val="decimal"/>
      <w:lvlText w:val="%1.%2.%3.%4.%5"/>
      <w:lvlJc w:val="left"/>
      <w:pPr>
        <w:tabs>
          <w:tab w:val="left" w:pos="-142"/>
        </w:tabs>
        <w:ind w:left="-142" w:hanging="850"/>
      </w:pPr>
      <w:rPr>
        <w:rFonts w:hint="eastAsia"/>
      </w:rPr>
    </w:lvl>
    <w:lvl w:ilvl="5" w:tentative="0">
      <w:start w:val="1"/>
      <w:numFmt w:val="decimal"/>
      <w:lvlText w:val="%1.%2.%3.%4.%5.%6"/>
      <w:lvlJc w:val="left"/>
      <w:pPr>
        <w:tabs>
          <w:tab w:val="left" w:pos="567"/>
        </w:tabs>
        <w:ind w:left="567" w:hanging="1134"/>
      </w:pPr>
      <w:rPr>
        <w:rFonts w:hint="eastAsia"/>
      </w:rPr>
    </w:lvl>
    <w:lvl w:ilvl="6" w:tentative="0">
      <w:start w:val="1"/>
      <w:numFmt w:val="decimal"/>
      <w:lvlText w:val="%1.%2.%3.%4.%5.%6.%7"/>
      <w:lvlJc w:val="left"/>
      <w:pPr>
        <w:tabs>
          <w:tab w:val="left" w:pos="1134"/>
        </w:tabs>
        <w:ind w:left="1134" w:hanging="1276"/>
      </w:pPr>
      <w:rPr>
        <w:rFonts w:hint="eastAsia"/>
      </w:rPr>
    </w:lvl>
    <w:lvl w:ilvl="7" w:tentative="0">
      <w:start w:val="1"/>
      <w:numFmt w:val="decimal"/>
      <w:lvlText w:val="%1.%2.%3.%4.%5.%6.%7.%8"/>
      <w:lvlJc w:val="left"/>
      <w:pPr>
        <w:tabs>
          <w:tab w:val="left" w:pos="1701"/>
        </w:tabs>
        <w:ind w:left="1701" w:hanging="1418"/>
      </w:pPr>
      <w:rPr>
        <w:rFonts w:hint="eastAsia"/>
      </w:rPr>
    </w:lvl>
    <w:lvl w:ilvl="8" w:tentative="0">
      <w:start w:val="1"/>
      <w:numFmt w:val="decimal"/>
      <w:lvlText w:val="%1.%2.%3.%4.%5.%6.%7.%8.%9"/>
      <w:lvlJc w:val="left"/>
      <w:pPr>
        <w:tabs>
          <w:tab w:val="left" w:pos="2409"/>
        </w:tabs>
        <w:ind w:left="2409" w:hanging="1700"/>
      </w:pPr>
      <w:rPr>
        <w:rFonts w:hint="eastAsia"/>
      </w:rPr>
    </w:lvl>
  </w:abstractNum>
  <w:num w:numId="1">
    <w:abstractNumId w:val="3"/>
  </w:num>
  <w:num w:numId="2">
    <w:abstractNumId w:val="4"/>
  </w:num>
  <w:num w:numId="3">
    <w:abstractNumId w:val="1"/>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true"/>
  <w:bordersDoNotSurroundFooter w:val="true"/>
  <w:hideSpellingErrors/>
  <w:documentProtection w:enforcement="0"/>
  <w:defaultTabStop w:val="420"/>
  <w:drawingGridVerticalSpacing w:val="156"/>
  <w:noPunctuationKerning w:val="true"/>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B5205"/>
    <w:rsid w:val="000004F7"/>
    <w:rsid w:val="00003364"/>
    <w:rsid w:val="00004BD9"/>
    <w:rsid w:val="00005D9D"/>
    <w:rsid w:val="00006440"/>
    <w:rsid w:val="0000710F"/>
    <w:rsid w:val="00010A86"/>
    <w:rsid w:val="00010CE9"/>
    <w:rsid w:val="00011D66"/>
    <w:rsid w:val="00011FD4"/>
    <w:rsid w:val="000126BA"/>
    <w:rsid w:val="000139F6"/>
    <w:rsid w:val="00013F70"/>
    <w:rsid w:val="00013FAF"/>
    <w:rsid w:val="000147C6"/>
    <w:rsid w:val="00014989"/>
    <w:rsid w:val="000179E8"/>
    <w:rsid w:val="00022AC6"/>
    <w:rsid w:val="000236B9"/>
    <w:rsid w:val="00023C19"/>
    <w:rsid w:val="00023E1E"/>
    <w:rsid w:val="00024481"/>
    <w:rsid w:val="0002607B"/>
    <w:rsid w:val="00026987"/>
    <w:rsid w:val="00026E20"/>
    <w:rsid w:val="00027371"/>
    <w:rsid w:val="0003109C"/>
    <w:rsid w:val="00031675"/>
    <w:rsid w:val="00031F4C"/>
    <w:rsid w:val="00032B80"/>
    <w:rsid w:val="00033916"/>
    <w:rsid w:val="00033ED2"/>
    <w:rsid w:val="0003456E"/>
    <w:rsid w:val="00034836"/>
    <w:rsid w:val="00035F77"/>
    <w:rsid w:val="00036286"/>
    <w:rsid w:val="00037343"/>
    <w:rsid w:val="00037735"/>
    <w:rsid w:val="00040A58"/>
    <w:rsid w:val="0004207E"/>
    <w:rsid w:val="000426C4"/>
    <w:rsid w:val="00042B43"/>
    <w:rsid w:val="00042C54"/>
    <w:rsid w:val="000433B9"/>
    <w:rsid w:val="000436FF"/>
    <w:rsid w:val="00044366"/>
    <w:rsid w:val="0004467C"/>
    <w:rsid w:val="000454AC"/>
    <w:rsid w:val="00045A04"/>
    <w:rsid w:val="0004613E"/>
    <w:rsid w:val="00046DBF"/>
    <w:rsid w:val="00046F26"/>
    <w:rsid w:val="00047236"/>
    <w:rsid w:val="0005018D"/>
    <w:rsid w:val="00050A51"/>
    <w:rsid w:val="00051CF1"/>
    <w:rsid w:val="000521A6"/>
    <w:rsid w:val="00052228"/>
    <w:rsid w:val="00052774"/>
    <w:rsid w:val="00052F87"/>
    <w:rsid w:val="00053ECA"/>
    <w:rsid w:val="000541C1"/>
    <w:rsid w:val="000542D6"/>
    <w:rsid w:val="000549D5"/>
    <w:rsid w:val="00054E13"/>
    <w:rsid w:val="00055528"/>
    <w:rsid w:val="000558BE"/>
    <w:rsid w:val="00055FA5"/>
    <w:rsid w:val="00056092"/>
    <w:rsid w:val="00056772"/>
    <w:rsid w:val="00056784"/>
    <w:rsid w:val="0005752A"/>
    <w:rsid w:val="00060137"/>
    <w:rsid w:val="00061371"/>
    <w:rsid w:val="000618F3"/>
    <w:rsid w:val="00061E3A"/>
    <w:rsid w:val="00064142"/>
    <w:rsid w:val="000641F1"/>
    <w:rsid w:val="00066DEE"/>
    <w:rsid w:val="000671CC"/>
    <w:rsid w:val="000731D9"/>
    <w:rsid w:val="00073C0F"/>
    <w:rsid w:val="000747CA"/>
    <w:rsid w:val="00074B01"/>
    <w:rsid w:val="00075D04"/>
    <w:rsid w:val="000761FA"/>
    <w:rsid w:val="000763AC"/>
    <w:rsid w:val="000811D2"/>
    <w:rsid w:val="000836C4"/>
    <w:rsid w:val="00083756"/>
    <w:rsid w:val="00085166"/>
    <w:rsid w:val="000856A1"/>
    <w:rsid w:val="000869B5"/>
    <w:rsid w:val="00091456"/>
    <w:rsid w:val="00091AE8"/>
    <w:rsid w:val="00093C09"/>
    <w:rsid w:val="00093EBE"/>
    <w:rsid w:val="00094121"/>
    <w:rsid w:val="00094E47"/>
    <w:rsid w:val="000954F8"/>
    <w:rsid w:val="00095869"/>
    <w:rsid w:val="00096D47"/>
    <w:rsid w:val="000A1157"/>
    <w:rsid w:val="000A14EB"/>
    <w:rsid w:val="000A291C"/>
    <w:rsid w:val="000A2A64"/>
    <w:rsid w:val="000A3668"/>
    <w:rsid w:val="000A4CA5"/>
    <w:rsid w:val="000A545E"/>
    <w:rsid w:val="000A66FF"/>
    <w:rsid w:val="000A701A"/>
    <w:rsid w:val="000A70DA"/>
    <w:rsid w:val="000A79C4"/>
    <w:rsid w:val="000B00AC"/>
    <w:rsid w:val="000B122B"/>
    <w:rsid w:val="000B249D"/>
    <w:rsid w:val="000B2942"/>
    <w:rsid w:val="000B3422"/>
    <w:rsid w:val="000B47FA"/>
    <w:rsid w:val="000B482D"/>
    <w:rsid w:val="000B55FF"/>
    <w:rsid w:val="000B59B6"/>
    <w:rsid w:val="000B64A2"/>
    <w:rsid w:val="000B6725"/>
    <w:rsid w:val="000B6CD2"/>
    <w:rsid w:val="000B71CE"/>
    <w:rsid w:val="000C071D"/>
    <w:rsid w:val="000C0F43"/>
    <w:rsid w:val="000C14E9"/>
    <w:rsid w:val="000C22CC"/>
    <w:rsid w:val="000C25A2"/>
    <w:rsid w:val="000C2A5A"/>
    <w:rsid w:val="000C345D"/>
    <w:rsid w:val="000C3BBC"/>
    <w:rsid w:val="000C44E8"/>
    <w:rsid w:val="000C4B11"/>
    <w:rsid w:val="000C540B"/>
    <w:rsid w:val="000C6983"/>
    <w:rsid w:val="000C72CF"/>
    <w:rsid w:val="000D03EB"/>
    <w:rsid w:val="000D12F4"/>
    <w:rsid w:val="000D26B7"/>
    <w:rsid w:val="000D3945"/>
    <w:rsid w:val="000D431B"/>
    <w:rsid w:val="000D449A"/>
    <w:rsid w:val="000D5C89"/>
    <w:rsid w:val="000D5EE6"/>
    <w:rsid w:val="000D68AD"/>
    <w:rsid w:val="000D7EE2"/>
    <w:rsid w:val="000E019A"/>
    <w:rsid w:val="000E0EFD"/>
    <w:rsid w:val="000E1749"/>
    <w:rsid w:val="000E1C57"/>
    <w:rsid w:val="000E1E23"/>
    <w:rsid w:val="000E3E68"/>
    <w:rsid w:val="000E3FF1"/>
    <w:rsid w:val="000E5F99"/>
    <w:rsid w:val="000E77E4"/>
    <w:rsid w:val="000E7E55"/>
    <w:rsid w:val="000F05B0"/>
    <w:rsid w:val="000F0B46"/>
    <w:rsid w:val="000F166B"/>
    <w:rsid w:val="000F1A45"/>
    <w:rsid w:val="000F3FA0"/>
    <w:rsid w:val="000F5316"/>
    <w:rsid w:val="000F5E58"/>
    <w:rsid w:val="000F6CE7"/>
    <w:rsid w:val="000F7CCA"/>
    <w:rsid w:val="00100474"/>
    <w:rsid w:val="001022FA"/>
    <w:rsid w:val="00102DE6"/>
    <w:rsid w:val="00103199"/>
    <w:rsid w:val="001043A7"/>
    <w:rsid w:val="0010521E"/>
    <w:rsid w:val="00106291"/>
    <w:rsid w:val="001073EB"/>
    <w:rsid w:val="00107C62"/>
    <w:rsid w:val="00110A31"/>
    <w:rsid w:val="00110F05"/>
    <w:rsid w:val="00111751"/>
    <w:rsid w:val="00111D39"/>
    <w:rsid w:val="00113897"/>
    <w:rsid w:val="00113F95"/>
    <w:rsid w:val="00114906"/>
    <w:rsid w:val="00114B20"/>
    <w:rsid w:val="00114D82"/>
    <w:rsid w:val="001150F9"/>
    <w:rsid w:val="00116A75"/>
    <w:rsid w:val="00116E46"/>
    <w:rsid w:val="001176CA"/>
    <w:rsid w:val="00117B55"/>
    <w:rsid w:val="00120C74"/>
    <w:rsid w:val="0012234D"/>
    <w:rsid w:val="00122567"/>
    <w:rsid w:val="001225C5"/>
    <w:rsid w:val="00122C26"/>
    <w:rsid w:val="001231A5"/>
    <w:rsid w:val="0012364B"/>
    <w:rsid w:val="0012385D"/>
    <w:rsid w:val="00123AF2"/>
    <w:rsid w:val="00124243"/>
    <w:rsid w:val="00124317"/>
    <w:rsid w:val="00124987"/>
    <w:rsid w:val="001262DA"/>
    <w:rsid w:val="0013066A"/>
    <w:rsid w:val="001344DF"/>
    <w:rsid w:val="00134B9F"/>
    <w:rsid w:val="00134E98"/>
    <w:rsid w:val="001350B0"/>
    <w:rsid w:val="00136189"/>
    <w:rsid w:val="00136690"/>
    <w:rsid w:val="00137023"/>
    <w:rsid w:val="0013728B"/>
    <w:rsid w:val="001426CD"/>
    <w:rsid w:val="00142F1B"/>
    <w:rsid w:val="00143A28"/>
    <w:rsid w:val="001458F3"/>
    <w:rsid w:val="0014694C"/>
    <w:rsid w:val="00146CB3"/>
    <w:rsid w:val="0014760A"/>
    <w:rsid w:val="0014779E"/>
    <w:rsid w:val="001505D4"/>
    <w:rsid w:val="00152725"/>
    <w:rsid w:val="00153095"/>
    <w:rsid w:val="00153C87"/>
    <w:rsid w:val="00154BDD"/>
    <w:rsid w:val="00155251"/>
    <w:rsid w:val="001561F7"/>
    <w:rsid w:val="00156503"/>
    <w:rsid w:val="00157E1B"/>
    <w:rsid w:val="001603A6"/>
    <w:rsid w:val="00162DEE"/>
    <w:rsid w:val="0016313D"/>
    <w:rsid w:val="001639F7"/>
    <w:rsid w:val="00164EBA"/>
    <w:rsid w:val="00165312"/>
    <w:rsid w:val="00165350"/>
    <w:rsid w:val="001662FA"/>
    <w:rsid w:val="00167DC6"/>
    <w:rsid w:val="00167F76"/>
    <w:rsid w:val="0017037B"/>
    <w:rsid w:val="00170580"/>
    <w:rsid w:val="00170840"/>
    <w:rsid w:val="001718D3"/>
    <w:rsid w:val="00171E44"/>
    <w:rsid w:val="001725A1"/>
    <w:rsid w:val="00172BE9"/>
    <w:rsid w:val="00172C65"/>
    <w:rsid w:val="00172D33"/>
    <w:rsid w:val="00173C84"/>
    <w:rsid w:val="00175919"/>
    <w:rsid w:val="001804A8"/>
    <w:rsid w:val="0018276A"/>
    <w:rsid w:val="00183D66"/>
    <w:rsid w:val="001853F6"/>
    <w:rsid w:val="0018546F"/>
    <w:rsid w:val="001859DF"/>
    <w:rsid w:val="00185E34"/>
    <w:rsid w:val="00187B28"/>
    <w:rsid w:val="0019078C"/>
    <w:rsid w:val="00192F8B"/>
    <w:rsid w:val="001933B0"/>
    <w:rsid w:val="001937EB"/>
    <w:rsid w:val="00193E0A"/>
    <w:rsid w:val="00197511"/>
    <w:rsid w:val="001A06B1"/>
    <w:rsid w:val="001A0E34"/>
    <w:rsid w:val="001A1262"/>
    <w:rsid w:val="001A1771"/>
    <w:rsid w:val="001A23C0"/>
    <w:rsid w:val="001A2589"/>
    <w:rsid w:val="001A3140"/>
    <w:rsid w:val="001A3B67"/>
    <w:rsid w:val="001A465A"/>
    <w:rsid w:val="001A4ED5"/>
    <w:rsid w:val="001A74A4"/>
    <w:rsid w:val="001A751A"/>
    <w:rsid w:val="001B0E35"/>
    <w:rsid w:val="001B272F"/>
    <w:rsid w:val="001B2C00"/>
    <w:rsid w:val="001B38B1"/>
    <w:rsid w:val="001B3E57"/>
    <w:rsid w:val="001B4A68"/>
    <w:rsid w:val="001B4B6F"/>
    <w:rsid w:val="001B5C36"/>
    <w:rsid w:val="001C2910"/>
    <w:rsid w:val="001C2BF0"/>
    <w:rsid w:val="001C320F"/>
    <w:rsid w:val="001C3922"/>
    <w:rsid w:val="001C4F8E"/>
    <w:rsid w:val="001C535B"/>
    <w:rsid w:val="001C5AB1"/>
    <w:rsid w:val="001C606F"/>
    <w:rsid w:val="001C7330"/>
    <w:rsid w:val="001D106E"/>
    <w:rsid w:val="001D166A"/>
    <w:rsid w:val="001D1E7E"/>
    <w:rsid w:val="001D3085"/>
    <w:rsid w:val="001D3204"/>
    <w:rsid w:val="001D4F16"/>
    <w:rsid w:val="001D4FC8"/>
    <w:rsid w:val="001D4FD0"/>
    <w:rsid w:val="001D57B3"/>
    <w:rsid w:val="001D5C62"/>
    <w:rsid w:val="001D5DCC"/>
    <w:rsid w:val="001D5F06"/>
    <w:rsid w:val="001D766B"/>
    <w:rsid w:val="001D7704"/>
    <w:rsid w:val="001D7A26"/>
    <w:rsid w:val="001E024F"/>
    <w:rsid w:val="001E0EF5"/>
    <w:rsid w:val="001E2187"/>
    <w:rsid w:val="001E260B"/>
    <w:rsid w:val="001E3E8F"/>
    <w:rsid w:val="001E7198"/>
    <w:rsid w:val="001F121F"/>
    <w:rsid w:val="001F1255"/>
    <w:rsid w:val="001F17A7"/>
    <w:rsid w:val="001F19E7"/>
    <w:rsid w:val="001F4ABF"/>
    <w:rsid w:val="001F50E3"/>
    <w:rsid w:val="001F51C1"/>
    <w:rsid w:val="001F5451"/>
    <w:rsid w:val="001F7969"/>
    <w:rsid w:val="00200681"/>
    <w:rsid w:val="00200E23"/>
    <w:rsid w:val="002019DE"/>
    <w:rsid w:val="00203967"/>
    <w:rsid w:val="0020547D"/>
    <w:rsid w:val="00210275"/>
    <w:rsid w:val="00210B0F"/>
    <w:rsid w:val="00210F06"/>
    <w:rsid w:val="0021191F"/>
    <w:rsid w:val="002126F8"/>
    <w:rsid w:val="0021331C"/>
    <w:rsid w:val="00213402"/>
    <w:rsid w:val="00213C16"/>
    <w:rsid w:val="00214E15"/>
    <w:rsid w:val="002169C1"/>
    <w:rsid w:val="00217211"/>
    <w:rsid w:val="00217437"/>
    <w:rsid w:val="00220D7F"/>
    <w:rsid w:val="00221769"/>
    <w:rsid w:val="00221FD5"/>
    <w:rsid w:val="002220D0"/>
    <w:rsid w:val="00222264"/>
    <w:rsid w:val="00222BFE"/>
    <w:rsid w:val="002237BF"/>
    <w:rsid w:val="00223CAC"/>
    <w:rsid w:val="00224F1E"/>
    <w:rsid w:val="0022577F"/>
    <w:rsid w:val="002260A7"/>
    <w:rsid w:val="00230366"/>
    <w:rsid w:val="0023071F"/>
    <w:rsid w:val="002322F8"/>
    <w:rsid w:val="00233F3C"/>
    <w:rsid w:val="00234877"/>
    <w:rsid w:val="00236219"/>
    <w:rsid w:val="002367F3"/>
    <w:rsid w:val="002377EB"/>
    <w:rsid w:val="002408A0"/>
    <w:rsid w:val="0024397B"/>
    <w:rsid w:val="00244761"/>
    <w:rsid w:val="002453B3"/>
    <w:rsid w:val="00245C5D"/>
    <w:rsid w:val="00246192"/>
    <w:rsid w:val="0024635F"/>
    <w:rsid w:val="002469A4"/>
    <w:rsid w:val="0024706C"/>
    <w:rsid w:val="002475E8"/>
    <w:rsid w:val="00247C4F"/>
    <w:rsid w:val="002505C7"/>
    <w:rsid w:val="0025123D"/>
    <w:rsid w:val="00251C5C"/>
    <w:rsid w:val="002530E7"/>
    <w:rsid w:val="00253E66"/>
    <w:rsid w:val="00254355"/>
    <w:rsid w:val="0025451F"/>
    <w:rsid w:val="00254577"/>
    <w:rsid w:val="0025477A"/>
    <w:rsid w:val="0025494A"/>
    <w:rsid w:val="00254D74"/>
    <w:rsid w:val="0025538C"/>
    <w:rsid w:val="00256A6B"/>
    <w:rsid w:val="00257A02"/>
    <w:rsid w:val="00261006"/>
    <w:rsid w:val="002613C6"/>
    <w:rsid w:val="00261450"/>
    <w:rsid w:val="0026218A"/>
    <w:rsid w:val="00262CC1"/>
    <w:rsid w:val="002632B9"/>
    <w:rsid w:val="00263FCB"/>
    <w:rsid w:val="0026547D"/>
    <w:rsid w:val="0026595A"/>
    <w:rsid w:val="002674C2"/>
    <w:rsid w:val="00270600"/>
    <w:rsid w:val="00270995"/>
    <w:rsid w:val="00270B9A"/>
    <w:rsid w:val="00272411"/>
    <w:rsid w:val="00272925"/>
    <w:rsid w:val="00272EE8"/>
    <w:rsid w:val="00275EE1"/>
    <w:rsid w:val="002776E5"/>
    <w:rsid w:val="00277829"/>
    <w:rsid w:val="0028298A"/>
    <w:rsid w:val="002833DF"/>
    <w:rsid w:val="002837A5"/>
    <w:rsid w:val="00284334"/>
    <w:rsid w:val="002856D2"/>
    <w:rsid w:val="00285D82"/>
    <w:rsid w:val="002865E8"/>
    <w:rsid w:val="00286E4C"/>
    <w:rsid w:val="00287F05"/>
    <w:rsid w:val="002903DE"/>
    <w:rsid w:val="002922AD"/>
    <w:rsid w:val="00292915"/>
    <w:rsid w:val="00292B77"/>
    <w:rsid w:val="00292F54"/>
    <w:rsid w:val="00293840"/>
    <w:rsid w:val="002944D3"/>
    <w:rsid w:val="00294D4B"/>
    <w:rsid w:val="00295751"/>
    <w:rsid w:val="00295E1B"/>
    <w:rsid w:val="00296706"/>
    <w:rsid w:val="00297AE6"/>
    <w:rsid w:val="00297D4C"/>
    <w:rsid w:val="002A0233"/>
    <w:rsid w:val="002A0905"/>
    <w:rsid w:val="002A1AB9"/>
    <w:rsid w:val="002A2AAA"/>
    <w:rsid w:val="002A366A"/>
    <w:rsid w:val="002A7455"/>
    <w:rsid w:val="002A74AB"/>
    <w:rsid w:val="002A7E10"/>
    <w:rsid w:val="002B0506"/>
    <w:rsid w:val="002B331A"/>
    <w:rsid w:val="002B495A"/>
    <w:rsid w:val="002B4C25"/>
    <w:rsid w:val="002B58E7"/>
    <w:rsid w:val="002B5DA8"/>
    <w:rsid w:val="002B5F00"/>
    <w:rsid w:val="002B637C"/>
    <w:rsid w:val="002B71F0"/>
    <w:rsid w:val="002B73F5"/>
    <w:rsid w:val="002B7E9B"/>
    <w:rsid w:val="002C0426"/>
    <w:rsid w:val="002C0D8B"/>
    <w:rsid w:val="002C0DFF"/>
    <w:rsid w:val="002C11EE"/>
    <w:rsid w:val="002C21B9"/>
    <w:rsid w:val="002C2246"/>
    <w:rsid w:val="002D2E0E"/>
    <w:rsid w:val="002D3306"/>
    <w:rsid w:val="002D332B"/>
    <w:rsid w:val="002D3A32"/>
    <w:rsid w:val="002D3F16"/>
    <w:rsid w:val="002D4331"/>
    <w:rsid w:val="002D4DDF"/>
    <w:rsid w:val="002D557E"/>
    <w:rsid w:val="002D5771"/>
    <w:rsid w:val="002D5906"/>
    <w:rsid w:val="002D6F27"/>
    <w:rsid w:val="002E0E6C"/>
    <w:rsid w:val="002E1148"/>
    <w:rsid w:val="002E2AAC"/>
    <w:rsid w:val="002E43DB"/>
    <w:rsid w:val="002E463B"/>
    <w:rsid w:val="002E51EF"/>
    <w:rsid w:val="002E7280"/>
    <w:rsid w:val="002F22BE"/>
    <w:rsid w:val="002F22DB"/>
    <w:rsid w:val="002F2FB6"/>
    <w:rsid w:val="002F49A8"/>
    <w:rsid w:val="002F5AFA"/>
    <w:rsid w:val="002F60B7"/>
    <w:rsid w:val="002F6530"/>
    <w:rsid w:val="002F65F2"/>
    <w:rsid w:val="002F758A"/>
    <w:rsid w:val="00300E53"/>
    <w:rsid w:val="00301B41"/>
    <w:rsid w:val="00301D57"/>
    <w:rsid w:val="0030322D"/>
    <w:rsid w:val="00303965"/>
    <w:rsid w:val="00303FAD"/>
    <w:rsid w:val="003044C4"/>
    <w:rsid w:val="00305A21"/>
    <w:rsid w:val="0030714C"/>
    <w:rsid w:val="00311658"/>
    <w:rsid w:val="0031236A"/>
    <w:rsid w:val="00313048"/>
    <w:rsid w:val="00314CBE"/>
    <w:rsid w:val="00314F4A"/>
    <w:rsid w:val="00315C0E"/>
    <w:rsid w:val="00316ACC"/>
    <w:rsid w:val="003171C5"/>
    <w:rsid w:val="003173E2"/>
    <w:rsid w:val="00322A8D"/>
    <w:rsid w:val="00323729"/>
    <w:rsid w:val="00323A6F"/>
    <w:rsid w:val="00323B00"/>
    <w:rsid w:val="00323DD2"/>
    <w:rsid w:val="00323F31"/>
    <w:rsid w:val="003240B7"/>
    <w:rsid w:val="00326AF7"/>
    <w:rsid w:val="00327586"/>
    <w:rsid w:val="003346B6"/>
    <w:rsid w:val="00334DED"/>
    <w:rsid w:val="00335719"/>
    <w:rsid w:val="00335B3C"/>
    <w:rsid w:val="0033730A"/>
    <w:rsid w:val="00340364"/>
    <w:rsid w:val="00340C49"/>
    <w:rsid w:val="00342515"/>
    <w:rsid w:val="00342BE7"/>
    <w:rsid w:val="00342CFA"/>
    <w:rsid w:val="003438B0"/>
    <w:rsid w:val="00343938"/>
    <w:rsid w:val="00343AAF"/>
    <w:rsid w:val="00345407"/>
    <w:rsid w:val="00345B49"/>
    <w:rsid w:val="00346859"/>
    <w:rsid w:val="00346BE0"/>
    <w:rsid w:val="00346C5D"/>
    <w:rsid w:val="00347278"/>
    <w:rsid w:val="003527A6"/>
    <w:rsid w:val="00353075"/>
    <w:rsid w:val="003530E7"/>
    <w:rsid w:val="00353BB8"/>
    <w:rsid w:val="00353CB3"/>
    <w:rsid w:val="00353DBC"/>
    <w:rsid w:val="00354547"/>
    <w:rsid w:val="00354AD9"/>
    <w:rsid w:val="00356201"/>
    <w:rsid w:val="003577E4"/>
    <w:rsid w:val="003612AE"/>
    <w:rsid w:val="0036245A"/>
    <w:rsid w:val="003630B9"/>
    <w:rsid w:val="00363A8C"/>
    <w:rsid w:val="003644C7"/>
    <w:rsid w:val="003646D9"/>
    <w:rsid w:val="003656DF"/>
    <w:rsid w:val="00365834"/>
    <w:rsid w:val="003662AD"/>
    <w:rsid w:val="00366564"/>
    <w:rsid w:val="00366820"/>
    <w:rsid w:val="00366ED8"/>
    <w:rsid w:val="00367075"/>
    <w:rsid w:val="0036752D"/>
    <w:rsid w:val="00371175"/>
    <w:rsid w:val="00371C44"/>
    <w:rsid w:val="00372924"/>
    <w:rsid w:val="00372DB9"/>
    <w:rsid w:val="00373ABE"/>
    <w:rsid w:val="00373C9A"/>
    <w:rsid w:val="003742D5"/>
    <w:rsid w:val="00374572"/>
    <w:rsid w:val="003746FB"/>
    <w:rsid w:val="0037733B"/>
    <w:rsid w:val="0038002B"/>
    <w:rsid w:val="003802CC"/>
    <w:rsid w:val="00380A33"/>
    <w:rsid w:val="00380BE4"/>
    <w:rsid w:val="003827BF"/>
    <w:rsid w:val="00383885"/>
    <w:rsid w:val="003844F8"/>
    <w:rsid w:val="00384966"/>
    <w:rsid w:val="0038510F"/>
    <w:rsid w:val="0038618D"/>
    <w:rsid w:val="003864CD"/>
    <w:rsid w:val="0038702A"/>
    <w:rsid w:val="003875C5"/>
    <w:rsid w:val="00387739"/>
    <w:rsid w:val="00387AEA"/>
    <w:rsid w:val="00387E32"/>
    <w:rsid w:val="00387EC8"/>
    <w:rsid w:val="00387FD7"/>
    <w:rsid w:val="00390894"/>
    <w:rsid w:val="0039143F"/>
    <w:rsid w:val="003915A7"/>
    <w:rsid w:val="0039161B"/>
    <w:rsid w:val="00391853"/>
    <w:rsid w:val="003933DE"/>
    <w:rsid w:val="00393C9D"/>
    <w:rsid w:val="00395E42"/>
    <w:rsid w:val="003A07E1"/>
    <w:rsid w:val="003A19B4"/>
    <w:rsid w:val="003A22D3"/>
    <w:rsid w:val="003A2607"/>
    <w:rsid w:val="003A354B"/>
    <w:rsid w:val="003A3F82"/>
    <w:rsid w:val="003A4345"/>
    <w:rsid w:val="003A4554"/>
    <w:rsid w:val="003A4B73"/>
    <w:rsid w:val="003A6048"/>
    <w:rsid w:val="003A6F97"/>
    <w:rsid w:val="003A71CB"/>
    <w:rsid w:val="003B319B"/>
    <w:rsid w:val="003B468C"/>
    <w:rsid w:val="003B477D"/>
    <w:rsid w:val="003B5C4A"/>
    <w:rsid w:val="003B6080"/>
    <w:rsid w:val="003B6232"/>
    <w:rsid w:val="003B64D1"/>
    <w:rsid w:val="003B71E5"/>
    <w:rsid w:val="003B7587"/>
    <w:rsid w:val="003C0447"/>
    <w:rsid w:val="003C09D5"/>
    <w:rsid w:val="003C15A3"/>
    <w:rsid w:val="003C224F"/>
    <w:rsid w:val="003C25E3"/>
    <w:rsid w:val="003C26AF"/>
    <w:rsid w:val="003C2935"/>
    <w:rsid w:val="003C2D61"/>
    <w:rsid w:val="003C2D8D"/>
    <w:rsid w:val="003C2F12"/>
    <w:rsid w:val="003C31E7"/>
    <w:rsid w:val="003C3300"/>
    <w:rsid w:val="003C38C1"/>
    <w:rsid w:val="003C410C"/>
    <w:rsid w:val="003C552F"/>
    <w:rsid w:val="003C64A9"/>
    <w:rsid w:val="003C7B1B"/>
    <w:rsid w:val="003D00B4"/>
    <w:rsid w:val="003D0637"/>
    <w:rsid w:val="003D1294"/>
    <w:rsid w:val="003D15B3"/>
    <w:rsid w:val="003D192B"/>
    <w:rsid w:val="003D2B53"/>
    <w:rsid w:val="003D2C07"/>
    <w:rsid w:val="003D366E"/>
    <w:rsid w:val="003D3686"/>
    <w:rsid w:val="003D62A4"/>
    <w:rsid w:val="003D62BA"/>
    <w:rsid w:val="003D6586"/>
    <w:rsid w:val="003E0C13"/>
    <w:rsid w:val="003E1153"/>
    <w:rsid w:val="003E1429"/>
    <w:rsid w:val="003E253C"/>
    <w:rsid w:val="003E307A"/>
    <w:rsid w:val="003E5644"/>
    <w:rsid w:val="003E56FF"/>
    <w:rsid w:val="003E5E49"/>
    <w:rsid w:val="003E6D10"/>
    <w:rsid w:val="003E756C"/>
    <w:rsid w:val="003E7EC0"/>
    <w:rsid w:val="003F0B7A"/>
    <w:rsid w:val="003F2921"/>
    <w:rsid w:val="003F2C03"/>
    <w:rsid w:val="003F4445"/>
    <w:rsid w:val="003F4BA0"/>
    <w:rsid w:val="003F5475"/>
    <w:rsid w:val="003F6308"/>
    <w:rsid w:val="003F68D5"/>
    <w:rsid w:val="003F6926"/>
    <w:rsid w:val="003F76CC"/>
    <w:rsid w:val="003F7F03"/>
    <w:rsid w:val="00400628"/>
    <w:rsid w:val="004009F4"/>
    <w:rsid w:val="00402B69"/>
    <w:rsid w:val="00402B77"/>
    <w:rsid w:val="00403FF5"/>
    <w:rsid w:val="004042B4"/>
    <w:rsid w:val="00404398"/>
    <w:rsid w:val="004044C2"/>
    <w:rsid w:val="00404E76"/>
    <w:rsid w:val="00412026"/>
    <w:rsid w:val="00413C11"/>
    <w:rsid w:val="004141D0"/>
    <w:rsid w:val="00417306"/>
    <w:rsid w:val="00417C31"/>
    <w:rsid w:val="00417D88"/>
    <w:rsid w:val="00421939"/>
    <w:rsid w:val="00421C5B"/>
    <w:rsid w:val="00423252"/>
    <w:rsid w:val="00423377"/>
    <w:rsid w:val="004258DA"/>
    <w:rsid w:val="00425A0B"/>
    <w:rsid w:val="00425DE1"/>
    <w:rsid w:val="0042758A"/>
    <w:rsid w:val="004276F4"/>
    <w:rsid w:val="00427B38"/>
    <w:rsid w:val="00427E7E"/>
    <w:rsid w:val="0043005F"/>
    <w:rsid w:val="004319B2"/>
    <w:rsid w:val="00432ECD"/>
    <w:rsid w:val="00432FF0"/>
    <w:rsid w:val="00433356"/>
    <w:rsid w:val="00434330"/>
    <w:rsid w:val="00434A49"/>
    <w:rsid w:val="00435740"/>
    <w:rsid w:val="00436EBA"/>
    <w:rsid w:val="00437EF6"/>
    <w:rsid w:val="0044028B"/>
    <w:rsid w:val="0044043F"/>
    <w:rsid w:val="00443C00"/>
    <w:rsid w:val="004453AC"/>
    <w:rsid w:val="00445902"/>
    <w:rsid w:val="00446104"/>
    <w:rsid w:val="0044681E"/>
    <w:rsid w:val="0044740B"/>
    <w:rsid w:val="00450F5C"/>
    <w:rsid w:val="00452F00"/>
    <w:rsid w:val="00457091"/>
    <w:rsid w:val="00457F6C"/>
    <w:rsid w:val="00460ECF"/>
    <w:rsid w:val="00461061"/>
    <w:rsid w:val="00462E28"/>
    <w:rsid w:val="0046310A"/>
    <w:rsid w:val="00464786"/>
    <w:rsid w:val="0046503B"/>
    <w:rsid w:val="00465EC6"/>
    <w:rsid w:val="00466C57"/>
    <w:rsid w:val="00466FEA"/>
    <w:rsid w:val="0046702F"/>
    <w:rsid w:val="0046744A"/>
    <w:rsid w:val="00470216"/>
    <w:rsid w:val="00470502"/>
    <w:rsid w:val="0047062A"/>
    <w:rsid w:val="00470D7D"/>
    <w:rsid w:val="00470DFB"/>
    <w:rsid w:val="00471D89"/>
    <w:rsid w:val="00472057"/>
    <w:rsid w:val="00473C2D"/>
    <w:rsid w:val="0047412D"/>
    <w:rsid w:val="00475B0F"/>
    <w:rsid w:val="00476066"/>
    <w:rsid w:val="00476E62"/>
    <w:rsid w:val="004772F1"/>
    <w:rsid w:val="004809C3"/>
    <w:rsid w:val="00480A0C"/>
    <w:rsid w:val="00480ECC"/>
    <w:rsid w:val="004817D1"/>
    <w:rsid w:val="00482E34"/>
    <w:rsid w:val="00485CC9"/>
    <w:rsid w:val="00486B92"/>
    <w:rsid w:val="0048796C"/>
    <w:rsid w:val="00487E30"/>
    <w:rsid w:val="00487F35"/>
    <w:rsid w:val="004900C0"/>
    <w:rsid w:val="00490E62"/>
    <w:rsid w:val="00491791"/>
    <w:rsid w:val="00491939"/>
    <w:rsid w:val="0049325D"/>
    <w:rsid w:val="004960BD"/>
    <w:rsid w:val="00496649"/>
    <w:rsid w:val="00497FD8"/>
    <w:rsid w:val="004A1721"/>
    <w:rsid w:val="004A23FE"/>
    <w:rsid w:val="004A2D97"/>
    <w:rsid w:val="004A4FEC"/>
    <w:rsid w:val="004A5F0D"/>
    <w:rsid w:val="004A7E78"/>
    <w:rsid w:val="004B0C49"/>
    <w:rsid w:val="004B0E2D"/>
    <w:rsid w:val="004B16F1"/>
    <w:rsid w:val="004B21EC"/>
    <w:rsid w:val="004B32E3"/>
    <w:rsid w:val="004B4480"/>
    <w:rsid w:val="004B6035"/>
    <w:rsid w:val="004B675D"/>
    <w:rsid w:val="004B734A"/>
    <w:rsid w:val="004B743D"/>
    <w:rsid w:val="004B7CB9"/>
    <w:rsid w:val="004B7DF2"/>
    <w:rsid w:val="004C075D"/>
    <w:rsid w:val="004C0F2C"/>
    <w:rsid w:val="004C1FE1"/>
    <w:rsid w:val="004C326F"/>
    <w:rsid w:val="004C3BB4"/>
    <w:rsid w:val="004C49C9"/>
    <w:rsid w:val="004C5A74"/>
    <w:rsid w:val="004C5C21"/>
    <w:rsid w:val="004C63EC"/>
    <w:rsid w:val="004D04F3"/>
    <w:rsid w:val="004D0A55"/>
    <w:rsid w:val="004D0E7E"/>
    <w:rsid w:val="004D2CE9"/>
    <w:rsid w:val="004D3A79"/>
    <w:rsid w:val="004D4491"/>
    <w:rsid w:val="004D4D77"/>
    <w:rsid w:val="004D6957"/>
    <w:rsid w:val="004D7A36"/>
    <w:rsid w:val="004E05FE"/>
    <w:rsid w:val="004E1112"/>
    <w:rsid w:val="004E1DC1"/>
    <w:rsid w:val="004E25C5"/>
    <w:rsid w:val="004E2E39"/>
    <w:rsid w:val="004E70BB"/>
    <w:rsid w:val="004F1096"/>
    <w:rsid w:val="004F19DF"/>
    <w:rsid w:val="004F1E70"/>
    <w:rsid w:val="004F2B4F"/>
    <w:rsid w:val="004F2EE1"/>
    <w:rsid w:val="004F3533"/>
    <w:rsid w:val="004F4055"/>
    <w:rsid w:val="004F4627"/>
    <w:rsid w:val="004F48E9"/>
    <w:rsid w:val="004F4A3D"/>
    <w:rsid w:val="004F4D87"/>
    <w:rsid w:val="005016E1"/>
    <w:rsid w:val="00502F88"/>
    <w:rsid w:val="0050331B"/>
    <w:rsid w:val="00503759"/>
    <w:rsid w:val="00503E51"/>
    <w:rsid w:val="00506B7F"/>
    <w:rsid w:val="005074BA"/>
    <w:rsid w:val="00507916"/>
    <w:rsid w:val="00512BF6"/>
    <w:rsid w:val="005139D8"/>
    <w:rsid w:val="0051471E"/>
    <w:rsid w:val="00514754"/>
    <w:rsid w:val="00514D16"/>
    <w:rsid w:val="00514EC5"/>
    <w:rsid w:val="0051758A"/>
    <w:rsid w:val="00517ED2"/>
    <w:rsid w:val="00520637"/>
    <w:rsid w:val="00520C7B"/>
    <w:rsid w:val="0052126A"/>
    <w:rsid w:val="00521995"/>
    <w:rsid w:val="0052224A"/>
    <w:rsid w:val="00523018"/>
    <w:rsid w:val="00523931"/>
    <w:rsid w:val="005239F6"/>
    <w:rsid w:val="00523AA8"/>
    <w:rsid w:val="005261BB"/>
    <w:rsid w:val="00526835"/>
    <w:rsid w:val="00526F0D"/>
    <w:rsid w:val="005274D1"/>
    <w:rsid w:val="0053136E"/>
    <w:rsid w:val="00532428"/>
    <w:rsid w:val="00534119"/>
    <w:rsid w:val="005343D1"/>
    <w:rsid w:val="005345E4"/>
    <w:rsid w:val="00534771"/>
    <w:rsid w:val="00534854"/>
    <w:rsid w:val="00534E95"/>
    <w:rsid w:val="00535821"/>
    <w:rsid w:val="00536342"/>
    <w:rsid w:val="0053644C"/>
    <w:rsid w:val="00536CF0"/>
    <w:rsid w:val="00537865"/>
    <w:rsid w:val="00540224"/>
    <w:rsid w:val="00541F42"/>
    <w:rsid w:val="00541F4B"/>
    <w:rsid w:val="00542934"/>
    <w:rsid w:val="005430CE"/>
    <w:rsid w:val="00543B28"/>
    <w:rsid w:val="005443F0"/>
    <w:rsid w:val="005446B6"/>
    <w:rsid w:val="0054497A"/>
    <w:rsid w:val="005459F5"/>
    <w:rsid w:val="00546799"/>
    <w:rsid w:val="0055073A"/>
    <w:rsid w:val="00551213"/>
    <w:rsid w:val="00551A0C"/>
    <w:rsid w:val="0055214F"/>
    <w:rsid w:val="0055259F"/>
    <w:rsid w:val="00552805"/>
    <w:rsid w:val="00552EED"/>
    <w:rsid w:val="005538AE"/>
    <w:rsid w:val="00553A54"/>
    <w:rsid w:val="00553E44"/>
    <w:rsid w:val="00555055"/>
    <w:rsid w:val="005554E6"/>
    <w:rsid w:val="00555586"/>
    <w:rsid w:val="00555787"/>
    <w:rsid w:val="00556412"/>
    <w:rsid w:val="00556EDC"/>
    <w:rsid w:val="00557237"/>
    <w:rsid w:val="005573BC"/>
    <w:rsid w:val="005601FE"/>
    <w:rsid w:val="0056027A"/>
    <w:rsid w:val="00560D0D"/>
    <w:rsid w:val="005616B1"/>
    <w:rsid w:val="0056188A"/>
    <w:rsid w:val="00561EA7"/>
    <w:rsid w:val="00562253"/>
    <w:rsid w:val="0056239F"/>
    <w:rsid w:val="00562624"/>
    <w:rsid w:val="005634E2"/>
    <w:rsid w:val="005647C2"/>
    <w:rsid w:val="005647D1"/>
    <w:rsid w:val="00564BF0"/>
    <w:rsid w:val="00566D1F"/>
    <w:rsid w:val="00567654"/>
    <w:rsid w:val="005701F0"/>
    <w:rsid w:val="00570D7F"/>
    <w:rsid w:val="00570E40"/>
    <w:rsid w:val="00571020"/>
    <w:rsid w:val="00571A8C"/>
    <w:rsid w:val="00571D68"/>
    <w:rsid w:val="00572D8D"/>
    <w:rsid w:val="005733BE"/>
    <w:rsid w:val="00573F03"/>
    <w:rsid w:val="00574834"/>
    <w:rsid w:val="00574895"/>
    <w:rsid w:val="00576E6B"/>
    <w:rsid w:val="0058098F"/>
    <w:rsid w:val="005816F9"/>
    <w:rsid w:val="0058204F"/>
    <w:rsid w:val="0058248D"/>
    <w:rsid w:val="00582852"/>
    <w:rsid w:val="00582F56"/>
    <w:rsid w:val="00584A2A"/>
    <w:rsid w:val="00585174"/>
    <w:rsid w:val="00585658"/>
    <w:rsid w:val="005856E7"/>
    <w:rsid w:val="00585D45"/>
    <w:rsid w:val="0058776B"/>
    <w:rsid w:val="00590AD7"/>
    <w:rsid w:val="005910CF"/>
    <w:rsid w:val="0059201B"/>
    <w:rsid w:val="00592358"/>
    <w:rsid w:val="00592ECF"/>
    <w:rsid w:val="0059345A"/>
    <w:rsid w:val="005937C9"/>
    <w:rsid w:val="005947B8"/>
    <w:rsid w:val="00595BFD"/>
    <w:rsid w:val="00597F51"/>
    <w:rsid w:val="005A0628"/>
    <w:rsid w:val="005A1A5C"/>
    <w:rsid w:val="005A1B6F"/>
    <w:rsid w:val="005A2415"/>
    <w:rsid w:val="005A27A5"/>
    <w:rsid w:val="005A2C86"/>
    <w:rsid w:val="005A7E2D"/>
    <w:rsid w:val="005B1DE1"/>
    <w:rsid w:val="005B2E95"/>
    <w:rsid w:val="005B4300"/>
    <w:rsid w:val="005B5A2A"/>
    <w:rsid w:val="005B5E86"/>
    <w:rsid w:val="005B6012"/>
    <w:rsid w:val="005B7433"/>
    <w:rsid w:val="005C0060"/>
    <w:rsid w:val="005C08ED"/>
    <w:rsid w:val="005C0977"/>
    <w:rsid w:val="005C0BCF"/>
    <w:rsid w:val="005C0F9A"/>
    <w:rsid w:val="005C2FF2"/>
    <w:rsid w:val="005C38E4"/>
    <w:rsid w:val="005C3AED"/>
    <w:rsid w:val="005C61B0"/>
    <w:rsid w:val="005C75DE"/>
    <w:rsid w:val="005C79F8"/>
    <w:rsid w:val="005D0C56"/>
    <w:rsid w:val="005D1859"/>
    <w:rsid w:val="005D1A16"/>
    <w:rsid w:val="005D1D5D"/>
    <w:rsid w:val="005D262D"/>
    <w:rsid w:val="005D4414"/>
    <w:rsid w:val="005D46F2"/>
    <w:rsid w:val="005D49D1"/>
    <w:rsid w:val="005D58C5"/>
    <w:rsid w:val="005D6CD1"/>
    <w:rsid w:val="005D772A"/>
    <w:rsid w:val="005E080E"/>
    <w:rsid w:val="005E1193"/>
    <w:rsid w:val="005E147B"/>
    <w:rsid w:val="005E1821"/>
    <w:rsid w:val="005E2168"/>
    <w:rsid w:val="005E3C3B"/>
    <w:rsid w:val="005E40ED"/>
    <w:rsid w:val="005E4B8D"/>
    <w:rsid w:val="005E4CE1"/>
    <w:rsid w:val="005E63BE"/>
    <w:rsid w:val="005E64A2"/>
    <w:rsid w:val="005E7055"/>
    <w:rsid w:val="005E75A3"/>
    <w:rsid w:val="005F18C8"/>
    <w:rsid w:val="005F193A"/>
    <w:rsid w:val="005F1A36"/>
    <w:rsid w:val="005F270A"/>
    <w:rsid w:val="005F314E"/>
    <w:rsid w:val="005F597D"/>
    <w:rsid w:val="005F6898"/>
    <w:rsid w:val="005F6A9F"/>
    <w:rsid w:val="006023F2"/>
    <w:rsid w:val="00602E1F"/>
    <w:rsid w:val="00603223"/>
    <w:rsid w:val="00604268"/>
    <w:rsid w:val="006049EC"/>
    <w:rsid w:val="00605F3E"/>
    <w:rsid w:val="0060617C"/>
    <w:rsid w:val="0060628E"/>
    <w:rsid w:val="006065F2"/>
    <w:rsid w:val="006068AE"/>
    <w:rsid w:val="00611119"/>
    <w:rsid w:val="00614166"/>
    <w:rsid w:val="006145C3"/>
    <w:rsid w:val="006147C7"/>
    <w:rsid w:val="00615915"/>
    <w:rsid w:val="00615FAA"/>
    <w:rsid w:val="0061675D"/>
    <w:rsid w:val="00620381"/>
    <w:rsid w:val="00621A31"/>
    <w:rsid w:val="00621DF8"/>
    <w:rsid w:val="00621F67"/>
    <w:rsid w:val="006220EB"/>
    <w:rsid w:val="00624089"/>
    <w:rsid w:val="0062434F"/>
    <w:rsid w:val="00624591"/>
    <w:rsid w:val="00625392"/>
    <w:rsid w:val="00625580"/>
    <w:rsid w:val="00630014"/>
    <w:rsid w:val="00631491"/>
    <w:rsid w:val="006314D3"/>
    <w:rsid w:val="006328DE"/>
    <w:rsid w:val="00632DEF"/>
    <w:rsid w:val="00633465"/>
    <w:rsid w:val="0063389C"/>
    <w:rsid w:val="00634312"/>
    <w:rsid w:val="00634620"/>
    <w:rsid w:val="00634FFD"/>
    <w:rsid w:val="006352D9"/>
    <w:rsid w:val="00635C4C"/>
    <w:rsid w:val="00635DE7"/>
    <w:rsid w:val="00635F89"/>
    <w:rsid w:val="006373B9"/>
    <w:rsid w:val="00640FD4"/>
    <w:rsid w:val="0064319B"/>
    <w:rsid w:val="00643E95"/>
    <w:rsid w:val="00645847"/>
    <w:rsid w:val="0064660A"/>
    <w:rsid w:val="00647ACE"/>
    <w:rsid w:val="00651322"/>
    <w:rsid w:val="00651725"/>
    <w:rsid w:val="0065239B"/>
    <w:rsid w:val="00653B61"/>
    <w:rsid w:val="0065431D"/>
    <w:rsid w:val="006553B7"/>
    <w:rsid w:val="006553D0"/>
    <w:rsid w:val="00655622"/>
    <w:rsid w:val="00656B6A"/>
    <w:rsid w:val="00656C1E"/>
    <w:rsid w:val="00656CB5"/>
    <w:rsid w:val="00657E0C"/>
    <w:rsid w:val="00660EFD"/>
    <w:rsid w:val="006612DE"/>
    <w:rsid w:val="00661963"/>
    <w:rsid w:val="00662619"/>
    <w:rsid w:val="00662A47"/>
    <w:rsid w:val="00662ACF"/>
    <w:rsid w:val="00663111"/>
    <w:rsid w:val="00663B0B"/>
    <w:rsid w:val="00663DEA"/>
    <w:rsid w:val="00664298"/>
    <w:rsid w:val="006645A5"/>
    <w:rsid w:val="0066548A"/>
    <w:rsid w:val="00665A40"/>
    <w:rsid w:val="006661CB"/>
    <w:rsid w:val="006664E4"/>
    <w:rsid w:val="00670D4B"/>
    <w:rsid w:val="00672417"/>
    <w:rsid w:val="00672F5F"/>
    <w:rsid w:val="00673BE9"/>
    <w:rsid w:val="00674550"/>
    <w:rsid w:val="00675DEC"/>
    <w:rsid w:val="006774DA"/>
    <w:rsid w:val="006775F7"/>
    <w:rsid w:val="00680308"/>
    <w:rsid w:val="00680639"/>
    <w:rsid w:val="00682FB4"/>
    <w:rsid w:val="00683950"/>
    <w:rsid w:val="006846E0"/>
    <w:rsid w:val="00685D46"/>
    <w:rsid w:val="00685F4B"/>
    <w:rsid w:val="0068696D"/>
    <w:rsid w:val="00686E9D"/>
    <w:rsid w:val="0068757C"/>
    <w:rsid w:val="006876B9"/>
    <w:rsid w:val="00690905"/>
    <w:rsid w:val="0069123E"/>
    <w:rsid w:val="00692ED5"/>
    <w:rsid w:val="0069398A"/>
    <w:rsid w:val="00694E4C"/>
    <w:rsid w:val="006979DC"/>
    <w:rsid w:val="006A1346"/>
    <w:rsid w:val="006A16FD"/>
    <w:rsid w:val="006A1745"/>
    <w:rsid w:val="006A3C69"/>
    <w:rsid w:val="006A51F4"/>
    <w:rsid w:val="006A5227"/>
    <w:rsid w:val="006A59DF"/>
    <w:rsid w:val="006A6239"/>
    <w:rsid w:val="006A7573"/>
    <w:rsid w:val="006A76DE"/>
    <w:rsid w:val="006A7DD5"/>
    <w:rsid w:val="006B3589"/>
    <w:rsid w:val="006B4418"/>
    <w:rsid w:val="006B4770"/>
    <w:rsid w:val="006B4E00"/>
    <w:rsid w:val="006B61D8"/>
    <w:rsid w:val="006B623C"/>
    <w:rsid w:val="006B7741"/>
    <w:rsid w:val="006C04B6"/>
    <w:rsid w:val="006C11E0"/>
    <w:rsid w:val="006C13E1"/>
    <w:rsid w:val="006C15FD"/>
    <w:rsid w:val="006C177C"/>
    <w:rsid w:val="006C2371"/>
    <w:rsid w:val="006C2747"/>
    <w:rsid w:val="006C2823"/>
    <w:rsid w:val="006C59F2"/>
    <w:rsid w:val="006C5F7D"/>
    <w:rsid w:val="006C66AC"/>
    <w:rsid w:val="006C7F8D"/>
    <w:rsid w:val="006C7FD3"/>
    <w:rsid w:val="006D0556"/>
    <w:rsid w:val="006D1E57"/>
    <w:rsid w:val="006D1EAB"/>
    <w:rsid w:val="006D370D"/>
    <w:rsid w:val="006D3710"/>
    <w:rsid w:val="006D4153"/>
    <w:rsid w:val="006D47EF"/>
    <w:rsid w:val="006D6F44"/>
    <w:rsid w:val="006D7106"/>
    <w:rsid w:val="006D75E0"/>
    <w:rsid w:val="006D7948"/>
    <w:rsid w:val="006E13A6"/>
    <w:rsid w:val="006E15CB"/>
    <w:rsid w:val="006E28AE"/>
    <w:rsid w:val="006E2B8C"/>
    <w:rsid w:val="006E471F"/>
    <w:rsid w:val="006E4A17"/>
    <w:rsid w:val="006E6C99"/>
    <w:rsid w:val="006F0600"/>
    <w:rsid w:val="006F077D"/>
    <w:rsid w:val="006F2AFD"/>
    <w:rsid w:val="006F3188"/>
    <w:rsid w:val="006F5B4E"/>
    <w:rsid w:val="006F642A"/>
    <w:rsid w:val="006F6558"/>
    <w:rsid w:val="006F6984"/>
    <w:rsid w:val="006F6A3F"/>
    <w:rsid w:val="006F7646"/>
    <w:rsid w:val="00700D38"/>
    <w:rsid w:val="007037D4"/>
    <w:rsid w:val="00703E72"/>
    <w:rsid w:val="00704554"/>
    <w:rsid w:val="00704D1C"/>
    <w:rsid w:val="007054E1"/>
    <w:rsid w:val="007064DD"/>
    <w:rsid w:val="00706765"/>
    <w:rsid w:val="0071140E"/>
    <w:rsid w:val="0071234D"/>
    <w:rsid w:val="007129CA"/>
    <w:rsid w:val="00712A20"/>
    <w:rsid w:val="00713633"/>
    <w:rsid w:val="00714D9E"/>
    <w:rsid w:val="00716DA3"/>
    <w:rsid w:val="00717099"/>
    <w:rsid w:val="007208D8"/>
    <w:rsid w:val="00720E65"/>
    <w:rsid w:val="00721C43"/>
    <w:rsid w:val="0072347B"/>
    <w:rsid w:val="00724240"/>
    <w:rsid w:val="00724606"/>
    <w:rsid w:val="00724C52"/>
    <w:rsid w:val="00724C76"/>
    <w:rsid w:val="00725CEB"/>
    <w:rsid w:val="0072675C"/>
    <w:rsid w:val="00730DA4"/>
    <w:rsid w:val="007318B7"/>
    <w:rsid w:val="00731EA8"/>
    <w:rsid w:val="00732C8D"/>
    <w:rsid w:val="007335EC"/>
    <w:rsid w:val="0073442E"/>
    <w:rsid w:val="007349FE"/>
    <w:rsid w:val="00736120"/>
    <w:rsid w:val="00736195"/>
    <w:rsid w:val="007365F7"/>
    <w:rsid w:val="00736CFC"/>
    <w:rsid w:val="007377FE"/>
    <w:rsid w:val="007379CB"/>
    <w:rsid w:val="0074022B"/>
    <w:rsid w:val="007417D6"/>
    <w:rsid w:val="007422FC"/>
    <w:rsid w:val="0074500D"/>
    <w:rsid w:val="00746155"/>
    <w:rsid w:val="00746E52"/>
    <w:rsid w:val="007471FE"/>
    <w:rsid w:val="00747BC1"/>
    <w:rsid w:val="00750130"/>
    <w:rsid w:val="0075065C"/>
    <w:rsid w:val="007506EF"/>
    <w:rsid w:val="00750B2A"/>
    <w:rsid w:val="00751974"/>
    <w:rsid w:val="00751A0A"/>
    <w:rsid w:val="0075503F"/>
    <w:rsid w:val="00756F7E"/>
    <w:rsid w:val="00760145"/>
    <w:rsid w:val="00763026"/>
    <w:rsid w:val="00764612"/>
    <w:rsid w:val="00765D15"/>
    <w:rsid w:val="00766154"/>
    <w:rsid w:val="007667CE"/>
    <w:rsid w:val="00766B3B"/>
    <w:rsid w:val="00767882"/>
    <w:rsid w:val="00767A29"/>
    <w:rsid w:val="007718DC"/>
    <w:rsid w:val="00772152"/>
    <w:rsid w:val="0077315D"/>
    <w:rsid w:val="00773B6D"/>
    <w:rsid w:val="007743FC"/>
    <w:rsid w:val="00774BE1"/>
    <w:rsid w:val="00775142"/>
    <w:rsid w:val="00775151"/>
    <w:rsid w:val="007752B2"/>
    <w:rsid w:val="00775DAB"/>
    <w:rsid w:val="00776AF1"/>
    <w:rsid w:val="00780AC0"/>
    <w:rsid w:val="00780CC8"/>
    <w:rsid w:val="00781D5D"/>
    <w:rsid w:val="007825C2"/>
    <w:rsid w:val="00782C06"/>
    <w:rsid w:val="0078709A"/>
    <w:rsid w:val="00790CEA"/>
    <w:rsid w:val="00792192"/>
    <w:rsid w:val="0079294C"/>
    <w:rsid w:val="00793230"/>
    <w:rsid w:val="00793CAA"/>
    <w:rsid w:val="00793D4D"/>
    <w:rsid w:val="00794D44"/>
    <w:rsid w:val="007955EA"/>
    <w:rsid w:val="00795D52"/>
    <w:rsid w:val="007966E3"/>
    <w:rsid w:val="00796D10"/>
    <w:rsid w:val="00797F1B"/>
    <w:rsid w:val="00797FDA"/>
    <w:rsid w:val="007A329D"/>
    <w:rsid w:val="007A35ED"/>
    <w:rsid w:val="007A3741"/>
    <w:rsid w:val="007A4573"/>
    <w:rsid w:val="007A5251"/>
    <w:rsid w:val="007A5782"/>
    <w:rsid w:val="007A6524"/>
    <w:rsid w:val="007A69A4"/>
    <w:rsid w:val="007A73B5"/>
    <w:rsid w:val="007A7854"/>
    <w:rsid w:val="007A7D6C"/>
    <w:rsid w:val="007B1EC1"/>
    <w:rsid w:val="007B2452"/>
    <w:rsid w:val="007B47EE"/>
    <w:rsid w:val="007B6686"/>
    <w:rsid w:val="007B672A"/>
    <w:rsid w:val="007B7633"/>
    <w:rsid w:val="007B7FBA"/>
    <w:rsid w:val="007C200D"/>
    <w:rsid w:val="007C2BB5"/>
    <w:rsid w:val="007C4448"/>
    <w:rsid w:val="007C51CA"/>
    <w:rsid w:val="007C5F9A"/>
    <w:rsid w:val="007C6400"/>
    <w:rsid w:val="007C6E43"/>
    <w:rsid w:val="007D055C"/>
    <w:rsid w:val="007D06C5"/>
    <w:rsid w:val="007D1796"/>
    <w:rsid w:val="007D1829"/>
    <w:rsid w:val="007D1D63"/>
    <w:rsid w:val="007D27E4"/>
    <w:rsid w:val="007D2A8E"/>
    <w:rsid w:val="007D370F"/>
    <w:rsid w:val="007D3C86"/>
    <w:rsid w:val="007D4263"/>
    <w:rsid w:val="007D550D"/>
    <w:rsid w:val="007D6D9D"/>
    <w:rsid w:val="007D73DE"/>
    <w:rsid w:val="007E0425"/>
    <w:rsid w:val="007E07CA"/>
    <w:rsid w:val="007E1854"/>
    <w:rsid w:val="007E25E0"/>
    <w:rsid w:val="007E279A"/>
    <w:rsid w:val="007E2C1D"/>
    <w:rsid w:val="007E3310"/>
    <w:rsid w:val="007E405B"/>
    <w:rsid w:val="007E4851"/>
    <w:rsid w:val="007E585E"/>
    <w:rsid w:val="007E6F89"/>
    <w:rsid w:val="007E7A6D"/>
    <w:rsid w:val="007E7C85"/>
    <w:rsid w:val="007E7CDB"/>
    <w:rsid w:val="007F0470"/>
    <w:rsid w:val="007F05F8"/>
    <w:rsid w:val="007F1A9B"/>
    <w:rsid w:val="007F2206"/>
    <w:rsid w:val="007F23F8"/>
    <w:rsid w:val="007F4417"/>
    <w:rsid w:val="007F45DA"/>
    <w:rsid w:val="00800A4E"/>
    <w:rsid w:val="00801E1A"/>
    <w:rsid w:val="00802B82"/>
    <w:rsid w:val="00803940"/>
    <w:rsid w:val="0080456D"/>
    <w:rsid w:val="00804613"/>
    <w:rsid w:val="008047A9"/>
    <w:rsid w:val="00806BF3"/>
    <w:rsid w:val="0080714E"/>
    <w:rsid w:val="0080735C"/>
    <w:rsid w:val="00807565"/>
    <w:rsid w:val="00810594"/>
    <w:rsid w:val="00810F80"/>
    <w:rsid w:val="008113CB"/>
    <w:rsid w:val="00811F0E"/>
    <w:rsid w:val="008127CD"/>
    <w:rsid w:val="0081296B"/>
    <w:rsid w:val="00813471"/>
    <w:rsid w:val="00813A4C"/>
    <w:rsid w:val="00814A8C"/>
    <w:rsid w:val="00815C39"/>
    <w:rsid w:val="00815F6A"/>
    <w:rsid w:val="00816290"/>
    <w:rsid w:val="00816529"/>
    <w:rsid w:val="0081672F"/>
    <w:rsid w:val="00816981"/>
    <w:rsid w:val="008177D2"/>
    <w:rsid w:val="00820165"/>
    <w:rsid w:val="00820A21"/>
    <w:rsid w:val="0082126B"/>
    <w:rsid w:val="008212F7"/>
    <w:rsid w:val="00821645"/>
    <w:rsid w:val="0082338C"/>
    <w:rsid w:val="008236CB"/>
    <w:rsid w:val="008239D6"/>
    <w:rsid w:val="00823A88"/>
    <w:rsid w:val="008255EB"/>
    <w:rsid w:val="00825AB1"/>
    <w:rsid w:val="008262C3"/>
    <w:rsid w:val="00826402"/>
    <w:rsid w:val="0082653D"/>
    <w:rsid w:val="0082780C"/>
    <w:rsid w:val="008303DB"/>
    <w:rsid w:val="00830D9E"/>
    <w:rsid w:val="0083498D"/>
    <w:rsid w:val="00834FF0"/>
    <w:rsid w:val="0083680E"/>
    <w:rsid w:val="00837A16"/>
    <w:rsid w:val="00837B13"/>
    <w:rsid w:val="00841D0D"/>
    <w:rsid w:val="0084343D"/>
    <w:rsid w:val="008435F9"/>
    <w:rsid w:val="00843BC7"/>
    <w:rsid w:val="00845EE7"/>
    <w:rsid w:val="00847127"/>
    <w:rsid w:val="0085114D"/>
    <w:rsid w:val="00851248"/>
    <w:rsid w:val="008524B9"/>
    <w:rsid w:val="008529C7"/>
    <w:rsid w:val="00852E3C"/>
    <w:rsid w:val="008551CB"/>
    <w:rsid w:val="00855FB8"/>
    <w:rsid w:val="008609D4"/>
    <w:rsid w:val="00862116"/>
    <w:rsid w:val="00862340"/>
    <w:rsid w:val="00862F60"/>
    <w:rsid w:val="00863A72"/>
    <w:rsid w:val="00863AF6"/>
    <w:rsid w:val="008645A0"/>
    <w:rsid w:val="0086497E"/>
    <w:rsid w:val="00864DB1"/>
    <w:rsid w:val="00871193"/>
    <w:rsid w:val="0087286B"/>
    <w:rsid w:val="00872CAF"/>
    <w:rsid w:val="00872E3D"/>
    <w:rsid w:val="008734D8"/>
    <w:rsid w:val="008746C8"/>
    <w:rsid w:val="00874746"/>
    <w:rsid w:val="00875ACF"/>
    <w:rsid w:val="008762D3"/>
    <w:rsid w:val="00881EA6"/>
    <w:rsid w:val="00883050"/>
    <w:rsid w:val="00883799"/>
    <w:rsid w:val="00884FB8"/>
    <w:rsid w:val="008851C0"/>
    <w:rsid w:val="00886AD7"/>
    <w:rsid w:val="008904D0"/>
    <w:rsid w:val="00890539"/>
    <w:rsid w:val="0089084C"/>
    <w:rsid w:val="008911B9"/>
    <w:rsid w:val="00891C35"/>
    <w:rsid w:val="008921BF"/>
    <w:rsid w:val="00892BEA"/>
    <w:rsid w:val="00892EA4"/>
    <w:rsid w:val="00893FE5"/>
    <w:rsid w:val="0089417D"/>
    <w:rsid w:val="00896A45"/>
    <w:rsid w:val="00897BAE"/>
    <w:rsid w:val="008A180A"/>
    <w:rsid w:val="008A2ACE"/>
    <w:rsid w:val="008A2F99"/>
    <w:rsid w:val="008A2FB5"/>
    <w:rsid w:val="008A30BA"/>
    <w:rsid w:val="008A3878"/>
    <w:rsid w:val="008A3F54"/>
    <w:rsid w:val="008A494A"/>
    <w:rsid w:val="008A59E9"/>
    <w:rsid w:val="008A66A9"/>
    <w:rsid w:val="008A6AEF"/>
    <w:rsid w:val="008A6BB4"/>
    <w:rsid w:val="008B00CD"/>
    <w:rsid w:val="008B07A9"/>
    <w:rsid w:val="008B0C9A"/>
    <w:rsid w:val="008B2234"/>
    <w:rsid w:val="008B365B"/>
    <w:rsid w:val="008B3FD7"/>
    <w:rsid w:val="008B5D2A"/>
    <w:rsid w:val="008B61A8"/>
    <w:rsid w:val="008B6D0C"/>
    <w:rsid w:val="008B6F77"/>
    <w:rsid w:val="008B7382"/>
    <w:rsid w:val="008C1047"/>
    <w:rsid w:val="008C1343"/>
    <w:rsid w:val="008C1576"/>
    <w:rsid w:val="008C26DD"/>
    <w:rsid w:val="008C2BCB"/>
    <w:rsid w:val="008C370E"/>
    <w:rsid w:val="008C389C"/>
    <w:rsid w:val="008C69D7"/>
    <w:rsid w:val="008C732A"/>
    <w:rsid w:val="008C7840"/>
    <w:rsid w:val="008C79B9"/>
    <w:rsid w:val="008D016D"/>
    <w:rsid w:val="008D1094"/>
    <w:rsid w:val="008D1391"/>
    <w:rsid w:val="008D3984"/>
    <w:rsid w:val="008D4139"/>
    <w:rsid w:val="008D452B"/>
    <w:rsid w:val="008D4913"/>
    <w:rsid w:val="008D531C"/>
    <w:rsid w:val="008D5343"/>
    <w:rsid w:val="008D5715"/>
    <w:rsid w:val="008D64F9"/>
    <w:rsid w:val="008D6D4B"/>
    <w:rsid w:val="008D6F47"/>
    <w:rsid w:val="008E0186"/>
    <w:rsid w:val="008E522D"/>
    <w:rsid w:val="008E5848"/>
    <w:rsid w:val="008E6633"/>
    <w:rsid w:val="008E6AA8"/>
    <w:rsid w:val="008E7427"/>
    <w:rsid w:val="008F0588"/>
    <w:rsid w:val="008F20F9"/>
    <w:rsid w:val="008F2527"/>
    <w:rsid w:val="008F30A6"/>
    <w:rsid w:val="008F30D7"/>
    <w:rsid w:val="008F3767"/>
    <w:rsid w:val="008F38EE"/>
    <w:rsid w:val="008F4C74"/>
    <w:rsid w:val="008F6BF7"/>
    <w:rsid w:val="008F7396"/>
    <w:rsid w:val="008F7696"/>
    <w:rsid w:val="008F7B25"/>
    <w:rsid w:val="00900464"/>
    <w:rsid w:val="00900881"/>
    <w:rsid w:val="00901169"/>
    <w:rsid w:val="00901229"/>
    <w:rsid w:val="0090214F"/>
    <w:rsid w:val="00902297"/>
    <w:rsid w:val="009025CA"/>
    <w:rsid w:val="00902AA1"/>
    <w:rsid w:val="00902AA8"/>
    <w:rsid w:val="00902B6E"/>
    <w:rsid w:val="009031BC"/>
    <w:rsid w:val="00903914"/>
    <w:rsid w:val="00904DE8"/>
    <w:rsid w:val="0090711F"/>
    <w:rsid w:val="00907A27"/>
    <w:rsid w:val="00907BA2"/>
    <w:rsid w:val="00911DD5"/>
    <w:rsid w:val="00913579"/>
    <w:rsid w:val="00913D0A"/>
    <w:rsid w:val="00914B58"/>
    <w:rsid w:val="00915D00"/>
    <w:rsid w:val="00916591"/>
    <w:rsid w:val="00920AF2"/>
    <w:rsid w:val="009215EF"/>
    <w:rsid w:val="009218C7"/>
    <w:rsid w:val="00922420"/>
    <w:rsid w:val="00922AA5"/>
    <w:rsid w:val="00922B2A"/>
    <w:rsid w:val="0092315F"/>
    <w:rsid w:val="00923573"/>
    <w:rsid w:val="00927788"/>
    <w:rsid w:val="0092781A"/>
    <w:rsid w:val="00930410"/>
    <w:rsid w:val="00930E5E"/>
    <w:rsid w:val="009315DA"/>
    <w:rsid w:val="009325D6"/>
    <w:rsid w:val="009331F3"/>
    <w:rsid w:val="009332B3"/>
    <w:rsid w:val="00934D97"/>
    <w:rsid w:val="00934DD0"/>
    <w:rsid w:val="00935400"/>
    <w:rsid w:val="00935500"/>
    <w:rsid w:val="00936079"/>
    <w:rsid w:val="00936214"/>
    <w:rsid w:val="0093796A"/>
    <w:rsid w:val="0094056D"/>
    <w:rsid w:val="00941932"/>
    <w:rsid w:val="00942FB7"/>
    <w:rsid w:val="00945B95"/>
    <w:rsid w:val="00946389"/>
    <w:rsid w:val="00946535"/>
    <w:rsid w:val="0094771F"/>
    <w:rsid w:val="00947D7C"/>
    <w:rsid w:val="009506F5"/>
    <w:rsid w:val="00950D27"/>
    <w:rsid w:val="0095117C"/>
    <w:rsid w:val="009523B0"/>
    <w:rsid w:val="00953134"/>
    <w:rsid w:val="00955198"/>
    <w:rsid w:val="009614E7"/>
    <w:rsid w:val="009619A4"/>
    <w:rsid w:val="00961F15"/>
    <w:rsid w:val="00962551"/>
    <w:rsid w:val="0096274A"/>
    <w:rsid w:val="00962FC3"/>
    <w:rsid w:val="00964825"/>
    <w:rsid w:val="00964BA8"/>
    <w:rsid w:val="00964F88"/>
    <w:rsid w:val="00965102"/>
    <w:rsid w:val="00965C34"/>
    <w:rsid w:val="00965C8A"/>
    <w:rsid w:val="009735E5"/>
    <w:rsid w:val="00974E59"/>
    <w:rsid w:val="009763A6"/>
    <w:rsid w:val="009767CE"/>
    <w:rsid w:val="00977587"/>
    <w:rsid w:val="00977D66"/>
    <w:rsid w:val="00981E8A"/>
    <w:rsid w:val="00982CA5"/>
    <w:rsid w:val="00982E14"/>
    <w:rsid w:val="0098440D"/>
    <w:rsid w:val="0098480B"/>
    <w:rsid w:val="00985DDF"/>
    <w:rsid w:val="009872A6"/>
    <w:rsid w:val="009872A9"/>
    <w:rsid w:val="009878F2"/>
    <w:rsid w:val="00990176"/>
    <w:rsid w:val="009922C5"/>
    <w:rsid w:val="00992756"/>
    <w:rsid w:val="009939CB"/>
    <w:rsid w:val="00996F62"/>
    <w:rsid w:val="009972BC"/>
    <w:rsid w:val="009A06EB"/>
    <w:rsid w:val="009A0B50"/>
    <w:rsid w:val="009A0E6C"/>
    <w:rsid w:val="009A1D69"/>
    <w:rsid w:val="009A29B3"/>
    <w:rsid w:val="009A3732"/>
    <w:rsid w:val="009A4482"/>
    <w:rsid w:val="009A4877"/>
    <w:rsid w:val="009A4C1E"/>
    <w:rsid w:val="009A4E3F"/>
    <w:rsid w:val="009A5136"/>
    <w:rsid w:val="009A52E7"/>
    <w:rsid w:val="009A5C45"/>
    <w:rsid w:val="009A757D"/>
    <w:rsid w:val="009B0B33"/>
    <w:rsid w:val="009B3768"/>
    <w:rsid w:val="009B4003"/>
    <w:rsid w:val="009B48AF"/>
    <w:rsid w:val="009B4D3F"/>
    <w:rsid w:val="009B7A44"/>
    <w:rsid w:val="009C07CB"/>
    <w:rsid w:val="009C0D94"/>
    <w:rsid w:val="009C0E32"/>
    <w:rsid w:val="009C1510"/>
    <w:rsid w:val="009C209D"/>
    <w:rsid w:val="009C27BB"/>
    <w:rsid w:val="009C307F"/>
    <w:rsid w:val="009C36AB"/>
    <w:rsid w:val="009C388B"/>
    <w:rsid w:val="009C3AA0"/>
    <w:rsid w:val="009C4728"/>
    <w:rsid w:val="009C5A60"/>
    <w:rsid w:val="009C731B"/>
    <w:rsid w:val="009D1B26"/>
    <w:rsid w:val="009D22AF"/>
    <w:rsid w:val="009D3F18"/>
    <w:rsid w:val="009D4C6D"/>
    <w:rsid w:val="009D542F"/>
    <w:rsid w:val="009D5A77"/>
    <w:rsid w:val="009D5C47"/>
    <w:rsid w:val="009D6779"/>
    <w:rsid w:val="009D7CD1"/>
    <w:rsid w:val="009E07A2"/>
    <w:rsid w:val="009E0D76"/>
    <w:rsid w:val="009E2BF6"/>
    <w:rsid w:val="009E46DF"/>
    <w:rsid w:val="009E47D3"/>
    <w:rsid w:val="009E4E3C"/>
    <w:rsid w:val="009E5B7D"/>
    <w:rsid w:val="009E689D"/>
    <w:rsid w:val="009E6AA9"/>
    <w:rsid w:val="009E7611"/>
    <w:rsid w:val="009E7C2E"/>
    <w:rsid w:val="009F0832"/>
    <w:rsid w:val="009F0853"/>
    <w:rsid w:val="009F4969"/>
    <w:rsid w:val="009F7697"/>
    <w:rsid w:val="00A01992"/>
    <w:rsid w:val="00A01E4B"/>
    <w:rsid w:val="00A033A3"/>
    <w:rsid w:val="00A03943"/>
    <w:rsid w:val="00A057B6"/>
    <w:rsid w:val="00A05C90"/>
    <w:rsid w:val="00A06C14"/>
    <w:rsid w:val="00A075BE"/>
    <w:rsid w:val="00A076A2"/>
    <w:rsid w:val="00A07F80"/>
    <w:rsid w:val="00A10790"/>
    <w:rsid w:val="00A1119D"/>
    <w:rsid w:val="00A116B6"/>
    <w:rsid w:val="00A127B3"/>
    <w:rsid w:val="00A1284D"/>
    <w:rsid w:val="00A14184"/>
    <w:rsid w:val="00A14451"/>
    <w:rsid w:val="00A1490D"/>
    <w:rsid w:val="00A15141"/>
    <w:rsid w:val="00A1517E"/>
    <w:rsid w:val="00A15659"/>
    <w:rsid w:val="00A156FD"/>
    <w:rsid w:val="00A16A4F"/>
    <w:rsid w:val="00A177B4"/>
    <w:rsid w:val="00A22299"/>
    <w:rsid w:val="00A225B1"/>
    <w:rsid w:val="00A23521"/>
    <w:rsid w:val="00A23700"/>
    <w:rsid w:val="00A23EC9"/>
    <w:rsid w:val="00A2447C"/>
    <w:rsid w:val="00A24FD7"/>
    <w:rsid w:val="00A25CD7"/>
    <w:rsid w:val="00A25FA8"/>
    <w:rsid w:val="00A27590"/>
    <w:rsid w:val="00A27998"/>
    <w:rsid w:val="00A3015C"/>
    <w:rsid w:val="00A30E17"/>
    <w:rsid w:val="00A315A0"/>
    <w:rsid w:val="00A31ED7"/>
    <w:rsid w:val="00A337B0"/>
    <w:rsid w:val="00A3568A"/>
    <w:rsid w:val="00A35B06"/>
    <w:rsid w:val="00A360D7"/>
    <w:rsid w:val="00A3613A"/>
    <w:rsid w:val="00A3788E"/>
    <w:rsid w:val="00A40837"/>
    <w:rsid w:val="00A424C1"/>
    <w:rsid w:val="00A435E7"/>
    <w:rsid w:val="00A43923"/>
    <w:rsid w:val="00A439D7"/>
    <w:rsid w:val="00A43B62"/>
    <w:rsid w:val="00A43C00"/>
    <w:rsid w:val="00A456EF"/>
    <w:rsid w:val="00A46028"/>
    <w:rsid w:val="00A46063"/>
    <w:rsid w:val="00A46FD3"/>
    <w:rsid w:val="00A4726E"/>
    <w:rsid w:val="00A4765A"/>
    <w:rsid w:val="00A47D24"/>
    <w:rsid w:val="00A50C42"/>
    <w:rsid w:val="00A51FB2"/>
    <w:rsid w:val="00A525C2"/>
    <w:rsid w:val="00A52C2B"/>
    <w:rsid w:val="00A546AF"/>
    <w:rsid w:val="00A55332"/>
    <w:rsid w:val="00A55484"/>
    <w:rsid w:val="00A55490"/>
    <w:rsid w:val="00A56040"/>
    <w:rsid w:val="00A56E88"/>
    <w:rsid w:val="00A578F0"/>
    <w:rsid w:val="00A60078"/>
    <w:rsid w:val="00A6087A"/>
    <w:rsid w:val="00A60C15"/>
    <w:rsid w:val="00A632E1"/>
    <w:rsid w:val="00A6336F"/>
    <w:rsid w:val="00A64106"/>
    <w:rsid w:val="00A64A8A"/>
    <w:rsid w:val="00A6513A"/>
    <w:rsid w:val="00A659BE"/>
    <w:rsid w:val="00A67421"/>
    <w:rsid w:val="00A70AEA"/>
    <w:rsid w:val="00A70C6E"/>
    <w:rsid w:val="00A71270"/>
    <w:rsid w:val="00A7141E"/>
    <w:rsid w:val="00A71449"/>
    <w:rsid w:val="00A724D6"/>
    <w:rsid w:val="00A72E17"/>
    <w:rsid w:val="00A73964"/>
    <w:rsid w:val="00A74F4F"/>
    <w:rsid w:val="00A7761B"/>
    <w:rsid w:val="00A77A80"/>
    <w:rsid w:val="00A77BD0"/>
    <w:rsid w:val="00A77E17"/>
    <w:rsid w:val="00A805F4"/>
    <w:rsid w:val="00A810C5"/>
    <w:rsid w:val="00A82805"/>
    <w:rsid w:val="00A82AB2"/>
    <w:rsid w:val="00A82FD9"/>
    <w:rsid w:val="00A83437"/>
    <w:rsid w:val="00A83525"/>
    <w:rsid w:val="00A83895"/>
    <w:rsid w:val="00A84AE6"/>
    <w:rsid w:val="00A85E26"/>
    <w:rsid w:val="00A85F67"/>
    <w:rsid w:val="00A866E8"/>
    <w:rsid w:val="00A869E6"/>
    <w:rsid w:val="00A87352"/>
    <w:rsid w:val="00A87479"/>
    <w:rsid w:val="00A91C2C"/>
    <w:rsid w:val="00A92293"/>
    <w:rsid w:val="00A93DB6"/>
    <w:rsid w:val="00A95A7E"/>
    <w:rsid w:val="00A97761"/>
    <w:rsid w:val="00AA0629"/>
    <w:rsid w:val="00AA0A4E"/>
    <w:rsid w:val="00AA0EA5"/>
    <w:rsid w:val="00AA2623"/>
    <w:rsid w:val="00AA264B"/>
    <w:rsid w:val="00AA318A"/>
    <w:rsid w:val="00AA32CB"/>
    <w:rsid w:val="00AA39FB"/>
    <w:rsid w:val="00AA444B"/>
    <w:rsid w:val="00AA4BC6"/>
    <w:rsid w:val="00AA535D"/>
    <w:rsid w:val="00AA60D7"/>
    <w:rsid w:val="00AA6CA4"/>
    <w:rsid w:val="00AA7109"/>
    <w:rsid w:val="00AB0052"/>
    <w:rsid w:val="00AB0313"/>
    <w:rsid w:val="00AB1209"/>
    <w:rsid w:val="00AB361C"/>
    <w:rsid w:val="00AB3843"/>
    <w:rsid w:val="00AB5205"/>
    <w:rsid w:val="00AB6073"/>
    <w:rsid w:val="00AB6B90"/>
    <w:rsid w:val="00AB7B68"/>
    <w:rsid w:val="00AC1F8E"/>
    <w:rsid w:val="00AC2420"/>
    <w:rsid w:val="00AC346E"/>
    <w:rsid w:val="00AC387A"/>
    <w:rsid w:val="00AC4200"/>
    <w:rsid w:val="00AC4BD5"/>
    <w:rsid w:val="00AC6833"/>
    <w:rsid w:val="00AD0687"/>
    <w:rsid w:val="00AD0C45"/>
    <w:rsid w:val="00AD0DBB"/>
    <w:rsid w:val="00AD1127"/>
    <w:rsid w:val="00AD17EA"/>
    <w:rsid w:val="00AD1F2E"/>
    <w:rsid w:val="00AD3F1A"/>
    <w:rsid w:val="00AD6487"/>
    <w:rsid w:val="00AD6A8A"/>
    <w:rsid w:val="00AD712F"/>
    <w:rsid w:val="00AD7CA4"/>
    <w:rsid w:val="00AE05EF"/>
    <w:rsid w:val="00AE09F0"/>
    <w:rsid w:val="00AE1A1F"/>
    <w:rsid w:val="00AE2737"/>
    <w:rsid w:val="00AE29DC"/>
    <w:rsid w:val="00AE2D4D"/>
    <w:rsid w:val="00AE3EB8"/>
    <w:rsid w:val="00AE5D27"/>
    <w:rsid w:val="00AE5DE6"/>
    <w:rsid w:val="00AE690C"/>
    <w:rsid w:val="00AE7000"/>
    <w:rsid w:val="00AE7ECC"/>
    <w:rsid w:val="00AF0930"/>
    <w:rsid w:val="00AF0FA0"/>
    <w:rsid w:val="00AF13BE"/>
    <w:rsid w:val="00AF255C"/>
    <w:rsid w:val="00AF26C1"/>
    <w:rsid w:val="00AF47CC"/>
    <w:rsid w:val="00AF52D3"/>
    <w:rsid w:val="00AF556C"/>
    <w:rsid w:val="00AF60F0"/>
    <w:rsid w:val="00AF6336"/>
    <w:rsid w:val="00AF6738"/>
    <w:rsid w:val="00AF67DA"/>
    <w:rsid w:val="00AF7260"/>
    <w:rsid w:val="00AF74BF"/>
    <w:rsid w:val="00AF7677"/>
    <w:rsid w:val="00B004C3"/>
    <w:rsid w:val="00B00C11"/>
    <w:rsid w:val="00B00C4D"/>
    <w:rsid w:val="00B01228"/>
    <w:rsid w:val="00B01552"/>
    <w:rsid w:val="00B01E74"/>
    <w:rsid w:val="00B0226A"/>
    <w:rsid w:val="00B02C35"/>
    <w:rsid w:val="00B031EA"/>
    <w:rsid w:val="00B054CD"/>
    <w:rsid w:val="00B0697C"/>
    <w:rsid w:val="00B11080"/>
    <w:rsid w:val="00B110CA"/>
    <w:rsid w:val="00B118D7"/>
    <w:rsid w:val="00B120BA"/>
    <w:rsid w:val="00B12D33"/>
    <w:rsid w:val="00B13FDF"/>
    <w:rsid w:val="00B14819"/>
    <w:rsid w:val="00B15EF8"/>
    <w:rsid w:val="00B16B37"/>
    <w:rsid w:val="00B1789E"/>
    <w:rsid w:val="00B20017"/>
    <w:rsid w:val="00B204FC"/>
    <w:rsid w:val="00B2083A"/>
    <w:rsid w:val="00B20AB1"/>
    <w:rsid w:val="00B20C7D"/>
    <w:rsid w:val="00B219AE"/>
    <w:rsid w:val="00B21A76"/>
    <w:rsid w:val="00B21AD8"/>
    <w:rsid w:val="00B22F2E"/>
    <w:rsid w:val="00B24F23"/>
    <w:rsid w:val="00B25256"/>
    <w:rsid w:val="00B25384"/>
    <w:rsid w:val="00B265F0"/>
    <w:rsid w:val="00B26F73"/>
    <w:rsid w:val="00B27203"/>
    <w:rsid w:val="00B27723"/>
    <w:rsid w:val="00B31CA8"/>
    <w:rsid w:val="00B33740"/>
    <w:rsid w:val="00B3399F"/>
    <w:rsid w:val="00B34B74"/>
    <w:rsid w:val="00B351C7"/>
    <w:rsid w:val="00B35494"/>
    <w:rsid w:val="00B368CF"/>
    <w:rsid w:val="00B36E5B"/>
    <w:rsid w:val="00B37287"/>
    <w:rsid w:val="00B37444"/>
    <w:rsid w:val="00B374C5"/>
    <w:rsid w:val="00B375DD"/>
    <w:rsid w:val="00B37950"/>
    <w:rsid w:val="00B402CA"/>
    <w:rsid w:val="00B40A7B"/>
    <w:rsid w:val="00B40FEF"/>
    <w:rsid w:val="00B4101F"/>
    <w:rsid w:val="00B45D9B"/>
    <w:rsid w:val="00B477F9"/>
    <w:rsid w:val="00B50491"/>
    <w:rsid w:val="00B520D6"/>
    <w:rsid w:val="00B53A5B"/>
    <w:rsid w:val="00B547EE"/>
    <w:rsid w:val="00B5671B"/>
    <w:rsid w:val="00B56D23"/>
    <w:rsid w:val="00B6018A"/>
    <w:rsid w:val="00B60BBF"/>
    <w:rsid w:val="00B60EC2"/>
    <w:rsid w:val="00B60FDE"/>
    <w:rsid w:val="00B61456"/>
    <w:rsid w:val="00B6167F"/>
    <w:rsid w:val="00B61E3C"/>
    <w:rsid w:val="00B62745"/>
    <w:rsid w:val="00B62D45"/>
    <w:rsid w:val="00B62DF1"/>
    <w:rsid w:val="00B6446A"/>
    <w:rsid w:val="00B6455C"/>
    <w:rsid w:val="00B64FD8"/>
    <w:rsid w:val="00B65A25"/>
    <w:rsid w:val="00B66A3E"/>
    <w:rsid w:val="00B66BE5"/>
    <w:rsid w:val="00B66C0B"/>
    <w:rsid w:val="00B72589"/>
    <w:rsid w:val="00B72731"/>
    <w:rsid w:val="00B72E92"/>
    <w:rsid w:val="00B7303F"/>
    <w:rsid w:val="00B73450"/>
    <w:rsid w:val="00B7391A"/>
    <w:rsid w:val="00B74676"/>
    <w:rsid w:val="00B74ACB"/>
    <w:rsid w:val="00B753F5"/>
    <w:rsid w:val="00B75728"/>
    <w:rsid w:val="00B7596D"/>
    <w:rsid w:val="00B768C9"/>
    <w:rsid w:val="00B76920"/>
    <w:rsid w:val="00B76ADE"/>
    <w:rsid w:val="00B77235"/>
    <w:rsid w:val="00B776CF"/>
    <w:rsid w:val="00B802D1"/>
    <w:rsid w:val="00B810A1"/>
    <w:rsid w:val="00B83411"/>
    <w:rsid w:val="00B838D0"/>
    <w:rsid w:val="00B84B93"/>
    <w:rsid w:val="00B84F3C"/>
    <w:rsid w:val="00B854D2"/>
    <w:rsid w:val="00B85A16"/>
    <w:rsid w:val="00B85D5B"/>
    <w:rsid w:val="00B85F10"/>
    <w:rsid w:val="00B92488"/>
    <w:rsid w:val="00B94947"/>
    <w:rsid w:val="00B95995"/>
    <w:rsid w:val="00B96DA1"/>
    <w:rsid w:val="00B97414"/>
    <w:rsid w:val="00BA0CE0"/>
    <w:rsid w:val="00BA17D2"/>
    <w:rsid w:val="00BA1817"/>
    <w:rsid w:val="00BA18E7"/>
    <w:rsid w:val="00BA4425"/>
    <w:rsid w:val="00BA46E1"/>
    <w:rsid w:val="00BA4D3C"/>
    <w:rsid w:val="00BA66A3"/>
    <w:rsid w:val="00BA7300"/>
    <w:rsid w:val="00BA7EF3"/>
    <w:rsid w:val="00BB078F"/>
    <w:rsid w:val="00BB07A1"/>
    <w:rsid w:val="00BB0823"/>
    <w:rsid w:val="00BB1FDD"/>
    <w:rsid w:val="00BB2ECE"/>
    <w:rsid w:val="00BB4B86"/>
    <w:rsid w:val="00BB4D59"/>
    <w:rsid w:val="00BB594F"/>
    <w:rsid w:val="00BB5EF3"/>
    <w:rsid w:val="00BB6490"/>
    <w:rsid w:val="00BB65E7"/>
    <w:rsid w:val="00BB6F77"/>
    <w:rsid w:val="00BC0415"/>
    <w:rsid w:val="00BC15EB"/>
    <w:rsid w:val="00BC201A"/>
    <w:rsid w:val="00BC2F0E"/>
    <w:rsid w:val="00BC3199"/>
    <w:rsid w:val="00BC5FFC"/>
    <w:rsid w:val="00BC68E0"/>
    <w:rsid w:val="00BC68F9"/>
    <w:rsid w:val="00BC6D93"/>
    <w:rsid w:val="00BC70EE"/>
    <w:rsid w:val="00BD00B2"/>
    <w:rsid w:val="00BD0E3F"/>
    <w:rsid w:val="00BD2934"/>
    <w:rsid w:val="00BD2BAD"/>
    <w:rsid w:val="00BD37A9"/>
    <w:rsid w:val="00BD3ABD"/>
    <w:rsid w:val="00BD3E76"/>
    <w:rsid w:val="00BD442A"/>
    <w:rsid w:val="00BD512A"/>
    <w:rsid w:val="00BD5C82"/>
    <w:rsid w:val="00BD62C4"/>
    <w:rsid w:val="00BD6C2E"/>
    <w:rsid w:val="00BD78F0"/>
    <w:rsid w:val="00BE0A1C"/>
    <w:rsid w:val="00BE1761"/>
    <w:rsid w:val="00BE29EE"/>
    <w:rsid w:val="00BE2C88"/>
    <w:rsid w:val="00BE3AF2"/>
    <w:rsid w:val="00BE5041"/>
    <w:rsid w:val="00BE53CC"/>
    <w:rsid w:val="00BE55E5"/>
    <w:rsid w:val="00BE6786"/>
    <w:rsid w:val="00BE6F73"/>
    <w:rsid w:val="00BE7FBB"/>
    <w:rsid w:val="00BF10C8"/>
    <w:rsid w:val="00BF1CF5"/>
    <w:rsid w:val="00BF414A"/>
    <w:rsid w:val="00BF4FA5"/>
    <w:rsid w:val="00BF5235"/>
    <w:rsid w:val="00BF60E9"/>
    <w:rsid w:val="00BF70AC"/>
    <w:rsid w:val="00BF7C42"/>
    <w:rsid w:val="00BF7CBF"/>
    <w:rsid w:val="00C011E7"/>
    <w:rsid w:val="00C0206D"/>
    <w:rsid w:val="00C053BB"/>
    <w:rsid w:val="00C05E80"/>
    <w:rsid w:val="00C06E70"/>
    <w:rsid w:val="00C06F70"/>
    <w:rsid w:val="00C07C2F"/>
    <w:rsid w:val="00C07D3F"/>
    <w:rsid w:val="00C106DD"/>
    <w:rsid w:val="00C109B5"/>
    <w:rsid w:val="00C116AB"/>
    <w:rsid w:val="00C11AB7"/>
    <w:rsid w:val="00C13214"/>
    <w:rsid w:val="00C135C1"/>
    <w:rsid w:val="00C13CE6"/>
    <w:rsid w:val="00C13D41"/>
    <w:rsid w:val="00C156D8"/>
    <w:rsid w:val="00C15EF1"/>
    <w:rsid w:val="00C17F04"/>
    <w:rsid w:val="00C2283F"/>
    <w:rsid w:val="00C22C64"/>
    <w:rsid w:val="00C2360F"/>
    <w:rsid w:val="00C23773"/>
    <w:rsid w:val="00C23C1D"/>
    <w:rsid w:val="00C23CB4"/>
    <w:rsid w:val="00C23CE9"/>
    <w:rsid w:val="00C24110"/>
    <w:rsid w:val="00C245B5"/>
    <w:rsid w:val="00C25DE4"/>
    <w:rsid w:val="00C26396"/>
    <w:rsid w:val="00C266EA"/>
    <w:rsid w:val="00C268C7"/>
    <w:rsid w:val="00C31467"/>
    <w:rsid w:val="00C33071"/>
    <w:rsid w:val="00C33D8A"/>
    <w:rsid w:val="00C33FCA"/>
    <w:rsid w:val="00C3533B"/>
    <w:rsid w:val="00C353AA"/>
    <w:rsid w:val="00C3619E"/>
    <w:rsid w:val="00C366CF"/>
    <w:rsid w:val="00C36FB0"/>
    <w:rsid w:val="00C36FB4"/>
    <w:rsid w:val="00C376F5"/>
    <w:rsid w:val="00C41634"/>
    <w:rsid w:val="00C41E2F"/>
    <w:rsid w:val="00C42BFA"/>
    <w:rsid w:val="00C447C2"/>
    <w:rsid w:val="00C455B1"/>
    <w:rsid w:val="00C461D3"/>
    <w:rsid w:val="00C46A3F"/>
    <w:rsid w:val="00C5138C"/>
    <w:rsid w:val="00C51B3C"/>
    <w:rsid w:val="00C52243"/>
    <w:rsid w:val="00C53C04"/>
    <w:rsid w:val="00C546D4"/>
    <w:rsid w:val="00C5651E"/>
    <w:rsid w:val="00C5739F"/>
    <w:rsid w:val="00C57F0F"/>
    <w:rsid w:val="00C60BAD"/>
    <w:rsid w:val="00C60DC5"/>
    <w:rsid w:val="00C61A6A"/>
    <w:rsid w:val="00C61F97"/>
    <w:rsid w:val="00C63642"/>
    <w:rsid w:val="00C65E9F"/>
    <w:rsid w:val="00C66894"/>
    <w:rsid w:val="00C6695B"/>
    <w:rsid w:val="00C66BDF"/>
    <w:rsid w:val="00C66DBF"/>
    <w:rsid w:val="00C6784E"/>
    <w:rsid w:val="00C70E32"/>
    <w:rsid w:val="00C70FA9"/>
    <w:rsid w:val="00C71F19"/>
    <w:rsid w:val="00C72E12"/>
    <w:rsid w:val="00C73215"/>
    <w:rsid w:val="00C732BA"/>
    <w:rsid w:val="00C735A1"/>
    <w:rsid w:val="00C73F38"/>
    <w:rsid w:val="00C74058"/>
    <w:rsid w:val="00C7597E"/>
    <w:rsid w:val="00C77B35"/>
    <w:rsid w:val="00C77FF9"/>
    <w:rsid w:val="00C800ED"/>
    <w:rsid w:val="00C8022A"/>
    <w:rsid w:val="00C82F74"/>
    <w:rsid w:val="00C82FC9"/>
    <w:rsid w:val="00C8421F"/>
    <w:rsid w:val="00C8560E"/>
    <w:rsid w:val="00C856E2"/>
    <w:rsid w:val="00C87F0F"/>
    <w:rsid w:val="00C901C4"/>
    <w:rsid w:val="00C90314"/>
    <w:rsid w:val="00C92E73"/>
    <w:rsid w:val="00C9503E"/>
    <w:rsid w:val="00C95531"/>
    <w:rsid w:val="00CA0331"/>
    <w:rsid w:val="00CA0635"/>
    <w:rsid w:val="00CA0739"/>
    <w:rsid w:val="00CA09E0"/>
    <w:rsid w:val="00CA1464"/>
    <w:rsid w:val="00CA2B91"/>
    <w:rsid w:val="00CA302D"/>
    <w:rsid w:val="00CA34E4"/>
    <w:rsid w:val="00CA40BA"/>
    <w:rsid w:val="00CA43DF"/>
    <w:rsid w:val="00CA7409"/>
    <w:rsid w:val="00CB1357"/>
    <w:rsid w:val="00CB222E"/>
    <w:rsid w:val="00CB225C"/>
    <w:rsid w:val="00CB2A04"/>
    <w:rsid w:val="00CB44E6"/>
    <w:rsid w:val="00CB4F6D"/>
    <w:rsid w:val="00CB5A61"/>
    <w:rsid w:val="00CB5B60"/>
    <w:rsid w:val="00CB6519"/>
    <w:rsid w:val="00CB6B7C"/>
    <w:rsid w:val="00CB7305"/>
    <w:rsid w:val="00CB7510"/>
    <w:rsid w:val="00CC00AC"/>
    <w:rsid w:val="00CC3814"/>
    <w:rsid w:val="00CC4A12"/>
    <w:rsid w:val="00CC4FF4"/>
    <w:rsid w:val="00CC6682"/>
    <w:rsid w:val="00CC6F9C"/>
    <w:rsid w:val="00CC79C4"/>
    <w:rsid w:val="00CD0098"/>
    <w:rsid w:val="00CD0498"/>
    <w:rsid w:val="00CD09AC"/>
    <w:rsid w:val="00CD1232"/>
    <w:rsid w:val="00CD25D5"/>
    <w:rsid w:val="00CD2C43"/>
    <w:rsid w:val="00CD2EE5"/>
    <w:rsid w:val="00CD35C6"/>
    <w:rsid w:val="00CD4771"/>
    <w:rsid w:val="00CD48CB"/>
    <w:rsid w:val="00CD55DE"/>
    <w:rsid w:val="00CD6498"/>
    <w:rsid w:val="00CD64DE"/>
    <w:rsid w:val="00CD6792"/>
    <w:rsid w:val="00CD7AD2"/>
    <w:rsid w:val="00CE1112"/>
    <w:rsid w:val="00CE1126"/>
    <w:rsid w:val="00CE1D13"/>
    <w:rsid w:val="00CE2E23"/>
    <w:rsid w:val="00CE33D9"/>
    <w:rsid w:val="00CE37C0"/>
    <w:rsid w:val="00CE391E"/>
    <w:rsid w:val="00CE3EA5"/>
    <w:rsid w:val="00CE3FAD"/>
    <w:rsid w:val="00CE4E4E"/>
    <w:rsid w:val="00CE5450"/>
    <w:rsid w:val="00CE64BF"/>
    <w:rsid w:val="00CE66FE"/>
    <w:rsid w:val="00CE7486"/>
    <w:rsid w:val="00CE7B95"/>
    <w:rsid w:val="00CF14FD"/>
    <w:rsid w:val="00CF2264"/>
    <w:rsid w:val="00CF4213"/>
    <w:rsid w:val="00CF4729"/>
    <w:rsid w:val="00CF5078"/>
    <w:rsid w:val="00CF5CB0"/>
    <w:rsid w:val="00CF67D1"/>
    <w:rsid w:val="00CF7593"/>
    <w:rsid w:val="00CF78CD"/>
    <w:rsid w:val="00D01AAD"/>
    <w:rsid w:val="00D02EBB"/>
    <w:rsid w:val="00D030FB"/>
    <w:rsid w:val="00D031BB"/>
    <w:rsid w:val="00D031CC"/>
    <w:rsid w:val="00D043C8"/>
    <w:rsid w:val="00D049A5"/>
    <w:rsid w:val="00D0579A"/>
    <w:rsid w:val="00D06AF5"/>
    <w:rsid w:val="00D07BF4"/>
    <w:rsid w:val="00D10812"/>
    <w:rsid w:val="00D1117C"/>
    <w:rsid w:val="00D1194E"/>
    <w:rsid w:val="00D1244F"/>
    <w:rsid w:val="00D129E7"/>
    <w:rsid w:val="00D12EE7"/>
    <w:rsid w:val="00D1647F"/>
    <w:rsid w:val="00D16752"/>
    <w:rsid w:val="00D16CE7"/>
    <w:rsid w:val="00D201CA"/>
    <w:rsid w:val="00D20FB1"/>
    <w:rsid w:val="00D21A84"/>
    <w:rsid w:val="00D226CE"/>
    <w:rsid w:val="00D22899"/>
    <w:rsid w:val="00D23003"/>
    <w:rsid w:val="00D231CC"/>
    <w:rsid w:val="00D23C1A"/>
    <w:rsid w:val="00D241F5"/>
    <w:rsid w:val="00D25391"/>
    <w:rsid w:val="00D254A5"/>
    <w:rsid w:val="00D26526"/>
    <w:rsid w:val="00D26D9F"/>
    <w:rsid w:val="00D27834"/>
    <w:rsid w:val="00D27865"/>
    <w:rsid w:val="00D27B10"/>
    <w:rsid w:val="00D27DE3"/>
    <w:rsid w:val="00D27E58"/>
    <w:rsid w:val="00D27FDE"/>
    <w:rsid w:val="00D32823"/>
    <w:rsid w:val="00D32EE2"/>
    <w:rsid w:val="00D3305C"/>
    <w:rsid w:val="00D3313E"/>
    <w:rsid w:val="00D33A28"/>
    <w:rsid w:val="00D34648"/>
    <w:rsid w:val="00D3478C"/>
    <w:rsid w:val="00D34996"/>
    <w:rsid w:val="00D350DF"/>
    <w:rsid w:val="00D35340"/>
    <w:rsid w:val="00D35485"/>
    <w:rsid w:val="00D35F67"/>
    <w:rsid w:val="00D37C6C"/>
    <w:rsid w:val="00D41422"/>
    <w:rsid w:val="00D4235F"/>
    <w:rsid w:val="00D434A0"/>
    <w:rsid w:val="00D43B52"/>
    <w:rsid w:val="00D43D72"/>
    <w:rsid w:val="00D44A10"/>
    <w:rsid w:val="00D4655E"/>
    <w:rsid w:val="00D47049"/>
    <w:rsid w:val="00D47408"/>
    <w:rsid w:val="00D47763"/>
    <w:rsid w:val="00D50351"/>
    <w:rsid w:val="00D50C76"/>
    <w:rsid w:val="00D511C3"/>
    <w:rsid w:val="00D51235"/>
    <w:rsid w:val="00D52C7E"/>
    <w:rsid w:val="00D54869"/>
    <w:rsid w:val="00D54AED"/>
    <w:rsid w:val="00D561F8"/>
    <w:rsid w:val="00D56CEB"/>
    <w:rsid w:val="00D57135"/>
    <w:rsid w:val="00D6014B"/>
    <w:rsid w:val="00D61E05"/>
    <w:rsid w:val="00D635D0"/>
    <w:rsid w:val="00D65540"/>
    <w:rsid w:val="00D65E1D"/>
    <w:rsid w:val="00D66612"/>
    <w:rsid w:val="00D666EF"/>
    <w:rsid w:val="00D66E50"/>
    <w:rsid w:val="00D70C8A"/>
    <w:rsid w:val="00D719B5"/>
    <w:rsid w:val="00D71B1C"/>
    <w:rsid w:val="00D71CEC"/>
    <w:rsid w:val="00D72C55"/>
    <w:rsid w:val="00D73162"/>
    <w:rsid w:val="00D760E2"/>
    <w:rsid w:val="00D76149"/>
    <w:rsid w:val="00D77172"/>
    <w:rsid w:val="00D7749D"/>
    <w:rsid w:val="00D804D4"/>
    <w:rsid w:val="00D80505"/>
    <w:rsid w:val="00D807A1"/>
    <w:rsid w:val="00D80DCF"/>
    <w:rsid w:val="00D82905"/>
    <w:rsid w:val="00D83B80"/>
    <w:rsid w:val="00D84493"/>
    <w:rsid w:val="00D847DB"/>
    <w:rsid w:val="00D848E3"/>
    <w:rsid w:val="00D84B51"/>
    <w:rsid w:val="00D85C20"/>
    <w:rsid w:val="00D86224"/>
    <w:rsid w:val="00D86D98"/>
    <w:rsid w:val="00D90945"/>
    <w:rsid w:val="00D90AA3"/>
    <w:rsid w:val="00D90C1A"/>
    <w:rsid w:val="00D921F0"/>
    <w:rsid w:val="00D96C94"/>
    <w:rsid w:val="00D97096"/>
    <w:rsid w:val="00D97592"/>
    <w:rsid w:val="00DA02B5"/>
    <w:rsid w:val="00DA0C5C"/>
    <w:rsid w:val="00DA0CA8"/>
    <w:rsid w:val="00DA1B39"/>
    <w:rsid w:val="00DA2137"/>
    <w:rsid w:val="00DA2BBD"/>
    <w:rsid w:val="00DA3129"/>
    <w:rsid w:val="00DA6081"/>
    <w:rsid w:val="00DB1D2A"/>
    <w:rsid w:val="00DB42BD"/>
    <w:rsid w:val="00DB631F"/>
    <w:rsid w:val="00DB6D84"/>
    <w:rsid w:val="00DB6DA1"/>
    <w:rsid w:val="00DB758F"/>
    <w:rsid w:val="00DC0CCE"/>
    <w:rsid w:val="00DC0E63"/>
    <w:rsid w:val="00DC129F"/>
    <w:rsid w:val="00DC1E2C"/>
    <w:rsid w:val="00DC34C5"/>
    <w:rsid w:val="00DC37DB"/>
    <w:rsid w:val="00DC3D29"/>
    <w:rsid w:val="00DC40AC"/>
    <w:rsid w:val="00DC49B4"/>
    <w:rsid w:val="00DC58E0"/>
    <w:rsid w:val="00DC7F9F"/>
    <w:rsid w:val="00DD23BF"/>
    <w:rsid w:val="00DD24EC"/>
    <w:rsid w:val="00DD2CAB"/>
    <w:rsid w:val="00DD324D"/>
    <w:rsid w:val="00DD427B"/>
    <w:rsid w:val="00DD4C40"/>
    <w:rsid w:val="00DD5A59"/>
    <w:rsid w:val="00DD62A8"/>
    <w:rsid w:val="00DD6F81"/>
    <w:rsid w:val="00DD75F9"/>
    <w:rsid w:val="00DE0108"/>
    <w:rsid w:val="00DE12AB"/>
    <w:rsid w:val="00DE1F39"/>
    <w:rsid w:val="00DE281D"/>
    <w:rsid w:val="00DE283A"/>
    <w:rsid w:val="00DE2D2F"/>
    <w:rsid w:val="00DE50C8"/>
    <w:rsid w:val="00DE60D2"/>
    <w:rsid w:val="00DE656A"/>
    <w:rsid w:val="00DE66C0"/>
    <w:rsid w:val="00DE6D6B"/>
    <w:rsid w:val="00DF0159"/>
    <w:rsid w:val="00DF029C"/>
    <w:rsid w:val="00DF2282"/>
    <w:rsid w:val="00DF24DF"/>
    <w:rsid w:val="00DF26B1"/>
    <w:rsid w:val="00DF419D"/>
    <w:rsid w:val="00DF44F0"/>
    <w:rsid w:val="00DF6AB2"/>
    <w:rsid w:val="00DF7610"/>
    <w:rsid w:val="00DF7EAA"/>
    <w:rsid w:val="00E01258"/>
    <w:rsid w:val="00E01C08"/>
    <w:rsid w:val="00E03E0A"/>
    <w:rsid w:val="00E052FC"/>
    <w:rsid w:val="00E05764"/>
    <w:rsid w:val="00E069F9"/>
    <w:rsid w:val="00E104BE"/>
    <w:rsid w:val="00E10836"/>
    <w:rsid w:val="00E117B3"/>
    <w:rsid w:val="00E11BAB"/>
    <w:rsid w:val="00E11EFF"/>
    <w:rsid w:val="00E120E3"/>
    <w:rsid w:val="00E1388B"/>
    <w:rsid w:val="00E13E2E"/>
    <w:rsid w:val="00E15111"/>
    <w:rsid w:val="00E15C34"/>
    <w:rsid w:val="00E16E97"/>
    <w:rsid w:val="00E17C10"/>
    <w:rsid w:val="00E20F9F"/>
    <w:rsid w:val="00E2149B"/>
    <w:rsid w:val="00E218ED"/>
    <w:rsid w:val="00E21DB5"/>
    <w:rsid w:val="00E22434"/>
    <w:rsid w:val="00E226D4"/>
    <w:rsid w:val="00E24A3F"/>
    <w:rsid w:val="00E24EC3"/>
    <w:rsid w:val="00E2759D"/>
    <w:rsid w:val="00E3198B"/>
    <w:rsid w:val="00E328EE"/>
    <w:rsid w:val="00E32A03"/>
    <w:rsid w:val="00E33E42"/>
    <w:rsid w:val="00E349C4"/>
    <w:rsid w:val="00E34CE0"/>
    <w:rsid w:val="00E358BB"/>
    <w:rsid w:val="00E35E4B"/>
    <w:rsid w:val="00E360A8"/>
    <w:rsid w:val="00E36313"/>
    <w:rsid w:val="00E367DB"/>
    <w:rsid w:val="00E36E56"/>
    <w:rsid w:val="00E37C3E"/>
    <w:rsid w:val="00E40049"/>
    <w:rsid w:val="00E40C93"/>
    <w:rsid w:val="00E43B23"/>
    <w:rsid w:val="00E43C27"/>
    <w:rsid w:val="00E441A0"/>
    <w:rsid w:val="00E44466"/>
    <w:rsid w:val="00E44617"/>
    <w:rsid w:val="00E464DA"/>
    <w:rsid w:val="00E4672C"/>
    <w:rsid w:val="00E46BE3"/>
    <w:rsid w:val="00E51208"/>
    <w:rsid w:val="00E513C2"/>
    <w:rsid w:val="00E521F0"/>
    <w:rsid w:val="00E52D1B"/>
    <w:rsid w:val="00E52F7C"/>
    <w:rsid w:val="00E534E0"/>
    <w:rsid w:val="00E54DFC"/>
    <w:rsid w:val="00E5591B"/>
    <w:rsid w:val="00E55A01"/>
    <w:rsid w:val="00E57660"/>
    <w:rsid w:val="00E5788C"/>
    <w:rsid w:val="00E57CC6"/>
    <w:rsid w:val="00E6024D"/>
    <w:rsid w:val="00E60798"/>
    <w:rsid w:val="00E62EBF"/>
    <w:rsid w:val="00E67CE9"/>
    <w:rsid w:val="00E7063A"/>
    <w:rsid w:val="00E71AC4"/>
    <w:rsid w:val="00E72869"/>
    <w:rsid w:val="00E72C16"/>
    <w:rsid w:val="00E738C0"/>
    <w:rsid w:val="00E73F49"/>
    <w:rsid w:val="00E74746"/>
    <w:rsid w:val="00E74F47"/>
    <w:rsid w:val="00E760B6"/>
    <w:rsid w:val="00E76AFC"/>
    <w:rsid w:val="00E77A37"/>
    <w:rsid w:val="00E817E5"/>
    <w:rsid w:val="00E81F1A"/>
    <w:rsid w:val="00E82ED6"/>
    <w:rsid w:val="00E83018"/>
    <w:rsid w:val="00E83B54"/>
    <w:rsid w:val="00E8528A"/>
    <w:rsid w:val="00E860BA"/>
    <w:rsid w:val="00E8636C"/>
    <w:rsid w:val="00E86633"/>
    <w:rsid w:val="00E90543"/>
    <w:rsid w:val="00E92E17"/>
    <w:rsid w:val="00E93AA3"/>
    <w:rsid w:val="00E93DCD"/>
    <w:rsid w:val="00E948B6"/>
    <w:rsid w:val="00E95202"/>
    <w:rsid w:val="00E9570D"/>
    <w:rsid w:val="00E96030"/>
    <w:rsid w:val="00E97F74"/>
    <w:rsid w:val="00EA10E8"/>
    <w:rsid w:val="00EA24B2"/>
    <w:rsid w:val="00EA33BB"/>
    <w:rsid w:val="00EA34AB"/>
    <w:rsid w:val="00EA3BE7"/>
    <w:rsid w:val="00EA57C6"/>
    <w:rsid w:val="00EA5FCD"/>
    <w:rsid w:val="00EA6CA9"/>
    <w:rsid w:val="00EA7025"/>
    <w:rsid w:val="00EA7C3F"/>
    <w:rsid w:val="00EB090C"/>
    <w:rsid w:val="00EB0DA1"/>
    <w:rsid w:val="00EB1075"/>
    <w:rsid w:val="00EB157A"/>
    <w:rsid w:val="00EB159D"/>
    <w:rsid w:val="00EB1A60"/>
    <w:rsid w:val="00EB2FB6"/>
    <w:rsid w:val="00EB31C9"/>
    <w:rsid w:val="00EB576E"/>
    <w:rsid w:val="00EB7FCB"/>
    <w:rsid w:val="00EC0B85"/>
    <w:rsid w:val="00EC130A"/>
    <w:rsid w:val="00EC21E6"/>
    <w:rsid w:val="00EC243E"/>
    <w:rsid w:val="00EC2A46"/>
    <w:rsid w:val="00EC6967"/>
    <w:rsid w:val="00EC6F3D"/>
    <w:rsid w:val="00EC7396"/>
    <w:rsid w:val="00EC7934"/>
    <w:rsid w:val="00ED10C9"/>
    <w:rsid w:val="00ED1154"/>
    <w:rsid w:val="00ED1B9B"/>
    <w:rsid w:val="00ED26AD"/>
    <w:rsid w:val="00ED2DE7"/>
    <w:rsid w:val="00ED2E6D"/>
    <w:rsid w:val="00ED4FDD"/>
    <w:rsid w:val="00ED529A"/>
    <w:rsid w:val="00ED7851"/>
    <w:rsid w:val="00EE0715"/>
    <w:rsid w:val="00EE07C4"/>
    <w:rsid w:val="00EE0EBB"/>
    <w:rsid w:val="00EE1208"/>
    <w:rsid w:val="00EE192F"/>
    <w:rsid w:val="00EE2B62"/>
    <w:rsid w:val="00EE4664"/>
    <w:rsid w:val="00EE4886"/>
    <w:rsid w:val="00EE4958"/>
    <w:rsid w:val="00EE4B8D"/>
    <w:rsid w:val="00EE4EB7"/>
    <w:rsid w:val="00EE6154"/>
    <w:rsid w:val="00EE7386"/>
    <w:rsid w:val="00EE75DD"/>
    <w:rsid w:val="00EF02EB"/>
    <w:rsid w:val="00EF08CA"/>
    <w:rsid w:val="00EF1401"/>
    <w:rsid w:val="00EF1A86"/>
    <w:rsid w:val="00EF37E2"/>
    <w:rsid w:val="00EF3D44"/>
    <w:rsid w:val="00EF4945"/>
    <w:rsid w:val="00EF4DC5"/>
    <w:rsid w:val="00EF4FF9"/>
    <w:rsid w:val="00EF5E46"/>
    <w:rsid w:val="00EF6743"/>
    <w:rsid w:val="00EF76FB"/>
    <w:rsid w:val="00EF7F30"/>
    <w:rsid w:val="00F0097B"/>
    <w:rsid w:val="00F00CFA"/>
    <w:rsid w:val="00F00E18"/>
    <w:rsid w:val="00F01971"/>
    <w:rsid w:val="00F01A93"/>
    <w:rsid w:val="00F0212B"/>
    <w:rsid w:val="00F026F6"/>
    <w:rsid w:val="00F032A2"/>
    <w:rsid w:val="00F0405D"/>
    <w:rsid w:val="00F042CA"/>
    <w:rsid w:val="00F0479F"/>
    <w:rsid w:val="00F04E6D"/>
    <w:rsid w:val="00F061D9"/>
    <w:rsid w:val="00F066C1"/>
    <w:rsid w:val="00F07A69"/>
    <w:rsid w:val="00F10D71"/>
    <w:rsid w:val="00F1162E"/>
    <w:rsid w:val="00F12384"/>
    <w:rsid w:val="00F12878"/>
    <w:rsid w:val="00F12A34"/>
    <w:rsid w:val="00F13173"/>
    <w:rsid w:val="00F159B6"/>
    <w:rsid w:val="00F1600D"/>
    <w:rsid w:val="00F16737"/>
    <w:rsid w:val="00F17431"/>
    <w:rsid w:val="00F20340"/>
    <w:rsid w:val="00F20C34"/>
    <w:rsid w:val="00F21769"/>
    <w:rsid w:val="00F2186F"/>
    <w:rsid w:val="00F226B2"/>
    <w:rsid w:val="00F238F3"/>
    <w:rsid w:val="00F277F6"/>
    <w:rsid w:val="00F303A5"/>
    <w:rsid w:val="00F3059A"/>
    <w:rsid w:val="00F32DCC"/>
    <w:rsid w:val="00F338E0"/>
    <w:rsid w:val="00F338FD"/>
    <w:rsid w:val="00F33999"/>
    <w:rsid w:val="00F33BD3"/>
    <w:rsid w:val="00F34401"/>
    <w:rsid w:val="00F354C4"/>
    <w:rsid w:val="00F35ABF"/>
    <w:rsid w:val="00F37D30"/>
    <w:rsid w:val="00F4363F"/>
    <w:rsid w:val="00F436C0"/>
    <w:rsid w:val="00F44625"/>
    <w:rsid w:val="00F447A2"/>
    <w:rsid w:val="00F45190"/>
    <w:rsid w:val="00F45265"/>
    <w:rsid w:val="00F46358"/>
    <w:rsid w:val="00F4654A"/>
    <w:rsid w:val="00F50F6A"/>
    <w:rsid w:val="00F52083"/>
    <w:rsid w:val="00F52F24"/>
    <w:rsid w:val="00F53658"/>
    <w:rsid w:val="00F53EC4"/>
    <w:rsid w:val="00F53FC9"/>
    <w:rsid w:val="00F54151"/>
    <w:rsid w:val="00F5589D"/>
    <w:rsid w:val="00F56BF4"/>
    <w:rsid w:val="00F56F20"/>
    <w:rsid w:val="00F574E3"/>
    <w:rsid w:val="00F57957"/>
    <w:rsid w:val="00F60577"/>
    <w:rsid w:val="00F631B1"/>
    <w:rsid w:val="00F663DA"/>
    <w:rsid w:val="00F66B98"/>
    <w:rsid w:val="00F677A5"/>
    <w:rsid w:val="00F709CC"/>
    <w:rsid w:val="00F71003"/>
    <w:rsid w:val="00F716AC"/>
    <w:rsid w:val="00F71DF9"/>
    <w:rsid w:val="00F72B31"/>
    <w:rsid w:val="00F72B78"/>
    <w:rsid w:val="00F737FA"/>
    <w:rsid w:val="00F740DF"/>
    <w:rsid w:val="00F7446D"/>
    <w:rsid w:val="00F7518F"/>
    <w:rsid w:val="00F75DFF"/>
    <w:rsid w:val="00F7636A"/>
    <w:rsid w:val="00F763B5"/>
    <w:rsid w:val="00F76536"/>
    <w:rsid w:val="00F76B42"/>
    <w:rsid w:val="00F80E09"/>
    <w:rsid w:val="00F81863"/>
    <w:rsid w:val="00F84093"/>
    <w:rsid w:val="00F852AD"/>
    <w:rsid w:val="00F85C0C"/>
    <w:rsid w:val="00F85D81"/>
    <w:rsid w:val="00F86967"/>
    <w:rsid w:val="00F86A63"/>
    <w:rsid w:val="00F873B5"/>
    <w:rsid w:val="00F9041E"/>
    <w:rsid w:val="00F93482"/>
    <w:rsid w:val="00F93A3B"/>
    <w:rsid w:val="00F958EF"/>
    <w:rsid w:val="00F974FC"/>
    <w:rsid w:val="00FA03C5"/>
    <w:rsid w:val="00FA0743"/>
    <w:rsid w:val="00FA0B1E"/>
    <w:rsid w:val="00FA1029"/>
    <w:rsid w:val="00FA1485"/>
    <w:rsid w:val="00FA2788"/>
    <w:rsid w:val="00FA2B44"/>
    <w:rsid w:val="00FA3163"/>
    <w:rsid w:val="00FA3453"/>
    <w:rsid w:val="00FA46CA"/>
    <w:rsid w:val="00FA49A9"/>
    <w:rsid w:val="00FA4E0E"/>
    <w:rsid w:val="00FA5082"/>
    <w:rsid w:val="00FA52F3"/>
    <w:rsid w:val="00FA5C26"/>
    <w:rsid w:val="00FA65B0"/>
    <w:rsid w:val="00FA6913"/>
    <w:rsid w:val="00FB0272"/>
    <w:rsid w:val="00FB0DAB"/>
    <w:rsid w:val="00FB0F69"/>
    <w:rsid w:val="00FB261B"/>
    <w:rsid w:val="00FB295D"/>
    <w:rsid w:val="00FB45C1"/>
    <w:rsid w:val="00FB4B9D"/>
    <w:rsid w:val="00FB5383"/>
    <w:rsid w:val="00FB56FC"/>
    <w:rsid w:val="00FB6319"/>
    <w:rsid w:val="00FC097B"/>
    <w:rsid w:val="00FC146A"/>
    <w:rsid w:val="00FC369B"/>
    <w:rsid w:val="00FC4275"/>
    <w:rsid w:val="00FC4EA0"/>
    <w:rsid w:val="00FC54A3"/>
    <w:rsid w:val="00FC5BA3"/>
    <w:rsid w:val="00FC5D74"/>
    <w:rsid w:val="00FC5D79"/>
    <w:rsid w:val="00FC6F52"/>
    <w:rsid w:val="00FD0991"/>
    <w:rsid w:val="00FD17E3"/>
    <w:rsid w:val="00FD1F22"/>
    <w:rsid w:val="00FD22D0"/>
    <w:rsid w:val="00FD2332"/>
    <w:rsid w:val="00FD2C27"/>
    <w:rsid w:val="00FD531F"/>
    <w:rsid w:val="00FD7E18"/>
    <w:rsid w:val="00FE07B3"/>
    <w:rsid w:val="00FE0F5E"/>
    <w:rsid w:val="00FE1CA3"/>
    <w:rsid w:val="00FE21CE"/>
    <w:rsid w:val="00FE2354"/>
    <w:rsid w:val="00FE269F"/>
    <w:rsid w:val="00FE301C"/>
    <w:rsid w:val="00FE57E2"/>
    <w:rsid w:val="00FE6BB1"/>
    <w:rsid w:val="00FE7B25"/>
    <w:rsid w:val="00FE7EAC"/>
    <w:rsid w:val="00FF2337"/>
    <w:rsid w:val="00FF248E"/>
    <w:rsid w:val="00FF2B6D"/>
    <w:rsid w:val="00FF2BBD"/>
    <w:rsid w:val="00FF33E2"/>
    <w:rsid w:val="00FF6961"/>
    <w:rsid w:val="00FF69CB"/>
    <w:rsid w:val="00FF6FE1"/>
    <w:rsid w:val="01030CAB"/>
    <w:rsid w:val="011C448E"/>
    <w:rsid w:val="011D5B77"/>
    <w:rsid w:val="01407E7D"/>
    <w:rsid w:val="01675508"/>
    <w:rsid w:val="017B66DF"/>
    <w:rsid w:val="01812505"/>
    <w:rsid w:val="0183538F"/>
    <w:rsid w:val="018907CE"/>
    <w:rsid w:val="019F0773"/>
    <w:rsid w:val="01A14E82"/>
    <w:rsid w:val="01A5724E"/>
    <w:rsid w:val="01BD6B19"/>
    <w:rsid w:val="01C00C20"/>
    <w:rsid w:val="01D836CF"/>
    <w:rsid w:val="01F5439D"/>
    <w:rsid w:val="01FC4907"/>
    <w:rsid w:val="021F6A28"/>
    <w:rsid w:val="023B0036"/>
    <w:rsid w:val="02404951"/>
    <w:rsid w:val="02435E6C"/>
    <w:rsid w:val="024E3F0C"/>
    <w:rsid w:val="024F44B5"/>
    <w:rsid w:val="02527872"/>
    <w:rsid w:val="026809E1"/>
    <w:rsid w:val="02696B61"/>
    <w:rsid w:val="028468D3"/>
    <w:rsid w:val="02D73D4D"/>
    <w:rsid w:val="02D838CE"/>
    <w:rsid w:val="02F44E5F"/>
    <w:rsid w:val="02FB2CEB"/>
    <w:rsid w:val="02FC59CC"/>
    <w:rsid w:val="03116EE0"/>
    <w:rsid w:val="03206651"/>
    <w:rsid w:val="032D4749"/>
    <w:rsid w:val="03406FEB"/>
    <w:rsid w:val="03426F27"/>
    <w:rsid w:val="035A1279"/>
    <w:rsid w:val="035B1A65"/>
    <w:rsid w:val="03611B02"/>
    <w:rsid w:val="0367360E"/>
    <w:rsid w:val="036B711B"/>
    <w:rsid w:val="03750965"/>
    <w:rsid w:val="0396110D"/>
    <w:rsid w:val="0396492D"/>
    <w:rsid w:val="03974A6F"/>
    <w:rsid w:val="03A360F5"/>
    <w:rsid w:val="03AC629A"/>
    <w:rsid w:val="03AF245D"/>
    <w:rsid w:val="03B51880"/>
    <w:rsid w:val="03B920DF"/>
    <w:rsid w:val="03BD5878"/>
    <w:rsid w:val="03BD7362"/>
    <w:rsid w:val="03C502FC"/>
    <w:rsid w:val="03C7719C"/>
    <w:rsid w:val="03CE4078"/>
    <w:rsid w:val="03D70397"/>
    <w:rsid w:val="03DF7C27"/>
    <w:rsid w:val="0401670C"/>
    <w:rsid w:val="040C3540"/>
    <w:rsid w:val="0418404B"/>
    <w:rsid w:val="042C5E0E"/>
    <w:rsid w:val="043C7BBA"/>
    <w:rsid w:val="04526B83"/>
    <w:rsid w:val="0462322C"/>
    <w:rsid w:val="04633B9C"/>
    <w:rsid w:val="04925F0E"/>
    <w:rsid w:val="04A65AC9"/>
    <w:rsid w:val="04A834ED"/>
    <w:rsid w:val="04FC592A"/>
    <w:rsid w:val="0503646F"/>
    <w:rsid w:val="051242EA"/>
    <w:rsid w:val="051E5D2C"/>
    <w:rsid w:val="052046B4"/>
    <w:rsid w:val="05432B47"/>
    <w:rsid w:val="0553544D"/>
    <w:rsid w:val="056E7FA1"/>
    <w:rsid w:val="05707970"/>
    <w:rsid w:val="058B4270"/>
    <w:rsid w:val="058B4DBC"/>
    <w:rsid w:val="0599362B"/>
    <w:rsid w:val="059E3CF4"/>
    <w:rsid w:val="05E34BFA"/>
    <w:rsid w:val="062C7C09"/>
    <w:rsid w:val="06446DB4"/>
    <w:rsid w:val="0654229A"/>
    <w:rsid w:val="06555B77"/>
    <w:rsid w:val="065847BC"/>
    <w:rsid w:val="06623CAC"/>
    <w:rsid w:val="06B01F25"/>
    <w:rsid w:val="06B03B17"/>
    <w:rsid w:val="06B461FC"/>
    <w:rsid w:val="06B53871"/>
    <w:rsid w:val="06C46E10"/>
    <w:rsid w:val="06CC2A50"/>
    <w:rsid w:val="06CD1E02"/>
    <w:rsid w:val="06D36ECA"/>
    <w:rsid w:val="06DE6620"/>
    <w:rsid w:val="06E56308"/>
    <w:rsid w:val="06FB5961"/>
    <w:rsid w:val="071079A3"/>
    <w:rsid w:val="07296000"/>
    <w:rsid w:val="072A3572"/>
    <w:rsid w:val="07427E8F"/>
    <w:rsid w:val="077075E3"/>
    <w:rsid w:val="07994BD6"/>
    <w:rsid w:val="07A11BF3"/>
    <w:rsid w:val="07AC2E96"/>
    <w:rsid w:val="07AD7F62"/>
    <w:rsid w:val="07C01CF5"/>
    <w:rsid w:val="07E90CD1"/>
    <w:rsid w:val="07F51238"/>
    <w:rsid w:val="0801201A"/>
    <w:rsid w:val="0834341D"/>
    <w:rsid w:val="0835430D"/>
    <w:rsid w:val="0864513A"/>
    <w:rsid w:val="0866608A"/>
    <w:rsid w:val="08862F83"/>
    <w:rsid w:val="08A86F67"/>
    <w:rsid w:val="08AB287A"/>
    <w:rsid w:val="08DA0064"/>
    <w:rsid w:val="08ED10D3"/>
    <w:rsid w:val="090E23DA"/>
    <w:rsid w:val="09295247"/>
    <w:rsid w:val="093614E4"/>
    <w:rsid w:val="096D7599"/>
    <w:rsid w:val="0974190C"/>
    <w:rsid w:val="09853143"/>
    <w:rsid w:val="098666A4"/>
    <w:rsid w:val="09882975"/>
    <w:rsid w:val="098A79CB"/>
    <w:rsid w:val="09AA18D6"/>
    <w:rsid w:val="09B924BB"/>
    <w:rsid w:val="09C76CC7"/>
    <w:rsid w:val="09CC348F"/>
    <w:rsid w:val="09D31B02"/>
    <w:rsid w:val="09E1760A"/>
    <w:rsid w:val="09F92539"/>
    <w:rsid w:val="0A01095B"/>
    <w:rsid w:val="0A1A6A64"/>
    <w:rsid w:val="0A564EB3"/>
    <w:rsid w:val="0A800981"/>
    <w:rsid w:val="0A8025A0"/>
    <w:rsid w:val="0AA40E21"/>
    <w:rsid w:val="0ABA64D4"/>
    <w:rsid w:val="0AC6402D"/>
    <w:rsid w:val="0ACC0C69"/>
    <w:rsid w:val="0AF54A1C"/>
    <w:rsid w:val="0B1D267B"/>
    <w:rsid w:val="0B2078A3"/>
    <w:rsid w:val="0B827ABD"/>
    <w:rsid w:val="0B852679"/>
    <w:rsid w:val="0B9E57D2"/>
    <w:rsid w:val="0BAB62C6"/>
    <w:rsid w:val="0BB70C6B"/>
    <w:rsid w:val="0BB96FEA"/>
    <w:rsid w:val="0BE24E7B"/>
    <w:rsid w:val="0C1365C0"/>
    <w:rsid w:val="0C16592B"/>
    <w:rsid w:val="0C170F0F"/>
    <w:rsid w:val="0C2C196A"/>
    <w:rsid w:val="0C6B78E2"/>
    <w:rsid w:val="0C712CCB"/>
    <w:rsid w:val="0C732AE7"/>
    <w:rsid w:val="0C7D253C"/>
    <w:rsid w:val="0C9756C6"/>
    <w:rsid w:val="0CB44838"/>
    <w:rsid w:val="0CB913CA"/>
    <w:rsid w:val="0CC44C9A"/>
    <w:rsid w:val="0CC942B5"/>
    <w:rsid w:val="0CCC5F67"/>
    <w:rsid w:val="0CCF5370"/>
    <w:rsid w:val="0CE12856"/>
    <w:rsid w:val="0CED4883"/>
    <w:rsid w:val="0CFE76D5"/>
    <w:rsid w:val="0CFF46E2"/>
    <w:rsid w:val="0D0560DA"/>
    <w:rsid w:val="0D2836C7"/>
    <w:rsid w:val="0D450302"/>
    <w:rsid w:val="0D476D96"/>
    <w:rsid w:val="0D5717C8"/>
    <w:rsid w:val="0D627B41"/>
    <w:rsid w:val="0D814F15"/>
    <w:rsid w:val="0D857937"/>
    <w:rsid w:val="0D8B3047"/>
    <w:rsid w:val="0D8D5C6F"/>
    <w:rsid w:val="0DA37154"/>
    <w:rsid w:val="0DA671CE"/>
    <w:rsid w:val="0DAB3796"/>
    <w:rsid w:val="0DB47DF3"/>
    <w:rsid w:val="0DB5159E"/>
    <w:rsid w:val="0DBB081D"/>
    <w:rsid w:val="0E001789"/>
    <w:rsid w:val="0E016F76"/>
    <w:rsid w:val="0E017D88"/>
    <w:rsid w:val="0E03111C"/>
    <w:rsid w:val="0E04446E"/>
    <w:rsid w:val="0E0C5F49"/>
    <w:rsid w:val="0E1872CA"/>
    <w:rsid w:val="0E6B3469"/>
    <w:rsid w:val="0E733741"/>
    <w:rsid w:val="0E74369E"/>
    <w:rsid w:val="0E8541FF"/>
    <w:rsid w:val="0E8864D3"/>
    <w:rsid w:val="0E8D09C2"/>
    <w:rsid w:val="0E9A1B43"/>
    <w:rsid w:val="0EC311D7"/>
    <w:rsid w:val="0F035F76"/>
    <w:rsid w:val="0F04322B"/>
    <w:rsid w:val="0F427EB5"/>
    <w:rsid w:val="0F654474"/>
    <w:rsid w:val="0F734A10"/>
    <w:rsid w:val="0F855D5F"/>
    <w:rsid w:val="0F8721E4"/>
    <w:rsid w:val="0F8D7313"/>
    <w:rsid w:val="0F8E33D8"/>
    <w:rsid w:val="0F9A73C5"/>
    <w:rsid w:val="0F9C3784"/>
    <w:rsid w:val="0F9D7AF6"/>
    <w:rsid w:val="0FD74745"/>
    <w:rsid w:val="0FE72E78"/>
    <w:rsid w:val="10084E0E"/>
    <w:rsid w:val="100A2C88"/>
    <w:rsid w:val="10154706"/>
    <w:rsid w:val="10250434"/>
    <w:rsid w:val="102E7BE0"/>
    <w:rsid w:val="10305849"/>
    <w:rsid w:val="103509C0"/>
    <w:rsid w:val="10465351"/>
    <w:rsid w:val="10526809"/>
    <w:rsid w:val="105E378C"/>
    <w:rsid w:val="10712168"/>
    <w:rsid w:val="10786DCA"/>
    <w:rsid w:val="108374EB"/>
    <w:rsid w:val="10855FB8"/>
    <w:rsid w:val="10986509"/>
    <w:rsid w:val="10A66140"/>
    <w:rsid w:val="10AB38CB"/>
    <w:rsid w:val="10AE6BAE"/>
    <w:rsid w:val="10DC17E4"/>
    <w:rsid w:val="10E8479E"/>
    <w:rsid w:val="10E9693F"/>
    <w:rsid w:val="10EE57B5"/>
    <w:rsid w:val="10F1353D"/>
    <w:rsid w:val="10F227F6"/>
    <w:rsid w:val="11125DF2"/>
    <w:rsid w:val="112B0AC2"/>
    <w:rsid w:val="11395178"/>
    <w:rsid w:val="11536349"/>
    <w:rsid w:val="11536BEC"/>
    <w:rsid w:val="11651308"/>
    <w:rsid w:val="11895CFE"/>
    <w:rsid w:val="11996AE8"/>
    <w:rsid w:val="119F3DDB"/>
    <w:rsid w:val="11A25403"/>
    <w:rsid w:val="11E10127"/>
    <w:rsid w:val="11EA466A"/>
    <w:rsid w:val="11F64C9E"/>
    <w:rsid w:val="12066449"/>
    <w:rsid w:val="121529C0"/>
    <w:rsid w:val="122E0A00"/>
    <w:rsid w:val="123358F1"/>
    <w:rsid w:val="12502AD9"/>
    <w:rsid w:val="12660178"/>
    <w:rsid w:val="128878DA"/>
    <w:rsid w:val="12B10136"/>
    <w:rsid w:val="12C903FA"/>
    <w:rsid w:val="12E62C4A"/>
    <w:rsid w:val="12E96663"/>
    <w:rsid w:val="12F22F7A"/>
    <w:rsid w:val="12FF0BB5"/>
    <w:rsid w:val="130C1BC5"/>
    <w:rsid w:val="13127FC9"/>
    <w:rsid w:val="131A633F"/>
    <w:rsid w:val="132E711B"/>
    <w:rsid w:val="13322F9D"/>
    <w:rsid w:val="133340DD"/>
    <w:rsid w:val="13405764"/>
    <w:rsid w:val="13466C12"/>
    <w:rsid w:val="1348182E"/>
    <w:rsid w:val="134D70A9"/>
    <w:rsid w:val="13542A39"/>
    <w:rsid w:val="136F03E8"/>
    <w:rsid w:val="13750C9C"/>
    <w:rsid w:val="13A10FDB"/>
    <w:rsid w:val="13AC635A"/>
    <w:rsid w:val="13BA71FA"/>
    <w:rsid w:val="13BE3F66"/>
    <w:rsid w:val="13C13621"/>
    <w:rsid w:val="13DF3DAA"/>
    <w:rsid w:val="13E57129"/>
    <w:rsid w:val="13E80550"/>
    <w:rsid w:val="13E83CD8"/>
    <w:rsid w:val="13E9074C"/>
    <w:rsid w:val="13ED7131"/>
    <w:rsid w:val="140C1E09"/>
    <w:rsid w:val="14306150"/>
    <w:rsid w:val="143D0F69"/>
    <w:rsid w:val="143D7CDD"/>
    <w:rsid w:val="14632BFD"/>
    <w:rsid w:val="1477736B"/>
    <w:rsid w:val="14795038"/>
    <w:rsid w:val="147E080A"/>
    <w:rsid w:val="14896124"/>
    <w:rsid w:val="14914E29"/>
    <w:rsid w:val="14993A2D"/>
    <w:rsid w:val="14C452EE"/>
    <w:rsid w:val="14D44EBA"/>
    <w:rsid w:val="14D950E6"/>
    <w:rsid w:val="14E469E8"/>
    <w:rsid w:val="14E557C6"/>
    <w:rsid w:val="150560C6"/>
    <w:rsid w:val="1517245A"/>
    <w:rsid w:val="15235654"/>
    <w:rsid w:val="15235793"/>
    <w:rsid w:val="156B14F2"/>
    <w:rsid w:val="157353F3"/>
    <w:rsid w:val="15766DD3"/>
    <w:rsid w:val="15B2331B"/>
    <w:rsid w:val="15CD74E5"/>
    <w:rsid w:val="15E25881"/>
    <w:rsid w:val="15E81F64"/>
    <w:rsid w:val="15F36E30"/>
    <w:rsid w:val="16131826"/>
    <w:rsid w:val="16165D43"/>
    <w:rsid w:val="16282F68"/>
    <w:rsid w:val="162D1C88"/>
    <w:rsid w:val="166239B9"/>
    <w:rsid w:val="166B0CDA"/>
    <w:rsid w:val="167C58A7"/>
    <w:rsid w:val="16826AE7"/>
    <w:rsid w:val="1691161B"/>
    <w:rsid w:val="16CE269E"/>
    <w:rsid w:val="16D21B99"/>
    <w:rsid w:val="16F94713"/>
    <w:rsid w:val="172452A4"/>
    <w:rsid w:val="17255D2B"/>
    <w:rsid w:val="17307577"/>
    <w:rsid w:val="17334E69"/>
    <w:rsid w:val="1760718D"/>
    <w:rsid w:val="176A46D0"/>
    <w:rsid w:val="176D0540"/>
    <w:rsid w:val="176F73DE"/>
    <w:rsid w:val="177E4C66"/>
    <w:rsid w:val="17A06F23"/>
    <w:rsid w:val="17C279AD"/>
    <w:rsid w:val="18077D89"/>
    <w:rsid w:val="18172AB3"/>
    <w:rsid w:val="18356F54"/>
    <w:rsid w:val="18542DCD"/>
    <w:rsid w:val="187A3D63"/>
    <w:rsid w:val="187B06A8"/>
    <w:rsid w:val="187E60F7"/>
    <w:rsid w:val="18890932"/>
    <w:rsid w:val="18920709"/>
    <w:rsid w:val="18996F24"/>
    <w:rsid w:val="18AD7AE4"/>
    <w:rsid w:val="18C61837"/>
    <w:rsid w:val="18CA15F6"/>
    <w:rsid w:val="192F6FE3"/>
    <w:rsid w:val="193D31C0"/>
    <w:rsid w:val="1940754C"/>
    <w:rsid w:val="19623719"/>
    <w:rsid w:val="19674EE0"/>
    <w:rsid w:val="197E6A94"/>
    <w:rsid w:val="198A42D2"/>
    <w:rsid w:val="19B71213"/>
    <w:rsid w:val="19BB6C14"/>
    <w:rsid w:val="19C639BF"/>
    <w:rsid w:val="1A0F148E"/>
    <w:rsid w:val="1A1735C4"/>
    <w:rsid w:val="1A234C96"/>
    <w:rsid w:val="1A471558"/>
    <w:rsid w:val="1A94290F"/>
    <w:rsid w:val="1AA64B17"/>
    <w:rsid w:val="1AB81A50"/>
    <w:rsid w:val="1AED663A"/>
    <w:rsid w:val="1B151C31"/>
    <w:rsid w:val="1B2957F8"/>
    <w:rsid w:val="1B2A7159"/>
    <w:rsid w:val="1B5325D6"/>
    <w:rsid w:val="1B641F58"/>
    <w:rsid w:val="1B654A15"/>
    <w:rsid w:val="1B7150A2"/>
    <w:rsid w:val="1B7D7B8D"/>
    <w:rsid w:val="1B7F3811"/>
    <w:rsid w:val="1BBA16AF"/>
    <w:rsid w:val="1BE05583"/>
    <w:rsid w:val="1BFE43C4"/>
    <w:rsid w:val="1C1A42DD"/>
    <w:rsid w:val="1C2D17A9"/>
    <w:rsid w:val="1C3A1B5D"/>
    <w:rsid w:val="1C440C52"/>
    <w:rsid w:val="1C50069D"/>
    <w:rsid w:val="1C58452C"/>
    <w:rsid w:val="1C667D43"/>
    <w:rsid w:val="1C7D62A5"/>
    <w:rsid w:val="1C89788D"/>
    <w:rsid w:val="1C8A459F"/>
    <w:rsid w:val="1C9E7070"/>
    <w:rsid w:val="1C9F0860"/>
    <w:rsid w:val="1CA82D0E"/>
    <w:rsid w:val="1CB02FB7"/>
    <w:rsid w:val="1CE5543B"/>
    <w:rsid w:val="1CF54276"/>
    <w:rsid w:val="1D09065C"/>
    <w:rsid w:val="1D093D3B"/>
    <w:rsid w:val="1D1576E3"/>
    <w:rsid w:val="1D24733C"/>
    <w:rsid w:val="1D3D15FF"/>
    <w:rsid w:val="1D43340D"/>
    <w:rsid w:val="1D6D06C4"/>
    <w:rsid w:val="1DB36E2B"/>
    <w:rsid w:val="1DC0310A"/>
    <w:rsid w:val="1DC30E33"/>
    <w:rsid w:val="1DCF60C8"/>
    <w:rsid w:val="1DD8261D"/>
    <w:rsid w:val="1DD848F0"/>
    <w:rsid w:val="1DEB2785"/>
    <w:rsid w:val="1DF44409"/>
    <w:rsid w:val="1E045ADE"/>
    <w:rsid w:val="1E09316A"/>
    <w:rsid w:val="1E267554"/>
    <w:rsid w:val="1E4B257C"/>
    <w:rsid w:val="1E565DD3"/>
    <w:rsid w:val="1E644848"/>
    <w:rsid w:val="1E7618DA"/>
    <w:rsid w:val="1E954CA9"/>
    <w:rsid w:val="1E9A2E73"/>
    <w:rsid w:val="1E9A6152"/>
    <w:rsid w:val="1E9F0031"/>
    <w:rsid w:val="1EAB4283"/>
    <w:rsid w:val="1EAF5692"/>
    <w:rsid w:val="1EF36E6F"/>
    <w:rsid w:val="1EF64859"/>
    <w:rsid w:val="1F0A531F"/>
    <w:rsid w:val="1F103E3B"/>
    <w:rsid w:val="1F25178C"/>
    <w:rsid w:val="1F2E7C83"/>
    <w:rsid w:val="1F531975"/>
    <w:rsid w:val="1F635C2B"/>
    <w:rsid w:val="1F670CD2"/>
    <w:rsid w:val="1F6D1C2F"/>
    <w:rsid w:val="1F792EF1"/>
    <w:rsid w:val="1F7D0DB6"/>
    <w:rsid w:val="1F8B24E1"/>
    <w:rsid w:val="1F8C7636"/>
    <w:rsid w:val="1F8E38B0"/>
    <w:rsid w:val="1F900969"/>
    <w:rsid w:val="1F975C1A"/>
    <w:rsid w:val="1FB622C0"/>
    <w:rsid w:val="1FB74524"/>
    <w:rsid w:val="1FC13758"/>
    <w:rsid w:val="1FF62BED"/>
    <w:rsid w:val="1FFE1DDB"/>
    <w:rsid w:val="20025A3F"/>
    <w:rsid w:val="200972FD"/>
    <w:rsid w:val="202B6053"/>
    <w:rsid w:val="20544FE9"/>
    <w:rsid w:val="20593D49"/>
    <w:rsid w:val="205A7604"/>
    <w:rsid w:val="2061661B"/>
    <w:rsid w:val="20667AB5"/>
    <w:rsid w:val="206C19F1"/>
    <w:rsid w:val="20714BE0"/>
    <w:rsid w:val="20AE58B2"/>
    <w:rsid w:val="20AF02FF"/>
    <w:rsid w:val="20C4012C"/>
    <w:rsid w:val="20DC5A73"/>
    <w:rsid w:val="20E27143"/>
    <w:rsid w:val="20EA7AE3"/>
    <w:rsid w:val="20FC0D8E"/>
    <w:rsid w:val="2100586F"/>
    <w:rsid w:val="212D3943"/>
    <w:rsid w:val="213C3106"/>
    <w:rsid w:val="214D773D"/>
    <w:rsid w:val="21576D8C"/>
    <w:rsid w:val="21663BA1"/>
    <w:rsid w:val="216731B2"/>
    <w:rsid w:val="2170792E"/>
    <w:rsid w:val="21724137"/>
    <w:rsid w:val="217F23B0"/>
    <w:rsid w:val="21A800C2"/>
    <w:rsid w:val="21B00502"/>
    <w:rsid w:val="21B82788"/>
    <w:rsid w:val="21D74B65"/>
    <w:rsid w:val="21F725AA"/>
    <w:rsid w:val="21F922DC"/>
    <w:rsid w:val="21FB395C"/>
    <w:rsid w:val="222D747D"/>
    <w:rsid w:val="22451B50"/>
    <w:rsid w:val="2247573A"/>
    <w:rsid w:val="226A316F"/>
    <w:rsid w:val="226B75B1"/>
    <w:rsid w:val="22700D13"/>
    <w:rsid w:val="22793365"/>
    <w:rsid w:val="22A10F26"/>
    <w:rsid w:val="22A832DB"/>
    <w:rsid w:val="22B82FB0"/>
    <w:rsid w:val="22C41DDD"/>
    <w:rsid w:val="22E50592"/>
    <w:rsid w:val="22E52851"/>
    <w:rsid w:val="22E93E74"/>
    <w:rsid w:val="230547EE"/>
    <w:rsid w:val="23180186"/>
    <w:rsid w:val="232854A6"/>
    <w:rsid w:val="234A24F9"/>
    <w:rsid w:val="23500E1E"/>
    <w:rsid w:val="23716B0A"/>
    <w:rsid w:val="238D1CCD"/>
    <w:rsid w:val="23C171CD"/>
    <w:rsid w:val="23CA3D6D"/>
    <w:rsid w:val="23F605D6"/>
    <w:rsid w:val="24075089"/>
    <w:rsid w:val="240B5F02"/>
    <w:rsid w:val="24274F91"/>
    <w:rsid w:val="242B222A"/>
    <w:rsid w:val="24355A64"/>
    <w:rsid w:val="245D3158"/>
    <w:rsid w:val="24A21DEC"/>
    <w:rsid w:val="24B35197"/>
    <w:rsid w:val="24BF229A"/>
    <w:rsid w:val="24C72EF9"/>
    <w:rsid w:val="24D80246"/>
    <w:rsid w:val="24DA2AD7"/>
    <w:rsid w:val="24E32D5D"/>
    <w:rsid w:val="24EF5B56"/>
    <w:rsid w:val="24F16D93"/>
    <w:rsid w:val="24FE056F"/>
    <w:rsid w:val="25086F83"/>
    <w:rsid w:val="25322736"/>
    <w:rsid w:val="254B323E"/>
    <w:rsid w:val="254B58C8"/>
    <w:rsid w:val="256367B4"/>
    <w:rsid w:val="256E6CEC"/>
    <w:rsid w:val="2584382D"/>
    <w:rsid w:val="25850680"/>
    <w:rsid w:val="25AA6977"/>
    <w:rsid w:val="25C159E7"/>
    <w:rsid w:val="25C61D57"/>
    <w:rsid w:val="25CD3B6E"/>
    <w:rsid w:val="25EC0591"/>
    <w:rsid w:val="261100A4"/>
    <w:rsid w:val="262C2769"/>
    <w:rsid w:val="263103B9"/>
    <w:rsid w:val="26347134"/>
    <w:rsid w:val="26574BCE"/>
    <w:rsid w:val="26590958"/>
    <w:rsid w:val="266915D9"/>
    <w:rsid w:val="267539EC"/>
    <w:rsid w:val="267A4F0D"/>
    <w:rsid w:val="26A403D4"/>
    <w:rsid w:val="26B64B07"/>
    <w:rsid w:val="26B96D27"/>
    <w:rsid w:val="26C9385F"/>
    <w:rsid w:val="26D37928"/>
    <w:rsid w:val="26DB4219"/>
    <w:rsid w:val="26EA2184"/>
    <w:rsid w:val="26EB1BF5"/>
    <w:rsid w:val="26F86049"/>
    <w:rsid w:val="270161E8"/>
    <w:rsid w:val="2702674B"/>
    <w:rsid w:val="270D7EAC"/>
    <w:rsid w:val="271818EE"/>
    <w:rsid w:val="275D5779"/>
    <w:rsid w:val="276C11D8"/>
    <w:rsid w:val="27961F25"/>
    <w:rsid w:val="27986644"/>
    <w:rsid w:val="27A62471"/>
    <w:rsid w:val="27D14F6F"/>
    <w:rsid w:val="27F04E97"/>
    <w:rsid w:val="27F602FF"/>
    <w:rsid w:val="28002182"/>
    <w:rsid w:val="28233C5D"/>
    <w:rsid w:val="285E0609"/>
    <w:rsid w:val="2866626A"/>
    <w:rsid w:val="28766326"/>
    <w:rsid w:val="287D7E61"/>
    <w:rsid w:val="28874BF9"/>
    <w:rsid w:val="289522FC"/>
    <w:rsid w:val="28B0053B"/>
    <w:rsid w:val="28B34D5F"/>
    <w:rsid w:val="28BE6774"/>
    <w:rsid w:val="28C56BA0"/>
    <w:rsid w:val="28CA52EB"/>
    <w:rsid w:val="2902742A"/>
    <w:rsid w:val="29042E18"/>
    <w:rsid w:val="29141A92"/>
    <w:rsid w:val="291D0FF1"/>
    <w:rsid w:val="292B295A"/>
    <w:rsid w:val="294F202A"/>
    <w:rsid w:val="2956549C"/>
    <w:rsid w:val="29600233"/>
    <w:rsid w:val="296831E3"/>
    <w:rsid w:val="29732F11"/>
    <w:rsid w:val="2998004A"/>
    <w:rsid w:val="29A13F9D"/>
    <w:rsid w:val="29A72E90"/>
    <w:rsid w:val="29BE1A42"/>
    <w:rsid w:val="29DB05FC"/>
    <w:rsid w:val="29DC0F56"/>
    <w:rsid w:val="29DF42CB"/>
    <w:rsid w:val="29DF59BF"/>
    <w:rsid w:val="29E17B76"/>
    <w:rsid w:val="29F03CBD"/>
    <w:rsid w:val="2A156C37"/>
    <w:rsid w:val="2A230DE0"/>
    <w:rsid w:val="2A270E0E"/>
    <w:rsid w:val="2A674AAC"/>
    <w:rsid w:val="2A6A2719"/>
    <w:rsid w:val="2A865714"/>
    <w:rsid w:val="2AA52DD5"/>
    <w:rsid w:val="2AAB0348"/>
    <w:rsid w:val="2AAB7461"/>
    <w:rsid w:val="2ACC4085"/>
    <w:rsid w:val="2AD54C47"/>
    <w:rsid w:val="2AE36D81"/>
    <w:rsid w:val="2AF71E78"/>
    <w:rsid w:val="2AFE422A"/>
    <w:rsid w:val="2B166FBA"/>
    <w:rsid w:val="2B5863BB"/>
    <w:rsid w:val="2B5B56FC"/>
    <w:rsid w:val="2B5B6980"/>
    <w:rsid w:val="2B8326AC"/>
    <w:rsid w:val="2B914078"/>
    <w:rsid w:val="2B9444D7"/>
    <w:rsid w:val="2BA0143C"/>
    <w:rsid w:val="2BA65A21"/>
    <w:rsid w:val="2BB51535"/>
    <w:rsid w:val="2C096E69"/>
    <w:rsid w:val="2C0B49E7"/>
    <w:rsid w:val="2C1E52B5"/>
    <w:rsid w:val="2C303395"/>
    <w:rsid w:val="2C497F4F"/>
    <w:rsid w:val="2C533BCB"/>
    <w:rsid w:val="2C71148C"/>
    <w:rsid w:val="2C7353F6"/>
    <w:rsid w:val="2C78531D"/>
    <w:rsid w:val="2C937E2F"/>
    <w:rsid w:val="2CD341E2"/>
    <w:rsid w:val="2CE265E9"/>
    <w:rsid w:val="2D117826"/>
    <w:rsid w:val="2D162171"/>
    <w:rsid w:val="2D266D56"/>
    <w:rsid w:val="2D4B6CDF"/>
    <w:rsid w:val="2D5C3B5A"/>
    <w:rsid w:val="2D6B4172"/>
    <w:rsid w:val="2D8D7DD8"/>
    <w:rsid w:val="2D9D5DE6"/>
    <w:rsid w:val="2DA36DB9"/>
    <w:rsid w:val="2DB477F0"/>
    <w:rsid w:val="2DB60F9A"/>
    <w:rsid w:val="2DCA7433"/>
    <w:rsid w:val="2DFD3C2D"/>
    <w:rsid w:val="2DFF7AF2"/>
    <w:rsid w:val="2E086F58"/>
    <w:rsid w:val="2E1A52C9"/>
    <w:rsid w:val="2E3E4F08"/>
    <w:rsid w:val="2E3F2D55"/>
    <w:rsid w:val="2E427FA7"/>
    <w:rsid w:val="2E4A7F8E"/>
    <w:rsid w:val="2E5329D0"/>
    <w:rsid w:val="2E75389F"/>
    <w:rsid w:val="2E7C422C"/>
    <w:rsid w:val="2E982480"/>
    <w:rsid w:val="2EC8471F"/>
    <w:rsid w:val="2EED2E8B"/>
    <w:rsid w:val="2EF82B51"/>
    <w:rsid w:val="2EFC4218"/>
    <w:rsid w:val="2F014D14"/>
    <w:rsid w:val="2F0C38E8"/>
    <w:rsid w:val="2F5775DD"/>
    <w:rsid w:val="2F68149D"/>
    <w:rsid w:val="2F7B1657"/>
    <w:rsid w:val="2F820851"/>
    <w:rsid w:val="2F872020"/>
    <w:rsid w:val="2F8E5DFE"/>
    <w:rsid w:val="2F9222C2"/>
    <w:rsid w:val="2FBB16BC"/>
    <w:rsid w:val="2FC5078C"/>
    <w:rsid w:val="30102A8F"/>
    <w:rsid w:val="302E5C93"/>
    <w:rsid w:val="306B2176"/>
    <w:rsid w:val="308201D2"/>
    <w:rsid w:val="30A5167A"/>
    <w:rsid w:val="30AA29F1"/>
    <w:rsid w:val="30AE0750"/>
    <w:rsid w:val="30B628CC"/>
    <w:rsid w:val="30BE02D6"/>
    <w:rsid w:val="30E17166"/>
    <w:rsid w:val="30F05A2C"/>
    <w:rsid w:val="30F50CC3"/>
    <w:rsid w:val="31095B16"/>
    <w:rsid w:val="311B59EF"/>
    <w:rsid w:val="31306635"/>
    <w:rsid w:val="313B4085"/>
    <w:rsid w:val="313E1AF7"/>
    <w:rsid w:val="31553EFC"/>
    <w:rsid w:val="31575C6E"/>
    <w:rsid w:val="31713584"/>
    <w:rsid w:val="317679A2"/>
    <w:rsid w:val="31974F4F"/>
    <w:rsid w:val="31997425"/>
    <w:rsid w:val="31F53A2F"/>
    <w:rsid w:val="3201266B"/>
    <w:rsid w:val="320B0737"/>
    <w:rsid w:val="321C3B92"/>
    <w:rsid w:val="322A015A"/>
    <w:rsid w:val="324D2A57"/>
    <w:rsid w:val="325516CD"/>
    <w:rsid w:val="3256579A"/>
    <w:rsid w:val="3259024A"/>
    <w:rsid w:val="327C1ECC"/>
    <w:rsid w:val="32984CB5"/>
    <w:rsid w:val="32BA3B5D"/>
    <w:rsid w:val="32DD1076"/>
    <w:rsid w:val="32EE77AA"/>
    <w:rsid w:val="33012CF9"/>
    <w:rsid w:val="332E66EE"/>
    <w:rsid w:val="334629F4"/>
    <w:rsid w:val="33623CDD"/>
    <w:rsid w:val="3372455F"/>
    <w:rsid w:val="33A231DF"/>
    <w:rsid w:val="33F40E38"/>
    <w:rsid w:val="341330B4"/>
    <w:rsid w:val="341A65B4"/>
    <w:rsid w:val="34573F2C"/>
    <w:rsid w:val="345916C5"/>
    <w:rsid w:val="347717BC"/>
    <w:rsid w:val="347D0044"/>
    <w:rsid w:val="34975DE3"/>
    <w:rsid w:val="34A3752D"/>
    <w:rsid w:val="34AF5897"/>
    <w:rsid w:val="34B42E4C"/>
    <w:rsid w:val="34CA2F0F"/>
    <w:rsid w:val="34CD2F8B"/>
    <w:rsid w:val="35022855"/>
    <w:rsid w:val="351C2D86"/>
    <w:rsid w:val="35377FD6"/>
    <w:rsid w:val="354B09C6"/>
    <w:rsid w:val="355D3D51"/>
    <w:rsid w:val="358D5881"/>
    <w:rsid w:val="35AC60B8"/>
    <w:rsid w:val="35C03E71"/>
    <w:rsid w:val="35C5162E"/>
    <w:rsid w:val="35CC050D"/>
    <w:rsid w:val="35CC7A99"/>
    <w:rsid w:val="35D9715C"/>
    <w:rsid w:val="35DD7599"/>
    <w:rsid w:val="36092638"/>
    <w:rsid w:val="36184D30"/>
    <w:rsid w:val="365D46FB"/>
    <w:rsid w:val="367449D4"/>
    <w:rsid w:val="3681065F"/>
    <w:rsid w:val="36957AED"/>
    <w:rsid w:val="36E10C1D"/>
    <w:rsid w:val="36E45C84"/>
    <w:rsid w:val="36EF3E59"/>
    <w:rsid w:val="371D44DA"/>
    <w:rsid w:val="374F0E93"/>
    <w:rsid w:val="37520B86"/>
    <w:rsid w:val="37636E90"/>
    <w:rsid w:val="37663EE6"/>
    <w:rsid w:val="3776398F"/>
    <w:rsid w:val="37842E66"/>
    <w:rsid w:val="378D2D24"/>
    <w:rsid w:val="37C67BE0"/>
    <w:rsid w:val="37C83383"/>
    <w:rsid w:val="37F13C66"/>
    <w:rsid w:val="380E552C"/>
    <w:rsid w:val="382B252E"/>
    <w:rsid w:val="38413029"/>
    <w:rsid w:val="384B2782"/>
    <w:rsid w:val="384F180A"/>
    <w:rsid w:val="38661BD2"/>
    <w:rsid w:val="387D7D02"/>
    <w:rsid w:val="38843DED"/>
    <w:rsid w:val="38861933"/>
    <w:rsid w:val="38A03A16"/>
    <w:rsid w:val="38E521FB"/>
    <w:rsid w:val="391963AA"/>
    <w:rsid w:val="391C4E8E"/>
    <w:rsid w:val="391D21EE"/>
    <w:rsid w:val="3921030A"/>
    <w:rsid w:val="393A4887"/>
    <w:rsid w:val="393E6B43"/>
    <w:rsid w:val="39525E6A"/>
    <w:rsid w:val="396B20A5"/>
    <w:rsid w:val="39701CAF"/>
    <w:rsid w:val="39B473E4"/>
    <w:rsid w:val="39D70244"/>
    <w:rsid w:val="39DB5284"/>
    <w:rsid w:val="39E27183"/>
    <w:rsid w:val="39ED0642"/>
    <w:rsid w:val="3A380915"/>
    <w:rsid w:val="3A6D7198"/>
    <w:rsid w:val="3A8242BB"/>
    <w:rsid w:val="3AA87636"/>
    <w:rsid w:val="3ABB151C"/>
    <w:rsid w:val="3ABB1A7D"/>
    <w:rsid w:val="3ABF5492"/>
    <w:rsid w:val="3AC9045F"/>
    <w:rsid w:val="3ACE36C7"/>
    <w:rsid w:val="3ADB4AEF"/>
    <w:rsid w:val="3ADD6ABC"/>
    <w:rsid w:val="3AFD03F2"/>
    <w:rsid w:val="3B2E67CB"/>
    <w:rsid w:val="3B5176FD"/>
    <w:rsid w:val="3B517780"/>
    <w:rsid w:val="3B555EEF"/>
    <w:rsid w:val="3B571DCD"/>
    <w:rsid w:val="3B836743"/>
    <w:rsid w:val="3B8770F0"/>
    <w:rsid w:val="3BC026E1"/>
    <w:rsid w:val="3BC81F50"/>
    <w:rsid w:val="3C017EB3"/>
    <w:rsid w:val="3C04384B"/>
    <w:rsid w:val="3C4168CD"/>
    <w:rsid w:val="3C637CE4"/>
    <w:rsid w:val="3C816CBC"/>
    <w:rsid w:val="3C8F34B4"/>
    <w:rsid w:val="3CAE0976"/>
    <w:rsid w:val="3CB75891"/>
    <w:rsid w:val="3CB8598F"/>
    <w:rsid w:val="3CC2270C"/>
    <w:rsid w:val="3CEA616D"/>
    <w:rsid w:val="3CEB680A"/>
    <w:rsid w:val="3CEB7B31"/>
    <w:rsid w:val="3CF964BB"/>
    <w:rsid w:val="3D3D2A77"/>
    <w:rsid w:val="3D4361B8"/>
    <w:rsid w:val="3D54310A"/>
    <w:rsid w:val="3D6664F2"/>
    <w:rsid w:val="3D740B0A"/>
    <w:rsid w:val="3D8143F3"/>
    <w:rsid w:val="3D840F23"/>
    <w:rsid w:val="3D902B6B"/>
    <w:rsid w:val="3D9859F6"/>
    <w:rsid w:val="3DA34FAE"/>
    <w:rsid w:val="3DA44D8B"/>
    <w:rsid w:val="3DA86F5C"/>
    <w:rsid w:val="3DAA1DA8"/>
    <w:rsid w:val="3DC26DCD"/>
    <w:rsid w:val="3DDE3DAD"/>
    <w:rsid w:val="3DF91D53"/>
    <w:rsid w:val="3E003871"/>
    <w:rsid w:val="3E0F312B"/>
    <w:rsid w:val="3E161AC0"/>
    <w:rsid w:val="3E1B2D12"/>
    <w:rsid w:val="3E1F1B4D"/>
    <w:rsid w:val="3E2D54D9"/>
    <w:rsid w:val="3E4B2984"/>
    <w:rsid w:val="3E6205C7"/>
    <w:rsid w:val="3E631AC8"/>
    <w:rsid w:val="3E74563E"/>
    <w:rsid w:val="3E8C1CF4"/>
    <w:rsid w:val="3EA11018"/>
    <w:rsid w:val="3EA4665F"/>
    <w:rsid w:val="3ED552B2"/>
    <w:rsid w:val="3F052573"/>
    <w:rsid w:val="3F094DEE"/>
    <w:rsid w:val="3F1E3BEB"/>
    <w:rsid w:val="3F2A011C"/>
    <w:rsid w:val="3F3E0F74"/>
    <w:rsid w:val="3F514C15"/>
    <w:rsid w:val="3F587E4A"/>
    <w:rsid w:val="3F611552"/>
    <w:rsid w:val="3F90526E"/>
    <w:rsid w:val="3F9C6D91"/>
    <w:rsid w:val="3FBE0FF8"/>
    <w:rsid w:val="3FD70F07"/>
    <w:rsid w:val="3FD76061"/>
    <w:rsid w:val="3FD9308D"/>
    <w:rsid w:val="3FD95656"/>
    <w:rsid w:val="3FE36934"/>
    <w:rsid w:val="3FF21F9B"/>
    <w:rsid w:val="3FFF0CBD"/>
    <w:rsid w:val="400A32DC"/>
    <w:rsid w:val="40147EBB"/>
    <w:rsid w:val="40226DA6"/>
    <w:rsid w:val="403F6BF9"/>
    <w:rsid w:val="407322F3"/>
    <w:rsid w:val="40850A44"/>
    <w:rsid w:val="408E64F5"/>
    <w:rsid w:val="40947C50"/>
    <w:rsid w:val="40A17284"/>
    <w:rsid w:val="40AD4FE0"/>
    <w:rsid w:val="40C6161B"/>
    <w:rsid w:val="40C626A8"/>
    <w:rsid w:val="40CE070E"/>
    <w:rsid w:val="41027D27"/>
    <w:rsid w:val="41100E9A"/>
    <w:rsid w:val="411431C3"/>
    <w:rsid w:val="412B29D1"/>
    <w:rsid w:val="41301D0C"/>
    <w:rsid w:val="414D29AA"/>
    <w:rsid w:val="414D5006"/>
    <w:rsid w:val="418036DC"/>
    <w:rsid w:val="418B49D0"/>
    <w:rsid w:val="4199116D"/>
    <w:rsid w:val="419D4ADA"/>
    <w:rsid w:val="419E30AD"/>
    <w:rsid w:val="41B075D2"/>
    <w:rsid w:val="41E019A7"/>
    <w:rsid w:val="41F15B16"/>
    <w:rsid w:val="420375BC"/>
    <w:rsid w:val="420949EC"/>
    <w:rsid w:val="42145FFD"/>
    <w:rsid w:val="421A1FAC"/>
    <w:rsid w:val="42240DC0"/>
    <w:rsid w:val="423C1D1D"/>
    <w:rsid w:val="424B4325"/>
    <w:rsid w:val="42503914"/>
    <w:rsid w:val="425537A3"/>
    <w:rsid w:val="426513C3"/>
    <w:rsid w:val="426C2E16"/>
    <w:rsid w:val="4273539E"/>
    <w:rsid w:val="42A01E40"/>
    <w:rsid w:val="42A50674"/>
    <w:rsid w:val="42A95EB8"/>
    <w:rsid w:val="42B3549D"/>
    <w:rsid w:val="42B55A4D"/>
    <w:rsid w:val="42B608EF"/>
    <w:rsid w:val="42D81DF9"/>
    <w:rsid w:val="42EF19C8"/>
    <w:rsid w:val="42F173BD"/>
    <w:rsid w:val="42F6361C"/>
    <w:rsid w:val="431B5DD6"/>
    <w:rsid w:val="431E74D7"/>
    <w:rsid w:val="432448E6"/>
    <w:rsid w:val="432A2969"/>
    <w:rsid w:val="43362623"/>
    <w:rsid w:val="43383418"/>
    <w:rsid w:val="43444CDF"/>
    <w:rsid w:val="43533B53"/>
    <w:rsid w:val="43583D5F"/>
    <w:rsid w:val="43590749"/>
    <w:rsid w:val="43737593"/>
    <w:rsid w:val="43791E7A"/>
    <w:rsid w:val="43B73464"/>
    <w:rsid w:val="43CA4502"/>
    <w:rsid w:val="43CA5E26"/>
    <w:rsid w:val="43CE508C"/>
    <w:rsid w:val="43E83261"/>
    <w:rsid w:val="440C43A6"/>
    <w:rsid w:val="442A785B"/>
    <w:rsid w:val="44447F6D"/>
    <w:rsid w:val="44524BA6"/>
    <w:rsid w:val="445B4741"/>
    <w:rsid w:val="445C1802"/>
    <w:rsid w:val="44884C79"/>
    <w:rsid w:val="44B66409"/>
    <w:rsid w:val="44EC3EA6"/>
    <w:rsid w:val="45164455"/>
    <w:rsid w:val="451D011F"/>
    <w:rsid w:val="452D680A"/>
    <w:rsid w:val="452E353C"/>
    <w:rsid w:val="453C4B4B"/>
    <w:rsid w:val="45452E19"/>
    <w:rsid w:val="454F3239"/>
    <w:rsid w:val="4554236A"/>
    <w:rsid w:val="45612814"/>
    <w:rsid w:val="45775874"/>
    <w:rsid w:val="45783B06"/>
    <w:rsid w:val="45804D30"/>
    <w:rsid w:val="458672CB"/>
    <w:rsid w:val="45926F64"/>
    <w:rsid w:val="45C06C42"/>
    <w:rsid w:val="45C446C5"/>
    <w:rsid w:val="45C728FA"/>
    <w:rsid w:val="45D41326"/>
    <w:rsid w:val="45D878BE"/>
    <w:rsid w:val="45FC35C4"/>
    <w:rsid w:val="45FD3CF3"/>
    <w:rsid w:val="4614163E"/>
    <w:rsid w:val="462044EC"/>
    <w:rsid w:val="462708BE"/>
    <w:rsid w:val="462A1604"/>
    <w:rsid w:val="462F53EC"/>
    <w:rsid w:val="46314887"/>
    <w:rsid w:val="46564CCA"/>
    <w:rsid w:val="465B0AF1"/>
    <w:rsid w:val="466468BB"/>
    <w:rsid w:val="466D523B"/>
    <w:rsid w:val="469D691C"/>
    <w:rsid w:val="46BA08A4"/>
    <w:rsid w:val="46C11A39"/>
    <w:rsid w:val="46C7153B"/>
    <w:rsid w:val="46D00C93"/>
    <w:rsid w:val="47124149"/>
    <w:rsid w:val="47272EC1"/>
    <w:rsid w:val="47465E65"/>
    <w:rsid w:val="475139DE"/>
    <w:rsid w:val="47830174"/>
    <w:rsid w:val="479405FB"/>
    <w:rsid w:val="47A362EB"/>
    <w:rsid w:val="47A4550E"/>
    <w:rsid w:val="481753BD"/>
    <w:rsid w:val="4824597A"/>
    <w:rsid w:val="48452E3B"/>
    <w:rsid w:val="48470104"/>
    <w:rsid w:val="48787B37"/>
    <w:rsid w:val="488406EC"/>
    <w:rsid w:val="48A465BF"/>
    <w:rsid w:val="48B35FF4"/>
    <w:rsid w:val="48B77597"/>
    <w:rsid w:val="48BB7070"/>
    <w:rsid w:val="48BC51B1"/>
    <w:rsid w:val="48CB4F77"/>
    <w:rsid w:val="48D134B8"/>
    <w:rsid w:val="48DD35A2"/>
    <w:rsid w:val="48DF2637"/>
    <w:rsid w:val="49100603"/>
    <w:rsid w:val="49102085"/>
    <w:rsid w:val="49115EEE"/>
    <w:rsid w:val="491B3599"/>
    <w:rsid w:val="493E0C29"/>
    <w:rsid w:val="493F18BB"/>
    <w:rsid w:val="49426C91"/>
    <w:rsid w:val="494D63EB"/>
    <w:rsid w:val="4984267D"/>
    <w:rsid w:val="498C4C6E"/>
    <w:rsid w:val="499B12E4"/>
    <w:rsid w:val="49AA5AA7"/>
    <w:rsid w:val="49B33374"/>
    <w:rsid w:val="49C12054"/>
    <w:rsid w:val="49C3209F"/>
    <w:rsid w:val="49D1190E"/>
    <w:rsid w:val="49F872D3"/>
    <w:rsid w:val="4A2166FC"/>
    <w:rsid w:val="4A2865DC"/>
    <w:rsid w:val="4A372F0E"/>
    <w:rsid w:val="4A3E6C9A"/>
    <w:rsid w:val="4A544433"/>
    <w:rsid w:val="4A5A4E0E"/>
    <w:rsid w:val="4A8774C6"/>
    <w:rsid w:val="4A926245"/>
    <w:rsid w:val="4A9F6719"/>
    <w:rsid w:val="4AA140A2"/>
    <w:rsid w:val="4AA34618"/>
    <w:rsid w:val="4AA60D27"/>
    <w:rsid w:val="4AB4792F"/>
    <w:rsid w:val="4ACD5EC3"/>
    <w:rsid w:val="4AD2027E"/>
    <w:rsid w:val="4AD77898"/>
    <w:rsid w:val="4AF63FE5"/>
    <w:rsid w:val="4B08300C"/>
    <w:rsid w:val="4B1B0DB6"/>
    <w:rsid w:val="4B297DFE"/>
    <w:rsid w:val="4B2A423E"/>
    <w:rsid w:val="4B3262D9"/>
    <w:rsid w:val="4B37441D"/>
    <w:rsid w:val="4B3D6C0B"/>
    <w:rsid w:val="4B403AB6"/>
    <w:rsid w:val="4B493FB2"/>
    <w:rsid w:val="4B6A0283"/>
    <w:rsid w:val="4B754C3C"/>
    <w:rsid w:val="4B7808E9"/>
    <w:rsid w:val="4B8A2B00"/>
    <w:rsid w:val="4B8B6591"/>
    <w:rsid w:val="4B9E23D3"/>
    <w:rsid w:val="4B9E5790"/>
    <w:rsid w:val="4BA22F16"/>
    <w:rsid w:val="4BA43F5B"/>
    <w:rsid w:val="4C2D7A20"/>
    <w:rsid w:val="4C3C1A57"/>
    <w:rsid w:val="4C424231"/>
    <w:rsid w:val="4C607BB4"/>
    <w:rsid w:val="4C69078C"/>
    <w:rsid w:val="4C824207"/>
    <w:rsid w:val="4C893693"/>
    <w:rsid w:val="4C9022BF"/>
    <w:rsid w:val="4C996A2E"/>
    <w:rsid w:val="4CD33795"/>
    <w:rsid w:val="4CEF0D34"/>
    <w:rsid w:val="4CF65C47"/>
    <w:rsid w:val="4D0F52C1"/>
    <w:rsid w:val="4D3C2126"/>
    <w:rsid w:val="4D3F3EE6"/>
    <w:rsid w:val="4D6A0561"/>
    <w:rsid w:val="4D710094"/>
    <w:rsid w:val="4D8B3FAB"/>
    <w:rsid w:val="4D9553A1"/>
    <w:rsid w:val="4DC913B4"/>
    <w:rsid w:val="4DD72892"/>
    <w:rsid w:val="4E124986"/>
    <w:rsid w:val="4E5A0C19"/>
    <w:rsid w:val="4E6F5609"/>
    <w:rsid w:val="4E824317"/>
    <w:rsid w:val="4E9A757B"/>
    <w:rsid w:val="4EFE42D0"/>
    <w:rsid w:val="4F3C0C9D"/>
    <w:rsid w:val="4F495F8A"/>
    <w:rsid w:val="4F501D7C"/>
    <w:rsid w:val="4F7F7840"/>
    <w:rsid w:val="4FC95A5E"/>
    <w:rsid w:val="4FF12109"/>
    <w:rsid w:val="50032A42"/>
    <w:rsid w:val="500B5B90"/>
    <w:rsid w:val="50183379"/>
    <w:rsid w:val="5036297E"/>
    <w:rsid w:val="50654F94"/>
    <w:rsid w:val="506D786C"/>
    <w:rsid w:val="50792AF1"/>
    <w:rsid w:val="50826C21"/>
    <w:rsid w:val="5097260A"/>
    <w:rsid w:val="50AB4B8A"/>
    <w:rsid w:val="50C81252"/>
    <w:rsid w:val="50CF5D14"/>
    <w:rsid w:val="51317104"/>
    <w:rsid w:val="51475956"/>
    <w:rsid w:val="5195046E"/>
    <w:rsid w:val="519A58A6"/>
    <w:rsid w:val="51B00CA5"/>
    <w:rsid w:val="51BC432A"/>
    <w:rsid w:val="51C57C1E"/>
    <w:rsid w:val="51D2724F"/>
    <w:rsid w:val="51D83172"/>
    <w:rsid w:val="52317B5D"/>
    <w:rsid w:val="524530D9"/>
    <w:rsid w:val="52487B76"/>
    <w:rsid w:val="52500862"/>
    <w:rsid w:val="52757070"/>
    <w:rsid w:val="527B66F2"/>
    <w:rsid w:val="527C148D"/>
    <w:rsid w:val="52905936"/>
    <w:rsid w:val="52987188"/>
    <w:rsid w:val="529A1B3E"/>
    <w:rsid w:val="52A40E02"/>
    <w:rsid w:val="52B95B36"/>
    <w:rsid w:val="52BA51D6"/>
    <w:rsid w:val="52C857BF"/>
    <w:rsid w:val="52E17DBF"/>
    <w:rsid w:val="52F265EA"/>
    <w:rsid w:val="53023FEC"/>
    <w:rsid w:val="5318026E"/>
    <w:rsid w:val="531F5077"/>
    <w:rsid w:val="533A10C7"/>
    <w:rsid w:val="533A6D93"/>
    <w:rsid w:val="534060FA"/>
    <w:rsid w:val="53670A14"/>
    <w:rsid w:val="53773ACF"/>
    <w:rsid w:val="53823B1A"/>
    <w:rsid w:val="538416A9"/>
    <w:rsid w:val="53854788"/>
    <w:rsid w:val="538C2D55"/>
    <w:rsid w:val="53A03D60"/>
    <w:rsid w:val="53A817BC"/>
    <w:rsid w:val="53B5717A"/>
    <w:rsid w:val="53CA1588"/>
    <w:rsid w:val="53D22998"/>
    <w:rsid w:val="53F02F16"/>
    <w:rsid w:val="53FB7944"/>
    <w:rsid w:val="5417262E"/>
    <w:rsid w:val="54335305"/>
    <w:rsid w:val="54382806"/>
    <w:rsid w:val="54486445"/>
    <w:rsid w:val="544A5691"/>
    <w:rsid w:val="545C50A5"/>
    <w:rsid w:val="545F283D"/>
    <w:rsid w:val="547451C6"/>
    <w:rsid w:val="54762CD4"/>
    <w:rsid w:val="5479294F"/>
    <w:rsid w:val="547C0583"/>
    <w:rsid w:val="547C5016"/>
    <w:rsid w:val="54951463"/>
    <w:rsid w:val="549679C4"/>
    <w:rsid w:val="549E168F"/>
    <w:rsid w:val="54A86784"/>
    <w:rsid w:val="54C14354"/>
    <w:rsid w:val="54E04C0D"/>
    <w:rsid w:val="5517723F"/>
    <w:rsid w:val="551965DC"/>
    <w:rsid w:val="554C3ACF"/>
    <w:rsid w:val="55546C45"/>
    <w:rsid w:val="55862880"/>
    <w:rsid w:val="55873CE3"/>
    <w:rsid w:val="559E0AC0"/>
    <w:rsid w:val="55B512B1"/>
    <w:rsid w:val="55BF5917"/>
    <w:rsid w:val="55C9189E"/>
    <w:rsid w:val="55CD10F6"/>
    <w:rsid w:val="55E835A2"/>
    <w:rsid w:val="55FD65A1"/>
    <w:rsid w:val="561534C1"/>
    <w:rsid w:val="562300B7"/>
    <w:rsid w:val="562A04A3"/>
    <w:rsid w:val="564A63B7"/>
    <w:rsid w:val="56643F42"/>
    <w:rsid w:val="569163B4"/>
    <w:rsid w:val="56987389"/>
    <w:rsid w:val="56AB1EC8"/>
    <w:rsid w:val="56B85D80"/>
    <w:rsid w:val="56BB03FE"/>
    <w:rsid w:val="56C617D3"/>
    <w:rsid w:val="56C771CF"/>
    <w:rsid w:val="56E840EA"/>
    <w:rsid w:val="57482A09"/>
    <w:rsid w:val="574867D0"/>
    <w:rsid w:val="57487C1D"/>
    <w:rsid w:val="574A6994"/>
    <w:rsid w:val="57672F03"/>
    <w:rsid w:val="5774719C"/>
    <w:rsid w:val="577E101A"/>
    <w:rsid w:val="57933B7B"/>
    <w:rsid w:val="57A7744F"/>
    <w:rsid w:val="57A77D8D"/>
    <w:rsid w:val="57AF491C"/>
    <w:rsid w:val="57DF42B1"/>
    <w:rsid w:val="57E81FA2"/>
    <w:rsid w:val="5817410B"/>
    <w:rsid w:val="58196CED"/>
    <w:rsid w:val="58207F2C"/>
    <w:rsid w:val="58265517"/>
    <w:rsid w:val="58293836"/>
    <w:rsid w:val="582E5FA1"/>
    <w:rsid w:val="58301B33"/>
    <w:rsid w:val="583B7F00"/>
    <w:rsid w:val="5843022D"/>
    <w:rsid w:val="58921115"/>
    <w:rsid w:val="589D4694"/>
    <w:rsid w:val="58AB7693"/>
    <w:rsid w:val="58B13166"/>
    <w:rsid w:val="58B55E83"/>
    <w:rsid w:val="58CC5F42"/>
    <w:rsid w:val="58CD0C25"/>
    <w:rsid w:val="58CD1B50"/>
    <w:rsid w:val="590377D1"/>
    <w:rsid w:val="593306A3"/>
    <w:rsid w:val="59744686"/>
    <w:rsid w:val="59855299"/>
    <w:rsid w:val="59A3692F"/>
    <w:rsid w:val="59B27797"/>
    <w:rsid w:val="59C71754"/>
    <w:rsid w:val="59ED11F3"/>
    <w:rsid w:val="5A043CEB"/>
    <w:rsid w:val="5A0C28E2"/>
    <w:rsid w:val="5A0E264E"/>
    <w:rsid w:val="5A1F748C"/>
    <w:rsid w:val="5A211230"/>
    <w:rsid w:val="5A432799"/>
    <w:rsid w:val="5A572CAF"/>
    <w:rsid w:val="5A6467A3"/>
    <w:rsid w:val="5A755F09"/>
    <w:rsid w:val="5A766364"/>
    <w:rsid w:val="5A7A7BF6"/>
    <w:rsid w:val="5AA81849"/>
    <w:rsid w:val="5ABB2DC3"/>
    <w:rsid w:val="5AC24BC8"/>
    <w:rsid w:val="5AE0715F"/>
    <w:rsid w:val="5AE52B70"/>
    <w:rsid w:val="5AE770FD"/>
    <w:rsid w:val="5AF90D0E"/>
    <w:rsid w:val="5B1538E9"/>
    <w:rsid w:val="5B464D76"/>
    <w:rsid w:val="5B592421"/>
    <w:rsid w:val="5B7501BB"/>
    <w:rsid w:val="5B88007D"/>
    <w:rsid w:val="5B970514"/>
    <w:rsid w:val="5BC405EA"/>
    <w:rsid w:val="5BD4748D"/>
    <w:rsid w:val="5BE326DA"/>
    <w:rsid w:val="5BE42D4A"/>
    <w:rsid w:val="5BFC3C55"/>
    <w:rsid w:val="5BFD01C8"/>
    <w:rsid w:val="5C181BD7"/>
    <w:rsid w:val="5C2E771E"/>
    <w:rsid w:val="5C61251F"/>
    <w:rsid w:val="5CA06234"/>
    <w:rsid w:val="5CAF60E8"/>
    <w:rsid w:val="5CB51011"/>
    <w:rsid w:val="5CB75C9C"/>
    <w:rsid w:val="5CC03270"/>
    <w:rsid w:val="5CE828A4"/>
    <w:rsid w:val="5CF214D0"/>
    <w:rsid w:val="5D1F6F3D"/>
    <w:rsid w:val="5D2B5A52"/>
    <w:rsid w:val="5D4C207A"/>
    <w:rsid w:val="5D52643A"/>
    <w:rsid w:val="5D641F5D"/>
    <w:rsid w:val="5D6A3C3F"/>
    <w:rsid w:val="5D6B231C"/>
    <w:rsid w:val="5D76652D"/>
    <w:rsid w:val="5D863F45"/>
    <w:rsid w:val="5DD435A5"/>
    <w:rsid w:val="5DE97042"/>
    <w:rsid w:val="5DF131BD"/>
    <w:rsid w:val="5DF41472"/>
    <w:rsid w:val="5DF50439"/>
    <w:rsid w:val="5DF92167"/>
    <w:rsid w:val="5E055C2C"/>
    <w:rsid w:val="5E057CF0"/>
    <w:rsid w:val="5E23214D"/>
    <w:rsid w:val="5E465568"/>
    <w:rsid w:val="5E4E0C00"/>
    <w:rsid w:val="5E670CAB"/>
    <w:rsid w:val="5E694B5B"/>
    <w:rsid w:val="5E7A1ACD"/>
    <w:rsid w:val="5E7F722E"/>
    <w:rsid w:val="5E917FBC"/>
    <w:rsid w:val="5E943B27"/>
    <w:rsid w:val="5E96515D"/>
    <w:rsid w:val="5EA478F2"/>
    <w:rsid w:val="5EC50012"/>
    <w:rsid w:val="5EC72FC9"/>
    <w:rsid w:val="5ECC2F33"/>
    <w:rsid w:val="5EEA37DE"/>
    <w:rsid w:val="5F0A3320"/>
    <w:rsid w:val="5F0B7E7F"/>
    <w:rsid w:val="5F103DEB"/>
    <w:rsid w:val="5F1053F5"/>
    <w:rsid w:val="5F1722A7"/>
    <w:rsid w:val="5F287F9E"/>
    <w:rsid w:val="5F382505"/>
    <w:rsid w:val="5F501B74"/>
    <w:rsid w:val="5F592713"/>
    <w:rsid w:val="5F617416"/>
    <w:rsid w:val="5F65551D"/>
    <w:rsid w:val="5F7E139C"/>
    <w:rsid w:val="5F811DFD"/>
    <w:rsid w:val="5FAB5962"/>
    <w:rsid w:val="5FDE5239"/>
    <w:rsid w:val="5FF5152D"/>
    <w:rsid w:val="60025B8F"/>
    <w:rsid w:val="601556BA"/>
    <w:rsid w:val="60207F10"/>
    <w:rsid w:val="606706CB"/>
    <w:rsid w:val="608C6A07"/>
    <w:rsid w:val="60B84D75"/>
    <w:rsid w:val="60DC32D4"/>
    <w:rsid w:val="60E243D9"/>
    <w:rsid w:val="60EE7F26"/>
    <w:rsid w:val="6102484A"/>
    <w:rsid w:val="61431BE9"/>
    <w:rsid w:val="61487763"/>
    <w:rsid w:val="61682533"/>
    <w:rsid w:val="616F06BE"/>
    <w:rsid w:val="617E46F7"/>
    <w:rsid w:val="61900A26"/>
    <w:rsid w:val="61A37AA4"/>
    <w:rsid w:val="61A66ACC"/>
    <w:rsid w:val="61A721AD"/>
    <w:rsid w:val="61AE730E"/>
    <w:rsid w:val="61C05CFD"/>
    <w:rsid w:val="61C52190"/>
    <w:rsid w:val="620D5A37"/>
    <w:rsid w:val="6232528C"/>
    <w:rsid w:val="62595657"/>
    <w:rsid w:val="625B16FD"/>
    <w:rsid w:val="62686FE0"/>
    <w:rsid w:val="626A1ED4"/>
    <w:rsid w:val="626C27DF"/>
    <w:rsid w:val="626D5374"/>
    <w:rsid w:val="62931411"/>
    <w:rsid w:val="62D10FAD"/>
    <w:rsid w:val="62D77E71"/>
    <w:rsid w:val="62F16D4A"/>
    <w:rsid w:val="63005F08"/>
    <w:rsid w:val="631119C3"/>
    <w:rsid w:val="631A75F3"/>
    <w:rsid w:val="63262326"/>
    <w:rsid w:val="63647B17"/>
    <w:rsid w:val="63683125"/>
    <w:rsid w:val="636D30D9"/>
    <w:rsid w:val="63757EAE"/>
    <w:rsid w:val="63885302"/>
    <w:rsid w:val="639D5B0A"/>
    <w:rsid w:val="63A1302F"/>
    <w:rsid w:val="64125F2B"/>
    <w:rsid w:val="64362D0C"/>
    <w:rsid w:val="645F3CD7"/>
    <w:rsid w:val="646E1190"/>
    <w:rsid w:val="64703C57"/>
    <w:rsid w:val="64727536"/>
    <w:rsid w:val="64797B77"/>
    <w:rsid w:val="64982F7E"/>
    <w:rsid w:val="64A14706"/>
    <w:rsid w:val="64BF29E2"/>
    <w:rsid w:val="64CA38FE"/>
    <w:rsid w:val="64D60E88"/>
    <w:rsid w:val="64E231D3"/>
    <w:rsid w:val="64F57F8D"/>
    <w:rsid w:val="65381DEE"/>
    <w:rsid w:val="653A098B"/>
    <w:rsid w:val="65570850"/>
    <w:rsid w:val="65586B0F"/>
    <w:rsid w:val="65CB6D28"/>
    <w:rsid w:val="65E36DDB"/>
    <w:rsid w:val="65F23634"/>
    <w:rsid w:val="65FE0830"/>
    <w:rsid w:val="661A28E8"/>
    <w:rsid w:val="66416A37"/>
    <w:rsid w:val="664E41D2"/>
    <w:rsid w:val="666B4EC4"/>
    <w:rsid w:val="6671056C"/>
    <w:rsid w:val="667D73E8"/>
    <w:rsid w:val="66A14E6E"/>
    <w:rsid w:val="66B15DDE"/>
    <w:rsid w:val="66CA50CA"/>
    <w:rsid w:val="66E75CDF"/>
    <w:rsid w:val="66F06D08"/>
    <w:rsid w:val="67024AF5"/>
    <w:rsid w:val="67045F60"/>
    <w:rsid w:val="670C2213"/>
    <w:rsid w:val="672A7DD1"/>
    <w:rsid w:val="67352628"/>
    <w:rsid w:val="673F4FD0"/>
    <w:rsid w:val="674D37EE"/>
    <w:rsid w:val="67526180"/>
    <w:rsid w:val="675B7309"/>
    <w:rsid w:val="675C6D43"/>
    <w:rsid w:val="67887322"/>
    <w:rsid w:val="67977C3A"/>
    <w:rsid w:val="67C3286D"/>
    <w:rsid w:val="67CC7114"/>
    <w:rsid w:val="67D17671"/>
    <w:rsid w:val="67F62225"/>
    <w:rsid w:val="680B37ED"/>
    <w:rsid w:val="6810768E"/>
    <w:rsid w:val="681930EE"/>
    <w:rsid w:val="68247B10"/>
    <w:rsid w:val="68270285"/>
    <w:rsid w:val="68296D44"/>
    <w:rsid w:val="683D3C89"/>
    <w:rsid w:val="6848110B"/>
    <w:rsid w:val="684E467A"/>
    <w:rsid w:val="68723FEC"/>
    <w:rsid w:val="68807C57"/>
    <w:rsid w:val="68841DA1"/>
    <w:rsid w:val="68917B02"/>
    <w:rsid w:val="689221EF"/>
    <w:rsid w:val="689811EA"/>
    <w:rsid w:val="68BC3D6F"/>
    <w:rsid w:val="68BD728B"/>
    <w:rsid w:val="68C9565F"/>
    <w:rsid w:val="68D9481E"/>
    <w:rsid w:val="68DD1B61"/>
    <w:rsid w:val="68E205B7"/>
    <w:rsid w:val="68E81D67"/>
    <w:rsid w:val="68EC1A14"/>
    <w:rsid w:val="68F12F10"/>
    <w:rsid w:val="68F31E26"/>
    <w:rsid w:val="69181E9F"/>
    <w:rsid w:val="69271C78"/>
    <w:rsid w:val="6931353C"/>
    <w:rsid w:val="69380990"/>
    <w:rsid w:val="69382B9A"/>
    <w:rsid w:val="693B31D8"/>
    <w:rsid w:val="694308DC"/>
    <w:rsid w:val="69635FC5"/>
    <w:rsid w:val="69657C6D"/>
    <w:rsid w:val="696D581E"/>
    <w:rsid w:val="69825F50"/>
    <w:rsid w:val="69D36424"/>
    <w:rsid w:val="69F87239"/>
    <w:rsid w:val="69FD7345"/>
    <w:rsid w:val="6A140ADC"/>
    <w:rsid w:val="6A1F0EF1"/>
    <w:rsid w:val="6A2D0B0E"/>
    <w:rsid w:val="6A533109"/>
    <w:rsid w:val="6A551AB0"/>
    <w:rsid w:val="6A670C3C"/>
    <w:rsid w:val="6A726036"/>
    <w:rsid w:val="6ACB7F8E"/>
    <w:rsid w:val="6AFC25D9"/>
    <w:rsid w:val="6B246604"/>
    <w:rsid w:val="6B2A5485"/>
    <w:rsid w:val="6B3550DA"/>
    <w:rsid w:val="6B4A7DED"/>
    <w:rsid w:val="6B4B4B1B"/>
    <w:rsid w:val="6B4B53EC"/>
    <w:rsid w:val="6B597B77"/>
    <w:rsid w:val="6B7943FE"/>
    <w:rsid w:val="6B966DDE"/>
    <w:rsid w:val="6BE70140"/>
    <w:rsid w:val="6BF1387F"/>
    <w:rsid w:val="6C0435B8"/>
    <w:rsid w:val="6C1307C6"/>
    <w:rsid w:val="6C1701BA"/>
    <w:rsid w:val="6C1A4344"/>
    <w:rsid w:val="6C5B239E"/>
    <w:rsid w:val="6C5E683D"/>
    <w:rsid w:val="6C6967FC"/>
    <w:rsid w:val="6C8B135E"/>
    <w:rsid w:val="6C8D7FA1"/>
    <w:rsid w:val="6CA7602E"/>
    <w:rsid w:val="6CE50E78"/>
    <w:rsid w:val="6CEA3A83"/>
    <w:rsid w:val="6D0A7E4C"/>
    <w:rsid w:val="6D1873E9"/>
    <w:rsid w:val="6D21351D"/>
    <w:rsid w:val="6D3A62ED"/>
    <w:rsid w:val="6D5064C5"/>
    <w:rsid w:val="6D6204B6"/>
    <w:rsid w:val="6D6776F7"/>
    <w:rsid w:val="6D870DB2"/>
    <w:rsid w:val="6D91577D"/>
    <w:rsid w:val="6D946EF3"/>
    <w:rsid w:val="6D9F488F"/>
    <w:rsid w:val="6DB404D6"/>
    <w:rsid w:val="6DBF505B"/>
    <w:rsid w:val="6DD14A8C"/>
    <w:rsid w:val="6DED5A27"/>
    <w:rsid w:val="6DF37982"/>
    <w:rsid w:val="6DF80CA0"/>
    <w:rsid w:val="6E1A23EA"/>
    <w:rsid w:val="6E2E08E8"/>
    <w:rsid w:val="6E442276"/>
    <w:rsid w:val="6E6B1E00"/>
    <w:rsid w:val="6E777053"/>
    <w:rsid w:val="6E7F74F9"/>
    <w:rsid w:val="6EAC1D33"/>
    <w:rsid w:val="6EB148D5"/>
    <w:rsid w:val="6EBA1640"/>
    <w:rsid w:val="6EBA76E2"/>
    <w:rsid w:val="6ED07BA5"/>
    <w:rsid w:val="6EDB4B51"/>
    <w:rsid w:val="6EE12804"/>
    <w:rsid w:val="6F1F6E83"/>
    <w:rsid w:val="6F257CE8"/>
    <w:rsid w:val="6F2833B3"/>
    <w:rsid w:val="6F2F1FA3"/>
    <w:rsid w:val="6F3C337E"/>
    <w:rsid w:val="6F586EC7"/>
    <w:rsid w:val="6F6C7DB7"/>
    <w:rsid w:val="6F7C1D5C"/>
    <w:rsid w:val="6F8B3F4B"/>
    <w:rsid w:val="6F901D33"/>
    <w:rsid w:val="6FA8295A"/>
    <w:rsid w:val="6FCD7F25"/>
    <w:rsid w:val="6FF45694"/>
    <w:rsid w:val="6FFC6E79"/>
    <w:rsid w:val="70273AF4"/>
    <w:rsid w:val="703F2994"/>
    <w:rsid w:val="705F4142"/>
    <w:rsid w:val="70644308"/>
    <w:rsid w:val="708A4E3D"/>
    <w:rsid w:val="7090443F"/>
    <w:rsid w:val="70AA56D6"/>
    <w:rsid w:val="70AE3A21"/>
    <w:rsid w:val="70BF3ED6"/>
    <w:rsid w:val="70C50213"/>
    <w:rsid w:val="70E1111F"/>
    <w:rsid w:val="711C1AB4"/>
    <w:rsid w:val="71380EBA"/>
    <w:rsid w:val="7154707E"/>
    <w:rsid w:val="715E5171"/>
    <w:rsid w:val="716E2EDF"/>
    <w:rsid w:val="71721563"/>
    <w:rsid w:val="71820DBB"/>
    <w:rsid w:val="71AC6156"/>
    <w:rsid w:val="71BA4D0C"/>
    <w:rsid w:val="71C65291"/>
    <w:rsid w:val="71CD6E54"/>
    <w:rsid w:val="71CF08AD"/>
    <w:rsid w:val="71D92A12"/>
    <w:rsid w:val="72311618"/>
    <w:rsid w:val="723D08B9"/>
    <w:rsid w:val="72482404"/>
    <w:rsid w:val="72564C30"/>
    <w:rsid w:val="72606EC4"/>
    <w:rsid w:val="729D11B7"/>
    <w:rsid w:val="72F505F3"/>
    <w:rsid w:val="73021A74"/>
    <w:rsid w:val="73073FBE"/>
    <w:rsid w:val="730F795F"/>
    <w:rsid w:val="731A0B32"/>
    <w:rsid w:val="73224953"/>
    <w:rsid w:val="73474662"/>
    <w:rsid w:val="73637025"/>
    <w:rsid w:val="738C3350"/>
    <w:rsid w:val="73BE6596"/>
    <w:rsid w:val="73CB1CD7"/>
    <w:rsid w:val="73CD3EA9"/>
    <w:rsid w:val="73CE2DA4"/>
    <w:rsid w:val="73D07880"/>
    <w:rsid w:val="73F1028A"/>
    <w:rsid w:val="73FA3327"/>
    <w:rsid w:val="74457480"/>
    <w:rsid w:val="74583EBB"/>
    <w:rsid w:val="746C703D"/>
    <w:rsid w:val="74713F72"/>
    <w:rsid w:val="747333FD"/>
    <w:rsid w:val="75020646"/>
    <w:rsid w:val="750B662D"/>
    <w:rsid w:val="75141A26"/>
    <w:rsid w:val="7535076A"/>
    <w:rsid w:val="754E4D39"/>
    <w:rsid w:val="754F4B87"/>
    <w:rsid w:val="7553052A"/>
    <w:rsid w:val="7558708A"/>
    <w:rsid w:val="7569261A"/>
    <w:rsid w:val="757C0FB5"/>
    <w:rsid w:val="75A64460"/>
    <w:rsid w:val="75B025E2"/>
    <w:rsid w:val="75B478BD"/>
    <w:rsid w:val="75C92A22"/>
    <w:rsid w:val="75CB1CF0"/>
    <w:rsid w:val="75EF6934"/>
    <w:rsid w:val="7639751F"/>
    <w:rsid w:val="7662337E"/>
    <w:rsid w:val="767909F7"/>
    <w:rsid w:val="768001A3"/>
    <w:rsid w:val="76C15AC4"/>
    <w:rsid w:val="76C1689C"/>
    <w:rsid w:val="76C717AE"/>
    <w:rsid w:val="76D60487"/>
    <w:rsid w:val="76E5550B"/>
    <w:rsid w:val="77067904"/>
    <w:rsid w:val="7738498C"/>
    <w:rsid w:val="773B68C2"/>
    <w:rsid w:val="775350AF"/>
    <w:rsid w:val="77535C8D"/>
    <w:rsid w:val="776059A0"/>
    <w:rsid w:val="778115F4"/>
    <w:rsid w:val="77C12313"/>
    <w:rsid w:val="77D83F25"/>
    <w:rsid w:val="77DA1E2E"/>
    <w:rsid w:val="77EE2354"/>
    <w:rsid w:val="77F00FB8"/>
    <w:rsid w:val="780462E0"/>
    <w:rsid w:val="781823F8"/>
    <w:rsid w:val="781A03BC"/>
    <w:rsid w:val="78265D43"/>
    <w:rsid w:val="782D24E5"/>
    <w:rsid w:val="783D1F9F"/>
    <w:rsid w:val="78477143"/>
    <w:rsid w:val="784E358E"/>
    <w:rsid w:val="786A3EDA"/>
    <w:rsid w:val="787C0E1B"/>
    <w:rsid w:val="78B02CBD"/>
    <w:rsid w:val="78D20EA2"/>
    <w:rsid w:val="78D61CA3"/>
    <w:rsid w:val="78D62E2C"/>
    <w:rsid w:val="78DC5570"/>
    <w:rsid w:val="78F429C6"/>
    <w:rsid w:val="79106EBF"/>
    <w:rsid w:val="79126098"/>
    <w:rsid w:val="79406B09"/>
    <w:rsid w:val="79435A8C"/>
    <w:rsid w:val="79490954"/>
    <w:rsid w:val="796B5A8F"/>
    <w:rsid w:val="797313FA"/>
    <w:rsid w:val="797C4D09"/>
    <w:rsid w:val="79845CF6"/>
    <w:rsid w:val="798B577E"/>
    <w:rsid w:val="79933AC4"/>
    <w:rsid w:val="799C31C4"/>
    <w:rsid w:val="79AB1726"/>
    <w:rsid w:val="79AE159B"/>
    <w:rsid w:val="79CB0C19"/>
    <w:rsid w:val="79D279B4"/>
    <w:rsid w:val="7A097610"/>
    <w:rsid w:val="7A252FFC"/>
    <w:rsid w:val="7A3E6166"/>
    <w:rsid w:val="7A7C796A"/>
    <w:rsid w:val="7A8A74AD"/>
    <w:rsid w:val="7A8D46B5"/>
    <w:rsid w:val="7A92175C"/>
    <w:rsid w:val="7AA11D03"/>
    <w:rsid w:val="7AA50880"/>
    <w:rsid w:val="7ABB68A4"/>
    <w:rsid w:val="7ABC5356"/>
    <w:rsid w:val="7AD27BBE"/>
    <w:rsid w:val="7AE93BC3"/>
    <w:rsid w:val="7B273E46"/>
    <w:rsid w:val="7B3148DD"/>
    <w:rsid w:val="7B321275"/>
    <w:rsid w:val="7B530446"/>
    <w:rsid w:val="7B6F2F50"/>
    <w:rsid w:val="7B7769FF"/>
    <w:rsid w:val="7B792368"/>
    <w:rsid w:val="7B98036B"/>
    <w:rsid w:val="7BA33872"/>
    <w:rsid w:val="7BAC1A04"/>
    <w:rsid w:val="7BD012F5"/>
    <w:rsid w:val="7BD33D22"/>
    <w:rsid w:val="7BD345B1"/>
    <w:rsid w:val="7BF47AE3"/>
    <w:rsid w:val="7C26570F"/>
    <w:rsid w:val="7C2D0829"/>
    <w:rsid w:val="7C342DA0"/>
    <w:rsid w:val="7C463DDC"/>
    <w:rsid w:val="7C48763D"/>
    <w:rsid w:val="7C496189"/>
    <w:rsid w:val="7C7069D9"/>
    <w:rsid w:val="7CFB1C7B"/>
    <w:rsid w:val="7D031A2B"/>
    <w:rsid w:val="7D0D1D0E"/>
    <w:rsid w:val="7D174C67"/>
    <w:rsid w:val="7D4733D6"/>
    <w:rsid w:val="7D5E23A2"/>
    <w:rsid w:val="7D637D9D"/>
    <w:rsid w:val="7DB0037D"/>
    <w:rsid w:val="7DB20E22"/>
    <w:rsid w:val="7DB34013"/>
    <w:rsid w:val="7DB45441"/>
    <w:rsid w:val="7DB71A18"/>
    <w:rsid w:val="7DFD6938"/>
    <w:rsid w:val="7E0748DD"/>
    <w:rsid w:val="7E166FA1"/>
    <w:rsid w:val="7E5C4FA4"/>
    <w:rsid w:val="7E74699C"/>
    <w:rsid w:val="7E817634"/>
    <w:rsid w:val="7E903920"/>
    <w:rsid w:val="7EB54BE2"/>
    <w:rsid w:val="7ED26AD7"/>
    <w:rsid w:val="7ED27373"/>
    <w:rsid w:val="7ED437B7"/>
    <w:rsid w:val="7ED43A8D"/>
    <w:rsid w:val="7EE2185A"/>
    <w:rsid w:val="7EF326BD"/>
    <w:rsid w:val="7EF679F9"/>
    <w:rsid w:val="7F1B25F3"/>
    <w:rsid w:val="7F202D66"/>
    <w:rsid w:val="7F2D1523"/>
    <w:rsid w:val="7F362263"/>
    <w:rsid w:val="7F456687"/>
    <w:rsid w:val="7F5507A9"/>
    <w:rsid w:val="7F8568A4"/>
    <w:rsid w:val="7F8C6BFB"/>
    <w:rsid w:val="7FA423A0"/>
    <w:rsid w:val="7FA875D2"/>
    <w:rsid w:val="7FB73D95"/>
    <w:rsid w:val="7FC92823"/>
    <w:rsid w:val="7FDF6984"/>
    <w:rsid w:val="7FE83A75"/>
    <w:rsid w:val="EEFF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qFormat="1" w:unhideWhenUsed="0" w:uiPriority="0" w:semiHidden="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6"/>
    <w:qFormat/>
    <w:uiPriority w:val="0"/>
    <w:pPr>
      <w:keepNext/>
      <w:keepLines/>
      <w:tabs>
        <w:tab w:val="left" w:pos="567"/>
      </w:tabs>
      <w:spacing w:before="340" w:after="330" w:line="360" w:lineRule="auto"/>
      <w:jc w:val="center"/>
      <w:outlineLvl w:val="0"/>
    </w:pPr>
    <w:rPr>
      <w:rFonts w:ascii="宋体" w:hAnsi="宋体"/>
      <w:b/>
      <w:bCs/>
      <w:kern w:val="44"/>
      <w:sz w:val="32"/>
      <w:szCs w:val="44"/>
    </w:rPr>
  </w:style>
  <w:style w:type="paragraph" w:styleId="3">
    <w:name w:val="heading 2"/>
    <w:basedOn w:val="1"/>
    <w:next w:val="1"/>
    <w:link w:val="79"/>
    <w:qFormat/>
    <w:uiPriority w:val="0"/>
    <w:pPr>
      <w:widowControl/>
      <w:spacing w:line="360" w:lineRule="auto"/>
      <w:jc w:val="center"/>
      <w:outlineLvl w:val="1"/>
    </w:pPr>
    <w:rPr>
      <w:rFonts w:asciiTheme="minorEastAsia" w:hAnsiTheme="minorEastAsia" w:eastAsiaTheme="minorEastAsia"/>
      <w:b/>
      <w:bCs/>
      <w:kern w:val="44"/>
      <w:sz w:val="28"/>
      <w:szCs w:val="28"/>
    </w:rPr>
  </w:style>
  <w:style w:type="paragraph" w:styleId="4">
    <w:name w:val="heading 3"/>
    <w:basedOn w:val="2"/>
    <w:next w:val="1"/>
    <w:link w:val="80"/>
    <w:qFormat/>
    <w:uiPriority w:val="0"/>
    <w:pPr>
      <w:outlineLvl w:val="2"/>
    </w:pPr>
  </w:style>
  <w:style w:type="paragraph" w:styleId="5">
    <w:name w:val="heading 4"/>
    <w:basedOn w:val="1"/>
    <w:next w:val="1"/>
    <w:link w:val="112"/>
    <w:qFormat/>
    <w:uiPriority w:val="0"/>
    <w:pPr>
      <w:widowControl/>
      <w:spacing w:line="360" w:lineRule="auto"/>
      <w:jc w:val="center"/>
      <w:outlineLvl w:val="3"/>
    </w:pPr>
    <w:rPr>
      <w:rFonts w:asciiTheme="minorEastAsia" w:hAnsiTheme="minorEastAsia" w:eastAsiaTheme="minorEastAsia"/>
      <w:b/>
      <w:bCs/>
      <w:kern w:val="44"/>
      <w:sz w:val="28"/>
      <w:szCs w:val="28"/>
    </w:rPr>
  </w:style>
  <w:style w:type="paragraph" w:styleId="6">
    <w:name w:val="heading 5"/>
    <w:basedOn w:val="1"/>
    <w:next w:val="1"/>
    <w:link w:val="81"/>
    <w:qFormat/>
    <w:uiPriority w:val="0"/>
    <w:pPr>
      <w:keepNext/>
      <w:keepLines/>
      <w:numPr>
        <w:ilvl w:val="4"/>
        <w:numId w:val="1"/>
      </w:numPr>
      <w:tabs>
        <w:tab w:val="left" w:pos="1008"/>
      </w:tabs>
      <w:spacing w:before="280" w:after="290" w:line="374" w:lineRule="auto"/>
      <w:outlineLvl w:val="4"/>
    </w:pPr>
    <w:rPr>
      <w:b/>
      <w:bCs/>
      <w:sz w:val="28"/>
      <w:szCs w:val="28"/>
    </w:rPr>
  </w:style>
  <w:style w:type="paragraph" w:styleId="7">
    <w:name w:val="heading 6"/>
    <w:basedOn w:val="1"/>
    <w:next w:val="1"/>
    <w:link w:val="82"/>
    <w:qFormat/>
    <w:uiPriority w:val="0"/>
    <w:pPr>
      <w:keepNext/>
      <w:keepLines/>
      <w:numPr>
        <w:ilvl w:val="5"/>
        <w:numId w:val="1"/>
      </w:numPr>
      <w:tabs>
        <w:tab w:val="left" w:pos="1152"/>
      </w:tabs>
      <w:spacing w:before="240" w:after="64" w:line="319" w:lineRule="auto"/>
      <w:outlineLvl w:val="5"/>
    </w:pPr>
    <w:rPr>
      <w:rFonts w:ascii="Arial" w:hAnsi="Arial" w:eastAsia="黑体"/>
      <w:b/>
      <w:bCs/>
      <w:sz w:val="24"/>
    </w:rPr>
  </w:style>
  <w:style w:type="paragraph" w:styleId="8">
    <w:name w:val="heading 7"/>
    <w:basedOn w:val="1"/>
    <w:next w:val="1"/>
    <w:link w:val="83"/>
    <w:qFormat/>
    <w:uiPriority w:val="0"/>
    <w:pPr>
      <w:keepNext/>
      <w:keepLines/>
      <w:numPr>
        <w:ilvl w:val="6"/>
        <w:numId w:val="1"/>
      </w:numPr>
      <w:tabs>
        <w:tab w:val="left" w:pos="1296"/>
      </w:tabs>
      <w:spacing w:before="240" w:after="64" w:line="319" w:lineRule="auto"/>
      <w:outlineLvl w:val="6"/>
    </w:pPr>
    <w:rPr>
      <w:b/>
      <w:bCs/>
      <w:sz w:val="24"/>
    </w:rPr>
  </w:style>
  <w:style w:type="paragraph" w:styleId="9">
    <w:name w:val="heading 8"/>
    <w:basedOn w:val="1"/>
    <w:next w:val="1"/>
    <w:link w:val="84"/>
    <w:qFormat/>
    <w:uiPriority w:val="0"/>
    <w:pPr>
      <w:keepNext/>
      <w:keepLines/>
      <w:numPr>
        <w:ilvl w:val="7"/>
        <w:numId w:val="1"/>
      </w:numPr>
      <w:tabs>
        <w:tab w:val="left" w:pos="1440"/>
      </w:tabs>
      <w:spacing w:before="240" w:after="64" w:line="319" w:lineRule="auto"/>
      <w:outlineLvl w:val="7"/>
    </w:pPr>
    <w:rPr>
      <w:rFonts w:ascii="Arial" w:hAnsi="Arial" w:eastAsia="黑体"/>
      <w:sz w:val="24"/>
    </w:rPr>
  </w:style>
  <w:style w:type="paragraph" w:styleId="10">
    <w:name w:val="heading 9"/>
    <w:basedOn w:val="1"/>
    <w:next w:val="1"/>
    <w:link w:val="85"/>
    <w:qFormat/>
    <w:uiPriority w:val="0"/>
    <w:pPr>
      <w:keepNext/>
      <w:keepLines/>
      <w:numPr>
        <w:ilvl w:val="8"/>
        <w:numId w:val="1"/>
      </w:numPr>
      <w:tabs>
        <w:tab w:val="left" w:pos="1584"/>
      </w:tabs>
      <w:spacing w:before="240" w:after="64" w:line="319" w:lineRule="auto"/>
      <w:outlineLvl w:val="8"/>
    </w:pPr>
    <w:rPr>
      <w:rFonts w:ascii="Arial" w:hAnsi="Arial" w:eastAsia="黑体"/>
      <w:szCs w:val="21"/>
    </w:rPr>
  </w:style>
  <w:style w:type="character" w:default="1" w:styleId="53">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pacing w:line="312" w:lineRule="atLeast"/>
      <w:ind w:left="100" w:leftChars="400" w:hanging="200" w:hangingChars="200"/>
      <w:textAlignment w:val="baseline"/>
    </w:pPr>
    <w:rPr>
      <w:kern w:val="0"/>
      <w:szCs w:val="21"/>
    </w:rPr>
  </w:style>
  <w:style w:type="paragraph" w:styleId="12">
    <w:name w:val="toc 7"/>
    <w:basedOn w:val="1"/>
    <w:next w:val="1"/>
    <w:qFormat/>
    <w:uiPriority w:val="39"/>
    <w:pPr>
      <w:ind w:left="1260"/>
      <w:jc w:val="left"/>
    </w:pPr>
    <w:rPr>
      <w:rFonts w:asciiTheme="minorHAnsi" w:hAnsiTheme="minorHAnsi" w:cstheme="minorHAnsi"/>
      <w:sz w:val="18"/>
      <w:szCs w:val="18"/>
    </w:rPr>
  </w:style>
  <w:style w:type="paragraph" w:styleId="13">
    <w:name w:val="Normal Indent"/>
    <w:basedOn w:val="1"/>
    <w:link w:val="71"/>
    <w:qFormat/>
    <w:uiPriority w:val="0"/>
    <w:pPr>
      <w:ind w:firstLine="420" w:firstLineChars="200"/>
    </w:pPr>
  </w:style>
  <w:style w:type="paragraph" w:styleId="14">
    <w:name w:val="caption"/>
    <w:basedOn w:val="1"/>
    <w:next w:val="1"/>
    <w:unhideWhenUsed/>
    <w:qFormat/>
    <w:uiPriority w:val="0"/>
    <w:pPr>
      <w:spacing w:line="300" w:lineRule="auto"/>
      <w:jc w:val="center"/>
    </w:pPr>
    <w:rPr>
      <w:rFonts w:cs="宋体"/>
      <w:b/>
      <w:szCs w:val="20"/>
    </w:rPr>
  </w:style>
  <w:style w:type="paragraph" w:styleId="15">
    <w:name w:val="Document Map"/>
    <w:basedOn w:val="1"/>
    <w:link w:val="91"/>
    <w:qFormat/>
    <w:uiPriority w:val="0"/>
    <w:pPr>
      <w:shd w:val="clear" w:color="auto" w:fill="000080"/>
    </w:pPr>
  </w:style>
  <w:style w:type="paragraph" w:styleId="16">
    <w:name w:val="annotation text"/>
    <w:basedOn w:val="1"/>
    <w:link w:val="94"/>
    <w:qFormat/>
    <w:uiPriority w:val="0"/>
    <w:pPr>
      <w:jc w:val="left"/>
    </w:pPr>
  </w:style>
  <w:style w:type="paragraph" w:styleId="17">
    <w:name w:val="Body Text"/>
    <w:basedOn w:val="1"/>
    <w:link w:val="100"/>
    <w:qFormat/>
    <w:uiPriority w:val="0"/>
    <w:pPr>
      <w:spacing w:after="120"/>
    </w:pPr>
  </w:style>
  <w:style w:type="paragraph" w:styleId="18">
    <w:name w:val="Body Text Indent"/>
    <w:basedOn w:val="1"/>
    <w:link w:val="154"/>
    <w:qFormat/>
    <w:uiPriority w:val="0"/>
    <w:pPr>
      <w:ind w:firstLine="640" w:firstLineChars="200"/>
    </w:pPr>
    <w:rPr>
      <w:sz w:val="32"/>
    </w:rPr>
  </w:style>
  <w:style w:type="paragraph" w:styleId="19">
    <w:name w:val="List 2"/>
    <w:basedOn w:val="1"/>
    <w:qFormat/>
    <w:uiPriority w:val="0"/>
    <w:pPr>
      <w:adjustRightInd w:val="0"/>
      <w:spacing w:line="312" w:lineRule="atLeast"/>
      <w:ind w:left="100" w:leftChars="200" w:hanging="200" w:hangingChars="200"/>
      <w:textAlignment w:val="baseline"/>
    </w:pPr>
    <w:rPr>
      <w:kern w:val="0"/>
      <w:szCs w:val="21"/>
    </w:rPr>
  </w:style>
  <w:style w:type="paragraph" w:styleId="20">
    <w:name w:val="List Continue"/>
    <w:basedOn w:val="1"/>
    <w:qFormat/>
    <w:uiPriority w:val="0"/>
    <w:pPr>
      <w:adjustRightInd w:val="0"/>
      <w:spacing w:after="120" w:line="312" w:lineRule="atLeast"/>
      <w:ind w:left="420" w:leftChars="200"/>
      <w:textAlignment w:val="baseline"/>
    </w:pPr>
    <w:rPr>
      <w:kern w:val="0"/>
      <w:szCs w:val="21"/>
    </w:rPr>
  </w:style>
  <w:style w:type="paragraph" w:styleId="21">
    <w:name w:val="toc 5"/>
    <w:basedOn w:val="1"/>
    <w:next w:val="1"/>
    <w:qFormat/>
    <w:uiPriority w:val="39"/>
    <w:pPr>
      <w:ind w:left="840"/>
      <w:jc w:val="left"/>
    </w:pPr>
    <w:rPr>
      <w:rFonts w:asciiTheme="minorHAnsi" w:hAnsiTheme="minorHAnsi" w:cstheme="minorHAnsi"/>
      <w:sz w:val="18"/>
      <w:szCs w:val="18"/>
    </w:rPr>
  </w:style>
  <w:style w:type="paragraph" w:styleId="22">
    <w:name w:val="toc 3"/>
    <w:basedOn w:val="1"/>
    <w:next w:val="1"/>
    <w:qFormat/>
    <w:uiPriority w:val="39"/>
    <w:pPr>
      <w:ind w:left="420"/>
      <w:jc w:val="left"/>
    </w:pPr>
    <w:rPr>
      <w:rFonts w:asciiTheme="minorHAnsi" w:hAnsiTheme="minorHAnsi" w:cstheme="minorHAnsi"/>
      <w:i/>
      <w:iCs/>
      <w:sz w:val="20"/>
      <w:szCs w:val="20"/>
    </w:rPr>
  </w:style>
  <w:style w:type="paragraph" w:styleId="23">
    <w:name w:val="Plain Text"/>
    <w:basedOn w:val="1"/>
    <w:link w:val="86"/>
    <w:qFormat/>
    <w:uiPriority w:val="0"/>
    <w:pPr>
      <w:widowControl/>
      <w:spacing w:before="100" w:beforeAutospacing="1" w:after="100" w:afterAutospacing="1"/>
      <w:jc w:val="left"/>
    </w:pPr>
    <w:rPr>
      <w:rFonts w:ascii="宋体" w:hAnsi="宋体" w:cs="宋体"/>
      <w:color w:val="000000"/>
      <w:kern w:val="0"/>
      <w:sz w:val="24"/>
    </w:rPr>
  </w:style>
  <w:style w:type="paragraph" w:styleId="24">
    <w:name w:val="toc 8"/>
    <w:basedOn w:val="1"/>
    <w:next w:val="1"/>
    <w:qFormat/>
    <w:uiPriority w:val="39"/>
    <w:pPr>
      <w:ind w:left="1470"/>
      <w:jc w:val="left"/>
    </w:pPr>
    <w:rPr>
      <w:rFonts w:asciiTheme="minorHAnsi" w:hAnsiTheme="minorHAnsi" w:cstheme="minorHAnsi"/>
      <w:sz w:val="18"/>
      <w:szCs w:val="18"/>
    </w:rPr>
  </w:style>
  <w:style w:type="paragraph" w:styleId="25">
    <w:name w:val="Date"/>
    <w:basedOn w:val="1"/>
    <w:next w:val="1"/>
    <w:link w:val="98"/>
    <w:qFormat/>
    <w:uiPriority w:val="0"/>
    <w:pPr>
      <w:ind w:left="100" w:leftChars="2500"/>
    </w:pPr>
  </w:style>
  <w:style w:type="paragraph" w:styleId="26">
    <w:name w:val="Body Text Indent 2"/>
    <w:basedOn w:val="1"/>
    <w:link w:val="153"/>
    <w:qFormat/>
    <w:uiPriority w:val="0"/>
    <w:pPr>
      <w:autoSpaceDE w:val="0"/>
      <w:autoSpaceDN w:val="0"/>
      <w:adjustRightInd w:val="0"/>
      <w:spacing w:line="312" w:lineRule="atLeast"/>
      <w:ind w:right="65" w:firstLine="420"/>
      <w:textAlignment w:val="bottom"/>
    </w:pPr>
    <w:rPr>
      <w:rFonts w:ascii="宋体"/>
      <w:kern w:val="0"/>
      <w:sz w:val="24"/>
    </w:rPr>
  </w:style>
  <w:style w:type="paragraph" w:styleId="27">
    <w:name w:val="Balloon Text"/>
    <w:basedOn w:val="1"/>
    <w:link w:val="65"/>
    <w:qFormat/>
    <w:uiPriority w:val="0"/>
    <w:rPr>
      <w:sz w:val="18"/>
      <w:szCs w:val="18"/>
    </w:rPr>
  </w:style>
  <w:style w:type="paragraph" w:styleId="28">
    <w:name w:val="footer"/>
    <w:basedOn w:val="1"/>
    <w:link w:val="88"/>
    <w:qFormat/>
    <w:uiPriority w:val="0"/>
    <w:pPr>
      <w:tabs>
        <w:tab w:val="center" w:pos="4153"/>
        <w:tab w:val="right" w:pos="8306"/>
      </w:tabs>
      <w:snapToGrid w:val="0"/>
      <w:jc w:val="left"/>
    </w:pPr>
    <w:rPr>
      <w:sz w:val="18"/>
      <w:szCs w:val="18"/>
    </w:rPr>
  </w:style>
  <w:style w:type="paragraph" w:styleId="29">
    <w:name w:val="header"/>
    <w:basedOn w:val="1"/>
    <w:link w:val="89"/>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rFonts w:asciiTheme="minorHAnsi" w:hAnsiTheme="minorHAnsi" w:cstheme="minorHAnsi"/>
      <w:b/>
      <w:bCs/>
      <w:caps/>
      <w:sz w:val="22"/>
      <w:szCs w:val="20"/>
    </w:rPr>
  </w:style>
  <w:style w:type="paragraph" w:styleId="31">
    <w:name w:val="toc 4"/>
    <w:basedOn w:val="1"/>
    <w:next w:val="1"/>
    <w:qFormat/>
    <w:uiPriority w:val="39"/>
    <w:pPr>
      <w:ind w:left="630"/>
      <w:jc w:val="left"/>
    </w:pPr>
    <w:rPr>
      <w:rFonts w:asciiTheme="minorHAnsi" w:hAnsiTheme="minorHAnsi" w:cstheme="minorHAnsi"/>
      <w:sz w:val="18"/>
      <w:szCs w:val="18"/>
    </w:rPr>
  </w:style>
  <w:style w:type="paragraph" w:styleId="32">
    <w:name w:val="Subtitle"/>
    <w:basedOn w:val="1"/>
    <w:next w:val="1"/>
    <w:link w:val="106"/>
    <w:qFormat/>
    <w:uiPriority w:val="0"/>
    <w:pPr>
      <w:spacing w:before="240" w:after="120" w:line="360" w:lineRule="auto"/>
      <w:jc w:val="center"/>
      <w:outlineLvl w:val="1"/>
    </w:pPr>
    <w:rPr>
      <w:rFonts w:eastAsia="华文中宋"/>
      <w:b/>
      <w:bCs/>
      <w:kern w:val="28"/>
      <w:sz w:val="32"/>
      <w:szCs w:val="32"/>
    </w:rPr>
  </w:style>
  <w:style w:type="paragraph" w:styleId="33">
    <w:name w:val="List"/>
    <w:basedOn w:val="1"/>
    <w:qFormat/>
    <w:uiPriority w:val="0"/>
    <w:pPr>
      <w:ind w:left="200" w:hanging="200" w:hangingChars="200"/>
    </w:pPr>
    <w:rPr>
      <w:szCs w:val="21"/>
    </w:rPr>
  </w:style>
  <w:style w:type="paragraph" w:styleId="34">
    <w:name w:val="footnote text"/>
    <w:basedOn w:val="1"/>
    <w:link w:val="196"/>
    <w:qFormat/>
    <w:uiPriority w:val="0"/>
    <w:pPr>
      <w:snapToGrid w:val="0"/>
      <w:jc w:val="left"/>
    </w:pPr>
    <w:rPr>
      <w:rFonts w:ascii="Calibri" w:hAnsi="Calibri"/>
      <w:sz w:val="18"/>
      <w:szCs w:val="18"/>
    </w:rPr>
  </w:style>
  <w:style w:type="paragraph" w:styleId="35">
    <w:name w:val="toc 6"/>
    <w:basedOn w:val="1"/>
    <w:next w:val="1"/>
    <w:qFormat/>
    <w:uiPriority w:val="39"/>
    <w:pPr>
      <w:ind w:left="1050"/>
      <w:jc w:val="left"/>
    </w:pPr>
    <w:rPr>
      <w:rFonts w:asciiTheme="minorHAnsi" w:hAnsiTheme="minorHAnsi" w:cstheme="minorHAnsi"/>
      <w:sz w:val="18"/>
      <w:szCs w:val="18"/>
    </w:rPr>
  </w:style>
  <w:style w:type="paragraph" w:styleId="36">
    <w:name w:val="List 5"/>
    <w:basedOn w:val="1"/>
    <w:qFormat/>
    <w:uiPriority w:val="0"/>
    <w:pPr>
      <w:adjustRightInd w:val="0"/>
      <w:spacing w:line="312" w:lineRule="atLeast"/>
      <w:ind w:left="100" w:leftChars="800" w:hanging="200" w:hangingChars="200"/>
      <w:textAlignment w:val="baseline"/>
    </w:pPr>
    <w:rPr>
      <w:kern w:val="0"/>
      <w:szCs w:val="21"/>
    </w:rPr>
  </w:style>
  <w:style w:type="paragraph" w:styleId="37">
    <w:name w:val="Body Text Indent 3"/>
    <w:basedOn w:val="1"/>
    <w:link w:val="155"/>
    <w:qFormat/>
    <w:uiPriority w:val="0"/>
    <w:pPr>
      <w:spacing w:line="400" w:lineRule="exact"/>
      <w:ind w:firstLine="630" w:firstLineChars="300"/>
    </w:pPr>
    <w:rPr>
      <w:rFonts w:ascii="宋体"/>
      <w:szCs w:val="21"/>
    </w:rPr>
  </w:style>
  <w:style w:type="paragraph" w:styleId="38">
    <w:name w:val="toc 2"/>
    <w:basedOn w:val="1"/>
    <w:next w:val="1"/>
    <w:qFormat/>
    <w:uiPriority w:val="39"/>
    <w:pPr>
      <w:ind w:left="210"/>
      <w:jc w:val="left"/>
    </w:pPr>
    <w:rPr>
      <w:rFonts w:asciiTheme="minorHAnsi" w:hAnsiTheme="minorHAnsi" w:cstheme="minorHAnsi"/>
      <w:smallCaps/>
      <w:sz w:val="20"/>
      <w:szCs w:val="20"/>
    </w:rPr>
  </w:style>
  <w:style w:type="paragraph" w:styleId="39">
    <w:name w:val="toc 9"/>
    <w:basedOn w:val="1"/>
    <w:next w:val="1"/>
    <w:qFormat/>
    <w:uiPriority w:val="39"/>
    <w:pPr>
      <w:ind w:left="1680"/>
      <w:jc w:val="left"/>
    </w:pPr>
    <w:rPr>
      <w:rFonts w:asciiTheme="minorHAnsi" w:hAnsiTheme="minorHAnsi" w:cstheme="minorHAnsi"/>
      <w:sz w:val="18"/>
      <w:szCs w:val="18"/>
    </w:rPr>
  </w:style>
  <w:style w:type="paragraph" w:styleId="40">
    <w:name w:val="Body Text 2"/>
    <w:basedOn w:val="1"/>
    <w:link w:val="159"/>
    <w:qFormat/>
    <w:uiPriority w:val="0"/>
    <w:pPr>
      <w:adjustRightInd w:val="0"/>
      <w:spacing w:after="120" w:line="480" w:lineRule="auto"/>
      <w:textAlignment w:val="baseline"/>
    </w:pPr>
    <w:rPr>
      <w:kern w:val="0"/>
      <w:szCs w:val="21"/>
    </w:rPr>
  </w:style>
  <w:style w:type="paragraph" w:styleId="41">
    <w:name w:val="List 4"/>
    <w:basedOn w:val="1"/>
    <w:qFormat/>
    <w:uiPriority w:val="0"/>
    <w:pPr>
      <w:adjustRightInd w:val="0"/>
      <w:spacing w:line="312" w:lineRule="atLeast"/>
      <w:ind w:left="100" w:leftChars="600" w:hanging="200" w:hangingChars="200"/>
      <w:textAlignment w:val="baseline"/>
    </w:pPr>
    <w:rPr>
      <w:kern w:val="0"/>
      <w:szCs w:val="21"/>
    </w:rPr>
  </w:style>
  <w:style w:type="paragraph" w:styleId="42">
    <w:name w:val="List Continue 2"/>
    <w:basedOn w:val="1"/>
    <w:qFormat/>
    <w:uiPriority w:val="0"/>
    <w:pPr>
      <w:adjustRightInd w:val="0"/>
      <w:spacing w:after="120" w:line="312" w:lineRule="atLeast"/>
      <w:ind w:left="840" w:leftChars="400"/>
      <w:textAlignment w:val="baseline"/>
    </w:pPr>
    <w:rPr>
      <w:kern w:val="0"/>
      <w:szCs w:val="21"/>
    </w:rPr>
  </w:style>
  <w:style w:type="paragraph" w:styleId="43">
    <w:name w:val="HTML Preformatted"/>
    <w:basedOn w:val="1"/>
    <w:link w:val="13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5">
    <w:name w:val="List Continue 3"/>
    <w:basedOn w:val="1"/>
    <w:qFormat/>
    <w:uiPriority w:val="0"/>
    <w:pPr>
      <w:adjustRightInd w:val="0"/>
      <w:spacing w:after="120" w:line="312" w:lineRule="atLeast"/>
      <w:ind w:left="1260" w:leftChars="600"/>
      <w:textAlignment w:val="baseline"/>
    </w:pPr>
    <w:rPr>
      <w:kern w:val="0"/>
      <w:szCs w:val="21"/>
    </w:rPr>
  </w:style>
  <w:style w:type="paragraph" w:styleId="46">
    <w:name w:val="Title"/>
    <w:basedOn w:val="1"/>
    <w:next w:val="1"/>
    <w:link w:val="105"/>
    <w:qFormat/>
    <w:uiPriority w:val="0"/>
    <w:pPr>
      <w:spacing w:before="240" w:after="240" w:line="360" w:lineRule="auto"/>
      <w:jc w:val="center"/>
      <w:outlineLvl w:val="0"/>
    </w:pPr>
    <w:rPr>
      <w:rFonts w:ascii="Cambria" w:hAnsi="Cambria" w:eastAsia="华文中宋"/>
      <w:b/>
      <w:bCs/>
      <w:sz w:val="44"/>
      <w:szCs w:val="32"/>
    </w:rPr>
  </w:style>
  <w:style w:type="paragraph" w:styleId="47">
    <w:name w:val="annotation subject"/>
    <w:basedOn w:val="16"/>
    <w:next w:val="16"/>
    <w:link w:val="95"/>
    <w:qFormat/>
    <w:uiPriority w:val="0"/>
    <w:rPr>
      <w:b/>
      <w:bCs/>
    </w:rPr>
  </w:style>
  <w:style w:type="paragraph" w:styleId="48">
    <w:name w:val="Body Text First Indent"/>
    <w:basedOn w:val="17"/>
    <w:link w:val="157"/>
    <w:qFormat/>
    <w:uiPriority w:val="0"/>
    <w:pPr>
      <w:adjustRightInd w:val="0"/>
      <w:spacing w:line="312" w:lineRule="atLeast"/>
      <w:ind w:firstLine="420" w:firstLineChars="100"/>
      <w:textAlignment w:val="baseline"/>
    </w:pPr>
    <w:rPr>
      <w:rFonts w:ascii="宋体"/>
      <w:color w:val="0000FF"/>
      <w:sz w:val="24"/>
    </w:rPr>
  </w:style>
  <w:style w:type="paragraph" w:styleId="49">
    <w:name w:val="Body Text First Indent 2"/>
    <w:basedOn w:val="18"/>
    <w:link w:val="158"/>
    <w:qFormat/>
    <w:uiPriority w:val="0"/>
    <w:pPr>
      <w:adjustRightInd w:val="0"/>
      <w:spacing w:after="120" w:line="312" w:lineRule="atLeast"/>
      <w:ind w:left="420" w:leftChars="200" w:firstLine="420"/>
      <w:textAlignment w:val="baseline"/>
    </w:pPr>
    <w:rPr>
      <w:kern w:val="0"/>
      <w:sz w:val="21"/>
      <w:szCs w:val="21"/>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2">
    <w:name w:val="Table List 4"/>
    <w:basedOn w:val="50"/>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color w:val="FFFFFF"/>
      </w:rPr>
      <w:tblPr/>
      <w:tcPr>
        <w:tcBorders>
          <w:bottom w:val="single" w:color="000000" w:sz="12" w:space="0"/>
          <w:tl2br w:val="nil"/>
          <w:tr2bl w:val="nil"/>
        </w:tcBorders>
        <w:shd w:val="solid" w:color="808080" w:fill="FFFFFF"/>
      </w:tcPr>
    </w:tblStylePr>
  </w:style>
  <w:style w:type="character" w:styleId="54">
    <w:name w:val="Strong"/>
    <w:basedOn w:val="53"/>
    <w:qFormat/>
    <w:uiPriority w:val="22"/>
    <w:rPr>
      <w:b/>
      <w:bCs/>
    </w:rPr>
  </w:style>
  <w:style w:type="character" w:styleId="55">
    <w:name w:val="page number"/>
    <w:basedOn w:val="53"/>
    <w:qFormat/>
    <w:uiPriority w:val="0"/>
  </w:style>
  <w:style w:type="character" w:styleId="56">
    <w:name w:val="FollowedHyperlink"/>
    <w:basedOn w:val="53"/>
    <w:qFormat/>
    <w:uiPriority w:val="0"/>
    <w:rPr>
      <w:rFonts w:ascii="Times New Roman" w:hAnsi="Times New Roman" w:eastAsia="宋体" w:cs="Times New Roman"/>
      <w:color w:val="800080"/>
      <w:u w:val="single"/>
    </w:rPr>
  </w:style>
  <w:style w:type="character" w:styleId="57">
    <w:name w:val="Emphasis"/>
    <w:basedOn w:val="53"/>
    <w:qFormat/>
    <w:uiPriority w:val="0"/>
    <w:rPr>
      <w:rFonts w:ascii="Times New Roman" w:hAnsi="Times New Roman" w:eastAsia="宋体" w:cs="Times New Roman"/>
      <w:i/>
      <w:iCs/>
    </w:rPr>
  </w:style>
  <w:style w:type="character" w:styleId="58">
    <w:name w:val="Hyperlink"/>
    <w:basedOn w:val="53"/>
    <w:qFormat/>
    <w:uiPriority w:val="99"/>
    <w:rPr>
      <w:color w:val="0000FF"/>
      <w:u w:val="single"/>
    </w:rPr>
  </w:style>
  <w:style w:type="character" w:styleId="59">
    <w:name w:val="annotation reference"/>
    <w:basedOn w:val="53"/>
    <w:qFormat/>
    <w:uiPriority w:val="0"/>
    <w:rPr>
      <w:rFonts w:ascii="Times New Roman" w:hAnsi="Times New Roman" w:eastAsia="宋体" w:cs="Times New Roman"/>
      <w:sz w:val="21"/>
      <w:szCs w:val="21"/>
    </w:rPr>
  </w:style>
  <w:style w:type="character" w:styleId="60">
    <w:name w:val="footnote reference"/>
    <w:qFormat/>
    <w:uiPriority w:val="0"/>
    <w:rPr>
      <w:rFonts w:ascii="Times New Roman" w:hAnsi="Times New Roman" w:eastAsia="宋体" w:cs="Times New Roman"/>
      <w:vertAlign w:val="superscript"/>
    </w:rPr>
  </w:style>
  <w:style w:type="character" w:customStyle="1" w:styleId="61">
    <w:name w:val="样式1 Char"/>
    <w:link w:val="62"/>
    <w:qFormat/>
    <w:uiPriority w:val="0"/>
    <w:rPr>
      <w:rFonts w:cs="宋体"/>
      <w:bCs/>
      <w:color w:val="000000"/>
      <w:kern w:val="2"/>
      <w:sz w:val="24"/>
      <w:szCs w:val="24"/>
    </w:rPr>
  </w:style>
  <w:style w:type="paragraph" w:customStyle="1" w:styleId="62">
    <w:name w:val="样式1"/>
    <w:basedOn w:val="1"/>
    <w:link w:val="61"/>
    <w:qFormat/>
    <w:uiPriority w:val="0"/>
    <w:pPr>
      <w:framePr w:hSpace="180" w:wrap="around" w:vAnchor="page" w:hAnchor="page" w:x="1177" w:y="2692"/>
      <w:adjustRightInd w:val="0"/>
      <w:snapToGrid w:val="0"/>
      <w:spacing w:beforeLines="50" w:afterLines="50" w:line="300" w:lineRule="auto"/>
      <w:jc w:val="center"/>
    </w:pPr>
    <w:rPr>
      <w:bCs/>
      <w:color w:val="000000"/>
      <w:sz w:val="24"/>
    </w:rPr>
  </w:style>
  <w:style w:type="character" w:customStyle="1" w:styleId="63">
    <w:name w:val="l-btn-text"/>
    <w:basedOn w:val="53"/>
    <w:qFormat/>
    <w:uiPriority w:val="0"/>
  </w:style>
  <w:style w:type="character" w:customStyle="1" w:styleId="64">
    <w:name w:val="15"/>
    <w:basedOn w:val="53"/>
    <w:qFormat/>
    <w:uiPriority w:val="0"/>
    <w:rPr>
      <w:rFonts w:hint="default" w:ascii="Times New Roman" w:hAnsi="Times New Roman" w:cs="Times New Roman"/>
    </w:rPr>
  </w:style>
  <w:style w:type="character" w:customStyle="1" w:styleId="65">
    <w:name w:val="批注框文本 字符"/>
    <w:basedOn w:val="53"/>
    <w:link w:val="27"/>
    <w:qFormat/>
    <w:uiPriority w:val="0"/>
    <w:rPr>
      <w:kern w:val="2"/>
      <w:sz w:val="18"/>
      <w:szCs w:val="18"/>
    </w:rPr>
  </w:style>
  <w:style w:type="character" w:customStyle="1" w:styleId="66">
    <w:name w:val="标题 1 字符"/>
    <w:basedOn w:val="53"/>
    <w:link w:val="2"/>
    <w:qFormat/>
    <w:locked/>
    <w:uiPriority w:val="0"/>
    <w:rPr>
      <w:rFonts w:ascii="宋体" w:hAnsi="宋体" w:eastAsia="宋体"/>
      <w:b/>
      <w:bCs/>
      <w:kern w:val="44"/>
      <w:sz w:val="32"/>
      <w:szCs w:val="44"/>
      <w:lang w:val="en-US" w:eastAsia="zh-CN" w:bidi="ar-SA"/>
    </w:rPr>
  </w:style>
  <w:style w:type="character" w:customStyle="1" w:styleId="67">
    <w:name w:val="l-btn-left3"/>
    <w:basedOn w:val="53"/>
    <w:qFormat/>
    <w:uiPriority w:val="0"/>
  </w:style>
  <w:style w:type="character" w:customStyle="1" w:styleId="68">
    <w:name w:val="10"/>
    <w:basedOn w:val="53"/>
    <w:qFormat/>
    <w:uiPriority w:val="0"/>
    <w:rPr>
      <w:rFonts w:hint="default" w:ascii="Times New Roman" w:hAnsi="Times New Roman" w:cs="Times New Roman"/>
    </w:rPr>
  </w:style>
  <w:style w:type="character" w:customStyle="1" w:styleId="69">
    <w:name w:val="l-btn-empty"/>
    <w:basedOn w:val="53"/>
    <w:qFormat/>
    <w:uiPriority w:val="0"/>
  </w:style>
  <w:style w:type="character" w:customStyle="1" w:styleId="70">
    <w:name w:val="l-btn-left2"/>
    <w:basedOn w:val="53"/>
    <w:qFormat/>
    <w:uiPriority w:val="0"/>
  </w:style>
  <w:style w:type="character" w:customStyle="1" w:styleId="71">
    <w:name w:val="正文缩进 字符"/>
    <w:link w:val="13"/>
    <w:qFormat/>
    <w:uiPriority w:val="0"/>
    <w:rPr>
      <w:rFonts w:eastAsia="宋体"/>
      <w:kern w:val="2"/>
      <w:sz w:val="21"/>
      <w:szCs w:val="24"/>
      <w:lang w:val="en-US" w:eastAsia="zh-CN" w:bidi="ar-SA"/>
    </w:rPr>
  </w:style>
  <w:style w:type="character" w:customStyle="1" w:styleId="72">
    <w:name w:val="l-btn-left"/>
    <w:basedOn w:val="53"/>
    <w:qFormat/>
    <w:uiPriority w:val="0"/>
  </w:style>
  <w:style w:type="character" w:customStyle="1" w:styleId="73">
    <w:name w:val="font1"/>
    <w:qFormat/>
    <w:uiPriority w:val="0"/>
    <w:rPr>
      <w:color w:val="000000"/>
      <w:sz w:val="24"/>
      <w:szCs w:val="24"/>
    </w:rPr>
  </w:style>
  <w:style w:type="character" w:customStyle="1" w:styleId="74">
    <w:name w:val="l-btn-left1"/>
    <w:basedOn w:val="53"/>
    <w:qFormat/>
    <w:uiPriority w:val="0"/>
  </w:style>
  <w:style w:type="paragraph" w:customStyle="1" w:styleId="75">
    <w:name w:val="样式 小四 加粗 行距: 多倍行距 1.25 字行"/>
    <w:basedOn w:val="1"/>
    <w:qFormat/>
    <w:uiPriority w:val="0"/>
    <w:pPr>
      <w:tabs>
        <w:tab w:val="left" w:pos="1200"/>
      </w:tabs>
      <w:spacing w:beforeLines="50" w:afterLines="50" w:line="300" w:lineRule="auto"/>
      <w:ind w:left="1200" w:hanging="960"/>
      <w:jc w:val="left"/>
    </w:pPr>
    <w:rPr>
      <w:rFonts w:cs="宋体"/>
      <w:b/>
      <w:bCs/>
      <w:sz w:val="24"/>
      <w:szCs w:val="20"/>
    </w:rPr>
  </w:style>
  <w:style w:type="paragraph" w:customStyle="1" w:styleId="76">
    <w:name w:val="样式 小四 加粗 黑色 段前: 7.8 磅 段后: 7.8 磅 行距: 多倍行距 1.25 字行"/>
    <w:basedOn w:val="1"/>
    <w:qFormat/>
    <w:uiPriority w:val="0"/>
    <w:pPr>
      <w:adjustRightInd w:val="0"/>
      <w:snapToGrid w:val="0"/>
      <w:spacing w:before="156" w:after="50" w:line="300" w:lineRule="auto"/>
    </w:pPr>
    <w:rPr>
      <w:rFonts w:cs="宋体"/>
      <w:bCs/>
      <w:color w:val="000000"/>
      <w:sz w:val="24"/>
      <w:szCs w:val="20"/>
    </w:rPr>
  </w:style>
  <w:style w:type="paragraph" w:customStyle="1" w:styleId="77">
    <w:name w:val="列表段落1"/>
    <w:basedOn w:val="1"/>
    <w:qFormat/>
    <w:uiPriority w:val="0"/>
    <w:pPr>
      <w:ind w:firstLine="420" w:firstLineChars="200"/>
    </w:pPr>
    <w:rPr>
      <w:szCs w:val="21"/>
    </w:rPr>
  </w:style>
  <w:style w:type="paragraph" w:customStyle="1" w:styleId="78">
    <w:name w:val="messagecontent"/>
    <w:basedOn w:val="1"/>
    <w:qFormat/>
    <w:uiPriority w:val="0"/>
    <w:pPr>
      <w:widowControl/>
      <w:spacing w:before="100" w:beforeAutospacing="1" w:after="100" w:afterAutospacing="1"/>
      <w:jc w:val="left"/>
    </w:pPr>
    <w:rPr>
      <w:rFonts w:ascii="宋体" w:hAnsi="宋体" w:cs="宋体"/>
      <w:kern w:val="0"/>
      <w:sz w:val="24"/>
    </w:rPr>
  </w:style>
  <w:style w:type="character" w:customStyle="1" w:styleId="79">
    <w:name w:val="标题 2 字符"/>
    <w:basedOn w:val="53"/>
    <w:link w:val="3"/>
    <w:qFormat/>
    <w:uiPriority w:val="0"/>
    <w:rPr>
      <w:rFonts w:asciiTheme="minorEastAsia" w:hAnsiTheme="minorEastAsia" w:eastAsiaTheme="minorEastAsia"/>
      <w:b/>
      <w:bCs/>
      <w:kern w:val="44"/>
      <w:sz w:val="28"/>
      <w:szCs w:val="28"/>
    </w:rPr>
  </w:style>
  <w:style w:type="character" w:customStyle="1" w:styleId="80">
    <w:name w:val="标题 3 字符"/>
    <w:basedOn w:val="53"/>
    <w:link w:val="4"/>
    <w:qFormat/>
    <w:uiPriority w:val="0"/>
    <w:rPr>
      <w:rFonts w:ascii="宋体" w:hAnsi="宋体"/>
      <w:b/>
      <w:bCs/>
      <w:kern w:val="44"/>
      <w:sz w:val="32"/>
      <w:szCs w:val="44"/>
    </w:rPr>
  </w:style>
  <w:style w:type="character" w:customStyle="1" w:styleId="81">
    <w:name w:val="标题 5 字符"/>
    <w:link w:val="6"/>
    <w:qFormat/>
    <w:locked/>
    <w:uiPriority w:val="99"/>
    <w:rPr>
      <w:rFonts w:ascii="Times New Roman" w:hAnsi="Times New Roman" w:eastAsia="宋体" w:cs="Times New Roman"/>
      <w:b/>
      <w:bCs/>
      <w:sz w:val="28"/>
      <w:szCs w:val="28"/>
    </w:rPr>
  </w:style>
  <w:style w:type="character" w:customStyle="1" w:styleId="82">
    <w:name w:val="标题 6 字符"/>
    <w:link w:val="7"/>
    <w:qFormat/>
    <w:locked/>
    <w:uiPriority w:val="99"/>
    <w:rPr>
      <w:rFonts w:ascii="Arial" w:hAnsi="Arial" w:eastAsia="黑体" w:cs="Times New Roman"/>
      <w:b/>
      <w:bCs/>
      <w:sz w:val="24"/>
    </w:rPr>
  </w:style>
  <w:style w:type="character" w:customStyle="1" w:styleId="83">
    <w:name w:val="标题 7 字符"/>
    <w:link w:val="8"/>
    <w:qFormat/>
    <w:locked/>
    <w:uiPriority w:val="99"/>
    <w:rPr>
      <w:rFonts w:ascii="Times New Roman" w:hAnsi="Times New Roman" w:eastAsia="宋体" w:cs="Times New Roman"/>
      <w:b/>
      <w:bCs/>
      <w:sz w:val="24"/>
    </w:rPr>
  </w:style>
  <w:style w:type="character" w:customStyle="1" w:styleId="84">
    <w:name w:val="标题 8 字符"/>
    <w:link w:val="9"/>
    <w:qFormat/>
    <w:locked/>
    <w:uiPriority w:val="99"/>
    <w:rPr>
      <w:rFonts w:ascii="Arial" w:hAnsi="Arial" w:eastAsia="黑体" w:cs="Times New Roman"/>
      <w:sz w:val="24"/>
    </w:rPr>
  </w:style>
  <w:style w:type="character" w:customStyle="1" w:styleId="85">
    <w:name w:val="标题 9 字符"/>
    <w:link w:val="10"/>
    <w:qFormat/>
    <w:locked/>
    <w:uiPriority w:val="99"/>
    <w:rPr>
      <w:rFonts w:ascii="Arial" w:hAnsi="Arial" w:eastAsia="黑体" w:cs="Times New Roman"/>
      <w:szCs w:val="21"/>
    </w:rPr>
  </w:style>
  <w:style w:type="character" w:customStyle="1" w:styleId="86">
    <w:name w:val="纯文本 字符"/>
    <w:link w:val="23"/>
    <w:qFormat/>
    <w:uiPriority w:val="99"/>
    <w:rPr>
      <w:rFonts w:ascii="宋体" w:hAnsi="宋体" w:eastAsia="宋体" w:cs="宋体"/>
      <w:color w:val="000000"/>
      <w:kern w:val="0"/>
      <w:sz w:val="24"/>
    </w:rPr>
  </w:style>
  <w:style w:type="character" w:customStyle="1" w:styleId="87">
    <w:name w:val="f14-b"/>
    <w:qFormat/>
    <w:uiPriority w:val="99"/>
    <w:rPr>
      <w:rFonts w:ascii="Times New Roman" w:hAnsi="Times New Roman" w:eastAsia="宋体" w:cs="Times New Roman"/>
    </w:rPr>
  </w:style>
  <w:style w:type="character" w:customStyle="1" w:styleId="88">
    <w:name w:val="页脚 字符"/>
    <w:basedOn w:val="53"/>
    <w:link w:val="28"/>
    <w:qFormat/>
    <w:locked/>
    <w:uiPriority w:val="99"/>
    <w:rPr>
      <w:rFonts w:ascii="Times New Roman" w:hAnsi="Times New Roman" w:eastAsia="宋体" w:cs="Times New Roman"/>
      <w:sz w:val="18"/>
      <w:szCs w:val="18"/>
    </w:rPr>
  </w:style>
  <w:style w:type="character" w:customStyle="1" w:styleId="89">
    <w:name w:val="页眉 字符"/>
    <w:basedOn w:val="53"/>
    <w:link w:val="29"/>
    <w:qFormat/>
    <w:locked/>
    <w:uiPriority w:val="99"/>
    <w:rPr>
      <w:rFonts w:ascii="Times New Roman" w:hAnsi="Times New Roman" w:eastAsia="宋体" w:cs="Times New Roman"/>
      <w:sz w:val="18"/>
      <w:szCs w:val="18"/>
    </w:rPr>
  </w:style>
  <w:style w:type="paragraph" w:customStyle="1" w:styleId="90">
    <w:name w:val="Char Char Char Char Char Char Char"/>
    <w:basedOn w:val="1"/>
    <w:qFormat/>
    <w:uiPriority w:val="99"/>
    <w:pPr>
      <w:widowControl/>
      <w:spacing w:after="160" w:line="240" w:lineRule="exact"/>
      <w:jc w:val="left"/>
    </w:pPr>
    <w:rPr>
      <w:rFonts w:ascii="Arial" w:hAnsi="Arial" w:cs="Verdana"/>
      <w:b/>
      <w:kern w:val="0"/>
      <w:sz w:val="24"/>
      <w:lang w:eastAsia="en-US"/>
    </w:rPr>
  </w:style>
  <w:style w:type="character" w:customStyle="1" w:styleId="91">
    <w:name w:val="文档结构图 字符"/>
    <w:basedOn w:val="53"/>
    <w:link w:val="15"/>
    <w:qFormat/>
    <w:uiPriority w:val="99"/>
    <w:rPr>
      <w:rFonts w:ascii="Times New Roman" w:hAnsi="Times New Roman" w:eastAsia="宋体" w:cs="Times New Roman"/>
    </w:rPr>
  </w:style>
  <w:style w:type="paragraph" w:customStyle="1" w:styleId="92">
    <w:name w:val="Char Char Char Char Char Char Char1"/>
    <w:basedOn w:val="1"/>
    <w:qFormat/>
    <w:uiPriority w:val="99"/>
    <w:pPr>
      <w:widowControl/>
      <w:spacing w:after="160" w:line="240" w:lineRule="exact"/>
      <w:jc w:val="left"/>
    </w:pPr>
    <w:rPr>
      <w:rFonts w:ascii="Arial" w:hAnsi="Arial" w:cs="Verdana"/>
      <w:b/>
      <w:kern w:val="0"/>
      <w:sz w:val="24"/>
      <w:lang w:eastAsia="en-US"/>
    </w:rPr>
  </w:style>
  <w:style w:type="paragraph" w:customStyle="1" w:styleId="93">
    <w:name w:val="Char Char Char Char"/>
    <w:basedOn w:val="1"/>
    <w:qFormat/>
    <w:uiPriority w:val="99"/>
    <w:pPr>
      <w:spacing w:line="360" w:lineRule="auto"/>
    </w:pPr>
    <w:rPr>
      <w:rFonts w:ascii="Tahoma" w:hAnsi="Tahoma"/>
      <w:sz w:val="24"/>
      <w:szCs w:val="20"/>
    </w:rPr>
  </w:style>
  <w:style w:type="character" w:customStyle="1" w:styleId="94">
    <w:name w:val="批注文字 字符"/>
    <w:basedOn w:val="53"/>
    <w:link w:val="16"/>
    <w:qFormat/>
    <w:locked/>
    <w:uiPriority w:val="99"/>
    <w:rPr>
      <w:rFonts w:ascii="Times New Roman" w:hAnsi="Times New Roman" w:eastAsia="宋体" w:cs="Times New Roman"/>
    </w:rPr>
  </w:style>
  <w:style w:type="character" w:customStyle="1" w:styleId="95">
    <w:name w:val="批注主题 字符"/>
    <w:basedOn w:val="94"/>
    <w:link w:val="47"/>
    <w:qFormat/>
    <w:uiPriority w:val="99"/>
    <w:rPr>
      <w:rFonts w:ascii="Times New Roman" w:hAnsi="Times New Roman" w:eastAsia="宋体" w:cs="Times New Roman"/>
      <w:b/>
      <w:bCs/>
    </w:rPr>
  </w:style>
  <w:style w:type="paragraph" w:customStyle="1" w:styleId="96">
    <w:name w:val="条文"/>
    <w:basedOn w:val="1"/>
    <w:link w:val="97"/>
    <w:qFormat/>
    <w:uiPriority w:val="99"/>
    <w:pPr>
      <w:spacing w:line="300" w:lineRule="auto"/>
      <w:outlineLvl w:val="2"/>
    </w:pPr>
    <w:rPr>
      <w:sz w:val="24"/>
    </w:rPr>
  </w:style>
  <w:style w:type="character" w:customStyle="1" w:styleId="97">
    <w:name w:val="条文 Char"/>
    <w:link w:val="96"/>
    <w:qFormat/>
    <w:locked/>
    <w:uiPriority w:val="99"/>
    <w:rPr>
      <w:rFonts w:ascii="Times New Roman" w:hAnsi="Times New Roman" w:eastAsia="宋体" w:cs="Times New Roman"/>
      <w:sz w:val="24"/>
    </w:rPr>
  </w:style>
  <w:style w:type="character" w:customStyle="1" w:styleId="98">
    <w:name w:val="日期 字符"/>
    <w:basedOn w:val="53"/>
    <w:link w:val="25"/>
    <w:qFormat/>
    <w:uiPriority w:val="99"/>
    <w:rPr>
      <w:rFonts w:ascii="Times New Roman" w:hAnsi="Times New Roman" w:eastAsia="宋体" w:cs="Times New Roman"/>
    </w:rPr>
  </w:style>
  <w:style w:type="paragraph" w:customStyle="1" w:styleId="99">
    <w:name w:val="段落正文"/>
    <w:basedOn w:val="1"/>
    <w:qFormat/>
    <w:uiPriority w:val="0"/>
    <w:pPr>
      <w:spacing w:line="300" w:lineRule="auto"/>
      <w:ind w:firstLine="482" w:firstLineChars="200"/>
    </w:pPr>
    <w:rPr>
      <w:sz w:val="24"/>
    </w:rPr>
  </w:style>
  <w:style w:type="character" w:customStyle="1" w:styleId="100">
    <w:name w:val="正文文本 字符"/>
    <w:link w:val="17"/>
    <w:qFormat/>
    <w:uiPriority w:val="99"/>
    <w:rPr>
      <w:rFonts w:ascii="Times New Roman" w:hAnsi="Times New Roman" w:eastAsia="宋体" w:cs="Times New Roman"/>
    </w:rPr>
  </w:style>
  <w:style w:type="paragraph" w:customStyle="1" w:styleId="101">
    <w:name w:val="节"/>
    <w:basedOn w:val="1"/>
    <w:qFormat/>
    <w:uiPriority w:val="99"/>
    <w:pPr>
      <w:spacing w:beforeLines="100" w:afterLines="100" w:line="300" w:lineRule="auto"/>
      <w:jc w:val="center"/>
      <w:outlineLvl w:val="1"/>
    </w:pPr>
    <w:rPr>
      <w:b/>
      <w:bCs/>
      <w:sz w:val="24"/>
    </w:rPr>
  </w:style>
  <w:style w:type="paragraph" w:customStyle="1" w:styleId="102">
    <w:name w:val="目次、标准名称标题"/>
    <w:basedOn w:val="1"/>
    <w:next w:val="1"/>
    <w:qFormat/>
    <w:uiPriority w:val="99"/>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3">
    <w:name w:val="Char Char Char Char1"/>
    <w:basedOn w:val="1"/>
    <w:qFormat/>
    <w:uiPriority w:val="99"/>
    <w:pPr>
      <w:widowControl/>
      <w:jc w:val="left"/>
    </w:pPr>
    <w:rPr>
      <w:rFonts w:ascii="宋体" w:hAnsi="宋体" w:cs="Courier New"/>
      <w:kern w:val="0"/>
      <w:sz w:val="32"/>
      <w:szCs w:val="32"/>
    </w:rPr>
  </w:style>
  <w:style w:type="character" w:customStyle="1" w:styleId="104">
    <w:name w:val="textcontents1"/>
    <w:qFormat/>
    <w:uiPriority w:val="99"/>
    <w:rPr>
      <w:rFonts w:ascii="Times New Roman" w:hAnsi="Times New Roman" w:eastAsia="宋体" w:cs="Times New Roman"/>
      <w:color w:val="000000"/>
      <w:sz w:val="21"/>
      <w:szCs w:val="21"/>
    </w:rPr>
  </w:style>
  <w:style w:type="character" w:customStyle="1" w:styleId="105">
    <w:name w:val="标题 字符"/>
    <w:basedOn w:val="53"/>
    <w:link w:val="46"/>
    <w:qFormat/>
    <w:locked/>
    <w:uiPriority w:val="99"/>
    <w:rPr>
      <w:rFonts w:ascii="Cambria" w:hAnsi="Cambria" w:eastAsia="华文中宋" w:cs="Times New Roman"/>
      <w:b/>
      <w:bCs/>
      <w:sz w:val="44"/>
      <w:szCs w:val="32"/>
    </w:rPr>
  </w:style>
  <w:style w:type="character" w:customStyle="1" w:styleId="106">
    <w:name w:val="副标题 字符"/>
    <w:basedOn w:val="53"/>
    <w:link w:val="32"/>
    <w:qFormat/>
    <w:locked/>
    <w:uiPriority w:val="99"/>
    <w:rPr>
      <w:rFonts w:ascii="Times New Roman" w:hAnsi="Times New Roman" w:eastAsia="华文中宋" w:cs="Times New Roman"/>
      <w:b/>
      <w:bCs/>
      <w:kern w:val="28"/>
      <w:sz w:val="32"/>
      <w:szCs w:val="32"/>
    </w:rPr>
  </w:style>
  <w:style w:type="paragraph" w:customStyle="1" w:styleId="107">
    <w:name w:val="样式 行距: 1.5 倍行距 首行缩进:  2 字符"/>
    <w:basedOn w:val="1"/>
    <w:qFormat/>
    <w:uiPriority w:val="99"/>
    <w:pPr>
      <w:adjustRightInd w:val="0"/>
      <w:snapToGrid w:val="0"/>
      <w:spacing w:line="460" w:lineRule="exact"/>
      <w:ind w:firstLine="480" w:firstLineChars="200"/>
    </w:pPr>
    <w:rPr>
      <w:rFonts w:ascii="楷体_GB2312" w:hAnsi="宋体" w:eastAsia="楷体_GB2312"/>
      <w:kern w:val="0"/>
      <w:sz w:val="24"/>
    </w:rPr>
  </w:style>
  <w:style w:type="paragraph" w:customStyle="1" w:styleId="108">
    <w:name w:val="修订1"/>
    <w:hidden/>
    <w:qFormat/>
    <w:uiPriority w:val="99"/>
    <w:rPr>
      <w:rFonts w:ascii="Times New Roman" w:hAnsi="Times New Roman" w:eastAsia="宋体" w:cs="Times New Roman"/>
      <w:kern w:val="2"/>
      <w:sz w:val="21"/>
      <w:szCs w:val="24"/>
      <w:lang w:val="en-US" w:eastAsia="zh-CN" w:bidi="ar-SA"/>
    </w:rPr>
  </w:style>
  <w:style w:type="character" w:customStyle="1" w:styleId="109">
    <w:name w:val="wbtr_mn1"/>
    <w:qFormat/>
    <w:uiPriority w:val="99"/>
    <w:rPr>
      <w:rFonts w:ascii="Arial" w:hAnsi="Arial" w:eastAsia="宋体" w:cs="Arial"/>
      <w:sz w:val="24"/>
      <w:szCs w:val="24"/>
    </w:rPr>
  </w:style>
  <w:style w:type="paragraph" w:customStyle="1" w:styleId="110">
    <w:name w:val="表中"/>
    <w:basedOn w:val="1"/>
    <w:qFormat/>
    <w:uiPriority w:val="0"/>
    <w:rPr>
      <w:szCs w:val="21"/>
    </w:rPr>
  </w:style>
  <w:style w:type="character" w:customStyle="1" w:styleId="111">
    <w:name w:val="apple-style-span"/>
    <w:basedOn w:val="53"/>
    <w:qFormat/>
    <w:uiPriority w:val="99"/>
    <w:rPr>
      <w:rFonts w:ascii="Times New Roman" w:hAnsi="Times New Roman" w:eastAsia="宋体" w:cs="Times New Roman"/>
    </w:rPr>
  </w:style>
  <w:style w:type="character" w:customStyle="1" w:styleId="112">
    <w:name w:val="标题 4 字符"/>
    <w:basedOn w:val="53"/>
    <w:link w:val="5"/>
    <w:qFormat/>
    <w:uiPriority w:val="0"/>
    <w:rPr>
      <w:rFonts w:asciiTheme="minorEastAsia" w:hAnsiTheme="minorEastAsia" w:eastAsiaTheme="minorEastAsia"/>
      <w:b/>
      <w:bCs/>
      <w:kern w:val="44"/>
      <w:sz w:val="28"/>
      <w:szCs w:val="28"/>
    </w:rPr>
  </w:style>
  <w:style w:type="paragraph" w:customStyle="1" w:styleId="113">
    <w:name w:val="正文文本缩进 21"/>
    <w:basedOn w:val="1"/>
    <w:qFormat/>
    <w:uiPriority w:val="0"/>
    <w:pPr>
      <w:adjustRightInd w:val="0"/>
      <w:spacing w:line="240" w:lineRule="atLeast"/>
      <w:ind w:firstLine="420"/>
      <w:textAlignment w:val="baseline"/>
    </w:pPr>
    <w:rPr>
      <w:rFonts w:eastAsia="楷体_GB2312"/>
      <w:szCs w:val="20"/>
    </w:rPr>
  </w:style>
  <w:style w:type="paragraph" w:customStyle="1" w:styleId="11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5">
    <w:name w:val="文献分类号"/>
    <w:basedOn w:val="114"/>
    <w:next w:val="114"/>
    <w:qFormat/>
    <w:uiPriority w:val="99"/>
    <w:rPr>
      <w:rFonts w:ascii="Times New Roman" w:eastAsia="宋体" w:cs="Times New Roman"/>
      <w:color w:val="auto"/>
    </w:rPr>
  </w:style>
  <w:style w:type="paragraph" w:customStyle="1" w:styleId="116">
    <w:name w:val="其他标准称谓"/>
    <w:basedOn w:val="114"/>
    <w:next w:val="114"/>
    <w:qFormat/>
    <w:uiPriority w:val="99"/>
    <w:rPr>
      <w:rFonts w:ascii="Times New Roman" w:eastAsia="宋体" w:cs="Times New Roman"/>
      <w:color w:val="auto"/>
    </w:rPr>
  </w:style>
  <w:style w:type="paragraph" w:customStyle="1" w:styleId="117">
    <w:name w:val="封面标准名称"/>
    <w:basedOn w:val="114"/>
    <w:next w:val="114"/>
    <w:qFormat/>
    <w:uiPriority w:val="99"/>
    <w:rPr>
      <w:rFonts w:ascii="Times New Roman" w:eastAsia="宋体" w:cs="Times New Roman"/>
      <w:color w:val="auto"/>
    </w:rPr>
  </w:style>
  <w:style w:type="paragraph" w:customStyle="1" w:styleId="118">
    <w:name w:val="a"/>
    <w:basedOn w:val="1"/>
    <w:qFormat/>
    <w:uiPriority w:val="99"/>
    <w:pPr>
      <w:widowControl/>
      <w:spacing w:before="100" w:beforeAutospacing="1" w:after="100" w:afterAutospacing="1"/>
      <w:jc w:val="left"/>
    </w:pPr>
    <w:rPr>
      <w:rFonts w:ascii="宋体" w:hAnsi="宋体" w:cs="宋体"/>
      <w:kern w:val="0"/>
      <w:sz w:val="24"/>
    </w:rPr>
  </w:style>
  <w:style w:type="paragraph" w:customStyle="1" w:styleId="119">
    <w:name w:val="无间隔1"/>
    <w:basedOn w:val="1"/>
    <w:qFormat/>
    <w:uiPriority w:val="1"/>
    <w:pPr>
      <w:spacing w:beforeLines="100" w:line="300" w:lineRule="auto"/>
      <w:outlineLvl w:val="3"/>
    </w:pPr>
    <w:rPr>
      <w:sz w:val="24"/>
    </w:rPr>
  </w:style>
  <w:style w:type="table" w:customStyle="1" w:styleId="120">
    <w:name w:val="网格型1"/>
    <w:basedOn w:val="50"/>
    <w:qFormat/>
    <w:uiPriority w:val="39"/>
    <w:rPr>
      <w:rFonts w:ascii="等线" w:hAnsi="等线" w:eastAsia="等线"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
    <w:name w:val="网格表 1 浅色1"/>
    <w:basedOn w:val="50"/>
    <w:qFormat/>
    <w:uiPriority w:val="46"/>
    <w:rPr>
      <w:rFonts w:ascii="等线" w:hAnsi="等线" w:eastAsia="等线" w:cs="宋体"/>
      <w:kern w:val="2"/>
      <w:sz w:val="21"/>
      <w:szCs w:val="22"/>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122">
    <w:name w:val="网格表 1 浅色2"/>
    <w:basedOn w:val="50"/>
    <w:qFormat/>
    <w:uiPriority w:val="46"/>
    <w:rPr>
      <w:rFonts w:ascii="等线" w:hAnsi="等线" w:eastAsia="等线" w:cs="宋体"/>
      <w:kern w:val="2"/>
      <w:sz w:val="21"/>
      <w:szCs w:val="22"/>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123">
    <w:name w:val="fontstyle01"/>
    <w:basedOn w:val="53"/>
    <w:qFormat/>
    <w:uiPriority w:val="0"/>
    <w:rPr>
      <w:rFonts w:hint="eastAsia" w:ascii="宋体" w:hAnsi="宋体" w:eastAsia="宋体" w:cs="Times New Roman"/>
      <w:color w:val="000000"/>
      <w:sz w:val="20"/>
      <w:szCs w:val="20"/>
    </w:rPr>
  </w:style>
  <w:style w:type="paragraph" w:customStyle="1" w:styleId="124">
    <w:name w:val="TOC 标题1"/>
    <w:basedOn w:val="2"/>
    <w:next w:val="1"/>
    <w:qFormat/>
    <w:uiPriority w:val="39"/>
    <w:pPr>
      <w:widowControl/>
      <w:tabs>
        <w:tab w:val="left" w:pos="1200"/>
        <w:tab w:val="clear" w:pos="567"/>
      </w:tabs>
      <w:spacing w:before="240" w:after="0" w:line="259" w:lineRule="auto"/>
      <w:jc w:val="left"/>
      <w:outlineLvl w:val="9"/>
    </w:pPr>
    <w:rPr>
      <w:rFonts w:ascii="等线 Light" w:hAnsi="等线 Light" w:eastAsia="等线 Light" w:cs="宋体"/>
      <w:b w:val="0"/>
      <w:bCs w:val="0"/>
      <w:color w:val="2E74B5"/>
      <w:kern w:val="0"/>
      <w:szCs w:val="32"/>
    </w:rPr>
  </w:style>
  <w:style w:type="table" w:customStyle="1" w:styleId="125">
    <w:name w:val="网格型4"/>
    <w:basedOn w:val="5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6">
    <w:name w:val="图表名称"/>
    <w:basedOn w:val="1"/>
    <w:link w:val="127"/>
    <w:qFormat/>
    <w:uiPriority w:val="0"/>
    <w:pPr>
      <w:spacing w:line="360" w:lineRule="auto"/>
      <w:jc w:val="center"/>
    </w:pPr>
    <w:rPr>
      <w:b/>
    </w:rPr>
  </w:style>
  <w:style w:type="character" w:customStyle="1" w:styleId="127">
    <w:name w:val="图表名称 Char"/>
    <w:basedOn w:val="53"/>
    <w:link w:val="126"/>
    <w:qFormat/>
    <w:uiPriority w:val="0"/>
    <w:rPr>
      <w:rFonts w:ascii="Times New Roman" w:hAnsi="Times New Roman" w:eastAsia="宋体" w:cs="Times New Roman"/>
      <w:b/>
    </w:rPr>
  </w:style>
  <w:style w:type="table" w:customStyle="1" w:styleId="128">
    <w:name w:val="网格型41"/>
    <w:basedOn w:val="5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
    <w:name w:val="网格型2"/>
    <w:basedOn w:val="50"/>
    <w:qFormat/>
    <w:uiPriority w:val="39"/>
    <w:rPr>
      <w:rFonts w:ascii="等线" w:hAnsi="等线" w:eastAsia="等线"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
    <w:name w:val="网格型3"/>
    <w:basedOn w:val="5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
    <w:name w:val="网格型5"/>
    <w:basedOn w:val="50"/>
    <w:qFormat/>
    <w:uiPriority w:val="0"/>
    <w:rPr>
      <w:rFonts w:ascii="等线" w:hAnsi="等线" w:eastAsia="等线"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
    <w:name w:val="网格型11"/>
    <w:basedOn w:val="50"/>
    <w:qFormat/>
    <w:uiPriority w:val="39"/>
    <w:rPr>
      <w:rFonts w:ascii="等线" w:hAnsi="等线" w:eastAsia="等线"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
    <w:name w:val="网格型6"/>
    <w:basedOn w:val="5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4">
    <w:name w:val="正文+缩进"/>
    <w:basedOn w:val="1"/>
    <w:qFormat/>
    <w:uiPriority w:val="0"/>
    <w:pPr>
      <w:snapToGrid w:val="0"/>
      <w:spacing w:line="360" w:lineRule="auto"/>
      <w:ind w:firstLine="480" w:firstLineChars="200"/>
      <w:jc w:val="left"/>
    </w:pPr>
    <w:rPr>
      <w:sz w:val="24"/>
      <w:szCs w:val="21"/>
    </w:rPr>
  </w:style>
  <w:style w:type="character" w:customStyle="1" w:styleId="135">
    <w:name w:val="未处理的提及1"/>
    <w:basedOn w:val="53"/>
    <w:qFormat/>
    <w:uiPriority w:val="99"/>
    <w:rPr>
      <w:rFonts w:ascii="Times New Roman" w:hAnsi="Times New Roman" w:eastAsia="宋体" w:cs="Times New Roman"/>
      <w:color w:val="605E5C"/>
      <w:shd w:val="clear" w:color="auto" w:fill="E1DFDD"/>
    </w:rPr>
  </w:style>
  <w:style w:type="character" w:customStyle="1" w:styleId="136">
    <w:name w:val="HTML 预设格式 字符"/>
    <w:basedOn w:val="53"/>
    <w:link w:val="43"/>
    <w:qFormat/>
    <w:uiPriority w:val="99"/>
    <w:rPr>
      <w:rFonts w:ascii="宋体" w:hAnsi="宋体" w:eastAsia="宋体" w:cs="宋体"/>
      <w:kern w:val="0"/>
      <w:sz w:val="24"/>
    </w:rPr>
  </w:style>
  <w:style w:type="table" w:customStyle="1" w:styleId="137">
    <w:name w:val="网格型7"/>
    <w:basedOn w:val="50"/>
    <w:qFormat/>
    <w:uiPriority w:val="39"/>
    <w:rPr>
      <w:rFonts w:ascii="等线" w:hAnsi="等线" w:eastAsia="等线"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8">
    <w:name w:val="图表内容"/>
    <w:basedOn w:val="1"/>
    <w:link w:val="139"/>
    <w:qFormat/>
    <w:uiPriority w:val="0"/>
    <w:pPr>
      <w:spacing w:line="288" w:lineRule="auto"/>
      <w:jc w:val="center"/>
    </w:pPr>
    <w:rPr>
      <w:szCs w:val="21"/>
    </w:rPr>
  </w:style>
  <w:style w:type="character" w:customStyle="1" w:styleId="139">
    <w:name w:val="图表内容 Char"/>
    <w:basedOn w:val="53"/>
    <w:link w:val="138"/>
    <w:qFormat/>
    <w:uiPriority w:val="0"/>
    <w:rPr>
      <w:rFonts w:ascii="Times New Roman" w:hAnsi="Times New Roman" w:eastAsia="宋体" w:cs="Times New Roman"/>
      <w:szCs w:val="21"/>
    </w:rPr>
  </w:style>
  <w:style w:type="character" w:customStyle="1" w:styleId="140">
    <w:name w:val="未处理的提及2"/>
    <w:basedOn w:val="53"/>
    <w:qFormat/>
    <w:uiPriority w:val="99"/>
    <w:rPr>
      <w:rFonts w:ascii="Times New Roman" w:hAnsi="Times New Roman" w:eastAsia="宋体" w:cs="Times New Roman"/>
      <w:color w:val="605E5C"/>
      <w:shd w:val="clear" w:color="auto" w:fill="E1DFDD"/>
    </w:rPr>
  </w:style>
  <w:style w:type="character" w:customStyle="1" w:styleId="141">
    <w:name w:val="未处理的提及3"/>
    <w:basedOn w:val="53"/>
    <w:qFormat/>
    <w:uiPriority w:val="99"/>
    <w:rPr>
      <w:rFonts w:ascii="Times New Roman" w:hAnsi="Times New Roman" w:eastAsia="宋体" w:cs="Times New Roman"/>
      <w:color w:val="605E5C"/>
      <w:shd w:val="clear" w:color="auto" w:fill="E1DFDD"/>
    </w:rPr>
  </w:style>
  <w:style w:type="table" w:customStyle="1" w:styleId="142">
    <w:name w:val="网格型8"/>
    <w:basedOn w:val="50"/>
    <w:qFormat/>
    <w:uiPriority w:val="59"/>
    <w:rPr>
      <w:rFonts w:ascii="等线" w:hAnsi="等线" w:eastAsia="等线"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3">
    <w:name w:val="未处理的提及4"/>
    <w:basedOn w:val="53"/>
    <w:unhideWhenUsed/>
    <w:qFormat/>
    <w:uiPriority w:val="99"/>
    <w:rPr>
      <w:rFonts w:ascii="Times New Roman" w:hAnsi="Times New Roman" w:eastAsia="宋体" w:cs="Times New Roman"/>
      <w:color w:val="605E5C"/>
      <w:shd w:val="clear" w:color="auto" w:fill="E1DFDD"/>
    </w:rPr>
  </w:style>
  <w:style w:type="character" w:customStyle="1" w:styleId="144">
    <w:name w:val="Comment Text Char"/>
    <w:semiHidden/>
    <w:qFormat/>
    <w:locked/>
    <w:uiPriority w:val="99"/>
    <w:rPr>
      <w:rFonts w:ascii="Calibri" w:hAnsi="Calibri" w:eastAsia="宋体" w:cs="Calibri"/>
    </w:rPr>
  </w:style>
  <w:style w:type="paragraph" w:customStyle="1" w:styleId="145">
    <w:name w:val="表"/>
    <w:basedOn w:val="1"/>
    <w:qFormat/>
    <w:uiPriority w:val="99"/>
    <w:pPr>
      <w:spacing w:line="300" w:lineRule="auto"/>
      <w:jc w:val="center"/>
    </w:pPr>
    <w:rPr>
      <w:szCs w:val="21"/>
    </w:rPr>
  </w:style>
  <w:style w:type="character" w:customStyle="1" w:styleId="146">
    <w:name w:val="news_show041"/>
    <w:qFormat/>
    <w:uiPriority w:val="99"/>
    <w:rPr>
      <w:rFonts w:ascii="Times New Roman" w:hAnsi="Times New Roman" w:eastAsia="宋体" w:cs="Times New Roman"/>
    </w:rPr>
  </w:style>
  <w:style w:type="character" w:customStyle="1" w:styleId="147">
    <w:name w:val="日期 Char1"/>
    <w:qFormat/>
    <w:uiPriority w:val="99"/>
    <w:rPr>
      <w:rFonts w:ascii="Calibri" w:hAnsi="Calibri" w:eastAsia="宋体" w:cs="Calibri"/>
      <w:kern w:val="2"/>
      <w:sz w:val="21"/>
      <w:szCs w:val="21"/>
    </w:rPr>
  </w:style>
  <w:style w:type="character" w:customStyle="1" w:styleId="148">
    <w:name w:val="Date Char1"/>
    <w:semiHidden/>
    <w:qFormat/>
    <w:uiPriority w:val="99"/>
    <w:rPr>
      <w:rFonts w:ascii="Calibri" w:hAnsi="Calibri" w:eastAsia="宋体" w:cs="Calibri"/>
      <w:sz w:val="21"/>
      <w:szCs w:val="21"/>
    </w:rPr>
  </w:style>
  <w:style w:type="character" w:customStyle="1" w:styleId="149">
    <w:name w:val="文档结构图 Char1"/>
    <w:qFormat/>
    <w:uiPriority w:val="99"/>
    <w:rPr>
      <w:rFonts w:ascii="宋体" w:hAnsi="Calibri" w:eastAsia="宋体" w:cs="Calibri"/>
      <w:kern w:val="2"/>
      <w:sz w:val="18"/>
      <w:szCs w:val="18"/>
    </w:rPr>
  </w:style>
  <w:style w:type="character" w:customStyle="1" w:styleId="150">
    <w:name w:val="Document Map Char1"/>
    <w:semiHidden/>
    <w:qFormat/>
    <w:uiPriority w:val="99"/>
    <w:rPr>
      <w:rFonts w:ascii="Times New Roman" w:hAnsi="Times New Roman" w:eastAsia="宋体" w:cs="Times New Roman"/>
      <w:sz w:val="2"/>
      <w:szCs w:val="2"/>
    </w:rPr>
  </w:style>
  <w:style w:type="character" w:customStyle="1" w:styleId="151">
    <w:name w:val="Comment Subject Char1"/>
    <w:semiHidden/>
    <w:qFormat/>
    <w:uiPriority w:val="99"/>
    <w:rPr>
      <w:rFonts w:ascii="Calibri" w:hAnsi="Calibri" w:eastAsia="宋体" w:cs="Calibri"/>
      <w:b/>
      <w:bCs/>
      <w:sz w:val="21"/>
      <w:szCs w:val="21"/>
    </w:rPr>
  </w:style>
  <w:style w:type="character" w:customStyle="1" w:styleId="152">
    <w:name w:val="Char Char2"/>
    <w:semiHidden/>
    <w:qFormat/>
    <w:uiPriority w:val="99"/>
    <w:rPr>
      <w:rFonts w:ascii="宋体" w:hAnsi="宋体" w:eastAsia="宋体" w:cs="宋体"/>
      <w:b/>
      <w:bCs/>
      <w:kern w:val="2"/>
      <w:sz w:val="24"/>
      <w:szCs w:val="24"/>
    </w:rPr>
  </w:style>
  <w:style w:type="character" w:customStyle="1" w:styleId="153">
    <w:name w:val="正文文本缩进 2 字符"/>
    <w:basedOn w:val="53"/>
    <w:link w:val="26"/>
    <w:qFormat/>
    <w:uiPriority w:val="99"/>
    <w:rPr>
      <w:rFonts w:ascii="宋体" w:hAnsi="Times New Roman" w:eastAsia="宋体" w:cs="Times New Roman"/>
      <w:kern w:val="0"/>
      <w:sz w:val="24"/>
    </w:rPr>
  </w:style>
  <w:style w:type="character" w:customStyle="1" w:styleId="154">
    <w:name w:val="正文文本缩进 字符"/>
    <w:basedOn w:val="53"/>
    <w:link w:val="18"/>
    <w:qFormat/>
    <w:uiPriority w:val="99"/>
    <w:rPr>
      <w:rFonts w:ascii="Times New Roman" w:hAnsi="Times New Roman" w:eastAsia="宋体" w:cs="Times New Roman"/>
      <w:sz w:val="32"/>
    </w:rPr>
  </w:style>
  <w:style w:type="character" w:customStyle="1" w:styleId="155">
    <w:name w:val="正文文本缩进 3 字符"/>
    <w:basedOn w:val="53"/>
    <w:link w:val="37"/>
    <w:qFormat/>
    <w:uiPriority w:val="99"/>
    <w:rPr>
      <w:rFonts w:ascii="宋体" w:hAnsi="Times New Roman" w:eastAsia="宋体" w:cs="Times New Roman"/>
      <w:szCs w:val="21"/>
    </w:rPr>
  </w:style>
  <w:style w:type="paragraph" w:customStyle="1" w:styleId="156">
    <w:name w:val="xl25"/>
    <w:basedOn w:val="1"/>
    <w:qFormat/>
    <w:uiPriority w:val="99"/>
    <w:pPr>
      <w:widowControl/>
      <w:spacing w:before="100" w:beforeAutospacing="1" w:after="100" w:afterAutospacing="1"/>
      <w:jc w:val="center"/>
    </w:pPr>
    <w:rPr>
      <w:rFonts w:ascii="宋体" w:hAnsi="宋体" w:cs="宋体"/>
      <w:kern w:val="0"/>
      <w:szCs w:val="21"/>
    </w:rPr>
  </w:style>
  <w:style w:type="character" w:customStyle="1" w:styleId="157">
    <w:name w:val="正文文本首行缩进 字符"/>
    <w:basedOn w:val="100"/>
    <w:link w:val="48"/>
    <w:qFormat/>
    <w:uiPriority w:val="99"/>
    <w:rPr>
      <w:rFonts w:ascii="Times New Roman" w:hAnsi="Times New Roman" w:eastAsia="宋体" w:cs="Times New Roman"/>
      <w:color w:val="0000FF"/>
      <w:sz w:val="24"/>
    </w:rPr>
  </w:style>
  <w:style w:type="character" w:customStyle="1" w:styleId="158">
    <w:name w:val="正文文本首行缩进 2 字符"/>
    <w:basedOn w:val="154"/>
    <w:link w:val="49"/>
    <w:qFormat/>
    <w:uiPriority w:val="99"/>
    <w:rPr>
      <w:rFonts w:ascii="Times New Roman" w:hAnsi="Times New Roman" w:eastAsia="宋体" w:cs="Times New Roman"/>
      <w:sz w:val="32"/>
    </w:rPr>
  </w:style>
  <w:style w:type="character" w:customStyle="1" w:styleId="159">
    <w:name w:val="正文文本 2 字符"/>
    <w:basedOn w:val="53"/>
    <w:link w:val="40"/>
    <w:qFormat/>
    <w:uiPriority w:val="99"/>
    <w:rPr>
      <w:rFonts w:ascii="Times New Roman" w:hAnsi="Times New Roman" w:eastAsia="宋体" w:cs="Times New Roman"/>
      <w:kern w:val="0"/>
      <w:szCs w:val="21"/>
    </w:rPr>
  </w:style>
  <w:style w:type="paragraph" w:customStyle="1" w:styleId="160">
    <w:name w:val="默认段落字体 Para Char Char Char Char"/>
    <w:basedOn w:val="1"/>
    <w:qFormat/>
    <w:uiPriority w:val="99"/>
    <w:rPr>
      <w:szCs w:val="21"/>
    </w:rPr>
  </w:style>
  <w:style w:type="paragraph" w:customStyle="1" w:styleId="161">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62">
    <w:name w:val="标准段落 Char"/>
    <w:basedOn w:val="1"/>
    <w:qFormat/>
    <w:uiPriority w:val="99"/>
    <w:pPr>
      <w:adjustRightInd w:val="0"/>
      <w:snapToGrid w:val="0"/>
      <w:spacing w:line="300" w:lineRule="auto"/>
      <w:ind w:firstLine="527"/>
      <w:textAlignment w:val="baseline"/>
    </w:pPr>
    <w:rPr>
      <w:kern w:val="0"/>
      <w:sz w:val="24"/>
    </w:rPr>
  </w:style>
  <w:style w:type="paragraph" w:customStyle="1" w:styleId="163">
    <w:name w:val="分条"/>
    <w:basedOn w:val="1"/>
    <w:link w:val="180"/>
    <w:qFormat/>
    <w:uiPriority w:val="99"/>
    <w:pPr>
      <w:spacing w:line="360" w:lineRule="auto"/>
      <w:ind w:firstLine="200" w:firstLineChars="200"/>
    </w:pPr>
    <w:rPr>
      <w:sz w:val="24"/>
    </w:rPr>
  </w:style>
  <w:style w:type="paragraph" w:customStyle="1" w:styleId="164">
    <w:name w:val="条文说明"/>
    <w:basedOn w:val="1"/>
    <w:qFormat/>
    <w:uiPriority w:val="99"/>
    <w:pPr>
      <w:spacing w:line="360" w:lineRule="auto"/>
      <w:ind w:firstLine="480" w:firstLineChars="200"/>
    </w:pPr>
    <w:rPr>
      <w:rFonts w:eastAsia="仿宋_GB2312"/>
      <w:sz w:val="24"/>
    </w:rPr>
  </w:style>
  <w:style w:type="paragraph" w:customStyle="1" w:styleId="165">
    <w:name w:val="Char Char"/>
    <w:basedOn w:val="1"/>
    <w:qFormat/>
    <w:uiPriority w:val="99"/>
    <w:pPr>
      <w:widowControl/>
      <w:spacing w:after="160" w:line="240" w:lineRule="exact"/>
      <w:jc w:val="left"/>
    </w:pPr>
    <w:rPr>
      <w:rFonts w:ascii="Arial" w:hAnsi="Arial" w:cs="Arial"/>
      <w:b/>
      <w:bCs/>
      <w:kern w:val="0"/>
      <w:sz w:val="24"/>
      <w:lang w:eastAsia="en-US"/>
    </w:rPr>
  </w:style>
  <w:style w:type="paragraph" w:customStyle="1" w:styleId="166">
    <w:name w:val="Char"/>
    <w:basedOn w:val="15"/>
    <w:qFormat/>
    <w:uiPriority w:val="99"/>
    <w:rPr>
      <w:rFonts w:ascii="Tahoma" w:hAnsi="Tahoma" w:cs="Tahoma"/>
      <w:sz w:val="24"/>
    </w:rPr>
  </w:style>
  <w:style w:type="paragraph" w:customStyle="1" w:styleId="167">
    <w:name w:val="Char1 Char Char Char"/>
    <w:basedOn w:val="1"/>
    <w:qFormat/>
    <w:uiPriority w:val="99"/>
    <w:pPr>
      <w:widowControl/>
      <w:spacing w:after="160" w:line="240" w:lineRule="exact"/>
      <w:ind w:firstLine="200" w:firstLineChars="200"/>
      <w:jc w:val="left"/>
    </w:pPr>
    <w:rPr>
      <w:szCs w:val="21"/>
    </w:rPr>
  </w:style>
  <w:style w:type="character" w:customStyle="1" w:styleId="168">
    <w:name w:val="段 Char"/>
    <w:link w:val="169"/>
    <w:qFormat/>
    <w:locked/>
    <w:uiPriority w:val="99"/>
    <w:rPr>
      <w:rFonts w:ascii="宋体" w:hAnsi="宋体" w:eastAsia="宋体" w:cs="Times New Roman"/>
      <w:szCs w:val="21"/>
      <w:lang w:val="en-US" w:eastAsia="zh-CN" w:bidi="ar-SA"/>
    </w:rPr>
  </w:style>
  <w:style w:type="paragraph" w:customStyle="1" w:styleId="169">
    <w:name w:val="段"/>
    <w:link w:val="168"/>
    <w:qFormat/>
    <w:uiPriority w:val="99"/>
    <w:pPr>
      <w:autoSpaceDE w:val="0"/>
      <w:autoSpaceDN w:val="0"/>
      <w:jc w:val="both"/>
    </w:pPr>
    <w:rPr>
      <w:rFonts w:ascii="宋体" w:hAnsi="宋体" w:eastAsia="宋体" w:cs="Times New Roman"/>
      <w:szCs w:val="21"/>
      <w:lang w:val="en-US" w:eastAsia="zh-CN" w:bidi="ar-SA"/>
    </w:rPr>
  </w:style>
  <w:style w:type="paragraph" w:customStyle="1" w:styleId="170">
    <w:name w:val="g_cp2"/>
    <w:basedOn w:val="1"/>
    <w:qFormat/>
    <w:uiPriority w:val="99"/>
    <w:pPr>
      <w:widowControl/>
      <w:spacing w:before="150" w:after="100" w:afterAutospacing="1" w:line="360" w:lineRule="auto"/>
      <w:jc w:val="left"/>
    </w:pPr>
    <w:rPr>
      <w:rFonts w:ascii="宋体" w:hAnsi="宋体" w:cs="宋体"/>
      <w:b/>
      <w:bCs/>
      <w:spacing w:val="20"/>
      <w:kern w:val="0"/>
      <w:sz w:val="24"/>
    </w:rPr>
  </w:style>
  <w:style w:type="paragraph" w:customStyle="1" w:styleId="171">
    <w:name w:val="g_zw"/>
    <w:basedOn w:val="1"/>
    <w:qFormat/>
    <w:uiPriority w:val="99"/>
    <w:pPr>
      <w:widowControl/>
      <w:spacing w:before="100" w:beforeAutospacing="1" w:line="360" w:lineRule="auto"/>
      <w:jc w:val="left"/>
    </w:pPr>
    <w:rPr>
      <w:rFonts w:ascii="??" w:hAnsi="??" w:cs="??"/>
      <w:kern w:val="0"/>
      <w:sz w:val="22"/>
      <w:szCs w:val="22"/>
    </w:rPr>
  </w:style>
  <w:style w:type="paragraph" w:customStyle="1" w:styleId="172">
    <w:name w:val="g_zw_note"/>
    <w:basedOn w:val="1"/>
    <w:qFormat/>
    <w:uiPriority w:val="99"/>
    <w:pPr>
      <w:widowControl/>
      <w:spacing w:before="100" w:beforeAutospacing="1" w:line="360" w:lineRule="auto"/>
      <w:jc w:val="left"/>
    </w:pPr>
    <w:rPr>
      <w:rFonts w:ascii="??" w:hAnsi="??" w:cs="??"/>
      <w:kern w:val="0"/>
      <w:sz w:val="18"/>
      <w:szCs w:val="18"/>
    </w:rPr>
  </w:style>
  <w:style w:type="paragraph" w:customStyle="1" w:styleId="173">
    <w:name w:val="g_revise_cp"/>
    <w:basedOn w:val="1"/>
    <w:qFormat/>
    <w:uiPriority w:val="99"/>
    <w:pPr>
      <w:widowControl/>
      <w:spacing w:before="100" w:beforeAutospacing="1" w:line="480" w:lineRule="auto"/>
      <w:jc w:val="left"/>
    </w:pPr>
    <w:rPr>
      <w:rFonts w:ascii="?_GB2312" w:hAnsi="?_GB2312" w:cs="?_GB2312"/>
      <w:b/>
      <w:bCs/>
      <w:spacing w:val="20"/>
      <w:kern w:val="0"/>
      <w:sz w:val="20"/>
      <w:szCs w:val="20"/>
    </w:rPr>
  </w:style>
  <w:style w:type="paragraph" w:customStyle="1" w:styleId="174">
    <w:name w:val="g_revise_zw"/>
    <w:basedOn w:val="1"/>
    <w:qFormat/>
    <w:uiPriority w:val="99"/>
    <w:pPr>
      <w:widowControl/>
      <w:spacing w:before="100" w:beforeAutospacing="1" w:line="360" w:lineRule="auto"/>
      <w:jc w:val="left"/>
    </w:pPr>
    <w:rPr>
      <w:rFonts w:ascii="?_GB2312" w:hAnsi="?_GB2312" w:cs="?_GB2312"/>
      <w:kern w:val="0"/>
      <w:sz w:val="20"/>
      <w:szCs w:val="20"/>
    </w:rPr>
  </w:style>
  <w:style w:type="character" w:customStyle="1" w:styleId="175">
    <w:name w:val="g_zw_bh"/>
    <w:qFormat/>
    <w:uiPriority w:val="99"/>
    <w:rPr>
      <w:rFonts w:ascii="?_GB2312" w:hAnsi="?_GB2312" w:eastAsia="宋体" w:cs="?_GB2312"/>
      <w:b/>
      <w:bCs/>
    </w:rPr>
  </w:style>
  <w:style w:type="character" w:customStyle="1" w:styleId="176">
    <w:name w:val="样式 宋体 小四 加粗"/>
    <w:qFormat/>
    <w:uiPriority w:val="99"/>
    <w:rPr>
      <w:rFonts w:ascii="宋体" w:hAnsi="Times New Roman" w:eastAsia="宋体" w:cs="宋体"/>
      <w:b/>
      <w:bCs/>
      <w:sz w:val="24"/>
      <w:szCs w:val="24"/>
    </w:rPr>
  </w:style>
  <w:style w:type="character" w:customStyle="1" w:styleId="177">
    <w:name w:val="样式 样式 宋体 小四 加粗 +"/>
    <w:qFormat/>
    <w:uiPriority w:val="99"/>
    <w:rPr>
      <w:rFonts w:ascii="Times New Roman" w:hAnsi="Times New Roman" w:eastAsia="宋体" w:cs="Times New Roman"/>
    </w:rPr>
  </w:style>
  <w:style w:type="paragraph" w:customStyle="1" w:styleId="178">
    <w:name w:val="样式 (西文) 宋体  左侧:  0.85 厘米"/>
    <w:basedOn w:val="1"/>
    <w:qFormat/>
    <w:uiPriority w:val="99"/>
    <w:pPr>
      <w:ind w:left="480"/>
      <w:jc w:val="center"/>
    </w:pPr>
    <w:rPr>
      <w:rFonts w:ascii="宋体" w:hAnsi="宋体" w:cs="宋体"/>
      <w:sz w:val="24"/>
    </w:rPr>
  </w:style>
  <w:style w:type="paragraph" w:customStyle="1" w:styleId="179">
    <w:name w:val="图"/>
    <w:basedOn w:val="1"/>
    <w:qFormat/>
    <w:uiPriority w:val="99"/>
    <w:pPr>
      <w:adjustRightInd w:val="0"/>
      <w:jc w:val="center"/>
    </w:pPr>
    <w:rPr>
      <w:rFonts w:ascii="黑体" w:eastAsia="黑体" w:cs="黑体"/>
      <w:sz w:val="18"/>
      <w:szCs w:val="18"/>
    </w:rPr>
  </w:style>
  <w:style w:type="character" w:customStyle="1" w:styleId="180">
    <w:name w:val="分条 Char"/>
    <w:link w:val="163"/>
    <w:qFormat/>
    <w:locked/>
    <w:uiPriority w:val="99"/>
    <w:rPr>
      <w:rFonts w:ascii="Times New Roman" w:hAnsi="Times New Roman" w:eastAsia="宋体" w:cs="Times New Roman"/>
      <w:sz w:val="24"/>
    </w:rPr>
  </w:style>
  <w:style w:type="paragraph" w:customStyle="1" w:styleId="181">
    <w:name w:val="表头"/>
    <w:basedOn w:val="1"/>
    <w:link w:val="182"/>
    <w:qFormat/>
    <w:uiPriority w:val="99"/>
    <w:pPr>
      <w:spacing w:beforeLines="50" w:afterLines="50" w:line="300" w:lineRule="auto"/>
      <w:jc w:val="center"/>
    </w:pPr>
    <w:rPr>
      <w:b/>
      <w:bCs/>
      <w:szCs w:val="21"/>
    </w:rPr>
  </w:style>
  <w:style w:type="character" w:customStyle="1" w:styleId="182">
    <w:name w:val="表头 Char"/>
    <w:link w:val="181"/>
    <w:qFormat/>
    <w:locked/>
    <w:uiPriority w:val="99"/>
    <w:rPr>
      <w:rFonts w:ascii="Times New Roman" w:hAnsi="Times New Roman" w:eastAsia="宋体" w:cs="Times New Roman"/>
      <w:b/>
      <w:bCs/>
      <w:szCs w:val="21"/>
    </w:rPr>
  </w:style>
  <w:style w:type="paragraph" w:customStyle="1" w:styleId="183">
    <w:name w:val="注"/>
    <w:basedOn w:val="1"/>
    <w:qFormat/>
    <w:uiPriority w:val="99"/>
    <w:pPr>
      <w:ind w:left="788" w:leftChars="200" w:hanging="368" w:hangingChars="175"/>
    </w:pPr>
    <w:rPr>
      <w:szCs w:val="21"/>
    </w:rPr>
  </w:style>
  <w:style w:type="paragraph" w:customStyle="1" w:styleId="184">
    <w:name w:val="章"/>
    <w:basedOn w:val="1"/>
    <w:link w:val="185"/>
    <w:qFormat/>
    <w:uiPriority w:val="99"/>
    <w:pPr>
      <w:spacing w:beforeLines="100" w:afterLines="100" w:line="300" w:lineRule="auto"/>
      <w:jc w:val="center"/>
      <w:outlineLvl w:val="0"/>
    </w:pPr>
    <w:rPr>
      <w:b/>
      <w:bCs/>
      <w:sz w:val="28"/>
      <w:szCs w:val="28"/>
    </w:rPr>
  </w:style>
  <w:style w:type="character" w:customStyle="1" w:styleId="185">
    <w:name w:val="章 Char"/>
    <w:link w:val="184"/>
    <w:qFormat/>
    <w:locked/>
    <w:uiPriority w:val="99"/>
    <w:rPr>
      <w:rFonts w:ascii="Times New Roman" w:hAnsi="Times New Roman" w:eastAsia="宋体" w:cs="Times New Roman"/>
      <w:b/>
      <w:bCs/>
      <w:sz w:val="28"/>
      <w:szCs w:val="28"/>
    </w:rPr>
  </w:style>
  <w:style w:type="character" w:customStyle="1" w:styleId="186">
    <w:name w:val="by1"/>
    <w:qFormat/>
    <w:uiPriority w:val="99"/>
    <w:rPr>
      <w:rFonts w:ascii="Times New Roman" w:hAnsi="Times New Roman" w:eastAsia="宋体" w:cs="Times New Roman"/>
    </w:rPr>
  </w:style>
  <w:style w:type="character" w:customStyle="1" w:styleId="187">
    <w:name w:val="Char Char26"/>
    <w:qFormat/>
    <w:uiPriority w:val="99"/>
    <w:rPr>
      <w:rFonts w:ascii="黑体" w:hAnsi="Times New Roman" w:eastAsia="黑体" w:cs="黑体"/>
      <w:kern w:val="0"/>
      <w:sz w:val="24"/>
      <w:szCs w:val="24"/>
    </w:rPr>
  </w:style>
  <w:style w:type="character" w:customStyle="1" w:styleId="188">
    <w:name w:val="Char Char25"/>
    <w:qFormat/>
    <w:uiPriority w:val="99"/>
    <w:rPr>
      <w:rFonts w:ascii="Arial" w:hAnsi="宋体" w:eastAsia="黑体" w:cs="Arial"/>
      <w:b/>
      <w:bCs/>
      <w:color w:val="000000"/>
      <w:kern w:val="0"/>
      <w:sz w:val="24"/>
      <w:szCs w:val="24"/>
    </w:rPr>
  </w:style>
  <w:style w:type="character" w:customStyle="1" w:styleId="189">
    <w:name w:val="Char Char24"/>
    <w:qFormat/>
    <w:uiPriority w:val="99"/>
    <w:rPr>
      <w:rFonts w:ascii="宋体" w:hAnsi="宋体" w:eastAsia="宋体" w:cs="宋体"/>
      <w:kern w:val="0"/>
      <w:sz w:val="24"/>
      <w:szCs w:val="24"/>
    </w:rPr>
  </w:style>
  <w:style w:type="character" w:customStyle="1" w:styleId="190">
    <w:name w:val="Char Char18"/>
    <w:qFormat/>
    <w:uiPriority w:val="99"/>
    <w:rPr>
      <w:rFonts w:ascii="宋体" w:hAnsi="Times New Roman" w:eastAsia="宋体" w:cs="宋体"/>
      <w:kern w:val="0"/>
      <w:sz w:val="18"/>
      <w:szCs w:val="18"/>
    </w:rPr>
  </w:style>
  <w:style w:type="character" w:customStyle="1" w:styleId="191">
    <w:name w:val="Char Char30"/>
    <w:qFormat/>
    <w:uiPriority w:val="99"/>
    <w:rPr>
      <w:rFonts w:ascii="黑体" w:hAnsi="Times New Roman" w:eastAsia="黑体" w:cs="黑体"/>
      <w:kern w:val="0"/>
      <w:sz w:val="24"/>
      <w:szCs w:val="24"/>
    </w:rPr>
  </w:style>
  <w:style w:type="character" w:customStyle="1" w:styleId="192">
    <w:name w:val="Char Char29"/>
    <w:qFormat/>
    <w:uiPriority w:val="99"/>
    <w:rPr>
      <w:rFonts w:ascii="Arial" w:hAnsi="宋体" w:eastAsia="黑体" w:cs="Arial"/>
      <w:b/>
      <w:bCs/>
      <w:color w:val="000000"/>
      <w:kern w:val="0"/>
      <w:sz w:val="24"/>
      <w:szCs w:val="24"/>
    </w:rPr>
  </w:style>
  <w:style w:type="character" w:customStyle="1" w:styleId="193">
    <w:name w:val="Char Char28"/>
    <w:qFormat/>
    <w:uiPriority w:val="99"/>
    <w:rPr>
      <w:rFonts w:ascii="宋体" w:hAnsi="宋体" w:eastAsia="宋体" w:cs="宋体"/>
      <w:kern w:val="0"/>
      <w:sz w:val="24"/>
      <w:szCs w:val="24"/>
    </w:rPr>
  </w:style>
  <w:style w:type="character" w:customStyle="1" w:styleId="194">
    <w:name w:val="Char Char27"/>
    <w:qFormat/>
    <w:uiPriority w:val="99"/>
    <w:rPr>
      <w:rFonts w:ascii="Times New Roman" w:hAnsi="Times New Roman" w:eastAsia="宋体" w:cs="Times New Roman"/>
      <w:b/>
      <w:bCs/>
      <w:kern w:val="0"/>
      <w:sz w:val="28"/>
      <w:szCs w:val="28"/>
    </w:rPr>
  </w:style>
  <w:style w:type="character" w:customStyle="1" w:styleId="195">
    <w:name w:val="hps"/>
    <w:qFormat/>
    <w:uiPriority w:val="99"/>
    <w:rPr>
      <w:rFonts w:ascii="Times New Roman" w:hAnsi="Times New Roman" w:eastAsia="宋体" w:cs="Times New Roman"/>
    </w:rPr>
  </w:style>
  <w:style w:type="character" w:customStyle="1" w:styleId="196">
    <w:name w:val="脚注文本 字符"/>
    <w:basedOn w:val="53"/>
    <w:link w:val="34"/>
    <w:qFormat/>
    <w:uiPriority w:val="99"/>
    <w:rPr>
      <w:rFonts w:ascii="Calibri" w:hAnsi="Calibri" w:eastAsia="宋体" w:cs="Times New Roman"/>
      <w:sz w:val="18"/>
      <w:szCs w:val="18"/>
    </w:rPr>
  </w:style>
  <w:style w:type="character" w:customStyle="1" w:styleId="197">
    <w:name w:val="占位符文本1"/>
    <w:basedOn w:val="53"/>
    <w:semiHidden/>
    <w:qFormat/>
    <w:uiPriority w:val="99"/>
    <w:rPr>
      <w:rFonts w:asciiTheme="minorHAnsi" w:hAnsiTheme="minorHAnsi" w:eastAsiaTheme="minorEastAsia" w:cstheme="minorBidi"/>
      <w:color w:val="808080"/>
    </w:rPr>
  </w:style>
  <w:style w:type="character" w:customStyle="1" w:styleId="198">
    <w:name w:val="三级标题标题无缩进 Char Char"/>
    <w:link w:val="199"/>
    <w:qFormat/>
    <w:uiPriority w:val="0"/>
    <w:rPr>
      <w:rFonts w:ascii="Calibri" w:hAnsi="Calibri" w:eastAsia="宋体" w:cs="Times New Roman"/>
      <w:szCs w:val="20"/>
    </w:rPr>
  </w:style>
  <w:style w:type="paragraph" w:customStyle="1" w:styleId="199">
    <w:name w:val="三级标题标题无缩进"/>
    <w:basedOn w:val="1"/>
    <w:link w:val="198"/>
    <w:qFormat/>
    <w:uiPriority w:val="0"/>
    <w:pPr>
      <w:snapToGrid w:val="0"/>
      <w:spacing w:line="400" w:lineRule="exact"/>
    </w:pPr>
    <w:rPr>
      <w:rFonts w:ascii="Calibri" w:hAnsi="Calibri"/>
      <w:sz w:val="24"/>
      <w:szCs w:val="20"/>
    </w:rPr>
  </w:style>
  <w:style w:type="character" w:customStyle="1" w:styleId="200">
    <w:name w:val="标准正文 Char"/>
    <w:link w:val="201"/>
    <w:qFormat/>
    <w:uiPriority w:val="0"/>
    <w:rPr>
      <w:rFonts w:ascii="宋体" w:hAnsi="宋体" w:eastAsia="宋体" w:cstheme="minorBidi"/>
      <w:color w:val="000000"/>
      <w:sz w:val="21"/>
      <w:szCs w:val="21"/>
    </w:rPr>
  </w:style>
  <w:style w:type="paragraph" w:customStyle="1" w:styleId="201">
    <w:name w:val="标准正文"/>
    <w:basedOn w:val="1"/>
    <w:link w:val="200"/>
    <w:qFormat/>
    <w:uiPriority w:val="0"/>
    <w:pPr>
      <w:tabs>
        <w:tab w:val="left" w:pos="540"/>
        <w:tab w:val="left" w:pos="720"/>
        <w:tab w:val="left" w:pos="900"/>
        <w:tab w:val="left" w:pos="1080"/>
      </w:tabs>
      <w:snapToGrid w:val="0"/>
      <w:spacing w:line="288" w:lineRule="auto"/>
    </w:pPr>
    <w:rPr>
      <w:rFonts w:ascii="宋体" w:hAnsi="宋体" w:cstheme="minorBidi"/>
      <w:color w:val="000000"/>
      <w:szCs w:val="21"/>
    </w:rPr>
  </w:style>
  <w:style w:type="paragraph" w:customStyle="1" w:styleId="202">
    <w:name w:val="条文中图名"/>
    <w:basedOn w:val="1"/>
    <w:qFormat/>
    <w:uiPriority w:val="0"/>
    <w:pPr>
      <w:jc w:val="center"/>
    </w:pPr>
    <w:rPr>
      <w:rFonts w:ascii="宋体" w:hAnsi="宋体"/>
      <w:sz w:val="18"/>
      <w:szCs w:val="18"/>
    </w:rPr>
  </w:style>
  <w:style w:type="character" w:customStyle="1" w:styleId="203">
    <w:name w:val="规范正文 Char"/>
    <w:link w:val="204"/>
    <w:qFormat/>
    <w:uiPriority w:val="0"/>
    <w:rPr>
      <w:rFonts w:eastAsia="宋体" w:asciiTheme="minorHAnsi" w:hAnsiTheme="minorHAnsi" w:cstheme="minorBidi"/>
      <w:sz w:val="28"/>
      <w:szCs w:val="21"/>
    </w:rPr>
  </w:style>
  <w:style w:type="paragraph" w:customStyle="1" w:styleId="204">
    <w:name w:val="规范正文"/>
    <w:basedOn w:val="1"/>
    <w:link w:val="203"/>
    <w:qFormat/>
    <w:uiPriority w:val="0"/>
    <w:pPr>
      <w:spacing w:line="400" w:lineRule="exact"/>
      <w:ind w:firstLine="200" w:firstLineChars="200"/>
    </w:pPr>
    <w:rPr>
      <w:rFonts w:asciiTheme="minorHAnsi" w:hAnsiTheme="minorHAnsi" w:cstheme="minorBidi"/>
      <w:sz w:val="28"/>
      <w:szCs w:val="21"/>
    </w:rPr>
  </w:style>
  <w:style w:type="character" w:customStyle="1" w:styleId="205">
    <w:name w:val="列出段落 Char"/>
    <w:link w:val="206"/>
    <w:qFormat/>
    <w:uiPriority w:val="0"/>
    <w:rPr>
      <w:rFonts w:ascii="Calibri" w:hAnsi="Calibri" w:eastAsia="宋体" w:cs="Times New Roman"/>
      <w:sz w:val="21"/>
    </w:rPr>
  </w:style>
  <w:style w:type="paragraph" w:customStyle="1" w:styleId="206">
    <w:name w:val="列出段落1"/>
    <w:basedOn w:val="1"/>
    <w:link w:val="205"/>
    <w:qFormat/>
    <w:uiPriority w:val="0"/>
    <w:rPr>
      <w:rFonts w:ascii="Calibri" w:hAnsi="Calibri"/>
      <w:szCs w:val="22"/>
    </w:rPr>
  </w:style>
  <w:style w:type="character" w:customStyle="1" w:styleId="207">
    <w:name w:val="条、款的编号 Char"/>
    <w:link w:val="208"/>
    <w:qFormat/>
    <w:uiPriority w:val="0"/>
    <w:rPr>
      <w:rFonts w:ascii="黑体" w:hAnsi="宋体" w:eastAsia="黑体" w:cstheme="minorBidi"/>
      <w:b/>
      <w:color w:val="000000"/>
      <w:sz w:val="21"/>
      <w:szCs w:val="21"/>
    </w:rPr>
  </w:style>
  <w:style w:type="paragraph" w:customStyle="1" w:styleId="208">
    <w:name w:val="条、款的编号"/>
    <w:basedOn w:val="1"/>
    <w:link w:val="207"/>
    <w:qFormat/>
    <w:uiPriority w:val="0"/>
    <w:pPr>
      <w:tabs>
        <w:tab w:val="left" w:pos="540"/>
        <w:tab w:val="left" w:pos="720"/>
        <w:tab w:val="left" w:pos="900"/>
        <w:tab w:val="left" w:pos="1080"/>
      </w:tabs>
      <w:snapToGrid w:val="0"/>
      <w:spacing w:line="288" w:lineRule="auto"/>
    </w:pPr>
    <w:rPr>
      <w:rFonts w:ascii="黑体" w:hAnsi="宋体" w:eastAsia="黑体" w:cstheme="minorBidi"/>
      <w:b/>
      <w:color w:val="000000"/>
      <w:szCs w:val="21"/>
    </w:rPr>
  </w:style>
  <w:style w:type="paragraph" w:customStyle="1" w:styleId="209">
    <w:name w:val="表题及表序号"/>
    <w:basedOn w:val="1"/>
    <w:qFormat/>
    <w:uiPriority w:val="0"/>
    <w:pPr>
      <w:widowControl/>
      <w:autoSpaceDE w:val="0"/>
      <w:autoSpaceDN w:val="0"/>
      <w:spacing w:line="288" w:lineRule="auto"/>
      <w:ind w:firstLine="180" w:firstLineChars="100"/>
      <w:jc w:val="center"/>
    </w:pPr>
    <w:rPr>
      <w:rFonts w:ascii="黑体" w:eastAsia="黑体"/>
      <w:kern w:val="0"/>
      <w:sz w:val="18"/>
      <w:szCs w:val="18"/>
    </w:rPr>
  </w:style>
  <w:style w:type="paragraph" w:customStyle="1" w:styleId="210">
    <w:name w:val="表格中的文字"/>
    <w:basedOn w:val="1"/>
    <w:qFormat/>
    <w:uiPriority w:val="0"/>
    <w:pPr>
      <w:autoSpaceDE w:val="0"/>
      <w:autoSpaceDN w:val="0"/>
      <w:adjustRightInd w:val="0"/>
      <w:spacing w:line="288" w:lineRule="auto"/>
      <w:jc w:val="center"/>
    </w:pPr>
    <w:rPr>
      <w:rFonts w:ascii="宋体" w:hAnsi="宋体"/>
      <w:color w:val="000000"/>
      <w:kern w:val="0"/>
      <w:sz w:val="15"/>
      <w:szCs w:val="15"/>
    </w:rPr>
  </w:style>
  <w:style w:type="character" w:customStyle="1" w:styleId="211">
    <w:name w:val="标准（正文） Char"/>
    <w:link w:val="212"/>
    <w:qFormat/>
    <w:uiPriority w:val="0"/>
    <w:rPr>
      <w:rFonts w:ascii="宋体" w:hAnsi="宋体" w:eastAsia="宋体" w:cstheme="minorBidi"/>
      <w:color w:val="000000"/>
      <w:sz w:val="21"/>
      <w:szCs w:val="21"/>
    </w:rPr>
  </w:style>
  <w:style w:type="paragraph" w:customStyle="1" w:styleId="212">
    <w:name w:val="标准（正文）"/>
    <w:basedOn w:val="1"/>
    <w:link w:val="211"/>
    <w:qFormat/>
    <w:uiPriority w:val="0"/>
    <w:rPr>
      <w:rFonts w:ascii="宋体" w:hAnsi="宋体" w:cstheme="minorBidi"/>
      <w:color w:val="000000"/>
      <w:szCs w:val="21"/>
    </w:rPr>
  </w:style>
  <w:style w:type="character" w:customStyle="1" w:styleId="213">
    <w:name w:val="条、款 Char"/>
    <w:link w:val="214"/>
    <w:qFormat/>
    <w:uiPriority w:val="0"/>
    <w:rPr>
      <w:rFonts w:ascii="黑体" w:hAnsi="黑体" w:eastAsia="黑体" w:cstheme="minorBidi"/>
      <w:b/>
      <w:sz w:val="21"/>
      <w:szCs w:val="24"/>
    </w:rPr>
  </w:style>
  <w:style w:type="paragraph" w:customStyle="1" w:styleId="214">
    <w:name w:val="条、款"/>
    <w:basedOn w:val="1"/>
    <w:link w:val="213"/>
    <w:qFormat/>
    <w:uiPriority w:val="0"/>
    <w:pPr>
      <w:widowControl/>
      <w:spacing w:line="144" w:lineRule="auto"/>
      <w:jc w:val="left"/>
    </w:pPr>
    <w:rPr>
      <w:rFonts w:ascii="黑体" w:hAnsi="黑体" w:eastAsia="黑体" w:cstheme="minorBidi"/>
      <w:b/>
    </w:rPr>
  </w:style>
  <w:style w:type="paragraph" w:customStyle="1" w:styleId="215">
    <w:name w:val="图片文字"/>
    <w:next w:val="1"/>
    <w:qFormat/>
    <w:uiPriority w:val="99"/>
    <w:pPr>
      <w:spacing w:line="360" w:lineRule="auto"/>
      <w:jc w:val="center"/>
    </w:pPr>
    <w:rPr>
      <w:rFonts w:ascii="Times New Roman" w:hAnsi="Times New Roman" w:eastAsia="宋体" w:cs="Times New Roman"/>
      <w:lang w:val="en-US" w:eastAsia="zh-CN" w:bidi="ar-SA"/>
    </w:rPr>
  </w:style>
  <w:style w:type="paragraph" w:customStyle="1" w:styleId="216">
    <w:name w:val="章标题"/>
    <w:basedOn w:val="1"/>
    <w:next w:val="169"/>
    <w:qFormat/>
    <w:uiPriority w:val="0"/>
    <w:pPr>
      <w:numPr>
        <w:ilvl w:val="0"/>
        <w:numId w:val="2"/>
      </w:numPr>
      <w:spacing w:line="360" w:lineRule="auto"/>
      <w:ind w:left="275" w:leftChars="275"/>
    </w:pPr>
    <w:rPr>
      <w:rFonts w:cstheme="minorBidi"/>
      <w:sz w:val="24"/>
      <w:szCs w:val="22"/>
    </w:rPr>
  </w:style>
  <w:style w:type="paragraph" w:customStyle="1" w:styleId="217">
    <w:name w:val="节标题"/>
    <w:basedOn w:val="1"/>
    <w:qFormat/>
    <w:uiPriority w:val="0"/>
    <w:pPr>
      <w:numPr>
        <w:ilvl w:val="1"/>
        <w:numId w:val="2"/>
      </w:numPr>
      <w:spacing w:line="360" w:lineRule="auto"/>
      <w:ind w:left="275" w:leftChars="275"/>
    </w:pPr>
    <w:rPr>
      <w:rFonts w:cstheme="minorBidi"/>
      <w:sz w:val="24"/>
      <w:szCs w:val="22"/>
    </w:rPr>
  </w:style>
  <w:style w:type="paragraph" w:customStyle="1" w:styleId="218">
    <w:name w:val="小节标题"/>
    <w:basedOn w:val="1"/>
    <w:qFormat/>
    <w:uiPriority w:val="0"/>
    <w:pPr>
      <w:numPr>
        <w:ilvl w:val="2"/>
        <w:numId w:val="2"/>
      </w:numPr>
      <w:spacing w:line="360" w:lineRule="auto"/>
      <w:ind w:left="275" w:leftChars="275"/>
    </w:pPr>
    <w:rPr>
      <w:rFonts w:cstheme="minorBidi"/>
      <w:sz w:val="24"/>
      <w:szCs w:val="22"/>
    </w:rPr>
  </w:style>
  <w:style w:type="character" w:customStyle="1" w:styleId="219">
    <w:name w:val="headline-content3"/>
    <w:basedOn w:val="53"/>
    <w:qFormat/>
    <w:uiPriority w:val="0"/>
    <w:rPr>
      <w:rFonts w:asciiTheme="minorHAnsi" w:hAnsiTheme="minorHAnsi" w:eastAsiaTheme="minorEastAsia" w:cstheme="minorBidi"/>
    </w:rPr>
  </w:style>
  <w:style w:type="paragraph" w:customStyle="1" w:styleId="220">
    <w:name w:val="一级条标题"/>
    <w:next w:val="169"/>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221">
    <w:name w:val="二级无"/>
    <w:basedOn w:val="1"/>
    <w:qFormat/>
    <w:uiPriority w:val="0"/>
    <w:pPr>
      <w:widowControl/>
      <w:numPr>
        <w:ilvl w:val="2"/>
        <w:numId w:val="3"/>
      </w:numPr>
      <w:jc w:val="left"/>
      <w:outlineLvl w:val="3"/>
    </w:pPr>
    <w:rPr>
      <w:rFonts w:ascii="宋体"/>
      <w:kern w:val="0"/>
      <w:szCs w:val="21"/>
    </w:rPr>
  </w:style>
  <w:style w:type="paragraph" w:customStyle="1" w:styleId="222">
    <w:name w:val="二级条标题"/>
    <w:basedOn w:val="220"/>
    <w:next w:val="169"/>
    <w:qFormat/>
    <w:uiPriority w:val="0"/>
    <w:pPr>
      <w:numPr>
        <w:ilvl w:val="2"/>
        <w:numId w:val="4"/>
      </w:numPr>
      <w:spacing w:before="50" w:after="50"/>
      <w:outlineLvl w:val="3"/>
    </w:pPr>
  </w:style>
  <w:style w:type="paragraph" w:customStyle="1" w:styleId="223">
    <w:name w:val="四级条标题"/>
    <w:basedOn w:val="1"/>
    <w:next w:val="169"/>
    <w:qFormat/>
    <w:uiPriority w:val="0"/>
    <w:pPr>
      <w:widowControl/>
      <w:numPr>
        <w:ilvl w:val="4"/>
        <w:numId w:val="4"/>
      </w:numPr>
      <w:spacing w:beforeLines="50" w:afterLines="50"/>
      <w:jc w:val="left"/>
      <w:outlineLvl w:val="5"/>
    </w:pPr>
    <w:rPr>
      <w:rFonts w:ascii="黑体" w:eastAsia="黑体"/>
      <w:kern w:val="0"/>
      <w:szCs w:val="21"/>
    </w:rPr>
  </w:style>
  <w:style w:type="paragraph" w:customStyle="1" w:styleId="224">
    <w:name w:val="五级条标题"/>
    <w:basedOn w:val="223"/>
    <w:next w:val="169"/>
    <w:qFormat/>
    <w:uiPriority w:val="0"/>
    <w:pPr>
      <w:numPr>
        <w:ilvl w:val="5"/>
      </w:numPr>
      <w:outlineLvl w:val="6"/>
    </w:pPr>
  </w:style>
  <w:style w:type="character" w:customStyle="1" w:styleId="225">
    <w:name w:val="font-bold"/>
    <w:basedOn w:val="53"/>
    <w:qFormat/>
    <w:uiPriority w:val="0"/>
    <w:rPr>
      <w:rFonts w:ascii="Times New Roman" w:hAnsi="Times New Roman" w:eastAsia="宋体" w:cs="Times New Roman"/>
      <w:lang w:val="en-US" w:eastAsia="zh-CN" w:bidi="ar-SA"/>
    </w:rPr>
  </w:style>
  <w:style w:type="character" w:customStyle="1" w:styleId="226">
    <w:name w:val="apple-converted-space"/>
    <w:basedOn w:val="53"/>
    <w:qFormat/>
    <w:uiPriority w:val="0"/>
    <w:rPr>
      <w:rFonts w:ascii="Times New Roman" w:hAnsi="Times New Roman" w:eastAsia="宋体" w:cs="Times New Roman"/>
      <w:lang w:val="en-US" w:eastAsia="zh-CN" w:bidi="ar-SA"/>
    </w:rPr>
  </w:style>
  <w:style w:type="paragraph" w:customStyle="1" w:styleId="227">
    <w:name w:val="注×："/>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228">
    <w:name w:val="正文表标题"/>
    <w:next w:val="169"/>
    <w:qFormat/>
    <w:uiPriority w:val="0"/>
    <w:pPr>
      <w:numPr>
        <w:ilvl w:val="0"/>
        <w:numId w:val="6"/>
      </w:numPr>
      <w:spacing w:beforeLines="50" w:afterLines="50"/>
      <w:jc w:val="center"/>
    </w:pPr>
    <w:rPr>
      <w:rFonts w:ascii="黑体" w:hAnsi="Times New Roman" w:eastAsia="黑体" w:cs="Times New Roman"/>
      <w:sz w:val="21"/>
      <w:lang w:val="en-US" w:eastAsia="zh-CN" w:bidi="ar-SA"/>
    </w:rPr>
  </w:style>
  <w:style w:type="paragraph" w:customStyle="1" w:styleId="229">
    <w:name w:val="列出段落4"/>
    <w:basedOn w:val="1"/>
    <w:qFormat/>
    <w:uiPriority w:val="99"/>
    <w:pPr>
      <w:ind w:firstLine="420" w:firstLineChars="200"/>
    </w:pPr>
    <w:rPr>
      <w:rFonts w:ascii="Calibri" w:hAnsi="Calibri"/>
      <w:szCs w:val="22"/>
    </w:rPr>
  </w:style>
  <w:style w:type="paragraph" w:customStyle="1" w:styleId="230">
    <w:name w:val="表格内容"/>
    <w:basedOn w:val="1"/>
    <w:link w:val="231"/>
    <w:qFormat/>
    <w:uiPriority w:val="0"/>
    <w:pPr>
      <w:spacing w:line="400" w:lineRule="exact"/>
      <w:jc w:val="center"/>
    </w:pPr>
    <w:rPr>
      <w:rFonts w:ascii="Calibri" w:hAnsi="Calibri" w:eastAsia="华文细黑"/>
      <w:szCs w:val="21"/>
      <w:lang w:val="zh-CN"/>
    </w:rPr>
  </w:style>
  <w:style w:type="character" w:customStyle="1" w:styleId="231">
    <w:name w:val="表格内容 Char"/>
    <w:link w:val="230"/>
    <w:qFormat/>
    <w:uiPriority w:val="0"/>
    <w:rPr>
      <w:rFonts w:ascii="Calibri" w:hAnsi="Calibri" w:eastAsia="华文细黑" w:cs="Times New Roman"/>
      <w:szCs w:val="21"/>
      <w:lang w:val="zh-CN"/>
    </w:rPr>
  </w:style>
  <w:style w:type="character" w:customStyle="1" w:styleId="232">
    <w:name w:val="正文文本 (2) Exact"/>
    <w:qFormat/>
    <w:uiPriority w:val="0"/>
    <w:rPr>
      <w:rFonts w:ascii="黑体" w:hAnsi="黑体" w:eastAsia="黑体" w:cs="黑体"/>
      <w:u w:val="none"/>
    </w:rPr>
  </w:style>
  <w:style w:type="character" w:customStyle="1" w:styleId="233">
    <w:name w:val="正文文本 (2) + Times New Roman"/>
    <w:qFormat/>
    <w:uiPriority w:val="0"/>
    <w:rPr>
      <w:rFonts w:ascii="Times New Roman" w:hAnsi="Times New Roman" w:eastAsia="Times New Roman" w:cs="Times New Roman"/>
      <w:color w:val="000000"/>
      <w:spacing w:val="0"/>
      <w:w w:val="100"/>
      <w:position w:val="0"/>
      <w:sz w:val="24"/>
      <w:szCs w:val="24"/>
      <w:u w:val="none"/>
      <w:lang w:val="en-US" w:eastAsia="en-US" w:bidi="en-US"/>
    </w:rPr>
  </w:style>
  <w:style w:type="character" w:customStyle="1" w:styleId="234">
    <w:name w:val="正文文本 (2) + 间距 2 pt"/>
    <w:qFormat/>
    <w:uiPriority w:val="0"/>
    <w:rPr>
      <w:rFonts w:ascii="黑体" w:hAnsi="黑体" w:eastAsia="黑体" w:cs="黑体"/>
      <w:color w:val="000000"/>
      <w:spacing w:val="40"/>
      <w:w w:val="100"/>
      <w:position w:val="0"/>
      <w:sz w:val="24"/>
      <w:szCs w:val="24"/>
      <w:u w:val="none"/>
      <w:lang w:val="zh-TW" w:eastAsia="zh-TW" w:bidi="zh-TW"/>
    </w:rPr>
  </w:style>
  <w:style w:type="character" w:customStyle="1" w:styleId="235">
    <w:name w:val="正文文本 (32)_"/>
    <w:link w:val="236"/>
    <w:qFormat/>
    <w:uiPriority w:val="0"/>
    <w:rPr>
      <w:rFonts w:ascii="黑体" w:hAnsi="黑体" w:eastAsia="黑体" w:cs="黑体"/>
      <w:i/>
      <w:iCs/>
      <w:spacing w:val="-30"/>
      <w:w w:val="120"/>
      <w:kern w:val="0"/>
      <w:sz w:val="20"/>
      <w:szCs w:val="20"/>
      <w:lang w:eastAsia="en-US" w:bidi="en-US"/>
    </w:rPr>
  </w:style>
  <w:style w:type="paragraph" w:customStyle="1" w:styleId="236">
    <w:name w:val="正文文本 (32)"/>
    <w:basedOn w:val="1"/>
    <w:link w:val="235"/>
    <w:qFormat/>
    <w:uiPriority w:val="0"/>
    <w:pPr>
      <w:widowControl/>
      <w:shd w:val="clear" w:color="auto" w:fill="FFFFFF"/>
      <w:spacing w:line="413" w:lineRule="exact"/>
      <w:jc w:val="left"/>
    </w:pPr>
    <w:rPr>
      <w:rFonts w:ascii="黑体" w:hAnsi="黑体" w:eastAsia="黑体" w:cs="黑体"/>
      <w:i/>
      <w:iCs/>
      <w:spacing w:val="-30"/>
      <w:w w:val="120"/>
      <w:kern w:val="0"/>
      <w:sz w:val="20"/>
      <w:szCs w:val="20"/>
      <w:lang w:eastAsia="en-US" w:bidi="en-US"/>
    </w:rPr>
  </w:style>
  <w:style w:type="character" w:customStyle="1" w:styleId="237">
    <w:name w:val="表格标题_"/>
    <w:link w:val="238"/>
    <w:qFormat/>
    <w:uiPriority w:val="0"/>
    <w:rPr>
      <w:rFonts w:ascii="黑体" w:hAnsi="黑体" w:eastAsia="黑体" w:cs="黑体"/>
      <w:kern w:val="0"/>
      <w:sz w:val="20"/>
      <w:szCs w:val="20"/>
    </w:rPr>
  </w:style>
  <w:style w:type="paragraph" w:customStyle="1" w:styleId="238">
    <w:name w:val="表格标题"/>
    <w:basedOn w:val="1"/>
    <w:link w:val="237"/>
    <w:qFormat/>
    <w:uiPriority w:val="0"/>
    <w:pPr>
      <w:widowControl/>
      <w:shd w:val="clear" w:color="auto" w:fill="FFFFFF"/>
      <w:spacing w:line="0" w:lineRule="atLeast"/>
      <w:jc w:val="left"/>
    </w:pPr>
    <w:rPr>
      <w:rFonts w:ascii="黑体" w:hAnsi="黑体" w:eastAsia="黑体" w:cs="黑体"/>
      <w:kern w:val="0"/>
      <w:sz w:val="20"/>
      <w:szCs w:val="20"/>
    </w:rPr>
  </w:style>
  <w:style w:type="character" w:customStyle="1" w:styleId="239">
    <w:name w:val="正文文本 (33)_"/>
    <w:link w:val="240"/>
    <w:qFormat/>
    <w:uiPriority w:val="0"/>
    <w:rPr>
      <w:rFonts w:ascii="黑体" w:hAnsi="黑体" w:eastAsia="黑体" w:cs="黑体"/>
      <w:kern w:val="0"/>
      <w:sz w:val="22"/>
      <w:szCs w:val="22"/>
    </w:rPr>
  </w:style>
  <w:style w:type="paragraph" w:customStyle="1" w:styleId="240">
    <w:name w:val="正文文本 (33)"/>
    <w:basedOn w:val="1"/>
    <w:link w:val="239"/>
    <w:qFormat/>
    <w:uiPriority w:val="0"/>
    <w:pPr>
      <w:widowControl/>
      <w:shd w:val="clear" w:color="auto" w:fill="FFFFFF"/>
      <w:spacing w:before="120" w:line="413" w:lineRule="exact"/>
      <w:ind w:hanging="120"/>
      <w:jc w:val="left"/>
    </w:pPr>
    <w:rPr>
      <w:rFonts w:ascii="黑体" w:hAnsi="黑体" w:eastAsia="黑体" w:cs="黑体"/>
      <w:kern w:val="0"/>
      <w:sz w:val="22"/>
      <w:szCs w:val="22"/>
    </w:rPr>
  </w:style>
  <w:style w:type="character" w:customStyle="1" w:styleId="241">
    <w:name w:val="正文文本 (33) + Times New Roman"/>
    <w:qFormat/>
    <w:uiPriority w:val="0"/>
    <w:rPr>
      <w:rFonts w:ascii="Times New Roman" w:hAnsi="Times New Roman" w:eastAsia="Times New Roman" w:cs="Times New Roman"/>
      <w:color w:val="000000"/>
      <w:spacing w:val="0"/>
      <w:w w:val="100"/>
      <w:position w:val="0"/>
      <w:sz w:val="22"/>
      <w:szCs w:val="22"/>
      <w:u w:val="none"/>
      <w:lang w:val="en-US" w:eastAsia="en-US" w:bidi="en-US"/>
    </w:rPr>
  </w:style>
  <w:style w:type="character" w:customStyle="1" w:styleId="242">
    <w:name w:val="表格标题 + Times New Roman"/>
    <w:qFormat/>
    <w:uiPriority w:val="0"/>
    <w:rPr>
      <w:rFonts w:ascii="Times New Roman" w:hAnsi="Times New Roman" w:eastAsia="Times New Roman" w:cs="Times New Roman"/>
      <w:color w:val="000000"/>
      <w:spacing w:val="0"/>
      <w:w w:val="100"/>
      <w:position w:val="0"/>
      <w:sz w:val="24"/>
      <w:szCs w:val="24"/>
      <w:u w:val="none"/>
      <w:lang w:val="en-US" w:eastAsia="en-US" w:bidi="en-US"/>
    </w:rPr>
  </w:style>
  <w:style w:type="character" w:customStyle="1" w:styleId="243">
    <w:name w:val="表格标题 (3)_"/>
    <w:link w:val="244"/>
    <w:qFormat/>
    <w:uiPriority w:val="0"/>
    <w:rPr>
      <w:rFonts w:ascii="黑体" w:hAnsi="黑体" w:eastAsia="黑体" w:cs="黑体"/>
      <w:kern w:val="0"/>
      <w:sz w:val="22"/>
      <w:szCs w:val="22"/>
    </w:rPr>
  </w:style>
  <w:style w:type="paragraph" w:customStyle="1" w:styleId="244">
    <w:name w:val="表格标题 (3)"/>
    <w:basedOn w:val="1"/>
    <w:link w:val="243"/>
    <w:qFormat/>
    <w:uiPriority w:val="0"/>
    <w:pPr>
      <w:widowControl/>
      <w:shd w:val="clear" w:color="auto" w:fill="FFFFFF"/>
      <w:spacing w:line="443" w:lineRule="exact"/>
      <w:ind w:hanging="680"/>
      <w:jc w:val="left"/>
    </w:pPr>
    <w:rPr>
      <w:rFonts w:ascii="黑体" w:hAnsi="黑体" w:eastAsia="黑体" w:cs="黑体"/>
      <w:kern w:val="0"/>
      <w:sz w:val="22"/>
      <w:szCs w:val="22"/>
    </w:rPr>
  </w:style>
  <w:style w:type="character" w:customStyle="1" w:styleId="245">
    <w:name w:val="表格标题 (3) + Times New Roman"/>
    <w:qFormat/>
    <w:uiPriority w:val="0"/>
    <w:rPr>
      <w:rFonts w:ascii="Times New Roman" w:hAnsi="Times New Roman" w:eastAsia="Times New Roman" w:cs="Times New Roman"/>
      <w:color w:val="000000"/>
      <w:spacing w:val="0"/>
      <w:w w:val="100"/>
      <w:position w:val="0"/>
      <w:sz w:val="22"/>
      <w:szCs w:val="22"/>
      <w:u w:val="none"/>
      <w:lang w:val="en-US" w:eastAsia="en-US" w:bidi="en-US"/>
    </w:rPr>
  </w:style>
  <w:style w:type="character" w:customStyle="1" w:styleId="246">
    <w:name w:val="标题 #5 (3)"/>
    <w:qFormat/>
    <w:uiPriority w:val="0"/>
    <w:rPr>
      <w:rFonts w:ascii="黑体" w:hAnsi="黑体" w:eastAsia="黑体" w:cs="黑体"/>
      <w:color w:val="000000"/>
      <w:spacing w:val="0"/>
      <w:w w:val="100"/>
      <w:position w:val="0"/>
      <w:sz w:val="24"/>
      <w:szCs w:val="24"/>
      <w:u w:val="none"/>
      <w:lang w:val="en-US" w:eastAsia="en-US" w:bidi="en-US"/>
    </w:rPr>
  </w:style>
  <w:style w:type="character" w:customStyle="1" w:styleId="247">
    <w:name w:val="正文文本 (2) + 11 pt"/>
    <w:qFormat/>
    <w:uiPriority w:val="0"/>
    <w:rPr>
      <w:rFonts w:ascii="黑体" w:hAnsi="黑体" w:eastAsia="黑体" w:cs="黑体"/>
      <w:color w:val="000000"/>
      <w:spacing w:val="0"/>
      <w:w w:val="100"/>
      <w:position w:val="0"/>
      <w:sz w:val="22"/>
      <w:szCs w:val="22"/>
      <w:u w:val="none"/>
      <w:lang w:val="zh-TW" w:eastAsia="zh-TW" w:bidi="zh-TW"/>
    </w:rPr>
  </w:style>
  <w:style w:type="character" w:customStyle="1" w:styleId="248">
    <w:name w:val="正文文本 (2) + 间距 1 pt"/>
    <w:qFormat/>
    <w:uiPriority w:val="0"/>
    <w:rPr>
      <w:rFonts w:ascii="黑体" w:hAnsi="黑体" w:eastAsia="黑体" w:cs="黑体"/>
      <w:color w:val="000000"/>
      <w:spacing w:val="20"/>
      <w:w w:val="100"/>
      <w:position w:val="0"/>
      <w:sz w:val="24"/>
      <w:szCs w:val="24"/>
      <w:u w:val="none"/>
      <w:lang w:val="zh-TW" w:eastAsia="zh-TW" w:bidi="zh-TW"/>
    </w:rPr>
  </w:style>
  <w:style w:type="character" w:customStyle="1" w:styleId="249">
    <w:name w:val="正文文本 (2) + 间距 0 pt"/>
    <w:qFormat/>
    <w:uiPriority w:val="0"/>
    <w:rPr>
      <w:rFonts w:ascii="黑体" w:hAnsi="黑体" w:eastAsia="黑体" w:cs="黑体"/>
      <w:color w:val="000000"/>
      <w:spacing w:val="-10"/>
      <w:w w:val="100"/>
      <w:position w:val="0"/>
      <w:sz w:val="24"/>
      <w:szCs w:val="24"/>
      <w:u w:val="none"/>
      <w:lang w:val="zh-TW" w:eastAsia="zh-TW" w:bidi="zh-TW"/>
    </w:rPr>
  </w:style>
  <w:style w:type="character" w:customStyle="1" w:styleId="250">
    <w:name w:val="正文文本 (32) + 间距 -2 pt Exact"/>
    <w:qFormat/>
    <w:uiPriority w:val="0"/>
    <w:rPr>
      <w:rFonts w:ascii="黑体" w:hAnsi="黑体" w:eastAsia="黑体" w:cs="黑体"/>
      <w:i/>
      <w:iCs/>
      <w:color w:val="000000"/>
      <w:spacing w:val="-40"/>
      <w:w w:val="120"/>
      <w:position w:val="0"/>
      <w:sz w:val="24"/>
      <w:szCs w:val="24"/>
      <w:u w:val="none"/>
      <w:lang w:val="en-US" w:eastAsia="en-US" w:bidi="en-US"/>
    </w:rPr>
  </w:style>
  <w:style w:type="character" w:customStyle="1" w:styleId="251">
    <w:name w:val="正文文本 (32) + Times New Roman"/>
    <w:qFormat/>
    <w:uiPriority w:val="0"/>
    <w:rPr>
      <w:rFonts w:ascii="Times New Roman" w:hAnsi="Times New Roman" w:eastAsia="Times New Roman" w:cs="Times New Roman"/>
      <w:i/>
      <w:iCs/>
      <w:color w:val="000000"/>
      <w:spacing w:val="0"/>
      <w:w w:val="100"/>
      <w:position w:val="0"/>
      <w:sz w:val="24"/>
      <w:szCs w:val="24"/>
      <w:u w:val="none"/>
      <w:lang w:val="en-US" w:eastAsia="en-US" w:bidi="en-US"/>
    </w:rPr>
  </w:style>
  <w:style w:type="character" w:customStyle="1" w:styleId="252">
    <w:name w:val="正文文本 (40) Exact"/>
    <w:qFormat/>
    <w:uiPriority w:val="0"/>
    <w:rPr>
      <w:rFonts w:ascii="Century Schoolbook" w:hAnsi="Century Schoolbook" w:eastAsia="Century Schoolbook" w:cs="Century Schoolbook"/>
      <w:color w:val="000000"/>
      <w:spacing w:val="0"/>
      <w:w w:val="100"/>
      <w:position w:val="0"/>
      <w:sz w:val="22"/>
      <w:szCs w:val="22"/>
      <w:u w:val="none"/>
      <w:lang w:val="en-US" w:eastAsia="en-US" w:bidi="en-US"/>
    </w:rPr>
  </w:style>
  <w:style w:type="character" w:customStyle="1" w:styleId="253">
    <w:name w:val="表格标题 (5)"/>
    <w:qFormat/>
    <w:uiPriority w:val="0"/>
    <w:rPr>
      <w:rFonts w:ascii="黑体" w:hAnsi="黑体" w:eastAsia="黑体" w:cs="黑体"/>
      <w:color w:val="000000"/>
      <w:spacing w:val="0"/>
      <w:w w:val="100"/>
      <w:position w:val="0"/>
      <w:sz w:val="24"/>
      <w:szCs w:val="24"/>
      <w:u w:val="none"/>
      <w:lang w:val="zh-TW" w:eastAsia="zh-TW" w:bidi="zh-TW"/>
    </w:rPr>
  </w:style>
  <w:style w:type="character" w:customStyle="1" w:styleId="254">
    <w:name w:val="正文文本 (2)"/>
    <w:qFormat/>
    <w:uiPriority w:val="0"/>
    <w:rPr>
      <w:rFonts w:ascii="黑体" w:hAnsi="黑体" w:eastAsia="黑体" w:cs="黑体"/>
      <w:color w:val="000000"/>
      <w:spacing w:val="0"/>
      <w:w w:val="100"/>
      <w:position w:val="0"/>
      <w:sz w:val="24"/>
      <w:szCs w:val="24"/>
      <w:u w:val="none"/>
      <w:lang w:val="zh-TW" w:eastAsia="zh-TW" w:bidi="zh-TW"/>
    </w:rPr>
  </w:style>
  <w:style w:type="character" w:customStyle="1" w:styleId="255">
    <w:name w:val="正文文本 (2) + 斜体"/>
    <w:qFormat/>
    <w:uiPriority w:val="0"/>
    <w:rPr>
      <w:rFonts w:ascii="黑体" w:hAnsi="黑体" w:eastAsia="黑体" w:cs="黑体"/>
      <w:i/>
      <w:iCs/>
      <w:color w:val="000000"/>
      <w:spacing w:val="-40"/>
      <w:w w:val="120"/>
      <w:position w:val="0"/>
      <w:sz w:val="24"/>
      <w:szCs w:val="24"/>
      <w:u w:val="none"/>
      <w:lang w:val="zh-TW" w:eastAsia="zh-TW" w:bidi="zh-TW"/>
    </w:rPr>
  </w:style>
  <w:style w:type="character" w:customStyle="1" w:styleId="256">
    <w:name w:val="正文文本 (40)"/>
    <w:qFormat/>
    <w:uiPriority w:val="0"/>
    <w:rPr>
      <w:rFonts w:ascii="Century Schoolbook" w:hAnsi="Century Schoolbook" w:eastAsia="Century Schoolbook" w:cs="Century Schoolbook"/>
      <w:color w:val="000000"/>
      <w:spacing w:val="0"/>
      <w:w w:val="100"/>
      <w:position w:val="0"/>
      <w:sz w:val="22"/>
      <w:szCs w:val="22"/>
      <w:u w:val="none"/>
      <w:lang w:val="en-US" w:eastAsia="en-US" w:bidi="en-US"/>
    </w:rPr>
  </w:style>
  <w:style w:type="character" w:customStyle="1" w:styleId="257">
    <w:name w:val="正文文本 (44)_"/>
    <w:link w:val="258"/>
    <w:qFormat/>
    <w:uiPriority w:val="0"/>
    <w:rPr>
      <w:rFonts w:ascii="Times New Roman" w:hAnsi="Times New Roman" w:eastAsia="Times New Roman" w:cs="Times New Roman"/>
      <w:spacing w:val="20"/>
      <w:kern w:val="0"/>
      <w:sz w:val="22"/>
      <w:szCs w:val="22"/>
      <w:lang w:eastAsia="en-US" w:bidi="en-US"/>
    </w:rPr>
  </w:style>
  <w:style w:type="paragraph" w:customStyle="1" w:styleId="258">
    <w:name w:val="正文文本 (44)"/>
    <w:basedOn w:val="1"/>
    <w:link w:val="257"/>
    <w:qFormat/>
    <w:uiPriority w:val="0"/>
    <w:pPr>
      <w:widowControl/>
      <w:shd w:val="clear" w:color="auto" w:fill="FFFFFF"/>
      <w:spacing w:before="120" w:after="480" w:line="0" w:lineRule="atLeast"/>
      <w:jc w:val="left"/>
    </w:pPr>
    <w:rPr>
      <w:rFonts w:eastAsia="Times New Roman"/>
      <w:spacing w:val="20"/>
      <w:kern w:val="0"/>
      <w:sz w:val="22"/>
      <w:szCs w:val="22"/>
      <w:lang w:eastAsia="en-US" w:bidi="en-US"/>
    </w:rPr>
  </w:style>
  <w:style w:type="character" w:customStyle="1" w:styleId="259">
    <w:name w:val="正文文本 (44) + 间距 0 pt"/>
    <w:qFormat/>
    <w:uiPriority w:val="0"/>
    <w:rPr>
      <w:rFonts w:ascii="Times New Roman" w:hAnsi="Times New Roman" w:eastAsia="Times New Roman" w:cs="Times New Roman"/>
      <w:color w:val="000000"/>
      <w:spacing w:val="-10"/>
      <w:w w:val="100"/>
      <w:position w:val="0"/>
      <w:sz w:val="22"/>
      <w:szCs w:val="22"/>
      <w:u w:val="none"/>
      <w:lang w:val="en-US" w:eastAsia="en-US" w:bidi="en-US"/>
    </w:rPr>
  </w:style>
  <w:style w:type="character" w:customStyle="1" w:styleId="260">
    <w:name w:val="表格标题 (5) + Times New Roman"/>
    <w:qFormat/>
    <w:uiPriority w:val="0"/>
    <w:rPr>
      <w:rFonts w:ascii="Times New Roman" w:hAnsi="Times New Roman" w:eastAsia="Times New Roman" w:cs="Times New Roman"/>
      <w:color w:val="000000"/>
      <w:spacing w:val="0"/>
      <w:w w:val="100"/>
      <w:position w:val="0"/>
      <w:sz w:val="24"/>
      <w:szCs w:val="24"/>
      <w:u w:val="none"/>
      <w:lang w:val="en-US" w:eastAsia="en-US" w:bidi="en-US"/>
    </w:rPr>
  </w:style>
  <w:style w:type="character" w:customStyle="1" w:styleId="261">
    <w:name w:val="表格标题 (3) + 间距 2 pt"/>
    <w:qFormat/>
    <w:uiPriority w:val="0"/>
    <w:rPr>
      <w:rFonts w:ascii="黑体" w:hAnsi="黑体" w:eastAsia="黑体" w:cs="黑体"/>
      <w:color w:val="000000"/>
      <w:spacing w:val="50"/>
      <w:w w:val="100"/>
      <w:position w:val="0"/>
      <w:sz w:val="22"/>
      <w:szCs w:val="22"/>
      <w:u w:val="none"/>
      <w:lang w:val="zh-TW" w:eastAsia="zh-TW" w:bidi="zh-TW"/>
    </w:rPr>
  </w:style>
  <w:style w:type="table" w:customStyle="1" w:styleId="262">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263">
    <w:name w:val="目录 11"/>
    <w:basedOn w:val="1"/>
    <w:qFormat/>
    <w:uiPriority w:val="1"/>
    <w:pPr>
      <w:autoSpaceDE w:val="0"/>
      <w:autoSpaceDN w:val="0"/>
      <w:spacing w:before="139"/>
      <w:ind w:left="643"/>
      <w:jc w:val="left"/>
    </w:pPr>
    <w:rPr>
      <w:rFonts w:ascii="宋体" w:hAnsi="宋体" w:cs="宋体"/>
      <w:kern w:val="0"/>
      <w:szCs w:val="21"/>
      <w:lang w:eastAsia="en-US" w:bidi="en-US"/>
    </w:rPr>
  </w:style>
  <w:style w:type="paragraph" w:customStyle="1" w:styleId="264">
    <w:name w:val="标题 11"/>
    <w:basedOn w:val="1"/>
    <w:qFormat/>
    <w:uiPriority w:val="1"/>
    <w:pPr>
      <w:autoSpaceDE w:val="0"/>
      <w:autoSpaceDN w:val="0"/>
      <w:spacing w:before="214"/>
      <w:ind w:left="4473"/>
      <w:jc w:val="left"/>
      <w:outlineLvl w:val="1"/>
    </w:pPr>
    <w:rPr>
      <w:rFonts w:ascii="黑体" w:hAnsi="黑体" w:eastAsia="黑体" w:cs="黑体"/>
      <w:b/>
      <w:bCs/>
      <w:kern w:val="0"/>
      <w:sz w:val="28"/>
      <w:szCs w:val="28"/>
      <w:lang w:eastAsia="en-US" w:bidi="en-US"/>
    </w:rPr>
  </w:style>
  <w:style w:type="paragraph" w:customStyle="1" w:styleId="265">
    <w:name w:val="Table Paragraph"/>
    <w:basedOn w:val="1"/>
    <w:qFormat/>
    <w:uiPriority w:val="1"/>
    <w:pPr>
      <w:autoSpaceDE w:val="0"/>
      <w:autoSpaceDN w:val="0"/>
      <w:jc w:val="left"/>
    </w:pPr>
    <w:rPr>
      <w:rFonts w:ascii="宋体" w:hAnsi="宋体" w:cs="宋体"/>
      <w:kern w:val="0"/>
      <w:sz w:val="22"/>
      <w:szCs w:val="22"/>
      <w:lang w:eastAsia="en-US" w:bidi="en-US"/>
    </w:rPr>
  </w:style>
  <w:style w:type="paragraph" w:customStyle="1" w:styleId="266">
    <w:name w:val="WPSOffice手动目录 1"/>
    <w:qFormat/>
    <w:uiPriority w:val="0"/>
    <w:rPr>
      <w:rFonts w:ascii="Calibri" w:hAnsi="Calibri" w:eastAsia="宋体" w:cs="Times New Roman"/>
      <w:lang w:val="en-US" w:eastAsia="zh-CN" w:bidi="ar-SA"/>
    </w:rPr>
  </w:style>
  <w:style w:type="paragraph" w:customStyle="1" w:styleId="267">
    <w:name w:val="实施日期"/>
    <w:basedOn w:val="114"/>
    <w:next w:val="114"/>
    <w:qFormat/>
    <w:uiPriority w:val="99"/>
    <w:rPr>
      <w:color w:val="auto"/>
    </w:rPr>
  </w:style>
  <w:style w:type="paragraph" w:customStyle="1" w:styleId="268">
    <w:name w:val="发布日期"/>
    <w:basedOn w:val="114"/>
    <w:next w:val="114"/>
    <w:qFormat/>
    <w:uiPriority w:val="99"/>
    <w:rPr>
      <w:color w:va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113</Pages>
  <Words>9237</Words>
  <Characters>52656</Characters>
  <Lines>438</Lines>
  <Paragraphs>123</Paragraphs>
  <TotalTime>0</TotalTime>
  <ScaleCrop>false</ScaleCrop>
  <LinksUpToDate>false</LinksUpToDate>
  <CharactersWithSpaces>61770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2019-08-16T10:40:00Z</dcterms:created>
  <dc:creator>Admin</dc:creator>
  <cp:lastModifiedBy>L.Jie</cp:lastModifiedBy>
  <cp:lastPrinted>2019-08-09T17:08:00Z</cp:lastPrinted>
  <dcterms:modified xsi:type="dcterms:W3CDTF">2025-07-04T15:47:29Z</dcterms:modified>
  <dc:title>合同编号（甲方）：</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NXTAG2">
    <vt:lpwstr>0008003868000000000001024120</vt:lpwstr>
  </property>
</Properties>
</file>