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32" w:firstLineChars="300"/>
        <w:jc w:val="left"/>
        <w:rPr>
          <w:rFonts w:ascii="宋体" w:hAnsi="宋体" w:eastAsia="宋体" w:cs="宋体"/>
          <w:b/>
          <w:bCs/>
          <w:color w:val="auto"/>
          <w:highlight w:val="none"/>
        </w:rPr>
      </w:pPr>
      <w:bookmarkStart w:id="229" w:name="_GoBack"/>
      <w:bookmarkEnd w:id="229"/>
      <w:r>
        <w:rPr>
          <w:rFonts w:hint="eastAsia" w:ascii="宋体" w:hAnsi="宋体" w:eastAsia="宋体" w:cs="宋体"/>
          <w:b/>
          <w:bCs/>
          <w:color w:val="auto"/>
          <w:highlight w:val="none"/>
        </w:rPr>
        <w:t>版本号：202</w:t>
      </w:r>
      <w:r>
        <w:rPr>
          <w:rFonts w:hint="eastAsia" w:ascii="宋体" w:hAnsi="宋体" w:eastAsia="宋体" w:cs="宋体"/>
          <w:b/>
          <w:bCs/>
          <w:color w:val="auto"/>
          <w:highlight w:val="none"/>
          <w:lang w:val="en-US" w:eastAsia="zh-CN"/>
        </w:rPr>
        <w:t>4</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1</w:t>
      </w:r>
      <w:r>
        <w:rPr>
          <w:rFonts w:hint="eastAsia" w:ascii="宋体" w:hAnsi="宋体" w:eastAsia="宋体" w:cs="宋体"/>
          <w:b/>
          <w:bCs/>
          <w:color w:val="auto"/>
          <w:highlight w:val="none"/>
        </w:rPr>
        <w:t>月版</w:t>
      </w:r>
    </w:p>
    <w:p>
      <w:pPr>
        <w:adjustRightInd w:val="0"/>
        <w:snapToGrid w:val="0"/>
        <w:spacing w:line="360" w:lineRule="auto"/>
        <w:ind w:firstLine="4779" w:firstLineChars="1700"/>
        <w:jc w:val="left"/>
        <w:rPr>
          <w:rFonts w:ascii="宋体" w:hAnsi="宋体" w:eastAsia="宋体" w:cs="宋体"/>
          <w:b/>
          <w:bCs/>
          <w:color w:val="auto"/>
          <w:kern w:val="0"/>
          <w:sz w:val="28"/>
          <w:highlight w:val="none"/>
        </w:rPr>
      </w:pPr>
    </w:p>
    <w:p>
      <w:pPr>
        <w:adjustRightInd w:val="0"/>
        <w:snapToGrid w:val="0"/>
        <w:spacing w:line="360" w:lineRule="auto"/>
        <w:ind w:firstLine="4779" w:firstLineChars="1700"/>
        <w:jc w:val="left"/>
        <w:rPr>
          <w:rFonts w:ascii="宋体" w:hAnsi="宋体" w:eastAsia="宋体" w:cs="宋体"/>
          <w:color w:val="auto"/>
          <w:kern w:val="0"/>
          <w:sz w:val="44"/>
          <w:highlight w:val="none"/>
        </w:rPr>
      </w:pPr>
      <w:r>
        <w:rPr>
          <w:rFonts w:hint="eastAsia" w:ascii="宋体" w:hAnsi="宋体" w:eastAsia="宋体" w:cs="宋体"/>
          <w:b/>
          <w:bCs/>
          <w:color w:val="auto"/>
          <w:kern w:val="0"/>
          <w:sz w:val="28"/>
          <w:highlight w:val="none"/>
        </w:rPr>
        <w:t>标段编号：</w:t>
      </w:r>
      <w:r>
        <w:rPr>
          <w:rFonts w:hint="eastAsia" w:ascii="宋体" w:hAnsi="宋体" w:eastAsia="宋体" w:cs="宋体"/>
          <w:color w:val="auto"/>
          <w:kern w:val="0"/>
          <w:sz w:val="24"/>
          <w:highlight w:val="none"/>
          <w:u w:val="single"/>
        </w:rPr>
        <w:t xml:space="preserve">      </w:t>
      </w:r>
    </w:p>
    <w:p>
      <w:pPr>
        <w:adjustRightInd w:val="0"/>
        <w:snapToGrid w:val="0"/>
        <w:spacing w:line="360" w:lineRule="auto"/>
        <w:rPr>
          <w:rFonts w:ascii="黑体" w:eastAsia="黑体"/>
          <w:b/>
          <w:bCs/>
          <w:color w:val="auto"/>
          <w:kern w:val="0"/>
          <w:sz w:val="28"/>
          <w:szCs w:val="28"/>
          <w:highlight w:val="none"/>
        </w:rPr>
      </w:pPr>
    </w:p>
    <w:p>
      <w:pPr>
        <w:adjustRightInd w:val="0"/>
        <w:snapToGrid w:val="0"/>
        <w:spacing w:line="360" w:lineRule="auto"/>
        <w:rPr>
          <w:rFonts w:ascii="黑体" w:eastAsia="黑体"/>
          <w:b/>
          <w:bCs/>
          <w:color w:val="auto"/>
          <w:kern w:val="0"/>
          <w:sz w:val="28"/>
          <w:szCs w:val="28"/>
          <w:highlight w:val="none"/>
        </w:rPr>
      </w:pPr>
    </w:p>
    <w:p>
      <w:pPr>
        <w:adjustRightInd w:val="0"/>
        <w:snapToGrid w:val="0"/>
        <w:spacing w:line="360" w:lineRule="auto"/>
        <w:jc w:val="center"/>
        <w:rPr>
          <w:rFonts w:ascii="黑体" w:eastAsia="黑体"/>
          <w:b/>
          <w:bCs/>
          <w:color w:val="auto"/>
          <w:kern w:val="0"/>
          <w:sz w:val="72"/>
          <w:highlight w:val="none"/>
        </w:rPr>
      </w:pPr>
      <w:r>
        <w:rPr>
          <w:rFonts w:hint="eastAsia" w:ascii="黑体" w:eastAsia="黑体"/>
          <w:b/>
          <w:bCs/>
          <w:color w:val="auto"/>
          <w:kern w:val="0"/>
          <w:sz w:val="72"/>
          <w:highlight w:val="none"/>
        </w:rPr>
        <w:t>深圳市建设工程</w:t>
      </w:r>
    </w:p>
    <w:p>
      <w:pPr>
        <w:adjustRightInd w:val="0"/>
        <w:snapToGrid w:val="0"/>
        <w:spacing w:line="360" w:lineRule="auto"/>
        <w:jc w:val="center"/>
        <w:rPr>
          <w:rFonts w:ascii="黑体" w:eastAsia="黑体"/>
          <w:b/>
          <w:bCs/>
          <w:color w:val="auto"/>
          <w:kern w:val="0"/>
          <w:sz w:val="72"/>
          <w:highlight w:val="none"/>
        </w:rPr>
      </w:pPr>
      <w:r>
        <w:rPr>
          <w:rFonts w:hint="eastAsia" w:ascii="黑体" w:eastAsia="黑体"/>
          <w:b/>
          <w:bCs/>
          <w:color w:val="auto"/>
          <w:kern w:val="0"/>
          <w:sz w:val="72"/>
          <w:highlight w:val="none"/>
        </w:rPr>
        <w:t>勘察类招标文件</w:t>
      </w:r>
    </w:p>
    <w:p>
      <w:pPr>
        <w:adjustRightInd w:val="0"/>
        <w:snapToGrid w:val="0"/>
        <w:spacing w:line="360" w:lineRule="auto"/>
        <w:jc w:val="center"/>
        <w:rPr>
          <w:rFonts w:ascii="宋体" w:hAnsi="宋体" w:eastAsia="宋体" w:cs="宋体"/>
          <w:b/>
          <w:color w:val="auto"/>
          <w:kern w:val="0"/>
          <w:sz w:val="36"/>
          <w:szCs w:val="36"/>
          <w:highlight w:val="none"/>
        </w:rPr>
      </w:pPr>
      <w:r>
        <w:rPr>
          <w:rFonts w:hint="eastAsia" w:ascii="宋体" w:hAnsi="宋体" w:eastAsia="宋体" w:cs="宋体"/>
          <w:b/>
          <w:color w:val="auto"/>
          <w:kern w:val="0"/>
          <w:sz w:val="36"/>
          <w:szCs w:val="36"/>
          <w:highlight w:val="none"/>
        </w:rPr>
        <w:t>（示范文本）</w:t>
      </w:r>
    </w:p>
    <w:p>
      <w:pPr>
        <w:adjustRightInd w:val="0"/>
        <w:snapToGrid w:val="0"/>
        <w:spacing w:line="360" w:lineRule="auto"/>
        <w:ind w:firstLine="840" w:firstLineChars="300"/>
        <w:jc w:val="left"/>
        <w:rPr>
          <w:rFonts w:ascii="宋体"/>
          <w:b/>
          <w:bCs/>
          <w:color w:val="auto"/>
          <w:sz w:val="28"/>
          <w:highlight w:val="none"/>
        </w:rPr>
      </w:pPr>
    </w:p>
    <w:p>
      <w:pPr>
        <w:adjustRightInd w:val="0"/>
        <w:snapToGrid w:val="0"/>
        <w:spacing w:line="360" w:lineRule="auto"/>
        <w:ind w:firstLine="840" w:firstLineChars="300"/>
        <w:jc w:val="left"/>
        <w:rPr>
          <w:rFonts w:ascii="宋体"/>
          <w:b/>
          <w:bCs/>
          <w:color w:val="auto"/>
          <w:sz w:val="28"/>
          <w:highlight w:val="none"/>
        </w:rPr>
      </w:pPr>
    </w:p>
    <w:p>
      <w:pPr>
        <w:adjustRightInd w:val="0"/>
        <w:snapToGrid w:val="0"/>
        <w:spacing w:line="360" w:lineRule="auto"/>
        <w:ind w:firstLine="840" w:firstLineChars="300"/>
        <w:jc w:val="left"/>
        <w:rPr>
          <w:rFonts w:ascii="宋体"/>
          <w:b/>
          <w:bCs/>
          <w:color w:val="auto"/>
          <w:sz w:val="28"/>
          <w:highlight w:val="none"/>
        </w:rPr>
      </w:pPr>
    </w:p>
    <w:p>
      <w:pPr>
        <w:adjustRightInd w:val="0"/>
        <w:snapToGrid w:val="0"/>
        <w:spacing w:line="360" w:lineRule="auto"/>
        <w:ind w:firstLine="840" w:firstLineChars="300"/>
        <w:jc w:val="left"/>
        <w:rPr>
          <w:rFonts w:ascii="宋体"/>
          <w:b/>
          <w:bCs/>
          <w:color w:val="auto"/>
          <w:sz w:val="28"/>
          <w:highlight w:val="none"/>
        </w:rPr>
      </w:pPr>
    </w:p>
    <w:p>
      <w:pPr>
        <w:adjustRightInd w:val="0"/>
        <w:snapToGrid w:val="0"/>
        <w:spacing w:line="360" w:lineRule="auto"/>
        <w:ind w:firstLine="840" w:firstLineChars="300"/>
        <w:jc w:val="left"/>
        <w:rPr>
          <w:rFonts w:ascii="宋体"/>
          <w:b/>
          <w:bCs/>
          <w:color w:val="auto"/>
          <w:sz w:val="28"/>
          <w:highlight w:val="none"/>
        </w:rPr>
      </w:pPr>
    </w:p>
    <w:p>
      <w:pPr>
        <w:adjustRightInd w:val="0"/>
        <w:snapToGrid w:val="0"/>
        <w:spacing w:line="360" w:lineRule="auto"/>
        <w:ind w:firstLine="840" w:firstLineChars="300"/>
        <w:jc w:val="left"/>
        <w:rPr>
          <w:rFonts w:ascii="宋体"/>
          <w:b/>
          <w:bCs/>
          <w:color w:val="auto"/>
          <w:sz w:val="28"/>
          <w:highlight w:val="none"/>
        </w:rPr>
      </w:pPr>
    </w:p>
    <w:p>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标段名称：</w:t>
      </w:r>
      <w:r>
        <w:rPr>
          <w:rFonts w:hint="eastAsia" w:ascii="宋体" w:hAnsi="宋体" w:eastAsia="宋体" w:cs="宋体"/>
          <w:color w:val="auto"/>
          <w:kern w:val="0"/>
          <w:sz w:val="32"/>
          <w:szCs w:val="32"/>
          <w:highlight w:val="none"/>
          <w:u w:val="single"/>
        </w:rPr>
        <w:t xml:space="preserve">      </w:t>
      </w:r>
    </w:p>
    <w:p>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 标 人：</w:t>
      </w:r>
      <w:r>
        <w:rPr>
          <w:rFonts w:hint="eastAsia" w:ascii="宋体" w:hAnsi="宋体" w:eastAsia="宋体" w:cs="宋体"/>
          <w:color w:val="auto"/>
          <w:kern w:val="0"/>
          <w:sz w:val="32"/>
          <w:szCs w:val="32"/>
          <w:highlight w:val="none"/>
          <w:u w:val="single"/>
        </w:rPr>
        <w:t xml:space="preserve">      </w:t>
      </w:r>
    </w:p>
    <w:p>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kern w:val="0"/>
          <w:sz w:val="32"/>
          <w:szCs w:val="32"/>
          <w:highlight w:val="none"/>
          <w:u w:val="single"/>
        </w:rPr>
        <w:t xml:space="preserve">      </w:t>
      </w:r>
    </w:p>
    <w:p>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招标代理机构：</w:t>
      </w:r>
      <w:r>
        <w:rPr>
          <w:rFonts w:hint="eastAsia" w:ascii="宋体" w:hAnsi="宋体" w:eastAsia="宋体" w:cs="宋体"/>
          <w:color w:val="auto"/>
          <w:kern w:val="0"/>
          <w:sz w:val="32"/>
          <w:szCs w:val="32"/>
          <w:highlight w:val="none"/>
          <w:u w:val="single"/>
        </w:rPr>
        <w:t xml:space="preserve">      </w:t>
      </w:r>
    </w:p>
    <w:p>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kern w:val="0"/>
          <w:sz w:val="32"/>
          <w:szCs w:val="32"/>
          <w:highlight w:val="none"/>
          <w:u w:val="single"/>
        </w:rPr>
        <w:t xml:space="preserve">      </w:t>
      </w:r>
      <w:r>
        <w:rPr>
          <w:rFonts w:hint="eastAsia" w:ascii="宋体" w:hAnsi="宋体" w:eastAsia="宋体" w:cs="宋体"/>
          <w:b/>
          <w:bCs/>
          <w:color w:val="auto"/>
          <w:kern w:val="0"/>
          <w:sz w:val="28"/>
          <w:highlight w:val="none"/>
        </w:rPr>
        <w:t xml:space="preserve"> </w:t>
      </w:r>
    </w:p>
    <w:p>
      <w:pPr>
        <w:pStyle w:val="55"/>
        <w:rPr>
          <w:rFonts w:ascii="宋体" w:hAnsi="宋体"/>
          <w:color w:val="auto"/>
          <w:kern w:val="0"/>
          <w:sz w:val="32"/>
          <w:szCs w:val="32"/>
          <w:highlight w:val="none"/>
          <w:u w:val="single"/>
        </w:rPr>
      </w:pPr>
    </w:p>
    <w:p>
      <w:pPr>
        <w:pStyle w:val="55"/>
        <w:tabs>
          <w:tab w:val="right" w:leader="dot" w:pos="9434"/>
        </w:tabs>
        <w:jc w:val="center"/>
        <w:outlineLvl w:val="0"/>
        <w:rPr>
          <w:b/>
          <w:color w:val="auto"/>
          <w:sz w:val="44"/>
          <w:szCs w:val="44"/>
          <w:highlight w:val="none"/>
        </w:rPr>
        <w:sectPr>
          <w:pgSz w:w="11906" w:h="16838"/>
          <w:pgMar w:top="1134" w:right="1134" w:bottom="1134" w:left="1134" w:header="851" w:footer="992" w:gutter="0"/>
          <w:cols w:space="425" w:num="1"/>
          <w:docGrid w:type="lines" w:linePitch="312" w:charSpace="0"/>
        </w:sectPr>
      </w:pPr>
      <w:bookmarkStart w:id="0" w:name="_Toc26664"/>
    </w:p>
    <w:bookmarkEnd w:id="0"/>
    <w:p>
      <w:pPr>
        <w:jc w:val="center"/>
        <w:rPr>
          <w:rFonts w:ascii="宋体" w:hAnsi="宋体" w:eastAsia="宋体" w:cs="宋体"/>
          <w:b/>
          <w:bCs/>
          <w:color w:val="auto"/>
          <w:sz w:val="36"/>
          <w:szCs w:val="36"/>
          <w:highlight w:val="none"/>
        </w:rPr>
      </w:pPr>
      <w:bookmarkStart w:id="1" w:name="_Toc17648"/>
      <w:bookmarkStart w:id="2" w:name="_Toc22447"/>
      <w:bookmarkStart w:id="3" w:name="_Toc3223"/>
      <w:bookmarkStart w:id="4" w:name="_Toc4251"/>
      <w:bookmarkStart w:id="5" w:name="_Toc2567"/>
      <w:bookmarkStart w:id="6" w:name="_Toc22553"/>
      <w:bookmarkStart w:id="7" w:name="_Toc9798"/>
      <w:bookmarkStart w:id="8" w:name="_Toc30194"/>
      <w:bookmarkStart w:id="9" w:name="_Toc13481"/>
      <w:bookmarkStart w:id="10" w:name="_Toc22565"/>
      <w:bookmarkStart w:id="11" w:name="_Toc31574"/>
      <w:bookmarkStart w:id="12" w:name="_Toc18248"/>
      <w:bookmarkStart w:id="13" w:name="_Toc18449"/>
      <w:bookmarkStart w:id="14" w:name="_Toc22981"/>
      <w:bookmarkStart w:id="15" w:name="_Toc19922"/>
      <w:bookmarkStart w:id="16" w:name="_Toc22839"/>
      <w:r>
        <w:rPr>
          <w:rFonts w:hint="eastAsia" w:ascii="宋体" w:hAnsi="宋体" w:eastAsia="宋体" w:cs="宋体"/>
          <w:b/>
          <w:bCs/>
          <w:color w:val="auto"/>
          <w:sz w:val="36"/>
          <w:szCs w:val="36"/>
          <w:highlight w:val="none"/>
        </w:rPr>
        <w:t>目  录</w:t>
      </w:r>
    </w:p>
    <w:p>
      <w:pPr>
        <w:pStyle w:val="55"/>
        <w:tabs>
          <w:tab w:val="right" w:leader="dot" w:pos="9638"/>
        </w:tabs>
        <w:spacing w:line="360" w:lineRule="auto"/>
        <w:rPr>
          <w:rFonts w:ascii="宋体" w:hAnsi="宋体" w:cs="宋体"/>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TOC \o "1-3" \h \u </w:instrText>
      </w:r>
      <w:r>
        <w:rPr>
          <w:rFonts w:hint="eastAsia" w:ascii="宋体" w:hAnsi="宋体" w:cs="宋体"/>
          <w:b/>
          <w:bCs/>
          <w:color w:val="auto"/>
          <w:sz w:val="24"/>
          <w:szCs w:val="24"/>
          <w:highlight w:val="none"/>
        </w:rPr>
        <w:fldChar w:fldCharType="separate"/>
      </w:r>
      <w:r>
        <w:rPr>
          <w:color w:val="auto"/>
          <w:highlight w:val="none"/>
        </w:rPr>
        <w:fldChar w:fldCharType="begin"/>
      </w:r>
      <w:r>
        <w:rPr>
          <w:color w:val="auto"/>
          <w:highlight w:val="none"/>
        </w:rPr>
        <w:instrText xml:space="preserve"> HYPERLINK \l "_Toc32079" </w:instrText>
      </w:r>
      <w:r>
        <w:rPr>
          <w:color w:val="auto"/>
          <w:highlight w:val="none"/>
        </w:rPr>
        <w:fldChar w:fldCharType="separate"/>
      </w:r>
      <w:r>
        <w:rPr>
          <w:rFonts w:hint="eastAsia" w:ascii="宋体" w:hAnsi="宋体" w:cs="宋体"/>
          <w:color w:val="auto"/>
          <w:sz w:val="24"/>
          <w:szCs w:val="24"/>
          <w:highlight w:val="none"/>
        </w:rPr>
        <w:t>第一章  使用说明</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_Toc32079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"_Toc10218" </w:instrText>
      </w:r>
      <w:r>
        <w:rPr>
          <w:color w:val="auto"/>
          <w:highlight w:val="none"/>
        </w:rPr>
        <w:fldChar w:fldCharType="separate"/>
      </w:r>
      <w:r>
        <w:rPr>
          <w:rFonts w:hint="eastAsia" w:ascii="宋体" w:hAnsi="宋体" w:cs="宋体"/>
          <w:color w:val="auto"/>
          <w:kern w:val="0"/>
          <w:sz w:val="24"/>
          <w:szCs w:val="24"/>
          <w:highlight w:val="none"/>
        </w:rPr>
        <w:t>第二章  投标须知</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_Toc10218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68"/>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"_Toc679" </w:instrText>
      </w:r>
      <w:r>
        <w:rPr>
          <w:color w:val="auto"/>
          <w:highlight w:val="none"/>
        </w:rPr>
        <w:fldChar w:fldCharType="separate"/>
      </w:r>
      <w:r>
        <w:rPr>
          <w:rFonts w:hint="eastAsia" w:ascii="宋体" w:hAnsi="宋体" w:cs="宋体"/>
          <w:color w:val="auto"/>
          <w:sz w:val="24"/>
          <w:szCs w:val="24"/>
          <w:highlight w:val="none"/>
        </w:rPr>
        <w:t>一、投标须知前附表</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_Toc679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"_Toc24945" </w:instrText>
      </w:r>
      <w:r>
        <w:rPr>
          <w:color w:val="auto"/>
          <w:highlight w:val="none"/>
        </w:rPr>
        <w:fldChar w:fldCharType="separate"/>
      </w:r>
      <w:r>
        <w:rPr>
          <w:rFonts w:hint="eastAsia" w:ascii="宋体" w:hAnsi="宋体" w:cs="宋体"/>
          <w:color w:val="auto"/>
          <w:kern w:val="0"/>
          <w:sz w:val="24"/>
          <w:szCs w:val="24"/>
          <w:highlight w:val="none"/>
        </w:rPr>
        <w:t>（一）招标项目基本情况</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_Toc24945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"_Toc15363" </w:instrText>
      </w:r>
      <w:r>
        <w:rPr>
          <w:color w:val="auto"/>
          <w:highlight w:val="none"/>
        </w:rPr>
        <w:fldChar w:fldCharType="separate"/>
      </w:r>
      <w:r>
        <w:rPr>
          <w:rFonts w:hint="eastAsia" w:ascii="宋体" w:hAnsi="宋体" w:cs="宋体"/>
          <w:color w:val="auto"/>
          <w:kern w:val="0"/>
          <w:sz w:val="24"/>
          <w:szCs w:val="24"/>
          <w:highlight w:val="none"/>
        </w:rPr>
        <w:t>（二）投标文件编制成果及要求</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_Toc15363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"_Toc15277" </w:instrText>
      </w:r>
      <w:r>
        <w:rPr>
          <w:color w:val="auto"/>
          <w:highlight w:val="none"/>
        </w:rPr>
        <w:fldChar w:fldCharType="separate"/>
      </w:r>
      <w:r>
        <w:rPr>
          <w:rFonts w:hint="eastAsia" w:ascii="宋体" w:hAnsi="宋体" w:cs="宋体"/>
          <w:color w:val="auto"/>
          <w:kern w:val="0"/>
          <w:sz w:val="24"/>
          <w:szCs w:val="24"/>
          <w:highlight w:val="none"/>
        </w:rPr>
        <w:t>（三）招标工程情况介绍</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_Toc15277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"_Toc29178" </w:instrText>
      </w:r>
      <w:r>
        <w:rPr>
          <w:color w:val="auto"/>
          <w:highlight w:val="none"/>
        </w:rPr>
        <w:fldChar w:fldCharType="separate"/>
      </w:r>
      <w:r>
        <w:rPr>
          <w:rFonts w:hint="eastAsia" w:ascii="宋体" w:hAnsi="宋体" w:cs="宋体"/>
          <w:color w:val="auto"/>
          <w:kern w:val="0"/>
          <w:sz w:val="24"/>
          <w:szCs w:val="24"/>
          <w:highlight w:val="none"/>
        </w:rPr>
        <w:t>（四）招标投标分段限时投诉的规定</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_Toc29178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68"/>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"_Toc17638" </w:instrText>
      </w:r>
      <w:r>
        <w:rPr>
          <w:color w:val="auto"/>
          <w:highlight w:val="none"/>
        </w:rPr>
        <w:fldChar w:fldCharType="separate"/>
      </w:r>
      <w:r>
        <w:rPr>
          <w:rFonts w:hint="eastAsia" w:ascii="宋体" w:hAnsi="宋体" w:cs="宋体"/>
          <w:color w:val="auto"/>
          <w:kern w:val="0"/>
          <w:sz w:val="24"/>
          <w:szCs w:val="24"/>
          <w:highlight w:val="none"/>
        </w:rPr>
        <w:t>二、投标文件否决性条款</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_Toc17638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14</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68"/>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"_Toc27033" </w:instrText>
      </w:r>
      <w:r>
        <w:rPr>
          <w:color w:val="auto"/>
          <w:highlight w:val="none"/>
        </w:rPr>
        <w:fldChar w:fldCharType="separate"/>
      </w:r>
      <w:r>
        <w:rPr>
          <w:rFonts w:hint="eastAsia" w:ascii="宋体" w:hAnsi="宋体" w:cs="宋体"/>
          <w:color w:val="auto"/>
          <w:sz w:val="24"/>
          <w:szCs w:val="24"/>
          <w:highlight w:val="none"/>
        </w:rPr>
        <w:t>三、招投标须知正文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_Toc27033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"_Toc26187" </w:instrText>
      </w:r>
      <w:r>
        <w:rPr>
          <w:color w:val="auto"/>
          <w:highlight w:val="none"/>
        </w:rPr>
        <w:fldChar w:fldCharType="separate"/>
      </w:r>
      <w:r>
        <w:rPr>
          <w:rFonts w:hint="eastAsia" w:ascii="宋体" w:hAnsi="宋体" w:cs="宋体"/>
          <w:color w:val="auto"/>
          <w:kern w:val="0"/>
          <w:sz w:val="24"/>
          <w:szCs w:val="24"/>
          <w:highlight w:val="none"/>
        </w:rPr>
        <w:t>（一）招标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_Toc26187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"_Toc9797" </w:instrText>
      </w:r>
      <w:r>
        <w:rPr>
          <w:color w:val="auto"/>
          <w:highlight w:val="none"/>
        </w:rPr>
        <w:fldChar w:fldCharType="separate"/>
      </w:r>
      <w:r>
        <w:rPr>
          <w:rFonts w:hint="eastAsia" w:ascii="宋体" w:hAnsi="宋体" w:cs="宋体"/>
          <w:color w:val="auto"/>
          <w:kern w:val="0"/>
          <w:sz w:val="24"/>
          <w:szCs w:val="24"/>
          <w:highlight w:val="none"/>
        </w:rPr>
        <w:t>（二）投标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_Toc9797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"_Toc8407" </w:instrText>
      </w:r>
      <w:r>
        <w:rPr>
          <w:color w:val="auto"/>
          <w:highlight w:val="none"/>
        </w:rPr>
        <w:fldChar w:fldCharType="separate"/>
      </w:r>
      <w:r>
        <w:rPr>
          <w:rFonts w:hint="eastAsia" w:ascii="宋体" w:hAnsi="宋体" w:cs="宋体"/>
          <w:color w:val="auto"/>
          <w:kern w:val="0"/>
          <w:sz w:val="24"/>
          <w:szCs w:val="24"/>
          <w:highlight w:val="none"/>
        </w:rPr>
        <w:t>（三) 资格后审</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_Toc8407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"_Toc11150" </w:instrText>
      </w:r>
      <w:r>
        <w:rPr>
          <w:color w:val="auto"/>
          <w:highlight w:val="none"/>
        </w:rPr>
        <w:fldChar w:fldCharType="separate"/>
      </w:r>
      <w:r>
        <w:rPr>
          <w:rFonts w:hint="eastAsia" w:ascii="宋体" w:hAnsi="宋体" w:cs="宋体"/>
          <w:color w:val="auto"/>
          <w:kern w:val="0"/>
          <w:sz w:val="24"/>
          <w:szCs w:val="24"/>
          <w:highlight w:val="none"/>
        </w:rPr>
        <w:t>（四）开标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_Toc11150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"_Toc24152" </w:instrText>
      </w:r>
      <w:r>
        <w:rPr>
          <w:color w:val="auto"/>
          <w:highlight w:val="none"/>
        </w:rPr>
        <w:fldChar w:fldCharType="separate"/>
      </w:r>
      <w:r>
        <w:rPr>
          <w:rFonts w:hint="eastAsia" w:ascii="宋体" w:hAnsi="宋体" w:cs="宋体"/>
          <w:color w:val="auto"/>
          <w:kern w:val="0"/>
          <w:sz w:val="24"/>
          <w:szCs w:val="24"/>
          <w:highlight w:val="none"/>
        </w:rPr>
        <w:t>（五）评标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_Toc24152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"_Toc18076" </w:instrText>
      </w:r>
      <w:r>
        <w:rPr>
          <w:color w:val="auto"/>
          <w:highlight w:val="none"/>
        </w:rPr>
        <w:fldChar w:fldCharType="separate"/>
      </w:r>
      <w:r>
        <w:rPr>
          <w:rFonts w:hint="eastAsia" w:ascii="宋体" w:hAnsi="宋体" w:cs="宋体"/>
          <w:color w:val="auto"/>
          <w:kern w:val="0"/>
          <w:sz w:val="24"/>
          <w:szCs w:val="24"/>
          <w:highlight w:val="none"/>
        </w:rPr>
        <w:t>（六）定标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_Toc18076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"_Toc24475" </w:instrText>
      </w:r>
      <w:r>
        <w:rPr>
          <w:color w:val="auto"/>
          <w:highlight w:val="none"/>
        </w:rPr>
        <w:fldChar w:fldCharType="separate"/>
      </w:r>
      <w:r>
        <w:rPr>
          <w:rFonts w:hint="eastAsia" w:ascii="宋体" w:hAnsi="宋体" w:cs="宋体"/>
          <w:color w:val="auto"/>
          <w:kern w:val="0"/>
          <w:sz w:val="24"/>
          <w:szCs w:val="24"/>
          <w:highlight w:val="none"/>
        </w:rPr>
        <w:t>（七）中标通知书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_Toc24475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"_Toc25642" </w:instrText>
      </w:r>
      <w:r>
        <w:rPr>
          <w:color w:val="auto"/>
          <w:highlight w:val="none"/>
        </w:rPr>
        <w:fldChar w:fldCharType="separate"/>
      </w:r>
      <w:r>
        <w:rPr>
          <w:rFonts w:hint="eastAsia" w:ascii="宋体" w:hAnsi="宋体" w:cs="宋体"/>
          <w:color w:val="auto"/>
          <w:kern w:val="0"/>
          <w:sz w:val="24"/>
          <w:szCs w:val="24"/>
          <w:highlight w:val="none"/>
        </w:rPr>
        <w:t>（八）合同授予</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_Toc25642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"_Toc22796" </w:instrText>
      </w:r>
      <w:r>
        <w:rPr>
          <w:color w:val="auto"/>
          <w:highlight w:val="none"/>
        </w:rPr>
        <w:fldChar w:fldCharType="separate"/>
      </w:r>
      <w:r>
        <w:rPr>
          <w:rFonts w:hint="eastAsia" w:ascii="宋体" w:hAnsi="宋体" w:cs="宋体"/>
          <w:color w:val="auto"/>
          <w:sz w:val="24"/>
          <w:szCs w:val="24"/>
          <w:highlight w:val="none"/>
        </w:rPr>
        <w:t>第三章  招标人对招标文件的补充/修改</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_Toc22796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"_Toc24356" </w:instrText>
      </w:r>
      <w:r>
        <w:rPr>
          <w:color w:val="auto"/>
          <w:highlight w:val="none"/>
        </w:rPr>
        <w:fldChar w:fldCharType="separate"/>
      </w:r>
      <w:r>
        <w:rPr>
          <w:rFonts w:hint="eastAsia" w:ascii="宋体" w:hAnsi="宋体" w:cs="宋体"/>
          <w:color w:val="auto"/>
          <w:kern w:val="0"/>
          <w:sz w:val="24"/>
          <w:szCs w:val="24"/>
          <w:highlight w:val="none"/>
        </w:rPr>
        <w:t>第四章  勘察任务书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_Toc24356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"_Toc6480" </w:instrText>
      </w:r>
      <w:r>
        <w:rPr>
          <w:color w:val="auto"/>
          <w:highlight w:val="none"/>
        </w:rPr>
        <w:fldChar w:fldCharType="separate"/>
      </w:r>
      <w:r>
        <w:rPr>
          <w:rFonts w:hint="eastAsia" w:ascii="宋体" w:hAnsi="宋体" w:cs="宋体"/>
          <w:color w:val="auto"/>
          <w:kern w:val="0"/>
          <w:sz w:val="24"/>
          <w:szCs w:val="24"/>
          <w:highlight w:val="none"/>
        </w:rPr>
        <w:t>第五章  投标文件格式</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_Toc6480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"_Toc21858" </w:instrText>
      </w:r>
      <w:r>
        <w:rPr>
          <w:color w:val="auto"/>
          <w:highlight w:val="none"/>
        </w:rPr>
        <w:fldChar w:fldCharType="separate"/>
      </w:r>
      <w:r>
        <w:rPr>
          <w:rFonts w:hint="eastAsia" w:ascii="宋体" w:hAnsi="宋体" w:cs="宋体"/>
          <w:color w:val="auto"/>
          <w:kern w:val="0"/>
          <w:sz w:val="24"/>
          <w:szCs w:val="24"/>
          <w:highlight w:val="none"/>
        </w:rPr>
        <w:t>第六章  合同条款</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_Toc21858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spacing w:line="360" w:lineRule="auto"/>
        <w:jc w:val="center"/>
        <w:rPr>
          <w:rFonts w:ascii="宋体" w:hAnsi="宋体" w:eastAsia="宋体" w:cs="宋体"/>
          <w:b/>
          <w:bCs/>
          <w:color w:val="auto"/>
          <w:sz w:val="36"/>
          <w:szCs w:val="36"/>
          <w:highlight w:val="none"/>
        </w:rPr>
      </w:pPr>
      <w:r>
        <w:rPr>
          <w:rFonts w:hint="eastAsia" w:ascii="宋体" w:hAnsi="宋体" w:eastAsia="宋体" w:cs="宋体"/>
          <w:bCs/>
          <w:color w:val="auto"/>
          <w:sz w:val="24"/>
          <w:szCs w:val="24"/>
          <w:highlight w:val="none"/>
        </w:rPr>
        <w:fldChar w:fldCharType="end"/>
      </w:r>
    </w:p>
    <w:p>
      <w:pPr>
        <w:rPr>
          <w:color w:val="auto"/>
          <w:highlight w:val="none"/>
        </w:rPr>
      </w:pPr>
      <w:r>
        <w:rPr>
          <w:rFonts w:hint="eastAsia"/>
          <w:color w:val="auto"/>
          <w:highlight w:val="none"/>
        </w:rPr>
        <w:br w:type="page"/>
      </w:r>
    </w:p>
    <w:p>
      <w:pPr>
        <w:pStyle w:val="2"/>
        <w:tabs>
          <w:tab w:val="left" w:pos="7520"/>
        </w:tabs>
        <w:rPr>
          <w:rFonts w:ascii="黑体" w:hAnsi="黑体" w:eastAsia="黑体" w:cs="黑体"/>
          <w:b w:val="0"/>
          <w:bCs/>
          <w:color w:val="auto"/>
          <w:szCs w:val="32"/>
          <w:highlight w:val="none"/>
        </w:rPr>
      </w:pPr>
      <w:bookmarkStart w:id="17" w:name="_Toc32079"/>
      <w:r>
        <w:rPr>
          <w:rFonts w:hint="eastAsia" w:ascii="黑体" w:hAnsi="黑体" w:eastAsia="黑体" w:cs="黑体"/>
          <w:b w:val="0"/>
          <w:bCs/>
          <w:color w:val="auto"/>
          <w:szCs w:val="32"/>
          <w:highlight w:val="none"/>
        </w:rPr>
        <w:t>第一章  使用说明</w:t>
      </w:r>
      <w:bookmarkEnd w:id="1"/>
      <w:bookmarkEnd w:id="2"/>
      <w:bookmarkEnd w:id="3"/>
      <w:bookmarkEnd w:id="17"/>
    </w:p>
    <w:p>
      <w:pPr>
        <w:rPr>
          <w:color w:val="auto"/>
          <w:highlight w:val="none"/>
        </w:rPr>
      </w:pPr>
    </w:p>
    <w:p>
      <w:pPr>
        <w:adjustRightInd w:val="0"/>
        <w:snapToGrid w:val="0"/>
        <w:spacing w:line="440" w:lineRule="exact"/>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一、为了规范工程勘察招标投标活动，保障招标人和投标人的合法权益，根据国家及深圳市有关法律、法规、规章和规范性文件的规定，结合我市实际，遵循公开、公平、公正和诚实信用的原则，深圳市住房和建设局制定了《深圳市建设工程勘察类招标文件》（以下简称“本范本”）。</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二、本范本适用于采用电子招投标及计算机评标的勘察类工程（泛指勘察、测量、测绘、岩土工程等）招标工程。</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三、本范本的主要编写依据：</w:t>
      </w:r>
    </w:p>
    <w:p>
      <w:pPr>
        <w:adjustRightInd w:val="0"/>
        <w:snapToGrid w:val="0"/>
        <w:spacing w:line="440" w:lineRule="exact"/>
        <w:ind w:right="-1081" w:rightChars="-515"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pPr>
        <w:adjustRightInd w:val="0"/>
        <w:snapToGrid w:val="0"/>
        <w:spacing w:line="440" w:lineRule="exact"/>
        <w:ind w:right="-1285" w:rightChars="-612"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 《中华人民共和国招标投标法实施条例》；</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 《工程建设项目勘察设计招标投标办法》；</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 《电子招标投标办法》；</w:t>
      </w:r>
    </w:p>
    <w:p>
      <w:pPr>
        <w:adjustRightInd w:val="0"/>
        <w:snapToGrid w:val="0"/>
        <w:spacing w:line="440" w:lineRule="exact"/>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 《关于创新完善体制机制推动招标投标市场规范健康发展的意见》(国办发〔2024〕21号）；</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 《关于建设工程招标投标改革的若干规定》(深府〔2015〕73号)；</w:t>
      </w:r>
    </w:p>
    <w:p>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 《关于进一步完善建设工程招标投标制度的若干措施》(深建规〔2020〕1号)</w:t>
      </w:r>
      <w:r>
        <w:rPr>
          <w:rFonts w:hint="eastAsia" w:ascii="宋体" w:hAnsi="宋体" w:eastAsia="宋体" w:cs="宋体"/>
          <w:color w:val="auto"/>
          <w:szCs w:val="21"/>
          <w:highlight w:val="none"/>
        </w:rPr>
        <w:t>；</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kern w:val="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pPr>
        <w:wordWrap w:val="0"/>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五、本招标文件所指交易网为：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六、招标人和投标人应事先办理企业的数字证书或电子营业执照，同时应办理相关人员的数字证书。有关手续请查看交易网中的“</w:t>
      </w:r>
      <w:r>
        <w:rPr>
          <w:rFonts w:hint="eastAsia" w:ascii="宋体" w:hAnsi="宋体" w:eastAsia="宋体" w:cs="宋体"/>
          <w:color w:val="auto"/>
          <w:szCs w:val="21"/>
          <w:highlight w:val="none"/>
        </w:rPr>
        <w:t>建设工程</w:t>
      </w:r>
      <w:r>
        <w:rPr>
          <w:rFonts w:hint="eastAsia" w:ascii="宋体" w:hAnsi="宋体" w:eastAsia="宋体" w:cs="宋体"/>
          <w:color w:val="auto"/>
          <w:kern w:val="0"/>
          <w:szCs w:val="21"/>
          <w:highlight w:val="none"/>
        </w:rPr>
        <w:t>数字证书办事指南”。使用电子营业执照的，须提前在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“电子营业执照”微信小程序电子营业执照应用程序中下载本企业电子营业执照，有关手续请查看“电子营业执照用户使用手册”。</w:t>
      </w:r>
    </w:p>
    <w:p>
      <w:pPr>
        <w:adjustRightInd w:val="0"/>
        <w:snapToGrid w:val="0"/>
        <w:spacing w:line="440" w:lineRule="exact"/>
        <w:ind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七、</w:t>
      </w:r>
      <w:r>
        <w:rPr>
          <w:rFonts w:hint="eastAsia" w:ascii="宋体" w:hAnsi="宋体" w:eastAsia="宋体" w:cs="宋体"/>
          <w:color w:val="auto"/>
          <w:szCs w:val="21"/>
          <w:highlight w:val="none"/>
        </w:rPr>
        <w:t>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pPr>
        <w:adjustRightInd w:val="0"/>
        <w:snapToGrid w:val="0"/>
        <w:spacing w:line="440" w:lineRule="exact"/>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八、有关招标问题的说明</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2．采用本示范文本以外的评标方法应经建设、交通行政主管部门批准，并且必须在招标文件的评标方法中进行详细描述。</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3.采用本示范文本以外的定标方法应经建设、交通行政主管部门批准，并且必须在招标文件中进行详细描述。</w:t>
      </w:r>
    </w:p>
    <w:p>
      <w:pPr>
        <w:adjustRightInd w:val="0"/>
        <w:snapToGrid w:val="0"/>
        <w:spacing w:line="440" w:lineRule="exact"/>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4.招标人注意事项：</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4.1招标人所提交电子招标文件格式应为*.</w:t>
      </w:r>
      <w:r>
        <w:rPr>
          <w:color w:val="auto"/>
          <w:highlight w:val="none"/>
        </w:rPr>
        <w:t>KCZB</w:t>
      </w:r>
      <w:r>
        <w:rPr>
          <w:rFonts w:hint="eastAsia" w:ascii="宋体" w:hAnsi="宋体" w:eastAsia="宋体" w:cs="宋体"/>
          <w:color w:val="auto"/>
          <w:kern w:val="0"/>
          <w:szCs w:val="21"/>
          <w:highlight w:val="none"/>
        </w:rPr>
        <w:t>。该文件格式必须是</w:t>
      </w:r>
      <w:r>
        <w:rPr>
          <w:rFonts w:hint="eastAsia" w:ascii="宋体" w:hAnsi="宋体" w:eastAsia="宋体" w:cs="宋体"/>
          <w:color w:val="auto"/>
          <w:szCs w:val="21"/>
          <w:highlight w:val="none"/>
          <w:lang w:val="en-US" w:eastAsia="zh-CN"/>
        </w:rPr>
        <w:t>交易平台编制生成</w:t>
      </w:r>
      <w:r>
        <w:rPr>
          <w:rFonts w:hint="eastAsia" w:ascii="宋体" w:hAnsi="宋体" w:eastAsia="宋体" w:cs="宋体"/>
          <w:color w:val="auto"/>
          <w:kern w:val="0"/>
          <w:szCs w:val="21"/>
          <w:highlight w:val="none"/>
        </w:rPr>
        <w:t>。</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4.2具有数字证书或电子营业执照签名的电子招标文件，方为合法、有效；未对电子文件进行数字证书或电子营业执照签名的，将不予备案与发布。</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4.3如对招标文件作任何修改，均须保证投标文件足够编制时间。</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九、有关投标问题的说明</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1.投标人获取招标文件后，应仔细阅读招标文件及附件的全部内容，附件与招标文件具有同等效力。</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3.投标人对招标文件有不同意见或不明之处，应在交易</w:t>
      </w:r>
      <w:r>
        <w:rPr>
          <w:rFonts w:hint="eastAsia" w:ascii="宋体" w:hAnsi="宋体" w:eastAsia="宋体" w:cs="宋体"/>
          <w:color w:val="auto"/>
          <w:kern w:val="0"/>
          <w:szCs w:val="21"/>
          <w:highlight w:val="none"/>
          <w:lang w:val="en-US" w:eastAsia="zh-CN"/>
        </w:rPr>
        <w:t>平台</w:t>
      </w:r>
      <w:r>
        <w:rPr>
          <w:rFonts w:hint="eastAsia" w:ascii="宋体" w:hAnsi="宋体" w:eastAsia="宋体" w:cs="宋体"/>
          <w:color w:val="auto"/>
          <w:kern w:val="0"/>
          <w:szCs w:val="21"/>
          <w:highlight w:val="none"/>
        </w:rPr>
        <w:t>向招标人提出。</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4.投标人应在遵循招标文件的各项规定和要求的前提下，编制投标文件。投标文件必须满足招标文件中的实质性要求和条件。投标文件若出现否决性条款的情形其投标将会被否决。</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5.交易</w:t>
      </w:r>
      <w:r>
        <w:rPr>
          <w:rFonts w:hint="eastAsia" w:ascii="宋体" w:hAnsi="宋体" w:eastAsia="宋体" w:cs="宋体"/>
          <w:color w:val="auto"/>
          <w:kern w:val="0"/>
          <w:szCs w:val="21"/>
          <w:highlight w:val="none"/>
          <w:lang w:val="en-US" w:eastAsia="zh-CN"/>
        </w:rPr>
        <w:t>网</w:t>
      </w:r>
      <w:r>
        <w:rPr>
          <w:rFonts w:hint="eastAsia" w:ascii="宋体" w:hAnsi="宋体" w:eastAsia="宋体" w:cs="宋体"/>
          <w:color w:val="auto"/>
          <w:kern w:val="0"/>
          <w:szCs w:val="21"/>
          <w:highlight w:val="none"/>
        </w:rPr>
        <w:t>是投标人获取建设工程电子招标文件唯一合法渠道。投标人需随时关注交易网上招标文件更新情况，并根据最后一次发布的电子招标文件制作及更新投标文件。如因未使用最新版招标文件制作投标文件导致不利后果的，由投标人自行承担。</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的相关规定，违反规定导致不利后果的，由投标人自行承担。</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投标人须对投标资料的真实性负责。招标人有权将投标文件的部分或全部内容向外公示，若公示期间收到有关弄虚作假投诉的，招标人将提请建设行政主管部门或有关行政管理部门查处。一旦查实将严格按照法律法规作出处理。</w:t>
      </w:r>
    </w:p>
    <w:p>
      <w:pPr>
        <w:adjustRightInd w:val="0"/>
        <w:snapToGrid w:val="0"/>
        <w:spacing w:line="440" w:lineRule="exact"/>
        <w:ind w:firstLine="420" w:firstLineChars="200"/>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8.投标人注意事项：</w:t>
      </w:r>
    </w:p>
    <w:p>
      <w:pPr>
        <w:wordWrap w:val="0"/>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r>
        <w:rPr>
          <w:rFonts w:hint="eastAsia" w:ascii="宋体" w:hAnsi="宋体" w:eastAsia="宋体" w:cs="宋体"/>
          <w:color w:val="auto"/>
          <w:szCs w:val="21"/>
          <w:highlight w:val="none"/>
        </w:rPr>
        <w:t>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8.2投标人应事先办理企业数字证书或电子营业执照及其相关人员的数字证书及录入投标员信息。有关手续请查看交易网《建设工程数字证书办理指南》。市住房和建设局企业与人员信息半天交换一次，请投标人提前办好备案和变更手续。使用电子营业执照的，须提前在国家市场监督管理监管总局“电子营业执照”微信小程序电子营业执照应用程序中下载本企业电子营业执照，有关手续请查看“电子营业执照用户使用手册”。</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8.3投标人所提交电子投标文件格式为*.</w:t>
      </w:r>
      <w:r>
        <w:rPr>
          <w:rFonts w:ascii="宋体" w:hAnsi="宋体" w:eastAsia="宋体" w:cs="宋体"/>
          <w:color w:val="auto"/>
          <w:kern w:val="0"/>
          <w:szCs w:val="21"/>
          <w:highlight w:val="none"/>
        </w:rPr>
        <w:t>KCTB</w:t>
      </w:r>
      <w:r>
        <w:rPr>
          <w:rFonts w:hint="eastAsia" w:ascii="宋体" w:hAnsi="宋体" w:eastAsia="宋体" w:cs="宋体"/>
          <w:color w:val="auto"/>
          <w:kern w:val="0"/>
          <w:szCs w:val="21"/>
          <w:highlight w:val="none"/>
        </w:rPr>
        <w:t>，资信标格式为*.</w:t>
      </w:r>
      <w:r>
        <w:rPr>
          <w:rFonts w:ascii="宋体" w:hAnsi="宋体" w:eastAsia="宋体" w:cs="宋体"/>
          <w:color w:val="auto"/>
          <w:kern w:val="0"/>
          <w:szCs w:val="21"/>
          <w:highlight w:val="none"/>
        </w:rPr>
        <w:t>KCTB</w:t>
      </w:r>
      <w:r>
        <w:rPr>
          <w:rFonts w:hint="eastAsia" w:ascii="宋体" w:hAnsi="宋体" w:eastAsia="宋体" w:cs="宋体"/>
          <w:color w:val="auto"/>
          <w:kern w:val="0"/>
          <w:szCs w:val="21"/>
          <w:highlight w:val="none"/>
        </w:rPr>
        <w:t>，商务标格式为*.</w:t>
      </w:r>
      <w:r>
        <w:rPr>
          <w:rFonts w:ascii="宋体" w:hAnsi="宋体" w:eastAsia="宋体" w:cs="宋体"/>
          <w:color w:val="auto"/>
          <w:kern w:val="0"/>
          <w:szCs w:val="21"/>
          <w:highlight w:val="none"/>
        </w:rPr>
        <w:t>KCTB</w:t>
      </w:r>
      <w:r>
        <w:rPr>
          <w:rFonts w:hint="eastAsia" w:ascii="宋体" w:hAnsi="宋体" w:eastAsia="宋体" w:cs="宋体"/>
          <w:color w:val="auto"/>
          <w:kern w:val="0"/>
          <w:szCs w:val="21"/>
          <w:highlight w:val="none"/>
        </w:rPr>
        <w:t>，资格审查文件格式为*.</w:t>
      </w:r>
      <w:r>
        <w:rPr>
          <w:rFonts w:ascii="宋体" w:hAnsi="宋体" w:eastAsia="宋体" w:cs="宋体"/>
          <w:color w:val="auto"/>
          <w:kern w:val="0"/>
          <w:szCs w:val="21"/>
          <w:highlight w:val="none"/>
        </w:rPr>
        <w:t>KCTZS</w:t>
      </w: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业绩文件格式为*.</w:t>
      </w:r>
      <w:r>
        <w:rPr>
          <w:rFonts w:ascii="宋体" w:hAnsi="宋体" w:eastAsia="宋体" w:cs="宋体"/>
          <w:color w:val="auto"/>
          <w:kern w:val="0"/>
          <w:szCs w:val="21"/>
          <w:highlight w:val="none"/>
        </w:rPr>
        <w:t>KCTYJ</w:t>
      </w:r>
      <w:r>
        <w:rPr>
          <w:rFonts w:hint="eastAsia" w:ascii="宋体" w:hAnsi="宋体" w:eastAsia="宋体" w:cs="宋体"/>
          <w:color w:val="auto"/>
          <w:kern w:val="0"/>
          <w:szCs w:val="21"/>
          <w:highlight w:val="none"/>
        </w:rPr>
        <w:t>。这些文件格式必须是由“电子文件编制工具”生成。因电子投标文件编制不规范而导致投标文件内容无法导入系统导致不利后果的，由投标人自行承担。编制投标文件时，如需粘贴图片，</w:t>
      </w:r>
      <w:r>
        <w:rPr>
          <w:rFonts w:hint="eastAsia" w:ascii="宋体" w:hAnsi="宋体" w:eastAsia="宋体" w:cs="宋体"/>
          <w:color w:val="auto"/>
          <w:szCs w:val="21"/>
          <w:highlight w:val="none"/>
        </w:rPr>
        <w:t>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w:t>
      </w:r>
      <w:r>
        <w:rPr>
          <w:rFonts w:hint="eastAsia" w:ascii="宋体" w:hAnsi="宋体" w:eastAsia="宋体" w:cs="宋体"/>
          <w:color w:val="auto"/>
          <w:kern w:val="0"/>
          <w:szCs w:val="21"/>
          <w:highlight w:val="none"/>
        </w:rPr>
        <w:t>，且其分辨率不得低于100dpi。</w:t>
      </w:r>
      <w:r>
        <w:rPr>
          <w:rFonts w:hint="eastAsia" w:ascii="宋体" w:hAnsi="宋体" w:eastAsia="宋体" w:cs="宋体"/>
          <w:b w:val="0"/>
          <w:bCs w:val="0"/>
          <w:i w:val="0"/>
          <w:iCs w:val="0"/>
          <w:color w:val="auto"/>
          <w:spacing w:val="0"/>
          <w:w w:val="100"/>
          <w:sz w:val="21"/>
          <w:szCs w:val="21"/>
          <w:highlight w:val="none"/>
          <w:vertAlign w:val="baseline"/>
        </w:rPr>
        <w:t>技术标和资信标文件一共所占用磁盘空间必须小于50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0M，商务标所占用磁盘空间必须小于500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M，资格审查文件所占用磁盘空间必须小于</w:t>
      </w:r>
      <w:r>
        <w:rPr>
          <w:rFonts w:hint="eastAsia" w:ascii="宋体" w:hAnsi="宋体" w:eastAsia="宋体" w:cs="宋体"/>
          <w:b w:val="0"/>
          <w:bCs w:val="0"/>
          <w:i w:val="0"/>
          <w:iCs w:val="0"/>
          <w:color w:val="auto"/>
          <w:spacing w:val="0"/>
          <w:w w:val="100"/>
          <w:sz w:val="21"/>
          <w:szCs w:val="21"/>
          <w:highlight w:val="none"/>
          <w:vertAlign w:val="baseline"/>
          <w:lang w:val="en-US" w:eastAsia="zh-CN"/>
        </w:rPr>
        <w:t>2</w:t>
      </w:r>
      <w:r>
        <w:rPr>
          <w:rFonts w:hint="eastAsia" w:ascii="宋体" w:hAnsi="宋体" w:eastAsia="宋体" w:cs="宋体"/>
          <w:b w:val="0"/>
          <w:bCs w:val="0"/>
          <w:i w:val="0"/>
          <w:iCs w:val="0"/>
          <w:color w:val="auto"/>
          <w:spacing w:val="0"/>
          <w:w w:val="100"/>
          <w:sz w:val="21"/>
          <w:szCs w:val="21"/>
          <w:highlight w:val="none"/>
          <w:vertAlign w:val="baseline"/>
        </w:rPr>
        <w:t>00M。</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8.4电子投标文件必须具有数字证书或电子营业执照签名，方为合法、有效；因未对电子文件进行数字证书或电子营业执照签名导致不利后果的，由投标人自行承担。</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在电子投标文件编制工具中，生成电子标书时，必须对电子标书进行《单位机构数字证书》或电子营业执照签名以及《法定代表人个人数字证书》签名。</w:t>
      </w:r>
    </w:p>
    <w:p>
      <w:pPr>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8.5投标人应严格按招标文件要求，在截标前使用投标人（或联合体主体）单位机构数字证书或电子营业执照，通过交易网递交电子投标文件，上传成功后打印回执，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8.6投标人可使用电子文件编制工具</w:t>
      </w:r>
      <w:r>
        <w:rPr>
          <w:rFonts w:hint="eastAsia" w:ascii="宋体" w:hAnsi="宋体" w:eastAsia="宋体" w:cs="宋体"/>
          <w:color w:val="auto"/>
          <w:kern w:val="0"/>
          <w:szCs w:val="21"/>
          <w:highlight w:val="none"/>
          <w:lang w:val="en-US" w:eastAsia="zh-CN"/>
        </w:rPr>
        <w:t>中</w:t>
      </w:r>
      <w:r>
        <w:rPr>
          <w:rFonts w:hint="eastAsia" w:ascii="宋体" w:hAnsi="宋体" w:eastAsia="宋体" w:cs="宋体"/>
          <w:color w:val="auto"/>
          <w:kern w:val="0"/>
          <w:szCs w:val="21"/>
          <w:highlight w:val="none"/>
        </w:rPr>
        <w:t>的加密功能对电子投标文件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对电子投标文件加密的，需在开标会时登录</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远程解密或携带用于加密的数字证书或电子营业执照在开标会上进行解密。因未成功解密导致不利后果的，由投标人自行承担。</w:t>
      </w:r>
    </w:p>
    <w:p>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9.本工程将采用</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进行投标、开标及评标，请认真阅读本说明，若有疑问可通过载明的联系方式要求技术咨询。</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pPr>
        <w:ind w:firstLine="420" w:firstLineChars="200"/>
        <w:rPr>
          <w:rFonts w:hint="eastAsia" w:ascii="宋体" w:hAnsi="宋体" w:eastAsia="宋体" w:cs="宋体"/>
          <w:color w:val="auto"/>
          <w:szCs w:val="21"/>
          <w:highlight w:val="none"/>
          <w:lang w:val="en-US" w:eastAsia="zh-CN"/>
        </w:rPr>
      </w:pPr>
    </w:p>
    <w:tbl>
      <w:tblPr>
        <w:tblStyle w:val="80"/>
        <w:tblpPr w:leftFromText="180" w:rightFromText="180" w:vertAnchor="text" w:horzAnchor="page" w:tblpX="1220" w:tblpY="531"/>
        <w:tblOverlap w:val="never"/>
        <w:tblW w:w="9675" w:type="dxa"/>
        <w:tblInd w:w="0" w:type="dxa"/>
        <w:tblLayout w:type="fixed"/>
        <w:tblCellMar>
          <w:top w:w="0" w:type="dxa"/>
          <w:left w:w="108" w:type="dxa"/>
          <w:bottom w:w="0" w:type="dxa"/>
          <w:right w:w="108" w:type="dxa"/>
        </w:tblCellMar>
      </w:tblPr>
      <w:tblGrid>
        <w:gridCol w:w="1587"/>
        <w:gridCol w:w="2988"/>
        <w:gridCol w:w="1845"/>
        <w:gridCol w:w="3255"/>
      </w:tblGrid>
      <w:tr>
        <w:tblPrEx>
          <w:tblLayout w:type="fixed"/>
          <w:tblCellMar>
            <w:top w:w="0" w:type="dxa"/>
            <w:left w:w="108" w:type="dxa"/>
            <w:bottom w:w="0" w:type="dxa"/>
            <w:right w:w="108" w:type="dxa"/>
          </w:tblCellMar>
        </w:tblPrEx>
        <w:trPr>
          <w:trHeight w:val="454" w:hRule="atLeast"/>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trPr>
        <w:tc>
          <w:tcPr>
            <w:tcW w:w="1587"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988"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255" w:type="dxa"/>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bl>
    <w:p>
      <w:pPr>
        <w:adjustRightInd w:val="0"/>
        <w:snapToGrid w:val="0"/>
        <w:spacing w:line="440" w:lineRule="exact"/>
        <w:rPr>
          <w:strike/>
          <w:color w:val="auto"/>
          <w:highlight w:val="none"/>
        </w:rPr>
      </w:pPr>
      <w:r>
        <w:rPr>
          <w:rFonts w:hint="eastAsia"/>
          <w:strike/>
          <w:color w:val="auto"/>
          <w:highlight w:val="none"/>
        </w:rPr>
        <w:br w:type="page"/>
      </w:r>
      <w:bookmarkEnd w:id="4"/>
    </w:p>
    <w:p>
      <w:pPr>
        <w:adjustRightInd w:val="0"/>
        <w:snapToGrid w:val="0"/>
        <w:spacing w:line="360" w:lineRule="auto"/>
        <w:jc w:val="center"/>
        <w:outlineLvl w:val="0"/>
        <w:rPr>
          <w:rFonts w:ascii="黑体" w:eastAsia="黑体"/>
          <w:bCs/>
          <w:color w:val="auto"/>
          <w:kern w:val="0"/>
          <w:sz w:val="32"/>
          <w:szCs w:val="32"/>
          <w:highlight w:val="none"/>
        </w:rPr>
      </w:pPr>
      <w:bookmarkStart w:id="18" w:name="_Toc7172"/>
      <w:bookmarkStart w:id="19" w:name="_Toc20810"/>
      <w:bookmarkStart w:id="20" w:name="_Toc10218"/>
      <w:r>
        <w:rPr>
          <w:rFonts w:hint="eastAsia" w:ascii="黑体" w:eastAsia="黑体"/>
          <w:bCs/>
          <w:color w:val="auto"/>
          <w:kern w:val="0"/>
          <w:sz w:val="32"/>
          <w:szCs w:val="32"/>
          <w:highlight w:val="none"/>
        </w:rPr>
        <w:t>第二章  投标须知</w:t>
      </w:r>
      <w:bookmarkEnd w:id="5"/>
      <w:bookmarkEnd w:id="6"/>
      <w:bookmarkEnd w:id="7"/>
      <w:bookmarkEnd w:id="8"/>
      <w:bookmarkEnd w:id="9"/>
      <w:bookmarkEnd w:id="10"/>
      <w:bookmarkEnd w:id="11"/>
      <w:bookmarkEnd w:id="12"/>
      <w:bookmarkEnd w:id="13"/>
      <w:bookmarkEnd w:id="14"/>
      <w:bookmarkEnd w:id="15"/>
      <w:bookmarkEnd w:id="16"/>
      <w:bookmarkEnd w:id="18"/>
      <w:bookmarkEnd w:id="19"/>
      <w:bookmarkEnd w:id="20"/>
    </w:p>
    <w:p>
      <w:pPr>
        <w:adjustRightInd w:val="0"/>
        <w:snapToGrid w:val="0"/>
        <w:spacing w:line="360" w:lineRule="auto"/>
        <w:jc w:val="center"/>
        <w:outlineLvl w:val="1"/>
        <w:rPr>
          <w:rFonts w:ascii="黑体" w:hAnsi="黑体" w:eastAsia="黑体"/>
          <w:color w:val="auto"/>
          <w:sz w:val="32"/>
          <w:szCs w:val="32"/>
          <w:highlight w:val="none"/>
        </w:rPr>
      </w:pPr>
      <w:bookmarkStart w:id="21" w:name="_Toc2818"/>
      <w:bookmarkStart w:id="22" w:name="_Toc3748"/>
      <w:bookmarkStart w:id="23" w:name="_Toc11898"/>
      <w:bookmarkStart w:id="24" w:name="_Toc748"/>
      <w:bookmarkStart w:id="25" w:name="_Toc679"/>
      <w:bookmarkStart w:id="26" w:name="_Toc10581"/>
      <w:bookmarkStart w:id="27" w:name="_Toc19976"/>
      <w:bookmarkStart w:id="28" w:name="_Toc19637"/>
      <w:bookmarkStart w:id="29" w:name="_Toc25546"/>
      <w:bookmarkStart w:id="30" w:name="_Toc3858"/>
      <w:bookmarkStart w:id="31" w:name="_Toc20885"/>
      <w:bookmarkStart w:id="32" w:name="_Toc23850"/>
      <w:bookmarkStart w:id="33" w:name="_Toc516"/>
      <w:bookmarkStart w:id="34" w:name="_Toc3009"/>
      <w:r>
        <w:rPr>
          <w:rFonts w:hint="eastAsia" w:ascii="黑体" w:hAnsi="黑体" w:eastAsia="黑体"/>
          <w:color w:val="auto"/>
          <w:sz w:val="32"/>
          <w:szCs w:val="32"/>
          <w:highlight w:val="none"/>
        </w:rPr>
        <w:t>一、投标须知前附表</w:t>
      </w:r>
      <w:bookmarkEnd w:id="21"/>
      <w:bookmarkEnd w:id="22"/>
      <w:bookmarkEnd w:id="23"/>
      <w:bookmarkEnd w:id="24"/>
      <w:bookmarkEnd w:id="25"/>
      <w:bookmarkEnd w:id="26"/>
      <w:bookmarkEnd w:id="27"/>
      <w:bookmarkEnd w:id="28"/>
      <w:bookmarkEnd w:id="29"/>
      <w:bookmarkEnd w:id="30"/>
      <w:bookmarkEnd w:id="31"/>
      <w:bookmarkEnd w:id="32"/>
      <w:bookmarkEnd w:id="33"/>
      <w:bookmarkEnd w:id="34"/>
    </w:p>
    <w:p>
      <w:pPr>
        <w:adjustRightInd w:val="0"/>
        <w:snapToGrid w:val="0"/>
        <w:spacing w:line="360" w:lineRule="auto"/>
        <w:jc w:val="center"/>
        <w:outlineLvl w:val="2"/>
        <w:rPr>
          <w:rFonts w:ascii="黑体" w:hAnsi="黑体" w:eastAsia="黑体" w:cs="黑体"/>
          <w:color w:val="auto"/>
          <w:kern w:val="0"/>
          <w:sz w:val="30"/>
          <w:highlight w:val="none"/>
        </w:rPr>
      </w:pPr>
      <w:bookmarkStart w:id="35" w:name="_Toc13496"/>
      <w:bookmarkStart w:id="36" w:name="_Toc17163"/>
      <w:bookmarkStart w:id="37" w:name="_Toc17644"/>
      <w:bookmarkStart w:id="38" w:name="_Toc13159"/>
      <w:bookmarkStart w:id="39" w:name="_Toc20516"/>
      <w:bookmarkStart w:id="40" w:name="_Toc24945"/>
      <w:bookmarkStart w:id="41" w:name="_Toc23482"/>
      <w:bookmarkStart w:id="42" w:name="_Toc4704"/>
      <w:bookmarkStart w:id="43" w:name="_Toc22326"/>
      <w:bookmarkStart w:id="44" w:name="_Toc9114"/>
      <w:bookmarkStart w:id="45" w:name="_Toc3916"/>
      <w:bookmarkStart w:id="46" w:name="_Toc10339"/>
      <w:bookmarkStart w:id="47" w:name="_Toc12584"/>
      <w:r>
        <w:rPr>
          <w:rFonts w:hint="eastAsia" w:ascii="黑体" w:hAnsi="黑体" w:eastAsia="黑体" w:cs="黑体"/>
          <w:color w:val="auto"/>
          <w:kern w:val="0"/>
          <w:sz w:val="30"/>
          <w:highlight w:val="none"/>
        </w:rPr>
        <w:t>（一）招标项目基本情况</w:t>
      </w:r>
      <w:bookmarkEnd w:id="35"/>
      <w:bookmarkEnd w:id="36"/>
      <w:bookmarkEnd w:id="37"/>
      <w:bookmarkEnd w:id="38"/>
      <w:bookmarkEnd w:id="39"/>
      <w:bookmarkEnd w:id="40"/>
      <w:bookmarkEnd w:id="41"/>
      <w:bookmarkEnd w:id="42"/>
      <w:bookmarkEnd w:id="43"/>
      <w:bookmarkEnd w:id="44"/>
      <w:bookmarkEnd w:id="45"/>
      <w:bookmarkEnd w:id="46"/>
      <w:bookmarkEnd w:id="47"/>
    </w:p>
    <w:tbl>
      <w:tblPr>
        <w:tblStyle w:val="80"/>
        <w:tblW w:w="999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674"/>
        <w:gridCol w:w="2411"/>
        <w:gridCol w:w="690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tblHeader/>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序号</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内   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u w:val="single"/>
              </w:rPr>
            </w:pPr>
            <w:r>
              <w:rPr>
                <w:rFonts w:hint="eastAsia" w:ascii="宋体" w:hAnsi="宋体" w:eastAsia="宋体" w:cs="宋体"/>
                <w:b/>
                <w:color w:val="auto"/>
                <w:kern w:val="0"/>
                <w:szCs w:val="21"/>
                <w:highlight w:val="none"/>
              </w:rPr>
              <w:t>规    定</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标段名称</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工程地点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是否场外工程</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是     □否</w:t>
            </w:r>
          </w:p>
          <w:p>
            <w:pPr>
              <w:rPr>
                <w:rFonts w:ascii="宋体" w:hAnsi="宋体" w:eastAsia="宋体" w:cs="宋体"/>
                <w:color w:val="auto"/>
                <w:szCs w:val="21"/>
                <w:highlight w:val="none"/>
              </w:rPr>
            </w:pPr>
            <w:r>
              <w:rPr>
                <w:rFonts w:hint="eastAsia" w:ascii="宋体" w:hAnsi="宋体" w:eastAsia="宋体" w:cs="宋体"/>
                <w:color w:val="auto"/>
                <w:szCs w:val="21"/>
                <w:highlight w:val="none"/>
              </w:rPr>
              <w:t>行政监督部门</w:t>
            </w:r>
            <w:r>
              <w:rPr>
                <w:rFonts w:hint="eastAsia" w:ascii="宋体" w:hAnsi="宋体" w:eastAsia="宋体" w:cs="宋体"/>
                <w:color w:val="auto"/>
                <w:szCs w:val="21"/>
                <w:highlight w:val="none"/>
                <w:u w:val="single"/>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工程规模及主要特征</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5</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招标范围</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6</w:t>
            </w:r>
          </w:p>
        </w:tc>
        <w:tc>
          <w:tcPr>
            <w:tcW w:w="2411"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val="0"/>
              <w:snapToGrid w:val="0"/>
              <w:spacing w:line="360" w:lineRule="auto"/>
              <w:rPr>
                <w:rFonts w:hint="eastAsia" w:ascii="宋体" w:hAnsi="宋体" w:eastAsia="宋体" w:cs="宋体"/>
                <w:bCs/>
                <w:color w:val="auto"/>
                <w:kern w:val="0"/>
                <w:szCs w:val="21"/>
                <w:highlight w:val="none"/>
                <w:u w:val="single"/>
                <w:lang w:val="en-US" w:eastAsia="zh-CN"/>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single"/>
                <w:lang w:val="en-US" w:eastAsia="zh-CN"/>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bCs/>
                <w:color w:val="auto"/>
                <w:kern w:val="0"/>
                <w:szCs w:val="21"/>
                <w:highlight w:val="none"/>
              </w:rPr>
            </w:pPr>
          </w:p>
        </w:tc>
        <w:tc>
          <w:tcPr>
            <w:tcW w:w="2411"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bCs/>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7</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投标人资质要求</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8</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投标人业绩要求</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396"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lang w:val="en-US" w:eastAsia="zh-CN"/>
              </w:rPr>
              <w:t>9</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是否接受联合体投标</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ascii="宋体" w:hAnsi="宋体" w:eastAsia="宋体" w:cs="宋体"/>
                <w:strike/>
                <w:color w:val="auto"/>
                <w:kern w:val="0"/>
                <w:szCs w:val="21"/>
                <w:highlight w:val="none"/>
                <w:u w:val="single"/>
              </w:rPr>
            </w:pPr>
            <w:r>
              <w:rPr>
                <w:rFonts w:hint="eastAsia" w:ascii="宋体" w:hAnsi="宋体" w:eastAsia="宋体" w:cs="宋体"/>
                <w:color w:val="auto"/>
                <w:kern w:val="0"/>
                <w:szCs w:val="21"/>
                <w:highlight w:val="none"/>
              </w:rPr>
              <w:t>□不接受               □接受</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注：联合体资质应符合法律法规的规定，并按照联合体协议约定的分工进行认定。</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396"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Cs w:val="21"/>
                <w:highlight w:val="none"/>
                <w:lang w:val="en-US" w:eastAsia="zh-CN"/>
              </w:rPr>
              <w:t>10</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bCs/>
                <w:color w:val="auto"/>
                <w:kern w:val="0"/>
                <w:szCs w:val="21"/>
                <w:highlight w:val="none"/>
              </w:rPr>
            </w:pPr>
            <w:r>
              <w:rPr>
                <w:rFonts w:hint="eastAsia" w:ascii="宋体" w:hAnsi="宋体" w:eastAsia="宋体" w:cs="宋体"/>
                <w:color w:val="auto"/>
                <w:kern w:val="0"/>
                <w:szCs w:val="21"/>
                <w:highlight w:val="none"/>
                <w:lang w:val="en-US" w:eastAsia="zh-CN"/>
              </w:rPr>
              <w:t>是否接受利害关系单位投标</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pPr>
              <w:adjustRightInd w:val="0"/>
              <w:snapToGrid w:val="0"/>
              <w:spacing w:line="360" w:lineRule="auto"/>
              <w:rPr>
                <w:rFonts w:hint="eastAsia" w:ascii="宋体" w:hAnsi="宋体" w:eastAsia="宋体" w:cs="宋体"/>
                <w:b/>
                <w:color w:val="auto"/>
                <w:kern w:val="0"/>
                <w:szCs w:val="21"/>
                <w:highlight w:val="none"/>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8"/>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勘察周期</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ascii="宋体" w:hAnsi="宋体" w:eastAsia="宋体" w:cs="宋体"/>
                <w:b/>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工程总投资估算额</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13</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资格审查方式</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rPr>
              <w:t>资格后审</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4</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勘察费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□固定报价</w:t>
            </w:r>
          </w:p>
          <w:p>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pPr>
              <w:adjustRightInd w:val="0"/>
              <w:snapToGrid w:val="0"/>
              <w:spacing w:line="360" w:lineRule="auto"/>
              <w:ind w:firstLine="210" w:firstLineChars="100"/>
              <w:jc w:val="left"/>
              <w:rPr>
                <w:rFonts w:ascii="宋体" w:hAnsi="宋体" w:eastAsia="宋体" w:cs="宋体"/>
                <w:strike/>
                <w:color w:val="auto"/>
                <w:kern w:val="0"/>
                <w:szCs w:val="21"/>
                <w:highlight w:val="none"/>
                <w:u w:val="single"/>
              </w:rPr>
            </w:pP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ind w:firstLine="210" w:firstLineChars="100"/>
              <w:jc w:val="left"/>
              <w:rPr>
                <w:rFonts w:ascii="宋体" w:hAnsi="宋体" w:eastAsia="宋体" w:cs="宋体"/>
                <w:strike/>
                <w:color w:val="auto"/>
                <w:kern w:val="0"/>
                <w:szCs w:val="21"/>
                <w:highlight w:val="none"/>
                <w:u w:val="single"/>
              </w:rPr>
            </w:pPr>
            <w:r>
              <w:rPr>
                <w:rFonts w:hint="eastAsia" w:ascii="宋体" w:hAnsi="宋体" w:eastAsia="宋体" w:cs="宋体"/>
                <w:color w:val="auto"/>
                <w:kern w:val="0"/>
                <w:szCs w:val="21"/>
                <w:highlight w:val="none"/>
              </w:rPr>
              <w:t>□不高于基准价的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pPr>
              <w:adjustRightInd w:val="0"/>
              <w:snapToGrid w:val="0"/>
              <w:spacing w:line="360" w:lineRule="auto"/>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rPr>
              <w:t>计费依据：</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5</w:t>
            </w:r>
          </w:p>
        </w:tc>
        <w:tc>
          <w:tcPr>
            <w:tcW w:w="2411" w:type="dxa"/>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时间：</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kern w:val="0"/>
                <w:szCs w:val="21"/>
                <w:highlight w:val="none"/>
              </w:rPr>
              <w:t>投标人质疑的期限与方式</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(1)投标人质疑截止时间：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（投标截止日期前不少于10日）</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(2)投标人提交疑问的方式：</w:t>
            </w:r>
          </w:p>
          <w:p>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□投标人对招标事宜的质疑以不署名的形式登录交易网提出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6"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8</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29"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9</w:t>
            </w:r>
          </w:p>
        </w:tc>
        <w:tc>
          <w:tcPr>
            <w:tcW w:w="2411"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投标担保</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pPr>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政府投资建设工程的勘察等服务类项目原则上不再收取投标保证金，政府投资建设工程以外的其他依法必须招标建设工程项目，鼓励招标人免收投标保证金。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328" w:hRule="atLeast"/>
          <w:jc w:val="center"/>
        </w:trPr>
        <w:tc>
          <w:tcPr>
            <w:tcW w:w="674"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p>
        </w:tc>
        <w:tc>
          <w:tcPr>
            <w:tcW w:w="2411" w:type="dxa"/>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strike/>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lang w:val="en-US" w:eastAsia="zh-CN"/>
              </w:rPr>
              <w:t>20</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招标会议时间</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开标会、评标会、定标会议时间及地点，在交易网进行查询。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90"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21</w:t>
            </w:r>
          </w:p>
        </w:tc>
        <w:tc>
          <w:tcPr>
            <w:tcW w:w="2411"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过多投标人淘汰环节</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90" w:hRule="atLeast"/>
          <w:jc w:val="center"/>
        </w:trPr>
        <w:tc>
          <w:tcPr>
            <w:tcW w:w="674" w:type="dxa"/>
            <w:vMerge w:val="continue"/>
            <w:tcBorders>
              <w:left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bCs/>
                <w:color w:val="auto"/>
                <w:kern w:val="0"/>
                <w:szCs w:val="21"/>
                <w:highlight w:val="none"/>
                <w:lang w:val="en-US" w:eastAsia="zh-CN"/>
              </w:rPr>
            </w:pPr>
          </w:p>
        </w:tc>
        <w:tc>
          <w:tcPr>
            <w:tcW w:w="2411" w:type="dxa"/>
            <w:vMerge w:val="continue"/>
            <w:tcBorders>
              <w:left w:val="single" w:color="auto" w:sz="4" w:space="0"/>
              <w:right w:val="single" w:color="auto" w:sz="4" w:space="0"/>
            </w:tcBorders>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1"/>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adjustRightInd w:val="0"/>
              <w:snapToGrid w:val="0"/>
              <w:spacing w:line="360" w:lineRule="auto"/>
              <w:ind w:firstLine="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54" w:hRule="atLeast"/>
          <w:jc w:val="center"/>
        </w:trPr>
        <w:tc>
          <w:tcPr>
            <w:tcW w:w="674" w:type="dxa"/>
            <w:vMerge w:val="continue"/>
            <w:tcBorders>
              <w:left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p>
        </w:tc>
        <w:tc>
          <w:tcPr>
            <w:tcW w:w="2411" w:type="dxa"/>
            <w:vMerge w:val="continue"/>
            <w:tcBorders>
              <w:left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ind w:firstLine="420" w:firstLineChars="200"/>
              <w:jc w:val="left"/>
              <w:rPr>
                <w:rFonts w:hAnsi="宋体" w:cs="宋体"/>
                <w:color w:val="auto"/>
                <w:sz w:val="21"/>
                <w:highlight w:val="none"/>
              </w:rPr>
            </w:pPr>
            <w:r>
              <w:rPr>
                <w:rFonts w:hint="eastAsia" w:hAnsi="宋体" w:cs="宋体"/>
                <w:color w:val="auto"/>
                <w:sz w:val="21"/>
                <w:highlight w:val="none"/>
              </w:rPr>
              <w:t>过多投标人淘汰方式：</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shd w:val="clear" w:color="auto" w:fill="FFFFFF"/>
              </w:rPr>
              <w:t>计算规则（采用直接票决或逐轮</w:t>
            </w:r>
            <w:r>
              <w:rPr>
                <w:rFonts w:hint="eastAsia" w:ascii="宋体" w:hAnsi="宋体" w:eastAsia="宋体" w:cs="宋体"/>
                <w:color w:val="auto"/>
                <w:kern w:val="0"/>
                <w:szCs w:val="21"/>
                <w:highlight w:val="none"/>
              </w:rPr>
              <w:t>票决</w:t>
            </w:r>
            <w:r>
              <w:rPr>
                <w:rFonts w:hint="eastAsia" w:ascii="宋体" w:hAnsi="宋体" w:eastAsia="宋体" w:cs="宋体"/>
                <w:color w:val="auto"/>
                <w:kern w:val="0"/>
                <w:szCs w:val="21"/>
                <w:highlight w:val="none"/>
                <w:shd w:val="clear" w:color="auto" w:fill="FFFFFF"/>
              </w:rPr>
              <w:t>的）：</w:t>
            </w:r>
            <w:r>
              <w:rPr>
                <w:rFonts w:hint="eastAsia" w:ascii="宋体" w:hAnsi="宋体" w:eastAsia="宋体" w:cs="宋体"/>
                <w:color w:val="auto"/>
                <w:kern w:val="0"/>
                <w:szCs w:val="21"/>
                <w:highlight w:val="none"/>
              </w:rPr>
              <w:t>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73" w:hRule="atLeast"/>
          <w:jc w:val="center"/>
        </w:trPr>
        <w:tc>
          <w:tcPr>
            <w:tcW w:w="674" w:type="dxa"/>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2</w:t>
            </w:r>
          </w:p>
        </w:tc>
        <w:tc>
          <w:tcPr>
            <w:tcW w:w="2411" w:type="dxa"/>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□定性评审法</w:t>
            </w:r>
          </w:p>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37" w:hRule="atLeast"/>
          <w:jc w:val="center"/>
        </w:trPr>
        <w:tc>
          <w:tcPr>
            <w:tcW w:w="674" w:type="dxa"/>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3</w:t>
            </w:r>
          </w:p>
        </w:tc>
        <w:tc>
          <w:tcPr>
            <w:tcW w:w="2411" w:type="dxa"/>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2"/>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lang w:val="en-US" w:eastAsia="zh-CN"/>
              </w:rPr>
              <w:t>注：招标人应根据项目实际，设置规则清晰、可操作性强的推荐中标候选人原则，可以重点考虑项目管理人员配置、勘察工作重点难点分析及解决方案、投标报价等因素</w:t>
            </w:r>
            <w:r>
              <w:rPr>
                <w:rFonts w:hint="eastAsia" w:ascii="宋体" w:hAnsi="宋体" w:eastAsia="宋体" w:cs="宋体"/>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09" w:hRule="atLeast"/>
          <w:jc w:val="center"/>
        </w:trPr>
        <w:tc>
          <w:tcPr>
            <w:tcW w:w="674" w:type="dxa"/>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4</w:t>
            </w:r>
          </w:p>
        </w:tc>
        <w:tc>
          <w:tcPr>
            <w:tcW w:w="2411" w:type="dxa"/>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88" w:hRule="atLeast"/>
          <w:jc w:val="center"/>
        </w:trPr>
        <w:tc>
          <w:tcPr>
            <w:tcW w:w="674" w:type="dxa"/>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5</w:t>
            </w:r>
          </w:p>
        </w:tc>
        <w:tc>
          <w:tcPr>
            <w:tcW w:w="2411" w:type="dxa"/>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17" w:hRule="atLeast"/>
          <w:jc w:val="center"/>
        </w:trPr>
        <w:tc>
          <w:tcPr>
            <w:tcW w:w="674" w:type="dxa"/>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6</w:t>
            </w:r>
          </w:p>
        </w:tc>
        <w:tc>
          <w:tcPr>
            <w:tcW w:w="2411" w:type="dxa"/>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138"/>
                <w:rFonts w:hint="eastAsia" w:ascii="宋体" w:hAnsi="宋体" w:eastAsia="宋体" w:cs="宋体"/>
                <w:color w:val="auto"/>
                <w:kern w:val="0"/>
                <w:szCs w:val="21"/>
                <w:highlight w:val="none"/>
              </w:rPr>
              <w:t>[</w:t>
            </w:r>
            <w:r>
              <w:rPr>
                <w:rStyle w:val="138"/>
                <w:rFonts w:hint="eastAsia" w:ascii="宋体" w:hAnsi="宋体" w:eastAsia="宋体" w:cs="宋体"/>
                <w:color w:val="auto"/>
                <w:kern w:val="0"/>
                <w:szCs w:val="21"/>
                <w:highlight w:val="none"/>
              </w:rPr>
              <w:footnoteReference w:id="3"/>
            </w:r>
            <w:r>
              <w:rPr>
                <w:rStyle w:val="138"/>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324"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bCs/>
                <w:color w:val="auto"/>
                <w:kern w:val="0"/>
                <w:szCs w:val="21"/>
                <w:highlight w:val="none"/>
                <w:lang w:val="en-US" w:eastAsia="zh-CN"/>
              </w:rPr>
              <w:t>7</w:t>
            </w:r>
          </w:p>
        </w:tc>
        <w:tc>
          <w:tcPr>
            <w:tcW w:w="2411"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□直接票决定标法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83" w:hRule="atLeast"/>
          <w:jc w:val="center"/>
        </w:trPr>
        <w:tc>
          <w:tcPr>
            <w:tcW w:w="674" w:type="dxa"/>
            <w:vMerge w:val="continue"/>
            <w:tcBorders>
              <w:left w:val="single" w:color="auto" w:sz="4" w:space="0"/>
              <w:right w:val="single" w:color="auto" w:sz="4" w:space="0"/>
            </w:tcBorders>
            <w:shd w:val="clear" w:color="auto" w:fill="auto"/>
            <w:vAlign w:val="center"/>
          </w:tcPr>
          <w:p>
            <w:pPr>
              <w:adjustRightInd w:val="0"/>
              <w:snapToGrid w:val="0"/>
              <w:spacing w:line="360" w:lineRule="auto"/>
              <w:jc w:val="left"/>
              <w:rPr>
                <w:color w:val="auto"/>
                <w:highlight w:val="none"/>
              </w:rPr>
            </w:pPr>
          </w:p>
        </w:tc>
        <w:tc>
          <w:tcPr>
            <w:tcW w:w="2411" w:type="dxa"/>
            <w:vMerge w:val="continue"/>
            <w:tcBorders>
              <w:left w:val="single" w:color="auto" w:sz="4" w:space="0"/>
              <w:right w:val="single" w:color="auto" w:sz="4" w:space="0"/>
            </w:tcBorders>
            <w:shd w:val="clear" w:color="auto" w:fill="auto"/>
            <w:vAlign w:val="center"/>
          </w:tcPr>
          <w:p>
            <w:pPr>
              <w:adjustRightInd w:val="0"/>
              <w:snapToGrid w:val="0"/>
              <w:spacing w:line="360" w:lineRule="auto"/>
              <w:jc w:val="left"/>
              <w:rPr>
                <w:color w:val="auto"/>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44" w:hRule="atLeast"/>
          <w:jc w:val="center"/>
        </w:trPr>
        <w:tc>
          <w:tcPr>
            <w:tcW w:w="674" w:type="dxa"/>
            <w:vMerge w:val="continue"/>
            <w:tcBorders>
              <w:left w:val="single" w:color="auto" w:sz="4" w:space="0"/>
              <w:right w:val="single" w:color="auto" w:sz="4" w:space="0"/>
            </w:tcBorders>
            <w:shd w:val="clear" w:color="auto" w:fill="auto"/>
            <w:vAlign w:val="center"/>
          </w:tcPr>
          <w:p>
            <w:pPr>
              <w:jc w:val="left"/>
              <w:rPr>
                <w:rFonts w:ascii="宋体" w:hAnsi="宋体" w:eastAsia="宋体" w:cs="宋体"/>
                <w:color w:val="auto"/>
                <w:kern w:val="0"/>
                <w:szCs w:val="21"/>
                <w:highlight w:val="none"/>
              </w:rPr>
            </w:pPr>
          </w:p>
        </w:tc>
        <w:tc>
          <w:tcPr>
            <w:tcW w:w="2411" w:type="dxa"/>
            <w:vMerge w:val="continue"/>
            <w:tcBorders>
              <w:left w:val="single" w:color="auto" w:sz="4" w:space="0"/>
              <w:right w:val="single" w:color="auto" w:sz="4" w:space="0"/>
            </w:tcBorders>
            <w:shd w:val="clear" w:color="auto" w:fill="auto"/>
            <w:vAlign w:val="center"/>
          </w:tcPr>
          <w:p>
            <w:pPr>
              <w:jc w:val="left"/>
              <w:rPr>
                <w:rFonts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集体议事定标法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56" w:hRule="atLeast"/>
          <w:jc w:val="center"/>
        </w:trPr>
        <w:tc>
          <w:tcPr>
            <w:tcW w:w="674" w:type="dxa"/>
            <w:vMerge w:val="continue"/>
            <w:tcBorders>
              <w:left w:val="single" w:color="auto" w:sz="4" w:space="0"/>
              <w:right w:val="single" w:color="auto" w:sz="4" w:space="0"/>
            </w:tcBorders>
            <w:shd w:val="clear" w:color="auto" w:fill="auto"/>
            <w:vAlign w:val="center"/>
          </w:tcPr>
          <w:p>
            <w:pPr>
              <w:jc w:val="left"/>
              <w:rPr>
                <w:rFonts w:ascii="宋体" w:hAnsi="宋体" w:eastAsia="宋体" w:cs="宋体"/>
                <w:color w:val="auto"/>
                <w:kern w:val="0"/>
                <w:szCs w:val="21"/>
                <w:highlight w:val="none"/>
              </w:rPr>
            </w:pPr>
          </w:p>
        </w:tc>
        <w:tc>
          <w:tcPr>
            <w:tcW w:w="2411" w:type="dxa"/>
            <w:vMerge w:val="continue"/>
            <w:tcBorders>
              <w:left w:val="single" w:color="auto" w:sz="4" w:space="0"/>
              <w:right w:val="single" w:color="auto" w:sz="4" w:space="0"/>
            </w:tcBorders>
            <w:shd w:val="clear" w:color="auto" w:fill="auto"/>
            <w:vAlign w:val="center"/>
          </w:tcPr>
          <w:p>
            <w:pPr>
              <w:jc w:val="left"/>
              <w:rPr>
                <w:rFonts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85"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bCs/>
                <w:color w:val="auto"/>
                <w:kern w:val="0"/>
                <w:szCs w:val="21"/>
                <w:highlight w:val="none"/>
                <w:lang w:val="en-US" w:eastAsia="zh-CN"/>
              </w:rPr>
              <w:t>8</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pPr>
        <w:rPr>
          <w:rFonts w:ascii="黑体" w:eastAsia="黑体"/>
          <w:color w:val="auto"/>
          <w:kern w:val="0"/>
          <w:sz w:val="30"/>
          <w:highlight w:val="none"/>
        </w:rPr>
      </w:pPr>
      <w:r>
        <w:rPr>
          <w:rFonts w:hint="eastAsia" w:ascii="黑体" w:eastAsia="黑体"/>
          <w:color w:val="auto"/>
          <w:kern w:val="0"/>
          <w:sz w:val="30"/>
          <w:highlight w:val="none"/>
        </w:rPr>
        <w:br w:type="page"/>
      </w:r>
    </w:p>
    <w:p>
      <w:pPr>
        <w:adjustRightInd w:val="0"/>
        <w:snapToGrid w:val="0"/>
        <w:spacing w:line="20" w:lineRule="exact"/>
        <w:rPr>
          <w:color w:val="auto"/>
          <w:highlight w:val="none"/>
        </w:rPr>
      </w:pPr>
    </w:p>
    <w:p>
      <w:pPr>
        <w:adjustRightInd w:val="0"/>
        <w:snapToGrid w:val="0"/>
        <w:spacing w:line="360" w:lineRule="auto"/>
        <w:jc w:val="center"/>
        <w:outlineLvl w:val="2"/>
        <w:rPr>
          <w:rFonts w:ascii="黑体" w:hAnsi="黑体" w:eastAsia="黑体" w:cs="黑体"/>
          <w:color w:val="auto"/>
          <w:kern w:val="0"/>
          <w:sz w:val="30"/>
          <w:highlight w:val="none"/>
        </w:rPr>
      </w:pPr>
      <w:bookmarkStart w:id="48" w:name="_Toc8780"/>
      <w:bookmarkStart w:id="49" w:name="_Toc16020"/>
      <w:bookmarkStart w:id="50" w:name="_Toc7630"/>
      <w:bookmarkStart w:id="51" w:name="_Toc4663"/>
      <w:bookmarkStart w:id="52" w:name="_Toc15363"/>
      <w:bookmarkStart w:id="53" w:name="_Toc6467"/>
      <w:bookmarkStart w:id="54" w:name="_Toc23773"/>
      <w:bookmarkStart w:id="55" w:name="_Toc27061"/>
      <w:bookmarkStart w:id="56" w:name="_Toc14774"/>
      <w:bookmarkStart w:id="57" w:name="_Toc20603"/>
      <w:bookmarkStart w:id="58" w:name="_Toc989"/>
      <w:bookmarkStart w:id="59" w:name="_Toc24681"/>
      <w:bookmarkStart w:id="60" w:name="_Toc17099"/>
      <w:r>
        <w:rPr>
          <w:rFonts w:hint="eastAsia" w:ascii="黑体" w:hAnsi="黑体" w:eastAsia="黑体" w:cs="黑体"/>
          <w:color w:val="auto"/>
          <w:kern w:val="0"/>
          <w:sz w:val="30"/>
          <w:highlight w:val="none"/>
        </w:rPr>
        <w:t>（二）投标文件编制成果及要求</w:t>
      </w:r>
      <w:bookmarkEnd w:id="48"/>
      <w:bookmarkEnd w:id="49"/>
      <w:bookmarkEnd w:id="50"/>
      <w:bookmarkEnd w:id="51"/>
      <w:bookmarkEnd w:id="52"/>
      <w:bookmarkEnd w:id="53"/>
      <w:bookmarkEnd w:id="54"/>
      <w:bookmarkEnd w:id="55"/>
      <w:bookmarkEnd w:id="56"/>
      <w:bookmarkEnd w:id="57"/>
      <w:bookmarkEnd w:id="58"/>
      <w:bookmarkEnd w:id="59"/>
      <w:bookmarkEnd w:id="60"/>
    </w:p>
    <w:tbl>
      <w:tblPr>
        <w:tblStyle w:val="80"/>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411"/>
        <w:gridCol w:w="6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3" w:type="dxa"/>
            <w:shd w:val="clear" w:color="auto" w:fill="auto"/>
            <w:vAlign w:val="center"/>
          </w:tcPr>
          <w:p>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序号</w:t>
            </w:r>
          </w:p>
        </w:tc>
        <w:tc>
          <w:tcPr>
            <w:tcW w:w="2411" w:type="dxa"/>
            <w:shd w:val="clear" w:color="auto" w:fill="auto"/>
            <w:vAlign w:val="center"/>
          </w:tcPr>
          <w:p>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内    容</w:t>
            </w:r>
          </w:p>
        </w:tc>
        <w:tc>
          <w:tcPr>
            <w:tcW w:w="6204" w:type="dxa"/>
            <w:shd w:val="clear" w:color="auto" w:fill="auto"/>
            <w:vAlign w:val="center"/>
          </w:tcPr>
          <w:p>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673" w:type="dxa"/>
            <w:vMerge w:val="restart"/>
            <w:shd w:val="clear" w:color="auto" w:fill="auto"/>
            <w:vAlign w:val="center"/>
          </w:tcPr>
          <w:p>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1</w:t>
            </w:r>
          </w:p>
        </w:tc>
        <w:tc>
          <w:tcPr>
            <w:tcW w:w="2411" w:type="dxa"/>
            <w:vMerge w:val="restart"/>
            <w:shd w:val="clear" w:color="auto" w:fill="auto"/>
            <w:vAlign w:val="center"/>
          </w:tcPr>
          <w:p>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技术标</w:t>
            </w:r>
          </w:p>
        </w:tc>
        <w:tc>
          <w:tcPr>
            <w:tcW w:w="6204" w:type="dxa"/>
            <w:shd w:val="clear" w:color="auto" w:fill="auto"/>
            <w:vAlign w:val="center"/>
          </w:tcPr>
          <w:p>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5" w:hRule="atLeast"/>
          <w:jc w:val="center"/>
        </w:trPr>
        <w:tc>
          <w:tcPr>
            <w:tcW w:w="673" w:type="dxa"/>
            <w:vMerge w:val="continue"/>
            <w:shd w:val="clear" w:color="auto" w:fill="auto"/>
            <w:vAlign w:val="center"/>
          </w:tcPr>
          <w:p>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编制内容：</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提示：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重点突出对本项目重点和难点的理解与分析及相应的措施，包括勘察方案、后续服务，质量保证、安全文明施工及工期保证措施等。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采用电子文件形式。应使用电子投标文件编制工具制作，文件格式要求详见本范本“使用说明”。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4" w:hRule="atLeast"/>
          <w:jc w:val="center"/>
        </w:trPr>
        <w:tc>
          <w:tcPr>
            <w:tcW w:w="673"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411"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资信标</w:t>
            </w:r>
          </w:p>
        </w:tc>
        <w:tc>
          <w:tcPr>
            <w:tcW w:w="6204"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投标人根据资信标评审标准应提交的相应资料：</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1、同类工程业绩：</w:t>
            </w:r>
            <w:r>
              <w:rPr>
                <w:rFonts w:hint="eastAsia" w:ascii="宋体" w:hAnsi="宋体" w:eastAsia="宋体" w:cs="宋体"/>
                <w:color w:val="auto"/>
                <w:kern w:val="0"/>
                <w:szCs w:val="21"/>
                <w:highlight w:val="none"/>
                <w:u w:val="single"/>
              </w:rPr>
              <w:t xml:space="preserve">      </w:t>
            </w:r>
          </w:p>
          <w:p>
            <w:pPr>
              <w:adjustRightInd w:val="0"/>
              <w:snapToGrid w:val="0"/>
              <w:spacing w:line="360" w:lineRule="auto"/>
              <w:ind w:firstLine="210" w:firstLineChars="1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pPr>
              <w:adjustRightInd w:val="0"/>
              <w:snapToGrid w:val="0"/>
              <w:jc w:val="center"/>
              <w:rPr>
                <w:rFonts w:ascii="宋体" w:hAnsi="宋体" w:eastAsia="宋体" w:cs="宋体"/>
                <w:b/>
                <w:color w:val="auto"/>
                <w:kern w:val="0"/>
                <w:szCs w:val="21"/>
                <w:highlight w:val="none"/>
              </w:rPr>
            </w:pPr>
          </w:p>
        </w:tc>
        <w:tc>
          <w:tcPr>
            <w:tcW w:w="6204"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采用电子文件形式。应使用电子投标文件编制工具制作，文件格式要求详见本范本“使用说明”。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3" w:type="dxa"/>
            <w:vMerge w:val="restart"/>
            <w:shd w:val="clear" w:color="auto" w:fill="auto"/>
            <w:vAlign w:val="center"/>
          </w:tcPr>
          <w:p>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w:t>
            </w:r>
          </w:p>
        </w:tc>
        <w:tc>
          <w:tcPr>
            <w:tcW w:w="2411" w:type="dxa"/>
            <w:vMerge w:val="restart"/>
            <w:shd w:val="clear" w:color="auto" w:fill="auto"/>
            <w:vAlign w:val="center"/>
          </w:tcPr>
          <w:p>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商务标</w:t>
            </w:r>
          </w:p>
        </w:tc>
        <w:tc>
          <w:tcPr>
            <w:tcW w:w="6204"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color w:val="auto"/>
                <w:kern w:val="0"/>
                <w:szCs w:val="21"/>
                <w:highlight w:val="none"/>
              </w:rPr>
              <w:t>投标函</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2、</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pPr>
              <w:adjustRightInd w:val="0"/>
              <w:snapToGrid w:val="0"/>
              <w:jc w:val="center"/>
              <w:rPr>
                <w:rFonts w:ascii="宋体" w:hAnsi="宋体" w:eastAsia="宋体" w:cs="宋体"/>
                <w:b/>
                <w:color w:val="auto"/>
                <w:kern w:val="0"/>
                <w:szCs w:val="21"/>
                <w:highlight w:val="none"/>
              </w:rPr>
            </w:pPr>
          </w:p>
        </w:tc>
        <w:tc>
          <w:tcPr>
            <w:tcW w:w="6204" w:type="dxa"/>
            <w:shd w:val="clear" w:color="auto" w:fill="auto"/>
            <w:vAlign w:val="center"/>
          </w:tcPr>
          <w:p>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w:t>
            </w:r>
            <w:r>
              <w:rPr>
                <w:rFonts w:hint="eastAsia" w:ascii="宋体" w:hAnsi="宋体" w:eastAsia="宋体" w:cs="宋体"/>
                <w:bCs/>
                <w:color w:val="auto"/>
                <w:kern w:val="0"/>
                <w:szCs w:val="21"/>
                <w:highlight w:val="none"/>
              </w:rPr>
              <w:t>要求详见本范本“使用说明”</w:t>
            </w:r>
            <w:r>
              <w:rPr>
                <w:rFonts w:hint="eastAsia"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3" w:type="dxa"/>
            <w:vMerge w:val="restart"/>
            <w:shd w:val="clear" w:color="auto" w:fill="auto"/>
            <w:vAlign w:val="center"/>
          </w:tcPr>
          <w:p>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4</w:t>
            </w:r>
          </w:p>
        </w:tc>
        <w:tc>
          <w:tcPr>
            <w:tcW w:w="2411" w:type="dxa"/>
            <w:vMerge w:val="restart"/>
            <w:shd w:val="clear" w:color="auto" w:fill="auto"/>
            <w:vAlign w:val="center"/>
          </w:tcPr>
          <w:p>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资格审查文件</w:t>
            </w:r>
          </w:p>
        </w:tc>
        <w:tc>
          <w:tcPr>
            <w:tcW w:w="6204"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1、通过年审的营业执照副本（原件扫描件）；</w:t>
            </w:r>
          </w:p>
          <w:p>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2、企业资质证书（原件扫描件）；</w:t>
            </w:r>
          </w:p>
          <w:p>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3、联合体共同投标协议书（若有，原件扫描件）；</w:t>
            </w:r>
          </w:p>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rPr>
              <w:t>□ 4、</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w:t>
            </w:r>
            <w:r>
              <w:rPr>
                <w:rFonts w:hint="eastAsia" w:ascii="宋体" w:hAnsi="宋体" w:eastAsia="宋体" w:cs="宋体"/>
                <w:bCs/>
                <w:color w:val="auto"/>
                <w:kern w:val="0"/>
                <w:szCs w:val="21"/>
                <w:highlight w:val="none"/>
              </w:rPr>
              <w:t>要求详见本范本“使用说明”</w:t>
            </w:r>
            <w:r>
              <w:rPr>
                <w:rFonts w:hint="eastAsia"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3" w:hRule="atLeast"/>
          <w:jc w:val="center"/>
        </w:trPr>
        <w:tc>
          <w:tcPr>
            <w:tcW w:w="673"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411" w:type="dxa"/>
            <w:vMerge w:val="restart"/>
            <w:shd w:val="clear" w:color="auto" w:fill="auto"/>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□业绩文件</w:t>
            </w:r>
          </w:p>
        </w:tc>
        <w:tc>
          <w:tcPr>
            <w:tcW w:w="6204"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编制内容：</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2、业绩要求证明材料业绩文件包含：招标文件中要求提供的所有业绩证明文件。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73"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2411" w:type="dxa"/>
            <w:vMerge w:val="continue"/>
            <w:shd w:val="clear" w:color="auto" w:fill="auto"/>
            <w:vAlign w:val="center"/>
          </w:tcPr>
          <w:p>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w:t>
            </w:r>
            <w:r>
              <w:rPr>
                <w:rFonts w:hint="eastAsia" w:ascii="宋体" w:hAnsi="宋体" w:eastAsia="宋体" w:cs="宋体"/>
                <w:bCs/>
                <w:color w:val="auto"/>
                <w:kern w:val="0"/>
                <w:szCs w:val="21"/>
                <w:highlight w:val="none"/>
              </w:rPr>
              <w:t>要求详见本范本“使用说明”</w:t>
            </w:r>
            <w:r>
              <w:rPr>
                <w:rFonts w:hint="eastAsia"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673" w:type="dxa"/>
            <w:shd w:val="clear" w:color="auto" w:fill="auto"/>
            <w:vAlign w:val="center"/>
          </w:tcPr>
          <w:p>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rPr>
              <w:t>6</w:t>
            </w:r>
          </w:p>
        </w:tc>
        <w:tc>
          <w:tcPr>
            <w:tcW w:w="2411"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6204" w:type="dxa"/>
            <w:shd w:val="clear" w:color="auto" w:fill="auto"/>
            <w:vAlign w:val="center"/>
          </w:tcPr>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tc>
      </w:tr>
    </w:tbl>
    <w:p>
      <w:pPr>
        <w:adjustRightInd w:val="0"/>
        <w:snapToGrid w:val="0"/>
        <w:spacing w:line="20" w:lineRule="exact"/>
        <w:rPr>
          <w:color w:val="auto"/>
          <w:highlight w:val="none"/>
        </w:rPr>
      </w:pPr>
      <w:r>
        <w:rPr>
          <w:color w:val="auto"/>
          <w:kern w:val="0"/>
          <w:highlight w:val="none"/>
        </w:rPr>
        <w:br w:type="page"/>
      </w:r>
    </w:p>
    <w:p>
      <w:pPr>
        <w:adjustRightInd w:val="0"/>
        <w:snapToGrid w:val="0"/>
        <w:spacing w:line="360" w:lineRule="auto"/>
        <w:jc w:val="center"/>
        <w:outlineLvl w:val="2"/>
        <w:rPr>
          <w:rFonts w:ascii="黑体" w:eastAsia="黑体"/>
          <w:color w:val="auto"/>
          <w:kern w:val="0"/>
          <w:sz w:val="30"/>
          <w:highlight w:val="none"/>
        </w:rPr>
      </w:pPr>
      <w:bookmarkStart w:id="61" w:name="_Toc17472"/>
      <w:bookmarkStart w:id="62" w:name="_Toc18791"/>
      <w:bookmarkStart w:id="63" w:name="_Toc15277"/>
      <w:bookmarkStart w:id="64" w:name="_Toc9186"/>
      <w:bookmarkStart w:id="65" w:name="_Toc8181"/>
      <w:bookmarkStart w:id="66" w:name="_Toc31025"/>
      <w:bookmarkStart w:id="67" w:name="_Toc13322"/>
      <w:bookmarkStart w:id="68" w:name="_Toc4019"/>
      <w:bookmarkStart w:id="69" w:name="_Toc26859"/>
      <w:bookmarkStart w:id="70" w:name="_Toc7450"/>
      <w:bookmarkStart w:id="71" w:name="_Toc23192"/>
      <w:bookmarkStart w:id="72" w:name="_Toc4235"/>
      <w:bookmarkStart w:id="73" w:name="_Toc27480"/>
      <w:bookmarkStart w:id="74" w:name="_Toc25821"/>
      <w:bookmarkStart w:id="75" w:name="_Toc16115"/>
      <w:bookmarkStart w:id="76" w:name="_Toc14688"/>
      <w:bookmarkStart w:id="77" w:name="_Toc6824"/>
      <w:bookmarkStart w:id="78" w:name="_Toc31656"/>
      <w:bookmarkStart w:id="79" w:name="_Toc15253"/>
      <w:bookmarkStart w:id="80" w:name="_Toc18132"/>
      <w:bookmarkStart w:id="81" w:name="_Toc8794"/>
      <w:bookmarkStart w:id="82" w:name="_Toc5351"/>
      <w:bookmarkStart w:id="83" w:name="_Toc8941"/>
      <w:bookmarkStart w:id="84" w:name="_Toc12443"/>
      <w:bookmarkStart w:id="85" w:name="_Toc3846"/>
      <w:r>
        <w:rPr>
          <w:rFonts w:hint="eastAsia" w:ascii="黑体" w:eastAsia="黑体"/>
          <w:color w:val="auto"/>
          <w:kern w:val="0"/>
          <w:sz w:val="30"/>
          <w:highlight w:val="none"/>
        </w:rPr>
        <w:t>（三）招标工程情况介绍</w:t>
      </w:r>
      <w:bookmarkEnd w:id="61"/>
      <w:bookmarkEnd w:id="62"/>
      <w:bookmarkEnd w:id="63"/>
      <w:bookmarkEnd w:id="64"/>
      <w:bookmarkEnd w:id="65"/>
      <w:bookmarkEnd w:id="66"/>
      <w:bookmarkEnd w:id="67"/>
      <w:bookmarkEnd w:id="68"/>
      <w:bookmarkEnd w:id="69"/>
      <w:bookmarkEnd w:id="70"/>
      <w:bookmarkEnd w:id="71"/>
      <w:bookmarkEnd w:id="72"/>
      <w:bookmarkEnd w:id="73"/>
      <w:bookmarkEnd w:id="74"/>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（提示招标人：本章节为必填内容，招标人应当如实详细填写，并作为投标、评标的重要参考。如因招标人未填写或未如实填写本章节内容，造成的不利后果应由招标人承担。）</w:t>
      </w:r>
    </w:p>
    <w:p>
      <w:pPr>
        <w:adjustRightInd w:val="0"/>
        <w:snapToGrid w:val="0"/>
        <w:spacing w:line="360" w:lineRule="auto"/>
        <w:ind w:firstLine="422" w:firstLineChars="200"/>
        <w:jc w:val="left"/>
        <w:rPr>
          <w:rFonts w:ascii="宋体" w:hAnsi="宋体" w:eastAsia="宋体" w:cs="宋体"/>
          <w:b/>
          <w:color w:val="auto"/>
          <w:kern w:val="0"/>
          <w:highlight w:val="none"/>
        </w:rPr>
      </w:pP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一、工程概况</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pPr>
        <w:adjustRightInd w:val="0"/>
        <w:snapToGrid w:val="0"/>
        <w:spacing w:line="360" w:lineRule="auto"/>
        <w:ind w:firstLine="420" w:firstLineChars="200"/>
        <w:jc w:val="left"/>
        <w:rPr>
          <w:rFonts w:ascii="宋体" w:hAnsi="宋体" w:eastAsia="宋体" w:cs="宋体"/>
          <w:color w:val="auto"/>
          <w:kern w:val="0"/>
          <w:highlight w:val="none"/>
        </w:rPr>
      </w:pP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二、工程主要特点、难点与勘察工作重点，以及需采用的新方法、新工艺和新材料等内容介绍：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pPr>
        <w:adjustRightInd w:val="0"/>
        <w:snapToGrid w:val="0"/>
        <w:spacing w:line="360" w:lineRule="auto"/>
        <w:ind w:firstLine="422" w:firstLineChars="200"/>
        <w:jc w:val="left"/>
        <w:rPr>
          <w:rFonts w:ascii="宋体" w:hAnsi="宋体" w:eastAsia="宋体" w:cs="宋体"/>
          <w:b/>
          <w:color w:val="auto"/>
          <w:kern w:val="0"/>
          <w:highlight w:val="none"/>
        </w:rPr>
      </w:pP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三、与《招标文件》示范文本有较大变动的评标方法和主要条款的介绍：</w:t>
      </w:r>
    </w:p>
    <w:p>
      <w:pPr>
        <w:adjustRightInd w:val="0"/>
        <w:snapToGrid w:val="0"/>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kern w:val="0"/>
          <w:szCs w:val="21"/>
          <w:highlight w:val="none"/>
        </w:rPr>
        <w:t>详见招标文件第三章。</w:t>
      </w:r>
    </w:p>
    <w:p>
      <w:pPr>
        <w:adjustRightInd w:val="0"/>
        <w:snapToGrid w:val="0"/>
        <w:spacing w:line="360" w:lineRule="auto"/>
        <w:ind w:firstLine="420" w:firstLineChars="200"/>
        <w:jc w:val="left"/>
        <w:rPr>
          <w:rFonts w:ascii="宋体" w:hAnsi="宋体"/>
          <w:b/>
          <w:color w:val="auto"/>
          <w:kern w:val="0"/>
          <w:highlight w:val="none"/>
        </w:rPr>
      </w:pPr>
      <w:r>
        <w:rPr>
          <w:rFonts w:hint="eastAsia" w:ascii="宋体" w:hAnsi="宋体"/>
          <w:b/>
          <w:color w:val="auto"/>
          <w:kern w:val="0"/>
          <w:highlight w:val="none"/>
        </w:rPr>
        <w:br w:type="page"/>
      </w:r>
      <w:bookmarkStart w:id="86" w:name="_Toc22934"/>
    </w:p>
    <w:p>
      <w:pPr>
        <w:adjustRightInd w:val="0"/>
        <w:snapToGrid w:val="0"/>
        <w:spacing w:line="360" w:lineRule="auto"/>
        <w:ind w:firstLine="420" w:firstLineChars="200"/>
        <w:jc w:val="left"/>
        <w:rPr>
          <w:rFonts w:ascii="宋体" w:hAnsi="宋体"/>
          <w:b/>
          <w:color w:val="auto"/>
          <w:kern w:val="0"/>
          <w:highlight w:val="none"/>
        </w:rPr>
      </w:pPr>
    </w:p>
    <w:p>
      <w:pPr>
        <w:adjustRightInd w:val="0"/>
        <w:snapToGrid w:val="0"/>
        <w:spacing w:line="360" w:lineRule="auto"/>
        <w:jc w:val="center"/>
        <w:outlineLvl w:val="2"/>
        <w:rPr>
          <w:rFonts w:ascii="黑体" w:eastAsia="黑体"/>
          <w:color w:val="auto"/>
          <w:kern w:val="0"/>
          <w:sz w:val="30"/>
          <w:highlight w:val="none"/>
        </w:rPr>
      </w:pPr>
      <w:bookmarkStart w:id="87" w:name="_Toc29178"/>
      <w:bookmarkStart w:id="88" w:name="_Toc30225"/>
      <w:r>
        <w:rPr>
          <w:rFonts w:hint="eastAsia" w:ascii="黑体" w:eastAsia="黑体"/>
          <w:color w:val="auto"/>
          <w:kern w:val="0"/>
          <w:sz w:val="30"/>
          <w:highlight w:val="none"/>
        </w:rPr>
        <w:t>（四）招标投标分段限时投诉的规定</w:t>
      </w:r>
      <w:bookmarkEnd w:id="86"/>
      <w:bookmarkEnd w:id="87"/>
      <w:bookmarkEnd w:id="88"/>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pPr>
        <w:ind w:firstLine="420" w:firstLineChars="200"/>
        <w:rPr>
          <w:bCs/>
          <w:color w:val="auto"/>
          <w:szCs w:val="21"/>
          <w:highlight w:val="none"/>
        </w:rPr>
      </w:pPr>
    </w:p>
    <w:p>
      <w:pPr>
        <w:adjustRightInd w:val="0"/>
        <w:snapToGrid w:val="0"/>
        <w:spacing w:line="360" w:lineRule="auto"/>
        <w:rPr>
          <w:rFonts w:ascii="宋体"/>
          <w:color w:val="auto"/>
          <w:kern w:val="0"/>
          <w:szCs w:val="21"/>
          <w:highlight w:val="none"/>
        </w:rPr>
      </w:pPr>
      <w:r>
        <w:rPr>
          <w:rFonts w:hint="eastAsia" w:ascii="宋体"/>
          <w:color w:val="auto"/>
          <w:kern w:val="0"/>
          <w:szCs w:val="21"/>
          <w:highlight w:val="none"/>
        </w:rPr>
        <w:br w:type="page"/>
      </w:r>
    </w:p>
    <w:p>
      <w:pPr>
        <w:adjustRightInd w:val="0"/>
        <w:snapToGrid w:val="0"/>
        <w:spacing w:line="360" w:lineRule="auto"/>
        <w:ind w:firstLine="2880" w:firstLineChars="900"/>
        <w:outlineLvl w:val="1"/>
        <w:rPr>
          <w:rFonts w:ascii="黑体" w:eastAsia="黑体"/>
          <w:color w:val="auto"/>
          <w:kern w:val="0"/>
          <w:sz w:val="32"/>
          <w:szCs w:val="32"/>
          <w:highlight w:val="none"/>
        </w:rPr>
      </w:pPr>
      <w:bookmarkStart w:id="89" w:name="_Toc30385"/>
      <w:bookmarkStart w:id="90" w:name="_Toc21249"/>
      <w:bookmarkStart w:id="91" w:name="_Toc17638"/>
      <w:r>
        <w:rPr>
          <w:rFonts w:hint="eastAsia" w:ascii="黑体" w:eastAsia="黑体"/>
          <w:color w:val="auto"/>
          <w:kern w:val="0"/>
          <w:sz w:val="32"/>
          <w:szCs w:val="32"/>
          <w:highlight w:val="none"/>
        </w:rPr>
        <w:t>二、投标文件否决性条款</w:t>
      </w:r>
      <w:bookmarkEnd w:id="75"/>
      <w:bookmarkEnd w:id="76"/>
      <w:bookmarkEnd w:id="77"/>
      <w:bookmarkEnd w:id="78"/>
      <w:bookmarkEnd w:id="79"/>
      <w:bookmarkEnd w:id="80"/>
      <w:bookmarkEnd w:id="81"/>
      <w:bookmarkEnd w:id="82"/>
      <w:bookmarkEnd w:id="83"/>
      <w:bookmarkEnd w:id="84"/>
      <w:bookmarkEnd w:id="85"/>
      <w:bookmarkEnd w:id="89"/>
      <w:bookmarkEnd w:id="90"/>
      <w:bookmarkEnd w:id="91"/>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pPr>
        <w:adjustRightInd w:val="0"/>
        <w:snapToGrid w:val="0"/>
        <w:spacing w:line="360" w:lineRule="auto"/>
        <w:ind w:firstLine="422" w:firstLineChars="200"/>
        <w:rPr>
          <w:rFonts w:ascii="宋体" w:hAnsi="宋体" w:eastAsia="宋体" w:cs="宋体"/>
          <w:b/>
          <w:strike/>
          <w:color w:val="auto"/>
          <w:kern w:val="0"/>
          <w:sz w:val="20"/>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pPr>
        <w:adjustRightInd w:val="0"/>
        <w:snapToGrid w:val="0"/>
        <w:spacing w:line="360" w:lineRule="auto"/>
        <w:ind w:firstLine="420" w:firstLineChars="200"/>
        <w:jc w:val="left"/>
        <w:rPr>
          <w:rFonts w:ascii="宋体" w:hAnsi="宋体" w:eastAsia="宋体" w:cs="宋体"/>
          <w:color w:val="auto"/>
          <w:kern w:val="0"/>
          <w:highlight w:val="none"/>
        </w:rPr>
      </w:pP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（一）开标阶段不予受理的情形（由招标人或其委派人员负责判定）：</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1.逾期提交投标文件的；</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2.资格审查不合格的</w:t>
      </w:r>
      <w:r>
        <w:rPr>
          <w:rFonts w:hint="eastAsia" w:ascii="宋体" w:hAnsi="宋体" w:eastAsia="宋体" w:cs="宋体"/>
          <w:color w:val="auto"/>
          <w:kern w:val="0"/>
          <w:highlight w:val="none"/>
        </w:rPr>
        <w:t>；</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3.投标文件中各电子投标文件未加签有效数字证书或电子营业执照的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r>
        <w:rPr>
          <w:rFonts w:hint="eastAsia" w:ascii="宋体" w:hAnsi="宋体" w:eastAsia="宋体" w:cs="宋体"/>
          <w:color w:val="auto"/>
          <w:kern w:val="0"/>
          <w:highlight w:val="none"/>
        </w:rPr>
        <w:t>；</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4.投标人提交的电子投标文件</w:t>
      </w:r>
      <w:r>
        <w:rPr>
          <w:rFonts w:hint="eastAsia" w:ascii="宋体" w:hAnsi="宋体" w:eastAsia="宋体" w:cs="宋体"/>
          <w:color w:val="auto"/>
          <w:kern w:val="0"/>
          <w:szCs w:val="21"/>
          <w:highlight w:val="none"/>
        </w:rPr>
        <w:t>格式不符合招标文件要求或开标后交易平台无法读取导入的；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5.组成联合体投标时，未提交联合体共同投标协议书的；</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6.联合体各方在同一招标项目中以自己名义单独投标或者参加其他联合体投标的；</w:t>
      </w:r>
    </w:p>
    <w:p>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8.未按招标文件要求提交投标担保的；</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9.未按招标文件要求编制商务标，且投标人拒绝澄清或修正的；</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10.投标人名称或组织机构与投标报名时不一致且不能提供有效证明的；</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11.被责令停业的，或被暂停投标资格的，或被取消投标资格的；</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12.近3年内（从招标公告发布之日起倒算）投标人或者其法定代表人有行贿犯罪记录的；</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13.近1年起（从截标之日倒算起）因串通投标、转包、以他人名义投标或者违法分包等违法行为受到建设、交通或者财政部门行政处罚的；</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14.因违反工程质量、安全生产管理规定等原因被建设部门给予红色警示且在警示期内的；</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15.拖欠工人工资被有关部门责令改正而未改正的；</w:t>
      </w:r>
    </w:p>
    <w:p>
      <w:pPr>
        <w:adjustRightInd w:val="0"/>
        <w:snapToGrid w:val="0"/>
        <w:spacing w:line="360" w:lineRule="auto"/>
        <w:ind w:firstLine="420" w:firstLineChars="200"/>
        <w:jc w:val="left"/>
        <w:rPr>
          <w:rFonts w:ascii="宋体" w:hAnsi="宋体" w:eastAsia="宋体" w:cs="宋体"/>
          <w:b/>
          <w:strike/>
          <w:color w:val="auto"/>
          <w:kern w:val="0"/>
          <w:highlight w:val="none"/>
        </w:rPr>
      </w:pPr>
      <w:r>
        <w:rPr>
          <w:rFonts w:hint="eastAsia" w:ascii="宋体" w:hAnsi="宋体" w:eastAsia="宋体" w:cs="宋体"/>
          <w:color w:val="auto"/>
          <w:kern w:val="0"/>
          <w:highlight w:val="none"/>
        </w:rPr>
        <w:t>16.依法应当拒绝投标的其他情形。</w:t>
      </w: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（二）</w:t>
      </w:r>
      <w:r>
        <w:rPr>
          <w:rFonts w:hint="eastAsia" w:ascii="宋体" w:hAnsi="宋体" w:eastAsia="宋体" w:cs="宋体"/>
          <w:b/>
          <w:bCs/>
          <w:color w:val="auto"/>
          <w:kern w:val="0"/>
          <w:szCs w:val="21"/>
          <w:highlight w:val="none"/>
        </w:rPr>
        <w:t>评标阶段有关废标的情形（由评标委员会负责判定）：</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1.采用暗标方式的，投标人在暗标部分投标文件内标注名称、印章、商标等标记符号，使得能够辨认出投标人或其专业技术人员身份的；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2.投标人以他人的名义投标或出现下列串通投标、弄虚作假投标嫌疑情形之一的：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2.1不同投标人的投标文件内容存在非正常一致的；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2.2不同投标人的投标文件错漏之处一致的；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2.3不同投标人的投标文件由同一单位或者同一个人编制的；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2.4不同投标人的投标文件载明的项目管理班子成员出现同一人的；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2.5不同投标人的投标文件相互混装的；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2.6不同投标人的投标文件由同一台电脑编制的；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2.7不同投标人聘请同一人为其投标提供技术或者经济咨询服务的，但招标工程本身要求采用专有技术的除外；</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2.8评标委员会认定的其他串通投标情形；</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3.根据招标文件的规定对投标文件的投标价格进行调整，投标人不接受调整方式的，或不接受调整后的价格的；</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4.评标委员会三分之二及以上成员认为应当废标的其他情形。</w:t>
      </w:r>
    </w:p>
    <w:p>
      <w:pPr>
        <w:adjustRightInd w:val="0"/>
        <w:snapToGrid w:val="0"/>
        <w:spacing w:line="360" w:lineRule="auto"/>
        <w:ind w:firstLine="420" w:firstLineChars="200"/>
        <w:jc w:val="left"/>
        <w:rPr>
          <w:rFonts w:ascii="宋体" w:hAnsi="宋体" w:eastAsia="宋体" w:cs="宋体"/>
          <w:color w:val="auto"/>
          <w:kern w:val="0"/>
          <w:highlight w:val="none"/>
        </w:rPr>
      </w:pP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（招标人对上述内容有修改或补充的，以下述条款为准）</w:t>
      </w: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（三）招标人修改或补充的投标文件不予受理的情形：</w:t>
      </w:r>
    </w:p>
    <w:p>
      <w:pPr>
        <w:adjustRightInd w:val="0"/>
        <w:snapToGrid w:val="0"/>
        <w:spacing w:line="360" w:lineRule="auto"/>
        <w:ind w:firstLine="525" w:firstLineChars="2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pPr>
        <w:adjustRightInd w:val="0"/>
        <w:snapToGrid w:val="0"/>
        <w:spacing w:line="360" w:lineRule="auto"/>
        <w:ind w:firstLine="422" w:firstLineChars="200"/>
        <w:jc w:val="left"/>
        <w:rPr>
          <w:rFonts w:ascii="宋体" w:hAnsi="宋体" w:eastAsia="宋体" w:cs="宋体"/>
          <w:b/>
          <w:color w:val="auto"/>
          <w:kern w:val="0"/>
          <w:highlight w:val="none"/>
        </w:rPr>
      </w:pP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（四）招标人修改或补充的投标文件废标的情形：</w:t>
      </w:r>
    </w:p>
    <w:p>
      <w:pPr>
        <w:adjustRightInd w:val="0"/>
        <w:snapToGrid w:val="0"/>
        <w:spacing w:line="360" w:lineRule="auto"/>
        <w:ind w:firstLine="525" w:firstLineChars="250"/>
        <w:jc w:val="left"/>
        <w:rPr>
          <w:rFonts w:ascii="宋体" w:hAnsi="宋体" w:eastAsia="宋体" w:cs="宋体"/>
          <w:color w:val="auto"/>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highlight w:val="none"/>
        </w:rPr>
        <w:br w:type="page"/>
      </w:r>
    </w:p>
    <w:p>
      <w:pPr>
        <w:adjustRightInd w:val="0"/>
        <w:snapToGrid w:val="0"/>
        <w:spacing w:line="360" w:lineRule="auto"/>
        <w:jc w:val="left"/>
        <w:rPr>
          <w:rFonts w:ascii="宋体" w:hAnsi="宋体"/>
          <w:color w:val="auto"/>
          <w:kern w:val="0"/>
          <w:highlight w:val="none"/>
        </w:rPr>
      </w:pPr>
    </w:p>
    <w:p>
      <w:pPr>
        <w:adjustRightInd w:val="0"/>
        <w:snapToGrid w:val="0"/>
        <w:spacing w:line="360" w:lineRule="auto"/>
        <w:ind w:firstLine="420" w:firstLineChars="200"/>
        <w:jc w:val="left"/>
        <w:rPr>
          <w:color w:val="auto"/>
          <w:highlight w:val="none"/>
        </w:rPr>
      </w:pPr>
    </w:p>
    <w:p>
      <w:pPr>
        <w:adjustRightInd w:val="0"/>
        <w:snapToGrid w:val="0"/>
        <w:spacing w:line="360" w:lineRule="auto"/>
        <w:ind w:right="-25" w:rightChars="-12"/>
        <w:jc w:val="center"/>
        <w:outlineLvl w:val="1"/>
        <w:rPr>
          <w:rFonts w:ascii="黑体" w:hAnsi="黑体" w:eastAsia="黑体"/>
          <w:color w:val="auto"/>
          <w:sz w:val="32"/>
          <w:szCs w:val="32"/>
          <w:highlight w:val="none"/>
        </w:rPr>
      </w:pPr>
      <w:bookmarkStart w:id="92" w:name="_Toc62"/>
      <w:bookmarkStart w:id="93" w:name="_Toc21692"/>
      <w:bookmarkStart w:id="94" w:name="_Toc3595"/>
      <w:bookmarkStart w:id="95" w:name="_Toc19634"/>
      <w:bookmarkStart w:id="96" w:name="_Toc31561"/>
      <w:bookmarkStart w:id="97" w:name="_Toc17402"/>
      <w:bookmarkStart w:id="98" w:name="_Toc12430"/>
      <w:bookmarkStart w:id="99" w:name="_Toc17467"/>
      <w:bookmarkStart w:id="100" w:name="_Toc19183"/>
      <w:bookmarkStart w:id="101" w:name="_Toc21282"/>
      <w:bookmarkStart w:id="102" w:name="_Toc32392"/>
      <w:bookmarkStart w:id="103" w:name="_Toc27033"/>
      <w:bookmarkStart w:id="104" w:name="_Toc323"/>
      <w:bookmarkStart w:id="105" w:name="_Toc18776"/>
      <w:r>
        <w:rPr>
          <w:rFonts w:hint="eastAsia" w:ascii="黑体" w:hAnsi="黑体" w:eastAsia="黑体"/>
          <w:color w:val="auto"/>
          <w:sz w:val="32"/>
          <w:szCs w:val="32"/>
          <w:highlight w:val="none"/>
        </w:rPr>
        <w:t>三、招投标须知</w:t>
      </w:r>
      <w:bookmarkEnd w:id="92"/>
      <w:bookmarkEnd w:id="93"/>
      <w:bookmarkEnd w:id="94"/>
      <w:bookmarkEnd w:id="95"/>
      <w:bookmarkEnd w:id="96"/>
      <w:bookmarkEnd w:id="97"/>
      <w:bookmarkEnd w:id="98"/>
      <w:bookmarkEnd w:id="99"/>
      <w:bookmarkEnd w:id="100"/>
      <w:bookmarkEnd w:id="101"/>
      <w:bookmarkEnd w:id="102"/>
      <w:r>
        <w:rPr>
          <w:rFonts w:hint="eastAsia" w:ascii="黑体" w:hAnsi="黑体" w:eastAsia="黑体"/>
          <w:color w:val="auto"/>
          <w:sz w:val="32"/>
          <w:szCs w:val="32"/>
          <w:highlight w:val="none"/>
        </w:rPr>
        <w:t>正文</w:t>
      </w:r>
      <w:bookmarkEnd w:id="103"/>
      <w:bookmarkEnd w:id="104"/>
      <w:bookmarkEnd w:id="105"/>
    </w:p>
    <w:p>
      <w:pPr>
        <w:adjustRightInd w:val="0"/>
        <w:snapToGrid w:val="0"/>
        <w:spacing w:line="360" w:lineRule="auto"/>
        <w:jc w:val="center"/>
        <w:outlineLvl w:val="2"/>
        <w:rPr>
          <w:rFonts w:ascii="黑体" w:hAnsi="黑体" w:eastAsia="黑体" w:cs="黑体"/>
          <w:bCs/>
          <w:color w:val="auto"/>
          <w:kern w:val="0"/>
          <w:sz w:val="30"/>
          <w:highlight w:val="none"/>
        </w:rPr>
      </w:pPr>
      <w:bookmarkStart w:id="106" w:name="_Toc4852"/>
      <w:bookmarkStart w:id="107" w:name="_Toc16253"/>
      <w:bookmarkStart w:id="108" w:name="_Toc18556"/>
      <w:bookmarkStart w:id="109" w:name="_Toc32488"/>
      <w:bookmarkStart w:id="110" w:name="_Toc27853"/>
      <w:bookmarkStart w:id="111" w:name="_Toc13640"/>
      <w:bookmarkStart w:id="112" w:name="_Toc23805"/>
      <w:bookmarkStart w:id="113" w:name="_Toc22302"/>
      <w:bookmarkStart w:id="114" w:name="_Toc18247"/>
      <w:bookmarkStart w:id="115" w:name="_Toc15058"/>
      <w:bookmarkStart w:id="116" w:name="_Toc26187"/>
      <w:bookmarkStart w:id="117" w:name="_Toc21408"/>
      <w:r>
        <w:rPr>
          <w:rFonts w:hint="eastAsia" w:ascii="黑体" w:hAnsi="黑体" w:eastAsia="黑体" w:cs="黑体"/>
          <w:bCs/>
          <w:color w:val="auto"/>
          <w:kern w:val="0"/>
          <w:sz w:val="30"/>
          <w:highlight w:val="none"/>
        </w:rPr>
        <w:t>（一）招标</w:t>
      </w:r>
      <w:bookmarkEnd w:id="106"/>
      <w:bookmarkEnd w:id="107"/>
      <w:bookmarkEnd w:id="108"/>
      <w:bookmarkEnd w:id="109"/>
      <w:bookmarkEnd w:id="110"/>
      <w:bookmarkEnd w:id="111"/>
      <w:bookmarkEnd w:id="112"/>
      <w:bookmarkEnd w:id="113"/>
      <w:bookmarkEnd w:id="114"/>
      <w:bookmarkEnd w:id="115"/>
      <w:bookmarkEnd w:id="116"/>
      <w:bookmarkEnd w:id="117"/>
    </w:p>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1.1招标文件的编制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1.1.1招标人应根据招标项目特点和招标公告约定编制招标文件。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1.1.2招标文件的编制，必须依照以下格式及包括下列内容：</w:t>
      </w:r>
    </w:p>
    <w:p>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第一章  使用说明</w:t>
      </w:r>
    </w:p>
    <w:p>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第二章  投标须知</w:t>
      </w:r>
    </w:p>
    <w:p>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第三章  招标人对招标文件的补充/修改</w:t>
      </w:r>
    </w:p>
    <w:p>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第四章  勘察任务书</w:t>
      </w:r>
    </w:p>
    <w:p>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第五章  投标文件格式</w:t>
      </w:r>
    </w:p>
    <w:p>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第六章  合同条款</w:t>
      </w:r>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1.2踏勘现场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1.2.1在投标文件编制前，招标人将按照前附表所规定方式，组织投标人踏勘项目现场及其周围环境，以便投标人获取编制投标文件和签署合同所需全部资料。投标人承担踏勘现场所发生的自身费用。</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1.2.2招标人向投标人所提供有关项目现场的数据和资料，是踏勘当时现有的、能被投标人采用的资料。招标人对于投标人由此所作任何推论、理解和分析，不承担责任。</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1.2.3经招标人允许，投标人可因踏勘目的而进入招标项目现场，但投标人不得因此使得招标人承担有关责任和蒙受损失。投标人须自行承担踏勘现场的责任、风险及相关费用。</w:t>
      </w:r>
    </w:p>
    <w:p>
      <w:pPr>
        <w:adjustRightInd w:val="0"/>
        <w:snapToGrid w:val="0"/>
        <w:spacing w:line="360" w:lineRule="auto"/>
        <w:jc w:val="left"/>
        <w:rPr>
          <w:rFonts w:ascii="宋体" w:hAnsi="宋体" w:eastAsia="宋体" w:cs="宋体"/>
          <w:b/>
          <w:color w:val="auto"/>
          <w:kern w:val="0"/>
          <w:highlight w:val="none"/>
        </w:rPr>
      </w:pPr>
      <w:bookmarkStart w:id="118" w:name="_Toc14938"/>
      <w:r>
        <w:rPr>
          <w:rFonts w:hint="eastAsia" w:ascii="宋体" w:hAnsi="宋体" w:eastAsia="宋体" w:cs="宋体"/>
          <w:b/>
          <w:color w:val="auto"/>
          <w:kern w:val="0"/>
          <w:highlight w:val="none"/>
        </w:rPr>
        <w:t>1.3招标文件的澄清、修改、补充</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1.3.1招标人对招标文件进行的澄清、修改以补充文件的形式，将于规定的招标人答疑截止时间前报主管部门备案，并通过</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向所有投标人公示。投标人应随时上网查看最新信息，否则由此导致的不利后果的，由投标人自行承担。</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1.3.2招标文件的补充文件是招标文件的组成部分。当招标文件与补充文件的内容不一致时，以补充文件为准；当补充文件之间的内容不一致时，以最后发出的文件为准。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1.3.3为确保投标人有充分时间对招标文件修改内容进行研究，招标人可酌情延长投标截止时间，并在招标文件补充文件中予以明确。</w:t>
      </w:r>
    </w:p>
    <w:p>
      <w:pPr>
        <w:adjustRightInd w:val="0"/>
        <w:snapToGrid w:val="0"/>
        <w:spacing w:line="360" w:lineRule="auto"/>
        <w:jc w:val="center"/>
        <w:outlineLvl w:val="2"/>
        <w:rPr>
          <w:rFonts w:ascii="黑体" w:hAnsi="黑体" w:eastAsia="黑体" w:cs="黑体"/>
          <w:bCs/>
          <w:color w:val="auto"/>
          <w:kern w:val="0"/>
          <w:sz w:val="30"/>
          <w:szCs w:val="30"/>
          <w:highlight w:val="none"/>
        </w:rPr>
      </w:pPr>
      <w:bookmarkStart w:id="119" w:name="_Toc21130"/>
      <w:bookmarkStart w:id="120" w:name="_Toc9797"/>
      <w:r>
        <w:rPr>
          <w:rFonts w:hint="eastAsia" w:ascii="黑体" w:hAnsi="黑体" w:eastAsia="黑体" w:cs="黑体"/>
          <w:bCs/>
          <w:color w:val="auto"/>
          <w:kern w:val="0"/>
          <w:sz w:val="30"/>
          <w:szCs w:val="30"/>
          <w:highlight w:val="none"/>
        </w:rPr>
        <w:t>（二）投标</w:t>
      </w:r>
      <w:bookmarkEnd w:id="118"/>
      <w:bookmarkEnd w:id="119"/>
      <w:bookmarkEnd w:id="120"/>
    </w:p>
    <w:p>
      <w:pPr>
        <w:pStyle w:val="5"/>
        <w:spacing w:before="0" w:after="0" w:line="360" w:lineRule="auto"/>
        <w:ind w:left="0" w:firstLine="0"/>
        <w:rPr>
          <w:rFonts w:ascii="宋体" w:hAnsi="宋体" w:cs="宋体"/>
          <w:color w:val="auto"/>
          <w:sz w:val="21"/>
          <w:szCs w:val="21"/>
          <w:highlight w:val="none"/>
        </w:rPr>
      </w:pPr>
      <w:bookmarkStart w:id="121" w:name="_Toc27232"/>
      <w:r>
        <w:rPr>
          <w:rFonts w:hint="eastAsia" w:ascii="宋体" w:hAnsi="宋体" w:cs="宋体"/>
          <w:color w:val="auto"/>
          <w:sz w:val="21"/>
          <w:szCs w:val="21"/>
          <w:highlight w:val="none"/>
        </w:rPr>
        <w:t>2.1文件编制语言、度量单位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2.1.1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的不利后果的，由投标人自行承担）。对投标文件的最终解释，将以中文或中文译文为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2.1.2除工程建设标准及技术要求另有规定外，招标文件和投标文件所使用度量单位，均采用中华人民共和国法定计量单位。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2.1.3涉及货币种类时，除特殊说明外，均指人民币。</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2.2 投标人资格要求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 投标人应当具备承担本招标项目的能力；具备国家有关规定或者招标文件规定的资格条件；且通过合法途径取得招标文件。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2.2.2关于联合体投标</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（2）投标人的投标文件及中标后签署的合同协议书对联合体每一成员均具</w:t>
      </w:r>
      <w:ins w:id="0" w:author="官伟杰" w:date="2024-12-04T11:29:17Z">
        <w:r>
          <w:rPr>
            <w:rFonts w:hint="eastAsia" w:ascii="宋体" w:hAnsi="宋体" w:eastAsia="宋体" w:cs="宋体"/>
            <w:color w:val="auto"/>
            <w:kern w:val="0"/>
            <w:szCs w:val="21"/>
            <w:highlight w:val="none"/>
            <w:lang w:val="en-US" w:eastAsia="zh-CN"/>
          </w:rPr>
          <w:t>有</w:t>
        </w:r>
      </w:ins>
      <w:r>
        <w:rPr>
          <w:rFonts w:hint="eastAsia" w:ascii="宋体" w:hAnsi="宋体" w:eastAsia="宋体" w:cs="宋体"/>
          <w:color w:val="auto"/>
          <w:kern w:val="0"/>
          <w:szCs w:val="21"/>
          <w:highlight w:val="none"/>
        </w:rPr>
        <w:t>法律约束力；</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（3）联合体的各成员应当签订共同投标协议，明确约定各方拟承担的工作和责任，并将该共同投标协议随投标文件一并递交给招标人；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（4）联合体中标后，联合体各方应当共同与招标人签订合同，为履行合同向招标人承担连带责任；</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（5）由联合体的各成员提交一份授权书，证明联合体代表资格，该授权书作为投标文件的组成部分一并提交给招标人；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（6）联合体主体作为联合体所有成员的代表承担责任和接受指令，并负责整个合同的全面履行；</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（7）参加联合体的各成员不得再以自己的名义单独投标，也不得同时参加两个或两个以上的联合体投标。</w:t>
      </w:r>
    </w:p>
    <w:p>
      <w:pPr>
        <w:pStyle w:val="5"/>
        <w:spacing w:before="0" w:after="0" w:line="360" w:lineRule="auto"/>
        <w:ind w:left="0" w:firstLine="0"/>
        <w:rPr>
          <w:rFonts w:ascii="宋体" w:hAnsi="宋体" w:cs="宋体"/>
          <w:color w:val="auto"/>
          <w:sz w:val="21"/>
          <w:szCs w:val="21"/>
          <w:highlight w:val="none"/>
        </w:rPr>
      </w:pPr>
      <w:r>
        <w:rPr>
          <w:rFonts w:hint="eastAsia" w:ascii="宋体" w:hAnsi="宋体" w:cs="宋体"/>
          <w:color w:val="auto"/>
          <w:sz w:val="21"/>
          <w:szCs w:val="21"/>
          <w:highlight w:val="none"/>
        </w:rPr>
        <w:t>2.3投标文件的编制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2.3.1投标文件编制成果及要求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投标文件由技术标、商务标和资信标等组成。详见前附表规定和本招标文件范本第五章《投标文件格式》。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2.3.2投标文件的签署</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投标文件必须使用投标人的机构数字证书或电子营业执照和法人数字证书进行签名。</w:t>
      </w:r>
    </w:p>
    <w:p>
      <w:pPr>
        <w:pStyle w:val="5"/>
        <w:spacing w:before="0" w:after="0" w:line="360" w:lineRule="auto"/>
        <w:ind w:left="0" w:firstLine="0"/>
        <w:rPr>
          <w:rFonts w:ascii="宋体" w:hAnsi="宋体" w:cs="宋体"/>
          <w:color w:val="auto"/>
          <w:sz w:val="21"/>
          <w:szCs w:val="21"/>
          <w:highlight w:val="none"/>
        </w:rPr>
      </w:pPr>
      <w:r>
        <w:rPr>
          <w:rFonts w:hint="eastAsia" w:ascii="宋体" w:hAnsi="宋体" w:cs="宋体"/>
          <w:color w:val="auto"/>
          <w:sz w:val="21"/>
          <w:szCs w:val="21"/>
          <w:highlight w:val="none"/>
        </w:rPr>
        <w:t>2.4对招标文件查收及质疑</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2.4.1投标人获取招标文件后，应仔细检查招标文件是否完整。如有残缺，应在获取招标文件后3日内向招标人提出，以便补齐。否则，由此导致不利后果的，由投标人自己承担。</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2.4.2投标人对招标文件若有其他疑问，应于前附表规定的时间和方式向招标人提出，逾期不予受理。</w:t>
      </w:r>
    </w:p>
    <w:p>
      <w:pPr>
        <w:pStyle w:val="5"/>
        <w:ind w:left="0" w:firstLine="0"/>
        <w:rPr>
          <w:rFonts w:ascii="宋体" w:hAnsi="宋体" w:cs="宋体"/>
          <w:color w:val="auto"/>
          <w:sz w:val="21"/>
          <w:szCs w:val="21"/>
          <w:highlight w:val="none"/>
        </w:rPr>
      </w:pPr>
      <w:r>
        <w:rPr>
          <w:rFonts w:hint="eastAsia" w:ascii="宋体" w:hAnsi="宋体" w:cs="宋体"/>
          <w:color w:val="auto"/>
          <w:sz w:val="21"/>
          <w:szCs w:val="21"/>
          <w:highlight w:val="none"/>
        </w:rPr>
        <w:t>2.5投标有效期</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2.5.1投标有效期按法律法规规定期限内，所有投标文件均保持有效。</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2.6投标担保</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2.6.1投标人应按前附表的规定提交投标担保</w:t>
      </w:r>
      <w:r>
        <w:rPr>
          <w:rFonts w:hint="eastAsia" w:ascii="宋体" w:hAnsi="宋体" w:eastAsia="宋体" w:cs="宋体"/>
          <w:color w:val="auto"/>
          <w:kern w:val="0"/>
          <w:szCs w:val="21"/>
          <w:highlight w:val="none"/>
          <w:lang w:eastAsia="zh-CN"/>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2.6.2</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2.6.3</w:t>
      </w:r>
      <w:r>
        <w:rPr>
          <w:rFonts w:hint="eastAsia" w:ascii="宋体" w:hAnsi="宋体" w:eastAsia="宋体" w:cs="宋体"/>
          <w:color w:val="auto"/>
          <w:szCs w:val="21"/>
          <w:highlight w:val="none"/>
        </w:rPr>
        <w:t>对于未能按要求提交投标担保的，投标文件将按有关条款不予受理。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2.6.4</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2.6.5</w:t>
      </w:r>
      <w:r>
        <w:rPr>
          <w:rFonts w:hint="eastAsia" w:ascii="宋体" w:hAnsi="宋体" w:eastAsia="宋体" w:cs="宋体"/>
          <w:color w:val="auto"/>
          <w:szCs w:val="21"/>
          <w:highlight w:val="none"/>
        </w:rPr>
        <w:t>出现下列情形之一时，招标人应当在7天内退还投标人的投标担保：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中标通知书发出，中标人签订了工程承包合同；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招标过程中招标活动因正当理由被招标人宣布终止；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招标失败需重新组织招标；</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投标有效期满而投标人不同意作出延长。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2.6.6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投标人有弄虚作假或串通投标等违法违规行为；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投标人在投标有效期内撤回其投标文件；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中标人无正当理由不与招标人订立合同，在签订合同时向招标人提出附加条件，或者不按照招标文件要求提交履约保证金的；</w:t>
      </w:r>
    </w:p>
    <w:p>
      <w:pPr>
        <w:adjustRightInd w:val="0"/>
        <w:snapToGrid w:val="0"/>
        <w:spacing w:line="360" w:lineRule="auto"/>
        <w:ind w:firstLine="420" w:firstLineChars="200"/>
        <w:jc w:val="left"/>
        <w:rPr>
          <w:rFonts w:hint="eastAsia" w:ascii="宋体" w:hAnsi="宋体" w:eastAsia="宋体" w:cs="宋体"/>
          <w:strike/>
          <w:color w:val="auto"/>
          <w:kern w:val="0"/>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投标人资质证书被暂扣或吊销，但仍参与投标的。</w:t>
      </w:r>
    </w:p>
    <w:p>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kern w:val="0"/>
          <w:szCs w:val="21"/>
          <w:highlight w:val="none"/>
        </w:rPr>
        <w:t>2.7投标文件的提交</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2.7.1投标截止时间</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投标人应根据前附表规定，在投标截止时间前完成投标文件递交，逾期概不受理。</w:t>
      </w:r>
    </w:p>
    <w:p>
      <w:pPr>
        <w:pStyle w:val="5"/>
        <w:ind w:left="0" w:firstLine="420" w:firstLineChars="200"/>
        <w:rPr>
          <w:rFonts w:ascii="宋体" w:hAnsi="宋体" w:cs="宋体"/>
          <w:b w:val="0"/>
          <w:color w:val="auto"/>
          <w:sz w:val="21"/>
          <w:szCs w:val="21"/>
          <w:highlight w:val="none"/>
        </w:rPr>
      </w:pPr>
      <w:r>
        <w:rPr>
          <w:rFonts w:hint="eastAsia" w:ascii="宋体" w:hAnsi="宋体" w:cs="宋体"/>
          <w:b w:val="0"/>
          <w:color w:val="auto"/>
          <w:sz w:val="21"/>
          <w:szCs w:val="21"/>
          <w:highlight w:val="none"/>
        </w:rPr>
        <w:t>2.7.2投标文件的补充、修改与撤回</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（1）递交投标文件之后至规定的投标截止时间之前，投标人可以撤回、补充或修改其已提交的投标文件，并通知招标人。补充、修改内容亦为投标文件有效组成部分。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（2）投标人的撤回、补充、修改，仍应按前附表规定编制和递交，并重新进行电子签名确认和打印回执。</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（3）投标截止时间之后、投标有效期终止之前，投标人不得补充、修改或者撤回其已提交的投标文件。</w:t>
      </w:r>
    </w:p>
    <w:p>
      <w:pPr>
        <w:pStyle w:val="5"/>
        <w:ind w:left="0" w:firstLine="420" w:firstLineChars="200"/>
        <w:rPr>
          <w:rFonts w:ascii="宋体" w:hAnsi="宋体" w:cs="宋体"/>
          <w:b w:val="0"/>
          <w:color w:val="auto"/>
          <w:sz w:val="21"/>
          <w:szCs w:val="21"/>
          <w:highlight w:val="none"/>
        </w:rPr>
      </w:pPr>
      <w:r>
        <w:rPr>
          <w:rFonts w:hint="eastAsia" w:ascii="宋体" w:hAnsi="宋体" w:cs="宋体"/>
          <w:b w:val="0"/>
          <w:color w:val="auto"/>
          <w:sz w:val="21"/>
          <w:szCs w:val="21"/>
          <w:highlight w:val="none"/>
        </w:rPr>
        <w:t>2.7.3截标时投标的数量要求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截标时，递交标书的投标人数量不足3名的，招标人将按相关法律法规的规定，暂停开标和评标程序。如因此导致招标失败，招标人将不负担给投标人造成的损失（已规定有投标补偿的除外）。</w:t>
      </w:r>
    </w:p>
    <w:p>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联合体投标的工程，联合体主体单位应在投标时录入已进行企业信息备案登记的联合体其他成员单位。</w:t>
      </w:r>
    </w:p>
    <w:p>
      <w:pPr>
        <w:numPr>
          <w:ilvl w:val="0"/>
          <w:numId w:val="2"/>
        </w:numPr>
        <w:adjustRightInd w:val="0"/>
        <w:snapToGrid w:val="0"/>
        <w:spacing w:line="360" w:lineRule="auto"/>
        <w:jc w:val="center"/>
        <w:outlineLvl w:val="2"/>
        <w:rPr>
          <w:rFonts w:ascii="黑体" w:hAnsi="黑体" w:eastAsia="黑体" w:cs="黑体"/>
          <w:bCs/>
          <w:color w:val="auto"/>
          <w:kern w:val="0"/>
          <w:sz w:val="30"/>
          <w:highlight w:val="none"/>
        </w:rPr>
      </w:pPr>
      <w:bookmarkStart w:id="122" w:name="_Toc8407"/>
      <w:bookmarkStart w:id="123" w:name="_Toc2934"/>
      <w:r>
        <w:rPr>
          <w:rFonts w:hint="eastAsia" w:ascii="黑体" w:hAnsi="黑体" w:eastAsia="黑体" w:cs="黑体"/>
          <w:bCs/>
          <w:color w:val="auto"/>
          <w:kern w:val="0"/>
          <w:sz w:val="30"/>
          <w:highlight w:val="none"/>
        </w:rPr>
        <w:t>资格后审</w:t>
      </w:r>
      <w:bookmarkEnd w:id="121"/>
      <w:bookmarkEnd w:id="122"/>
      <w:bookmarkEnd w:id="123"/>
    </w:p>
    <w:p>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采用资格后审方式的，按以下规定进行：</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3.1资格审查由招标人组成的资格后审委员会负责，在截标后，每一个投标人的资格审查文件均在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对本项目投标人公开，招标人</w:t>
      </w:r>
      <w:r>
        <w:rPr>
          <w:rFonts w:hint="eastAsia" w:ascii="宋体" w:hAnsi="宋体" w:eastAsia="宋体" w:cs="宋体"/>
          <w:color w:val="auto"/>
          <w:kern w:val="0"/>
          <w:szCs w:val="21"/>
          <w:highlight w:val="none"/>
          <w:lang w:eastAsia="zh-CN"/>
        </w:rPr>
        <w:t>登录</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对各投标人资格进行审查。</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3.2资格后审委员会成员数量为3人以上单数，招标代理人员参与资格审查的，其人员不得超过总人数的1/3。</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3.3资格后审委员严格对照招标公告中要求的投标人资格条件，逐个审查投标人递交的资格审查文件，审核判断投标人是否满足该资格条件。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3.5拟进行资格后审澄清、答辩的代表由招标人核对身份。</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3.6资格后审委员会要求投标人进行澄清、答辩，但投标人在招标人规定时间内未派出人员及时作出澄清、答辩的，资格后审委员会将可能作出不利于投标人的判定。</w:t>
      </w:r>
    </w:p>
    <w:p>
      <w:pPr>
        <w:tabs>
          <w:tab w:val="left" w:pos="735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w:t>
      </w:r>
      <w:r>
        <w:rPr>
          <w:rFonts w:hint="eastAsia" w:ascii="宋体" w:hAnsi="宋体" w:eastAsia="宋体" w:cs="宋体"/>
          <w:color w:val="auto"/>
          <w:szCs w:val="21"/>
          <w:highlight w:val="none"/>
        </w:rPr>
        <w:t>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pPr>
        <w:adjustRightInd w:val="0"/>
        <w:snapToGrid w:val="0"/>
        <w:spacing w:line="360" w:lineRule="auto"/>
        <w:jc w:val="center"/>
        <w:outlineLvl w:val="2"/>
        <w:rPr>
          <w:rFonts w:ascii="黑体" w:hAnsi="黑体" w:eastAsia="黑体" w:cs="黑体"/>
          <w:bCs/>
          <w:color w:val="auto"/>
          <w:kern w:val="0"/>
          <w:sz w:val="30"/>
          <w:highlight w:val="none"/>
        </w:rPr>
      </w:pPr>
      <w:bookmarkStart w:id="124" w:name="_Toc11150"/>
      <w:bookmarkStart w:id="125" w:name="_Toc14503"/>
      <w:bookmarkStart w:id="126" w:name="_Toc25292"/>
      <w:r>
        <w:rPr>
          <w:rFonts w:hint="eastAsia" w:ascii="黑体" w:hAnsi="黑体" w:eastAsia="黑体" w:cs="黑体"/>
          <w:bCs/>
          <w:color w:val="auto"/>
          <w:kern w:val="0"/>
          <w:sz w:val="30"/>
          <w:highlight w:val="none"/>
        </w:rPr>
        <w:t>（四）开标</w:t>
      </w:r>
      <w:bookmarkEnd w:id="124"/>
      <w:bookmarkEnd w:id="125"/>
      <w:bookmarkEnd w:id="126"/>
    </w:p>
    <w:p>
      <w:pPr>
        <w:tabs>
          <w:tab w:val="left" w:pos="735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4.1开标会议由招标人在交易网进行，投标人现场参加开标会的必须是法定代表人或投标员，并必须遵守办理程序及人员身份的相关规定。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4.2资格后审不合格的投标人不进入开标程序。</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4.3开标时，需按开标程序分步对电子投标文件各部分进行导入；如电子投标文件已加密的，也必须按开标程序分步对电子投标文件各部分进行解密。</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4.4按“投标文件否决性条款”规定宣布为不予受理情形的投标文件，不予送交评标委员会评审。</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4.5开标后，当资格审查合格的投标人数量超过20名时，招标人可以按规定将进入评标环节的投标人数量淘汰至15至20名。</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4.6招标人应对开标过程进行记录，以存档备查。</w:t>
      </w:r>
      <w:r>
        <w:rPr>
          <w:rFonts w:hint="eastAsia" w:ascii="宋体" w:hAnsi="宋体" w:eastAsia="宋体" w:cs="宋体"/>
          <w:color w:val="auto"/>
          <w:szCs w:val="21"/>
          <w:highlight w:val="none"/>
        </w:rPr>
        <w:t>开标及入围结果应当在交易网进行公示。</w:t>
      </w:r>
    </w:p>
    <w:p>
      <w:pPr>
        <w:adjustRightInd w:val="0"/>
        <w:snapToGrid w:val="0"/>
        <w:spacing w:line="360" w:lineRule="auto"/>
        <w:ind w:firstLine="420" w:firstLineChars="200"/>
        <w:rPr>
          <w:rFonts w:ascii="宋体" w:hAnsi="宋体" w:eastAsia="宋体" w:cs="宋体"/>
          <w:color w:val="auto"/>
          <w:kern w:val="0"/>
          <w:szCs w:val="21"/>
          <w:highlight w:val="none"/>
        </w:rPr>
      </w:pPr>
    </w:p>
    <w:p>
      <w:pPr>
        <w:adjustRightInd w:val="0"/>
        <w:snapToGrid w:val="0"/>
        <w:spacing w:line="360" w:lineRule="auto"/>
        <w:jc w:val="center"/>
        <w:outlineLvl w:val="2"/>
        <w:rPr>
          <w:rFonts w:ascii="黑体" w:hAnsi="黑体" w:eastAsia="黑体" w:cs="黑体"/>
          <w:bCs/>
          <w:color w:val="auto"/>
          <w:kern w:val="0"/>
          <w:sz w:val="30"/>
          <w:highlight w:val="none"/>
        </w:rPr>
      </w:pPr>
      <w:bookmarkStart w:id="127" w:name="_Toc32361"/>
      <w:bookmarkStart w:id="128" w:name="_Toc19841"/>
      <w:bookmarkStart w:id="129" w:name="_Toc24152"/>
      <w:r>
        <w:rPr>
          <w:rFonts w:hint="eastAsia" w:ascii="黑体" w:hAnsi="黑体" w:eastAsia="黑体" w:cs="黑体"/>
          <w:bCs/>
          <w:color w:val="auto"/>
          <w:kern w:val="0"/>
          <w:sz w:val="30"/>
          <w:highlight w:val="none"/>
        </w:rPr>
        <w:t>（五）评标</w:t>
      </w:r>
      <w:bookmarkEnd w:id="127"/>
      <w:bookmarkEnd w:id="128"/>
      <w:bookmarkEnd w:id="129"/>
    </w:p>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5.1评标委员会组建及职责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5.1.1评标委员会组建方式：由招标人依法组建，负责评标活动。评标委员会的专家成员由招标人从评标专家库内按照专业随机抽取，评标委员会成员数量为5人以上单数，招标人可以委派一名代表。</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5.1.2评标委员会职责：评标委员会应根据招标文件规定的评标方法和标准，遵循公开、公正、公平、科学、择优的原则，对投标文件进行评审。评标委员会根据招标文件规定向招标人推荐合格投标人或中标候选人。</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格遵守评标纪律，并对评标结果终身负责。</w:t>
      </w:r>
    </w:p>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5.2投标文件的初步评审</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5.2.1计算机评标系统对投标文件进行自动清标分析，然后由评标委员会进行投标文件的初步评审。</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5.2.2投标文件初步评审不合格的，应参照投标文件否决性条款作相应处理。</w:t>
      </w:r>
    </w:p>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5.3投标文件的详细评审</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5.4投标文件的重大偏差</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pPr>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5.5投标文件的细微偏差</w:t>
      </w:r>
    </w:p>
    <w:p>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5.6投标文件的澄清答辩</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5.6.3评标委员会要求投标人进行答辩，但投标人在评标委员会规定的时间（不少于30分钟）内未派出代表及时作出答辩的，评标委员会将根据招标文件规定作出不利于投标人的判定，投标人不得因此提出任何异议。</w:t>
      </w:r>
    </w:p>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5.7 废标的处理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5.7.1除法律、法规、规章、规范性文件规定以及本招标文件否决性条款单列的废标情形外，评标委员会不得对投标文件作废标处理。评标委员会对投标文件应坚持谨慎废标的原则。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5.7.2评标委员会在作出任何一项废标决定前，都应当严格遵循以下程序：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①向当事投标人作相应的澄清。</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②当事投标人应当在通知规定时间内，向评标委员会作出澄清和解释。未按时作出澄清和解释的，评标委员会可对相应投标文件按最不利情形认定。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③在充分讨论的基础上集体表决。</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④若表决通过废标决定，应在评标报告中详细载明废标的理由、依据、答辩的情况和集体表决的情况（同意废标和不同意废标的评标委员会成员均应当注明）。</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⑤评标委员会在否决所有投标文件前，应当向招标人核实有关情况，听取招标人意见。</w:t>
      </w:r>
    </w:p>
    <w:p>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5.8</w:t>
      </w:r>
      <w:r>
        <w:rPr>
          <w:rFonts w:hint="eastAsia" w:ascii="宋体" w:hAnsi="宋体" w:eastAsia="宋体" w:cs="宋体"/>
          <w:b/>
          <w:bCs/>
          <w:color w:val="auto"/>
          <w:kern w:val="0"/>
          <w:szCs w:val="21"/>
          <w:highlight w:val="none"/>
          <w:lang w:val="en-US" w:eastAsia="zh-CN"/>
        </w:rPr>
        <w:t>中标候选</w:t>
      </w:r>
      <w:r>
        <w:rPr>
          <w:rFonts w:hint="eastAsia" w:ascii="宋体" w:hAnsi="宋体" w:eastAsia="宋体" w:cs="宋体"/>
          <w:b/>
          <w:bCs/>
          <w:color w:val="auto"/>
          <w:kern w:val="0"/>
          <w:szCs w:val="21"/>
          <w:highlight w:val="none"/>
        </w:rPr>
        <w:t>人的推荐</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5.8.1评标委员会实行少数服从多数的原则，评标结果经评标委员会全体成员过半数通过有效。</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5.8.2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8"/>
          <w:rFonts w:hint="eastAsia" w:ascii="宋体" w:hAnsi="宋体" w:eastAsia="宋体" w:cs="宋体"/>
          <w:strike w:val="0"/>
          <w:color w:val="auto"/>
          <w:szCs w:val="21"/>
          <w:highlight w:val="none"/>
          <w:u w:val="none"/>
          <w:lang w:val="en-US" w:eastAsia="zh-CN"/>
        </w:rPr>
        <w:t>[</w:t>
      </w:r>
      <w:r>
        <w:rPr>
          <w:rStyle w:val="138"/>
          <w:rFonts w:hint="eastAsia" w:ascii="宋体" w:hAnsi="宋体" w:eastAsia="宋体" w:cs="宋体"/>
          <w:strike w:val="0"/>
          <w:color w:val="auto"/>
          <w:szCs w:val="21"/>
          <w:highlight w:val="none"/>
          <w:u w:val="none"/>
          <w:lang w:val="en-US" w:eastAsia="zh-CN"/>
        </w:rPr>
        <w:footnoteReference w:id="4"/>
      </w:r>
      <w:r>
        <w:rPr>
          <w:rStyle w:val="138"/>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5.8.3评标委员会作出无效标或者废标处理后，合格投标人数量不足3名的，招标人应当宣布本次招标失败，重新招标。</w:t>
      </w:r>
    </w:p>
    <w:p>
      <w:pPr>
        <w:adjustRightInd w:val="0"/>
        <w:snapToGrid w:val="0"/>
        <w:spacing w:line="360" w:lineRule="auto"/>
        <w:ind w:firstLine="48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采用批量招标的，评标委员会作出无效标或者废标处理后，合格投标人数量不足拟定中标人数量加上2名的，招标人不得再采用批量招标方式。</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交易网公示3个工作日后直接发包。</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5.8.4评标过程中，若评标委员会认为本次招标缺乏竞争性，可以不推荐投标人，由招标人重新组织招标。</w:t>
      </w:r>
    </w:p>
    <w:p>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5.8.5如招投标过程中出现严重异常情况，经主管部门批准，招标人可以不接受本次招标结果，应当重新招标。</w:t>
      </w:r>
    </w:p>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5.9 评标报告</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rPr>
        <w:t>评标委员会成员拒绝签字的，视为同意评标结论。评标委员会应对此做出书面记录。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5.9.3对发现的涉嫌违法、违规行为，应当在评标报告中做出详细说明，做好取证工作，并及时告知行政主管部门。</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5.9.4评标委员会向招标人提交评标报告后即解散。评标过程中使用的文件、资料等，都不得带离评标室。</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5.10 评标结果公示</w:t>
      </w:r>
    </w:p>
    <w:p>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kern w:val="0"/>
          <w:szCs w:val="21"/>
          <w:highlight w:val="none"/>
        </w:rPr>
        <w:t>在交易网公示3个工作日。</w:t>
      </w:r>
    </w:p>
    <w:p>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5.11其它规定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5.11.1若投标人的投标行为出现违反相关法律法规等政策文件列明的各种情形的，招标人将提请主管部门对相应投标人作不良记录。</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5.11.2评标过程中，若评标委员依据招标文件的规定要求招标人重新招标，招标人不承担因招标失败给投标人造成的损失。</w:t>
      </w:r>
    </w:p>
    <w:p>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5.12评标表格</w:t>
      </w:r>
    </w:p>
    <w:p>
      <w:pPr>
        <w:adjustRightInd w:val="0"/>
        <w:snapToGrid w:val="0"/>
        <w:spacing w:line="360" w:lineRule="auto"/>
        <w:rPr>
          <w:rFonts w:ascii="宋体" w:hAnsi="宋体" w:eastAsia="宋体" w:cs="宋体"/>
          <w:b/>
          <w:color w:val="auto"/>
          <w:kern w:val="0"/>
          <w:szCs w:val="21"/>
          <w:highlight w:val="none"/>
        </w:rPr>
      </w:pPr>
    </w:p>
    <w:p>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商务标定性评审表</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80"/>
        <w:tblW w:w="87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spacing w:line="360" w:lineRule="auto"/>
              <w:jc w:val="center"/>
              <w:rPr>
                <w:rFonts w:ascii="宋体" w:hAnsi="宋体" w:eastAsia="宋体" w:cs="宋体"/>
                <w:color w:val="auto"/>
                <w:kern w:val="0"/>
                <w:szCs w:val="21"/>
                <w:highlight w:val="none"/>
              </w:rPr>
            </w:pPr>
            <w:bookmarkStart w:id="130" w:name="商务标定性评审表" w:colFirst="0" w:colLast="0"/>
          </w:p>
        </w:tc>
        <w:tc>
          <w:tcPr>
            <w:tcW w:w="1555"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pPr>
              <w:adjustRightInd w:val="0"/>
              <w:snapToGrid w:val="0"/>
              <w:spacing w:line="360" w:lineRule="auto"/>
              <w:jc w:val="center"/>
              <w:rPr>
                <w:rFonts w:ascii="宋体" w:hAnsi="宋体" w:eastAsia="宋体" w:cs="宋体"/>
                <w:color w:val="auto"/>
                <w:kern w:val="0"/>
                <w:szCs w:val="21"/>
                <w:highlight w:val="none"/>
              </w:rPr>
            </w:pPr>
          </w:p>
        </w:tc>
      </w:tr>
      <w:bookmarkEnd w:id="1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4" w:type="dxa"/>
            <w:gridSpan w:val="5"/>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pPr>
        <w:numPr>
          <w:ilvl w:val="0"/>
          <w:numId w:val="3"/>
        </w:num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本表适用于专家独立评审使用；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pPr>
        <w:tabs>
          <w:tab w:val="left" w:pos="840"/>
        </w:tabs>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pPr>
        <w:adjustRightInd w:val="0"/>
        <w:snapToGrid w:val="0"/>
        <w:spacing w:line="360" w:lineRule="auto"/>
        <w:jc w:val="center"/>
        <w:rPr>
          <w:rFonts w:ascii="宋体" w:hAnsi="宋体" w:eastAsia="宋体" w:cs="宋体"/>
          <w:b/>
          <w:color w:val="auto"/>
          <w:kern w:val="0"/>
          <w:szCs w:val="21"/>
          <w:highlight w:val="none"/>
        </w:rPr>
      </w:pPr>
    </w:p>
    <w:p>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技术标定性评审表</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80"/>
        <w:tblW w:w="87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19" w:type="dxa"/>
            <w:vAlign w:val="center"/>
          </w:tcPr>
          <w:p>
            <w:pPr>
              <w:adjustRightInd w:val="0"/>
              <w:snapToGrid w:val="0"/>
              <w:spacing w:line="360" w:lineRule="auto"/>
              <w:jc w:val="center"/>
              <w:rPr>
                <w:rFonts w:ascii="宋体" w:hAnsi="宋体" w:eastAsia="宋体" w:cs="宋体"/>
                <w:color w:val="auto"/>
                <w:kern w:val="0"/>
                <w:szCs w:val="21"/>
                <w:highlight w:val="none"/>
              </w:rPr>
            </w:pPr>
            <w:bookmarkStart w:id="131" w:name="技术标定性评审表" w:colFirst="0" w:colLast="0"/>
          </w:p>
        </w:tc>
        <w:tc>
          <w:tcPr>
            <w:tcW w:w="1555"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pPr>
              <w:adjustRightInd w:val="0"/>
              <w:snapToGrid w:val="0"/>
              <w:spacing w:line="360" w:lineRule="auto"/>
              <w:jc w:val="center"/>
              <w:rPr>
                <w:rFonts w:ascii="宋体" w:hAnsi="宋体" w:eastAsia="宋体" w:cs="宋体"/>
                <w:color w:val="auto"/>
                <w:kern w:val="0"/>
                <w:szCs w:val="21"/>
                <w:highlight w:val="none"/>
              </w:rPr>
            </w:pPr>
          </w:p>
        </w:tc>
      </w:tr>
      <w:bookmarkEnd w:id="1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4" w:type="dxa"/>
            <w:gridSpan w:val="5"/>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pPr>
        <w:adjustRightInd w:val="0"/>
        <w:snapToGrid w:val="0"/>
        <w:spacing w:line="360" w:lineRule="auto"/>
        <w:ind w:left="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pPr>
        <w:tabs>
          <w:tab w:val="left" w:pos="84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bookmarkStart w:id="132" w:name="_Toc2340"/>
    </w:p>
    <w:p>
      <w:pPr>
        <w:tabs>
          <w:tab w:val="left" w:pos="840"/>
        </w:tabs>
        <w:adjustRightInd w:val="0"/>
        <w:snapToGrid w:val="0"/>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line="360" w:lineRule="auto"/>
        <w:jc w:val="center"/>
        <w:outlineLvl w:val="2"/>
        <w:rPr>
          <w:rFonts w:ascii="黑体" w:hAnsi="黑体" w:eastAsia="黑体" w:cs="黑体"/>
          <w:bCs/>
          <w:color w:val="auto"/>
          <w:kern w:val="0"/>
          <w:sz w:val="30"/>
          <w:highlight w:val="none"/>
        </w:rPr>
      </w:pPr>
      <w:bookmarkStart w:id="133" w:name="_Toc18076"/>
      <w:bookmarkStart w:id="134" w:name="_Toc1428"/>
      <w:r>
        <w:rPr>
          <w:rFonts w:hint="eastAsia" w:ascii="黑体" w:hAnsi="黑体" w:eastAsia="黑体" w:cs="黑体"/>
          <w:bCs/>
          <w:color w:val="auto"/>
          <w:kern w:val="0"/>
          <w:sz w:val="30"/>
          <w:highlight w:val="none"/>
        </w:rPr>
        <w:t>（六）定标</w:t>
      </w:r>
      <w:bookmarkEnd w:id="132"/>
      <w:bookmarkEnd w:id="133"/>
      <w:bookmarkEnd w:id="134"/>
    </w:p>
    <w:p>
      <w:pPr>
        <w:adjustRightInd w:val="0"/>
        <w:snapToGrid w:val="0"/>
        <w:spacing w:line="360" w:lineRule="auto"/>
        <w:jc w:val="left"/>
        <w:rPr>
          <w:rFonts w:ascii="宋体" w:hAnsi="宋体" w:eastAsia="宋体" w:cs="宋体"/>
          <w:b/>
          <w:color w:val="auto"/>
          <w:kern w:val="0"/>
          <w:szCs w:val="21"/>
          <w:highlight w:val="none"/>
        </w:rPr>
      </w:pPr>
      <w:bookmarkStart w:id="135" w:name="_Toc15333"/>
      <w:r>
        <w:rPr>
          <w:rFonts w:hint="eastAsia" w:ascii="宋体" w:hAnsi="宋体" w:eastAsia="宋体" w:cs="宋体"/>
          <w:b/>
          <w:color w:val="auto"/>
          <w:kern w:val="0"/>
          <w:szCs w:val="21"/>
          <w:highlight w:val="none"/>
        </w:rPr>
        <w:t>6.1 清标</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6.1.1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6.1.2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b/>
          <w:bCs/>
          <w:color w:val="auto"/>
          <w:kern w:val="0"/>
          <w:szCs w:val="21"/>
          <w:highlight w:val="none"/>
        </w:rPr>
        <w:t>6.2定标方法</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6.2.1直接票决定标法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6.2.2逐轮票决定标法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6.2.</w:t>
      </w:r>
      <w:r>
        <w:rPr>
          <w:rFonts w:hint="eastAsia" w:ascii="宋体" w:hAnsi="宋体" w:eastAsia="宋体" w:cs="宋体"/>
          <w:b/>
          <w:color w:val="auto"/>
          <w:kern w:val="0"/>
          <w:szCs w:val="21"/>
          <w:highlight w:val="none"/>
          <w:lang w:val="en-US" w:eastAsia="zh-CN"/>
        </w:rPr>
        <w:t>3</w:t>
      </w:r>
      <w:r>
        <w:rPr>
          <w:rFonts w:hint="eastAsia" w:ascii="宋体" w:hAnsi="宋体" w:eastAsia="宋体" w:cs="宋体"/>
          <w:b/>
          <w:color w:val="auto"/>
          <w:kern w:val="0"/>
          <w:szCs w:val="21"/>
          <w:highlight w:val="none"/>
        </w:rPr>
        <w:t>集体议事定标法</w:t>
      </w:r>
    </w:p>
    <w:p>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6.3定标原则</w:t>
      </w:r>
    </w:p>
    <w:p>
      <w:pPr>
        <w:adjustRightInd w:val="0"/>
        <w:snapToGri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定标环节的择优因素主要考虑企业资质、企业规模、科技创新能力、项目管理人员经验与水平、同类工程业绩及履约评价、企业及其人员的廉政记录、企业人员信用等因素。</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pPr>
        <w:adjustRightInd w:val="0"/>
        <w:snapToGri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同等条件下，招标人可以优先考虑投标人合同稳定性、质量安全保障性、劳资纠纷可控度等因素。</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招标人可以根据项目实际情况增加择优</w:t>
      </w:r>
      <w:r>
        <w:rPr>
          <w:rFonts w:hint="eastAsia" w:ascii="宋体" w:hAnsi="宋体" w:eastAsia="宋体" w:cs="宋体"/>
          <w:color w:val="auto"/>
          <w:kern w:val="0"/>
          <w:szCs w:val="21"/>
          <w:highlight w:val="none"/>
          <w:lang w:val="en-US" w:eastAsia="zh-CN"/>
        </w:rPr>
        <w:t>因</w:t>
      </w:r>
      <w:r>
        <w:rPr>
          <w:rFonts w:hint="eastAsia" w:ascii="宋体" w:hAnsi="宋体" w:eastAsia="宋体" w:cs="宋体"/>
          <w:color w:val="auto"/>
          <w:kern w:val="0"/>
          <w:szCs w:val="21"/>
          <w:highlight w:val="none"/>
        </w:rPr>
        <w:t>素，也可以综合考虑择优因素或按择优因素的重要性，对投标人进行逐级淘汰。</w:t>
      </w:r>
    </w:p>
    <w:p>
      <w:pP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6.4定标程序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5"/>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标投标行政监督部门批准后由评标委员会复核纠正</w:t>
      </w:r>
      <w:r>
        <w:rPr>
          <w:rStyle w:val="138"/>
          <w:rFonts w:hint="eastAsia" w:ascii="宋体" w:hAnsi="宋体" w:eastAsia="宋体" w:cs="宋体"/>
          <w:color w:val="auto"/>
          <w:szCs w:val="21"/>
          <w:highlight w:val="none"/>
        </w:rPr>
        <w:t>[</w:t>
      </w:r>
      <w:r>
        <w:rPr>
          <w:rStyle w:val="138"/>
          <w:rFonts w:hint="eastAsia" w:ascii="宋体" w:hAnsi="宋体" w:eastAsia="宋体" w:cs="宋体"/>
          <w:color w:val="auto"/>
          <w:szCs w:val="21"/>
          <w:highlight w:val="none"/>
        </w:rPr>
        <w:footnoteReference w:id="6"/>
      </w:r>
      <w:r>
        <w:rPr>
          <w:rStyle w:val="138"/>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eastAsia="zh-CN"/>
        </w:rPr>
        <w:t>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8"/>
          <w:rFonts w:hint="eastAsia" w:ascii="宋体" w:hAnsi="宋体" w:eastAsia="宋体" w:cs="宋体"/>
          <w:color w:val="auto"/>
          <w:szCs w:val="21"/>
          <w:highlight w:val="none"/>
        </w:rPr>
        <w:t>[</w:t>
      </w:r>
      <w:r>
        <w:rPr>
          <w:rStyle w:val="138"/>
          <w:rFonts w:hint="eastAsia" w:ascii="宋体" w:hAnsi="宋体" w:eastAsia="宋体" w:cs="宋体"/>
          <w:color w:val="auto"/>
          <w:szCs w:val="21"/>
          <w:highlight w:val="none"/>
        </w:rPr>
        <w:footnoteReference w:id="7"/>
      </w:r>
      <w:r>
        <w:rPr>
          <w:rStyle w:val="138"/>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8"/>
          <w:rFonts w:hint="eastAsia" w:ascii="宋体" w:hAnsi="宋体" w:eastAsia="宋体" w:cs="宋体"/>
          <w:color w:val="auto"/>
          <w:szCs w:val="21"/>
          <w:highlight w:val="none"/>
        </w:rPr>
        <w:t>[</w:t>
      </w:r>
      <w:r>
        <w:rPr>
          <w:rStyle w:val="138"/>
          <w:rFonts w:hint="eastAsia" w:ascii="宋体" w:hAnsi="宋体" w:eastAsia="宋体" w:cs="宋体"/>
          <w:color w:val="auto"/>
          <w:szCs w:val="21"/>
          <w:highlight w:val="none"/>
        </w:rPr>
        <w:footnoteReference w:id="8"/>
      </w:r>
      <w:r>
        <w:rPr>
          <w:rStyle w:val="138"/>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val="en-US" w:eastAsia="zh-CN"/>
        </w:rPr>
        <w:t xml:space="preserve">6 </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w:t>
      </w:r>
      <w:r>
        <w:rPr>
          <w:rFonts w:hint="eastAsia" w:ascii="宋体" w:hAnsi="宋体" w:eastAsia="宋体" w:cs="宋体"/>
          <w:color w:val="auto"/>
          <w:szCs w:val="21"/>
          <w:highlight w:val="none"/>
        </w:rPr>
        <w:t>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招标人应当自评标结束后10个工作日内进入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进行定标。不能按时定标的，应当通过交易网公示延期原因和最终定标时间。</w:t>
      </w:r>
    </w:p>
    <w:p>
      <w:pPr>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招标人应在定标结束后将定标记录、定标报告交由</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归档。定标记录应包括定标委员会会议过程、正式成员名单、监督小组名单。定标报告应包括定标委员会的产生过程、定标程序及定标结果等内容。</w:t>
      </w:r>
      <w:r>
        <w:rPr>
          <w:rFonts w:hint="eastAsia" w:ascii="宋体" w:hAnsi="宋体" w:eastAsia="宋体" w:cs="宋体"/>
          <w:color w:val="auto"/>
          <w:szCs w:val="21"/>
          <w:highlight w:val="none"/>
        </w:rPr>
        <w:t>招标人提交中标信息确认时，应认真核对中标公示信息，无误后再签名确认。</w:t>
      </w:r>
    </w:p>
    <w:p>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szCs w:val="21"/>
          <w:highlight w:val="none"/>
        </w:rPr>
        <w:t>招标人应当向定标委员会提供项目定标方案、清标报告作为定标辅助材料。定标结束后，项目定标方案、清标报告及定标委员投票结果等定标过程资料应当留存备查。</w:t>
      </w:r>
    </w:p>
    <w:p>
      <w:pPr>
        <w:adjustRightInd w:val="0"/>
        <w:snapToGrid w:val="0"/>
        <w:spacing w:line="360" w:lineRule="auto"/>
        <w:jc w:val="left"/>
        <w:rPr>
          <w:rFonts w:hint="default" w:ascii="宋体" w:hAnsi="宋体" w:eastAsia="宋体" w:cs="宋体"/>
          <w:b/>
          <w:strike/>
          <w:color w:val="auto"/>
          <w:kern w:val="0"/>
          <w:highlight w:val="none"/>
        </w:rPr>
      </w:pPr>
      <w:r>
        <w:rPr>
          <w:rFonts w:hint="eastAsia" w:ascii="宋体" w:hAnsi="宋体" w:eastAsia="宋体" w:cs="宋体"/>
          <w:b/>
          <w:color w:val="auto"/>
          <w:kern w:val="0"/>
          <w:highlight w:val="none"/>
        </w:rPr>
        <w:t>6.5</w:t>
      </w:r>
      <w:r>
        <w:rPr>
          <w:rFonts w:hint="eastAsia" w:ascii="宋体" w:hAnsi="宋体" w:eastAsia="宋体" w:cs="宋体"/>
          <w:b/>
          <w:strike w:val="0"/>
          <w:color w:val="auto"/>
          <w:kern w:val="0"/>
          <w:highlight w:val="none"/>
          <w:lang w:val="en-US" w:eastAsia="zh-CN"/>
        </w:rPr>
        <w:t>重新定标</w:t>
      </w:r>
    </w:p>
    <w:p>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color w:val="auto"/>
          <w:szCs w:val="21"/>
          <w:highlight w:val="none"/>
          <w:lang w:val="en-US" w:eastAsia="zh-CN"/>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5.1中标人放弃中标资格或者拒不签订合同的；</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5.2中标人不按照招标文件要求提交履约担保的；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5.3被查实存在影响中标结果违法行为的。</w:t>
      </w:r>
    </w:p>
    <w:p>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6.6资信标表格</w:t>
      </w:r>
    </w:p>
    <w:p>
      <w:pPr>
        <w:adjustRightInd w:val="0"/>
        <w:snapToGrid w:val="0"/>
        <w:spacing w:line="360" w:lineRule="auto"/>
        <w:ind w:firstLine="420" w:firstLineChars="200"/>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招标人可以结合项目实际要求投标人提供资信标作为定标参考因素之一。</w:t>
      </w:r>
    </w:p>
    <w:p>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资信标要求一览表（如有）</w:t>
      </w:r>
    </w:p>
    <w:tbl>
      <w:tblPr>
        <w:tblStyle w:val="8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20"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989"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113"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20" w:type="dxa"/>
            <w:vAlign w:val="center"/>
          </w:tcPr>
          <w:p>
            <w:pPr>
              <w:adjustRightInd w:val="0"/>
              <w:snapToGrid w:val="0"/>
              <w:spacing w:line="360" w:lineRule="auto"/>
              <w:jc w:val="center"/>
              <w:rPr>
                <w:rFonts w:ascii="宋体" w:hAnsi="宋体" w:eastAsia="宋体" w:cs="宋体"/>
                <w:color w:val="auto"/>
                <w:kern w:val="0"/>
                <w:szCs w:val="21"/>
                <w:highlight w:val="none"/>
              </w:rPr>
            </w:pPr>
            <w:bookmarkStart w:id="136" w:name="资信标要求一览表" w:colFirst="0" w:colLast="0"/>
          </w:p>
        </w:tc>
        <w:tc>
          <w:tcPr>
            <w:tcW w:w="2989" w:type="dxa"/>
            <w:vAlign w:val="center"/>
          </w:tcPr>
          <w:p>
            <w:pPr>
              <w:adjustRightInd w:val="0"/>
              <w:snapToGrid w:val="0"/>
              <w:spacing w:line="360" w:lineRule="auto"/>
              <w:rPr>
                <w:rFonts w:ascii="宋体" w:hAnsi="宋体" w:eastAsia="宋体" w:cs="宋体"/>
                <w:color w:val="auto"/>
                <w:kern w:val="0"/>
                <w:szCs w:val="21"/>
                <w:highlight w:val="none"/>
              </w:rPr>
            </w:pPr>
          </w:p>
        </w:tc>
        <w:tc>
          <w:tcPr>
            <w:tcW w:w="4113" w:type="dxa"/>
            <w:vAlign w:val="center"/>
          </w:tcPr>
          <w:p>
            <w:pPr>
              <w:adjustRightInd w:val="0"/>
              <w:snapToGrid w:val="0"/>
              <w:spacing w:line="360" w:lineRule="auto"/>
              <w:rPr>
                <w:rFonts w:ascii="宋体" w:hAnsi="宋体" w:eastAsia="宋体" w:cs="宋体"/>
                <w:color w:val="auto"/>
                <w:kern w:val="0"/>
                <w:szCs w:val="21"/>
                <w:highlight w:val="none"/>
              </w:rPr>
            </w:pPr>
          </w:p>
        </w:tc>
      </w:tr>
      <w:bookmarkEnd w:id="136"/>
    </w:tbl>
    <w:p>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备注：资信要素不进行评审，真实性通过公示予以监督。</w:t>
      </w:r>
    </w:p>
    <w:p>
      <w:pPr>
        <w:adjustRightInd w:val="0"/>
        <w:snapToGrid w:val="0"/>
        <w:spacing w:line="360" w:lineRule="auto"/>
        <w:jc w:val="center"/>
        <w:outlineLvl w:val="2"/>
        <w:rPr>
          <w:rFonts w:ascii="宋体" w:hAnsi="宋体"/>
          <w:b/>
          <w:color w:val="auto"/>
          <w:kern w:val="0"/>
          <w:sz w:val="30"/>
          <w:highlight w:val="none"/>
        </w:rPr>
      </w:pPr>
      <w:bookmarkStart w:id="137" w:name="_Toc25971"/>
      <w:bookmarkStart w:id="138" w:name="_Toc24475"/>
      <w:r>
        <w:rPr>
          <w:rFonts w:hint="eastAsia" w:ascii="黑体" w:hAnsi="黑体" w:eastAsia="黑体" w:cs="黑体"/>
          <w:bCs/>
          <w:color w:val="auto"/>
          <w:kern w:val="0"/>
          <w:sz w:val="30"/>
          <w:highlight w:val="none"/>
        </w:rPr>
        <w:t>（七）中标通知书</w:t>
      </w:r>
      <w:bookmarkEnd w:id="137"/>
      <w:bookmarkEnd w:id="138"/>
    </w:p>
    <w:p>
      <w:pPr>
        <w:adjustRightInd w:val="0"/>
        <w:snapToGrid w:val="0"/>
        <w:spacing w:line="360" w:lineRule="auto"/>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7.1中标通知书</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招标人应按前附表规定向中标人发出中标通知书。</w:t>
      </w:r>
    </w:p>
    <w:p>
      <w:pPr>
        <w:adjustRightInd w:val="0"/>
        <w:snapToGrid w:val="0"/>
        <w:spacing w:line="360" w:lineRule="auto"/>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7.2招标人的权利</w:t>
      </w:r>
    </w:p>
    <w:p>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招标人在发出中标通知书之前因正当理由，经行政监督部门批准并经交易网公示3个工作日后，招标人有权接受或拒绝投标、宣布投标程序无效或拒绝所有投标。对受影响的投标人不承担任何责任。</w:t>
      </w:r>
    </w:p>
    <w:p>
      <w:pPr>
        <w:adjustRightInd w:val="0"/>
        <w:snapToGrid w:val="0"/>
        <w:spacing w:line="360" w:lineRule="auto"/>
        <w:jc w:val="center"/>
        <w:outlineLvl w:val="2"/>
        <w:rPr>
          <w:rFonts w:ascii="黑体" w:hAnsi="黑体" w:eastAsia="黑体" w:cs="黑体"/>
          <w:bCs/>
          <w:color w:val="auto"/>
          <w:kern w:val="0"/>
          <w:sz w:val="30"/>
          <w:highlight w:val="none"/>
        </w:rPr>
      </w:pPr>
      <w:bookmarkStart w:id="139" w:name="_Toc10661"/>
      <w:bookmarkStart w:id="140" w:name="_Toc25642"/>
      <w:r>
        <w:rPr>
          <w:rFonts w:hint="eastAsia" w:ascii="黑体" w:hAnsi="黑体" w:eastAsia="黑体" w:cs="黑体"/>
          <w:bCs/>
          <w:color w:val="auto"/>
          <w:kern w:val="0"/>
          <w:sz w:val="30"/>
          <w:highlight w:val="none"/>
        </w:rPr>
        <w:t>（八）合同授予</w:t>
      </w:r>
      <w:bookmarkEnd w:id="139"/>
      <w:bookmarkEnd w:id="140"/>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
          <w:color w:val="auto"/>
          <w:szCs w:val="21"/>
          <w:highlight w:val="none"/>
        </w:rPr>
        <w:t>8.1签订合同</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招标人应按照前附表规定时间，参照本示范文本第五章《合同条款》与中标人订立合同。招标人与中标人签订合同，必须遵守本招标文件和投标文件中的合同条件，不得随意更改。</w:t>
      </w:r>
    </w:p>
    <w:bookmarkEnd w:id="135"/>
    <w:p>
      <w:pPr>
        <w:adjustRightInd w:val="0"/>
        <w:snapToGrid w:val="0"/>
        <w:spacing w:line="360" w:lineRule="auto"/>
        <w:jc w:val="left"/>
        <w:rPr>
          <w:rFonts w:ascii="宋体" w:hAnsi="宋体"/>
          <w:color w:val="auto"/>
          <w:kern w:val="0"/>
          <w:szCs w:val="21"/>
          <w:highlight w:val="none"/>
        </w:rPr>
      </w:pPr>
    </w:p>
    <w:p>
      <w:pPr>
        <w:adjustRightInd w:val="0"/>
        <w:snapToGrid w:val="0"/>
        <w:spacing w:line="360" w:lineRule="auto"/>
        <w:jc w:val="left"/>
        <w:rPr>
          <w:rFonts w:ascii="宋体" w:hAnsi="宋体"/>
          <w:color w:val="auto"/>
          <w:kern w:val="0"/>
          <w:highlight w:val="none"/>
        </w:rPr>
      </w:pPr>
    </w:p>
    <w:p>
      <w:pPr>
        <w:adjustRightInd w:val="0"/>
        <w:snapToGrid w:val="0"/>
        <w:spacing w:line="360" w:lineRule="auto"/>
        <w:jc w:val="left"/>
        <w:rPr>
          <w:rFonts w:ascii="宋体" w:hAnsi="宋体"/>
          <w:color w:val="auto"/>
          <w:kern w:val="0"/>
          <w:highlight w:val="none"/>
        </w:rPr>
      </w:pPr>
    </w:p>
    <w:p>
      <w:pPr>
        <w:adjustRightInd w:val="0"/>
        <w:snapToGrid w:val="0"/>
        <w:spacing w:line="360" w:lineRule="auto"/>
        <w:jc w:val="left"/>
        <w:rPr>
          <w:rFonts w:ascii="宋体" w:hAnsi="宋体"/>
          <w:color w:val="auto"/>
          <w:kern w:val="0"/>
          <w:highlight w:val="none"/>
        </w:rPr>
      </w:pPr>
    </w:p>
    <w:p>
      <w:pPr>
        <w:adjustRightInd w:val="0"/>
        <w:snapToGrid w:val="0"/>
        <w:spacing w:line="360" w:lineRule="auto"/>
        <w:jc w:val="left"/>
        <w:rPr>
          <w:rFonts w:ascii="宋体" w:hAnsi="宋体"/>
          <w:color w:val="auto"/>
          <w:kern w:val="0"/>
          <w:highlight w:val="none"/>
        </w:rPr>
      </w:pPr>
      <w:r>
        <w:rPr>
          <w:rFonts w:hint="eastAsia" w:ascii="宋体" w:hAnsi="宋体"/>
          <w:color w:val="auto"/>
          <w:kern w:val="0"/>
          <w:highlight w:val="none"/>
        </w:rPr>
        <w:br w:type="page"/>
      </w:r>
      <w:bookmarkStart w:id="141" w:name="_Toc19215"/>
    </w:p>
    <w:p>
      <w:pPr>
        <w:adjustRightInd w:val="0"/>
        <w:snapToGrid w:val="0"/>
        <w:spacing w:line="360" w:lineRule="auto"/>
        <w:jc w:val="left"/>
        <w:rPr>
          <w:rFonts w:ascii="宋体" w:hAnsi="宋体" w:eastAsia="宋体" w:cs="宋体"/>
          <w:b/>
          <w:color w:val="auto"/>
          <w:kern w:val="0"/>
          <w:highlight w:val="none"/>
        </w:rPr>
      </w:pPr>
      <w:bookmarkStart w:id="142" w:name="_Toc208"/>
      <w:r>
        <w:rPr>
          <w:rFonts w:hint="eastAsia" w:ascii="宋体" w:hAnsi="宋体" w:eastAsia="宋体" w:cs="宋体"/>
          <w:b/>
          <w:color w:val="auto"/>
          <w:kern w:val="0"/>
          <w:highlight w:val="none"/>
        </w:rPr>
        <w:t>附件1.评标要素</w:t>
      </w:r>
      <w:bookmarkEnd w:id="141"/>
      <w:bookmarkEnd w:id="142"/>
      <w:r>
        <w:rPr>
          <w:rFonts w:hint="eastAsia" w:ascii="宋体" w:hAnsi="宋体" w:eastAsia="宋体" w:cs="宋体"/>
          <w:b/>
          <w:color w:val="auto"/>
          <w:kern w:val="0"/>
          <w:highlight w:val="none"/>
        </w:rPr>
        <w:t>（仅供参考）</w:t>
      </w:r>
    </w:p>
    <w:p>
      <w:pPr>
        <w:adjustRightInd w:val="0"/>
        <w:snapToGrid w:val="0"/>
        <w:spacing w:line="360" w:lineRule="auto"/>
        <w:ind w:firstLine="420" w:firstLineChars="200"/>
        <w:jc w:val="left"/>
        <w:rPr>
          <w:rFonts w:ascii="宋体" w:hAnsi="宋体" w:eastAsia="宋体" w:cs="宋体"/>
          <w:color w:val="auto"/>
          <w:kern w:val="0"/>
          <w:highlight w:val="none"/>
        </w:rPr>
      </w:pPr>
      <w:bookmarkStart w:id="143" w:name="_Toc19090"/>
      <w:r>
        <w:rPr>
          <w:rFonts w:hint="eastAsia" w:ascii="宋体" w:hAnsi="宋体" w:eastAsia="宋体" w:cs="宋体"/>
          <w:color w:val="auto"/>
          <w:kern w:val="0"/>
          <w:highlight w:val="none"/>
        </w:rPr>
        <w:t>一、按勘察方案招标模式的工程评审要素可设置如下:</w:t>
      </w:r>
      <w:bookmarkEnd w:id="143"/>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（1）勘察依据：勘察依据是否充分，详细勘察项目是否取得对应阶段的工程设计文件；作为勘察依据而选用的工程建设标准，是否适用、是否现行有效。</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（2）勘察内容：投标文件中勘察范围（内容）是否明晰、完整，有无漏项，是否符合招标文件约定；是否明确工程规模和概况等；</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勘察方案：总体勘察（可含物探）技术方案是否合理、可行；是否明确软土地基、深基坑、高危边坡、岩溶地质等勘察要点，勘察要点的准确度和合理性如何；项目场地相关地质资料的收集和利用程度；勘察工作量的布置和拟采取的勘察方法，是否符合本地特点；对周边环境勘察技术方案的了解程度如何；预期的勘察成果满足工程建设标准和设计施工要求的程度；勘察施工组织合理性如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（4）文件表达：投标文件格式是否规范，勘察文件深度是否符合招标文件约定。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（5）BIM应用：招标文件要求项目勘察采用BIM技术的，投标文件是否有效响应。</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（6）招标文件约定的其他勘察内容，以及工期、勘察费、配合服务等，投标文件是否有效响应。</w:t>
      </w:r>
    </w:p>
    <w:p>
      <w:pPr>
        <w:adjustRightInd w:val="0"/>
        <w:snapToGrid w:val="0"/>
        <w:spacing w:line="360" w:lineRule="auto"/>
        <w:ind w:firstLine="420" w:firstLineChars="200"/>
        <w:jc w:val="left"/>
        <w:rPr>
          <w:rFonts w:ascii="宋体" w:hAnsi="宋体" w:eastAsia="宋体" w:cs="宋体"/>
          <w:color w:val="auto"/>
          <w:kern w:val="0"/>
          <w:szCs w:val="21"/>
          <w:highlight w:val="none"/>
        </w:rPr>
      </w:pPr>
      <w:bookmarkStart w:id="144" w:name="_Toc27565"/>
      <w:r>
        <w:rPr>
          <w:rFonts w:hint="eastAsia" w:ascii="宋体" w:hAnsi="宋体" w:eastAsia="宋体" w:cs="宋体"/>
          <w:color w:val="auto"/>
          <w:kern w:val="0"/>
          <w:szCs w:val="21"/>
          <w:highlight w:val="none"/>
        </w:rPr>
        <w:t>二、按勘察团队招标模式的工程评审要素可设置如下：</w:t>
      </w:r>
      <w:bookmarkEnd w:id="144"/>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（1）团队成员：投标人拟投入设计（或勘察）团队人员的基本信息（姓名、专业、年龄、职称、注册、岗位）；主创设计人和各专业负责人的既往勘察设计业绩、勘察设计获奖和勘察设计类社会荣誉。</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（2）项目解读：阐明对于招标项目的独立理解和勘察设计构思，解读项目方案，设计项目能否满足“适用、经济、绿色、美观”建筑方针。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（3）单位资信：或考核企业信用信息、信用等级或信用评价结果；或考核企业近一年受到工程建设主管部门行政处罚或不良行为记录情况；或考核企业近三年勘察设计获奖和既往同类项目勘察设计业绩。</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4）服务能力：针对招标项目提出的勘察设计质量保障措施如何；勘察设计进度计划的合理性、可行性以及是否响应招标文件要求；勘察单位配合服务设计单位和施工单位；设计单位技术交底和施工现场服务等设计后续配合服务，是否承诺提供到位。</w:t>
      </w:r>
    </w:p>
    <w:p>
      <w:pPr>
        <w:adjustRightInd w:val="0"/>
        <w:snapToGrid w:val="0"/>
        <w:spacing w:line="360" w:lineRule="auto"/>
        <w:jc w:val="left"/>
        <w:rPr>
          <w:rFonts w:ascii="宋体" w:hAnsi="宋体" w:eastAsia="宋体" w:cs="宋体"/>
          <w:b/>
          <w:color w:val="auto"/>
          <w:kern w:val="0"/>
          <w:highlight w:val="none"/>
        </w:rPr>
      </w:pPr>
      <w:bookmarkStart w:id="145" w:name="_Toc7577"/>
    </w:p>
    <w:p>
      <w:pPr>
        <w:adjustRightInd w:val="0"/>
        <w:snapToGrid w:val="0"/>
        <w:spacing w:line="360" w:lineRule="auto"/>
        <w:jc w:val="left"/>
        <w:rPr>
          <w:rFonts w:ascii="宋体" w:hAnsi="宋体" w:eastAsia="宋体" w:cs="宋体"/>
          <w:b/>
          <w:color w:val="auto"/>
          <w:kern w:val="0"/>
          <w:highlight w:val="none"/>
        </w:rPr>
      </w:pPr>
      <w:bookmarkStart w:id="146" w:name="_Toc5033"/>
      <w:r>
        <w:rPr>
          <w:rFonts w:hint="eastAsia" w:ascii="宋体" w:hAnsi="宋体" w:eastAsia="宋体" w:cs="宋体"/>
          <w:b/>
          <w:color w:val="auto"/>
          <w:kern w:val="0"/>
          <w:highlight w:val="none"/>
        </w:rPr>
        <w:t>附件2.定标要素</w:t>
      </w:r>
      <w:bookmarkEnd w:id="145"/>
      <w:bookmarkEnd w:id="146"/>
      <w:r>
        <w:rPr>
          <w:rFonts w:hint="eastAsia" w:ascii="宋体" w:hAnsi="宋体" w:eastAsia="宋体" w:cs="宋体"/>
          <w:b/>
          <w:color w:val="auto"/>
          <w:kern w:val="0"/>
          <w:highlight w:val="none"/>
        </w:rPr>
        <w:t>（仅供参考）</w:t>
      </w:r>
    </w:p>
    <w:p>
      <w:pPr>
        <w:adjustRightInd w:val="0"/>
        <w:snapToGrid w:val="0"/>
        <w:spacing w:line="360" w:lineRule="auto"/>
        <w:ind w:firstLine="420" w:firstLineChars="200"/>
        <w:jc w:val="left"/>
        <w:rPr>
          <w:rFonts w:ascii="宋体" w:hAnsi="宋体" w:eastAsia="宋体" w:cs="宋体"/>
          <w:b/>
          <w:color w:val="auto"/>
          <w:kern w:val="0"/>
          <w:highlight w:val="none"/>
        </w:rPr>
      </w:pPr>
      <w:bookmarkStart w:id="147" w:name="_Toc20103"/>
      <w:bookmarkStart w:id="148" w:name="_Toc19702"/>
      <w:bookmarkStart w:id="149" w:name="_Toc4217"/>
      <w:bookmarkStart w:id="150" w:name="_Toc5796"/>
      <w:bookmarkStart w:id="151" w:name="_Toc32012"/>
      <w:r>
        <w:rPr>
          <w:rFonts w:hint="eastAsia" w:ascii="宋体" w:hAnsi="宋体" w:eastAsia="宋体" w:cs="宋体"/>
          <w:color w:val="auto"/>
          <w:kern w:val="0"/>
          <w:szCs w:val="21"/>
          <w:highlight w:val="none"/>
        </w:rPr>
        <w:t>定标环节的择优因素主要考虑企业资质、企业规模、科技创新能力、项目管理人员经验与水平、同类工程业绩及履约评价、企业及其人员的廉政记录、企业人员信用等因素。</w:t>
      </w:r>
      <w:bookmarkEnd w:id="147"/>
      <w:bookmarkEnd w:id="148"/>
      <w:bookmarkEnd w:id="149"/>
      <w:bookmarkEnd w:id="150"/>
      <w:bookmarkEnd w:id="151"/>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一、按勘察方案招标模式的项目，定标委员会侧重对投标文件内容完整性、项目功能布局和经济技术指标等要素进行简单复核，并可查验投标人单位信用概况，定标评审要素可设置如下：</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（1）复核详细勘察项目是否取得相应阶段的设计文件。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（2）复核招标文件中载明的勘察范围（内容）是否漏项，是否有效响应招标文件。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（3）复核BIM技术是否按招标文件要求采用。</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（4）复核勘察进度（工期）、勘察费是否满足招标文件要求。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（5）复核配合设计单位和施工单位等后续服务，是否承诺提供到位。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（6）查验投标人的企业信用信息、信用等级或信用评价结果，或查验企业近一年受到工程建设主管部门行政处罚或不良行为记录情况。</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二、项目按勘察团队招标模式的，评标委员会侧重复核投标人单位综合实力，并可查验投标文件是否出现重大疏漏或差错。针对投标文件，定标评审要素可设置如下：</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（1）复核投标人拟投入团队主创设计人（或项目负责人）和各专业负责人的既往勘察设计业绩、勘察设计获奖和勘察设计类社会荣誉。</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（2）复核投标人的企业信用信息、信用等级或信用评价结果，或近一年受到工程建设主管部门行政处罚或不良行为记录情况；复核企业近三年设计获奖和既往同类项目业绩。</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查验勘察设计费约定是否招标文件要求；查验勘察设计进度计划是否合理、可行，是否响应招标文件要求；查验勘察设计质量保障措施是否全面、可靠；查验勘察单位配合服务设计单位和施工单位，以及设计技术交底和施工现场服务等设计后续配合服务，是否承诺提供到位；查验具备勘察工程技术人员配备情况。</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（4）查验设计投标文件主要经济技术指标是否符合规划许可要求。</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（5）查验投标文件是否响应招标文件中载明的内容，是否出现漏项。</w:t>
      </w:r>
    </w:p>
    <w:p>
      <w:pPr>
        <w:adjustRightInd w:val="0"/>
        <w:snapToGrid w:val="0"/>
        <w:spacing w:line="360" w:lineRule="auto"/>
        <w:jc w:val="left"/>
        <w:rPr>
          <w:rFonts w:ascii="宋体" w:hAnsi="宋体"/>
          <w:color w:val="auto"/>
          <w:kern w:val="0"/>
          <w:highlight w:val="none"/>
        </w:rPr>
      </w:pPr>
    </w:p>
    <w:p>
      <w:pPr>
        <w:adjustRightInd w:val="0"/>
        <w:snapToGrid w:val="0"/>
        <w:spacing w:line="360" w:lineRule="auto"/>
        <w:rPr>
          <w:rFonts w:ascii="黑体" w:eastAsia="黑体"/>
          <w:b/>
          <w:color w:val="auto"/>
          <w:kern w:val="0"/>
          <w:sz w:val="36"/>
          <w:highlight w:val="none"/>
        </w:rPr>
      </w:pPr>
      <w:r>
        <w:rPr>
          <w:rFonts w:hint="eastAsia" w:ascii="黑体" w:hAnsi="黑体" w:eastAsia="黑体"/>
          <w:color w:val="auto"/>
          <w:sz w:val="30"/>
          <w:highlight w:val="none"/>
        </w:rPr>
        <w:br w:type="page"/>
      </w:r>
      <w:bookmarkStart w:id="152" w:name="_Toc30713"/>
    </w:p>
    <w:p>
      <w:pPr>
        <w:pStyle w:val="2"/>
        <w:rPr>
          <w:rFonts w:ascii="黑体" w:eastAsia="黑体"/>
          <w:b w:val="0"/>
          <w:bCs/>
          <w:color w:val="auto"/>
          <w:szCs w:val="32"/>
          <w:highlight w:val="none"/>
        </w:rPr>
      </w:pPr>
      <w:bookmarkStart w:id="153" w:name="_Toc9682"/>
      <w:bookmarkStart w:id="154" w:name="_Toc22796"/>
      <w:r>
        <w:rPr>
          <w:rFonts w:hint="eastAsia" w:ascii="黑体" w:eastAsia="黑体"/>
          <w:b w:val="0"/>
          <w:bCs/>
          <w:color w:val="auto"/>
          <w:szCs w:val="32"/>
          <w:highlight w:val="none"/>
        </w:rPr>
        <w:t xml:space="preserve">第三章  </w:t>
      </w:r>
      <w:bookmarkStart w:id="155" w:name="_Toc32031"/>
      <w:r>
        <w:rPr>
          <w:rFonts w:hint="eastAsia" w:ascii="黑体" w:eastAsia="黑体"/>
          <w:b w:val="0"/>
          <w:bCs/>
          <w:color w:val="auto"/>
          <w:szCs w:val="32"/>
          <w:highlight w:val="none"/>
        </w:rPr>
        <w:t>招标人对招标文件的补充/修改</w:t>
      </w:r>
      <w:bookmarkEnd w:id="152"/>
      <w:bookmarkEnd w:id="153"/>
      <w:bookmarkEnd w:id="154"/>
      <w:bookmarkEnd w:id="155"/>
    </w:p>
    <w:p>
      <w:pPr>
        <w:topLinePunct/>
        <w:adjustRightInd w:val="0"/>
        <w:snapToGrid w:val="0"/>
        <w:spacing w:line="360" w:lineRule="auto"/>
        <w:ind w:firstLine="420" w:firstLineChars="200"/>
        <w:rPr>
          <w:rFonts w:ascii="宋体" w:hAnsi="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招标人可根据工程实际情况，对本示范文本进行补充或修改，但有关补充或修改内容不得违法违规，且必须逐一列举在以下栏目中。请投标人认真阅读并遵照执行：</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补充修改</w:t>
      </w:r>
    </w:p>
    <w:p>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bookmarkStart w:id="156" w:name="_Toc13923"/>
      <w:bookmarkEnd w:id="156"/>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rPr>
          <w:rFonts w:ascii="宋体" w:hAnsi="宋体"/>
          <w:color w:val="auto"/>
          <w:kern w:val="0"/>
          <w:szCs w:val="21"/>
          <w:highlight w:val="none"/>
        </w:rPr>
      </w:pPr>
      <w:r>
        <w:rPr>
          <w:rFonts w:hint="eastAsia" w:ascii="宋体" w:hAnsi="宋体"/>
          <w:color w:val="auto"/>
          <w:kern w:val="0"/>
          <w:szCs w:val="21"/>
          <w:highlight w:val="none"/>
        </w:rPr>
        <w:br w:type="page"/>
      </w:r>
    </w:p>
    <w:p>
      <w:pPr>
        <w:topLinePunct/>
        <w:adjustRightInd w:val="0"/>
        <w:snapToGrid w:val="0"/>
        <w:spacing w:line="360" w:lineRule="auto"/>
        <w:ind w:firstLine="420" w:firstLineChars="200"/>
        <w:jc w:val="center"/>
        <w:rPr>
          <w:rFonts w:ascii="宋体" w:hAnsi="宋体"/>
          <w:color w:val="auto"/>
          <w:kern w:val="0"/>
          <w:szCs w:val="21"/>
          <w:highlight w:val="none"/>
        </w:rPr>
      </w:pPr>
    </w:p>
    <w:p>
      <w:pPr>
        <w:adjustRightInd w:val="0"/>
        <w:snapToGrid w:val="0"/>
        <w:spacing w:line="360" w:lineRule="auto"/>
        <w:jc w:val="center"/>
        <w:outlineLvl w:val="0"/>
        <w:rPr>
          <w:rFonts w:ascii="黑体" w:eastAsia="黑体"/>
          <w:bCs/>
          <w:color w:val="auto"/>
          <w:kern w:val="0"/>
          <w:sz w:val="32"/>
          <w:szCs w:val="32"/>
          <w:highlight w:val="none"/>
        </w:rPr>
      </w:pPr>
      <w:bookmarkStart w:id="157" w:name="_Toc17213"/>
      <w:bookmarkStart w:id="158" w:name="_Toc10510"/>
      <w:bookmarkStart w:id="159" w:name="_Toc31302"/>
      <w:bookmarkStart w:id="160" w:name="_Toc17710"/>
      <w:bookmarkStart w:id="161" w:name="_Toc10869"/>
      <w:bookmarkStart w:id="162" w:name="_Toc17086"/>
      <w:bookmarkStart w:id="163" w:name="_Toc14964"/>
      <w:bookmarkStart w:id="164" w:name="_Toc4420"/>
      <w:bookmarkStart w:id="165" w:name="_Toc23215"/>
      <w:bookmarkStart w:id="166" w:name="_Toc1912"/>
      <w:bookmarkStart w:id="167" w:name="_Toc19548"/>
      <w:bookmarkStart w:id="168" w:name="_Toc24356"/>
      <w:bookmarkStart w:id="169" w:name="_Toc29452"/>
      <w:bookmarkStart w:id="170" w:name="_Toc17474"/>
      <w:bookmarkStart w:id="171" w:name="_Toc27698"/>
      <w:r>
        <w:rPr>
          <w:rFonts w:hint="eastAsia" w:ascii="黑体" w:eastAsia="黑体"/>
          <w:bCs/>
          <w:color w:val="auto"/>
          <w:kern w:val="0"/>
          <w:sz w:val="32"/>
          <w:szCs w:val="32"/>
          <w:highlight w:val="none"/>
        </w:rPr>
        <w:t>第四章  勘察任务书</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pPr>
        <w:adjustRightInd w:val="0"/>
        <w:snapToGrid w:val="0"/>
        <w:spacing w:line="360" w:lineRule="auto"/>
        <w:jc w:val="left"/>
        <w:rPr>
          <w:color w:val="auto"/>
          <w:highlight w:val="none"/>
        </w:rPr>
      </w:pPr>
      <w:r>
        <w:rPr>
          <w:rFonts w:hint="eastAsia" w:ascii="宋体" w:hAnsi="宋体" w:eastAsia="宋体" w:cs="宋体"/>
          <w:color w:val="auto"/>
          <w:kern w:val="0"/>
          <w:szCs w:val="21"/>
          <w:highlight w:val="none"/>
        </w:rPr>
        <w:t>勘察任务书</w:t>
      </w:r>
      <w:r>
        <w:rPr>
          <w:color w:val="auto"/>
          <w:highlight w:val="none"/>
        </w:rPr>
        <w:br w:type="page"/>
      </w:r>
    </w:p>
    <w:p>
      <w:pPr>
        <w:adjustRightInd w:val="0"/>
        <w:snapToGrid w:val="0"/>
        <w:spacing w:line="360" w:lineRule="auto"/>
        <w:jc w:val="center"/>
        <w:outlineLvl w:val="0"/>
        <w:rPr>
          <w:rFonts w:ascii="黑体" w:eastAsia="黑体"/>
          <w:bCs/>
          <w:color w:val="auto"/>
          <w:kern w:val="0"/>
          <w:sz w:val="32"/>
          <w:szCs w:val="32"/>
          <w:highlight w:val="none"/>
        </w:rPr>
      </w:pPr>
      <w:bookmarkStart w:id="172" w:name="_Toc24016"/>
      <w:bookmarkStart w:id="173" w:name="_Toc17277"/>
      <w:bookmarkStart w:id="174" w:name="_Toc21498"/>
      <w:bookmarkStart w:id="175" w:name="_Toc26170"/>
      <w:bookmarkStart w:id="176" w:name="_Toc5783"/>
      <w:bookmarkStart w:id="177" w:name="_Toc27658"/>
      <w:bookmarkStart w:id="178" w:name="_Toc10341"/>
      <w:bookmarkStart w:id="179" w:name="_Toc19977"/>
      <w:bookmarkStart w:id="180" w:name="_Toc6480"/>
      <w:bookmarkStart w:id="181" w:name="_Toc5308"/>
      <w:bookmarkStart w:id="182" w:name="_Toc26256"/>
      <w:bookmarkStart w:id="183" w:name="_Toc2749"/>
      <w:bookmarkStart w:id="184" w:name="_Toc12844"/>
      <w:bookmarkStart w:id="185" w:name="_Toc20131"/>
      <w:bookmarkStart w:id="186" w:name="_Toc30399"/>
      <w:r>
        <w:rPr>
          <w:rFonts w:hint="eastAsia" w:ascii="黑体" w:eastAsia="黑体"/>
          <w:bCs/>
          <w:color w:val="auto"/>
          <w:kern w:val="0"/>
          <w:sz w:val="32"/>
          <w:szCs w:val="32"/>
          <w:highlight w:val="none"/>
        </w:rPr>
        <w:t>第五章  投标文件格式</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adjustRightInd w:val="0"/>
        <w:snapToGrid w:val="0"/>
        <w:spacing w:line="360" w:lineRule="auto"/>
        <w:rPr>
          <w:color w:val="auto"/>
          <w:highlight w:val="none"/>
        </w:rPr>
      </w:pPr>
      <w:r>
        <w:rPr>
          <w:color w:val="auto"/>
          <w:highlight w:val="none"/>
        </w:rPr>
        <w:br w:type="page"/>
      </w:r>
    </w:p>
    <w:p>
      <w:pPr>
        <w:adjustRightInd w:val="0"/>
        <w:snapToGrid w:val="0"/>
        <w:spacing w:line="360" w:lineRule="auto"/>
        <w:jc w:val="center"/>
        <w:rPr>
          <w:rFonts w:hAnsi="宋体"/>
          <w:b/>
          <w:color w:val="auto"/>
          <w:kern w:val="0"/>
          <w:sz w:val="44"/>
          <w:szCs w:val="44"/>
          <w:highlight w:val="none"/>
        </w:rPr>
      </w:pPr>
    </w:p>
    <w:p>
      <w:pPr>
        <w:adjustRightInd w:val="0"/>
        <w:snapToGrid w:val="0"/>
        <w:spacing w:line="360" w:lineRule="auto"/>
        <w:jc w:val="center"/>
        <w:rPr>
          <w:rFonts w:hAnsi="宋体"/>
          <w:b/>
          <w:color w:val="auto"/>
          <w:kern w:val="0"/>
          <w:sz w:val="44"/>
          <w:szCs w:val="44"/>
          <w:highlight w:val="none"/>
        </w:rPr>
      </w:pPr>
    </w:p>
    <w:p>
      <w:pPr>
        <w:adjustRightInd w:val="0"/>
        <w:snapToGrid w:val="0"/>
        <w:spacing w:line="360" w:lineRule="auto"/>
        <w:jc w:val="center"/>
        <w:rPr>
          <w:rFonts w:ascii="黑体" w:eastAsia="黑体"/>
          <w:bCs/>
          <w:color w:val="auto"/>
          <w:kern w:val="0"/>
          <w:sz w:val="52"/>
          <w:szCs w:val="52"/>
          <w:highlight w:val="none"/>
        </w:rPr>
      </w:pPr>
      <w:bookmarkStart w:id="187" w:name="_Toc6129"/>
      <w:r>
        <w:rPr>
          <w:rFonts w:hint="eastAsia" w:ascii="黑体" w:eastAsia="黑体"/>
          <w:bCs/>
          <w:color w:val="auto"/>
          <w:kern w:val="0"/>
          <w:sz w:val="52"/>
          <w:szCs w:val="52"/>
          <w:highlight w:val="none"/>
        </w:rPr>
        <w:t>深圳市建设工程勘察类招标</w:t>
      </w:r>
      <w:bookmarkEnd w:id="187"/>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bookmarkStart w:id="188" w:name="_Toc29698"/>
      <w:r>
        <w:rPr>
          <w:rFonts w:hint="eastAsia" w:ascii="黑体" w:eastAsia="黑体"/>
          <w:bCs/>
          <w:color w:val="auto"/>
          <w:kern w:val="0"/>
          <w:sz w:val="52"/>
          <w:szCs w:val="52"/>
          <w:highlight w:val="none"/>
        </w:rPr>
        <w:t>投 标 文 件</w:t>
      </w:r>
      <w:bookmarkEnd w:id="188"/>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_______</w:t>
      </w:r>
      <w:r>
        <w:rPr>
          <w:rFonts w:hint="eastAsia" w:ascii="黑体" w:eastAsia="黑体"/>
          <w:color w:val="auto"/>
          <w:kern w:val="0"/>
          <w:sz w:val="30"/>
          <w:szCs w:val="30"/>
          <w:highlight w:val="none"/>
          <w:u w:val="single"/>
        </w:rPr>
        <w:t>商务标部分</w:t>
      </w:r>
      <w:r>
        <w:rPr>
          <w:rFonts w:ascii="宋体"/>
          <w:color w:val="auto"/>
          <w:kern w:val="0"/>
          <w:sz w:val="30"/>
          <w:szCs w:val="30"/>
          <w:highlight w:val="none"/>
        </w:rPr>
        <w:t>________</w:t>
      </w:r>
      <w:r>
        <w:rPr>
          <w:rFonts w:hint="eastAsia" w:ascii="宋体"/>
          <w:color w:val="auto"/>
          <w:kern w:val="0"/>
          <w:sz w:val="30"/>
          <w:szCs w:val="30"/>
          <w:highlight w:val="none"/>
        </w:rPr>
        <w:t>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pPr>
        <w:adjustRightInd w:val="0"/>
        <w:snapToGrid w:val="0"/>
        <w:spacing w:line="360" w:lineRule="auto"/>
        <w:ind w:firstLine="1500" w:firstLineChars="500"/>
        <w:jc w:val="left"/>
        <w:rPr>
          <w:rFonts w:ascii="黑体" w:eastAsia="黑体"/>
          <w:color w:val="auto"/>
          <w:kern w:val="0"/>
          <w:sz w:val="30"/>
          <w:szCs w:val="30"/>
          <w:highlight w:val="none"/>
        </w:rPr>
      </w:pPr>
    </w:p>
    <w:p>
      <w:pPr>
        <w:adjustRightInd w:val="0"/>
        <w:snapToGrid w:val="0"/>
        <w:spacing w:line="360" w:lineRule="auto"/>
        <w:ind w:firstLine="1500" w:firstLineChars="500"/>
        <w:jc w:val="left"/>
        <w:rPr>
          <w:rFonts w:ascii="黑体" w:eastAsia="黑体"/>
          <w:color w:val="auto"/>
          <w:kern w:val="0"/>
          <w:sz w:val="30"/>
          <w:szCs w:val="30"/>
          <w:highlight w:val="none"/>
        </w:rPr>
      </w:pP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pPr>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对所提供资料的真实性、准确性、有效性负全部责任。</w:t>
      </w:r>
      <w:r>
        <w:rPr>
          <w:color w:val="auto"/>
          <w:highlight w:val="none"/>
        </w:rPr>
        <w:br w:type="page"/>
      </w:r>
    </w:p>
    <w:p>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提示：本投标函明确除标明由</w:t>
      </w:r>
      <w:r>
        <w:rPr>
          <w:rFonts w:hint="eastAsia" w:ascii="宋体" w:hAnsi="宋体" w:eastAsia="宋体" w:cs="宋体"/>
          <w:b/>
          <w:bCs/>
          <w:color w:val="auto"/>
          <w:kern w:val="0"/>
          <w:sz w:val="22"/>
          <w:highlight w:val="none"/>
        </w:rPr>
        <w:t>“投标人填写”外，其余空格全部应由招标人填写完整。一旦投标人中标后，该投标函将作为后续监管的依据。</w:t>
      </w:r>
    </w:p>
    <w:p>
      <w:pPr>
        <w:adjustRightInd w:val="0"/>
        <w:snapToGrid w:val="0"/>
        <w:spacing w:line="360" w:lineRule="auto"/>
        <w:jc w:val="center"/>
        <w:rPr>
          <w:rFonts w:ascii="宋体" w:hAnsi="宋体" w:eastAsia="宋体" w:cs="宋体"/>
          <w:color w:val="auto"/>
          <w:kern w:val="0"/>
          <w:sz w:val="32"/>
          <w:szCs w:val="32"/>
          <w:highlight w:val="none"/>
        </w:rPr>
      </w:pPr>
    </w:p>
    <w:p>
      <w:pPr>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投标函</w:t>
      </w:r>
    </w:p>
    <w:p>
      <w:pPr>
        <w:adjustRightInd w:val="0"/>
        <w:snapToGrid w:val="0"/>
        <w:spacing w:line="360" w:lineRule="auto"/>
        <w:jc w:val="center"/>
        <w:rPr>
          <w:rFonts w:ascii="宋体" w:hAnsi="宋体" w:eastAsia="宋体" w:cs="宋体"/>
          <w:color w:val="auto"/>
          <w:kern w:val="0"/>
          <w:sz w:val="32"/>
          <w:szCs w:val="32"/>
          <w:highlight w:val="none"/>
        </w:rPr>
      </w:pP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致招标人：__________________________</w:t>
      </w:r>
    </w:p>
    <w:p>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为了确保本工程招标投标工作顺利进行，同时保证优质高效、文明施工，我方将严格执行建设工程管理的法律法规，并完全接受_______________________工程的招标文件所有内容，为此作出如下承诺：</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1、经分析研究贵方提供的本项目招标文件以及有关书面答复与补充文件，并经现场考察后，我单位愿</w:t>
      </w:r>
      <w:r>
        <w:rPr>
          <w:rFonts w:hint="eastAsia" w:ascii="宋体" w:hAnsi="宋体" w:eastAsia="宋体" w:cs="宋体"/>
          <w:bCs/>
          <w:color w:val="auto"/>
          <w:kern w:val="0"/>
          <w:highlight w:val="none"/>
          <w:u w:val="single"/>
        </w:rPr>
        <w:t xml:space="preserve">           </w:t>
      </w:r>
      <w:r>
        <w:rPr>
          <w:rFonts w:hint="eastAsia" w:ascii="宋体" w:hAnsi="宋体" w:eastAsia="宋体" w:cs="宋体"/>
          <w:bCs/>
          <w:color w:val="auto"/>
          <w:kern w:val="0"/>
          <w:sz w:val="22"/>
          <w:highlight w:val="none"/>
        </w:rPr>
        <w:t>（按照前附表规定报价方式填写）</w:t>
      </w:r>
      <w:r>
        <w:rPr>
          <w:rFonts w:hint="eastAsia" w:ascii="宋体" w:hAnsi="宋体" w:eastAsia="宋体" w:cs="宋体"/>
          <w:color w:val="auto"/>
          <w:kern w:val="0"/>
          <w:szCs w:val="21"/>
          <w:highlight w:val="none"/>
        </w:rPr>
        <w:t>结算</w:t>
      </w:r>
      <w:r>
        <w:rPr>
          <w:rFonts w:hint="eastAsia" w:ascii="宋体" w:hAnsi="宋体" w:eastAsia="宋体" w:cs="宋体"/>
          <w:color w:val="auto"/>
          <w:kern w:val="0"/>
          <w:highlight w:val="none"/>
        </w:rPr>
        <w:t>，按实际完成的、由业主审核签认的合格工程量经审计部门审计后进行计算。（投标人填写）</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color w:val="auto"/>
          <w:kern w:val="0"/>
          <w:szCs w:val="21"/>
          <w:highlight w:val="none"/>
        </w:rPr>
        <w:t>我方同意所递交的投标文件在投标须知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3、我方保证所提交的保证金是从我单位基本账户汇出，银行保函是由我单位基本账户开户银行所在网点或其上级银行机构出具，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kern w:val="0"/>
          <w:szCs w:val="21"/>
          <w:highlight w:val="none"/>
        </w:rPr>
        <w:t>保证保险的保费是通过我单位基本账户支付，如不按上述原则提交投标担保，招标人</w:t>
      </w:r>
      <w:r>
        <w:rPr>
          <w:rFonts w:hint="eastAsia" w:ascii="宋体" w:hAnsi="宋体" w:eastAsia="宋体" w:cs="宋体"/>
          <w:bCs/>
          <w:color w:val="auto"/>
          <w:kern w:val="0"/>
          <w:szCs w:val="21"/>
          <w:highlight w:val="none"/>
        </w:rPr>
        <w:t>有权取消我方的中标资格或单方面终止合同，因此造成的责任由我方承担。</w:t>
      </w:r>
    </w:p>
    <w:p>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color w:val="auto"/>
          <w:kern w:val="0"/>
          <w:highlight w:val="none"/>
        </w:rPr>
        <w:t>4、我方完全理解和接受本招标文件的规定，并承诺一旦我方的投标出现招标文件中列举的严重违规或涉嫌串通投标的情形而被评标委员会废标的，将自觉接受贵方暂停或者取消今后我方参加贵方其他任何工程投标资格的处理。</w:t>
      </w:r>
    </w:p>
    <w:p>
      <w:pPr>
        <w:adjustRightInd w:val="0"/>
        <w:snapToGrid w:val="0"/>
        <w:spacing w:line="360" w:lineRule="auto"/>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5、</w:t>
      </w:r>
      <w:r>
        <w:rPr>
          <w:rFonts w:ascii="宋体" w:hAnsi="宋体" w:eastAsia="宋体" w:cs="宋体"/>
          <w:bCs/>
          <w:color w:val="auto"/>
          <w:kern w:val="0"/>
          <w:szCs w:val="21"/>
          <w:highlight w:val="none"/>
        </w:rPr>
        <w:t>一旦我方中标，将保证在中标通知书发出之日起30日内，与贵方按招标文件、中标通知书中的内容签定</w:t>
      </w:r>
      <w:r>
        <w:rPr>
          <w:rFonts w:hint="eastAsia" w:ascii="宋体" w:hAnsi="宋体" w:eastAsia="宋体" w:cs="宋体"/>
          <w:bCs/>
          <w:color w:val="auto"/>
          <w:kern w:val="0"/>
          <w:szCs w:val="21"/>
          <w:highlight w:val="none"/>
        </w:rPr>
        <w:t>勘察</w:t>
      </w:r>
      <w:r>
        <w:rPr>
          <w:rFonts w:ascii="宋体" w:hAnsi="宋体" w:eastAsia="宋体" w:cs="宋体"/>
          <w:bCs/>
          <w:color w:val="auto"/>
          <w:kern w:val="0"/>
          <w:szCs w:val="21"/>
          <w:highlight w:val="none"/>
        </w:rPr>
        <w:t>合同，否则，视为我方自愿放弃中标资格</w:t>
      </w:r>
      <w:r>
        <w:rPr>
          <w:rFonts w:hint="eastAsia" w:ascii="宋体" w:hAnsi="宋体" w:eastAsia="宋体" w:cs="宋体"/>
          <w:bCs/>
          <w:color w:val="auto"/>
          <w:kern w:val="0"/>
          <w:szCs w:val="21"/>
          <w:highlight w:val="none"/>
        </w:rPr>
        <w:t>。</w:t>
      </w:r>
    </w:p>
    <w:p>
      <w:pPr>
        <w:adjustRightInd w:val="0"/>
        <w:snapToGrid w:val="0"/>
        <w:spacing w:line="360" w:lineRule="auto"/>
        <w:ind w:firstLine="420" w:firstLineChars="20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6、除非另外达成协议并生效，贵方的中标通知书和本投标文件将成为约束双方的合同文件的组成部分。</w:t>
      </w:r>
    </w:p>
    <w:p>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7、按规定完成勘察合同承包范围</w:t>
      </w:r>
      <w:r>
        <w:rPr>
          <w:rFonts w:hint="eastAsia" w:ascii="宋体" w:hAnsi="宋体" w:eastAsia="宋体" w:cs="宋体"/>
          <w:bCs/>
          <w:color w:val="auto"/>
          <w:kern w:val="0"/>
          <w:highlight w:val="none"/>
          <w:u w:val="single"/>
        </w:rPr>
        <w:t xml:space="preserve">      </w:t>
      </w:r>
      <w:r>
        <w:rPr>
          <w:rFonts w:hint="eastAsia" w:ascii="宋体" w:hAnsi="宋体" w:eastAsia="宋体" w:cs="宋体"/>
          <w:bCs/>
          <w:color w:val="auto"/>
          <w:kern w:val="0"/>
          <w:highlight w:val="none"/>
        </w:rPr>
        <w:t>（与招标范围一致）的全部内容。</w:t>
      </w:r>
    </w:p>
    <w:p>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8、建立完善的质量安全保证体系，配备与投标文件相一致且满足工程建设规模、技术要求、安全要求的项目管理机构和项目管理人员。我方在本工程中配备的项目管理机构和项目管理人员详见附件1《项目管理班子配备情况表》（投标人填写）。撤换上述人员前，必须征得贵方批准同意。否则，招标人有权取消我方的中标资格或单方面终止合同，由此造成的违约责任由我方承担。</w:t>
      </w:r>
    </w:p>
    <w:p>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9、我方在本工程中投入的主要机械设备详见附件2《主要机械设备表》。（投标人填写）</w:t>
      </w:r>
    </w:p>
    <w:p>
      <w:pPr>
        <w:adjustRightInd w:val="0"/>
        <w:snapToGrid w:val="0"/>
        <w:spacing w:line="360" w:lineRule="auto"/>
        <w:ind w:firstLine="420" w:firstLineChars="200"/>
        <w:jc w:val="left"/>
        <w:rPr>
          <w:rFonts w:hint="eastAsia" w:ascii="宋体" w:hAnsi="宋体" w:eastAsia="宋体" w:cs="宋体"/>
          <w:bCs/>
          <w:color w:val="auto"/>
          <w:kern w:val="0"/>
          <w:highlight w:val="none"/>
        </w:rPr>
      </w:pPr>
      <w:r>
        <w:rPr>
          <w:rFonts w:hint="eastAsia" w:ascii="宋体" w:hAnsi="宋体" w:eastAsia="宋体" w:cs="宋体"/>
          <w:bCs/>
          <w:color w:val="auto"/>
          <w:kern w:val="0"/>
          <w:highlight w:val="none"/>
        </w:rPr>
        <w:t>10、我方保证在_____日内（或于_____年_____月_____日前）完成并移交本工程（非我方造成的工期延误除外）。（投标人填写）</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11</w:t>
      </w:r>
      <w:r>
        <w:rPr>
          <w:rFonts w:hint="eastAsia" w:ascii="宋体" w:hAnsi="宋体" w:eastAsia="宋体" w:cs="宋体"/>
          <w:bCs/>
          <w:color w:val="auto"/>
          <w:szCs w:val="21"/>
          <w:highlight w:val="none"/>
        </w:rPr>
        <w:t>、招标文件规定的其他主要承诺事项：</w:t>
      </w:r>
    </w:p>
    <w:p>
      <w:pPr>
        <w:adjustRightInd w:val="0"/>
        <w:snapToGrid w:val="0"/>
        <w:spacing w:line="340" w:lineRule="exact"/>
        <w:ind w:firstLine="420" w:firstLineChars="200"/>
        <w:jc w:val="left"/>
        <w:rPr>
          <w:rFonts w:hint="default" w:ascii="宋体" w:hAnsi="宋体" w:eastAsia="宋体" w:cs="宋体"/>
          <w:bCs/>
          <w:color w:val="auto"/>
          <w:kern w:val="0"/>
          <w:szCs w:val="21"/>
          <w:highlight w:val="none"/>
          <w:lang w:val="en-US"/>
        </w:rPr>
      </w:pPr>
      <w:r>
        <w:rPr>
          <w:rFonts w:hint="eastAsia" w:ascii="宋体" w:hAnsi="宋体" w:eastAsia="宋体" w:cs="宋体"/>
          <w:bCs/>
          <w:color w:val="auto"/>
          <w:szCs w:val="21"/>
          <w:highlight w:val="none"/>
          <w:u w:val="single"/>
        </w:rPr>
        <w:t>_</w:t>
      </w:r>
      <w:r>
        <w:rPr>
          <w:rFonts w:hint="eastAsia" w:ascii="宋体" w:hAnsi="宋体" w:eastAsia="宋体" w:cs="宋体"/>
          <w:bCs/>
          <w:color w:val="auto"/>
          <w:szCs w:val="21"/>
          <w:highlight w:val="none"/>
          <w:u w:val="single"/>
          <w:lang w:val="en-US" w:eastAsia="zh-CN"/>
        </w:rPr>
        <w:t xml:space="preserve"> 如承诺</w:t>
      </w:r>
      <w:r>
        <w:rPr>
          <w:rFonts w:hint="eastAsia" w:ascii="宋体" w:hAnsi="宋体" w:eastAsia="宋体" w:cs="宋体"/>
          <w:color w:val="auto"/>
          <w:kern w:val="0"/>
          <w:szCs w:val="21"/>
          <w:highlight w:val="none"/>
          <w:lang w:eastAsia="zh-CN"/>
        </w:rPr>
        <w:t>将中标金额的</w:t>
      </w:r>
      <w:r>
        <w:rPr>
          <w:rFonts w:hint="eastAsia" w:ascii="宋体" w:hAnsi="宋体" w:eastAsia="宋体" w:cs="宋体"/>
          <w:color w:val="auto"/>
          <w:kern w:val="0"/>
          <w:szCs w:val="21"/>
          <w:highlight w:val="none"/>
          <w:u w:val="single"/>
          <w:lang w:val="en-US" w:eastAsia="zh-CN"/>
        </w:rPr>
        <w:t xml:space="preserve">   % </w:t>
      </w:r>
      <w:r>
        <w:rPr>
          <w:rFonts w:hint="eastAsia" w:ascii="宋体" w:hAnsi="宋体" w:eastAsia="宋体" w:cs="宋体"/>
          <w:color w:val="auto"/>
          <w:kern w:val="0"/>
          <w:szCs w:val="21"/>
          <w:highlight w:val="none"/>
          <w:lang w:eastAsia="zh-CN"/>
        </w:rPr>
        <w:t>依法分包给满足条件的中小企业</w:t>
      </w:r>
      <w:r>
        <w:rPr>
          <w:rFonts w:hint="eastAsia" w:ascii="宋体" w:hAnsi="宋体" w:eastAsia="宋体" w:cs="宋体"/>
          <w:color w:val="auto"/>
          <w:kern w:val="0"/>
          <w:szCs w:val="21"/>
          <w:highlight w:val="none"/>
          <w:lang w:val="en-US" w:eastAsia="zh-CN"/>
        </w:rPr>
        <w:t>等</w:t>
      </w:r>
      <w:r>
        <w:rPr>
          <w:rFonts w:hint="eastAsia" w:ascii="宋体" w:hAnsi="宋体" w:eastAsia="宋体" w:cs="宋体"/>
          <w:bCs/>
          <w:color w:val="auto"/>
          <w:szCs w:val="21"/>
          <w:highlight w:val="none"/>
          <w:u w:val="single"/>
          <w:lang w:eastAsia="zh-CN"/>
        </w:rPr>
        <w:t>。</w:t>
      </w:r>
      <w:r>
        <w:rPr>
          <w:rFonts w:hint="eastAsia" w:ascii="宋体" w:hAnsi="宋体" w:eastAsia="宋体" w:cs="宋体"/>
          <w:bCs/>
          <w:color w:val="auto"/>
          <w:szCs w:val="21"/>
          <w:highlight w:val="none"/>
          <w:u w:val="single"/>
          <w:lang w:val="en-US" w:eastAsia="zh-CN"/>
        </w:rPr>
        <w:t xml:space="preserve">                  </w:t>
      </w:r>
    </w:p>
    <w:p>
      <w:pPr>
        <w:adjustRightInd w:val="0"/>
        <w:snapToGrid w:val="0"/>
        <w:spacing w:line="360" w:lineRule="auto"/>
        <w:ind w:firstLine="420" w:firstLineChars="200"/>
        <w:jc w:val="left"/>
        <w:rPr>
          <w:rFonts w:hint="eastAsia" w:ascii="宋体" w:hAnsi="宋体" w:eastAsia="宋体" w:cs="宋体"/>
          <w:bCs/>
          <w:color w:val="auto"/>
          <w:kern w:val="0"/>
          <w:highlight w:val="none"/>
        </w:rPr>
      </w:pPr>
    </w:p>
    <w:p>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w:t>
      </w:r>
      <w:r>
        <w:rPr>
          <w:rFonts w:hint="eastAsia" w:ascii="宋体" w:hAnsi="宋体" w:eastAsia="宋体" w:cs="宋体"/>
          <w:bCs/>
          <w:color w:val="auto"/>
          <w:kern w:val="0"/>
          <w:highlight w:val="none"/>
          <w:lang w:val="en-US" w:eastAsia="zh-CN"/>
        </w:rPr>
        <w:t>2</w:t>
      </w:r>
      <w:r>
        <w:rPr>
          <w:rFonts w:hint="eastAsia" w:ascii="宋体" w:hAnsi="宋体" w:eastAsia="宋体" w:cs="宋体"/>
          <w:bCs/>
          <w:color w:val="auto"/>
          <w:kern w:val="0"/>
          <w:highlight w:val="none"/>
        </w:rPr>
        <w:t>、我方在本次投标中无弄虚作假行为，且未与其他投标人、招标人及评标专家串通投标。否则，将接受取消投标资格、取消中标资格、解除合同、记录不良行为红色警示、暂停一年至三年在我市参加建设工程投标的资格等处理，涉嫌构成犯罪的，将依法追究刑事责任并移送公安机关查处。</w:t>
      </w:r>
    </w:p>
    <w:p>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w:t>
      </w:r>
      <w:r>
        <w:rPr>
          <w:rFonts w:hint="eastAsia" w:ascii="宋体" w:hAnsi="宋体" w:eastAsia="宋体" w:cs="宋体"/>
          <w:bCs/>
          <w:color w:val="auto"/>
          <w:kern w:val="0"/>
          <w:highlight w:val="none"/>
          <w:lang w:val="en-US" w:eastAsia="zh-CN"/>
        </w:rPr>
        <w:t>3</w:t>
      </w:r>
      <w:r>
        <w:rPr>
          <w:rFonts w:hint="eastAsia" w:ascii="宋体" w:hAnsi="宋体" w:eastAsia="宋体" w:cs="宋体"/>
          <w:bCs/>
          <w:color w:val="auto"/>
          <w:kern w:val="0"/>
          <w:highlight w:val="none"/>
        </w:rPr>
        <w:t>、如果违反本投标函中任何条款，我方愿意接受：</w:t>
      </w:r>
    </w:p>
    <w:p>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(1)视作我方单方面违约，并按照合同规定向贵方支付违约金或解除合同；</w:t>
      </w:r>
    </w:p>
    <w:p>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(2)履约评价评定为良好及以下；</w:t>
      </w:r>
    </w:p>
    <w:p>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(3)本工程招标人今后可拒绝我方参与投标；</w:t>
      </w:r>
    </w:p>
    <w:p>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(4)建设行政主管部门或相关主管部门的不良行为记录、行政处罚。</w:t>
      </w:r>
    </w:p>
    <w:p>
      <w:pPr>
        <w:adjustRightInd w:val="0"/>
        <w:snapToGrid w:val="0"/>
        <w:spacing w:line="360" w:lineRule="auto"/>
        <w:ind w:firstLine="420" w:firstLineChars="200"/>
        <w:jc w:val="left"/>
        <w:rPr>
          <w:rFonts w:ascii="宋体" w:hAnsi="宋体" w:eastAsia="宋体" w:cs="宋体"/>
          <w:bCs/>
          <w:color w:val="auto"/>
          <w:kern w:val="0"/>
          <w:highlight w:val="none"/>
        </w:rPr>
      </w:pPr>
    </w:p>
    <w:p>
      <w:pPr>
        <w:adjustRightInd w:val="0"/>
        <w:snapToGrid w:val="0"/>
        <w:spacing w:line="360" w:lineRule="auto"/>
        <w:ind w:firstLine="420" w:firstLineChars="200"/>
        <w:jc w:val="left"/>
        <w:rPr>
          <w:rFonts w:ascii="宋体" w:hAnsi="宋体" w:eastAsia="宋体" w:cs="宋体"/>
          <w:bCs/>
          <w:color w:val="auto"/>
          <w:kern w:val="0"/>
          <w:highlight w:val="none"/>
        </w:rPr>
      </w:pP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投标人（单位公章）：__________________________________________________</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单位地址：___________________________________________________________</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邮政编码：__________________电话：______________传真：______________</w:t>
      </w:r>
    </w:p>
    <w:p>
      <w:pPr>
        <w:adjustRightInd w:val="0"/>
        <w:snapToGrid w:val="0"/>
        <w:spacing w:line="360" w:lineRule="auto"/>
        <w:ind w:firstLine="420" w:firstLineChars="200"/>
        <w:jc w:val="left"/>
        <w:rPr>
          <w:rFonts w:ascii="宋体" w:hAnsi="宋体" w:eastAsia="宋体" w:cs="宋体"/>
          <w:bCs/>
          <w:color w:val="auto"/>
          <w:kern w:val="0"/>
          <w:highlight w:val="none"/>
        </w:rPr>
      </w:pPr>
    </w:p>
    <w:p>
      <w:pPr>
        <w:adjustRightInd w:val="0"/>
        <w:snapToGrid w:val="0"/>
        <w:spacing w:line="360" w:lineRule="auto"/>
        <w:ind w:firstLine="420" w:firstLineChars="200"/>
        <w:jc w:val="left"/>
        <w:rPr>
          <w:rFonts w:ascii="宋体" w:hAnsi="宋体" w:eastAsia="宋体" w:cs="宋体"/>
          <w:bCs/>
          <w:color w:val="auto"/>
          <w:kern w:val="0"/>
          <w:highlight w:val="none"/>
        </w:rPr>
      </w:pPr>
    </w:p>
    <w:p>
      <w:pPr>
        <w:adjustRightInd w:val="0"/>
        <w:snapToGrid w:val="0"/>
        <w:spacing w:line="360" w:lineRule="auto"/>
        <w:ind w:firstLine="4200" w:firstLineChars="20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年   月   日</w:t>
      </w:r>
    </w:p>
    <w:p>
      <w:pPr>
        <w:adjustRightInd w:val="0"/>
        <w:snapToGrid w:val="0"/>
        <w:spacing w:line="360" w:lineRule="auto"/>
        <w:ind w:firstLine="420" w:firstLineChars="200"/>
        <w:jc w:val="left"/>
        <w:rPr>
          <w:rFonts w:ascii="宋体" w:hAnsi="宋体" w:eastAsia="宋体" w:cs="宋体"/>
          <w:bCs/>
          <w:color w:val="auto"/>
          <w:kern w:val="0"/>
          <w:highlight w:val="none"/>
        </w:rPr>
      </w:pPr>
    </w:p>
    <w:p>
      <w:pPr>
        <w:adjustRightInd w:val="0"/>
        <w:snapToGrid w:val="0"/>
        <w:spacing w:line="360" w:lineRule="auto"/>
        <w:ind w:firstLine="420" w:firstLineChars="200"/>
        <w:jc w:val="left"/>
        <w:rPr>
          <w:rFonts w:ascii="宋体" w:hAnsi="宋体" w:eastAsia="宋体" w:cs="宋体"/>
          <w:bCs/>
          <w:color w:val="auto"/>
          <w:kern w:val="0"/>
          <w:highlight w:val="none"/>
        </w:rPr>
      </w:pPr>
    </w:p>
    <w:p>
      <w:pPr>
        <w:adjustRightInd w:val="0"/>
        <w:snapToGrid w:val="0"/>
        <w:spacing w:line="360" w:lineRule="auto"/>
        <w:ind w:firstLine="420" w:firstLineChars="200"/>
        <w:jc w:val="left"/>
        <w:rPr>
          <w:rFonts w:ascii="宋体" w:hAnsi="宋体" w:eastAsia="宋体" w:cs="宋体"/>
          <w:bCs/>
          <w:color w:val="auto"/>
          <w:kern w:val="0"/>
          <w:highlight w:val="none"/>
        </w:rPr>
      </w:pPr>
    </w:p>
    <w:p>
      <w:pPr>
        <w:adjustRightInd w:val="0"/>
        <w:snapToGrid w:val="0"/>
        <w:spacing w:line="360" w:lineRule="auto"/>
        <w:ind w:firstLine="420" w:firstLineChars="200"/>
        <w:jc w:val="left"/>
        <w:rPr>
          <w:rFonts w:ascii="宋体" w:hAnsi="宋体" w:eastAsia="宋体" w:cs="宋体"/>
          <w:bCs/>
          <w:color w:val="auto"/>
          <w:kern w:val="0"/>
          <w:highlight w:val="none"/>
        </w:rPr>
      </w:pPr>
    </w:p>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附件1《拟投入本项目勘察人员汇总表》</w:t>
      </w:r>
    </w:p>
    <w:p>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附件2《拟投入本项目勘察人员基本情况表》</w:t>
      </w:r>
    </w:p>
    <w:p>
      <w:pPr>
        <w:adjustRightInd w:val="0"/>
        <w:snapToGrid w:val="0"/>
        <w:spacing w:line="360" w:lineRule="auto"/>
        <w:jc w:val="left"/>
        <w:rPr>
          <w:rFonts w:ascii="宋体" w:hAnsi="宋体"/>
          <w:bCs/>
          <w:color w:val="auto"/>
          <w:kern w:val="0"/>
          <w:highlight w:val="none"/>
        </w:rPr>
      </w:pPr>
      <w:r>
        <w:rPr>
          <w:rFonts w:hint="eastAsia" w:ascii="宋体" w:hAnsi="宋体" w:eastAsia="宋体" w:cs="宋体"/>
          <w:bCs/>
          <w:color w:val="auto"/>
          <w:kern w:val="0"/>
          <w:highlight w:val="none"/>
        </w:rPr>
        <w:t>附件3《主要机械设备表》</w:t>
      </w:r>
      <w:r>
        <w:rPr>
          <w:rFonts w:ascii="宋体" w:hAnsi="宋体"/>
          <w:bCs/>
          <w:color w:val="auto"/>
          <w:kern w:val="0"/>
          <w:highlight w:val="none"/>
        </w:rPr>
        <w:br w:type="page"/>
      </w:r>
    </w:p>
    <w:p>
      <w:pPr>
        <w:adjustRightInd w:val="0"/>
        <w:snapToGrid w:val="0"/>
        <w:spacing w:line="360" w:lineRule="auto"/>
        <w:rPr>
          <w:rFonts w:ascii="宋体" w:hAnsi="宋体" w:eastAsia="宋体" w:cs="宋体"/>
          <w:b/>
          <w:color w:val="auto"/>
          <w:kern w:val="0"/>
          <w:sz w:val="24"/>
          <w:highlight w:val="none"/>
        </w:rPr>
      </w:pPr>
      <w:r>
        <w:rPr>
          <w:rFonts w:hint="eastAsia" w:ascii="宋体" w:hAnsi="宋体" w:eastAsia="宋体" w:cs="宋体"/>
          <w:b/>
          <w:color w:val="auto"/>
          <w:kern w:val="0"/>
          <w:sz w:val="24"/>
          <w:highlight w:val="none"/>
        </w:rPr>
        <w:t>附件1</w:t>
      </w:r>
    </w:p>
    <w:p>
      <w:pPr>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拟投入本项目勘察人员汇总表</w:t>
      </w:r>
    </w:p>
    <w:p>
      <w:pPr>
        <w:adjustRightInd w:val="0"/>
        <w:snapToGrid w:val="0"/>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（从企业信息备案库中选择）</w:t>
      </w:r>
    </w:p>
    <w:p>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一、注册人员</w:t>
      </w:r>
    </w:p>
    <w:tbl>
      <w:tblPr>
        <w:tblStyle w:val="80"/>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981"/>
        <w:gridCol w:w="437"/>
        <w:gridCol w:w="1139"/>
        <w:gridCol w:w="596"/>
        <w:gridCol w:w="741"/>
        <w:gridCol w:w="674"/>
        <w:gridCol w:w="1183"/>
        <w:gridCol w:w="676"/>
        <w:gridCol w:w="1014"/>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1"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437"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139"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596"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741"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从事专业</w:t>
            </w:r>
          </w:p>
        </w:tc>
        <w:tc>
          <w:tcPr>
            <w:tcW w:w="674"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注册专业</w:t>
            </w:r>
          </w:p>
        </w:tc>
        <w:tc>
          <w:tcPr>
            <w:tcW w:w="1183"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注册证号</w:t>
            </w:r>
          </w:p>
        </w:tc>
        <w:tc>
          <w:tcPr>
            <w:tcW w:w="676"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职称等级</w:t>
            </w:r>
          </w:p>
        </w:tc>
        <w:tc>
          <w:tcPr>
            <w:tcW w:w="1014"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w:t>
            </w:r>
          </w:p>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电脑号</w:t>
            </w:r>
          </w:p>
        </w:tc>
        <w:tc>
          <w:tcPr>
            <w:tcW w:w="1408"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81"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1139"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596"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741"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674"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1183"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67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4"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08"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81"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1139"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596"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741"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674"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1183"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676"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14"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408"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bl>
    <w:p>
      <w:pPr>
        <w:adjustRightInd w:val="0"/>
        <w:snapToGrid w:val="0"/>
        <w:spacing w:line="360" w:lineRule="auto"/>
        <w:jc w:val="left"/>
        <w:rPr>
          <w:rFonts w:ascii="宋体" w:hAnsi="宋体" w:eastAsia="宋体" w:cs="宋体"/>
          <w:color w:val="auto"/>
          <w:kern w:val="0"/>
          <w:sz w:val="22"/>
          <w:highlight w:val="none"/>
        </w:rPr>
      </w:pPr>
    </w:p>
    <w:p>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二、非注册人员</w:t>
      </w:r>
    </w:p>
    <w:tbl>
      <w:tblPr>
        <w:tblStyle w:val="80"/>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
        <w:gridCol w:w="985"/>
        <w:gridCol w:w="437"/>
        <w:gridCol w:w="1302"/>
        <w:gridCol w:w="442"/>
        <w:gridCol w:w="918"/>
        <w:gridCol w:w="851"/>
        <w:gridCol w:w="1362"/>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1"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5"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437"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302"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442"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918"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从事</w:t>
            </w:r>
          </w:p>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专业</w:t>
            </w:r>
          </w:p>
        </w:tc>
        <w:tc>
          <w:tcPr>
            <w:tcW w:w="851"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w:t>
            </w:r>
          </w:p>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等级</w:t>
            </w:r>
          </w:p>
        </w:tc>
        <w:tc>
          <w:tcPr>
            <w:tcW w:w="1362"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社保电脑号</w:t>
            </w:r>
          </w:p>
        </w:tc>
        <w:tc>
          <w:tcPr>
            <w:tcW w:w="2550"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1"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442"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550"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1"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442"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550"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bl>
    <w:p>
      <w:pPr>
        <w:adjustRightInd w:val="0"/>
        <w:snapToGrid w:val="0"/>
        <w:spacing w:line="360" w:lineRule="auto"/>
        <w:jc w:val="left"/>
        <w:rPr>
          <w:rFonts w:ascii="宋体" w:hAnsi="宋体" w:eastAsia="宋体" w:cs="宋体"/>
          <w:b/>
          <w:color w:val="auto"/>
          <w:kern w:val="0"/>
          <w:sz w:val="22"/>
          <w:highlight w:val="none"/>
        </w:rPr>
      </w:pPr>
    </w:p>
    <w:p>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三、技术工人</w:t>
      </w:r>
    </w:p>
    <w:tbl>
      <w:tblPr>
        <w:tblStyle w:val="80"/>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985"/>
        <w:gridCol w:w="437"/>
        <w:gridCol w:w="1302"/>
        <w:gridCol w:w="851"/>
        <w:gridCol w:w="1702"/>
        <w:gridCol w:w="3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5"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437"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302"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851"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专业</w:t>
            </w:r>
          </w:p>
        </w:tc>
        <w:tc>
          <w:tcPr>
            <w:tcW w:w="1702"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社保电脑号</w:t>
            </w:r>
          </w:p>
        </w:tc>
        <w:tc>
          <w:tcPr>
            <w:tcW w:w="3572"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357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70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3572"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bl>
    <w:p>
      <w:pPr>
        <w:adjustRightInd w:val="0"/>
        <w:snapToGrid w:val="0"/>
        <w:spacing w:line="360" w:lineRule="auto"/>
        <w:jc w:val="left"/>
        <w:rPr>
          <w:rFonts w:ascii="宋体" w:hAnsi="宋体" w:eastAsia="宋体" w:cs="宋体"/>
          <w:b/>
          <w:color w:val="auto"/>
          <w:kern w:val="0"/>
          <w:sz w:val="22"/>
          <w:highlight w:val="none"/>
        </w:rPr>
      </w:pPr>
    </w:p>
    <w:p>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四、土工试验人员</w:t>
      </w:r>
    </w:p>
    <w:tbl>
      <w:tblPr>
        <w:tblStyle w:val="80"/>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
        <w:gridCol w:w="986"/>
        <w:gridCol w:w="1395"/>
        <w:gridCol w:w="784"/>
        <w:gridCol w:w="918"/>
        <w:gridCol w:w="851"/>
        <w:gridCol w:w="680"/>
        <w:gridCol w:w="1020"/>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3"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6"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1395"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784"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专业</w:t>
            </w:r>
          </w:p>
        </w:tc>
        <w:tc>
          <w:tcPr>
            <w:tcW w:w="918"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w:t>
            </w:r>
          </w:p>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等级</w:t>
            </w:r>
          </w:p>
        </w:tc>
        <w:tc>
          <w:tcPr>
            <w:tcW w:w="851"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职称证号</w:t>
            </w:r>
          </w:p>
        </w:tc>
        <w:tc>
          <w:tcPr>
            <w:tcW w:w="680"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上岗证号</w:t>
            </w:r>
          </w:p>
        </w:tc>
        <w:tc>
          <w:tcPr>
            <w:tcW w:w="1020"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w:t>
            </w:r>
          </w:p>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电脑号</w:t>
            </w:r>
          </w:p>
        </w:tc>
        <w:tc>
          <w:tcPr>
            <w:tcW w:w="2211" w:type="dxa"/>
            <w:shd w:val="clear" w:color="auto" w:fill="auto"/>
            <w:vAlign w:val="center"/>
          </w:tcPr>
          <w:p>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3"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86"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1395"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784"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85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680"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20"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jc w:val="center"/>
        </w:trPr>
        <w:tc>
          <w:tcPr>
            <w:tcW w:w="443"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86"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1395"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784"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pPr>
              <w:adjustRightInd w:val="0"/>
              <w:snapToGrid w:val="0"/>
              <w:spacing w:line="360" w:lineRule="auto"/>
              <w:rPr>
                <w:rFonts w:ascii="宋体" w:hAnsi="宋体" w:eastAsia="宋体" w:cs="宋体"/>
                <w:color w:val="auto"/>
                <w:kern w:val="0"/>
                <w:highlight w:val="none"/>
              </w:rPr>
            </w:pPr>
          </w:p>
        </w:tc>
        <w:tc>
          <w:tcPr>
            <w:tcW w:w="85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680"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1020"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c>
          <w:tcPr>
            <w:tcW w:w="2211"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bl>
    <w:p>
      <w:pPr>
        <w:adjustRightInd w:val="0"/>
        <w:snapToGrid w:val="0"/>
        <w:spacing w:line="360" w:lineRule="auto"/>
        <w:jc w:val="left"/>
        <w:rPr>
          <w:rFonts w:ascii="宋体" w:hAnsi="宋体"/>
          <w:color w:val="auto"/>
          <w:kern w:val="0"/>
          <w:szCs w:val="21"/>
          <w:highlight w:val="none"/>
        </w:rPr>
      </w:pPr>
      <w:r>
        <w:rPr>
          <w:rFonts w:hint="eastAsia" w:ascii="楷体_GB2312" w:hAnsi="楷体_GB2312" w:eastAsia="楷体_GB2312" w:cs="楷体_GB2312"/>
          <w:color w:val="auto"/>
          <w:kern w:val="0"/>
          <w:szCs w:val="21"/>
          <w:highlight w:val="none"/>
        </w:rPr>
        <w:t>注：在本项目中拟任的岗位为可选项，有项目负责人、工程技术负责人、项目负责人兼工程技术负责人、审核人、项目技术人员、编录人员、机长、记录员、注册安全工程师、安全主任、安全员、实验室主任、实验员、注册测绘工程师、测量员等15项可选择，每人只能选择一个岗位。</w:t>
      </w:r>
      <w:r>
        <w:rPr>
          <w:rFonts w:ascii="宋体" w:hAnsi="宋体"/>
          <w:color w:val="auto"/>
          <w:kern w:val="0"/>
          <w:szCs w:val="21"/>
          <w:highlight w:val="none"/>
        </w:rPr>
        <w:br w:type="page"/>
      </w:r>
    </w:p>
    <w:p>
      <w:pPr>
        <w:adjustRightInd w:val="0"/>
        <w:snapToGrid w:val="0"/>
        <w:spacing w:line="360" w:lineRule="auto"/>
        <w:jc w:val="left"/>
        <w:rPr>
          <w:rFonts w:ascii="宋体" w:hAnsi="宋体" w:eastAsia="宋体" w:cs="宋体"/>
          <w:color w:val="auto"/>
          <w:kern w:val="0"/>
          <w:sz w:val="24"/>
          <w:highlight w:val="none"/>
        </w:rPr>
      </w:pPr>
      <w:r>
        <w:rPr>
          <w:rFonts w:hint="eastAsia" w:ascii="宋体" w:hAnsi="宋体" w:eastAsia="宋体" w:cs="宋体"/>
          <w:b/>
          <w:color w:val="auto"/>
          <w:kern w:val="0"/>
          <w:sz w:val="24"/>
          <w:highlight w:val="none"/>
        </w:rPr>
        <w:t>附件2</w:t>
      </w:r>
    </w:p>
    <w:p>
      <w:pPr>
        <w:adjustRightInd w:val="0"/>
        <w:snapToGrid w:val="0"/>
        <w:spacing w:line="360" w:lineRule="auto"/>
        <w:jc w:val="center"/>
        <w:rPr>
          <w:rFonts w:ascii="宋体" w:hAnsi="宋体" w:eastAsia="宋体" w:cs="宋体"/>
          <w:b/>
          <w:color w:val="auto"/>
          <w:kern w:val="0"/>
          <w:sz w:val="32"/>
          <w:szCs w:val="32"/>
          <w:highlight w:val="none"/>
        </w:rPr>
      </w:pPr>
      <w:bookmarkStart w:id="189" w:name="_Toc15010"/>
      <w:r>
        <w:rPr>
          <w:rFonts w:hint="eastAsia" w:ascii="宋体" w:hAnsi="宋体" w:eastAsia="宋体" w:cs="宋体"/>
          <w:b/>
          <w:color w:val="auto"/>
          <w:kern w:val="0"/>
          <w:sz w:val="32"/>
          <w:szCs w:val="32"/>
          <w:highlight w:val="none"/>
        </w:rPr>
        <w:t>拟投入本项目勘察人员基本情况表</w:t>
      </w:r>
      <w:bookmarkEnd w:id="189"/>
    </w:p>
    <w:p>
      <w:pPr>
        <w:adjustRightInd w:val="0"/>
        <w:snapToGrid w:val="0"/>
        <w:spacing w:line="360" w:lineRule="auto"/>
        <w:jc w:val="center"/>
        <w:rPr>
          <w:rFonts w:ascii="宋体" w:hAnsi="宋体" w:eastAsia="宋体" w:cs="宋体"/>
          <w:color w:val="auto"/>
          <w:kern w:val="0"/>
          <w:sz w:val="24"/>
          <w:highlight w:val="none"/>
        </w:rPr>
      </w:pPr>
    </w:p>
    <w:tbl>
      <w:tblPr>
        <w:tblStyle w:val="80"/>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394"/>
        <w:gridCol w:w="942"/>
        <w:gridCol w:w="137"/>
        <w:gridCol w:w="262"/>
        <w:gridCol w:w="669"/>
        <w:gridCol w:w="22"/>
        <w:gridCol w:w="422"/>
        <w:gridCol w:w="1259"/>
        <w:gridCol w:w="691"/>
        <w:gridCol w:w="598"/>
        <w:gridCol w:w="750"/>
        <w:gridCol w:w="232"/>
        <w:gridCol w:w="420"/>
        <w:gridCol w:w="182"/>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9" w:type="dxa"/>
            <w:shd w:val="clear" w:color="auto" w:fill="auto"/>
            <w:vAlign w:val="center"/>
          </w:tcPr>
          <w:p>
            <w:pPr>
              <w:pStyle w:val="41"/>
              <w:adjustRightInd w:val="0"/>
              <w:snapToGrid w:val="0"/>
              <w:jc w:val="center"/>
              <w:rPr>
                <w:rFonts w:hAnsi="宋体" w:cs="宋体"/>
                <w:color w:val="auto"/>
                <w:sz w:val="21"/>
                <w:highlight w:val="none"/>
              </w:rPr>
            </w:pPr>
            <w:r>
              <w:rPr>
                <w:rFonts w:hint="eastAsia" w:hAnsi="宋体" w:cs="宋体"/>
                <w:color w:val="auto"/>
                <w:sz w:val="21"/>
                <w:highlight w:val="none"/>
              </w:rPr>
              <w:t>姓名</w:t>
            </w:r>
          </w:p>
        </w:tc>
        <w:tc>
          <w:tcPr>
            <w:tcW w:w="1735" w:type="dxa"/>
            <w:gridSpan w:val="4"/>
            <w:shd w:val="clear" w:color="auto" w:fill="auto"/>
            <w:vAlign w:val="center"/>
          </w:tcPr>
          <w:p>
            <w:pPr>
              <w:pStyle w:val="41"/>
              <w:adjustRightInd w:val="0"/>
              <w:snapToGrid w:val="0"/>
              <w:jc w:val="center"/>
              <w:rPr>
                <w:rFonts w:hAnsi="宋体" w:cs="宋体"/>
                <w:color w:val="auto"/>
                <w:sz w:val="21"/>
                <w:highlight w:val="none"/>
              </w:rPr>
            </w:pPr>
          </w:p>
        </w:tc>
        <w:tc>
          <w:tcPr>
            <w:tcW w:w="1113" w:type="dxa"/>
            <w:gridSpan w:val="3"/>
            <w:shd w:val="clear" w:color="auto" w:fill="auto"/>
            <w:vAlign w:val="center"/>
          </w:tcPr>
          <w:p>
            <w:pPr>
              <w:pStyle w:val="41"/>
              <w:adjustRightInd w:val="0"/>
              <w:snapToGrid w:val="0"/>
              <w:jc w:val="center"/>
              <w:rPr>
                <w:rFonts w:hAnsi="宋体" w:cs="宋体"/>
                <w:color w:val="auto"/>
                <w:sz w:val="21"/>
                <w:highlight w:val="none"/>
              </w:rPr>
            </w:pPr>
            <w:r>
              <w:rPr>
                <w:rFonts w:hint="eastAsia" w:hAnsi="宋体" w:cs="宋体"/>
                <w:color w:val="auto"/>
                <w:sz w:val="21"/>
                <w:highlight w:val="none"/>
              </w:rPr>
              <w:t>性别</w:t>
            </w:r>
          </w:p>
        </w:tc>
        <w:tc>
          <w:tcPr>
            <w:tcW w:w="1950" w:type="dxa"/>
            <w:gridSpan w:val="2"/>
            <w:shd w:val="clear" w:color="auto" w:fill="auto"/>
            <w:vAlign w:val="center"/>
          </w:tcPr>
          <w:p>
            <w:pPr>
              <w:pStyle w:val="41"/>
              <w:adjustRightInd w:val="0"/>
              <w:snapToGrid w:val="0"/>
              <w:jc w:val="center"/>
              <w:rPr>
                <w:rFonts w:hAnsi="宋体" w:cs="宋体"/>
                <w:color w:val="auto"/>
                <w:sz w:val="21"/>
                <w:highlight w:val="none"/>
              </w:rPr>
            </w:pPr>
          </w:p>
        </w:tc>
        <w:tc>
          <w:tcPr>
            <w:tcW w:w="1580" w:type="dxa"/>
            <w:gridSpan w:val="3"/>
            <w:shd w:val="clear" w:color="auto" w:fill="auto"/>
            <w:vAlign w:val="center"/>
          </w:tcPr>
          <w:p>
            <w:pPr>
              <w:pStyle w:val="41"/>
              <w:adjustRightInd w:val="0"/>
              <w:snapToGrid w:val="0"/>
              <w:jc w:val="center"/>
              <w:rPr>
                <w:rFonts w:hAnsi="宋体" w:cs="宋体"/>
                <w:color w:val="auto"/>
                <w:sz w:val="21"/>
                <w:highlight w:val="none"/>
              </w:rPr>
            </w:pPr>
            <w:r>
              <w:rPr>
                <w:rFonts w:hint="eastAsia" w:hAnsi="宋体" w:cs="宋体"/>
                <w:color w:val="auto"/>
                <w:sz w:val="21"/>
                <w:highlight w:val="none"/>
              </w:rPr>
              <w:t>身份证号</w:t>
            </w:r>
          </w:p>
        </w:tc>
        <w:tc>
          <w:tcPr>
            <w:tcW w:w="1471" w:type="dxa"/>
            <w:gridSpan w:val="3"/>
            <w:shd w:val="clear" w:color="auto" w:fill="auto"/>
            <w:vAlign w:val="center"/>
          </w:tcPr>
          <w:p>
            <w:pPr>
              <w:pStyle w:val="41"/>
              <w:adjustRightInd w:val="0"/>
              <w:snapToGrid w:val="0"/>
              <w:jc w:val="center"/>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9" w:type="dxa"/>
            <w:shd w:val="clear" w:color="auto" w:fill="auto"/>
            <w:vAlign w:val="center"/>
          </w:tcPr>
          <w:p>
            <w:pPr>
              <w:pStyle w:val="41"/>
              <w:adjustRightInd w:val="0"/>
              <w:snapToGrid w:val="0"/>
              <w:jc w:val="center"/>
              <w:rPr>
                <w:rFonts w:hAnsi="宋体" w:cs="宋体"/>
                <w:color w:val="auto"/>
                <w:sz w:val="21"/>
                <w:highlight w:val="none"/>
              </w:rPr>
            </w:pPr>
            <w:r>
              <w:rPr>
                <w:rFonts w:hint="eastAsia" w:hAnsi="宋体" w:cs="宋体"/>
                <w:color w:val="auto"/>
                <w:sz w:val="21"/>
                <w:highlight w:val="none"/>
              </w:rPr>
              <w:t>学历</w:t>
            </w:r>
          </w:p>
        </w:tc>
        <w:tc>
          <w:tcPr>
            <w:tcW w:w="1735" w:type="dxa"/>
            <w:gridSpan w:val="4"/>
            <w:shd w:val="clear" w:color="auto" w:fill="auto"/>
            <w:vAlign w:val="center"/>
          </w:tcPr>
          <w:p>
            <w:pPr>
              <w:pStyle w:val="41"/>
              <w:adjustRightInd w:val="0"/>
              <w:snapToGrid w:val="0"/>
              <w:jc w:val="center"/>
              <w:rPr>
                <w:rFonts w:hAnsi="宋体" w:cs="宋体"/>
                <w:color w:val="auto"/>
                <w:sz w:val="21"/>
                <w:highlight w:val="none"/>
              </w:rPr>
            </w:pPr>
          </w:p>
        </w:tc>
        <w:tc>
          <w:tcPr>
            <w:tcW w:w="1113" w:type="dxa"/>
            <w:gridSpan w:val="3"/>
            <w:shd w:val="clear" w:color="auto" w:fill="auto"/>
            <w:vAlign w:val="center"/>
          </w:tcPr>
          <w:p>
            <w:pPr>
              <w:pStyle w:val="41"/>
              <w:adjustRightInd w:val="0"/>
              <w:snapToGrid w:val="0"/>
              <w:jc w:val="center"/>
              <w:rPr>
                <w:rFonts w:hAnsi="宋体" w:cs="宋体"/>
                <w:color w:val="auto"/>
                <w:sz w:val="21"/>
                <w:highlight w:val="none"/>
              </w:rPr>
            </w:pPr>
            <w:r>
              <w:rPr>
                <w:rFonts w:hint="eastAsia" w:hAnsi="宋体" w:cs="宋体"/>
                <w:color w:val="auto"/>
                <w:sz w:val="21"/>
                <w:highlight w:val="none"/>
              </w:rPr>
              <w:t>毕业时间</w:t>
            </w:r>
          </w:p>
        </w:tc>
        <w:tc>
          <w:tcPr>
            <w:tcW w:w="1950" w:type="dxa"/>
            <w:gridSpan w:val="2"/>
            <w:shd w:val="clear" w:color="auto" w:fill="auto"/>
            <w:vAlign w:val="center"/>
          </w:tcPr>
          <w:p>
            <w:pPr>
              <w:pStyle w:val="41"/>
              <w:adjustRightInd w:val="0"/>
              <w:snapToGrid w:val="0"/>
              <w:jc w:val="center"/>
              <w:rPr>
                <w:rFonts w:hAnsi="宋体" w:cs="宋体"/>
                <w:color w:val="auto"/>
                <w:sz w:val="21"/>
                <w:highlight w:val="none"/>
              </w:rPr>
            </w:pPr>
          </w:p>
        </w:tc>
        <w:tc>
          <w:tcPr>
            <w:tcW w:w="1580" w:type="dxa"/>
            <w:gridSpan w:val="3"/>
            <w:shd w:val="clear" w:color="auto" w:fill="auto"/>
            <w:vAlign w:val="center"/>
          </w:tcPr>
          <w:p>
            <w:pPr>
              <w:pStyle w:val="41"/>
              <w:adjustRightInd w:val="0"/>
              <w:snapToGrid w:val="0"/>
              <w:jc w:val="center"/>
              <w:rPr>
                <w:rFonts w:hAnsi="宋体" w:cs="宋体"/>
                <w:color w:val="auto"/>
                <w:sz w:val="21"/>
                <w:highlight w:val="none"/>
              </w:rPr>
            </w:pPr>
            <w:r>
              <w:rPr>
                <w:rFonts w:hint="eastAsia" w:hAnsi="宋体" w:cs="宋体"/>
                <w:color w:val="auto"/>
                <w:sz w:val="21"/>
                <w:highlight w:val="none"/>
              </w:rPr>
              <w:t>从事专业</w:t>
            </w:r>
          </w:p>
        </w:tc>
        <w:tc>
          <w:tcPr>
            <w:tcW w:w="1471" w:type="dxa"/>
            <w:gridSpan w:val="3"/>
            <w:shd w:val="clear" w:color="auto" w:fill="auto"/>
            <w:vAlign w:val="center"/>
          </w:tcPr>
          <w:p>
            <w:pPr>
              <w:pStyle w:val="41"/>
              <w:adjustRightInd w:val="0"/>
              <w:snapToGrid w:val="0"/>
              <w:jc w:val="center"/>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9" w:type="dxa"/>
            <w:shd w:val="clear" w:color="auto" w:fill="auto"/>
            <w:vAlign w:val="center"/>
          </w:tcPr>
          <w:p>
            <w:pPr>
              <w:pStyle w:val="41"/>
              <w:adjustRightInd w:val="0"/>
              <w:snapToGrid w:val="0"/>
              <w:jc w:val="center"/>
              <w:rPr>
                <w:rFonts w:hAnsi="宋体" w:cs="宋体"/>
                <w:color w:val="auto"/>
                <w:sz w:val="21"/>
                <w:highlight w:val="none"/>
              </w:rPr>
            </w:pPr>
            <w:r>
              <w:rPr>
                <w:rFonts w:hint="eastAsia" w:hAnsi="宋体" w:cs="宋体"/>
                <w:color w:val="auto"/>
                <w:sz w:val="21"/>
                <w:highlight w:val="none"/>
              </w:rPr>
              <w:t>注册证书号</w:t>
            </w:r>
          </w:p>
        </w:tc>
        <w:tc>
          <w:tcPr>
            <w:tcW w:w="2848" w:type="dxa"/>
            <w:gridSpan w:val="7"/>
            <w:shd w:val="clear" w:color="auto" w:fill="auto"/>
            <w:vAlign w:val="center"/>
          </w:tcPr>
          <w:p>
            <w:pPr>
              <w:pStyle w:val="41"/>
              <w:adjustRightInd w:val="0"/>
              <w:snapToGrid w:val="0"/>
              <w:jc w:val="center"/>
              <w:rPr>
                <w:rFonts w:hAnsi="宋体" w:cs="宋体"/>
                <w:color w:val="auto"/>
                <w:sz w:val="21"/>
                <w:highlight w:val="none"/>
              </w:rPr>
            </w:pPr>
          </w:p>
        </w:tc>
        <w:tc>
          <w:tcPr>
            <w:tcW w:w="1950" w:type="dxa"/>
            <w:gridSpan w:val="2"/>
            <w:shd w:val="clear" w:color="auto" w:fill="auto"/>
            <w:vAlign w:val="center"/>
          </w:tcPr>
          <w:p>
            <w:pPr>
              <w:pStyle w:val="41"/>
              <w:adjustRightInd w:val="0"/>
              <w:snapToGrid w:val="0"/>
              <w:jc w:val="center"/>
              <w:rPr>
                <w:rFonts w:hAnsi="宋体" w:cs="宋体"/>
                <w:color w:val="auto"/>
                <w:sz w:val="21"/>
                <w:highlight w:val="none"/>
              </w:rPr>
            </w:pPr>
            <w:r>
              <w:rPr>
                <w:rFonts w:hint="eastAsia" w:hAnsi="宋体" w:cs="宋体"/>
                <w:color w:val="auto"/>
                <w:sz w:val="21"/>
                <w:highlight w:val="none"/>
              </w:rPr>
              <w:t>注册专业</w:t>
            </w:r>
          </w:p>
        </w:tc>
        <w:tc>
          <w:tcPr>
            <w:tcW w:w="3051" w:type="dxa"/>
            <w:gridSpan w:val="6"/>
            <w:shd w:val="clear" w:color="auto" w:fill="auto"/>
            <w:vAlign w:val="center"/>
          </w:tcPr>
          <w:p>
            <w:pPr>
              <w:pStyle w:val="41"/>
              <w:adjustRightInd w:val="0"/>
              <w:snapToGrid w:val="0"/>
              <w:jc w:val="center"/>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9" w:type="dxa"/>
            <w:shd w:val="clear" w:color="auto" w:fill="auto"/>
            <w:vAlign w:val="center"/>
          </w:tcPr>
          <w:p>
            <w:pPr>
              <w:pStyle w:val="41"/>
              <w:adjustRightInd w:val="0"/>
              <w:snapToGrid w:val="0"/>
              <w:jc w:val="center"/>
              <w:rPr>
                <w:rFonts w:hAnsi="宋体" w:cs="宋体"/>
                <w:color w:val="auto"/>
                <w:sz w:val="21"/>
                <w:highlight w:val="none"/>
              </w:rPr>
            </w:pPr>
            <w:r>
              <w:rPr>
                <w:rFonts w:hint="eastAsia" w:hAnsi="宋体" w:cs="宋体"/>
                <w:color w:val="auto"/>
                <w:sz w:val="21"/>
                <w:highlight w:val="none"/>
              </w:rPr>
              <w:t>职称等级</w:t>
            </w:r>
          </w:p>
        </w:tc>
        <w:tc>
          <w:tcPr>
            <w:tcW w:w="2848" w:type="dxa"/>
            <w:gridSpan w:val="7"/>
            <w:shd w:val="clear" w:color="auto" w:fill="auto"/>
            <w:vAlign w:val="center"/>
          </w:tcPr>
          <w:p>
            <w:pPr>
              <w:pStyle w:val="41"/>
              <w:adjustRightInd w:val="0"/>
              <w:snapToGrid w:val="0"/>
              <w:jc w:val="center"/>
              <w:rPr>
                <w:rFonts w:hAnsi="宋体" w:cs="宋体"/>
                <w:color w:val="auto"/>
                <w:sz w:val="21"/>
                <w:highlight w:val="none"/>
              </w:rPr>
            </w:pPr>
          </w:p>
        </w:tc>
        <w:tc>
          <w:tcPr>
            <w:tcW w:w="1950" w:type="dxa"/>
            <w:gridSpan w:val="2"/>
            <w:shd w:val="clear" w:color="auto" w:fill="auto"/>
            <w:vAlign w:val="center"/>
          </w:tcPr>
          <w:p>
            <w:pPr>
              <w:pStyle w:val="41"/>
              <w:adjustRightInd w:val="0"/>
              <w:snapToGrid w:val="0"/>
              <w:jc w:val="center"/>
              <w:rPr>
                <w:rFonts w:hAnsi="宋体" w:cs="宋体"/>
                <w:color w:val="auto"/>
                <w:sz w:val="21"/>
                <w:highlight w:val="none"/>
              </w:rPr>
            </w:pPr>
            <w:r>
              <w:rPr>
                <w:rFonts w:hint="eastAsia" w:hAnsi="宋体" w:cs="宋体"/>
                <w:color w:val="auto"/>
                <w:sz w:val="21"/>
                <w:highlight w:val="none"/>
              </w:rPr>
              <w:t>在本项目拟任岗位</w:t>
            </w:r>
          </w:p>
        </w:tc>
        <w:tc>
          <w:tcPr>
            <w:tcW w:w="3051" w:type="dxa"/>
            <w:gridSpan w:val="6"/>
            <w:shd w:val="clear" w:color="auto" w:fill="auto"/>
            <w:vAlign w:val="center"/>
          </w:tcPr>
          <w:p>
            <w:pPr>
              <w:pStyle w:val="41"/>
              <w:adjustRightInd w:val="0"/>
              <w:snapToGrid w:val="0"/>
              <w:jc w:val="center"/>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8" w:type="dxa"/>
            <w:gridSpan w:val="16"/>
            <w:shd w:val="clear" w:color="auto" w:fill="auto"/>
            <w:vAlign w:val="center"/>
          </w:tcPr>
          <w:p>
            <w:pPr>
              <w:pStyle w:val="41"/>
              <w:adjustRightInd w:val="0"/>
              <w:snapToGrid w:val="0"/>
              <w:rPr>
                <w:rFonts w:hAnsi="宋体" w:cs="宋体"/>
                <w:color w:val="auto"/>
                <w:sz w:val="21"/>
                <w:szCs w:val="22"/>
                <w:highlight w:val="none"/>
              </w:rPr>
            </w:pPr>
            <w:r>
              <w:rPr>
                <w:rFonts w:hint="eastAsia" w:hAnsi="宋体" w:cs="宋体"/>
                <w:color w:val="auto"/>
                <w:sz w:val="21"/>
                <w:highlight w:val="none"/>
              </w:rPr>
              <w:t>深圳市住房和建设局施工图审查信息管理系统记录的业绩信息：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33" w:type="dxa"/>
            <w:gridSpan w:val="2"/>
            <w:vMerge w:val="restart"/>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工程名称</w:t>
            </w:r>
          </w:p>
        </w:tc>
        <w:tc>
          <w:tcPr>
            <w:tcW w:w="1079" w:type="dxa"/>
            <w:gridSpan w:val="2"/>
            <w:vMerge w:val="restart"/>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工程等级</w:t>
            </w:r>
          </w:p>
        </w:tc>
        <w:tc>
          <w:tcPr>
            <w:tcW w:w="953" w:type="dxa"/>
            <w:gridSpan w:val="3"/>
            <w:vMerge w:val="restart"/>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钻孔数（个）</w:t>
            </w:r>
          </w:p>
        </w:tc>
        <w:tc>
          <w:tcPr>
            <w:tcW w:w="1681" w:type="dxa"/>
            <w:gridSpan w:val="2"/>
            <w:vMerge w:val="restart"/>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建设单位</w:t>
            </w:r>
          </w:p>
        </w:tc>
        <w:tc>
          <w:tcPr>
            <w:tcW w:w="691" w:type="dxa"/>
            <w:vMerge w:val="restart"/>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highlight w:val="none"/>
              </w:rPr>
              <w:t>工作</w:t>
            </w:r>
            <w:r>
              <w:rPr>
                <w:rFonts w:hint="eastAsia" w:hAnsi="宋体" w:cs="宋体"/>
                <w:color w:val="auto"/>
                <w:sz w:val="21"/>
                <w:szCs w:val="24"/>
                <w:highlight w:val="none"/>
              </w:rPr>
              <w:t>职责</w:t>
            </w:r>
          </w:p>
        </w:tc>
        <w:tc>
          <w:tcPr>
            <w:tcW w:w="1348" w:type="dxa"/>
            <w:gridSpan w:val="2"/>
            <w:vMerge w:val="restart"/>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工程信息</w:t>
            </w:r>
          </w:p>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登记时间</w:t>
            </w:r>
          </w:p>
        </w:tc>
        <w:tc>
          <w:tcPr>
            <w:tcW w:w="1703" w:type="dxa"/>
            <w:gridSpan w:val="4"/>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问题记录（条）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33" w:type="dxa"/>
            <w:gridSpan w:val="2"/>
            <w:vMerge w:val="continue"/>
            <w:shd w:val="clear" w:color="auto" w:fill="auto"/>
            <w:vAlign w:val="center"/>
          </w:tcPr>
          <w:p>
            <w:pPr>
              <w:pStyle w:val="41"/>
              <w:adjustRightInd w:val="0"/>
              <w:snapToGrid w:val="0"/>
              <w:jc w:val="center"/>
              <w:rPr>
                <w:rFonts w:hAnsi="宋体" w:cs="宋体"/>
                <w:color w:val="auto"/>
                <w:sz w:val="21"/>
                <w:szCs w:val="22"/>
                <w:highlight w:val="none"/>
              </w:rPr>
            </w:pPr>
          </w:p>
        </w:tc>
        <w:tc>
          <w:tcPr>
            <w:tcW w:w="1079" w:type="dxa"/>
            <w:gridSpan w:val="2"/>
            <w:vMerge w:val="continue"/>
            <w:shd w:val="clear" w:color="auto" w:fill="auto"/>
            <w:vAlign w:val="center"/>
          </w:tcPr>
          <w:p>
            <w:pPr>
              <w:pStyle w:val="41"/>
              <w:adjustRightInd w:val="0"/>
              <w:snapToGrid w:val="0"/>
              <w:jc w:val="center"/>
              <w:rPr>
                <w:rFonts w:hAnsi="宋体" w:cs="宋体"/>
                <w:color w:val="auto"/>
                <w:sz w:val="21"/>
                <w:szCs w:val="22"/>
                <w:highlight w:val="none"/>
              </w:rPr>
            </w:pPr>
          </w:p>
        </w:tc>
        <w:tc>
          <w:tcPr>
            <w:tcW w:w="953" w:type="dxa"/>
            <w:gridSpan w:val="3"/>
            <w:vMerge w:val="continue"/>
            <w:shd w:val="clear" w:color="auto" w:fill="auto"/>
            <w:vAlign w:val="center"/>
          </w:tcPr>
          <w:p>
            <w:pPr>
              <w:pStyle w:val="41"/>
              <w:adjustRightInd w:val="0"/>
              <w:snapToGrid w:val="0"/>
              <w:jc w:val="center"/>
              <w:rPr>
                <w:rFonts w:hAnsi="宋体" w:cs="宋体"/>
                <w:color w:val="auto"/>
                <w:sz w:val="21"/>
                <w:szCs w:val="22"/>
                <w:highlight w:val="none"/>
              </w:rPr>
            </w:pPr>
          </w:p>
        </w:tc>
        <w:tc>
          <w:tcPr>
            <w:tcW w:w="1681" w:type="dxa"/>
            <w:gridSpan w:val="2"/>
            <w:vMerge w:val="continue"/>
            <w:shd w:val="clear" w:color="auto" w:fill="auto"/>
            <w:vAlign w:val="center"/>
          </w:tcPr>
          <w:p>
            <w:pPr>
              <w:pStyle w:val="41"/>
              <w:adjustRightInd w:val="0"/>
              <w:snapToGrid w:val="0"/>
              <w:jc w:val="center"/>
              <w:rPr>
                <w:rFonts w:hAnsi="宋体" w:cs="宋体"/>
                <w:color w:val="auto"/>
                <w:sz w:val="21"/>
                <w:highlight w:val="none"/>
              </w:rPr>
            </w:pPr>
          </w:p>
        </w:tc>
        <w:tc>
          <w:tcPr>
            <w:tcW w:w="691" w:type="dxa"/>
            <w:vMerge w:val="continue"/>
            <w:shd w:val="clear" w:color="auto" w:fill="auto"/>
            <w:vAlign w:val="center"/>
          </w:tcPr>
          <w:p>
            <w:pPr>
              <w:pStyle w:val="41"/>
              <w:adjustRightInd w:val="0"/>
              <w:snapToGrid w:val="0"/>
              <w:jc w:val="center"/>
              <w:rPr>
                <w:rFonts w:hAnsi="宋体" w:cs="宋体"/>
                <w:color w:val="auto"/>
                <w:sz w:val="21"/>
                <w:highlight w:val="none"/>
              </w:rPr>
            </w:pPr>
          </w:p>
        </w:tc>
        <w:tc>
          <w:tcPr>
            <w:tcW w:w="1348" w:type="dxa"/>
            <w:gridSpan w:val="2"/>
            <w:vMerge w:val="continue"/>
            <w:shd w:val="clear" w:color="auto" w:fill="auto"/>
            <w:vAlign w:val="center"/>
          </w:tcPr>
          <w:p>
            <w:pPr>
              <w:pStyle w:val="41"/>
              <w:adjustRightInd w:val="0"/>
              <w:snapToGrid w:val="0"/>
              <w:jc w:val="center"/>
              <w:rPr>
                <w:rFonts w:hAnsi="宋体" w:cs="宋体"/>
                <w:color w:val="auto"/>
                <w:sz w:val="21"/>
                <w:szCs w:val="22"/>
                <w:highlight w:val="none"/>
              </w:rPr>
            </w:pPr>
          </w:p>
        </w:tc>
        <w:tc>
          <w:tcPr>
            <w:tcW w:w="834" w:type="dxa"/>
            <w:gridSpan w:val="3"/>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强条</w:t>
            </w:r>
          </w:p>
        </w:tc>
        <w:tc>
          <w:tcPr>
            <w:tcW w:w="869" w:type="dxa"/>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33" w:type="dxa"/>
            <w:gridSpan w:val="2"/>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079" w:type="dxa"/>
            <w:gridSpan w:val="2"/>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953"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681" w:type="dxa"/>
            <w:gridSpan w:val="2"/>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691" w:type="dxa"/>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1348" w:type="dxa"/>
            <w:gridSpan w:val="2"/>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834"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869" w:type="dxa"/>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33" w:type="dxa"/>
            <w:gridSpan w:val="2"/>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079" w:type="dxa"/>
            <w:gridSpan w:val="2"/>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953"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681" w:type="dxa"/>
            <w:gridSpan w:val="2"/>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691" w:type="dxa"/>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1348" w:type="dxa"/>
            <w:gridSpan w:val="2"/>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834"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869" w:type="dxa"/>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33" w:type="dxa"/>
            <w:gridSpan w:val="2"/>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079" w:type="dxa"/>
            <w:gridSpan w:val="2"/>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953"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681" w:type="dxa"/>
            <w:gridSpan w:val="2"/>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691" w:type="dxa"/>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1348" w:type="dxa"/>
            <w:gridSpan w:val="2"/>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834"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869" w:type="dxa"/>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8" w:type="dxa"/>
            <w:gridSpan w:val="16"/>
            <w:shd w:val="clear" w:color="auto" w:fill="auto"/>
            <w:vAlign w:val="center"/>
          </w:tcPr>
          <w:p>
            <w:pPr>
              <w:pStyle w:val="41"/>
              <w:adjustRightInd w:val="0"/>
              <w:snapToGrid w:val="0"/>
              <w:rPr>
                <w:rFonts w:hAnsi="宋体" w:cs="宋体"/>
                <w:color w:val="auto"/>
                <w:sz w:val="21"/>
                <w:szCs w:val="22"/>
                <w:highlight w:val="none"/>
              </w:rPr>
            </w:pPr>
            <w:r>
              <w:rPr>
                <w:rFonts w:hint="eastAsia" w:hAnsi="宋体" w:cs="宋体"/>
                <w:color w:val="auto"/>
                <w:sz w:val="21"/>
                <w:highlight w:val="none"/>
              </w:rPr>
              <w:t>其他业绩信息（投标人填写）：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工程名称</w:t>
            </w:r>
          </w:p>
        </w:tc>
        <w:tc>
          <w:tcPr>
            <w:tcW w:w="1068" w:type="dxa"/>
            <w:gridSpan w:val="3"/>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工程等级</w:t>
            </w:r>
          </w:p>
        </w:tc>
        <w:tc>
          <w:tcPr>
            <w:tcW w:w="2992" w:type="dxa"/>
            <w:gridSpan w:val="5"/>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建设单位</w:t>
            </w:r>
          </w:p>
        </w:tc>
        <w:tc>
          <w:tcPr>
            <w:tcW w:w="1402" w:type="dxa"/>
            <w:gridSpan w:val="3"/>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担任岗位</w:t>
            </w:r>
          </w:p>
        </w:tc>
        <w:tc>
          <w:tcPr>
            <w:tcW w:w="1051" w:type="dxa"/>
            <w:gridSpan w:val="2"/>
            <w:shd w:val="clear" w:color="auto" w:fill="auto"/>
            <w:vAlign w:val="center"/>
          </w:tcPr>
          <w:p>
            <w:pPr>
              <w:pStyle w:val="41"/>
              <w:adjustRightInd w:val="0"/>
              <w:snapToGrid w:val="0"/>
              <w:jc w:val="center"/>
              <w:rPr>
                <w:rFonts w:hAnsi="宋体" w:cs="宋体"/>
                <w:color w:val="auto"/>
                <w:sz w:val="21"/>
                <w:szCs w:val="22"/>
                <w:highlight w:val="none"/>
              </w:rPr>
            </w:pPr>
            <w:r>
              <w:rPr>
                <w:rFonts w:hint="eastAsia" w:hAnsi="宋体" w:cs="宋体"/>
                <w:color w:val="auto"/>
                <w:sz w:val="21"/>
                <w:highlight w:val="none"/>
              </w:rPr>
              <w:t>工程完成时间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068"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2992" w:type="dxa"/>
            <w:gridSpan w:val="5"/>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402"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051" w:type="dxa"/>
            <w:gridSpan w:val="2"/>
            <w:shd w:val="clear" w:color="auto" w:fill="auto"/>
            <w:vAlign w:val="center"/>
          </w:tcPr>
          <w:p>
            <w:pPr>
              <w:pStyle w:val="41"/>
              <w:adjustRightInd w:val="0"/>
              <w:snapToGrid w:val="0"/>
              <w:spacing w:line="360" w:lineRule="auto"/>
              <w:jc w:val="center"/>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068"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2992" w:type="dxa"/>
            <w:gridSpan w:val="5"/>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402"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051" w:type="dxa"/>
            <w:gridSpan w:val="2"/>
            <w:shd w:val="clear" w:color="auto" w:fill="auto"/>
            <w:vAlign w:val="center"/>
          </w:tcPr>
          <w:p>
            <w:pPr>
              <w:pStyle w:val="41"/>
              <w:adjustRightInd w:val="0"/>
              <w:snapToGrid w:val="0"/>
              <w:spacing w:line="360" w:lineRule="auto"/>
              <w:jc w:val="center"/>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068"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2992" w:type="dxa"/>
            <w:gridSpan w:val="5"/>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402" w:type="dxa"/>
            <w:gridSpan w:val="3"/>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1051" w:type="dxa"/>
            <w:gridSpan w:val="2"/>
            <w:shd w:val="clear" w:color="auto" w:fill="auto"/>
            <w:vAlign w:val="center"/>
          </w:tcPr>
          <w:p>
            <w:pPr>
              <w:pStyle w:val="41"/>
              <w:adjustRightInd w:val="0"/>
              <w:snapToGrid w:val="0"/>
              <w:spacing w:line="360" w:lineRule="auto"/>
              <w:jc w:val="center"/>
              <w:rPr>
                <w:rFonts w:hAnsi="宋体" w:cs="宋体"/>
                <w:color w:val="auto"/>
                <w:sz w:val="21"/>
                <w:highlight w:val="none"/>
              </w:rPr>
            </w:pPr>
          </w:p>
        </w:tc>
      </w:tr>
    </w:tbl>
    <w:p>
      <w:pPr>
        <w:adjustRightInd w:val="0"/>
        <w:snapToGrid w:val="0"/>
        <w:spacing w:line="360" w:lineRule="auto"/>
        <w:ind w:firstLine="422" w:firstLineChars="200"/>
        <w:jc w:val="left"/>
        <w:rPr>
          <w:rFonts w:ascii="宋体" w:hAnsi="宋体" w:eastAsia="宋体" w:cs="宋体"/>
          <w:b/>
          <w:color w:val="auto"/>
          <w:kern w:val="0"/>
          <w:highlight w:val="none"/>
        </w:rPr>
      </w:pPr>
    </w:p>
    <w:p>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重要提示：</w:t>
      </w:r>
    </w:p>
    <w:p>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szCs w:val="21"/>
          <w:highlight w:val="none"/>
        </w:rPr>
        <w:t>1.“</w:t>
      </w:r>
      <w:r>
        <w:rPr>
          <w:rFonts w:hint="eastAsia" w:ascii="楷体_GB2312" w:hAnsi="楷体_GB2312" w:eastAsia="楷体_GB2312" w:cs="楷体_GB2312"/>
          <w:color w:val="auto"/>
          <w:kern w:val="0"/>
          <w:highlight w:val="none"/>
        </w:rPr>
        <w:t>其他业绩信息</w:t>
      </w:r>
      <w:r>
        <w:rPr>
          <w:rFonts w:hint="eastAsia" w:ascii="楷体_GB2312" w:hAnsi="楷体_GB2312" w:eastAsia="楷体_GB2312" w:cs="楷体_GB2312"/>
          <w:color w:val="auto"/>
          <w:kern w:val="0"/>
          <w:szCs w:val="21"/>
          <w:highlight w:val="none"/>
        </w:rPr>
        <w:t>”</w:t>
      </w:r>
      <w:r>
        <w:rPr>
          <w:rFonts w:hint="eastAsia" w:ascii="楷体_GB2312" w:hAnsi="楷体_GB2312" w:eastAsia="楷体_GB2312" w:cs="楷体_GB2312"/>
          <w:color w:val="auto"/>
          <w:kern w:val="0"/>
          <w:highlight w:val="none"/>
        </w:rPr>
        <w:t>由投标人填写除了市住建局施工图审查信息管理系统记录之外的其他业绩信息，其</w:t>
      </w:r>
      <w:r>
        <w:rPr>
          <w:rFonts w:hint="eastAsia" w:ascii="楷体_GB2312" w:hAnsi="楷体_GB2312" w:eastAsia="楷体_GB2312" w:cs="楷体_GB2312"/>
          <w:color w:val="auto"/>
          <w:kern w:val="0"/>
          <w:szCs w:val="21"/>
          <w:highlight w:val="none"/>
        </w:rPr>
        <w:t>中“担任岗位”为可选项，有项目负责人、工程技术负责人、项目负责人兼工程技术负责人、审核人、项目技术人员、编录人员、机长、记录员、注册安全工程师、安全主任、安全员、实验室主任、实验员、注册测绘工程师、测量员等15项可选择，视实际情况选择。</w:t>
      </w:r>
    </w:p>
    <w:p>
      <w:pPr>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2.“工程等级”为可选项，有甲级、乙级、丙级，视实际情况选择。</w:t>
      </w:r>
    </w:p>
    <w:p>
      <w:pPr>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3.“工程完成时间”：以工程交付给建设单位的时间为准。</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楷体_GB2312" w:hAnsi="楷体_GB2312" w:eastAsia="楷体_GB2312" w:cs="楷体_GB2312"/>
          <w:color w:val="auto"/>
          <w:kern w:val="0"/>
          <w:szCs w:val="21"/>
          <w:highlight w:val="none"/>
        </w:rPr>
        <w:t>4.从《深圳市住房和建设局施工图审查信息管理系统》中点选的业绩信息无需上传扫描件，由投标人填写的《其他业绩信息》须上传扫描件。</w:t>
      </w:r>
      <w:r>
        <w:rPr>
          <w:rFonts w:ascii="宋体" w:hAnsi="宋体"/>
          <w:color w:val="auto"/>
          <w:kern w:val="0"/>
          <w:szCs w:val="21"/>
          <w:highlight w:val="none"/>
        </w:rPr>
        <w:br w:type="page"/>
      </w:r>
    </w:p>
    <w:p>
      <w:pPr>
        <w:adjustRightInd w:val="0"/>
        <w:snapToGrid w:val="0"/>
        <w:spacing w:line="360" w:lineRule="auto"/>
        <w:jc w:val="left"/>
        <w:rPr>
          <w:rFonts w:ascii="宋体" w:hAnsi="宋体" w:eastAsia="宋体" w:cs="宋体"/>
          <w:color w:val="auto"/>
          <w:kern w:val="0"/>
          <w:sz w:val="24"/>
          <w:highlight w:val="none"/>
        </w:rPr>
      </w:pPr>
      <w:r>
        <w:rPr>
          <w:rFonts w:hint="eastAsia" w:ascii="宋体" w:hAnsi="宋体" w:eastAsia="宋体" w:cs="宋体"/>
          <w:b/>
          <w:color w:val="auto"/>
          <w:kern w:val="0"/>
          <w:sz w:val="24"/>
          <w:highlight w:val="none"/>
        </w:rPr>
        <w:t>附件3</w:t>
      </w:r>
    </w:p>
    <w:p>
      <w:pPr>
        <w:adjustRightInd w:val="0"/>
        <w:snapToGrid w:val="0"/>
        <w:spacing w:line="360" w:lineRule="auto"/>
        <w:jc w:val="center"/>
        <w:rPr>
          <w:rFonts w:ascii="宋体" w:hAnsi="宋体" w:eastAsia="宋体" w:cs="宋体"/>
          <w:b/>
          <w:bCs/>
          <w:color w:val="auto"/>
          <w:kern w:val="0"/>
          <w:sz w:val="32"/>
          <w:szCs w:val="32"/>
          <w:highlight w:val="none"/>
        </w:rPr>
      </w:pPr>
      <w:bookmarkStart w:id="190" w:name="_Toc5112"/>
      <w:r>
        <w:rPr>
          <w:rFonts w:hint="eastAsia" w:ascii="宋体" w:hAnsi="宋体" w:eastAsia="宋体" w:cs="宋体"/>
          <w:b/>
          <w:bCs/>
          <w:color w:val="auto"/>
          <w:kern w:val="0"/>
          <w:sz w:val="32"/>
          <w:szCs w:val="32"/>
          <w:highlight w:val="none"/>
        </w:rPr>
        <w:t>主要机械设备表</w:t>
      </w:r>
      <w:bookmarkEnd w:id="190"/>
    </w:p>
    <w:p>
      <w:pPr>
        <w:adjustRightInd w:val="0"/>
        <w:snapToGrid w:val="0"/>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（从企业备案设备数据库中导出数据）</w:t>
      </w:r>
    </w:p>
    <w:p>
      <w:pPr>
        <w:adjustRightInd w:val="0"/>
        <w:snapToGrid w:val="0"/>
        <w:spacing w:line="360" w:lineRule="auto"/>
        <w:jc w:val="center"/>
        <w:rPr>
          <w:rFonts w:ascii="宋体" w:hAnsi="宋体" w:eastAsia="宋体" w:cs="宋体"/>
          <w:color w:val="auto"/>
          <w:kern w:val="0"/>
          <w:sz w:val="24"/>
          <w:highlight w:val="none"/>
        </w:rPr>
      </w:pPr>
    </w:p>
    <w:tbl>
      <w:tblPr>
        <w:tblStyle w:val="80"/>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2120"/>
        <w:gridCol w:w="1350"/>
        <w:gridCol w:w="2248"/>
        <w:gridCol w:w="1012"/>
        <w:gridCol w:w="1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序号</w:t>
            </w:r>
          </w:p>
        </w:tc>
        <w:tc>
          <w:tcPr>
            <w:tcW w:w="2120" w:type="dxa"/>
            <w:shd w:val="clear" w:color="auto" w:fill="auto"/>
            <w:vAlign w:val="center"/>
          </w:tcPr>
          <w:p>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设备名称</w:t>
            </w:r>
          </w:p>
        </w:tc>
        <w:tc>
          <w:tcPr>
            <w:tcW w:w="1350" w:type="dxa"/>
            <w:shd w:val="clear" w:color="auto" w:fill="auto"/>
            <w:vAlign w:val="center"/>
          </w:tcPr>
          <w:p>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规格型号</w:t>
            </w:r>
          </w:p>
        </w:tc>
        <w:tc>
          <w:tcPr>
            <w:tcW w:w="2248" w:type="dxa"/>
            <w:shd w:val="clear" w:color="auto" w:fill="auto"/>
            <w:vAlign w:val="center"/>
          </w:tcPr>
          <w:p>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设备原值（万元）</w:t>
            </w:r>
          </w:p>
        </w:tc>
        <w:tc>
          <w:tcPr>
            <w:tcW w:w="1012" w:type="dxa"/>
            <w:shd w:val="clear" w:color="auto" w:fill="auto"/>
            <w:vAlign w:val="center"/>
          </w:tcPr>
          <w:p>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数 量</w:t>
            </w:r>
          </w:p>
        </w:tc>
        <w:tc>
          <w:tcPr>
            <w:tcW w:w="1826" w:type="dxa"/>
            <w:shd w:val="clear" w:color="auto" w:fill="auto"/>
            <w:vAlign w:val="center"/>
          </w:tcPr>
          <w:p>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购买时间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bl>
    <w:p>
      <w:pPr>
        <w:adjustRightInd w:val="0"/>
        <w:snapToGrid w:val="0"/>
        <w:spacing w:line="20" w:lineRule="exact"/>
        <w:rPr>
          <w:rFonts w:ascii="宋体" w:hAnsi="宋体" w:eastAsia="宋体" w:cs="宋体"/>
          <w:color w:val="auto"/>
          <w:highlight w:val="none"/>
        </w:rPr>
      </w:pPr>
      <w:r>
        <w:rPr>
          <w:rFonts w:hint="eastAsia" w:ascii="宋体" w:hAnsi="宋体" w:eastAsia="宋体" w:cs="宋体"/>
          <w:color w:val="auto"/>
          <w:kern w:val="0"/>
          <w:highlight w:val="none"/>
        </w:rPr>
        <w:br w:type="page"/>
      </w:r>
    </w:p>
    <w:p>
      <w:pPr>
        <w:pStyle w:val="41"/>
        <w:adjustRightInd w:val="0"/>
        <w:snapToGrid w:val="0"/>
        <w:spacing w:line="360" w:lineRule="auto"/>
        <w:jc w:val="center"/>
        <w:rPr>
          <w:rFonts w:hAnsi="宋体" w:cs="宋体"/>
          <w:b/>
          <w:bCs/>
          <w:color w:val="auto"/>
          <w:sz w:val="32"/>
          <w:szCs w:val="32"/>
          <w:highlight w:val="none"/>
        </w:rPr>
      </w:pPr>
      <w:bookmarkStart w:id="191" w:name="_Toc1861"/>
      <w:r>
        <w:rPr>
          <w:rFonts w:hint="eastAsia" w:hAnsi="宋体" w:cs="宋体"/>
          <w:b/>
          <w:bCs/>
          <w:color w:val="auto"/>
          <w:sz w:val="32"/>
          <w:szCs w:val="32"/>
          <w:highlight w:val="none"/>
        </w:rPr>
        <w:t>其    他</w:t>
      </w:r>
      <w:bookmarkEnd w:id="191"/>
    </w:p>
    <w:p>
      <w:pPr>
        <w:adjustRightInd w:val="0"/>
        <w:snapToGrid w:val="0"/>
        <w:spacing w:line="360" w:lineRule="auto"/>
        <w:jc w:val="left"/>
        <w:rPr>
          <w:rFonts w:ascii="宋体" w:hAnsi="宋体" w:eastAsia="宋体" w:cs="宋体"/>
          <w:b/>
          <w:color w:val="auto"/>
          <w:kern w:val="0"/>
          <w:szCs w:val="44"/>
          <w:highlight w:val="none"/>
        </w:rPr>
      </w:pPr>
      <w:r>
        <w:rPr>
          <w:rFonts w:hint="eastAsia" w:ascii="宋体" w:hAnsi="宋体" w:eastAsia="宋体" w:cs="宋体"/>
          <w:bCs/>
          <w:color w:val="auto"/>
          <w:kern w:val="0"/>
          <w:highlight w:val="none"/>
        </w:rPr>
        <w:t>其他1</w:t>
      </w:r>
      <w:r>
        <w:rPr>
          <w:rFonts w:hint="eastAsia" w:ascii="宋体" w:hAnsi="宋体" w:eastAsia="宋体" w:cs="宋体"/>
          <w:color w:val="auto"/>
          <w:highlight w:val="none"/>
        </w:rPr>
        <w:br w:type="page"/>
      </w:r>
    </w:p>
    <w:p>
      <w:pPr>
        <w:adjustRightInd w:val="0"/>
        <w:snapToGrid w:val="0"/>
        <w:spacing w:line="360" w:lineRule="auto"/>
        <w:jc w:val="center"/>
        <w:rPr>
          <w:rFonts w:hAnsi="宋体"/>
          <w:b/>
          <w:color w:val="auto"/>
          <w:kern w:val="0"/>
          <w:sz w:val="44"/>
          <w:szCs w:val="44"/>
          <w:highlight w:val="none"/>
        </w:rPr>
      </w:pPr>
    </w:p>
    <w:p>
      <w:pPr>
        <w:adjustRightInd w:val="0"/>
        <w:snapToGrid w:val="0"/>
        <w:spacing w:line="360" w:lineRule="auto"/>
        <w:jc w:val="center"/>
        <w:rPr>
          <w:rFonts w:hAnsi="宋体"/>
          <w:b/>
          <w:color w:val="auto"/>
          <w:kern w:val="0"/>
          <w:sz w:val="44"/>
          <w:szCs w:val="44"/>
          <w:highlight w:val="none"/>
        </w:rPr>
      </w:pPr>
    </w:p>
    <w:p>
      <w:pPr>
        <w:adjustRightInd w:val="0"/>
        <w:snapToGrid w:val="0"/>
        <w:spacing w:line="360" w:lineRule="auto"/>
        <w:jc w:val="center"/>
        <w:rPr>
          <w:rFonts w:ascii="黑体" w:eastAsia="黑体"/>
          <w:bCs/>
          <w:color w:val="auto"/>
          <w:kern w:val="0"/>
          <w:sz w:val="52"/>
          <w:szCs w:val="52"/>
          <w:highlight w:val="none"/>
        </w:rPr>
      </w:pPr>
      <w:bookmarkStart w:id="192" w:name="_Toc23195"/>
      <w:r>
        <w:rPr>
          <w:rFonts w:hint="eastAsia" w:ascii="黑体" w:eastAsia="黑体"/>
          <w:bCs/>
          <w:color w:val="auto"/>
          <w:kern w:val="0"/>
          <w:sz w:val="52"/>
          <w:szCs w:val="52"/>
          <w:highlight w:val="none"/>
        </w:rPr>
        <w:t>深圳市建设工程勘察类招标</w:t>
      </w:r>
      <w:bookmarkEnd w:id="192"/>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bookmarkStart w:id="193" w:name="_Toc5972"/>
      <w:r>
        <w:rPr>
          <w:rFonts w:hint="eastAsia" w:ascii="黑体" w:eastAsia="黑体"/>
          <w:bCs/>
          <w:color w:val="auto"/>
          <w:kern w:val="0"/>
          <w:sz w:val="52"/>
          <w:szCs w:val="52"/>
          <w:highlight w:val="none"/>
        </w:rPr>
        <w:t>投 标 文 件</w:t>
      </w:r>
      <w:bookmarkEnd w:id="193"/>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_______</w:t>
      </w:r>
      <w:r>
        <w:rPr>
          <w:rFonts w:hint="eastAsia" w:ascii="黑体" w:eastAsia="黑体"/>
          <w:color w:val="auto"/>
          <w:kern w:val="0"/>
          <w:sz w:val="30"/>
          <w:szCs w:val="30"/>
          <w:highlight w:val="none"/>
          <w:u w:val="single"/>
        </w:rPr>
        <w:t>资信标部分</w:t>
      </w:r>
      <w:r>
        <w:rPr>
          <w:rFonts w:ascii="宋体"/>
          <w:color w:val="auto"/>
          <w:kern w:val="0"/>
          <w:sz w:val="30"/>
          <w:szCs w:val="30"/>
          <w:highlight w:val="none"/>
        </w:rPr>
        <w:t>_________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pPr>
        <w:adjustRightInd w:val="0"/>
        <w:snapToGrid w:val="0"/>
        <w:spacing w:line="360" w:lineRule="auto"/>
        <w:ind w:firstLine="1500" w:firstLineChars="500"/>
        <w:jc w:val="left"/>
        <w:rPr>
          <w:rFonts w:ascii="黑体" w:eastAsia="黑体"/>
          <w:color w:val="auto"/>
          <w:kern w:val="0"/>
          <w:sz w:val="30"/>
          <w:szCs w:val="30"/>
          <w:highlight w:val="none"/>
        </w:rPr>
      </w:pPr>
    </w:p>
    <w:p>
      <w:pPr>
        <w:adjustRightInd w:val="0"/>
        <w:snapToGrid w:val="0"/>
        <w:spacing w:line="360" w:lineRule="auto"/>
        <w:ind w:firstLine="1500" w:firstLineChars="500"/>
        <w:jc w:val="left"/>
        <w:rPr>
          <w:rFonts w:ascii="黑体" w:eastAsia="黑体"/>
          <w:color w:val="auto"/>
          <w:kern w:val="0"/>
          <w:sz w:val="30"/>
          <w:szCs w:val="30"/>
          <w:highlight w:val="none"/>
        </w:rPr>
      </w:pP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pPr>
        <w:adjustRightInd w:val="0"/>
        <w:snapToGrid w:val="0"/>
        <w:spacing w:line="360" w:lineRule="auto"/>
        <w:ind w:firstLine="420" w:firstLineChars="200"/>
        <w:jc w:val="left"/>
        <w:rPr>
          <w:rFonts w:ascii="宋体" w:hAnsi="宋体"/>
          <w:color w:val="auto"/>
          <w:kern w:val="0"/>
          <w:highlight w:val="none"/>
        </w:rPr>
      </w:pPr>
      <w:r>
        <w:rPr>
          <w:rFonts w:hint="eastAsia" w:ascii="宋体" w:hAnsi="宋体" w:eastAsia="宋体" w:cs="宋体"/>
          <w:color w:val="auto"/>
          <w:kern w:val="0"/>
          <w:highlight w:val="none"/>
        </w:rPr>
        <w:t>对所提供资料的真实性、准确性、有效性负全部责任。</w:t>
      </w:r>
      <w:r>
        <w:rPr>
          <w:rFonts w:ascii="宋体" w:hAnsi="宋体"/>
          <w:color w:val="auto"/>
          <w:kern w:val="0"/>
          <w:highlight w:val="none"/>
        </w:rPr>
        <w:br w:type="page"/>
      </w:r>
    </w:p>
    <w:p>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投标人近五年签订同类工程合同的项目情况</w:t>
      </w:r>
    </w:p>
    <w:p>
      <w:pPr>
        <w:adjustRightInd w:val="0"/>
        <w:snapToGrid w:val="0"/>
        <w:spacing w:line="360" w:lineRule="auto"/>
        <w:jc w:val="left"/>
        <w:rPr>
          <w:rFonts w:ascii="宋体" w:hAnsi="宋体" w:eastAsia="宋体" w:cs="宋体"/>
          <w:color w:val="auto"/>
          <w:kern w:val="0"/>
          <w:sz w:val="24"/>
          <w:highlight w:val="none"/>
        </w:rPr>
      </w:pPr>
    </w:p>
    <w:tbl>
      <w:tblPr>
        <w:tblStyle w:val="80"/>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503"/>
        <w:gridCol w:w="1512"/>
        <w:gridCol w:w="2608"/>
        <w:gridCol w:w="1440"/>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序号</w:t>
            </w:r>
          </w:p>
        </w:tc>
        <w:tc>
          <w:tcPr>
            <w:tcW w:w="1503" w:type="dxa"/>
            <w:shd w:val="clear" w:color="auto" w:fill="auto"/>
            <w:vAlign w:val="center"/>
          </w:tcPr>
          <w:p>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工程名称</w:t>
            </w:r>
          </w:p>
        </w:tc>
        <w:tc>
          <w:tcPr>
            <w:tcW w:w="1512" w:type="dxa"/>
            <w:shd w:val="clear" w:color="auto" w:fill="auto"/>
            <w:vAlign w:val="center"/>
          </w:tcPr>
          <w:p>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合同价款</w:t>
            </w:r>
          </w:p>
        </w:tc>
        <w:tc>
          <w:tcPr>
            <w:tcW w:w="2608" w:type="dxa"/>
            <w:shd w:val="clear" w:color="auto" w:fill="auto"/>
            <w:vAlign w:val="center"/>
          </w:tcPr>
          <w:p>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建设单位</w:t>
            </w:r>
          </w:p>
        </w:tc>
        <w:tc>
          <w:tcPr>
            <w:tcW w:w="1440" w:type="dxa"/>
            <w:shd w:val="clear" w:color="auto" w:fill="auto"/>
            <w:vAlign w:val="center"/>
          </w:tcPr>
          <w:p>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开始时间</w:t>
            </w:r>
          </w:p>
        </w:tc>
        <w:tc>
          <w:tcPr>
            <w:tcW w:w="1551" w:type="dxa"/>
            <w:shd w:val="clear" w:color="auto" w:fill="auto"/>
            <w:vAlign w:val="center"/>
          </w:tcPr>
          <w:p>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bl>
    <w:p>
      <w:pPr>
        <w:adjustRightInd w:val="0"/>
        <w:snapToGrid w:val="0"/>
        <w:spacing w:line="360" w:lineRule="auto"/>
        <w:jc w:val="left"/>
        <w:rPr>
          <w:color w:val="auto"/>
          <w:highlight w:val="none"/>
        </w:rPr>
      </w:pPr>
      <w:r>
        <w:rPr>
          <w:rFonts w:hint="eastAsia" w:ascii="楷体_GB2312" w:hAnsi="楷体_GB2312" w:eastAsia="楷体_GB2312" w:cs="楷体_GB2312"/>
          <w:color w:val="auto"/>
          <w:kern w:val="0"/>
          <w:szCs w:val="21"/>
          <w:highlight w:val="none"/>
        </w:rPr>
        <w:t>注：</w:t>
      </w:r>
      <w:r>
        <w:rPr>
          <w:rFonts w:hint="eastAsia" w:ascii="楷体_GB2312" w:hAnsi="楷体_GB2312" w:eastAsia="楷体_GB2312" w:cs="楷体_GB2312"/>
          <w:color w:val="auto"/>
          <w:kern w:val="0"/>
          <w:szCs w:val="21"/>
          <w:highlight w:val="none"/>
          <w:lang w:val="zh-CN"/>
        </w:rPr>
        <w:t>投标人应将近五年签订同类工程合同的项目情况填入本表，附相应合同扫描件</w:t>
      </w:r>
      <w:r>
        <w:rPr>
          <w:rFonts w:hint="eastAsia" w:ascii="楷体_GB2312" w:hAnsi="楷体_GB2312" w:eastAsia="楷体_GB2312" w:cs="楷体_GB2312"/>
          <w:color w:val="auto"/>
          <w:kern w:val="0"/>
          <w:szCs w:val="21"/>
          <w:highlight w:val="none"/>
        </w:rPr>
        <w:t>。</w:t>
      </w:r>
      <w:r>
        <w:rPr>
          <w:color w:val="auto"/>
          <w:highlight w:val="none"/>
        </w:rPr>
        <w:br w:type="page"/>
      </w:r>
    </w:p>
    <w:p>
      <w:pPr>
        <w:adjustRightInd w:val="0"/>
        <w:snapToGrid w:val="0"/>
        <w:spacing w:line="360" w:lineRule="auto"/>
        <w:jc w:val="center"/>
        <w:rPr>
          <w:rFonts w:ascii="宋体" w:hAnsi="宋体" w:eastAsia="宋体" w:cs="宋体"/>
          <w:b/>
          <w:color w:val="auto"/>
          <w:kern w:val="0"/>
          <w:sz w:val="32"/>
          <w:szCs w:val="32"/>
          <w:highlight w:val="none"/>
        </w:rPr>
      </w:pPr>
      <w:bookmarkStart w:id="194" w:name="_Toc16814"/>
      <w:r>
        <w:rPr>
          <w:rFonts w:hint="eastAsia" w:ascii="宋体" w:hAnsi="宋体" w:eastAsia="宋体" w:cs="宋体"/>
          <w:b/>
          <w:color w:val="auto"/>
          <w:kern w:val="0"/>
          <w:sz w:val="32"/>
          <w:szCs w:val="32"/>
          <w:highlight w:val="none"/>
        </w:rPr>
        <w:t>近五年获奖情况</w:t>
      </w:r>
      <w:bookmarkEnd w:id="194"/>
    </w:p>
    <w:p>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color w:val="auto"/>
          <w:kern w:val="0"/>
          <w:sz w:val="24"/>
          <w:highlight w:val="none"/>
        </w:rPr>
        <w:t>（从备案数据库中导出数据）</w:t>
      </w:r>
    </w:p>
    <w:p>
      <w:pPr>
        <w:adjustRightInd w:val="0"/>
        <w:snapToGrid w:val="0"/>
        <w:spacing w:line="360" w:lineRule="auto"/>
        <w:jc w:val="left"/>
        <w:rPr>
          <w:rFonts w:ascii="宋体" w:hAnsi="宋体" w:eastAsia="宋体" w:cs="宋体"/>
          <w:color w:val="auto"/>
          <w:kern w:val="0"/>
          <w:sz w:val="24"/>
          <w:highlight w:val="none"/>
        </w:rPr>
      </w:pPr>
    </w:p>
    <w:tbl>
      <w:tblPr>
        <w:tblStyle w:val="80"/>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54"/>
        <w:gridCol w:w="1529"/>
        <w:gridCol w:w="1362"/>
        <w:gridCol w:w="3184"/>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序号</w:t>
            </w:r>
          </w:p>
        </w:tc>
        <w:tc>
          <w:tcPr>
            <w:tcW w:w="1154" w:type="dxa"/>
            <w:shd w:val="clear" w:color="auto" w:fill="auto"/>
            <w:vAlign w:val="center"/>
          </w:tcPr>
          <w:p>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奖项</w:t>
            </w:r>
          </w:p>
        </w:tc>
        <w:tc>
          <w:tcPr>
            <w:tcW w:w="1529" w:type="dxa"/>
            <w:shd w:val="clear" w:color="auto" w:fill="auto"/>
            <w:vAlign w:val="center"/>
          </w:tcPr>
          <w:p>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获奖时间</w:t>
            </w:r>
          </w:p>
        </w:tc>
        <w:tc>
          <w:tcPr>
            <w:tcW w:w="1362" w:type="dxa"/>
            <w:shd w:val="clear" w:color="auto" w:fill="auto"/>
            <w:vAlign w:val="center"/>
          </w:tcPr>
          <w:p>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获奖等级</w:t>
            </w:r>
          </w:p>
        </w:tc>
        <w:tc>
          <w:tcPr>
            <w:tcW w:w="3184" w:type="dxa"/>
            <w:shd w:val="clear" w:color="auto" w:fill="auto"/>
            <w:vAlign w:val="center"/>
          </w:tcPr>
          <w:p>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相关工程</w:t>
            </w:r>
          </w:p>
        </w:tc>
        <w:tc>
          <w:tcPr>
            <w:tcW w:w="1384" w:type="dxa"/>
            <w:shd w:val="clear" w:color="auto" w:fill="auto"/>
            <w:vAlign w:val="center"/>
          </w:tcPr>
          <w:p>
            <w:pPr>
              <w:adjustRightInd w:val="0"/>
              <w:snapToGrid w:val="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评奖机关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eastAsia="宋体" w:cs="宋体"/>
                <w:color w:val="auto"/>
                <w:kern w:val="0"/>
                <w:sz w:val="22"/>
                <w:highlight w:val="none"/>
              </w:rPr>
            </w:pPr>
          </w:p>
        </w:tc>
      </w:tr>
    </w:tbl>
    <w:p>
      <w:pPr>
        <w:adjustRightInd w:val="0"/>
        <w:snapToGrid w:val="0"/>
        <w:spacing w:line="360" w:lineRule="auto"/>
        <w:jc w:val="left"/>
        <w:rPr>
          <w:color w:val="auto"/>
          <w:highlight w:val="none"/>
        </w:rPr>
      </w:pPr>
      <w:r>
        <w:rPr>
          <w:rFonts w:hint="eastAsia" w:ascii="楷体_GB2312" w:hAnsi="楷体_GB2312" w:eastAsia="楷体_GB2312" w:cs="楷体_GB2312"/>
          <w:color w:val="auto"/>
          <w:kern w:val="0"/>
          <w:szCs w:val="21"/>
          <w:highlight w:val="none"/>
        </w:rPr>
        <w:t>注：需提供获奖证书或其他证明材料复印件。</w:t>
      </w:r>
      <w:r>
        <w:rPr>
          <w:color w:val="auto"/>
          <w:highlight w:val="none"/>
        </w:rPr>
        <w:br w:type="page"/>
      </w:r>
    </w:p>
    <w:p>
      <w:pPr>
        <w:adjustRightInd w:val="0"/>
        <w:snapToGrid w:val="0"/>
        <w:spacing w:line="360" w:lineRule="auto"/>
        <w:jc w:val="center"/>
        <w:rPr>
          <w:rFonts w:hAnsi="宋体"/>
          <w:b/>
          <w:color w:val="auto"/>
          <w:kern w:val="0"/>
          <w:sz w:val="44"/>
          <w:szCs w:val="44"/>
          <w:highlight w:val="none"/>
        </w:rPr>
      </w:pPr>
    </w:p>
    <w:p>
      <w:pPr>
        <w:adjustRightInd w:val="0"/>
        <w:snapToGrid w:val="0"/>
        <w:spacing w:line="360" w:lineRule="auto"/>
        <w:jc w:val="center"/>
        <w:rPr>
          <w:rFonts w:hAnsi="宋体"/>
          <w:b/>
          <w:color w:val="auto"/>
          <w:kern w:val="0"/>
          <w:sz w:val="44"/>
          <w:szCs w:val="44"/>
          <w:highlight w:val="none"/>
        </w:rPr>
      </w:pPr>
    </w:p>
    <w:p>
      <w:pPr>
        <w:adjustRightInd w:val="0"/>
        <w:snapToGrid w:val="0"/>
        <w:spacing w:line="360" w:lineRule="auto"/>
        <w:jc w:val="center"/>
        <w:rPr>
          <w:rFonts w:ascii="黑体" w:eastAsia="黑体"/>
          <w:bCs/>
          <w:color w:val="auto"/>
          <w:kern w:val="0"/>
          <w:sz w:val="52"/>
          <w:szCs w:val="52"/>
          <w:highlight w:val="none"/>
        </w:rPr>
      </w:pPr>
      <w:bookmarkStart w:id="195" w:name="_Toc21252"/>
      <w:r>
        <w:rPr>
          <w:rFonts w:hint="eastAsia" w:ascii="黑体" w:eastAsia="黑体"/>
          <w:bCs/>
          <w:color w:val="auto"/>
          <w:kern w:val="0"/>
          <w:sz w:val="52"/>
          <w:szCs w:val="52"/>
          <w:highlight w:val="none"/>
        </w:rPr>
        <w:t>深圳市建设工程勘察类招标</w:t>
      </w:r>
      <w:bookmarkEnd w:id="195"/>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bookmarkStart w:id="196" w:name="_Toc6148"/>
      <w:bookmarkStart w:id="197" w:name="_Toc25155_WPSOffice_Level2"/>
      <w:r>
        <w:rPr>
          <w:rFonts w:hint="eastAsia" w:ascii="黑体" w:eastAsia="黑体"/>
          <w:bCs/>
          <w:color w:val="auto"/>
          <w:kern w:val="0"/>
          <w:sz w:val="52"/>
          <w:szCs w:val="52"/>
          <w:highlight w:val="none"/>
        </w:rPr>
        <w:t>投 标 文 件</w:t>
      </w:r>
      <w:bookmarkEnd w:id="196"/>
      <w:bookmarkEnd w:id="197"/>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_______</w:t>
      </w:r>
      <w:r>
        <w:rPr>
          <w:rFonts w:hint="eastAsia" w:ascii="黑体" w:eastAsia="黑体"/>
          <w:color w:val="auto"/>
          <w:kern w:val="0"/>
          <w:sz w:val="30"/>
          <w:szCs w:val="30"/>
          <w:highlight w:val="none"/>
          <w:u w:val="single"/>
        </w:rPr>
        <w:t>技术标部分</w:t>
      </w:r>
      <w:r>
        <w:rPr>
          <w:rFonts w:ascii="宋体"/>
          <w:color w:val="auto"/>
          <w:kern w:val="0"/>
          <w:sz w:val="30"/>
          <w:szCs w:val="30"/>
          <w:highlight w:val="none"/>
        </w:rPr>
        <w:t>_________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pPr>
        <w:adjustRightInd w:val="0"/>
        <w:snapToGrid w:val="0"/>
        <w:spacing w:line="360" w:lineRule="auto"/>
        <w:ind w:firstLine="1500" w:firstLineChars="500"/>
        <w:jc w:val="left"/>
        <w:rPr>
          <w:rFonts w:ascii="黑体" w:eastAsia="黑体"/>
          <w:color w:val="auto"/>
          <w:kern w:val="0"/>
          <w:sz w:val="30"/>
          <w:szCs w:val="30"/>
          <w:highlight w:val="none"/>
        </w:rPr>
      </w:pPr>
    </w:p>
    <w:p>
      <w:pPr>
        <w:adjustRightInd w:val="0"/>
        <w:snapToGrid w:val="0"/>
        <w:spacing w:line="360" w:lineRule="auto"/>
        <w:ind w:firstLine="1500" w:firstLineChars="500"/>
        <w:jc w:val="left"/>
        <w:rPr>
          <w:rFonts w:ascii="黑体" w:eastAsia="黑体"/>
          <w:color w:val="auto"/>
          <w:kern w:val="0"/>
          <w:sz w:val="30"/>
          <w:szCs w:val="30"/>
          <w:highlight w:val="none"/>
        </w:rPr>
      </w:pP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pPr>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对所提供资料的真实性、准确性、有效性负全部责任。</w:t>
      </w:r>
      <w:r>
        <w:rPr>
          <w:color w:val="auto"/>
          <w:highlight w:val="none"/>
        </w:rPr>
        <w:br w:type="page"/>
      </w:r>
    </w:p>
    <w:p>
      <w:pPr>
        <w:adjustRightInd w:val="0"/>
        <w:snapToGrid w:val="0"/>
        <w:spacing w:line="360" w:lineRule="auto"/>
        <w:jc w:val="center"/>
        <w:rPr>
          <w:rFonts w:hAnsi="宋体"/>
          <w:b/>
          <w:color w:val="auto"/>
          <w:kern w:val="0"/>
          <w:sz w:val="44"/>
          <w:szCs w:val="44"/>
          <w:highlight w:val="none"/>
        </w:rPr>
      </w:pPr>
    </w:p>
    <w:p>
      <w:pPr>
        <w:adjustRightInd w:val="0"/>
        <w:snapToGrid w:val="0"/>
        <w:spacing w:line="360" w:lineRule="auto"/>
        <w:jc w:val="center"/>
        <w:rPr>
          <w:rFonts w:hAnsi="宋体"/>
          <w:b/>
          <w:color w:val="auto"/>
          <w:kern w:val="0"/>
          <w:sz w:val="44"/>
          <w:szCs w:val="44"/>
          <w:highlight w:val="none"/>
        </w:rPr>
      </w:pPr>
    </w:p>
    <w:p>
      <w:pPr>
        <w:adjustRightInd w:val="0"/>
        <w:snapToGrid w:val="0"/>
        <w:spacing w:line="360" w:lineRule="auto"/>
        <w:jc w:val="center"/>
        <w:rPr>
          <w:rFonts w:ascii="黑体" w:eastAsia="黑体"/>
          <w:bCs/>
          <w:color w:val="auto"/>
          <w:kern w:val="0"/>
          <w:sz w:val="52"/>
          <w:szCs w:val="52"/>
          <w:highlight w:val="none"/>
        </w:rPr>
      </w:pPr>
      <w:bookmarkStart w:id="198" w:name="_Toc24883_WPSOffice_Level2"/>
      <w:bookmarkStart w:id="199" w:name="_Toc8046"/>
      <w:r>
        <w:rPr>
          <w:rFonts w:hint="eastAsia" w:ascii="黑体" w:eastAsia="黑体"/>
          <w:bCs/>
          <w:color w:val="auto"/>
          <w:kern w:val="0"/>
          <w:sz w:val="52"/>
          <w:szCs w:val="52"/>
          <w:highlight w:val="none"/>
        </w:rPr>
        <w:t>深圳市建设工程勘察类招标</w:t>
      </w:r>
      <w:bookmarkEnd w:id="198"/>
      <w:bookmarkEnd w:id="199"/>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bookmarkStart w:id="200" w:name="_Toc19918_WPSOffice_Level2"/>
      <w:bookmarkStart w:id="201" w:name="_Toc415"/>
      <w:r>
        <w:rPr>
          <w:rFonts w:hint="eastAsia" w:ascii="黑体" w:eastAsia="黑体"/>
          <w:bCs/>
          <w:color w:val="auto"/>
          <w:kern w:val="0"/>
          <w:sz w:val="52"/>
          <w:szCs w:val="52"/>
          <w:highlight w:val="none"/>
        </w:rPr>
        <w:t>投 标 文 件</w:t>
      </w:r>
      <w:bookmarkEnd w:id="200"/>
      <w:bookmarkEnd w:id="201"/>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jc w:val="center"/>
        <w:rPr>
          <w:rFonts w:ascii="黑体" w:eastAsia="黑体"/>
          <w:bCs/>
          <w:color w:val="auto"/>
          <w:kern w:val="0"/>
          <w:sz w:val="52"/>
          <w:szCs w:val="52"/>
          <w:highlight w:val="none"/>
        </w:rPr>
      </w:pP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w:t>
      </w:r>
      <w:r>
        <w:rPr>
          <w:rFonts w:hint="eastAsia" w:ascii="黑体" w:eastAsia="黑体"/>
          <w:color w:val="auto"/>
          <w:kern w:val="0"/>
          <w:sz w:val="30"/>
          <w:szCs w:val="30"/>
          <w:highlight w:val="none"/>
          <w:u w:val="single"/>
        </w:rPr>
        <w:t>资格审查部分</w:t>
      </w:r>
      <w:r>
        <w:rPr>
          <w:rFonts w:ascii="宋体"/>
          <w:color w:val="auto"/>
          <w:kern w:val="0"/>
          <w:sz w:val="30"/>
          <w:szCs w:val="30"/>
          <w:highlight w:val="none"/>
        </w:rPr>
        <w:t>________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pPr>
        <w:adjustRightInd w:val="0"/>
        <w:snapToGrid w:val="0"/>
        <w:spacing w:line="360" w:lineRule="auto"/>
        <w:ind w:left="1470" w:leftChars="700"/>
        <w:jc w:val="left"/>
        <w:rPr>
          <w:rFonts w:ascii="黑体" w:eastAsia="黑体"/>
          <w:color w:val="auto"/>
          <w:kern w:val="0"/>
          <w:sz w:val="30"/>
          <w:szCs w:val="30"/>
          <w:highlight w:val="none"/>
        </w:rPr>
      </w:pP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对所提供资料的真实性、准确性、有效性负全部责任。</w:t>
      </w:r>
    </w:p>
    <w:p>
      <w:pPr>
        <w:adjustRightInd w:val="0"/>
        <w:snapToGrid w:val="0"/>
        <w:spacing w:line="360" w:lineRule="auto"/>
        <w:ind w:firstLine="420" w:firstLineChars="200"/>
        <w:jc w:val="left"/>
        <w:rPr>
          <w:rFonts w:ascii="宋体" w:hAnsi="宋体"/>
          <w:color w:val="auto"/>
          <w:kern w:val="0"/>
          <w:highlight w:val="none"/>
        </w:rPr>
      </w:pPr>
    </w:p>
    <w:p>
      <w:pPr>
        <w:adjustRightInd w:val="0"/>
        <w:snapToGrid w:val="0"/>
        <w:spacing w:line="360" w:lineRule="auto"/>
        <w:jc w:val="center"/>
        <w:rPr>
          <w:color w:val="auto"/>
          <w:highlight w:val="none"/>
        </w:rPr>
      </w:pPr>
    </w:p>
    <w:p>
      <w:pPr>
        <w:adjustRightInd w:val="0"/>
        <w:snapToGrid w:val="0"/>
        <w:spacing w:line="360" w:lineRule="auto"/>
        <w:jc w:val="center"/>
        <w:rPr>
          <w:rFonts w:ascii="宋体" w:hAnsi="宋体" w:eastAsia="宋体" w:cs="宋体"/>
          <w:color w:val="auto"/>
          <w:kern w:val="0"/>
          <w:sz w:val="44"/>
          <w:highlight w:val="none"/>
        </w:rPr>
      </w:pPr>
      <w:r>
        <w:rPr>
          <w:rFonts w:hint="eastAsia" w:ascii="宋体" w:hAnsi="宋体" w:eastAsia="宋体" w:cs="宋体"/>
          <w:color w:val="auto"/>
          <w:kern w:val="0"/>
          <w:sz w:val="44"/>
          <w:highlight w:val="none"/>
        </w:rPr>
        <w:t>投标保函</w:t>
      </w:r>
    </w:p>
    <w:p>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pPr>
        <w:adjustRightInd w:val="0"/>
        <w:snapToGrid w:val="0"/>
        <w:spacing w:line="360" w:lineRule="exact"/>
        <w:rPr>
          <w:rFonts w:ascii="宋体" w:hAnsi="宋体" w:eastAsia="宋体" w:cs="宋体"/>
          <w:color w:val="auto"/>
          <w:kern w:val="0"/>
          <w:szCs w:val="21"/>
          <w:highlight w:val="none"/>
        </w:rPr>
      </w:pPr>
    </w:p>
    <w:p>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pPr>
        <w:adjustRightInd w:val="0"/>
        <w:snapToGrid w:val="0"/>
        <w:spacing w:line="360" w:lineRule="exact"/>
        <w:ind w:firstLine="420" w:firstLineChars="200"/>
        <w:rPr>
          <w:rFonts w:ascii="宋体" w:hAnsi="宋体" w:eastAsia="宋体" w:cs="宋体"/>
          <w:color w:val="auto"/>
          <w:kern w:val="0"/>
          <w:szCs w:val="21"/>
          <w:highlight w:val="none"/>
        </w:rPr>
      </w:pPr>
    </w:p>
    <w:p>
      <w:pPr>
        <w:adjustRightInd w:val="0"/>
        <w:snapToGrid w:val="0"/>
        <w:spacing w:line="360" w:lineRule="exact"/>
        <w:ind w:firstLine="420" w:firstLineChars="200"/>
        <w:rPr>
          <w:rFonts w:ascii="宋体" w:hAnsi="宋体" w:eastAsia="宋体" w:cs="宋体"/>
          <w:color w:val="auto"/>
          <w:kern w:val="0"/>
          <w:szCs w:val="21"/>
          <w:highlight w:val="none"/>
        </w:rPr>
      </w:pPr>
    </w:p>
    <w:p>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pPr>
        <w:adjustRightInd w:val="0"/>
        <w:snapToGrid w:val="0"/>
        <w:spacing w:line="360" w:lineRule="exact"/>
        <w:rPr>
          <w:rFonts w:ascii="宋体" w:hAnsi="宋体" w:eastAsia="宋体" w:cs="宋体"/>
          <w:color w:val="auto"/>
          <w:kern w:val="0"/>
          <w:szCs w:val="21"/>
          <w:highlight w:val="none"/>
        </w:rPr>
      </w:pPr>
    </w:p>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pPr>
        <w:adjustRightInd w:val="0"/>
        <w:snapToGrid w:val="0"/>
        <w:spacing w:line="360" w:lineRule="auto"/>
        <w:ind w:firstLine="420" w:firstLineChars="200"/>
        <w:jc w:val="left"/>
        <w:rPr>
          <w:color w:val="auto"/>
          <w:highlight w:val="none"/>
        </w:rPr>
      </w:pPr>
    </w:p>
    <w:p>
      <w:pPr>
        <w:adjustRightInd w:val="0"/>
        <w:snapToGrid w:val="0"/>
        <w:spacing w:line="360" w:lineRule="auto"/>
        <w:ind w:firstLine="420" w:firstLineChars="200"/>
        <w:jc w:val="left"/>
        <w:rPr>
          <w:color w:val="auto"/>
          <w:highlight w:val="none"/>
        </w:rPr>
      </w:pPr>
    </w:p>
    <w:p>
      <w:pPr>
        <w:adjustRightInd w:val="0"/>
        <w:snapToGrid w:val="0"/>
        <w:spacing w:line="360" w:lineRule="auto"/>
        <w:ind w:firstLine="420" w:firstLineChars="200"/>
        <w:jc w:val="left"/>
        <w:rPr>
          <w:color w:val="auto"/>
          <w:highlight w:val="none"/>
        </w:rPr>
      </w:pPr>
    </w:p>
    <w:p>
      <w:pPr>
        <w:adjustRightInd w:val="0"/>
        <w:snapToGrid w:val="0"/>
        <w:spacing w:line="360" w:lineRule="auto"/>
        <w:ind w:firstLine="420" w:firstLineChars="200"/>
        <w:jc w:val="left"/>
        <w:rPr>
          <w:color w:val="auto"/>
          <w:highlight w:val="none"/>
        </w:rPr>
      </w:pPr>
    </w:p>
    <w:p>
      <w:pPr>
        <w:adjustRightInd w:val="0"/>
        <w:snapToGrid w:val="0"/>
        <w:spacing w:line="360" w:lineRule="auto"/>
        <w:jc w:val="center"/>
        <w:rPr>
          <w:rFonts w:ascii="宋体" w:hAnsi="宋体" w:eastAsia="宋体" w:cs="宋体"/>
          <w:color w:val="auto"/>
          <w:sz w:val="44"/>
          <w:highlight w:val="none"/>
        </w:rPr>
      </w:pPr>
      <w:bookmarkStart w:id="202" w:name="_Hlk86676344"/>
      <w:r>
        <w:rPr>
          <w:rFonts w:hint="eastAsia" w:ascii="宋体" w:hAnsi="宋体" w:eastAsia="宋体" w:cs="宋体"/>
          <w:color w:val="auto"/>
          <w:sz w:val="44"/>
          <w:highlight w:val="none"/>
        </w:rPr>
        <w:t>投标保证保险保险凭证</w:t>
      </w:r>
    </w:p>
    <w:p>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pPr>
        <w:pStyle w:val="221"/>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pPr>
        <w:pStyle w:val="221"/>
        <w:spacing w:before="0" w:beforeAutospacing="0" w:after="0" w:afterAutospacing="0" w:line="360" w:lineRule="auto"/>
        <w:rPr>
          <w:color w:val="auto"/>
          <w:kern w:val="2"/>
          <w:sz w:val="21"/>
          <w:szCs w:val="21"/>
          <w:highlight w:val="none"/>
        </w:rPr>
      </w:pP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pPr>
        <w:pStyle w:val="22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pPr>
        <w:pStyle w:val="22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202"/>
    <w:p>
      <w:pPr>
        <w:adjustRightInd w:val="0"/>
        <w:snapToGrid w:val="0"/>
        <w:spacing w:line="360" w:lineRule="auto"/>
        <w:ind w:firstLine="420" w:firstLineChars="200"/>
        <w:jc w:val="left"/>
        <w:rPr>
          <w:color w:val="auto"/>
          <w:highlight w:val="none"/>
        </w:rPr>
      </w:pPr>
    </w:p>
    <w:p>
      <w:pPr>
        <w:adjustRightInd w:val="0"/>
        <w:snapToGrid w:val="0"/>
        <w:spacing w:line="360" w:lineRule="auto"/>
        <w:ind w:firstLine="420" w:firstLineChars="200"/>
        <w:jc w:val="left"/>
        <w:rPr>
          <w:color w:val="auto"/>
          <w:highlight w:val="none"/>
        </w:rPr>
      </w:pPr>
    </w:p>
    <w:p>
      <w:pPr>
        <w:adjustRightInd w:val="0"/>
        <w:snapToGrid w:val="0"/>
        <w:spacing w:line="360" w:lineRule="auto"/>
        <w:ind w:firstLine="420" w:firstLineChars="200"/>
        <w:jc w:val="left"/>
        <w:rPr>
          <w:color w:val="auto"/>
          <w:highlight w:val="none"/>
        </w:rPr>
      </w:pPr>
    </w:p>
    <w:p>
      <w:pPr>
        <w:adjustRightInd w:val="0"/>
        <w:snapToGrid w:val="0"/>
        <w:spacing w:line="360" w:lineRule="auto"/>
        <w:ind w:firstLine="420" w:firstLineChars="200"/>
        <w:jc w:val="left"/>
        <w:rPr>
          <w:color w:val="auto"/>
          <w:highlight w:val="none"/>
        </w:rPr>
      </w:pP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pPr>
        <w:numPr>
          <w:ilvl w:val="0"/>
          <w:numId w:val="4"/>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pPr>
        <w:widowControl/>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pPr>
        <w:widowControl/>
        <w:spacing w:line="360" w:lineRule="auto"/>
        <w:ind w:firstLine="420" w:firstLineChars="200"/>
        <w:jc w:val="left"/>
        <w:rPr>
          <w:rFonts w:ascii="宋体" w:hAnsi="宋体" w:eastAsia="宋体" w:cs="宋体"/>
          <w:color w:val="auto"/>
          <w:kern w:val="0"/>
          <w:szCs w:val="21"/>
          <w:highlight w:val="none"/>
        </w:rPr>
      </w:pPr>
    </w:p>
    <w:p>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pStyle w:val="221"/>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pPr>
        <w:pStyle w:val="22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221"/>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pPr>
        <w:pStyle w:val="221"/>
        <w:spacing w:line="360" w:lineRule="auto"/>
        <w:ind w:firstLine="480" w:firstLineChars="200"/>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rPr>
          <w:rFonts w:ascii="宋体" w:hAnsi="宋体" w:eastAsia="宋体" w:cs="宋体"/>
          <w:color w:val="auto"/>
          <w:szCs w:val="21"/>
          <w:highlight w:val="none"/>
        </w:rPr>
      </w:pPr>
    </w:p>
    <w:p>
      <w:pPr>
        <w:adjustRightInd w:val="0"/>
        <w:snapToGrid w:val="0"/>
        <w:spacing w:line="360" w:lineRule="auto"/>
        <w:ind w:firstLine="420" w:firstLineChars="200"/>
        <w:jc w:val="left"/>
        <w:rPr>
          <w:color w:val="auto"/>
          <w:highlight w:val="none"/>
        </w:rPr>
      </w:pPr>
    </w:p>
    <w:p>
      <w:pPr>
        <w:adjustRightInd w:val="0"/>
        <w:snapToGrid w:val="0"/>
        <w:spacing w:line="360" w:lineRule="auto"/>
        <w:jc w:val="center"/>
        <w:rPr>
          <w:rFonts w:ascii="宋体" w:hAnsi="宋体" w:eastAsia="宋体" w:cs="宋体"/>
          <w:b/>
          <w:color w:val="auto"/>
          <w:kern w:val="0"/>
          <w:sz w:val="28"/>
          <w:szCs w:val="28"/>
          <w:highlight w:val="none"/>
        </w:rPr>
      </w:pPr>
      <w:bookmarkStart w:id="203" w:name="_Toc19626_WPSOffice_Level2"/>
      <w:bookmarkStart w:id="204" w:name="_Toc16049"/>
      <w:bookmarkStart w:id="205" w:name="TBZ1"/>
      <w:r>
        <w:rPr>
          <w:rFonts w:hint="eastAsia" w:ascii="宋体" w:hAnsi="宋体" w:eastAsia="宋体" w:cs="宋体"/>
          <w:b/>
          <w:color w:val="auto"/>
          <w:kern w:val="0"/>
          <w:sz w:val="28"/>
          <w:szCs w:val="28"/>
          <w:highlight w:val="none"/>
        </w:rPr>
        <w:t>通过年审的营业执照副本（原件扫描件）</w:t>
      </w:r>
      <w:bookmarkEnd w:id="203"/>
      <w:bookmarkEnd w:id="204"/>
    </w:p>
    <w:p>
      <w:pPr>
        <w:adjustRightInd w:val="0"/>
        <w:snapToGrid w:val="0"/>
        <w:spacing w:line="360" w:lineRule="auto"/>
        <w:rPr>
          <w:color w:val="auto"/>
          <w:highlight w:val="none"/>
        </w:rPr>
      </w:pPr>
      <w:r>
        <w:rPr>
          <w:color w:val="auto"/>
          <w:highlight w:val="none"/>
        </w:rPr>
        <w:br w:type="page"/>
      </w:r>
    </w:p>
    <w:bookmarkEnd w:id="205"/>
    <w:p>
      <w:pPr>
        <w:adjustRightInd w:val="0"/>
        <w:snapToGrid w:val="0"/>
        <w:spacing w:line="360" w:lineRule="auto"/>
        <w:jc w:val="center"/>
        <w:rPr>
          <w:rFonts w:ascii="宋体" w:hAnsi="宋体" w:eastAsia="宋体" w:cs="宋体"/>
          <w:b/>
          <w:color w:val="auto"/>
          <w:kern w:val="0"/>
          <w:sz w:val="28"/>
          <w:szCs w:val="28"/>
          <w:highlight w:val="none"/>
        </w:rPr>
      </w:pPr>
      <w:bookmarkStart w:id="206" w:name="_Toc13756"/>
      <w:bookmarkStart w:id="207" w:name="_Toc16190_WPSOffice_Level2"/>
      <w:bookmarkStart w:id="208" w:name="TBZ2"/>
      <w:r>
        <w:rPr>
          <w:rFonts w:hint="eastAsia" w:ascii="宋体" w:hAnsi="宋体" w:eastAsia="宋体" w:cs="宋体"/>
          <w:b/>
          <w:color w:val="auto"/>
          <w:kern w:val="0"/>
          <w:sz w:val="28"/>
          <w:szCs w:val="28"/>
          <w:highlight w:val="none"/>
        </w:rPr>
        <w:t>企业资质证书（原件扫描件）</w:t>
      </w:r>
      <w:bookmarkEnd w:id="206"/>
      <w:bookmarkEnd w:id="207"/>
    </w:p>
    <w:p>
      <w:pPr>
        <w:adjustRightInd w:val="0"/>
        <w:snapToGrid w:val="0"/>
        <w:spacing w:line="360" w:lineRule="auto"/>
        <w:rPr>
          <w:color w:val="auto"/>
          <w:highlight w:val="none"/>
        </w:rPr>
      </w:pPr>
      <w:r>
        <w:rPr>
          <w:color w:val="auto"/>
          <w:highlight w:val="none"/>
        </w:rPr>
        <w:br w:type="page"/>
      </w:r>
    </w:p>
    <w:bookmarkEnd w:id="208"/>
    <w:p>
      <w:pPr>
        <w:adjustRightInd w:val="0"/>
        <w:snapToGrid w:val="0"/>
        <w:spacing w:line="360" w:lineRule="auto"/>
        <w:jc w:val="center"/>
        <w:rPr>
          <w:rFonts w:ascii="宋体" w:hAnsi="宋体" w:eastAsia="宋体" w:cs="宋体"/>
          <w:b/>
          <w:color w:val="auto"/>
          <w:kern w:val="0"/>
          <w:sz w:val="28"/>
          <w:szCs w:val="28"/>
          <w:highlight w:val="none"/>
        </w:rPr>
      </w:pPr>
      <w:bookmarkStart w:id="209" w:name="_Toc8826_WPSOffice_Level2"/>
      <w:bookmarkStart w:id="210" w:name="_Toc31301"/>
      <w:bookmarkStart w:id="211" w:name="TBZ3"/>
      <w:r>
        <w:rPr>
          <w:rFonts w:hint="eastAsia" w:ascii="宋体" w:hAnsi="宋体" w:eastAsia="宋体" w:cs="宋体"/>
          <w:b/>
          <w:color w:val="auto"/>
          <w:kern w:val="0"/>
          <w:sz w:val="28"/>
          <w:szCs w:val="28"/>
          <w:highlight w:val="none"/>
        </w:rPr>
        <w:t>联合体共同投标协议（原件扫描件）</w:t>
      </w:r>
      <w:bookmarkEnd w:id="209"/>
      <w:bookmarkEnd w:id="210"/>
    </w:p>
    <w:p>
      <w:pPr>
        <w:rPr>
          <w:rFonts w:ascii="宋体" w:hAnsi="宋体"/>
          <w:color w:val="auto"/>
          <w:kern w:val="0"/>
          <w:szCs w:val="21"/>
          <w:highlight w:val="none"/>
        </w:rPr>
      </w:pPr>
      <w:r>
        <w:rPr>
          <w:rFonts w:hint="eastAsia" w:ascii="宋体" w:hAnsi="宋体"/>
          <w:color w:val="auto"/>
          <w:kern w:val="0"/>
          <w:szCs w:val="21"/>
          <w:highlight w:val="none"/>
        </w:rPr>
        <w:br w:type="page"/>
      </w:r>
    </w:p>
    <w:bookmarkEnd w:id="211"/>
    <w:p>
      <w:pPr>
        <w:rPr>
          <w:color w:val="auto"/>
          <w:highlight w:val="none"/>
        </w:rPr>
      </w:pPr>
    </w:p>
    <w:p>
      <w:pPr>
        <w:rPr>
          <w:color w:val="auto"/>
          <w:highlight w:val="none"/>
        </w:rPr>
      </w:pPr>
    </w:p>
    <w:p>
      <w:pPr>
        <w:adjustRightInd w:val="0"/>
        <w:snapToGrid w:val="0"/>
        <w:spacing w:line="360" w:lineRule="auto"/>
        <w:jc w:val="center"/>
        <w:rPr>
          <w:rFonts w:ascii="宋体" w:hAnsi="宋体" w:eastAsia="宋体" w:cs="宋体"/>
          <w:b/>
          <w:color w:val="auto"/>
          <w:kern w:val="0"/>
          <w:sz w:val="28"/>
          <w:szCs w:val="28"/>
          <w:highlight w:val="none"/>
        </w:rPr>
      </w:pPr>
      <w:bookmarkStart w:id="212" w:name="_Toc21087"/>
      <w:bookmarkStart w:id="213" w:name="TBZ4"/>
      <w:r>
        <w:rPr>
          <w:rFonts w:hint="eastAsia" w:ascii="宋体" w:hAnsi="宋体" w:eastAsia="宋体" w:cs="宋体"/>
          <w:b/>
          <w:color w:val="auto"/>
          <w:kern w:val="0"/>
          <w:sz w:val="28"/>
          <w:szCs w:val="28"/>
          <w:highlight w:val="none"/>
        </w:rPr>
        <w:t>其    他</w:t>
      </w:r>
      <w:bookmarkEnd w:id="212"/>
    </w:p>
    <w:p>
      <w:pPr>
        <w:adjustRightInd w:val="0"/>
        <w:snapToGrid w:val="0"/>
        <w:spacing w:line="360" w:lineRule="auto"/>
        <w:jc w:val="left"/>
        <w:rPr>
          <w:rFonts w:ascii="宋体" w:hAnsi="宋体" w:eastAsia="宋体" w:cs="宋体"/>
          <w:color w:val="auto"/>
          <w:highlight w:val="none"/>
        </w:rPr>
      </w:pPr>
      <w:r>
        <w:rPr>
          <w:rFonts w:hint="eastAsia" w:ascii="宋体" w:hAnsi="宋体" w:eastAsia="宋体" w:cs="宋体"/>
          <w:bCs/>
          <w:color w:val="auto"/>
          <w:kern w:val="0"/>
          <w:highlight w:val="none"/>
        </w:rPr>
        <w:t>其他2</w:t>
      </w:r>
      <w:r>
        <w:rPr>
          <w:rFonts w:hint="eastAsia" w:ascii="宋体" w:hAnsi="宋体" w:eastAsia="宋体" w:cs="宋体"/>
          <w:color w:val="auto"/>
          <w:highlight w:val="none"/>
        </w:rPr>
        <w:br w:type="page"/>
      </w:r>
    </w:p>
    <w:bookmarkEnd w:id="213"/>
    <w:p>
      <w:pPr>
        <w:adjustRightInd w:val="0"/>
        <w:snapToGrid w:val="0"/>
        <w:spacing w:line="360" w:lineRule="auto"/>
        <w:jc w:val="center"/>
        <w:outlineLvl w:val="0"/>
        <w:rPr>
          <w:rFonts w:ascii="黑体" w:eastAsia="黑体"/>
          <w:b/>
          <w:color w:val="auto"/>
          <w:kern w:val="0"/>
          <w:sz w:val="32"/>
          <w:szCs w:val="32"/>
          <w:highlight w:val="none"/>
        </w:rPr>
      </w:pPr>
      <w:bookmarkStart w:id="214" w:name="_Toc14632"/>
      <w:bookmarkStart w:id="215" w:name="_Toc25437"/>
      <w:bookmarkStart w:id="216" w:name="_Toc8696"/>
      <w:bookmarkStart w:id="217" w:name="_Toc14582"/>
      <w:bookmarkStart w:id="218" w:name="_Toc12513"/>
      <w:bookmarkStart w:id="219" w:name="_Toc13708"/>
      <w:bookmarkStart w:id="220" w:name="_Toc21255"/>
      <w:bookmarkStart w:id="221" w:name="_Toc17496"/>
      <w:bookmarkStart w:id="222" w:name="_Toc19219"/>
      <w:bookmarkStart w:id="223" w:name="_Toc13908"/>
      <w:bookmarkStart w:id="224" w:name="_Toc4364"/>
      <w:bookmarkStart w:id="225" w:name="_Toc1638"/>
      <w:bookmarkStart w:id="226" w:name="_Toc21045"/>
      <w:bookmarkStart w:id="227" w:name="_Toc15474"/>
      <w:bookmarkStart w:id="228" w:name="_Toc21858"/>
      <w:r>
        <w:rPr>
          <w:rFonts w:hint="eastAsia" w:ascii="黑体" w:eastAsia="黑体"/>
          <w:b/>
          <w:color w:val="auto"/>
          <w:kern w:val="0"/>
          <w:sz w:val="32"/>
          <w:szCs w:val="32"/>
          <w:highlight w:val="none"/>
        </w:rPr>
        <w:t>第六章  合同条款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合同条款</w:t>
      </w:r>
    </w:p>
    <w:p>
      <w:pPr>
        <w:rPr>
          <w:rFonts w:ascii="宋体" w:hAnsi="宋体" w:eastAsia="宋体" w:cs="宋体"/>
          <w:color w:val="auto"/>
          <w:highlight w:val="none"/>
        </w:rPr>
      </w:pPr>
      <w:r>
        <w:rPr>
          <w:rFonts w:hint="eastAsia" w:ascii="宋体" w:hAnsi="宋体" w:eastAsia="宋体" w:cs="宋体"/>
          <w:color w:val="auto"/>
          <w:highlight w:val="none"/>
        </w:rPr>
        <w:t>建议使用市造价管理部门发布的勘察类合同示范范本</w:t>
      </w:r>
    </w:p>
    <w:p>
      <w:pPr>
        <w:rPr>
          <w:color w:val="auto"/>
          <w:highlight w:val="none"/>
        </w:rPr>
      </w:pPr>
    </w:p>
    <w:sectPr>
      <w:footerReference r:id="rId4" w:type="default"/>
      <w:pgSz w:w="11906" w:h="16838"/>
      <w:pgMar w:top="1134" w:right="1134" w:bottom="1134"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CESI仿宋-GB2312"/>
    <w:panose1 w:val="00000000000000000000"/>
    <w:charset w:val="00"/>
    <w:family w:val="roman"/>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jc w:val="center"/>
    </w:pPr>
    <w:r>
      <w:fldChar w:fldCharType="begin"/>
    </w:r>
    <w:r>
      <w:instrText xml:space="preserve"> page </w:instrText>
    </w:r>
    <w:r>
      <w:fldChar w:fldCharType="separate"/>
    </w:r>
    <w:r>
      <w:t>49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[2]的具体要求源自《深圳市人民政府关于进一步规范建设工程招标投标活动的通知》(深府规〔2024〕8号)第三条。</w:t>
      </w:r>
    </w:p>
  </w:footnote>
  <w:footnote w:id="2">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[3]、[4]的具体要求源自《深圳市人民政府关于进一步规范建设工程招标投标活动的通知》(深府规〔2024〕8号)第四、七条。</w:t>
      </w:r>
    </w:p>
  </w:footnote>
  <w:footnote w:id="3">
    <w:p>
      <w:pPr>
        <w:pStyle w:val="62"/>
        <w:snapToGrid w:val="0"/>
      </w:pPr>
    </w:p>
  </w:footnote>
  <w:footnote w:id="4">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[5]的具体要求源自《深圳市住房和建设局关于进一步规范招标投标有关事宜的通知》（深建市场〔2022〕4号）第三条。</w:t>
      </w:r>
    </w:p>
    <w:p>
      <w:pPr>
        <w:pStyle w:val="62"/>
        <w:snapToGrid w:val="0"/>
      </w:pPr>
    </w:p>
  </w:footnote>
  <w:footnote w:id="5">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[6]-[9]的具体要求源自《深圳市人民政府关于进一步规范建设工程招标投标活动的通知》(深府规</w:t>
      </w:r>
    </w:p>
  </w:footnote>
  <w:footnote w:id="6">
    <w:p>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〔2024〕8号)第五、七、九条以及《深圳市人民政府印发关于建设工程招标投标改革若干规定的通知》（深</w:t>
      </w:r>
    </w:p>
  </w:footnote>
  <w:footnote w:id="7">
    <w:p>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府〔2015〕73号）第四十七条。</w:t>
      </w:r>
    </w:p>
  </w:footnote>
  <w:footnote w:id="8">
    <w:p>
      <w:pPr>
        <w:adjustRightInd w:val="0"/>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651BCA"/>
    <w:multiLevelType w:val="singleLevel"/>
    <w:tmpl w:val="C4651BCA"/>
    <w:lvl w:ilvl="0" w:tentative="0">
      <w:start w:val="3"/>
      <w:numFmt w:val="chineseCounting"/>
      <w:suff w:val="space"/>
      <w:lvlText w:val="（%1)"/>
      <w:lvlJc w:val="left"/>
      <w:rPr>
        <w:rFonts w:hint="eastAsia"/>
      </w:rPr>
    </w:lvl>
  </w:abstractNum>
  <w:abstractNum w:abstractNumId="1">
    <w:nsid w:val="EE2DB9B4"/>
    <w:multiLevelType w:val="singleLevel"/>
    <w:tmpl w:val="EE2DB9B4"/>
    <w:lvl w:ilvl="0" w:tentative="0">
      <w:start w:val="4"/>
      <w:numFmt w:val="chineseCounting"/>
      <w:suff w:val="nothing"/>
      <w:lvlText w:val="%1、"/>
      <w:lvlJc w:val="left"/>
      <w:rPr>
        <w:rFonts w:hint="eastAsia"/>
      </w:rPr>
    </w:lvl>
  </w:abstractNum>
  <w:abstractNum w:abstractNumId="2">
    <w:nsid w:val="00000001"/>
    <w:multiLevelType w:val="singleLevel"/>
    <w:tmpl w:val="00000001"/>
    <w:lvl w:ilvl="0" w:tentative="0">
      <w:start w:val="1"/>
      <w:numFmt w:val="decimal"/>
      <w:lvlText w:val="(%1)"/>
      <w:lvlJc w:val="left"/>
      <w:pPr>
        <w:tabs>
          <w:tab w:val="left" w:pos="312"/>
        </w:tabs>
      </w:pPr>
    </w:lvl>
  </w:abstractNum>
  <w:abstractNum w:abstractNumId="3">
    <w:nsid w:val="7D22672B"/>
    <w:multiLevelType w:val="multilevel"/>
    <w:tmpl w:val="7D22672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0"/>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官伟杰">
    <w15:presenceInfo w15:providerId="WPS Office" w15:userId="4150412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88ede488-1079-4f9e-bc66-f5f870505d08"/>
  </w:docVars>
  <w:rsids>
    <w:rsidRoot w:val="00190F67"/>
    <w:rsid w:val="00005A05"/>
    <w:rsid w:val="00077D93"/>
    <w:rsid w:val="000C2473"/>
    <w:rsid w:val="00190F67"/>
    <w:rsid w:val="002D0A40"/>
    <w:rsid w:val="00492171"/>
    <w:rsid w:val="005651E2"/>
    <w:rsid w:val="00572956"/>
    <w:rsid w:val="005A1F99"/>
    <w:rsid w:val="0060071C"/>
    <w:rsid w:val="0064436A"/>
    <w:rsid w:val="006932B2"/>
    <w:rsid w:val="00A5158A"/>
    <w:rsid w:val="00A51EB6"/>
    <w:rsid w:val="00A55227"/>
    <w:rsid w:val="00A9133B"/>
    <w:rsid w:val="00AD129B"/>
    <w:rsid w:val="00B76A12"/>
    <w:rsid w:val="00BB4731"/>
    <w:rsid w:val="00C55466"/>
    <w:rsid w:val="00C6526C"/>
    <w:rsid w:val="00D04D78"/>
    <w:rsid w:val="00DF73EB"/>
    <w:rsid w:val="00DF78C8"/>
    <w:rsid w:val="00E1509A"/>
    <w:rsid w:val="00F92BCF"/>
    <w:rsid w:val="00FF2678"/>
    <w:rsid w:val="015E4AD6"/>
    <w:rsid w:val="029C4482"/>
    <w:rsid w:val="02FC5C38"/>
    <w:rsid w:val="036D7252"/>
    <w:rsid w:val="04C410F4"/>
    <w:rsid w:val="05006EC3"/>
    <w:rsid w:val="057C552B"/>
    <w:rsid w:val="06EE31DE"/>
    <w:rsid w:val="074A1D85"/>
    <w:rsid w:val="07FF1CE7"/>
    <w:rsid w:val="08537DFF"/>
    <w:rsid w:val="08D038EA"/>
    <w:rsid w:val="0960048B"/>
    <w:rsid w:val="09615163"/>
    <w:rsid w:val="0A8F5D00"/>
    <w:rsid w:val="0B114967"/>
    <w:rsid w:val="0B4D50AA"/>
    <w:rsid w:val="0B671B9B"/>
    <w:rsid w:val="0C416DF2"/>
    <w:rsid w:val="0C9D4663"/>
    <w:rsid w:val="0CB30E5E"/>
    <w:rsid w:val="0D3971E0"/>
    <w:rsid w:val="0DEA1BCB"/>
    <w:rsid w:val="0EE6622F"/>
    <w:rsid w:val="0EF56F57"/>
    <w:rsid w:val="0F2E0667"/>
    <w:rsid w:val="0FF43573"/>
    <w:rsid w:val="10F13DF2"/>
    <w:rsid w:val="11504BBC"/>
    <w:rsid w:val="118C6962"/>
    <w:rsid w:val="11F3126B"/>
    <w:rsid w:val="11F32DC4"/>
    <w:rsid w:val="124B2424"/>
    <w:rsid w:val="126B73DB"/>
    <w:rsid w:val="12A25B7A"/>
    <w:rsid w:val="13532148"/>
    <w:rsid w:val="14A87114"/>
    <w:rsid w:val="163F52D6"/>
    <w:rsid w:val="164B0536"/>
    <w:rsid w:val="17746A9C"/>
    <w:rsid w:val="199908B4"/>
    <w:rsid w:val="1AB5569A"/>
    <w:rsid w:val="1B560A11"/>
    <w:rsid w:val="1CAE2633"/>
    <w:rsid w:val="1DB22F45"/>
    <w:rsid w:val="1DE877AA"/>
    <w:rsid w:val="1E0A47F3"/>
    <w:rsid w:val="1E7D47B6"/>
    <w:rsid w:val="1EB6122B"/>
    <w:rsid w:val="1F7F70D4"/>
    <w:rsid w:val="1FCA3C8B"/>
    <w:rsid w:val="1FE21B57"/>
    <w:rsid w:val="206B7F2F"/>
    <w:rsid w:val="21661A93"/>
    <w:rsid w:val="229F2E00"/>
    <w:rsid w:val="237833A4"/>
    <w:rsid w:val="23B86955"/>
    <w:rsid w:val="242B5B8D"/>
    <w:rsid w:val="24356167"/>
    <w:rsid w:val="261B3B54"/>
    <w:rsid w:val="26861476"/>
    <w:rsid w:val="26B55C1C"/>
    <w:rsid w:val="2782190B"/>
    <w:rsid w:val="29BE0383"/>
    <w:rsid w:val="2B160409"/>
    <w:rsid w:val="2B5B222D"/>
    <w:rsid w:val="2B9B22FF"/>
    <w:rsid w:val="2E044729"/>
    <w:rsid w:val="2E6408B8"/>
    <w:rsid w:val="2EA50432"/>
    <w:rsid w:val="2F0F6A1F"/>
    <w:rsid w:val="2F9A0DA0"/>
    <w:rsid w:val="2FD624F8"/>
    <w:rsid w:val="303D3635"/>
    <w:rsid w:val="30C13BF0"/>
    <w:rsid w:val="31047E47"/>
    <w:rsid w:val="3163218E"/>
    <w:rsid w:val="33E301E3"/>
    <w:rsid w:val="341865BD"/>
    <w:rsid w:val="35195004"/>
    <w:rsid w:val="355E5A5B"/>
    <w:rsid w:val="35B44F5F"/>
    <w:rsid w:val="361B3A71"/>
    <w:rsid w:val="36AC584B"/>
    <w:rsid w:val="36D60C5E"/>
    <w:rsid w:val="36E817CF"/>
    <w:rsid w:val="375C5396"/>
    <w:rsid w:val="37955866"/>
    <w:rsid w:val="38097EDE"/>
    <w:rsid w:val="387949E4"/>
    <w:rsid w:val="390420AB"/>
    <w:rsid w:val="39215EB2"/>
    <w:rsid w:val="392FE9EF"/>
    <w:rsid w:val="3A2B1A17"/>
    <w:rsid w:val="3AA36ADA"/>
    <w:rsid w:val="3AD26EB0"/>
    <w:rsid w:val="3B704BCC"/>
    <w:rsid w:val="3BF01599"/>
    <w:rsid w:val="3C4C6B9D"/>
    <w:rsid w:val="3CA1529C"/>
    <w:rsid w:val="3CE00292"/>
    <w:rsid w:val="3DEFCD4E"/>
    <w:rsid w:val="3E6C2FF2"/>
    <w:rsid w:val="3E8E4F82"/>
    <w:rsid w:val="3F133211"/>
    <w:rsid w:val="4069448E"/>
    <w:rsid w:val="40ED21E5"/>
    <w:rsid w:val="40F7522A"/>
    <w:rsid w:val="414A5F02"/>
    <w:rsid w:val="418F295E"/>
    <w:rsid w:val="42EA5030"/>
    <w:rsid w:val="43406EE8"/>
    <w:rsid w:val="43EE4E8C"/>
    <w:rsid w:val="4496589D"/>
    <w:rsid w:val="46C47F7E"/>
    <w:rsid w:val="477B4CD8"/>
    <w:rsid w:val="479B691A"/>
    <w:rsid w:val="480F19A9"/>
    <w:rsid w:val="48557F6A"/>
    <w:rsid w:val="495401E1"/>
    <w:rsid w:val="49A9363D"/>
    <w:rsid w:val="4A2D4417"/>
    <w:rsid w:val="4AA06B93"/>
    <w:rsid w:val="4B0A3E21"/>
    <w:rsid w:val="4B176174"/>
    <w:rsid w:val="4C1B0BC7"/>
    <w:rsid w:val="4CFE7542"/>
    <w:rsid w:val="4E712D20"/>
    <w:rsid w:val="4E8924E3"/>
    <w:rsid w:val="4ED57D77"/>
    <w:rsid w:val="4EDC62CA"/>
    <w:rsid w:val="4F8624A9"/>
    <w:rsid w:val="4FDD388A"/>
    <w:rsid w:val="512737C3"/>
    <w:rsid w:val="51786FD8"/>
    <w:rsid w:val="517F2150"/>
    <w:rsid w:val="53444D9F"/>
    <w:rsid w:val="545F31CA"/>
    <w:rsid w:val="54A7410E"/>
    <w:rsid w:val="54FD4440"/>
    <w:rsid w:val="55DC19E1"/>
    <w:rsid w:val="56C554D9"/>
    <w:rsid w:val="572172AD"/>
    <w:rsid w:val="57316C90"/>
    <w:rsid w:val="575F0966"/>
    <w:rsid w:val="58B60275"/>
    <w:rsid w:val="59861649"/>
    <w:rsid w:val="59866EA8"/>
    <w:rsid w:val="5A00488B"/>
    <w:rsid w:val="5A0E7600"/>
    <w:rsid w:val="5A984468"/>
    <w:rsid w:val="5A9A2DBD"/>
    <w:rsid w:val="5AE930A7"/>
    <w:rsid w:val="5B2555BE"/>
    <w:rsid w:val="5BDF091B"/>
    <w:rsid w:val="5C427AAA"/>
    <w:rsid w:val="5C435EF2"/>
    <w:rsid w:val="5C584349"/>
    <w:rsid w:val="5D4F603C"/>
    <w:rsid w:val="5DCF28AB"/>
    <w:rsid w:val="5DF53484"/>
    <w:rsid w:val="5E4915C3"/>
    <w:rsid w:val="5ED01686"/>
    <w:rsid w:val="5EDC0C9B"/>
    <w:rsid w:val="5EE17A4E"/>
    <w:rsid w:val="5F230887"/>
    <w:rsid w:val="5FB95A60"/>
    <w:rsid w:val="613F1521"/>
    <w:rsid w:val="62AB5EDE"/>
    <w:rsid w:val="634936A0"/>
    <w:rsid w:val="634C419C"/>
    <w:rsid w:val="63BB638F"/>
    <w:rsid w:val="643117AC"/>
    <w:rsid w:val="64C044F0"/>
    <w:rsid w:val="64D73325"/>
    <w:rsid w:val="653D1756"/>
    <w:rsid w:val="65AC73D3"/>
    <w:rsid w:val="665036B4"/>
    <w:rsid w:val="667E0557"/>
    <w:rsid w:val="66C1469D"/>
    <w:rsid w:val="676D7A10"/>
    <w:rsid w:val="67B4507A"/>
    <w:rsid w:val="68352BB8"/>
    <w:rsid w:val="698B195D"/>
    <w:rsid w:val="69DC7CD7"/>
    <w:rsid w:val="6A712AA6"/>
    <w:rsid w:val="6A9D4318"/>
    <w:rsid w:val="6AA617CA"/>
    <w:rsid w:val="6B3929BF"/>
    <w:rsid w:val="6B79129C"/>
    <w:rsid w:val="6B7F5B9C"/>
    <w:rsid w:val="6BB07D1E"/>
    <w:rsid w:val="6BC447D1"/>
    <w:rsid w:val="6CA04F32"/>
    <w:rsid w:val="6CC4275D"/>
    <w:rsid w:val="6CF0373E"/>
    <w:rsid w:val="6E5E3CA9"/>
    <w:rsid w:val="6FF173C5"/>
    <w:rsid w:val="70324C27"/>
    <w:rsid w:val="714F0C57"/>
    <w:rsid w:val="735963D1"/>
    <w:rsid w:val="73F27ED0"/>
    <w:rsid w:val="744203E7"/>
    <w:rsid w:val="74675B13"/>
    <w:rsid w:val="75E86C06"/>
    <w:rsid w:val="76213C35"/>
    <w:rsid w:val="76A50E7A"/>
    <w:rsid w:val="776C4668"/>
    <w:rsid w:val="7873037D"/>
    <w:rsid w:val="788246AD"/>
    <w:rsid w:val="78A50D19"/>
    <w:rsid w:val="78AC25B5"/>
    <w:rsid w:val="79DF7B7D"/>
    <w:rsid w:val="79E07BCF"/>
    <w:rsid w:val="79FA0E88"/>
    <w:rsid w:val="7A4C72DE"/>
    <w:rsid w:val="7A802F08"/>
    <w:rsid w:val="7B7BD930"/>
    <w:rsid w:val="7BA1047A"/>
    <w:rsid w:val="7BB17685"/>
    <w:rsid w:val="7BEA20C0"/>
    <w:rsid w:val="7CA14179"/>
    <w:rsid w:val="7CFC8B1A"/>
    <w:rsid w:val="7D032E2D"/>
    <w:rsid w:val="7D6C09D3"/>
    <w:rsid w:val="7E2F02E1"/>
    <w:rsid w:val="7F037115"/>
    <w:rsid w:val="7F155DFD"/>
    <w:rsid w:val="7F1E3F4E"/>
    <w:rsid w:val="7F894C69"/>
    <w:rsid w:val="7FA4383C"/>
    <w:rsid w:val="7FE81636"/>
    <w:rsid w:val="DDDF1715"/>
    <w:rsid w:val="DFBFF893"/>
    <w:rsid w:val="F7A30E35"/>
    <w:rsid w:val="FECB7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35"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qFormat="1" w:unhideWhenUsed="0" w:uiPriority="0" w:semiHidden="0" w:name="Closing"/>
    <w:lsdException w:qFormat="1"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qFormat="1" w:unhideWhenUsed="0" w:uiPriority="0" w:semiHidden="0" w:name="Table Classic 2"/>
    <w:lsdException w:qFormat="1"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qFormat="1" w:unhideWhenUsed="0" w:uiPriority="0" w:semiHidden="0" w:name="Table List 2"/>
    <w:lsdException w:qFormat="1" w:unhideWhenUsed="0" w:uiPriority="0" w:semiHidden="0" w:name="Table List 3"/>
    <w:lsdException w:qFormat="1"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qFormat="1" w:unhideWhenUsed="0" w:uiPriority="0" w:semiHidden="0" w:name="Table Subtle 1"/>
    <w:lsdException w:qFormat="1" w:unhideWhenUsed="0" w:uiPriority="0" w:semiHidden="0" w:name="Table Subtle 2"/>
    <w:lsdException w:qFormat="1" w:unhideWhenUsed="0" w:uiPriority="0" w:semiHidden="0" w:name="Table Web 1"/>
    <w:lsdException w:qFormat="1" w:unhideWhenUsed="0" w:uiPriority="0" w:semiHidden="0" w:name="Table Web 2"/>
    <w:lsdException w:qFormat="1"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1"/>
    <w:qFormat/>
    <w:uiPriority w:val="0"/>
    <w:pPr>
      <w:jc w:val="center"/>
      <w:outlineLvl w:val="0"/>
    </w:pPr>
    <w:rPr>
      <w:rFonts w:ascii="Times New Roman" w:hAnsi="Times New Roman" w:eastAsia="宋体" w:cs="Times New Roman"/>
      <w:b/>
      <w:kern w:val="0"/>
      <w:sz w:val="32"/>
      <w:szCs w:val="20"/>
    </w:rPr>
  </w:style>
  <w:style w:type="paragraph" w:styleId="3">
    <w:name w:val="heading 2"/>
    <w:basedOn w:val="1"/>
    <w:next w:val="1"/>
    <w:link w:val="142"/>
    <w:qFormat/>
    <w:uiPriority w:val="0"/>
    <w:pPr>
      <w:spacing w:before="240" w:after="240" w:line="480" w:lineRule="auto"/>
      <w:jc w:val="center"/>
      <w:outlineLvl w:val="1"/>
    </w:pPr>
    <w:rPr>
      <w:rFonts w:ascii="Times New Roman" w:hAnsi="Times New Roman" w:eastAsia="宋体" w:cs="Times New Roman"/>
      <w:b/>
      <w:kern w:val="0"/>
      <w:sz w:val="28"/>
      <w:szCs w:val="20"/>
    </w:rPr>
  </w:style>
  <w:style w:type="paragraph" w:styleId="4">
    <w:name w:val="heading 3"/>
    <w:basedOn w:val="1"/>
    <w:next w:val="1"/>
    <w:link w:val="143"/>
    <w:qFormat/>
    <w:uiPriority w:val="0"/>
    <w:pPr>
      <w:spacing w:before="240" w:after="240"/>
      <w:ind w:left="720" w:hanging="432"/>
      <w:outlineLvl w:val="2"/>
    </w:pPr>
    <w:rPr>
      <w:rFonts w:ascii="Times New Roman" w:hAnsi="Times New Roman" w:eastAsia="宋体" w:cs="Times New Roman"/>
      <w:b/>
      <w:kern w:val="0"/>
      <w:sz w:val="24"/>
      <w:szCs w:val="20"/>
    </w:rPr>
  </w:style>
  <w:style w:type="paragraph" w:styleId="5">
    <w:name w:val="heading 4"/>
    <w:basedOn w:val="1"/>
    <w:next w:val="1"/>
    <w:link w:val="144"/>
    <w:qFormat/>
    <w:uiPriority w:val="0"/>
    <w:pPr>
      <w:spacing w:before="120" w:after="120"/>
      <w:ind w:left="864" w:hanging="144"/>
      <w:outlineLvl w:val="3"/>
    </w:pPr>
    <w:rPr>
      <w:rFonts w:ascii="Times New Roman" w:hAnsi="Times New Roman" w:eastAsia="宋体" w:cs="Times New Roman"/>
      <w:b/>
      <w:kern w:val="0"/>
      <w:sz w:val="22"/>
      <w:szCs w:val="20"/>
    </w:rPr>
  </w:style>
  <w:style w:type="paragraph" w:styleId="6">
    <w:name w:val="heading 5"/>
    <w:basedOn w:val="1"/>
    <w:next w:val="1"/>
    <w:link w:val="145"/>
    <w:qFormat/>
    <w:uiPriority w:val="0"/>
    <w:pPr>
      <w:ind w:left="1008" w:hanging="432"/>
      <w:outlineLvl w:val="4"/>
    </w:pPr>
    <w:rPr>
      <w:rFonts w:ascii="Times New Roman" w:hAnsi="Times New Roman" w:eastAsia="宋体" w:cs="Times New Roman"/>
      <w:kern w:val="0"/>
      <w:sz w:val="20"/>
      <w:szCs w:val="20"/>
    </w:rPr>
  </w:style>
  <w:style w:type="paragraph" w:styleId="7">
    <w:name w:val="heading 6"/>
    <w:basedOn w:val="1"/>
    <w:next w:val="1"/>
    <w:link w:val="146"/>
    <w:qFormat/>
    <w:uiPriority w:val="0"/>
    <w:pPr>
      <w:ind w:left="1152" w:hanging="432"/>
      <w:outlineLvl w:val="5"/>
    </w:pPr>
    <w:rPr>
      <w:rFonts w:ascii="Times New Roman" w:hAnsi="Times New Roman" w:eastAsia="宋体" w:cs="Times New Roman"/>
      <w:kern w:val="0"/>
      <w:sz w:val="20"/>
      <w:szCs w:val="20"/>
    </w:rPr>
  </w:style>
  <w:style w:type="paragraph" w:styleId="8">
    <w:name w:val="heading 7"/>
    <w:basedOn w:val="1"/>
    <w:next w:val="1"/>
    <w:link w:val="147"/>
    <w:qFormat/>
    <w:uiPriority w:val="0"/>
    <w:pPr>
      <w:ind w:left="1296" w:hanging="288"/>
      <w:outlineLvl w:val="6"/>
    </w:pPr>
    <w:rPr>
      <w:rFonts w:ascii="Times New Roman" w:hAnsi="Times New Roman" w:eastAsia="宋体" w:cs="Times New Roman"/>
      <w:kern w:val="0"/>
      <w:sz w:val="20"/>
      <w:szCs w:val="20"/>
    </w:rPr>
  </w:style>
  <w:style w:type="paragraph" w:styleId="9">
    <w:name w:val="heading 8"/>
    <w:basedOn w:val="1"/>
    <w:next w:val="1"/>
    <w:link w:val="148"/>
    <w:qFormat/>
    <w:uiPriority w:val="0"/>
    <w:pPr>
      <w:ind w:left="1440" w:hanging="432"/>
      <w:outlineLvl w:val="7"/>
    </w:pPr>
    <w:rPr>
      <w:rFonts w:ascii="Times New Roman" w:hAnsi="Times New Roman" w:eastAsia="宋体" w:cs="Times New Roman"/>
      <w:kern w:val="0"/>
      <w:sz w:val="20"/>
      <w:szCs w:val="20"/>
    </w:rPr>
  </w:style>
  <w:style w:type="paragraph" w:styleId="10">
    <w:name w:val="heading 9"/>
    <w:basedOn w:val="1"/>
    <w:next w:val="1"/>
    <w:link w:val="149"/>
    <w:qFormat/>
    <w:uiPriority w:val="0"/>
    <w:pPr>
      <w:ind w:left="1584" w:hanging="144"/>
      <w:outlineLvl w:val="8"/>
    </w:pPr>
    <w:rPr>
      <w:rFonts w:ascii="Times New Roman" w:hAnsi="Times New Roman" w:eastAsia="宋体" w:cs="Times New Roman"/>
      <w:kern w:val="0"/>
      <w:sz w:val="20"/>
      <w:szCs w:val="20"/>
    </w:rPr>
  </w:style>
  <w:style w:type="character" w:default="1" w:styleId="125">
    <w:name w:val="Default Paragraph Font"/>
    <w:semiHidden/>
    <w:unhideWhenUsed/>
    <w:qFormat/>
    <w:uiPriority w:val="1"/>
  </w:style>
  <w:style w:type="table" w:default="1" w:styleId="80">
    <w:name w:val="Normal Table"/>
    <w:semiHidden/>
    <w:unhideWhenUsed/>
    <w:qFormat/>
    <w:uiPriority w:val="99"/>
    <w:tblPr>
      <w:tblLayout w:type="fixed"/>
      <w:tblCellMar>
        <w:top w:w="0" w:type="dxa"/>
        <w:left w:w="108" w:type="dxa"/>
        <w:bottom w:w="0" w:type="dxa"/>
        <w:right w:w="108" w:type="dxa"/>
      </w:tblCellMar>
    </w:tblPr>
  </w:style>
  <w:style w:type="paragraph" w:styleId="11">
    <w:name w:val="List 3"/>
    <w:basedOn w:val="1"/>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qFormat/>
    <w:uiPriority w:val="0"/>
    <w:pPr>
      <w:ind w:left="2520" w:leftChars="1200"/>
    </w:pPr>
    <w:rPr>
      <w:rFonts w:ascii="Times New Roman" w:hAnsi="Times New Roman" w:eastAsia="宋体" w:cs="Times New Roman"/>
      <w:szCs w:val="20"/>
    </w:rPr>
  </w:style>
  <w:style w:type="paragraph" w:styleId="13">
    <w:name w:val="List Number 2"/>
    <w:basedOn w:val="1"/>
    <w:qFormat/>
    <w:uiPriority w:val="0"/>
    <w:pPr>
      <w:tabs>
        <w:tab w:val="left" w:pos="780"/>
      </w:tabs>
      <w:ind w:left="780" w:hanging="360"/>
    </w:pPr>
    <w:rPr>
      <w:rFonts w:ascii="Times New Roman" w:hAnsi="Times New Roman" w:eastAsia="宋体" w:cs="Times New Roman"/>
      <w:szCs w:val="24"/>
    </w:rPr>
  </w:style>
  <w:style w:type="paragraph" w:styleId="14">
    <w:name w:val="Note Heading"/>
    <w:basedOn w:val="1"/>
    <w:next w:val="1"/>
    <w:link w:val="154"/>
    <w:qFormat/>
    <w:uiPriority w:val="0"/>
    <w:pPr>
      <w:jc w:val="center"/>
    </w:pPr>
    <w:rPr>
      <w:rFonts w:ascii="Times New Roman" w:hAnsi="Times New Roman" w:eastAsia="宋体" w:cs="Times New Roman"/>
      <w:szCs w:val="24"/>
    </w:rPr>
  </w:style>
  <w:style w:type="paragraph" w:styleId="15">
    <w:name w:val="List Bullet 4"/>
    <w:basedOn w:val="1"/>
    <w:qFormat/>
    <w:uiPriority w:val="0"/>
    <w:pPr>
      <w:tabs>
        <w:tab w:val="left" w:pos="1620"/>
      </w:tabs>
      <w:ind w:left="1620" w:hanging="360"/>
    </w:pPr>
    <w:rPr>
      <w:rFonts w:ascii="Times New Roman" w:hAnsi="Times New Roman" w:eastAsia="宋体" w:cs="Times New Roman"/>
      <w:szCs w:val="24"/>
    </w:rPr>
  </w:style>
  <w:style w:type="paragraph" w:styleId="16">
    <w:name w:val="index 8"/>
    <w:basedOn w:val="1"/>
    <w:next w:val="1"/>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55"/>
    <w:qFormat/>
    <w:uiPriority w:val="0"/>
    <w:rPr>
      <w:rFonts w:ascii="Times New Roman" w:hAnsi="Times New Roman" w:eastAsia="宋体" w:cs="Times New Roman"/>
      <w:szCs w:val="24"/>
    </w:rPr>
  </w:style>
  <w:style w:type="paragraph" w:styleId="18">
    <w:name w:val="List Number"/>
    <w:basedOn w:val="1"/>
    <w:qFormat/>
    <w:uiPriority w:val="0"/>
    <w:pPr>
      <w:tabs>
        <w:tab w:val="left" w:pos="360"/>
      </w:tabs>
      <w:ind w:left="360" w:hanging="360"/>
    </w:pPr>
    <w:rPr>
      <w:rFonts w:ascii="Times New Roman" w:hAnsi="Times New Roman" w:eastAsia="宋体" w:cs="Times New Roman"/>
      <w:szCs w:val="24"/>
    </w:rPr>
  </w:style>
  <w:style w:type="paragraph" w:styleId="19">
    <w:name w:val="index 5"/>
    <w:basedOn w:val="1"/>
    <w:next w:val="1"/>
    <w:qFormat/>
    <w:uiPriority w:val="0"/>
    <w:pPr>
      <w:ind w:left="1050" w:hanging="210"/>
      <w:jc w:val="left"/>
    </w:pPr>
    <w:rPr>
      <w:rFonts w:ascii="Times New Roman" w:hAnsi="Times New Roman" w:eastAsia="宋体" w:cs="Times New Roman"/>
      <w:sz w:val="20"/>
      <w:szCs w:val="20"/>
    </w:rPr>
  </w:style>
  <w:style w:type="paragraph" w:styleId="20">
    <w:name w:val="List Bullet"/>
    <w:basedOn w:val="1"/>
    <w:qFormat/>
    <w:uiPriority w:val="0"/>
    <w:pPr>
      <w:tabs>
        <w:tab w:val="left" w:pos="360"/>
      </w:tabs>
      <w:ind w:left="360" w:hanging="360"/>
    </w:pPr>
    <w:rPr>
      <w:rFonts w:ascii="Times New Roman" w:hAnsi="Times New Roman" w:eastAsia="宋体" w:cs="Times New Roman"/>
      <w:szCs w:val="24"/>
    </w:rPr>
  </w:style>
  <w:style w:type="paragraph" w:styleId="21">
    <w:name w:val="envelope address"/>
    <w:basedOn w:val="1"/>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6"/>
    <w:qFormat/>
    <w:uiPriority w:val="0"/>
    <w:pPr>
      <w:shd w:val="clear" w:color="auto" w:fill="000080"/>
    </w:pPr>
    <w:rPr>
      <w:rFonts w:ascii="Times New Roman" w:hAnsi="Times New Roman" w:eastAsia="宋体" w:cs="Times New Roman"/>
      <w:szCs w:val="20"/>
    </w:rPr>
  </w:style>
  <w:style w:type="paragraph" w:styleId="23">
    <w:name w:val="toa heading"/>
    <w:basedOn w:val="1"/>
    <w:next w:val="1"/>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50"/>
    <w:unhideWhenUsed/>
    <w:qFormat/>
    <w:uiPriority w:val="0"/>
    <w:pPr>
      <w:jc w:val="left"/>
    </w:pPr>
  </w:style>
  <w:style w:type="paragraph" w:styleId="25">
    <w:name w:val="index 6"/>
    <w:basedOn w:val="1"/>
    <w:next w:val="1"/>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57"/>
    <w:qFormat/>
    <w:uiPriority w:val="0"/>
    <w:rPr>
      <w:rFonts w:ascii="Times New Roman" w:hAnsi="Times New Roman" w:eastAsia="宋体" w:cs="Times New Roman"/>
      <w:szCs w:val="24"/>
    </w:rPr>
  </w:style>
  <w:style w:type="paragraph" w:styleId="27">
    <w:name w:val="Body Text 3"/>
    <w:basedOn w:val="1"/>
    <w:link w:val="158"/>
    <w:qFormat/>
    <w:uiPriority w:val="0"/>
    <w:pPr>
      <w:spacing w:after="120"/>
    </w:pPr>
    <w:rPr>
      <w:rFonts w:ascii="Times New Roman" w:hAnsi="Times New Roman" w:eastAsia="宋体" w:cs="Times New Roman"/>
      <w:sz w:val="16"/>
      <w:szCs w:val="16"/>
    </w:rPr>
  </w:style>
  <w:style w:type="paragraph" w:styleId="28">
    <w:name w:val="Closing"/>
    <w:basedOn w:val="1"/>
    <w:link w:val="159"/>
    <w:qFormat/>
    <w:uiPriority w:val="0"/>
    <w:pPr>
      <w:ind w:left="100" w:leftChars="2100"/>
    </w:pPr>
    <w:rPr>
      <w:rFonts w:ascii="Times New Roman" w:hAnsi="Times New Roman" w:eastAsia="宋体" w:cs="Times New Roman"/>
      <w:szCs w:val="24"/>
    </w:rPr>
  </w:style>
  <w:style w:type="paragraph" w:styleId="29">
    <w:name w:val="List Bullet 3"/>
    <w:basedOn w:val="1"/>
    <w:qFormat/>
    <w:uiPriority w:val="0"/>
    <w:pPr>
      <w:tabs>
        <w:tab w:val="left" w:pos="1200"/>
      </w:tabs>
      <w:ind w:left="1200" w:hanging="360"/>
    </w:pPr>
    <w:rPr>
      <w:rFonts w:ascii="Times New Roman" w:hAnsi="Times New Roman" w:eastAsia="宋体" w:cs="Times New Roman"/>
      <w:szCs w:val="24"/>
    </w:rPr>
  </w:style>
  <w:style w:type="paragraph" w:styleId="30">
    <w:name w:val="Body Text"/>
    <w:basedOn w:val="1"/>
    <w:link w:val="152"/>
    <w:unhideWhenUsed/>
    <w:qFormat/>
    <w:uiPriority w:val="99"/>
    <w:pPr>
      <w:spacing w:after="120"/>
    </w:pPr>
  </w:style>
  <w:style w:type="paragraph" w:styleId="31">
    <w:name w:val="Body Text Indent"/>
    <w:basedOn w:val="1"/>
    <w:link w:val="160"/>
    <w:qFormat/>
    <w:uiPriority w:val="99"/>
    <w:pPr>
      <w:spacing w:after="120"/>
      <w:ind w:left="420" w:leftChars="200"/>
    </w:pPr>
    <w:rPr>
      <w:rFonts w:ascii="Times New Roman" w:hAnsi="Times New Roman" w:eastAsia="宋体" w:cs="Times New Roman"/>
      <w:szCs w:val="20"/>
    </w:rPr>
  </w:style>
  <w:style w:type="paragraph" w:styleId="32">
    <w:name w:val="List Number 3"/>
    <w:basedOn w:val="1"/>
    <w:qFormat/>
    <w:uiPriority w:val="0"/>
    <w:pPr>
      <w:tabs>
        <w:tab w:val="left" w:pos="1200"/>
      </w:tabs>
      <w:ind w:left="1200" w:hanging="360"/>
    </w:pPr>
    <w:rPr>
      <w:rFonts w:ascii="Times New Roman" w:hAnsi="Times New Roman" w:eastAsia="宋体" w:cs="Times New Roman"/>
      <w:szCs w:val="24"/>
    </w:rPr>
  </w:style>
  <w:style w:type="paragraph" w:styleId="33">
    <w:name w:val="List 2"/>
    <w:basedOn w:val="1"/>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qFormat/>
    <w:uiPriority w:val="0"/>
    <w:pPr>
      <w:spacing w:after="120"/>
      <w:ind w:left="420" w:leftChars="200"/>
    </w:pPr>
    <w:rPr>
      <w:rFonts w:ascii="Times New Roman" w:hAnsi="Times New Roman" w:eastAsia="宋体" w:cs="Times New Roman"/>
      <w:szCs w:val="24"/>
    </w:rPr>
  </w:style>
  <w:style w:type="paragraph" w:styleId="35">
    <w:name w:val="Block Text"/>
    <w:basedOn w:val="1"/>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qFormat/>
    <w:uiPriority w:val="0"/>
    <w:pPr>
      <w:tabs>
        <w:tab w:val="left" w:pos="780"/>
      </w:tabs>
      <w:ind w:left="780" w:hanging="360"/>
    </w:pPr>
    <w:rPr>
      <w:rFonts w:ascii="Times New Roman" w:hAnsi="Times New Roman" w:eastAsia="宋体" w:cs="Times New Roman"/>
      <w:szCs w:val="24"/>
    </w:rPr>
  </w:style>
  <w:style w:type="paragraph" w:styleId="37">
    <w:name w:val="HTML Address"/>
    <w:basedOn w:val="1"/>
    <w:link w:val="161"/>
    <w:qFormat/>
    <w:uiPriority w:val="0"/>
    <w:rPr>
      <w:rFonts w:ascii="Times New Roman" w:hAnsi="Times New Roman" w:eastAsia="宋体" w:cs="Times New Roman"/>
      <w:i/>
      <w:iCs/>
      <w:szCs w:val="24"/>
    </w:rPr>
  </w:style>
  <w:style w:type="paragraph" w:styleId="38">
    <w:name w:val="index 4"/>
    <w:basedOn w:val="1"/>
    <w:next w:val="1"/>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qFormat/>
    <w:uiPriority w:val="0"/>
    <w:pPr>
      <w:ind w:left="1680" w:leftChars="800"/>
    </w:pPr>
    <w:rPr>
      <w:rFonts w:ascii="Times New Roman" w:hAnsi="Times New Roman" w:eastAsia="宋体" w:cs="Times New Roman"/>
      <w:szCs w:val="20"/>
    </w:rPr>
  </w:style>
  <w:style w:type="paragraph" w:styleId="40">
    <w:name w:val="toc 3"/>
    <w:basedOn w:val="1"/>
    <w:next w:val="1"/>
    <w:qFormat/>
    <w:uiPriority w:val="0"/>
    <w:pPr>
      <w:ind w:left="840" w:leftChars="400"/>
    </w:pPr>
    <w:rPr>
      <w:rFonts w:ascii="Times New Roman" w:hAnsi="Times New Roman" w:eastAsia="宋体" w:cs="Times New Roman"/>
      <w:szCs w:val="20"/>
    </w:rPr>
  </w:style>
  <w:style w:type="paragraph" w:styleId="41">
    <w:name w:val="Plain Text"/>
    <w:basedOn w:val="1"/>
    <w:link w:val="162"/>
    <w:qFormat/>
    <w:uiPriority w:val="0"/>
    <w:rPr>
      <w:rFonts w:ascii="宋体" w:hAnsi="Courier New" w:eastAsia="宋体" w:cs="Times New Roman"/>
      <w:kern w:val="0"/>
      <w:sz w:val="20"/>
      <w:szCs w:val="21"/>
    </w:rPr>
  </w:style>
  <w:style w:type="paragraph" w:styleId="42">
    <w:name w:val="List Bullet 5"/>
    <w:basedOn w:val="1"/>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qFormat/>
    <w:uiPriority w:val="0"/>
    <w:pPr>
      <w:tabs>
        <w:tab w:val="left" w:pos="1620"/>
      </w:tabs>
      <w:ind w:left="1620" w:hanging="360"/>
    </w:pPr>
    <w:rPr>
      <w:rFonts w:ascii="Times New Roman" w:hAnsi="Times New Roman" w:eastAsia="宋体" w:cs="Times New Roman"/>
      <w:szCs w:val="24"/>
    </w:rPr>
  </w:style>
  <w:style w:type="paragraph" w:styleId="44">
    <w:name w:val="toc 8"/>
    <w:basedOn w:val="1"/>
    <w:next w:val="1"/>
    <w:qFormat/>
    <w:uiPriority w:val="0"/>
    <w:pPr>
      <w:ind w:left="2940" w:leftChars="1400"/>
    </w:pPr>
    <w:rPr>
      <w:rFonts w:ascii="Times New Roman" w:hAnsi="Times New Roman" w:eastAsia="宋体" w:cs="Times New Roman"/>
      <w:szCs w:val="20"/>
    </w:rPr>
  </w:style>
  <w:style w:type="paragraph" w:styleId="45">
    <w:name w:val="index 3"/>
    <w:basedOn w:val="1"/>
    <w:next w:val="1"/>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163"/>
    <w:qFormat/>
    <w:uiPriority w:val="0"/>
    <w:pPr>
      <w:ind w:left="100" w:leftChars="2500"/>
    </w:pPr>
    <w:rPr>
      <w:rFonts w:ascii="Times New Roman" w:hAnsi="Times New Roman" w:eastAsia="宋体" w:cs="Times New Roman"/>
      <w:szCs w:val="20"/>
    </w:rPr>
  </w:style>
  <w:style w:type="paragraph" w:styleId="47">
    <w:name w:val="Body Text Indent 2"/>
    <w:basedOn w:val="1"/>
    <w:link w:val="164"/>
    <w:qFormat/>
    <w:uiPriority w:val="0"/>
    <w:pPr>
      <w:spacing w:after="120" w:line="480" w:lineRule="auto"/>
      <w:ind w:left="420" w:leftChars="200"/>
    </w:pPr>
    <w:rPr>
      <w:rFonts w:ascii="Times New Roman" w:hAnsi="Times New Roman" w:eastAsia="宋体" w:cs="Times New Roman"/>
      <w:szCs w:val="24"/>
    </w:rPr>
  </w:style>
  <w:style w:type="paragraph" w:styleId="48">
    <w:name w:val="endnote text"/>
    <w:basedOn w:val="1"/>
    <w:link w:val="165"/>
    <w:qFormat/>
    <w:uiPriority w:val="0"/>
    <w:pPr>
      <w:snapToGrid w:val="0"/>
      <w:jc w:val="left"/>
    </w:pPr>
    <w:rPr>
      <w:rFonts w:ascii="Times New Roman" w:hAnsi="Times New Roman" w:eastAsia="宋体" w:cs="Times New Roman"/>
      <w:szCs w:val="24"/>
    </w:rPr>
  </w:style>
  <w:style w:type="paragraph" w:styleId="49">
    <w:name w:val="List Continue 5"/>
    <w:basedOn w:val="1"/>
    <w:qFormat/>
    <w:uiPriority w:val="0"/>
    <w:pPr>
      <w:spacing w:after="120"/>
      <w:ind w:left="2100" w:leftChars="1000"/>
    </w:pPr>
    <w:rPr>
      <w:rFonts w:ascii="Times New Roman" w:hAnsi="Times New Roman" w:eastAsia="宋体" w:cs="Times New Roman"/>
      <w:szCs w:val="24"/>
    </w:rPr>
  </w:style>
  <w:style w:type="paragraph" w:styleId="50">
    <w:name w:val="Balloon Text"/>
    <w:basedOn w:val="1"/>
    <w:link w:val="166"/>
    <w:qFormat/>
    <w:uiPriority w:val="0"/>
    <w:rPr>
      <w:rFonts w:ascii="Times New Roman" w:hAnsi="Times New Roman" w:eastAsia="宋体" w:cs="Times New Roman"/>
      <w:sz w:val="18"/>
      <w:szCs w:val="18"/>
    </w:rPr>
  </w:style>
  <w:style w:type="paragraph" w:styleId="51">
    <w:name w:val="footer"/>
    <w:basedOn w:val="1"/>
    <w:link w:val="167"/>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2">
    <w:name w:val="envelope return"/>
    <w:basedOn w:val="1"/>
    <w:qFormat/>
    <w:uiPriority w:val="0"/>
    <w:pPr>
      <w:snapToGrid w:val="0"/>
    </w:pPr>
    <w:rPr>
      <w:rFonts w:ascii="Arial" w:hAnsi="Arial" w:eastAsia="宋体" w:cs="Arial"/>
      <w:szCs w:val="24"/>
    </w:rPr>
  </w:style>
  <w:style w:type="paragraph" w:styleId="53">
    <w:name w:val="header"/>
    <w:basedOn w:val="1"/>
    <w:link w:val="169"/>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4">
    <w:name w:val="Signature"/>
    <w:basedOn w:val="1"/>
    <w:link w:val="170"/>
    <w:qFormat/>
    <w:uiPriority w:val="0"/>
    <w:pPr>
      <w:ind w:left="100" w:leftChars="2100"/>
    </w:pPr>
    <w:rPr>
      <w:rFonts w:ascii="Times New Roman" w:hAnsi="Times New Roman" w:eastAsia="宋体" w:cs="Times New Roman"/>
      <w:szCs w:val="24"/>
    </w:rPr>
  </w:style>
  <w:style w:type="paragraph" w:styleId="55">
    <w:name w:val="toc 1"/>
    <w:basedOn w:val="1"/>
    <w:next w:val="1"/>
    <w:qFormat/>
    <w:uiPriority w:val="0"/>
    <w:rPr>
      <w:rFonts w:ascii="Times New Roman" w:hAnsi="Times New Roman" w:eastAsia="宋体" w:cs="Times New Roman"/>
      <w:szCs w:val="20"/>
    </w:rPr>
  </w:style>
  <w:style w:type="paragraph" w:styleId="56">
    <w:name w:val="List Continue 4"/>
    <w:basedOn w:val="1"/>
    <w:qFormat/>
    <w:uiPriority w:val="0"/>
    <w:pPr>
      <w:spacing w:after="120"/>
      <w:ind w:left="1680" w:leftChars="800"/>
    </w:pPr>
    <w:rPr>
      <w:rFonts w:ascii="Times New Roman" w:hAnsi="Times New Roman" w:eastAsia="宋体" w:cs="Times New Roman"/>
      <w:szCs w:val="24"/>
    </w:rPr>
  </w:style>
  <w:style w:type="paragraph" w:styleId="57">
    <w:name w:val="toc 4"/>
    <w:basedOn w:val="1"/>
    <w:next w:val="1"/>
    <w:qFormat/>
    <w:uiPriority w:val="0"/>
    <w:pPr>
      <w:ind w:left="1260" w:leftChars="600"/>
    </w:pPr>
    <w:rPr>
      <w:rFonts w:ascii="Times New Roman" w:hAnsi="Times New Roman" w:eastAsia="宋体" w:cs="Times New Roman"/>
      <w:szCs w:val="20"/>
    </w:rPr>
  </w:style>
  <w:style w:type="paragraph" w:styleId="58">
    <w:name w:val="index heading"/>
    <w:basedOn w:val="1"/>
    <w:next w:val="59"/>
    <w:qFormat/>
    <w:uiPriority w:val="0"/>
    <w:pPr>
      <w:spacing w:before="120" w:after="120"/>
      <w:jc w:val="left"/>
    </w:pPr>
    <w:rPr>
      <w:rFonts w:ascii="Times New Roman" w:hAnsi="Times New Roman" w:eastAsia="宋体" w:cs="Times New Roman"/>
      <w:b/>
      <w:bCs/>
      <w:i/>
      <w:iCs/>
      <w:sz w:val="20"/>
      <w:szCs w:val="20"/>
    </w:rPr>
  </w:style>
  <w:style w:type="paragraph" w:styleId="59">
    <w:name w:val="index 1"/>
    <w:basedOn w:val="1"/>
    <w:next w:val="1"/>
    <w:unhideWhenUsed/>
    <w:qFormat/>
    <w:uiPriority w:val="0"/>
  </w:style>
  <w:style w:type="paragraph" w:styleId="60">
    <w:name w:val="List Number 5"/>
    <w:basedOn w:val="1"/>
    <w:qFormat/>
    <w:uiPriority w:val="0"/>
    <w:pPr>
      <w:tabs>
        <w:tab w:val="left" w:pos="2040"/>
      </w:tabs>
      <w:ind w:left="2040" w:hanging="360"/>
    </w:pPr>
    <w:rPr>
      <w:rFonts w:ascii="Times New Roman" w:hAnsi="Times New Roman" w:eastAsia="宋体" w:cs="Times New Roman"/>
      <w:szCs w:val="24"/>
    </w:rPr>
  </w:style>
  <w:style w:type="paragraph" w:styleId="61">
    <w:name w:val="List"/>
    <w:basedOn w:val="1"/>
    <w:qFormat/>
    <w:uiPriority w:val="0"/>
    <w:pPr>
      <w:ind w:left="200" w:hanging="200" w:hangingChars="200"/>
    </w:pPr>
    <w:rPr>
      <w:rFonts w:ascii="Times New Roman" w:hAnsi="Times New Roman" w:eastAsia="宋体" w:cs="Times New Roman"/>
      <w:szCs w:val="24"/>
    </w:rPr>
  </w:style>
  <w:style w:type="paragraph" w:styleId="62">
    <w:name w:val="footnote text"/>
    <w:basedOn w:val="1"/>
    <w:link w:val="171"/>
    <w:qFormat/>
    <w:uiPriority w:val="0"/>
    <w:pPr>
      <w:snapToGrid w:val="0"/>
      <w:jc w:val="left"/>
    </w:pPr>
    <w:rPr>
      <w:rFonts w:ascii="Times New Roman" w:hAnsi="Times New Roman" w:eastAsia="宋体" w:cs="Times New Roman"/>
      <w:sz w:val="18"/>
      <w:szCs w:val="20"/>
    </w:rPr>
  </w:style>
  <w:style w:type="paragraph" w:styleId="63">
    <w:name w:val="toc 6"/>
    <w:basedOn w:val="1"/>
    <w:next w:val="1"/>
    <w:qFormat/>
    <w:uiPriority w:val="0"/>
    <w:pPr>
      <w:ind w:left="2100" w:leftChars="1000"/>
    </w:pPr>
    <w:rPr>
      <w:rFonts w:ascii="Times New Roman" w:hAnsi="Times New Roman" w:eastAsia="宋体" w:cs="Times New Roman"/>
      <w:szCs w:val="20"/>
    </w:rPr>
  </w:style>
  <w:style w:type="paragraph" w:styleId="64">
    <w:name w:val="List 5"/>
    <w:basedOn w:val="1"/>
    <w:qFormat/>
    <w:uiPriority w:val="0"/>
    <w:pPr>
      <w:ind w:left="100" w:leftChars="800" w:hanging="200" w:hangingChars="200"/>
    </w:pPr>
    <w:rPr>
      <w:rFonts w:ascii="Times New Roman" w:hAnsi="Times New Roman" w:eastAsia="宋体" w:cs="Times New Roman"/>
      <w:szCs w:val="24"/>
    </w:rPr>
  </w:style>
  <w:style w:type="paragraph" w:styleId="65">
    <w:name w:val="index 7"/>
    <w:basedOn w:val="1"/>
    <w:next w:val="1"/>
    <w:qFormat/>
    <w:uiPriority w:val="0"/>
    <w:pPr>
      <w:ind w:left="1470" w:hanging="210"/>
      <w:jc w:val="left"/>
    </w:pPr>
    <w:rPr>
      <w:rFonts w:ascii="Times New Roman" w:hAnsi="Times New Roman" w:eastAsia="宋体" w:cs="Times New Roman"/>
      <w:sz w:val="20"/>
      <w:szCs w:val="20"/>
    </w:rPr>
  </w:style>
  <w:style w:type="paragraph" w:styleId="66">
    <w:name w:val="index 9"/>
    <w:basedOn w:val="1"/>
    <w:next w:val="1"/>
    <w:qFormat/>
    <w:uiPriority w:val="0"/>
    <w:pPr>
      <w:ind w:left="1890" w:hanging="210"/>
      <w:jc w:val="left"/>
    </w:pPr>
    <w:rPr>
      <w:rFonts w:ascii="Times New Roman" w:hAnsi="Times New Roman" w:eastAsia="宋体" w:cs="Times New Roman"/>
      <w:sz w:val="20"/>
      <w:szCs w:val="20"/>
    </w:rPr>
  </w:style>
  <w:style w:type="paragraph" w:styleId="67">
    <w:name w:val="table of figures"/>
    <w:basedOn w:val="1"/>
    <w:next w:val="1"/>
    <w:qFormat/>
    <w:uiPriority w:val="0"/>
    <w:pPr>
      <w:ind w:left="200" w:leftChars="200" w:hanging="200" w:hangingChars="200"/>
    </w:pPr>
    <w:rPr>
      <w:rFonts w:ascii="Times New Roman" w:hAnsi="Times New Roman" w:eastAsia="宋体" w:cs="Times New Roman"/>
      <w:sz w:val="24"/>
      <w:szCs w:val="24"/>
    </w:rPr>
  </w:style>
  <w:style w:type="paragraph" w:styleId="68">
    <w:name w:val="toc 2"/>
    <w:basedOn w:val="1"/>
    <w:next w:val="1"/>
    <w:qFormat/>
    <w:uiPriority w:val="0"/>
    <w:pPr>
      <w:ind w:left="420" w:leftChars="200"/>
    </w:pPr>
    <w:rPr>
      <w:rFonts w:ascii="Times New Roman" w:hAnsi="Times New Roman" w:eastAsia="宋体" w:cs="Times New Roman"/>
      <w:szCs w:val="20"/>
    </w:rPr>
  </w:style>
  <w:style w:type="paragraph" w:styleId="69">
    <w:name w:val="toc 9"/>
    <w:basedOn w:val="1"/>
    <w:next w:val="1"/>
    <w:qFormat/>
    <w:uiPriority w:val="0"/>
    <w:pPr>
      <w:ind w:left="3360" w:leftChars="1600"/>
    </w:pPr>
    <w:rPr>
      <w:rFonts w:ascii="Times New Roman" w:hAnsi="Times New Roman" w:eastAsia="宋体" w:cs="Times New Roman"/>
      <w:szCs w:val="20"/>
    </w:rPr>
  </w:style>
  <w:style w:type="paragraph" w:styleId="70">
    <w:name w:val="List 4"/>
    <w:basedOn w:val="1"/>
    <w:qFormat/>
    <w:uiPriority w:val="0"/>
    <w:pPr>
      <w:ind w:left="100" w:leftChars="600" w:hanging="200" w:hangingChars="200"/>
    </w:pPr>
    <w:rPr>
      <w:rFonts w:ascii="Times New Roman" w:hAnsi="Times New Roman" w:eastAsia="宋体" w:cs="Times New Roman"/>
      <w:szCs w:val="24"/>
    </w:rPr>
  </w:style>
  <w:style w:type="paragraph" w:styleId="71">
    <w:name w:val="List Continue 2"/>
    <w:basedOn w:val="1"/>
    <w:qFormat/>
    <w:uiPriority w:val="0"/>
    <w:pPr>
      <w:spacing w:after="120"/>
      <w:ind w:left="840" w:leftChars="400"/>
    </w:pPr>
    <w:rPr>
      <w:rFonts w:ascii="Times New Roman" w:hAnsi="Times New Roman" w:eastAsia="宋体" w:cs="Times New Roman"/>
      <w:szCs w:val="24"/>
    </w:rPr>
  </w:style>
  <w:style w:type="paragraph" w:styleId="72">
    <w:name w:val="Message Header"/>
    <w:basedOn w:val="1"/>
    <w:link w:val="172"/>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3">
    <w:name w:val="HTML Preformatted"/>
    <w:basedOn w:val="1"/>
    <w:link w:val="17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4">
    <w:name w:val="Normal (Web)"/>
    <w:basedOn w:val="1"/>
    <w:qFormat/>
    <w:uiPriority w:val="99"/>
    <w:pPr>
      <w:shd w:val="clear" w:color="auto" w:fill="F9F9F9"/>
      <w:spacing w:after="150" w:line="360" w:lineRule="atLeast"/>
      <w:jc w:val="left"/>
    </w:pPr>
    <w:rPr>
      <w:rFonts w:ascii="Times New Roman" w:hAnsi="Times New Roman" w:eastAsia="宋体" w:cs="Times New Roman"/>
      <w:color w:val="676A6C"/>
      <w:kern w:val="0"/>
      <w:sz w:val="24"/>
      <w:szCs w:val="20"/>
    </w:rPr>
  </w:style>
  <w:style w:type="paragraph" w:styleId="75">
    <w:name w:val="List Continue 3"/>
    <w:basedOn w:val="1"/>
    <w:qFormat/>
    <w:uiPriority w:val="0"/>
    <w:pPr>
      <w:spacing w:after="120"/>
      <w:ind w:left="1260" w:leftChars="600"/>
    </w:pPr>
    <w:rPr>
      <w:rFonts w:ascii="Times New Roman" w:hAnsi="Times New Roman" w:eastAsia="宋体" w:cs="Times New Roman"/>
      <w:szCs w:val="24"/>
    </w:rPr>
  </w:style>
  <w:style w:type="paragraph" w:styleId="76">
    <w:name w:val="index 2"/>
    <w:basedOn w:val="1"/>
    <w:next w:val="1"/>
    <w:qFormat/>
    <w:uiPriority w:val="0"/>
    <w:pPr>
      <w:ind w:left="420" w:hanging="210"/>
      <w:jc w:val="left"/>
    </w:pPr>
    <w:rPr>
      <w:rFonts w:ascii="Times New Roman" w:hAnsi="Times New Roman" w:eastAsia="宋体" w:cs="Times New Roman"/>
      <w:sz w:val="20"/>
      <w:szCs w:val="20"/>
    </w:rPr>
  </w:style>
  <w:style w:type="paragraph" w:styleId="77">
    <w:name w:val="annotation subject"/>
    <w:basedOn w:val="24"/>
    <w:next w:val="24"/>
    <w:link w:val="151"/>
    <w:qFormat/>
    <w:uiPriority w:val="0"/>
    <w:rPr>
      <w:rFonts w:ascii="Times New Roman" w:hAnsi="Times New Roman" w:eastAsia="宋体" w:cs="Times New Roman"/>
      <w:b/>
      <w:bCs/>
      <w:szCs w:val="24"/>
    </w:rPr>
  </w:style>
  <w:style w:type="paragraph" w:styleId="78">
    <w:name w:val="Body Text First Indent"/>
    <w:basedOn w:val="1"/>
    <w:link w:val="153"/>
    <w:qFormat/>
    <w:uiPriority w:val="0"/>
    <w:pPr>
      <w:spacing w:after="120"/>
      <w:ind w:firstLine="420" w:firstLineChars="100"/>
    </w:pPr>
    <w:rPr>
      <w:rFonts w:ascii="Times New Roman" w:hAnsi="Calibri" w:eastAsia="宋体" w:cs="宋体"/>
      <w:szCs w:val="24"/>
    </w:rPr>
  </w:style>
  <w:style w:type="paragraph" w:styleId="79">
    <w:name w:val="Body Text First Indent 2"/>
    <w:basedOn w:val="1"/>
    <w:link w:val="168"/>
    <w:qFormat/>
    <w:uiPriority w:val="0"/>
    <w:pPr>
      <w:spacing w:after="120"/>
      <w:ind w:left="420" w:leftChars="200" w:firstLine="420"/>
    </w:pPr>
    <w:rPr>
      <w:rFonts w:ascii="Times New Roman" w:hAnsi="Times New Roman" w:eastAsia="宋体" w:cs="宋体"/>
      <w:szCs w:val="24"/>
    </w:rPr>
  </w:style>
  <w:style w:type="table" w:styleId="81">
    <w:name w:val="Table Grid"/>
    <w:basedOn w:val="8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82">
    <w:name w:val="Table Theme"/>
    <w:basedOn w:val="8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83">
    <w:name w:val="Table Colorful 1"/>
    <w:basedOn w:val="80"/>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Layout w:type="fixed"/>
    </w:tblPr>
    <w:tcPr>
      <w:shd w:val="solid" w:color="008080" w:fill="FFFFFF"/>
    </w:tcPr>
    <w:tblStylePr w:type="firstRow">
      <w:rPr>
        <w:b/>
        <w:bCs/>
        <w:i/>
        <w:iCs/>
      </w:rPr>
      <w:tblPr>
        <w:tblLayout w:type="fixed"/>
      </w:tblPr>
      <w:tcPr>
        <w:tcBorders>
          <w:tl2br w:val="nil"/>
          <w:tr2bl w:val="nil"/>
        </w:tcBorders>
        <w:shd w:val="solid" w:color="000000" w:fill="FFFFFF"/>
      </w:tcPr>
    </w:tblStylePr>
    <w:tblStylePr w:type="firstCol">
      <w:rPr>
        <w:b/>
        <w:bCs/>
        <w:i/>
        <w:iCs/>
      </w:rPr>
      <w:tblPr>
        <w:tblLayout w:type="fixed"/>
      </w:tblPr>
      <w:tcPr>
        <w:tcBorders>
          <w:tl2br w:val="nil"/>
          <w:tr2bl w:val="nil"/>
        </w:tcBorders>
        <w:shd w:val="solid" w:color="000080" w:fill="FFFFFF"/>
      </w:tcPr>
    </w:tblStylePr>
    <w:tblStylePr w:type="nwCell">
      <w:tblPr>
        <w:tblLayout w:type="fixed"/>
      </w:tblPr>
      <w:tcPr>
        <w:tcBorders>
          <w:tl2br w:val="nil"/>
          <w:tr2bl w:val="nil"/>
        </w:tcBorders>
        <w:shd w:val="solid" w:color="000000" w:fill="FFFFFF"/>
      </w:tcPr>
    </w:tblStylePr>
    <w:tblStylePr w:type="swCell">
      <w:rPr>
        <w:b/>
        <w:bCs/>
        <w:i w:val="0"/>
        <w:iCs w:val="0"/>
      </w:rPr>
      <w:tblPr>
        <w:tblLayout w:type="fixed"/>
      </w:tblPr>
      <w:tcPr>
        <w:tcBorders>
          <w:tl2br w:val="nil"/>
          <w:tr2bl w:val="nil"/>
        </w:tcBorders>
      </w:tcPr>
    </w:tblStylePr>
  </w:style>
  <w:style w:type="table" w:styleId="84">
    <w:name w:val="Table Colorful 2"/>
    <w:basedOn w:val="80"/>
    <w:qFormat/>
    <w:uiPriority w:val="0"/>
    <w:pPr>
      <w:widowControl w:val="0"/>
      <w:jc w:val="both"/>
    </w:pPr>
    <w:tblPr>
      <w:tblBorders>
        <w:bottom w:val="single" w:color="000000" w:sz="12" w:space="0"/>
      </w:tblBorders>
      <w:tblLayout w:type="fixed"/>
    </w:tblPr>
    <w:tcPr>
      <w:shd w:val="pct20" w:color="FFFF00" w:fill="FFFFFF"/>
    </w:tcPr>
    <w:tblStylePr w:type="firstRow">
      <w:rPr>
        <w:b/>
        <w:bCs/>
        <w:i/>
        <w:iCs/>
        <w:color w:val="FFFFFF"/>
      </w:rPr>
      <w:tblPr>
        <w:tblLayout w:type="fixed"/>
      </w:tblPr>
      <w:tcPr>
        <w:tcBorders>
          <w:bottom w:val="single" w:color="000000" w:sz="12" w:space="0"/>
          <w:tl2br w:val="nil"/>
          <w:tr2bl w:val="nil"/>
        </w:tcBorders>
        <w:shd w:val="solid" w:color="800000" w:fill="FFFFFF"/>
      </w:tcPr>
    </w:tblStylePr>
    <w:tblStylePr w:type="firstCol">
      <w:rPr>
        <w:b/>
        <w:bCs/>
        <w:i/>
        <w:iCs/>
      </w:rPr>
      <w:tblPr>
        <w:tblLayout w:type="fixed"/>
      </w:tblPr>
      <w:tcPr>
        <w:tcBorders>
          <w:tl2br w:val="nil"/>
          <w:tr2bl w:val="nil"/>
        </w:tcBorders>
      </w:tcPr>
    </w:tblStylePr>
    <w:tblStylePr w:type="lastCol">
      <w:tblPr>
        <w:tblLayout w:type="fixed"/>
      </w:tblPr>
      <w:tcPr>
        <w:tcBorders>
          <w:tl2br w:val="nil"/>
          <w:tr2bl w:val="nil"/>
        </w:tcBorders>
        <w:shd w:val="solid" w:color="C0C0C0" w:fill="FFFFFF"/>
      </w:tcPr>
    </w:tblStylePr>
    <w:tblStylePr w:type="swCell">
      <w:rPr>
        <w:b/>
        <w:bCs/>
        <w:i w:val="0"/>
        <w:iCs w:val="0"/>
      </w:rPr>
      <w:tblPr>
        <w:tblLayout w:type="fixed"/>
      </w:tblPr>
      <w:tcPr>
        <w:tcBorders>
          <w:tl2br w:val="nil"/>
          <w:tr2bl w:val="nil"/>
        </w:tcBorders>
      </w:tcPr>
    </w:tblStylePr>
  </w:style>
  <w:style w:type="table" w:styleId="85">
    <w:name w:val="Table Colorful 3"/>
    <w:basedOn w:val="80"/>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Layout w:type="fixed"/>
    </w:tblPr>
    <w:tcPr>
      <w:shd w:val="pct25" w:color="008080" w:fill="FFFFFF"/>
    </w:tcPr>
    <w:tblStylePr w:type="firstRow">
      <w:tblPr>
        <w:tblLayout w:type="fixed"/>
      </w:tblPr>
      <w:tcPr>
        <w:tcBorders>
          <w:bottom w:val="single" w:color="000000" w:sz="6" w:space="0"/>
          <w:tl2br w:val="nil"/>
          <w:tr2bl w:val="nil"/>
        </w:tcBorders>
        <w:shd w:val="solid" w:color="008080" w:fill="FFFFFF"/>
      </w:tcPr>
    </w:tblStylePr>
    <w:tblStylePr w:type="firstCol">
      <w:tblPr>
        <w:tblLayout w:type="fixed"/>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blLayout w:type="fixed"/>
      </w:tblPr>
      <w:tcPr>
        <w:tcBorders>
          <w:tl2br w:val="nil"/>
          <w:tr2bl w:val="nil"/>
        </w:tcBorders>
        <w:shd w:val="solid" w:color="000000" w:fill="FFFFFF"/>
      </w:tcPr>
    </w:tblStylePr>
  </w:style>
  <w:style w:type="table" w:styleId="86">
    <w:name w:val="Table Elegant"/>
    <w:basedOn w:val="80"/>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Pr>
    <w:tcPr>
      <w:shd w:val="clear" w:color="auto" w:fill="auto"/>
    </w:tcPr>
    <w:tblStylePr w:type="firstRow">
      <w:rPr>
        <w:caps/>
        <w:color w:val="auto"/>
      </w:rPr>
      <w:tblPr>
        <w:tblLayout w:type="fixed"/>
      </w:tblPr>
      <w:tcPr>
        <w:tcBorders>
          <w:tl2br w:val="nil"/>
          <w:tr2bl w:val="nil"/>
        </w:tcBorders>
      </w:tcPr>
    </w:tblStylePr>
  </w:style>
  <w:style w:type="table" w:styleId="87">
    <w:name w:val="Table Classic 1"/>
    <w:basedOn w:val="80"/>
    <w:qFormat/>
    <w:uiPriority w:val="0"/>
    <w:pPr>
      <w:widowControl w:val="0"/>
      <w:jc w:val="both"/>
    </w:pPr>
    <w:tblPr>
      <w:tblBorders>
        <w:top w:val="single" w:color="000000" w:sz="12" w:space="0"/>
        <w:bottom w:val="single" w:color="000000" w:sz="12" w:space="0"/>
      </w:tblBorders>
      <w:tblLayout w:type="fixed"/>
    </w:tblPr>
    <w:tcPr>
      <w:shd w:val="clear" w:color="auto" w:fill="auto"/>
    </w:tcPr>
    <w:tblStylePr w:type="firstRow">
      <w:rPr>
        <w:i/>
        <w:iCs/>
      </w:rPr>
      <w:tblPr>
        <w:tblLayout w:type="fixed"/>
      </w:tblPr>
      <w:tcPr>
        <w:tcBorders>
          <w:bottom w:val="single" w:color="000000" w:sz="6" w:space="0"/>
          <w:tl2br w:val="nil"/>
          <w:tr2bl w:val="nil"/>
        </w:tcBorders>
      </w:tcPr>
    </w:tblStylePr>
    <w:tblStylePr w:type="lastRow">
      <w:rPr>
        <w:color w:val="auto"/>
      </w:rPr>
      <w:tblPr>
        <w:tblLayout w:type="fixed"/>
      </w:tblPr>
      <w:tcPr>
        <w:tcBorders>
          <w:top w:val="single" w:color="000000" w:sz="6" w:space="0"/>
          <w:tl2br w:val="nil"/>
          <w:tr2bl w:val="nil"/>
        </w:tcBorders>
      </w:tcPr>
    </w:tblStylePr>
    <w:tblStylePr w:type="firstCol">
      <w:tblPr>
        <w:tblLayout w:type="fixed"/>
      </w:tblPr>
      <w:tcPr>
        <w:tcBorders>
          <w:right w:val="single" w:color="000000" w:sz="6" w:space="0"/>
          <w:tl2br w:val="nil"/>
          <w:tr2bl w:val="nil"/>
        </w:tcBorders>
      </w:tcPr>
    </w:tblStylePr>
    <w:tblStylePr w:type="neCell">
      <w:rPr>
        <w:b/>
        <w:bCs/>
        <w:i w:val="0"/>
        <w:iCs w:val="0"/>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88">
    <w:name w:val="Table Classic 2"/>
    <w:basedOn w:val="80"/>
    <w:qFormat/>
    <w:uiPriority w:val="0"/>
    <w:pPr>
      <w:widowControl w:val="0"/>
      <w:jc w:val="both"/>
    </w:pPr>
    <w:tblPr>
      <w:tblBorders>
        <w:top w:val="single" w:color="000000" w:sz="12" w:space="0"/>
        <w:bottom w:val="single" w:color="000000" w:sz="12" w:space="0"/>
      </w:tblBorders>
      <w:tblLayout w:type="fixed"/>
    </w:tblPr>
    <w:tcPr>
      <w:shd w:val="clear" w:color="auto" w:fill="auto"/>
    </w:tcPr>
    <w:tblStylePr w:type="firstRow">
      <w:rPr>
        <w:color w:val="FFFFFF"/>
      </w:rPr>
      <w:tblPr>
        <w:tblLayout w:type="fixed"/>
      </w:tblPr>
      <w:tcPr>
        <w:tcBorders>
          <w:bottom w:val="single" w:color="000000" w:sz="6" w:space="0"/>
          <w:tl2br w:val="nil"/>
          <w:tr2bl w:val="nil"/>
        </w:tcBorders>
        <w:shd w:val="solid" w:color="800080" w:fill="FFFFFF"/>
      </w:tcPr>
    </w:tblStylePr>
    <w:tblStylePr w:type="lastRow">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shd w:val="solid" w:color="C0C0C0" w:fill="FFFFFF"/>
      </w:tcPr>
    </w:tblStylePr>
    <w:tblStylePr w:type="neCell">
      <w:rPr>
        <w:b/>
        <w:bCs/>
      </w:rPr>
      <w:tblPr>
        <w:tblLayout w:type="fixed"/>
      </w:tblPr>
      <w:tcPr>
        <w:tcBorders>
          <w:tl2br w:val="nil"/>
          <w:tr2bl w:val="nil"/>
        </w:tcBorders>
      </w:tcPr>
    </w:tblStylePr>
    <w:tblStylePr w:type="nwCell">
      <w:tblPr>
        <w:tblLayout w:type="fixed"/>
      </w:tblPr>
      <w:tcPr>
        <w:tcBorders>
          <w:tl2br w:val="nil"/>
          <w:tr2bl w:val="nil"/>
        </w:tcBorders>
        <w:shd w:val="solid" w:color="800080" w:fill="FFFFFF"/>
      </w:tcPr>
    </w:tblStylePr>
    <w:tblStylePr w:type="swCell">
      <w:rPr>
        <w:color w:val="000080"/>
      </w:rPr>
      <w:tblPr>
        <w:tblLayout w:type="fixed"/>
      </w:tblPr>
      <w:tcPr>
        <w:tcBorders>
          <w:tl2br w:val="nil"/>
          <w:tr2bl w:val="nil"/>
        </w:tcBorders>
      </w:tcPr>
    </w:tblStylePr>
  </w:style>
  <w:style w:type="table" w:styleId="89">
    <w:name w:val="Table Classic 3"/>
    <w:basedOn w:val="80"/>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Layout w:type="fixed"/>
    </w:tblPr>
    <w:tcPr>
      <w:shd w:val="solid" w:color="C0C0C0" w:fill="FFFFFF"/>
    </w:tcPr>
    <w:tblStylePr w:type="firstRow">
      <w:rPr>
        <w:b/>
        <w:bCs/>
        <w:i/>
        <w:iCs/>
        <w:color w:val="FFFFFF"/>
      </w:rPr>
      <w:tblPr>
        <w:tblLayout w:type="fixed"/>
      </w:tblPr>
      <w:tcPr>
        <w:tcBorders>
          <w:bottom w:val="single" w:color="000000" w:sz="6" w:space="0"/>
          <w:tl2br w:val="nil"/>
          <w:tr2bl w:val="nil"/>
        </w:tcBorders>
        <w:shd w:val="solid" w:color="000080" w:fill="FFFFFF"/>
      </w:tcPr>
    </w:tblStylePr>
    <w:tblStylePr w:type="lastRow">
      <w:rPr>
        <w:color w:val="000080"/>
      </w:rPr>
      <w:tblPr>
        <w:tblLayout w:type="fixed"/>
      </w:tblPr>
      <w:tcPr>
        <w:tcBorders>
          <w:top w:val="single" w:color="000000" w:sz="12" w:space="0"/>
          <w:tl2br w:val="nil"/>
          <w:tr2bl w:val="nil"/>
        </w:tcBorders>
        <w:shd w:val="solid" w:color="FFFFFF" w:fill="FFFFFF"/>
      </w:tcPr>
    </w:tblStylePr>
    <w:tblStylePr w:type="firstCol">
      <w:rPr>
        <w:b/>
        <w:bCs/>
        <w:color w:val="000000"/>
      </w:rPr>
      <w:tblPr>
        <w:tblLayout w:type="fixed"/>
      </w:tblPr>
      <w:tcPr>
        <w:tcBorders>
          <w:tl2br w:val="nil"/>
          <w:tr2bl w:val="nil"/>
        </w:tcBorders>
      </w:tcPr>
    </w:tblStylePr>
  </w:style>
  <w:style w:type="table" w:styleId="90">
    <w:name w:val="Table Classic 4"/>
    <w:basedOn w:val="80"/>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Layout w:type="fixed"/>
    </w:tblPr>
    <w:tcPr>
      <w:shd w:val="clear" w:color="auto" w:fill="auto"/>
    </w:tcPr>
    <w:tblStylePr w:type="firstRow">
      <w:rPr>
        <w:b/>
        <w:bCs/>
        <w:i/>
        <w:iCs/>
        <w:color w:val="FFFFFF"/>
      </w:rPr>
      <w:tblPr>
        <w:tblLayout w:type="fixed"/>
      </w:tblPr>
      <w:tcPr>
        <w:tcBorders>
          <w:bottom w:val="single" w:color="000000" w:sz="6" w:space="0"/>
          <w:tl2br w:val="nil"/>
          <w:tr2bl w:val="nil"/>
        </w:tcBorders>
        <w:shd w:val="pct50" w:color="000080" w:fill="FFFFFF"/>
      </w:tcPr>
    </w:tblStylePr>
    <w:tblStylePr w:type="lastRow">
      <w:rPr>
        <w:color w:val="000080"/>
      </w:rPr>
      <w:tblPr>
        <w:tblLayout w:type="fixed"/>
      </w:tblPr>
      <w:tcPr>
        <w:tcBorders>
          <w:bottom w:val="single" w:color="000000" w:sz="6" w:space="0"/>
          <w:tl2br w:val="nil"/>
          <w:tr2bl w:val="nil"/>
        </w:tcBorders>
        <w:shd w:val="pct50" w:color="000000" w:fill="FFFFFF"/>
      </w:tcPr>
    </w:tblStylePr>
    <w:tblStylePr w:type="firstCol">
      <w:rPr>
        <w:b/>
        <w:bCs/>
      </w:rPr>
      <w:tblPr>
        <w:tblLayout w:type="fixed"/>
      </w:tblPr>
      <w:tcPr>
        <w:tcBorders>
          <w:tl2br w:val="nil"/>
          <w:tr2bl w:val="nil"/>
        </w:tcBorders>
      </w:tcPr>
    </w:tblStylePr>
    <w:tblStylePr w:type="nwCell">
      <w:rPr>
        <w:b/>
        <w:bCs/>
      </w:rPr>
      <w:tblPr>
        <w:tblLayout w:type="fixed"/>
      </w:tblPr>
      <w:tcPr>
        <w:tcBorders>
          <w:tl2br w:val="nil"/>
          <w:tr2bl w:val="nil"/>
        </w:tcBorders>
      </w:tcPr>
    </w:tblStylePr>
    <w:tblStylePr w:type="swCell">
      <w:rPr>
        <w:color w:val="000080"/>
      </w:rPr>
      <w:tblPr>
        <w:tblLayout w:type="fixed"/>
      </w:tblPr>
      <w:tcPr>
        <w:tcBorders>
          <w:tl2br w:val="nil"/>
          <w:tr2bl w:val="nil"/>
        </w:tcBorders>
      </w:tcPr>
    </w:tblStylePr>
  </w:style>
  <w:style w:type="table" w:styleId="91">
    <w:name w:val="Table Simple 1"/>
    <w:basedOn w:val="80"/>
    <w:qFormat/>
    <w:uiPriority w:val="0"/>
    <w:pPr>
      <w:widowControl w:val="0"/>
      <w:jc w:val="both"/>
    </w:pPr>
    <w:tblPr>
      <w:tblBorders>
        <w:top w:val="single" w:color="008000" w:sz="12" w:space="0"/>
        <w:bottom w:val="single" w:color="008000" w:sz="12" w:space="0"/>
      </w:tblBorders>
      <w:tblLayout w:type="fixed"/>
    </w:tblPr>
    <w:tcPr>
      <w:shd w:val="clear" w:color="auto" w:fill="auto"/>
    </w:tcPr>
    <w:tblStylePr w:type="firstRow">
      <w:tblPr>
        <w:tblLayout w:type="fixed"/>
      </w:tblPr>
      <w:tcPr>
        <w:tcBorders>
          <w:bottom w:val="single" w:color="008000" w:sz="6" w:space="0"/>
          <w:tl2br w:val="nil"/>
          <w:tr2bl w:val="nil"/>
        </w:tcBorders>
      </w:tcPr>
    </w:tblStylePr>
    <w:tblStylePr w:type="lastRow">
      <w:tblPr>
        <w:tblLayout w:type="fixed"/>
      </w:tblPr>
      <w:tcPr>
        <w:tcBorders>
          <w:top w:val="single" w:color="008000" w:sz="6" w:space="0"/>
          <w:tl2br w:val="nil"/>
          <w:tr2bl w:val="nil"/>
        </w:tcBorders>
      </w:tcPr>
    </w:tblStylePr>
  </w:style>
  <w:style w:type="table" w:styleId="92">
    <w:name w:val="Table Simple 2"/>
    <w:basedOn w:val="80"/>
    <w:qFormat/>
    <w:uiPriority w:val="0"/>
    <w:pPr>
      <w:widowControl w:val="0"/>
      <w:jc w:val="both"/>
    </w:pPr>
    <w:tblPr>
      <w:tblLayout w:type="fixed"/>
    </w:tblPr>
    <w:tblStylePr w:type="firstRow">
      <w:rPr>
        <w:b/>
        <w:bCs/>
      </w:rPr>
      <w:tblPr>
        <w:tblLayout w:type="fixed"/>
      </w:tblPr>
      <w:tcPr>
        <w:tcBorders>
          <w:bottom w:val="single" w:color="000000" w:sz="12" w:space="0"/>
          <w:tl2br w:val="nil"/>
          <w:tr2bl w:val="nil"/>
        </w:tcBorders>
      </w:tcPr>
    </w:tblStylePr>
    <w:tblStylePr w:type="lastRow">
      <w:rPr>
        <w:b/>
        <w:bCs/>
        <w:color w:val="auto"/>
      </w:rPr>
      <w:tblPr>
        <w:tblLayout w:type="fixed"/>
      </w:tblPr>
      <w:tcPr>
        <w:tcBorders>
          <w:top w:val="single" w:color="000000" w:sz="6" w:space="0"/>
          <w:tl2br w:val="nil"/>
          <w:tr2bl w:val="nil"/>
        </w:tcBorders>
      </w:tcPr>
    </w:tblStylePr>
    <w:tblStylePr w:type="firstCol">
      <w:rPr>
        <w:b/>
        <w:bCs/>
      </w:rPr>
      <w:tblPr>
        <w:tblLayout w:type="fixed"/>
      </w:tblPr>
      <w:tcPr>
        <w:tcBorders>
          <w:right w:val="single" w:color="000000" w:sz="12" w:space="0"/>
          <w:tl2br w:val="nil"/>
          <w:tr2bl w:val="nil"/>
        </w:tcBorders>
      </w:tcPr>
    </w:tblStylePr>
    <w:tblStylePr w:type="lastCol">
      <w:rPr>
        <w:b/>
        <w:bCs/>
      </w:rPr>
      <w:tblPr>
        <w:tblLayout w:type="fixed"/>
      </w:tblPr>
      <w:tcPr>
        <w:tcBorders>
          <w:left w:val="single" w:color="000000" w:sz="6" w:space="0"/>
          <w:tl2br w:val="nil"/>
          <w:tr2bl w:val="nil"/>
        </w:tcBorders>
      </w:tcPr>
    </w:tblStylePr>
    <w:tblStylePr w:type="neCell">
      <w:rPr>
        <w:b/>
        <w:bCs/>
      </w:rPr>
      <w:tblPr>
        <w:tblLayout w:type="fixed"/>
      </w:tblPr>
      <w:tcPr>
        <w:tcBorders>
          <w:left w:val="nil"/>
          <w:tl2br w:val="nil"/>
          <w:tr2bl w:val="nil"/>
        </w:tcBorders>
      </w:tcPr>
    </w:tblStylePr>
    <w:tblStylePr w:type="swCell">
      <w:rPr>
        <w:b/>
        <w:bCs/>
      </w:rPr>
      <w:tblPr>
        <w:tblLayout w:type="fixed"/>
      </w:tblPr>
      <w:tcPr>
        <w:tcBorders>
          <w:top w:val="nil"/>
          <w:tl2br w:val="nil"/>
          <w:tr2bl w:val="nil"/>
        </w:tcBorders>
      </w:tcPr>
    </w:tblStylePr>
  </w:style>
  <w:style w:type="table" w:styleId="93">
    <w:name w:val="Table Simple 3"/>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Layout w:type="fixed"/>
    </w:tblPr>
    <w:tcPr>
      <w:shd w:val="clear" w:color="auto" w:fill="auto"/>
    </w:tcPr>
    <w:tblStylePr w:type="firstRow">
      <w:rPr>
        <w:b/>
        <w:bCs/>
        <w:color w:val="FFFFFF"/>
      </w:rPr>
      <w:tblPr>
        <w:tblLayout w:type="fixed"/>
      </w:tblPr>
      <w:tcPr>
        <w:tcBorders>
          <w:tl2br w:val="nil"/>
          <w:tr2bl w:val="nil"/>
        </w:tcBorders>
        <w:shd w:val="solid" w:color="000000" w:fill="FFFFFF"/>
      </w:tcPr>
    </w:tblStylePr>
  </w:style>
  <w:style w:type="table" w:styleId="94">
    <w:name w:val="Table Subtle 1"/>
    <w:basedOn w:val="80"/>
    <w:qFormat/>
    <w:uiPriority w:val="0"/>
    <w:pPr>
      <w:widowControl w:val="0"/>
      <w:jc w:val="both"/>
    </w:pPr>
    <w:tblPr>
      <w:tblStyleRowBandSize w:val="1"/>
      <w:tblLayout w:type="fixed"/>
    </w:tblPr>
    <w:tblStylePr w:type="firstRow">
      <w:tblPr>
        <w:tblLayout w:type="fixed"/>
      </w:tblPr>
      <w:tcPr>
        <w:tcBorders>
          <w:top w:val="single" w:color="000000" w:sz="6" w:space="0"/>
          <w:bottom w:val="single" w:color="000000" w:sz="12" w:space="0"/>
          <w:tl2br w:val="nil"/>
          <w:tr2bl w:val="nil"/>
        </w:tcBorders>
      </w:tcPr>
    </w:tblStylePr>
    <w:tblStylePr w:type="lastRow">
      <w:tblPr>
        <w:tblLayout w:type="fixed"/>
      </w:tblPr>
      <w:tcPr>
        <w:tcBorders>
          <w:top w:val="single" w:color="000000" w:sz="12" w:space="0"/>
          <w:tl2br w:val="nil"/>
          <w:tr2bl w:val="nil"/>
        </w:tcBorders>
        <w:shd w:val="pct25" w:color="800080" w:fill="FFFFFF"/>
      </w:tcPr>
    </w:tblStylePr>
    <w:tblStylePr w:type="firstCol">
      <w:tblPr>
        <w:tblLayout w:type="fixed"/>
      </w:tblPr>
      <w:tcPr>
        <w:tcBorders>
          <w:right w:val="single" w:color="000000" w:sz="12" w:space="0"/>
          <w:tl2br w:val="nil"/>
          <w:tr2bl w:val="nil"/>
        </w:tcBorders>
      </w:tcPr>
    </w:tblStylePr>
    <w:tblStylePr w:type="lastCol">
      <w:tblPr>
        <w:tblLayout w:type="fixed"/>
      </w:tblPr>
      <w:tcPr>
        <w:tcBorders>
          <w:left w:val="single" w:color="000000" w:sz="12" w:space="0"/>
          <w:tl2br w:val="nil"/>
          <w:tr2bl w:val="nil"/>
        </w:tcBorders>
      </w:tcPr>
    </w:tblStylePr>
    <w:tblStylePr w:type="band1Horz">
      <w:tblPr>
        <w:tblLayout w:type="fixed"/>
      </w:tblPr>
      <w:tcPr>
        <w:tcBorders>
          <w:bottom w:val="single" w:color="000000" w:sz="6" w:space="0"/>
          <w:tl2br w:val="nil"/>
          <w:tr2bl w:val="nil"/>
        </w:tcBorders>
        <w:shd w:val="pct25" w:color="8080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95">
    <w:name w:val="Table Subtle 2"/>
    <w:basedOn w:val="80"/>
    <w:qFormat/>
    <w:uiPriority w:val="0"/>
    <w:pPr>
      <w:widowControl w:val="0"/>
      <w:jc w:val="both"/>
    </w:pPr>
    <w:tblPr>
      <w:tblBorders>
        <w:left w:val="single" w:color="000000" w:sz="6" w:space="0"/>
        <w:right w:val="single" w:color="000000" w:sz="6" w:space="0"/>
      </w:tblBorders>
      <w:tblLayout w:type="fixed"/>
    </w:tblPr>
    <w:tblStylePr w:type="firstRow">
      <w:tblPr>
        <w:tblLayout w:type="fixed"/>
      </w:tblPr>
      <w:tcPr>
        <w:tcBorders>
          <w:bottom w:val="single" w:color="000000" w:sz="12" w:space="0"/>
          <w:tl2br w:val="nil"/>
          <w:tr2bl w:val="nil"/>
        </w:tcBorders>
      </w:tcPr>
    </w:tblStylePr>
    <w:tblStylePr w:type="lastRow">
      <w:tblPr>
        <w:tblLayout w:type="fixed"/>
      </w:tblPr>
      <w:tcPr>
        <w:tcBorders>
          <w:top w:val="single" w:color="000000" w:sz="12" w:space="0"/>
          <w:tl2br w:val="nil"/>
          <w:tr2bl w:val="nil"/>
        </w:tcBorders>
      </w:tcPr>
    </w:tblStylePr>
    <w:tblStylePr w:type="firstCol">
      <w:tblPr>
        <w:tblLayout w:type="fixed"/>
      </w:tblPr>
      <w:tcPr>
        <w:tcBorders>
          <w:right w:val="single" w:color="000000" w:sz="12" w:space="0"/>
          <w:tl2br w:val="nil"/>
          <w:tr2bl w:val="nil"/>
        </w:tcBorders>
        <w:shd w:val="pct25" w:color="008000" w:fill="FFFFFF"/>
      </w:tcPr>
    </w:tblStylePr>
    <w:tblStylePr w:type="lastCol">
      <w:tblPr>
        <w:tblLayout w:type="fixed"/>
      </w:tblPr>
      <w:tcPr>
        <w:tcBorders>
          <w:left w:val="single" w:color="000000" w:sz="12" w:space="0"/>
          <w:tl2br w:val="nil"/>
          <w:tr2bl w:val="nil"/>
        </w:tcBorders>
        <w:shd w:val="pct25" w:color="8080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96">
    <w:name w:val="Table 3D effects 1"/>
    <w:basedOn w:val="80"/>
    <w:qFormat/>
    <w:uiPriority w:val="0"/>
    <w:pPr>
      <w:widowControl w:val="0"/>
      <w:jc w:val="both"/>
    </w:pPr>
    <w:tblPr>
      <w:tblLayout w:type="fixed"/>
    </w:tblPr>
    <w:tcPr>
      <w:shd w:val="solid" w:color="C0C0C0" w:fill="FFFFFF"/>
    </w:tcPr>
    <w:tblStylePr w:type="firstRow">
      <w:rPr>
        <w:b/>
        <w:bCs/>
        <w:color w:val="800080"/>
      </w:rPr>
      <w:tblPr>
        <w:tblLayout w:type="fixed"/>
      </w:tblPr>
      <w:tcPr>
        <w:tcBorders>
          <w:bottom w:val="single" w:color="808080" w:sz="6" w:space="0"/>
          <w:tl2br w:val="nil"/>
          <w:tr2bl w:val="nil"/>
        </w:tcBorders>
      </w:tcPr>
    </w:tblStylePr>
    <w:tblStylePr w:type="lastRow">
      <w:tblPr>
        <w:tblLayout w:type="fixed"/>
      </w:tblPr>
      <w:tcPr>
        <w:tcBorders>
          <w:top w:val="single" w:color="FFFFFF" w:sz="6" w:space="0"/>
          <w:tl2br w:val="nil"/>
          <w:tr2bl w:val="nil"/>
        </w:tcBorders>
      </w:tcPr>
    </w:tblStylePr>
    <w:tblStylePr w:type="firstCol">
      <w:rPr>
        <w:b/>
        <w:bCs/>
      </w:rPr>
      <w:tblPr>
        <w:tblLayout w:type="fixed"/>
      </w:tblPr>
      <w:tcPr>
        <w:tcBorders>
          <w:right w:val="single" w:color="808080" w:sz="6" w:space="0"/>
          <w:tl2br w:val="nil"/>
          <w:tr2bl w:val="nil"/>
        </w:tcBorders>
      </w:tcPr>
    </w:tblStylePr>
    <w:tblStylePr w:type="lastCol">
      <w:tblPr>
        <w:tblLayout w:type="fixed"/>
      </w:tblPr>
      <w:tcPr>
        <w:tcBorders>
          <w:left w:val="single" w:color="FFFFFF" w:sz="6" w:space="0"/>
          <w:tl2br w:val="nil"/>
          <w:tr2bl w:val="nil"/>
        </w:tcBorders>
      </w:tcPr>
    </w:tblStylePr>
    <w:tblStylePr w:type="neCell">
      <w:tblPr>
        <w:tblLayout w:type="fixed"/>
      </w:tblPr>
      <w:tcPr>
        <w:tcBorders>
          <w:left w:val="nil"/>
          <w:bottom w:val="nil"/>
          <w:tl2br w:val="nil"/>
          <w:tr2bl w:val="nil"/>
        </w:tcBorders>
      </w:tcPr>
    </w:tblStylePr>
    <w:tblStylePr w:type="nwCell">
      <w:tblPr>
        <w:tblLayout w:type="fixed"/>
      </w:tblPr>
      <w:tcPr>
        <w:tcBorders>
          <w:bottom w:val="nil"/>
          <w:right w:val="nil"/>
          <w:tl2br w:val="nil"/>
          <w:tr2bl w:val="nil"/>
        </w:tcBorders>
      </w:tcPr>
    </w:tblStylePr>
    <w:tblStylePr w:type="seCell">
      <w:tblPr>
        <w:tblLayout w:type="fixed"/>
      </w:tblPr>
      <w:tcPr>
        <w:tcBorders>
          <w:top w:val="nil"/>
          <w:left w:val="nil"/>
          <w:tl2br w:val="nil"/>
          <w:tr2bl w:val="nil"/>
        </w:tcBorders>
      </w:tcPr>
    </w:tblStylePr>
    <w:tblStylePr w:type="swCell">
      <w:rPr>
        <w:color w:val="000080"/>
      </w:rPr>
      <w:tblPr>
        <w:tblLayout w:type="fixed"/>
      </w:tblPr>
      <w:tcPr>
        <w:tcBorders>
          <w:top w:val="nil"/>
          <w:right w:val="nil"/>
          <w:tl2br w:val="nil"/>
          <w:tr2bl w:val="nil"/>
        </w:tcBorders>
      </w:tcPr>
    </w:tblStylePr>
  </w:style>
  <w:style w:type="table" w:styleId="97">
    <w:name w:val="Table 3D effects 2"/>
    <w:basedOn w:val="80"/>
    <w:qFormat/>
    <w:uiPriority w:val="0"/>
    <w:pPr>
      <w:widowControl w:val="0"/>
      <w:jc w:val="both"/>
    </w:pPr>
    <w:tblPr>
      <w:tblStyleRowBandSize w:val="1"/>
      <w:tblLayout w:type="fixed"/>
    </w:tblPr>
    <w:tcPr>
      <w:shd w:val="solid" w:color="C0C0C0" w:fill="FFFFFF"/>
    </w:tcPr>
    <w:tblStylePr w:type="firstRow">
      <w:rPr>
        <w:b/>
        <w:bCs/>
      </w:rPr>
      <w:tblPr>
        <w:tblLayout w:type="fixed"/>
      </w:tblPr>
      <w:tcPr>
        <w:tcBorders>
          <w:tl2br w:val="nil"/>
          <w:tr2bl w:val="nil"/>
        </w:tcBorders>
      </w:tcPr>
    </w:tblStylePr>
    <w:tblStylePr w:type="firstCol">
      <w:tblPr>
        <w:tblLayout w:type="fixed"/>
      </w:tblPr>
      <w:tcPr>
        <w:tcBorders>
          <w:top w:val="nil"/>
          <w:bottom w:val="nil"/>
          <w:right w:val="single" w:color="808080" w:sz="6" w:space="0"/>
          <w:tl2br w:val="nil"/>
          <w:tr2bl w:val="nil"/>
        </w:tcBorders>
      </w:tcPr>
    </w:tblStylePr>
    <w:tblStylePr w:type="lastCol">
      <w:tblPr>
        <w:tblLayout w:type="fixed"/>
      </w:tblPr>
      <w:tcPr>
        <w:tcBorders>
          <w:right w:val="single" w:color="FFFFFF" w:sz="6" w:space="0"/>
          <w:tl2br w:val="nil"/>
          <w:tr2bl w:val="nil"/>
        </w:tcBorders>
      </w:tcPr>
    </w:tblStylePr>
    <w:tblStylePr w:type="band1Horz">
      <w:tblPr>
        <w:tblLayout w:type="fixed"/>
      </w:tblPr>
      <w:tcPr>
        <w:tcBorders>
          <w:top w:val="single" w:color="808080" w:sz="6" w:space="0"/>
          <w:bottom w:val="single" w:color="FFFFFF" w:sz="6" w:space="0"/>
          <w:tl2br w:val="nil"/>
          <w:tr2bl w:val="nil"/>
        </w:tcBorders>
      </w:tcPr>
    </w:tblStylePr>
    <w:tblStylePr w:type="swCell">
      <w:rPr>
        <w:b/>
        <w:bCs/>
      </w:rPr>
      <w:tblPr>
        <w:tblLayout w:type="fixed"/>
      </w:tblPr>
      <w:tcPr>
        <w:tcBorders>
          <w:tl2br w:val="nil"/>
          <w:tr2bl w:val="nil"/>
        </w:tcBorders>
      </w:tcPr>
    </w:tblStylePr>
  </w:style>
  <w:style w:type="table" w:styleId="98">
    <w:name w:val="Table 3D effects 3"/>
    <w:basedOn w:val="80"/>
    <w:qFormat/>
    <w:uiPriority w:val="0"/>
    <w:pPr>
      <w:widowControl w:val="0"/>
      <w:jc w:val="both"/>
    </w:pPr>
    <w:tblPr>
      <w:tblStyleRowBandSize w:val="1"/>
      <w:tblStyleColBandSize w:val="1"/>
      <w:tblLayout w:type="fixed"/>
    </w:tblPr>
    <w:tblStylePr w:type="firstRow">
      <w:rPr>
        <w:b/>
        <w:bCs/>
      </w:rPr>
      <w:tblPr>
        <w:tblLayout w:type="fixed"/>
      </w:tblPr>
      <w:tcPr>
        <w:tcBorders>
          <w:tl2br w:val="nil"/>
          <w:tr2bl w:val="nil"/>
        </w:tcBorders>
      </w:tcPr>
    </w:tblStylePr>
    <w:tblStylePr w:type="firstCol">
      <w:tblPr>
        <w:tblLayout w:type="fixed"/>
      </w:tblPr>
      <w:tcPr>
        <w:tcBorders>
          <w:top w:val="nil"/>
          <w:bottom w:val="nil"/>
          <w:right w:val="single" w:color="808080" w:sz="6" w:space="0"/>
          <w:tl2br w:val="nil"/>
          <w:tr2bl w:val="nil"/>
        </w:tcBorders>
      </w:tcPr>
    </w:tblStylePr>
    <w:tblStylePr w:type="lastCol">
      <w:tblPr>
        <w:tblLayout w:type="fixed"/>
      </w:tblPr>
      <w:tcPr>
        <w:tcBorders>
          <w:right w:val="single" w:color="FFFFFF" w:sz="6" w:space="0"/>
          <w:tl2br w:val="nil"/>
          <w:tr2bl w:val="nil"/>
        </w:tcBorders>
      </w:tcPr>
    </w:tblStylePr>
    <w:tblStylePr w:type="band1Vert">
      <w:rPr>
        <w:color w:val="auto"/>
      </w:rPr>
      <w:tblPr>
        <w:tblLayout w:type="fixed"/>
      </w:tblPr>
      <w:tcPr>
        <w:shd w:val="solid" w:color="C0C0C0" w:fill="FFFFFF"/>
      </w:tcPr>
    </w:tblStylePr>
    <w:tblStylePr w:type="band2Vert">
      <w:rPr>
        <w:color w:val="auto"/>
      </w:rPr>
      <w:tblPr>
        <w:tblLayout w:type="fixed"/>
      </w:tblPr>
      <w:tcPr>
        <w:shd w:val="pct50" w:color="C0C0C0" w:fill="FFFFFF"/>
      </w:tcPr>
    </w:tblStylePr>
    <w:tblStylePr w:type="band1Horz">
      <w:tblPr>
        <w:tblLayout w:type="fixed"/>
      </w:tblPr>
      <w:tcPr>
        <w:tcBorders>
          <w:top w:val="single" w:color="808080" w:sz="6" w:space="0"/>
          <w:bottom w:val="single" w:color="FFFFFF" w:sz="6" w:space="0"/>
          <w:tl2br w:val="nil"/>
          <w:tr2bl w:val="nil"/>
        </w:tcBorders>
      </w:tcPr>
    </w:tblStylePr>
    <w:tblStylePr w:type="swCell">
      <w:rPr>
        <w:b/>
        <w:bCs/>
      </w:rPr>
      <w:tblPr>
        <w:tblLayout w:type="fixed"/>
      </w:tblPr>
      <w:tcPr>
        <w:tcBorders>
          <w:tl2br w:val="nil"/>
          <w:tr2bl w:val="nil"/>
        </w:tcBorders>
      </w:tcPr>
    </w:tblStylePr>
  </w:style>
  <w:style w:type="table" w:styleId="99">
    <w:name w:val="Table List 1"/>
    <w:basedOn w:val="80"/>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Layout w:type="fixed"/>
    </w:tblPr>
    <w:tblStylePr w:type="firstRow">
      <w:rPr>
        <w:b/>
        <w:bCs/>
        <w:i/>
        <w:iCs/>
        <w:color w:val="800000"/>
      </w:rPr>
      <w:tblPr>
        <w:tblLayout w:type="fixed"/>
      </w:tblPr>
      <w:tcPr>
        <w:tcBorders>
          <w:bottom w:val="single" w:color="000000" w:sz="6" w:space="0"/>
          <w:tl2br w:val="nil"/>
          <w:tr2bl w:val="nil"/>
        </w:tcBorders>
        <w:shd w:val="solid" w:color="C0C0C0" w:fill="FFFFFF"/>
      </w:tcPr>
    </w:tblStylePr>
    <w:tblStylePr w:type="lastRow">
      <w:tblPr>
        <w:tblLayout w:type="fixed"/>
      </w:tblPr>
      <w:tcPr>
        <w:tcBorders>
          <w:top w:val="single" w:color="000000" w:sz="6" w:space="0"/>
          <w:tl2br w:val="nil"/>
          <w:tr2bl w:val="nil"/>
        </w:tcBorders>
      </w:tcPr>
    </w:tblStylePr>
    <w:tblStylePr w:type="band1Horz">
      <w:rPr>
        <w:color w:val="auto"/>
      </w:rPr>
      <w:tblPr>
        <w:tblLayout w:type="fixed"/>
      </w:tblPr>
      <w:tcPr>
        <w:tcBorders>
          <w:tl2br w:val="nil"/>
          <w:tr2bl w:val="nil"/>
        </w:tcBorders>
        <w:shd w:val="solid" w:color="C0C0C0" w:fill="FFFFFF"/>
      </w:tcPr>
    </w:tblStylePr>
    <w:tblStylePr w:type="band2Horz">
      <w:rPr>
        <w:color w:val="auto"/>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00">
    <w:name w:val="Table List 2"/>
    <w:basedOn w:val="80"/>
    <w:qFormat/>
    <w:uiPriority w:val="0"/>
    <w:pPr>
      <w:widowControl w:val="0"/>
      <w:jc w:val="both"/>
    </w:pPr>
    <w:tblPr>
      <w:tblBorders>
        <w:bottom w:val="single" w:color="808080" w:sz="12" w:space="0"/>
      </w:tblBorders>
      <w:tblLayout w:type="fixed"/>
    </w:tblPr>
    <w:tblStylePr w:type="firstRow">
      <w:rPr>
        <w:b/>
        <w:bCs/>
        <w:color w:val="FFFFFF"/>
      </w:rPr>
      <w:tblPr>
        <w:tblLayout w:type="fixed"/>
      </w:tblPr>
      <w:tcPr>
        <w:tcBorders>
          <w:bottom w:val="single" w:color="000000" w:sz="6" w:space="0"/>
          <w:tl2br w:val="nil"/>
          <w:tr2bl w:val="nil"/>
        </w:tcBorders>
        <w:shd w:val="pct75" w:color="008080" w:fill="008000"/>
      </w:tcPr>
    </w:tblStylePr>
    <w:tblStylePr w:type="lastRow">
      <w:tblPr>
        <w:tblLayout w:type="fixed"/>
      </w:tblPr>
      <w:tcPr>
        <w:tcBorders>
          <w:top w:val="single" w:color="000000" w:sz="6" w:space="0"/>
          <w:tl2br w:val="nil"/>
          <w:tr2bl w:val="nil"/>
        </w:tcBorders>
      </w:tcPr>
    </w:tblStylePr>
    <w:tblStylePr w:type="band1Horz">
      <w:rPr>
        <w:color w:val="auto"/>
      </w:rPr>
      <w:tblPr>
        <w:tblLayout w:type="fixed"/>
      </w:tblPr>
      <w:tcPr>
        <w:tcBorders>
          <w:tl2br w:val="nil"/>
          <w:tr2bl w:val="nil"/>
        </w:tcBorders>
        <w:shd w:val="pct20" w:color="00FF00" w:fill="FFFFFF"/>
      </w:tcPr>
    </w:tblStylePr>
    <w:tblStylePr w:type="band2Horz">
      <w:rPr>
        <w:color w:val="auto"/>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01">
    <w:name w:val="Table List 3"/>
    <w:basedOn w:val="80"/>
    <w:qFormat/>
    <w:uiPriority w:val="0"/>
    <w:pPr>
      <w:widowControl w:val="0"/>
      <w:jc w:val="both"/>
    </w:pPr>
    <w:tblPr>
      <w:tblBorders>
        <w:top w:val="single" w:color="000000" w:sz="12" w:space="0"/>
        <w:bottom w:val="single" w:color="000000" w:sz="12" w:space="0"/>
        <w:insideH w:val="single" w:color="000000" w:sz="6" w:space="0"/>
      </w:tblBorders>
      <w:tblLayout w:type="fixed"/>
    </w:tblPr>
    <w:tcPr>
      <w:shd w:val="clear" w:color="auto" w:fill="auto"/>
    </w:tcPr>
    <w:tblStylePr w:type="firstRow">
      <w:rPr>
        <w:b/>
        <w:bCs/>
        <w:color w:val="000080"/>
      </w:rPr>
      <w:tblPr>
        <w:tblLayout w:type="fixed"/>
      </w:tblPr>
      <w:tcPr>
        <w:tcBorders>
          <w:bottom w:val="single" w:color="000000" w:sz="12" w:space="0"/>
          <w:tl2br w:val="nil"/>
          <w:tr2bl w:val="nil"/>
        </w:tcBorders>
      </w:tcPr>
    </w:tblStylePr>
    <w:tblStylePr w:type="lastRow">
      <w:tblPr>
        <w:tblLayout w:type="fixed"/>
      </w:tblPr>
      <w:tcPr>
        <w:tcBorders>
          <w:top w:val="single" w:color="000000" w:sz="12" w:space="0"/>
          <w:tl2br w:val="nil"/>
          <w:tr2bl w:val="nil"/>
        </w:tcBorders>
      </w:tcPr>
    </w:tblStylePr>
    <w:tblStylePr w:type="swCell">
      <w:rPr>
        <w:i/>
        <w:iCs/>
        <w:color w:val="000080"/>
      </w:rPr>
      <w:tblPr>
        <w:tblLayout w:type="fixed"/>
      </w:tblPr>
      <w:tcPr>
        <w:tcBorders>
          <w:tl2br w:val="nil"/>
          <w:tr2bl w:val="nil"/>
        </w:tcBorders>
      </w:tcPr>
    </w:tblStylePr>
  </w:style>
  <w:style w:type="table" w:styleId="102">
    <w:name w:val="Table List 4"/>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Layout w:type="fixed"/>
    </w:tblPr>
    <w:tcPr>
      <w:shd w:val="clear" w:color="auto" w:fill="auto"/>
    </w:tcPr>
    <w:tblStylePr w:type="firstRow">
      <w:rPr>
        <w:b/>
        <w:bCs/>
        <w:color w:val="FFFFFF"/>
      </w:rPr>
      <w:tblPr>
        <w:tblLayout w:type="fixed"/>
      </w:tblPr>
      <w:tcPr>
        <w:tcBorders>
          <w:bottom w:val="single" w:color="000000" w:sz="12" w:space="0"/>
          <w:tl2br w:val="nil"/>
          <w:tr2bl w:val="nil"/>
        </w:tcBorders>
        <w:shd w:val="solid" w:color="808080" w:fill="FFFFFF"/>
      </w:tcPr>
    </w:tblStylePr>
  </w:style>
  <w:style w:type="table" w:styleId="103">
    <w:name w:val="Table List 5"/>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Layout w:type="fixed"/>
    </w:tblPr>
    <w:tcPr>
      <w:shd w:val="clear" w:color="auto" w:fill="auto"/>
    </w:tcPr>
    <w:tblStylePr w:type="firstRow">
      <w:rPr>
        <w:b/>
        <w:bCs/>
      </w:rPr>
      <w:tblPr>
        <w:tblLayout w:type="fixed"/>
      </w:tblPr>
      <w:tcPr>
        <w:tcBorders>
          <w:bottom w:val="single" w:color="000000" w:sz="12" w:space="0"/>
          <w:tl2br w:val="nil"/>
          <w:tr2bl w:val="nil"/>
        </w:tcBorders>
      </w:tcPr>
    </w:tblStylePr>
    <w:tblStylePr w:type="firstCol">
      <w:rPr>
        <w:b/>
        <w:bCs/>
      </w:rPr>
      <w:tblPr>
        <w:tblLayout w:type="fixed"/>
      </w:tblPr>
      <w:tcPr>
        <w:tcBorders>
          <w:tl2br w:val="nil"/>
          <w:tr2bl w:val="nil"/>
        </w:tcBorders>
      </w:tcPr>
    </w:tblStylePr>
  </w:style>
  <w:style w:type="table" w:styleId="104">
    <w:name w:val="Table List 6"/>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Layout w:type="fixed"/>
    </w:tblPr>
    <w:tcPr>
      <w:shd w:val="pct50" w:color="000000" w:fill="FFFFFF"/>
    </w:tcPr>
    <w:tblStylePr w:type="firstRow">
      <w:rPr>
        <w:b/>
        <w:bCs/>
      </w:rPr>
      <w:tblPr>
        <w:tblLayout w:type="fixed"/>
      </w:tblPr>
      <w:tcPr>
        <w:tcBorders>
          <w:bottom w:val="single" w:color="000000" w:sz="12" w:space="0"/>
          <w:tl2br w:val="nil"/>
          <w:tr2bl w:val="nil"/>
        </w:tcBorders>
      </w:tcPr>
    </w:tblStylePr>
    <w:tblStylePr w:type="firstCol">
      <w:rPr>
        <w:b/>
        <w:bCs/>
      </w:rPr>
      <w:tblPr>
        <w:tblLayout w:type="fixed"/>
      </w:tblPr>
      <w:tcPr>
        <w:tcBorders>
          <w:right w:val="single" w:color="000000" w:sz="12" w:space="0"/>
          <w:tl2br w:val="nil"/>
          <w:tr2bl w:val="nil"/>
        </w:tcBorders>
      </w:tcPr>
    </w:tblStylePr>
    <w:tblStylePr w:type="band1Horz">
      <w:tblPr>
        <w:tblLayout w:type="fixed"/>
      </w:tblPr>
      <w:tcPr>
        <w:tcBorders>
          <w:tl2br w:val="nil"/>
          <w:tr2bl w:val="nil"/>
        </w:tcBorders>
        <w:shd w:val="pct25" w:color="000000" w:fill="FFFFFF"/>
      </w:tcPr>
    </w:tblStylePr>
    <w:tblStylePr w:type="nwCell">
      <w:tblPr>
        <w:tblLayout w:type="fixed"/>
      </w:tblPr>
      <w:tcPr>
        <w:tcBorders>
          <w:tl2br w:val="single" w:color="000000" w:sz="6" w:space="0"/>
          <w:tr2bl w:val="nil"/>
        </w:tcBorders>
      </w:tcPr>
    </w:tblStylePr>
  </w:style>
  <w:style w:type="table" w:styleId="105">
    <w:name w:val="Table List 7"/>
    <w:basedOn w:val="80"/>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Layout w:type="fixed"/>
    </w:tblPr>
    <w:tblStylePr w:type="firstRow">
      <w:rPr>
        <w:b/>
        <w:bCs/>
      </w:rPr>
      <w:tblPr>
        <w:tblLayout w:type="fixed"/>
      </w:tblPr>
      <w:tcPr>
        <w:tcBorders>
          <w:bottom w:val="single" w:color="008000" w:sz="12" w:space="0"/>
          <w:tl2br w:val="nil"/>
          <w:tr2bl w:val="nil"/>
        </w:tcBorders>
        <w:shd w:val="solid" w:color="C0C0C0" w:fill="FFFFFF"/>
      </w:tcPr>
    </w:tblStylePr>
    <w:tblStylePr w:type="lastRow">
      <w:rPr>
        <w:b/>
        <w:bCs/>
      </w:rPr>
      <w:tblPr>
        <w:tblLayout w:type="fixed"/>
      </w:tblPr>
      <w:tcPr>
        <w:tcBorders>
          <w:top w:val="single" w:color="008000" w:sz="12"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Horz">
      <w:rPr>
        <w:color w:val="auto"/>
      </w:rPr>
      <w:tblPr>
        <w:tblLayout w:type="fixed"/>
      </w:tblPr>
      <w:tcPr>
        <w:tcBorders>
          <w:tl2br w:val="nil"/>
          <w:tr2bl w:val="nil"/>
        </w:tcBorders>
        <w:shd w:val="pct20" w:color="000000" w:fill="FFFFFF"/>
      </w:tcPr>
    </w:tblStylePr>
    <w:tblStylePr w:type="band2Horz">
      <w:tblPr>
        <w:tblLayout w:type="fixed"/>
      </w:tblPr>
      <w:tcPr>
        <w:tcBorders>
          <w:tl2br w:val="nil"/>
          <w:tr2bl w:val="nil"/>
        </w:tcBorders>
        <w:shd w:val="pct25" w:color="FFFF00" w:fill="FFFFFF"/>
      </w:tcPr>
    </w:tblStylePr>
  </w:style>
  <w:style w:type="table" w:styleId="106">
    <w:name w:val="Table List 8"/>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Layout w:type="fixed"/>
    </w:tblPr>
    <w:tblStylePr w:type="firstRow">
      <w:rPr>
        <w:b/>
        <w:bCs/>
        <w:i/>
        <w:iCs/>
      </w:rPr>
      <w:tblPr>
        <w:tblLayout w:type="fixed"/>
      </w:tblPr>
      <w:tcPr>
        <w:tcBorders>
          <w:bottom w:val="single" w:color="000000" w:sz="6" w:space="0"/>
          <w:tl2br w:val="nil"/>
          <w:tr2bl w:val="nil"/>
        </w:tcBorders>
        <w:shd w:val="solid" w:color="FFFF00" w:fill="FFFFFF"/>
      </w:tcPr>
    </w:tblStylePr>
    <w:tblStylePr w:type="lastRow">
      <w:rPr>
        <w:b/>
        <w:bCs/>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Horz">
      <w:rPr>
        <w:color w:val="auto"/>
      </w:rPr>
      <w:tblPr>
        <w:tblLayout w:type="fixed"/>
      </w:tblPr>
      <w:tcPr>
        <w:tcBorders>
          <w:tl2br w:val="nil"/>
          <w:tr2bl w:val="nil"/>
        </w:tcBorders>
        <w:shd w:val="pct25" w:color="FFFF00" w:fill="FFFFFF"/>
      </w:tcPr>
    </w:tblStylePr>
    <w:tblStylePr w:type="band2Horz">
      <w:tblPr>
        <w:tblLayout w:type="fixed"/>
      </w:tblPr>
      <w:tcPr>
        <w:tcBorders>
          <w:tl2br w:val="nil"/>
          <w:tr2bl w:val="nil"/>
        </w:tcBorders>
        <w:shd w:val="pct50" w:color="FF0000" w:fill="FFFFFF"/>
      </w:tcPr>
    </w:tblStylePr>
    <w:tblStylePr w:type="nwCell">
      <w:tblPr>
        <w:tblLayout w:type="fixed"/>
      </w:tblPr>
      <w:tcPr>
        <w:tcBorders>
          <w:tl2br w:val="single" w:color="auto" w:sz="6" w:space="0"/>
          <w:tr2bl w:val="nil"/>
        </w:tcBorders>
      </w:tcPr>
    </w:tblStylePr>
  </w:style>
  <w:style w:type="table" w:styleId="107">
    <w:name w:val="Table Contemporary"/>
    <w:basedOn w:val="80"/>
    <w:qFormat/>
    <w:uiPriority w:val="0"/>
    <w:pPr>
      <w:widowControl w:val="0"/>
      <w:jc w:val="both"/>
    </w:pPr>
    <w:tblPr>
      <w:tblBorders>
        <w:insideH w:val="single" w:color="FFFFFF" w:sz="18" w:space="0"/>
        <w:insideV w:val="single" w:color="FFFFFF" w:sz="18" w:space="0"/>
      </w:tblBorders>
      <w:tblLayout w:type="fixed"/>
    </w:tblPr>
    <w:tblStylePr w:type="firstRow">
      <w:rPr>
        <w:b/>
        <w:bCs/>
        <w:color w:val="auto"/>
      </w:rPr>
      <w:tblPr>
        <w:tblLayout w:type="fixed"/>
      </w:tblPr>
      <w:tcPr>
        <w:tcBorders>
          <w:tl2br w:val="nil"/>
          <w:tr2bl w:val="nil"/>
        </w:tcBorders>
        <w:shd w:val="pct20" w:color="000000" w:fill="FFFFFF"/>
      </w:tcPr>
    </w:tblStylePr>
    <w:tblStylePr w:type="band1Horz">
      <w:rPr>
        <w:color w:val="auto"/>
      </w:rPr>
      <w:tblPr>
        <w:tblLayout w:type="fixed"/>
      </w:tblPr>
      <w:tcPr>
        <w:tcBorders>
          <w:tl2br w:val="nil"/>
          <w:tr2bl w:val="nil"/>
        </w:tcBorders>
        <w:shd w:val="pct5" w:color="000000" w:fill="FFFFFF"/>
      </w:tcPr>
    </w:tblStylePr>
    <w:tblStylePr w:type="band2Horz">
      <w:rPr>
        <w:color w:val="auto"/>
      </w:rPr>
      <w:tblPr>
        <w:tblLayout w:type="fixed"/>
      </w:tblPr>
      <w:tcPr>
        <w:tcBorders>
          <w:tl2br w:val="nil"/>
          <w:tr2bl w:val="nil"/>
        </w:tcBorders>
        <w:shd w:val="pct20" w:color="000000" w:fill="FFFFFF"/>
      </w:tcPr>
    </w:tblStylePr>
  </w:style>
  <w:style w:type="table" w:styleId="108">
    <w:name w:val="Table Columns 1"/>
    <w:basedOn w:val="80"/>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Layout w:type="fixed"/>
    </w:tblPr>
    <w:tblStylePr w:type="firstRow">
      <w:rPr>
        <w:b w:val="0"/>
        <w:bCs w:val="0"/>
      </w:rPr>
      <w:tblPr>
        <w:tblLayout w:type="fixed"/>
      </w:tblPr>
      <w:tcPr>
        <w:tcBorders>
          <w:bottom w:val="double" w:color="000000" w:sz="6" w:space="0"/>
          <w:tl2br w:val="nil"/>
          <w:tr2bl w:val="nil"/>
        </w:tcBorders>
      </w:tcPr>
    </w:tblStylePr>
    <w:tblStylePr w:type="lastRow">
      <w:rPr>
        <w:b w:val="0"/>
        <w:bCs w:val="0"/>
      </w:rPr>
      <w:tblPr>
        <w:tblLayout w:type="fixed"/>
      </w:tblPr>
      <w:tcPr>
        <w:tcBorders>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pct25" w:color="000000" w:fill="FFFFFF"/>
      </w:tcPr>
    </w:tblStylePr>
    <w:tblStylePr w:type="band2Vert">
      <w:rPr>
        <w:color w:val="auto"/>
      </w:rPr>
      <w:tblPr>
        <w:tblLayout w:type="fixed"/>
      </w:tblPr>
      <w:tcPr>
        <w:shd w:val="pct25" w:color="FFFF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09">
    <w:name w:val="Table Columns 2"/>
    <w:basedOn w:val="80"/>
    <w:qFormat/>
    <w:uiPriority w:val="0"/>
    <w:pPr>
      <w:widowControl w:val="0"/>
      <w:jc w:val="both"/>
    </w:pPr>
    <w:rPr>
      <w:b/>
      <w:bCs/>
    </w:rPr>
    <w:tblPr>
      <w:tblStyleColBandSize w:val="1"/>
      <w:tblLayout w:type="fixed"/>
    </w:tblPr>
    <w:tblStylePr w:type="firstRow">
      <w:rPr>
        <w:color w:val="FFFFFF"/>
      </w:rPr>
      <w:tblPr>
        <w:tblLayout w:type="fixed"/>
      </w:tblPr>
      <w:tcPr>
        <w:tcBorders>
          <w:tl2br w:val="nil"/>
          <w:tr2bl w:val="nil"/>
        </w:tcBorders>
        <w:shd w:val="solid" w:color="000080" w:fill="FFFFFF"/>
      </w:tcPr>
    </w:tblStylePr>
    <w:tblStylePr w:type="lastRow">
      <w:rPr>
        <w:b w:val="0"/>
        <w:bCs w:val="0"/>
      </w:rPr>
      <w:tblPr>
        <w:tblLayout w:type="fixed"/>
      </w:tblPr>
      <w:tcPr>
        <w:tcBorders>
          <w:tl2br w:val="nil"/>
          <w:tr2bl w:val="nil"/>
        </w:tcBorders>
      </w:tcPr>
    </w:tblStylePr>
    <w:tblStylePr w:type="firstCol">
      <w:rPr>
        <w:b w:val="0"/>
        <w:bCs w:val="0"/>
        <w:color w:val="00000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pct30" w:color="000000" w:fill="FFFFFF"/>
      </w:tcPr>
    </w:tblStylePr>
    <w:tblStylePr w:type="band2Vert">
      <w:rPr>
        <w:color w:val="auto"/>
      </w:rPr>
      <w:tblPr>
        <w:tblLayout w:type="fixed"/>
      </w:tblPr>
      <w:tcPr>
        <w:shd w:val="pct25" w:color="00FF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10">
    <w:name w:val="Table Columns 3"/>
    <w:basedOn w:val="80"/>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Layout w:type="fixed"/>
    </w:tblPr>
    <w:tblStylePr w:type="firstRow">
      <w:rPr>
        <w:color w:val="FFFFFF"/>
      </w:rPr>
      <w:tblPr>
        <w:tblLayout w:type="fixed"/>
      </w:tblPr>
      <w:tcPr>
        <w:tcBorders>
          <w:tl2br w:val="nil"/>
          <w:tr2bl w:val="nil"/>
        </w:tcBorders>
        <w:shd w:val="solid" w:color="000080" w:fill="FFFFFF"/>
      </w:tcPr>
    </w:tblStylePr>
    <w:tblStylePr w:type="lastRow">
      <w:rPr>
        <w:b w:val="0"/>
        <w:bCs w:val="0"/>
      </w:rPr>
      <w:tblPr>
        <w:tblLayout w:type="fixed"/>
      </w:tblPr>
      <w:tcPr>
        <w:tcBorders>
          <w:top w:val="single" w:color="000080" w:sz="6" w:space="0"/>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solid" w:color="C0C0C0" w:fill="FFFFFF"/>
      </w:tcPr>
    </w:tblStylePr>
    <w:tblStylePr w:type="band2Vert">
      <w:rPr>
        <w:color w:val="auto"/>
      </w:rPr>
      <w:tblPr>
        <w:tblLayout w:type="fixed"/>
      </w:tblPr>
      <w:tcPr>
        <w:shd w:val="pct10" w:color="000000" w:fill="FFFFFF"/>
      </w:tcPr>
    </w:tblStylePr>
    <w:tblStylePr w:type="neCell">
      <w:rPr>
        <w:b/>
        <w:bCs/>
      </w:rPr>
      <w:tblPr>
        <w:tblLayout w:type="fixed"/>
      </w:tblPr>
      <w:tcPr>
        <w:tcBorders>
          <w:tl2br w:val="nil"/>
          <w:tr2bl w:val="nil"/>
        </w:tcBorders>
      </w:tcPr>
    </w:tblStylePr>
  </w:style>
  <w:style w:type="table" w:styleId="111">
    <w:name w:val="Table Columns 4"/>
    <w:basedOn w:val="80"/>
    <w:qFormat/>
    <w:uiPriority w:val="0"/>
    <w:pPr>
      <w:widowControl w:val="0"/>
      <w:jc w:val="both"/>
    </w:pPr>
    <w:tblPr>
      <w:tblStyleColBandSize w:val="1"/>
      <w:tblLayout w:type="fixed"/>
    </w:tblPr>
    <w:tblStylePr w:type="firstRow">
      <w:rPr>
        <w:color w:val="FFFFFF"/>
      </w:rPr>
      <w:tblPr>
        <w:tblLayout w:type="fixed"/>
      </w:tblPr>
      <w:tcPr>
        <w:tcBorders>
          <w:tl2br w:val="nil"/>
          <w:tr2bl w:val="nil"/>
        </w:tcBorders>
        <w:shd w:val="solid" w:color="0000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Vert">
      <w:rPr>
        <w:color w:val="auto"/>
      </w:rPr>
      <w:tblPr>
        <w:tblLayout w:type="fixed"/>
      </w:tblPr>
      <w:tcPr>
        <w:shd w:val="pct50" w:color="008080" w:fill="FFFFFF"/>
      </w:tcPr>
    </w:tblStylePr>
    <w:tblStylePr w:type="band2Vert">
      <w:rPr>
        <w:color w:val="auto"/>
      </w:rPr>
      <w:tblPr>
        <w:tblLayout w:type="fixed"/>
      </w:tblPr>
      <w:tcPr>
        <w:shd w:val="pct10" w:color="000000" w:fill="FFFFFF"/>
      </w:tcPr>
    </w:tblStylePr>
  </w:style>
  <w:style w:type="table" w:styleId="112">
    <w:name w:val="Table Columns 5"/>
    <w:basedOn w:val="80"/>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Layout w:type="fixed"/>
    </w:tblPr>
    <w:tblStylePr w:type="firstRow">
      <w:rPr>
        <w:b/>
        <w:bCs/>
        <w:i/>
        <w:iCs/>
      </w:rPr>
      <w:tblPr>
        <w:tblLayout w:type="fixed"/>
      </w:tblPr>
      <w:tcPr>
        <w:tcBorders>
          <w:bottom w:val="single" w:color="808080" w:sz="6" w:space="0"/>
          <w:tl2br w:val="nil"/>
          <w:tr2bl w:val="nil"/>
        </w:tcBorders>
      </w:tcPr>
    </w:tblStylePr>
    <w:tblStylePr w:type="lastRow">
      <w:rPr>
        <w:b/>
        <w:bCs/>
      </w:rPr>
      <w:tblPr>
        <w:tblLayout w:type="fixed"/>
      </w:tblPr>
      <w:tcPr>
        <w:tcBorders>
          <w:top w:val="single" w:color="80808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Vert">
      <w:rPr>
        <w:color w:val="auto"/>
      </w:rPr>
      <w:tblPr>
        <w:tblLayout w:type="fixed"/>
      </w:tblPr>
      <w:tcPr>
        <w:shd w:val="solid" w:color="C0C0C0" w:fill="FFFFFF"/>
      </w:tcPr>
    </w:tblStylePr>
    <w:tblStylePr w:type="band2Vert">
      <w:rPr>
        <w:color w:val="auto"/>
      </w:rPr>
    </w:tblStylePr>
  </w:style>
  <w:style w:type="table" w:styleId="113">
    <w:name w:val="Table Grid 1"/>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lastRow">
      <w:rPr>
        <w:i/>
        <w:iCs/>
      </w:rPr>
      <w:tblPr>
        <w:tblLayout w:type="fixed"/>
      </w:tblPr>
      <w:tcPr>
        <w:tcBorders>
          <w:tl2br w:val="nil"/>
          <w:tr2bl w:val="nil"/>
        </w:tcBorders>
      </w:tcPr>
    </w:tblStylePr>
    <w:tblStylePr w:type="lastCol">
      <w:rPr>
        <w:i/>
        <w:i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4">
    <w:name w:val="Table Grid 2"/>
    <w:basedOn w:val="80"/>
    <w:qFormat/>
    <w:uiPriority w:val="0"/>
    <w:pPr>
      <w:widowControl w:val="0"/>
      <w:jc w:val="both"/>
    </w:pPr>
    <w:tblPr>
      <w:tblBorders>
        <w:insideH w:val="single" w:color="000000" w:sz="6" w:space="0"/>
        <w:insideV w:val="single" w:color="000000" w:sz="6" w:space="0"/>
      </w:tblBorders>
      <w:tblLayout w:type="fixed"/>
    </w:tblPr>
    <w:tcPr>
      <w:shd w:val="clear" w:color="auto" w:fill="auto"/>
    </w:tcPr>
    <w:tblStylePr w:type="firstRow">
      <w:rPr>
        <w:b/>
        <w:bCs/>
      </w:rPr>
      <w:tblPr>
        <w:tblLayout w:type="fixed"/>
      </w:tblPr>
      <w:tcPr>
        <w:tcBorders>
          <w:tl2br w:val="nil"/>
          <w:tr2bl w:val="nil"/>
        </w:tcBorders>
      </w:tcPr>
    </w:tblStylePr>
    <w:tblStylePr w:type="lastRow">
      <w:rPr>
        <w:b/>
        <w:bCs/>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style>
  <w:style w:type="table" w:styleId="115">
    <w:name w:val="Table Grid 3"/>
    <w:basedOn w:val="80"/>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Layout w:type="fixed"/>
    </w:tblPr>
    <w:tcPr>
      <w:shd w:val="clear" w:color="auto" w:fill="auto"/>
    </w:tcPr>
    <w:tblStylePr w:type="firstRow">
      <w:tblPr>
        <w:tblLayout w:type="fixed"/>
      </w:tblPr>
      <w:tcPr>
        <w:tcBorders>
          <w:bottom w:val="single" w:color="000000" w:sz="6" w:space="0"/>
          <w:tl2br w:val="nil"/>
          <w:tr2bl w:val="nil"/>
        </w:tcBorders>
        <w:shd w:val="pct30" w:color="FFFF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6">
    <w:name w:val="Table Grid 4"/>
    <w:basedOn w:val="80"/>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rPr>
        <w:color w:val="auto"/>
      </w:rPr>
      <w:tblPr>
        <w:tblLayout w:type="fixed"/>
      </w:tblPr>
      <w:tcPr>
        <w:tcBorders>
          <w:bottom w:val="single" w:color="000000" w:sz="6" w:space="0"/>
          <w:tl2br w:val="nil"/>
          <w:tr2bl w:val="nil"/>
        </w:tcBorders>
        <w:shd w:val="pct30" w:color="FFFF00" w:fill="FFFFFF"/>
      </w:tcPr>
    </w:tblStylePr>
    <w:tblStylePr w:type="lastRow">
      <w:rPr>
        <w:b/>
        <w:bCs/>
        <w:color w:val="auto"/>
      </w:rPr>
      <w:tblPr>
        <w:tblLayout w:type="fixed"/>
      </w:tblPr>
      <w:tcPr>
        <w:tcBorders>
          <w:top w:val="single" w:color="000000" w:sz="6" w:space="0"/>
          <w:tl2br w:val="nil"/>
          <w:tr2bl w:val="nil"/>
        </w:tcBorders>
        <w:shd w:val="pct30" w:color="FFFF00" w:fill="FFFFFF"/>
      </w:tcPr>
    </w:tblStylePr>
    <w:tblStylePr w:type="lastCol">
      <w:rPr>
        <w:b/>
        <w:bCs/>
        <w:color w:val="auto"/>
      </w:rPr>
      <w:tblPr>
        <w:tblLayout w:type="fixed"/>
      </w:tblPr>
      <w:tcPr>
        <w:tcBorders>
          <w:tl2br w:val="nil"/>
          <w:tr2bl w:val="nil"/>
        </w:tcBorders>
      </w:tcPr>
    </w:tblStylePr>
  </w:style>
  <w:style w:type="table" w:styleId="117">
    <w:name w:val="Table Grid 5"/>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tblPr>
        <w:tblLayout w:type="fixed"/>
      </w:tblPr>
      <w:tcPr>
        <w:tcBorders>
          <w:bottom w:val="single" w:color="000000" w:sz="12" w:space="0"/>
          <w:tl2br w:val="nil"/>
          <w:tr2bl w:val="nil"/>
        </w:tcBorders>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8">
    <w:name w:val="Table Grid 6"/>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Layout w:type="fixed"/>
    </w:tblPr>
    <w:tcPr>
      <w:shd w:val="clear" w:color="auto" w:fill="auto"/>
    </w:tcPr>
    <w:tblStylePr w:type="firstRow">
      <w:rPr>
        <w:b/>
        <w:bCs/>
      </w:rPr>
      <w:tblPr>
        <w:tblLayout w:type="fixed"/>
      </w:tblPr>
      <w:tcPr>
        <w:tcBorders>
          <w:bottom w:val="single" w:color="000000" w:sz="6" w:space="0"/>
          <w:tl2br w:val="nil"/>
          <w:tr2bl w:val="nil"/>
        </w:tcBorders>
      </w:tcPr>
    </w:tblStylePr>
    <w:tblStylePr w:type="lastRow">
      <w:rPr>
        <w:color w:val="auto"/>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9">
    <w:name w:val="Table Grid 7"/>
    <w:basedOn w:val="80"/>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rPr>
        <w:b w:val="0"/>
        <w:bCs w:val="0"/>
      </w:rPr>
      <w:tblPr>
        <w:tblLayout w:type="fixed"/>
      </w:tblPr>
      <w:tcPr>
        <w:tcBorders>
          <w:bottom w:val="single" w:color="000000" w:sz="12" w:space="0"/>
          <w:tl2br w:val="nil"/>
          <w:tr2bl w:val="nil"/>
        </w:tcBorders>
      </w:tcPr>
    </w:tblStylePr>
    <w:tblStylePr w:type="lastRow">
      <w:rPr>
        <w:b w:val="0"/>
        <w:bCs w:val="0"/>
      </w:rPr>
      <w:tblPr>
        <w:tblLayout w:type="fixed"/>
      </w:tblPr>
      <w:tcPr>
        <w:tcBorders>
          <w:top w:val="single" w:color="000000" w:sz="6" w:space="0"/>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20">
    <w:name w:val="Table Grid 8"/>
    <w:basedOn w:val="80"/>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Layout w:type="fixed"/>
    </w:tblPr>
    <w:tcPr>
      <w:shd w:val="clear" w:color="auto" w:fill="auto"/>
    </w:tcPr>
    <w:tblStylePr w:type="firstRow">
      <w:rPr>
        <w:b/>
        <w:bCs/>
        <w:color w:val="FFFFFF"/>
      </w:rPr>
      <w:tblPr>
        <w:tblLayout w:type="fixed"/>
      </w:tblPr>
      <w:tcPr>
        <w:tcBorders>
          <w:tl2br w:val="nil"/>
          <w:tr2bl w:val="nil"/>
        </w:tcBorders>
        <w:shd w:val="solid" w:color="000080" w:fill="FFFFFF"/>
      </w:tcPr>
    </w:tblStylePr>
    <w:tblStylePr w:type="lastRow">
      <w:rPr>
        <w:b/>
        <w:bCs/>
        <w:color w:val="auto"/>
      </w:rPr>
      <w:tblPr>
        <w:tblLayout w:type="fixed"/>
      </w:tblPr>
      <w:tcPr>
        <w:tcBorders>
          <w:tl2br w:val="nil"/>
          <w:tr2bl w:val="nil"/>
        </w:tcBorders>
      </w:tcPr>
    </w:tblStylePr>
    <w:tblStylePr w:type="lastCol">
      <w:rPr>
        <w:b/>
        <w:bCs/>
        <w:color w:val="auto"/>
      </w:rPr>
      <w:tblPr>
        <w:tblLayout w:type="fixed"/>
      </w:tblPr>
      <w:tcPr>
        <w:tcBorders>
          <w:tl2br w:val="nil"/>
          <w:tr2bl w:val="nil"/>
        </w:tcBorders>
      </w:tcPr>
    </w:tblStylePr>
  </w:style>
  <w:style w:type="table" w:styleId="121">
    <w:name w:val="Table Web 1"/>
    <w:basedOn w:val="80"/>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2">
    <w:name w:val="Table Web 2"/>
    <w:basedOn w:val="80"/>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3">
    <w:name w:val="Table Web 3"/>
    <w:basedOn w:val="80"/>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4">
    <w:name w:val="Table Professional"/>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firstRow">
      <w:rPr>
        <w:b/>
        <w:bCs/>
        <w:color w:val="auto"/>
      </w:rPr>
      <w:tblPr>
        <w:tblLayout w:type="fixed"/>
      </w:tblPr>
      <w:tcPr>
        <w:tcBorders>
          <w:tl2br w:val="nil"/>
          <w:tr2bl w:val="nil"/>
        </w:tcBorders>
        <w:shd w:val="solid" w:color="000000" w:fill="FFFFFF"/>
      </w:tcPr>
    </w:tblStylePr>
  </w:style>
  <w:style w:type="character" w:styleId="126">
    <w:name w:val="Strong"/>
    <w:basedOn w:val="125"/>
    <w:qFormat/>
    <w:uiPriority w:val="22"/>
    <w:rPr>
      <w:b/>
    </w:rPr>
  </w:style>
  <w:style w:type="character" w:styleId="127">
    <w:name w:val="endnote reference"/>
    <w:qFormat/>
    <w:uiPriority w:val="0"/>
    <w:rPr>
      <w:vertAlign w:val="superscript"/>
    </w:rPr>
  </w:style>
  <w:style w:type="character" w:styleId="128">
    <w:name w:val="FollowedHyperlink"/>
    <w:qFormat/>
    <w:uiPriority w:val="99"/>
    <w:rPr>
      <w:color w:val="800080"/>
      <w:u w:val="single"/>
    </w:rPr>
  </w:style>
  <w:style w:type="character" w:styleId="129">
    <w:name w:val="line number"/>
    <w:basedOn w:val="125"/>
    <w:qFormat/>
    <w:uiPriority w:val="0"/>
  </w:style>
  <w:style w:type="character" w:styleId="130">
    <w:name w:val="HTML Definition"/>
    <w:qFormat/>
    <w:uiPriority w:val="0"/>
    <w:rPr>
      <w:i/>
      <w:iCs/>
    </w:rPr>
  </w:style>
  <w:style w:type="character" w:styleId="131">
    <w:name w:val="HTML Typewriter"/>
    <w:qFormat/>
    <w:uiPriority w:val="0"/>
    <w:rPr>
      <w:rFonts w:ascii="Courier New" w:hAnsi="Courier New" w:cs="Courier New"/>
      <w:sz w:val="20"/>
      <w:szCs w:val="20"/>
    </w:rPr>
  </w:style>
  <w:style w:type="character" w:styleId="132">
    <w:name w:val="HTML Acronym"/>
    <w:basedOn w:val="125"/>
    <w:qFormat/>
    <w:uiPriority w:val="0"/>
  </w:style>
  <w:style w:type="character" w:styleId="133">
    <w:name w:val="HTML Variable"/>
    <w:qFormat/>
    <w:uiPriority w:val="0"/>
    <w:rPr>
      <w:i/>
      <w:iCs/>
    </w:rPr>
  </w:style>
  <w:style w:type="character" w:styleId="134">
    <w:name w:val="Hyperlink"/>
    <w:basedOn w:val="125"/>
    <w:qFormat/>
    <w:uiPriority w:val="99"/>
    <w:rPr>
      <w:color w:val="337AB7"/>
      <w:u w:val="none"/>
    </w:rPr>
  </w:style>
  <w:style w:type="character" w:styleId="135">
    <w:name w:val="HTML Code"/>
    <w:qFormat/>
    <w:uiPriority w:val="0"/>
    <w:rPr>
      <w:rFonts w:ascii="Courier New" w:hAnsi="Courier New" w:cs="Courier New"/>
      <w:sz w:val="20"/>
      <w:szCs w:val="20"/>
    </w:rPr>
  </w:style>
  <w:style w:type="character" w:styleId="136">
    <w:name w:val="annotation reference"/>
    <w:qFormat/>
    <w:uiPriority w:val="99"/>
    <w:rPr>
      <w:sz w:val="21"/>
      <w:szCs w:val="21"/>
    </w:rPr>
  </w:style>
  <w:style w:type="character" w:styleId="137">
    <w:name w:val="HTML Cite"/>
    <w:qFormat/>
    <w:uiPriority w:val="0"/>
    <w:rPr>
      <w:i/>
      <w:iCs/>
    </w:rPr>
  </w:style>
  <w:style w:type="character" w:styleId="138">
    <w:name w:val="footnote reference"/>
    <w:qFormat/>
    <w:uiPriority w:val="0"/>
    <w:rPr>
      <w:vertAlign w:val="superscript"/>
    </w:rPr>
  </w:style>
  <w:style w:type="character" w:styleId="139">
    <w:name w:val="HTML Keyboard"/>
    <w:qFormat/>
    <w:uiPriority w:val="0"/>
    <w:rPr>
      <w:rFonts w:ascii="Courier New" w:hAnsi="Courier New" w:cs="Courier New"/>
      <w:sz w:val="20"/>
      <w:szCs w:val="20"/>
    </w:rPr>
  </w:style>
  <w:style w:type="character" w:styleId="140">
    <w:name w:val="HTML Sample"/>
    <w:qFormat/>
    <w:uiPriority w:val="0"/>
    <w:rPr>
      <w:rFonts w:ascii="Courier New" w:hAnsi="Courier New" w:cs="Courier New"/>
    </w:rPr>
  </w:style>
  <w:style w:type="character" w:customStyle="1" w:styleId="141">
    <w:name w:val="标题 1 字符"/>
    <w:basedOn w:val="125"/>
    <w:link w:val="2"/>
    <w:qFormat/>
    <w:uiPriority w:val="0"/>
    <w:rPr>
      <w:rFonts w:ascii="Times New Roman" w:hAnsi="Times New Roman" w:eastAsia="宋体" w:cs="Times New Roman"/>
      <w:b/>
      <w:kern w:val="0"/>
      <w:sz w:val="32"/>
      <w:szCs w:val="20"/>
    </w:rPr>
  </w:style>
  <w:style w:type="character" w:customStyle="1" w:styleId="142">
    <w:name w:val="标题 2 字符"/>
    <w:basedOn w:val="125"/>
    <w:link w:val="3"/>
    <w:qFormat/>
    <w:uiPriority w:val="0"/>
    <w:rPr>
      <w:rFonts w:ascii="Times New Roman" w:hAnsi="Times New Roman" w:eastAsia="宋体" w:cs="Times New Roman"/>
      <w:b/>
      <w:kern w:val="0"/>
      <w:sz w:val="28"/>
      <w:szCs w:val="20"/>
    </w:rPr>
  </w:style>
  <w:style w:type="character" w:customStyle="1" w:styleId="143">
    <w:name w:val="标题 3 字符"/>
    <w:basedOn w:val="125"/>
    <w:link w:val="4"/>
    <w:qFormat/>
    <w:uiPriority w:val="0"/>
    <w:rPr>
      <w:rFonts w:ascii="Times New Roman" w:hAnsi="Times New Roman" w:eastAsia="宋体" w:cs="Times New Roman"/>
      <w:b/>
      <w:kern w:val="0"/>
      <w:sz w:val="24"/>
      <w:szCs w:val="20"/>
    </w:rPr>
  </w:style>
  <w:style w:type="character" w:customStyle="1" w:styleId="144">
    <w:name w:val="标题 4 字符"/>
    <w:basedOn w:val="125"/>
    <w:link w:val="5"/>
    <w:qFormat/>
    <w:uiPriority w:val="0"/>
    <w:rPr>
      <w:rFonts w:ascii="Times New Roman" w:hAnsi="Times New Roman" w:eastAsia="宋体" w:cs="Times New Roman"/>
      <w:b/>
      <w:kern w:val="0"/>
      <w:sz w:val="22"/>
      <w:szCs w:val="20"/>
    </w:rPr>
  </w:style>
  <w:style w:type="character" w:customStyle="1" w:styleId="145">
    <w:name w:val="标题 5 字符"/>
    <w:basedOn w:val="125"/>
    <w:link w:val="6"/>
    <w:qFormat/>
    <w:uiPriority w:val="0"/>
    <w:rPr>
      <w:rFonts w:ascii="Times New Roman" w:hAnsi="Times New Roman" w:eastAsia="宋体" w:cs="Times New Roman"/>
      <w:kern w:val="0"/>
      <w:sz w:val="20"/>
      <w:szCs w:val="20"/>
    </w:rPr>
  </w:style>
  <w:style w:type="character" w:customStyle="1" w:styleId="146">
    <w:name w:val="标题 6 字符"/>
    <w:basedOn w:val="125"/>
    <w:link w:val="7"/>
    <w:qFormat/>
    <w:uiPriority w:val="0"/>
    <w:rPr>
      <w:rFonts w:ascii="Times New Roman" w:hAnsi="Times New Roman" w:eastAsia="宋体" w:cs="Times New Roman"/>
      <w:kern w:val="0"/>
      <w:sz w:val="20"/>
      <w:szCs w:val="20"/>
    </w:rPr>
  </w:style>
  <w:style w:type="character" w:customStyle="1" w:styleId="147">
    <w:name w:val="标题 7 字符"/>
    <w:basedOn w:val="125"/>
    <w:link w:val="8"/>
    <w:qFormat/>
    <w:uiPriority w:val="0"/>
    <w:rPr>
      <w:rFonts w:ascii="Times New Roman" w:hAnsi="Times New Roman" w:eastAsia="宋体" w:cs="Times New Roman"/>
      <w:kern w:val="0"/>
      <w:sz w:val="20"/>
      <w:szCs w:val="20"/>
    </w:rPr>
  </w:style>
  <w:style w:type="character" w:customStyle="1" w:styleId="148">
    <w:name w:val="标题 8 字符"/>
    <w:basedOn w:val="125"/>
    <w:link w:val="9"/>
    <w:qFormat/>
    <w:uiPriority w:val="0"/>
    <w:rPr>
      <w:rFonts w:ascii="Times New Roman" w:hAnsi="Times New Roman" w:eastAsia="宋体" w:cs="Times New Roman"/>
      <w:kern w:val="0"/>
      <w:sz w:val="20"/>
      <w:szCs w:val="20"/>
    </w:rPr>
  </w:style>
  <w:style w:type="character" w:customStyle="1" w:styleId="149">
    <w:name w:val="标题 9 字符"/>
    <w:basedOn w:val="125"/>
    <w:link w:val="10"/>
    <w:qFormat/>
    <w:uiPriority w:val="0"/>
    <w:rPr>
      <w:rFonts w:ascii="Times New Roman" w:hAnsi="Times New Roman" w:eastAsia="宋体" w:cs="Times New Roman"/>
      <w:kern w:val="0"/>
      <w:sz w:val="20"/>
      <w:szCs w:val="20"/>
    </w:rPr>
  </w:style>
  <w:style w:type="character" w:customStyle="1" w:styleId="150">
    <w:name w:val="批注文字 字符"/>
    <w:basedOn w:val="125"/>
    <w:link w:val="24"/>
    <w:qFormat/>
    <w:uiPriority w:val="0"/>
  </w:style>
  <w:style w:type="character" w:customStyle="1" w:styleId="151">
    <w:name w:val="批注主题 字符"/>
    <w:basedOn w:val="150"/>
    <w:link w:val="77"/>
    <w:qFormat/>
    <w:uiPriority w:val="0"/>
    <w:rPr>
      <w:rFonts w:ascii="Times New Roman" w:hAnsi="Times New Roman" w:eastAsia="宋体" w:cs="Times New Roman"/>
      <w:b/>
      <w:bCs/>
      <w:szCs w:val="24"/>
    </w:rPr>
  </w:style>
  <w:style w:type="character" w:customStyle="1" w:styleId="152">
    <w:name w:val="正文文本 字符"/>
    <w:basedOn w:val="125"/>
    <w:link w:val="30"/>
    <w:qFormat/>
    <w:uiPriority w:val="99"/>
  </w:style>
  <w:style w:type="character" w:customStyle="1" w:styleId="153">
    <w:name w:val="正文首行缩进 字符"/>
    <w:basedOn w:val="152"/>
    <w:link w:val="78"/>
    <w:qFormat/>
    <w:uiPriority w:val="0"/>
    <w:rPr>
      <w:rFonts w:ascii="Times New Roman" w:hAnsi="Calibri" w:eastAsia="宋体" w:cs="宋体"/>
      <w:szCs w:val="24"/>
    </w:rPr>
  </w:style>
  <w:style w:type="character" w:customStyle="1" w:styleId="154">
    <w:name w:val="注释标题 字符"/>
    <w:basedOn w:val="125"/>
    <w:link w:val="14"/>
    <w:qFormat/>
    <w:uiPriority w:val="0"/>
    <w:rPr>
      <w:rFonts w:ascii="Times New Roman" w:hAnsi="Times New Roman" w:eastAsia="宋体" w:cs="Times New Roman"/>
      <w:szCs w:val="24"/>
    </w:rPr>
  </w:style>
  <w:style w:type="character" w:customStyle="1" w:styleId="155">
    <w:name w:val="电子邮件签名 字符"/>
    <w:basedOn w:val="125"/>
    <w:link w:val="17"/>
    <w:qFormat/>
    <w:uiPriority w:val="0"/>
    <w:rPr>
      <w:rFonts w:ascii="Times New Roman" w:hAnsi="Times New Roman" w:eastAsia="宋体" w:cs="Times New Roman"/>
      <w:szCs w:val="24"/>
    </w:rPr>
  </w:style>
  <w:style w:type="character" w:customStyle="1" w:styleId="156">
    <w:name w:val="文档结构图 字符"/>
    <w:basedOn w:val="125"/>
    <w:link w:val="22"/>
    <w:qFormat/>
    <w:uiPriority w:val="0"/>
    <w:rPr>
      <w:rFonts w:ascii="Times New Roman" w:hAnsi="Times New Roman" w:eastAsia="宋体" w:cs="Times New Roman"/>
      <w:szCs w:val="20"/>
      <w:shd w:val="clear" w:color="auto" w:fill="000080"/>
    </w:rPr>
  </w:style>
  <w:style w:type="character" w:customStyle="1" w:styleId="157">
    <w:name w:val="称呼 字符"/>
    <w:basedOn w:val="125"/>
    <w:link w:val="26"/>
    <w:qFormat/>
    <w:uiPriority w:val="0"/>
    <w:rPr>
      <w:rFonts w:ascii="Times New Roman" w:hAnsi="Times New Roman" w:eastAsia="宋体" w:cs="Times New Roman"/>
      <w:szCs w:val="24"/>
    </w:rPr>
  </w:style>
  <w:style w:type="character" w:customStyle="1" w:styleId="158">
    <w:name w:val="正文文本 3 字符"/>
    <w:basedOn w:val="125"/>
    <w:link w:val="27"/>
    <w:qFormat/>
    <w:uiPriority w:val="0"/>
    <w:rPr>
      <w:rFonts w:ascii="Times New Roman" w:hAnsi="Times New Roman" w:eastAsia="宋体" w:cs="Times New Roman"/>
      <w:sz w:val="16"/>
      <w:szCs w:val="16"/>
    </w:rPr>
  </w:style>
  <w:style w:type="character" w:customStyle="1" w:styleId="159">
    <w:name w:val="结束语 字符"/>
    <w:basedOn w:val="125"/>
    <w:link w:val="28"/>
    <w:qFormat/>
    <w:uiPriority w:val="0"/>
    <w:rPr>
      <w:rFonts w:ascii="Times New Roman" w:hAnsi="Times New Roman" w:eastAsia="宋体" w:cs="Times New Roman"/>
      <w:szCs w:val="24"/>
    </w:rPr>
  </w:style>
  <w:style w:type="character" w:customStyle="1" w:styleId="160">
    <w:name w:val="正文文本缩进 字符"/>
    <w:basedOn w:val="125"/>
    <w:link w:val="31"/>
    <w:qFormat/>
    <w:uiPriority w:val="99"/>
    <w:rPr>
      <w:rFonts w:ascii="Times New Roman" w:hAnsi="Times New Roman" w:eastAsia="宋体" w:cs="Times New Roman"/>
      <w:szCs w:val="20"/>
    </w:rPr>
  </w:style>
  <w:style w:type="character" w:customStyle="1" w:styleId="161">
    <w:name w:val="HTML 地址 字符"/>
    <w:basedOn w:val="125"/>
    <w:link w:val="37"/>
    <w:qFormat/>
    <w:uiPriority w:val="0"/>
    <w:rPr>
      <w:rFonts w:ascii="Times New Roman" w:hAnsi="Times New Roman" w:eastAsia="宋体" w:cs="Times New Roman"/>
      <w:i/>
      <w:iCs/>
      <w:szCs w:val="24"/>
    </w:rPr>
  </w:style>
  <w:style w:type="character" w:customStyle="1" w:styleId="162">
    <w:name w:val="纯文本 字符"/>
    <w:basedOn w:val="125"/>
    <w:link w:val="41"/>
    <w:qFormat/>
    <w:uiPriority w:val="0"/>
    <w:rPr>
      <w:rFonts w:ascii="宋体" w:hAnsi="Courier New" w:eastAsia="宋体" w:cs="Times New Roman"/>
      <w:kern w:val="0"/>
      <w:sz w:val="20"/>
      <w:szCs w:val="21"/>
    </w:rPr>
  </w:style>
  <w:style w:type="character" w:customStyle="1" w:styleId="163">
    <w:name w:val="日期 字符"/>
    <w:basedOn w:val="125"/>
    <w:link w:val="46"/>
    <w:qFormat/>
    <w:uiPriority w:val="0"/>
    <w:rPr>
      <w:rFonts w:ascii="Times New Roman" w:hAnsi="Times New Roman" w:eastAsia="宋体" w:cs="Times New Roman"/>
      <w:szCs w:val="20"/>
    </w:rPr>
  </w:style>
  <w:style w:type="character" w:customStyle="1" w:styleId="164">
    <w:name w:val="正文文本缩进 2 字符"/>
    <w:basedOn w:val="125"/>
    <w:link w:val="47"/>
    <w:qFormat/>
    <w:uiPriority w:val="0"/>
    <w:rPr>
      <w:rFonts w:ascii="Times New Roman" w:hAnsi="Times New Roman" w:eastAsia="宋体" w:cs="Times New Roman"/>
      <w:szCs w:val="24"/>
    </w:rPr>
  </w:style>
  <w:style w:type="character" w:customStyle="1" w:styleId="165">
    <w:name w:val="尾注文本 字符"/>
    <w:basedOn w:val="125"/>
    <w:link w:val="48"/>
    <w:qFormat/>
    <w:uiPriority w:val="0"/>
    <w:rPr>
      <w:rFonts w:ascii="Times New Roman" w:hAnsi="Times New Roman" w:eastAsia="宋体" w:cs="Times New Roman"/>
      <w:szCs w:val="24"/>
    </w:rPr>
  </w:style>
  <w:style w:type="character" w:customStyle="1" w:styleId="166">
    <w:name w:val="批注框文本 字符"/>
    <w:basedOn w:val="125"/>
    <w:link w:val="50"/>
    <w:qFormat/>
    <w:uiPriority w:val="0"/>
    <w:rPr>
      <w:rFonts w:ascii="Times New Roman" w:hAnsi="Times New Roman" w:eastAsia="宋体" w:cs="Times New Roman"/>
      <w:sz w:val="18"/>
      <w:szCs w:val="18"/>
    </w:rPr>
  </w:style>
  <w:style w:type="character" w:customStyle="1" w:styleId="167">
    <w:name w:val="页脚 字符"/>
    <w:basedOn w:val="125"/>
    <w:link w:val="51"/>
    <w:qFormat/>
    <w:uiPriority w:val="0"/>
    <w:rPr>
      <w:rFonts w:ascii="Times New Roman" w:hAnsi="Times New Roman" w:eastAsia="宋体" w:cs="Times New Roman"/>
      <w:sz w:val="18"/>
      <w:szCs w:val="18"/>
    </w:rPr>
  </w:style>
  <w:style w:type="character" w:customStyle="1" w:styleId="168">
    <w:name w:val="正文首行缩进 2 字符"/>
    <w:basedOn w:val="160"/>
    <w:link w:val="79"/>
    <w:qFormat/>
    <w:uiPriority w:val="0"/>
    <w:rPr>
      <w:rFonts w:ascii="Times New Roman" w:hAnsi="Times New Roman" w:eastAsia="宋体" w:cs="宋体"/>
      <w:szCs w:val="24"/>
    </w:rPr>
  </w:style>
  <w:style w:type="character" w:customStyle="1" w:styleId="169">
    <w:name w:val="页眉 字符"/>
    <w:basedOn w:val="125"/>
    <w:link w:val="53"/>
    <w:qFormat/>
    <w:uiPriority w:val="0"/>
    <w:rPr>
      <w:rFonts w:ascii="Times New Roman" w:hAnsi="Times New Roman" w:eastAsia="宋体" w:cs="Times New Roman"/>
      <w:sz w:val="18"/>
      <w:szCs w:val="18"/>
    </w:rPr>
  </w:style>
  <w:style w:type="character" w:customStyle="1" w:styleId="170">
    <w:name w:val="签名 字符"/>
    <w:basedOn w:val="125"/>
    <w:link w:val="54"/>
    <w:qFormat/>
    <w:uiPriority w:val="0"/>
    <w:rPr>
      <w:rFonts w:ascii="Times New Roman" w:hAnsi="Times New Roman" w:eastAsia="宋体" w:cs="Times New Roman"/>
      <w:szCs w:val="24"/>
    </w:rPr>
  </w:style>
  <w:style w:type="character" w:customStyle="1" w:styleId="171">
    <w:name w:val="脚注文本 字符"/>
    <w:basedOn w:val="125"/>
    <w:link w:val="62"/>
    <w:qFormat/>
    <w:uiPriority w:val="0"/>
    <w:rPr>
      <w:rFonts w:ascii="Times New Roman" w:hAnsi="Times New Roman" w:eastAsia="宋体" w:cs="Times New Roman"/>
      <w:sz w:val="18"/>
      <w:szCs w:val="20"/>
    </w:rPr>
  </w:style>
  <w:style w:type="character" w:customStyle="1" w:styleId="172">
    <w:name w:val="信息标题 字符"/>
    <w:basedOn w:val="125"/>
    <w:link w:val="72"/>
    <w:qFormat/>
    <w:uiPriority w:val="0"/>
    <w:rPr>
      <w:rFonts w:ascii="Arial" w:hAnsi="Arial" w:eastAsia="宋体" w:cs="Arial"/>
      <w:sz w:val="24"/>
      <w:szCs w:val="24"/>
      <w:shd w:val="pct20" w:color="auto" w:fill="auto"/>
    </w:rPr>
  </w:style>
  <w:style w:type="character" w:customStyle="1" w:styleId="173">
    <w:name w:val="HTML 预设格式 字符"/>
    <w:basedOn w:val="125"/>
    <w:link w:val="73"/>
    <w:qFormat/>
    <w:uiPriority w:val="0"/>
    <w:rPr>
      <w:rFonts w:ascii="宋体" w:hAnsi="宋体" w:eastAsia="宋体" w:cs="宋体"/>
      <w:color w:val="000000"/>
      <w:kern w:val="0"/>
      <w:sz w:val="24"/>
      <w:szCs w:val="24"/>
    </w:rPr>
  </w:style>
  <w:style w:type="character" w:customStyle="1" w:styleId="174">
    <w:name w:val="unnamed211"/>
    <w:qFormat/>
    <w:uiPriority w:val="0"/>
    <w:rPr>
      <w:sz w:val="23"/>
      <w:szCs w:val="23"/>
    </w:rPr>
  </w:style>
  <w:style w:type="character" w:customStyle="1" w:styleId="175">
    <w:name w:val="批注文字 Char"/>
    <w:qFormat/>
    <w:uiPriority w:val="99"/>
    <w:rPr>
      <w:rFonts w:ascii="Times New Roman" w:hAnsi="Times New Roman" w:eastAsia="宋体" w:cs="Times New Roman"/>
      <w:szCs w:val="20"/>
    </w:rPr>
  </w:style>
  <w:style w:type="character" w:customStyle="1" w:styleId="176">
    <w:name w:val="ss1"/>
    <w:qFormat/>
    <w:uiPriority w:val="0"/>
    <w:rPr>
      <w:rFonts w:hint="default" w:ascii="ˎ̥" w:hAnsi="ˎ̥"/>
      <w:color w:val="000000"/>
      <w:sz w:val="18"/>
      <w:szCs w:val="18"/>
      <w:u w:val="none"/>
    </w:rPr>
  </w:style>
  <w:style w:type="character" w:customStyle="1" w:styleId="177">
    <w:name w:val="f142"/>
    <w:qFormat/>
    <w:uiPriority w:val="0"/>
    <w:rPr>
      <w:sz w:val="21"/>
      <w:szCs w:val="21"/>
    </w:rPr>
  </w:style>
  <w:style w:type="character" w:customStyle="1" w:styleId="178">
    <w:name w:val="f14b1"/>
    <w:qFormat/>
    <w:uiPriority w:val="0"/>
    <w:rPr>
      <w:b/>
      <w:bCs/>
      <w:sz w:val="21"/>
      <w:szCs w:val="21"/>
    </w:rPr>
  </w:style>
  <w:style w:type="character" w:customStyle="1" w:styleId="179">
    <w:name w:val="ggwenhao"/>
    <w:basedOn w:val="125"/>
    <w:qFormat/>
    <w:uiPriority w:val="0"/>
  </w:style>
  <w:style w:type="character" w:customStyle="1" w:styleId="180">
    <w:name w:val="ca-41"/>
    <w:qFormat/>
    <w:uiPriority w:val="0"/>
    <w:rPr>
      <w:rFonts w:hint="eastAsia" w:ascii="黑体" w:eastAsia="黑体"/>
      <w:b/>
      <w:bCs/>
      <w:spacing w:val="-20"/>
      <w:sz w:val="30"/>
      <w:szCs w:val="30"/>
    </w:rPr>
  </w:style>
  <w:style w:type="character" w:customStyle="1" w:styleId="181">
    <w:name w:val="注释标题 Char1"/>
    <w:basedOn w:val="125"/>
    <w:qFormat/>
    <w:uiPriority w:val="99"/>
    <w:rPr>
      <w:rFonts w:ascii="Times New Roman" w:hAnsi="Times New Roman" w:eastAsia="宋体" w:cs="Times New Roman"/>
      <w:szCs w:val="20"/>
    </w:rPr>
  </w:style>
  <w:style w:type="character" w:customStyle="1" w:styleId="182">
    <w:name w:val="正文文本 3 Char1"/>
    <w:basedOn w:val="125"/>
    <w:qFormat/>
    <w:uiPriority w:val="99"/>
    <w:rPr>
      <w:rFonts w:ascii="Times New Roman" w:hAnsi="Times New Roman" w:eastAsia="宋体" w:cs="Times New Roman"/>
      <w:sz w:val="16"/>
      <w:szCs w:val="16"/>
    </w:rPr>
  </w:style>
  <w:style w:type="character" w:customStyle="1" w:styleId="183">
    <w:name w:val="批注主题 Char1"/>
    <w:basedOn w:val="150"/>
    <w:qFormat/>
    <w:uiPriority w:val="99"/>
    <w:rPr>
      <w:rFonts w:ascii="Times New Roman" w:hAnsi="Times New Roman" w:eastAsia="宋体" w:cs="Times New Roman"/>
      <w:b/>
      <w:bCs/>
      <w:szCs w:val="20"/>
    </w:rPr>
  </w:style>
  <w:style w:type="character" w:customStyle="1" w:styleId="184">
    <w:name w:val="正文首行缩进 Char1"/>
    <w:basedOn w:val="152"/>
    <w:qFormat/>
    <w:uiPriority w:val="99"/>
    <w:rPr>
      <w:rFonts w:ascii="Times New Roman" w:hAnsi="Times New Roman" w:eastAsia="宋体" w:cs="Times New Roman"/>
      <w:szCs w:val="20"/>
    </w:rPr>
  </w:style>
  <w:style w:type="character" w:customStyle="1" w:styleId="185">
    <w:name w:val="结束语 Char1"/>
    <w:basedOn w:val="125"/>
    <w:qFormat/>
    <w:uiPriority w:val="99"/>
    <w:rPr>
      <w:rFonts w:ascii="Times New Roman" w:hAnsi="Times New Roman" w:eastAsia="宋体" w:cs="Times New Roman"/>
      <w:szCs w:val="20"/>
    </w:rPr>
  </w:style>
  <w:style w:type="character" w:customStyle="1" w:styleId="186">
    <w:name w:val="称呼 Char1"/>
    <w:basedOn w:val="125"/>
    <w:qFormat/>
    <w:uiPriority w:val="99"/>
    <w:rPr>
      <w:rFonts w:ascii="Times New Roman" w:hAnsi="Times New Roman" w:eastAsia="宋体" w:cs="Times New Roman"/>
      <w:szCs w:val="20"/>
    </w:rPr>
  </w:style>
  <w:style w:type="character" w:customStyle="1" w:styleId="187">
    <w:name w:val="电子邮件签名 Char1"/>
    <w:basedOn w:val="125"/>
    <w:qFormat/>
    <w:uiPriority w:val="99"/>
    <w:rPr>
      <w:rFonts w:ascii="Times New Roman" w:hAnsi="Times New Roman" w:eastAsia="宋体" w:cs="Times New Roman"/>
      <w:szCs w:val="20"/>
    </w:rPr>
  </w:style>
  <w:style w:type="character" w:customStyle="1" w:styleId="188">
    <w:name w:val="文档结构图 Char1"/>
    <w:basedOn w:val="125"/>
    <w:qFormat/>
    <w:uiPriority w:val="99"/>
    <w:rPr>
      <w:rFonts w:ascii="宋体" w:hAnsi="Times New Roman" w:eastAsia="宋体" w:cs="Times New Roman"/>
      <w:sz w:val="18"/>
      <w:szCs w:val="18"/>
    </w:rPr>
  </w:style>
  <w:style w:type="character" w:customStyle="1" w:styleId="189">
    <w:name w:val="签名 Char1"/>
    <w:basedOn w:val="125"/>
    <w:qFormat/>
    <w:uiPriority w:val="99"/>
    <w:rPr>
      <w:rFonts w:ascii="Times New Roman" w:hAnsi="Times New Roman" w:eastAsia="宋体" w:cs="Times New Roman"/>
      <w:szCs w:val="20"/>
    </w:rPr>
  </w:style>
  <w:style w:type="character" w:customStyle="1" w:styleId="190">
    <w:name w:val="正文文本缩进 2 Char1"/>
    <w:basedOn w:val="125"/>
    <w:qFormat/>
    <w:uiPriority w:val="99"/>
    <w:rPr>
      <w:rFonts w:ascii="Times New Roman" w:hAnsi="Times New Roman" w:eastAsia="宋体" w:cs="Times New Roman"/>
      <w:szCs w:val="20"/>
    </w:rPr>
  </w:style>
  <w:style w:type="character" w:customStyle="1" w:styleId="191">
    <w:name w:val="HTML 预设格式 Char1"/>
    <w:basedOn w:val="125"/>
    <w:qFormat/>
    <w:uiPriority w:val="99"/>
    <w:rPr>
      <w:rFonts w:ascii="Courier New" w:hAnsi="Courier New" w:eastAsia="宋体" w:cs="Courier New"/>
      <w:sz w:val="20"/>
      <w:szCs w:val="20"/>
    </w:rPr>
  </w:style>
  <w:style w:type="character" w:customStyle="1" w:styleId="192">
    <w:name w:val="页眉 Char1"/>
    <w:basedOn w:val="125"/>
    <w:qFormat/>
    <w:uiPriority w:val="99"/>
    <w:rPr>
      <w:rFonts w:ascii="Times New Roman" w:hAnsi="Times New Roman" w:eastAsia="宋体" w:cs="Times New Roman"/>
      <w:sz w:val="18"/>
      <w:szCs w:val="18"/>
    </w:rPr>
  </w:style>
  <w:style w:type="character" w:customStyle="1" w:styleId="193">
    <w:name w:val="HTML 地址 Char1"/>
    <w:basedOn w:val="125"/>
    <w:qFormat/>
    <w:uiPriority w:val="99"/>
    <w:rPr>
      <w:rFonts w:ascii="Times New Roman" w:hAnsi="Times New Roman" w:eastAsia="宋体" w:cs="Times New Roman"/>
      <w:i/>
      <w:iCs/>
      <w:szCs w:val="20"/>
    </w:rPr>
  </w:style>
  <w:style w:type="character" w:customStyle="1" w:styleId="194">
    <w:name w:val="正文首行缩进 2 Char1"/>
    <w:basedOn w:val="160"/>
    <w:qFormat/>
    <w:uiPriority w:val="99"/>
    <w:rPr>
      <w:rFonts w:ascii="Times New Roman" w:hAnsi="Times New Roman" w:eastAsia="宋体" w:cs="Times New Roman"/>
      <w:szCs w:val="20"/>
    </w:rPr>
  </w:style>
  <w:style w:type="character" w:customStyle="1" w:styleId="195">
    <w:name w:val="批注框文本 Char1"/>
    <w:basedOn w:val="125"/>
    <w:qFormat/>
    <w:uiPriority w:val="99"/>
    <w:rPr>
      <w:rFonts w:ascii="Times New Roman" w:hAnsi="Times New Roman" w:eastAsia="宋体" w:cs="Times New Roman"/>
      <w:sz w:val="18"/>
      <w:szCs w:val="18"/>
    </w:rPr>
  </w:style>
  <w:style w:type="character" w:customStyle="1" w:styleId="196">
    <w:name w:val="页脚 Char1"/>
    <w:basedOn w:val="125"/>
    <w:qFormat/>
    <w:uiPriority w:val="99"/>
    <w:rPr>
      <w:rFonts w:ascii="Times New Roman" w:hAnsi="Times New Roman" w:eastAsia="宋体" w:cs="Times New Roman"/>
      <w:sz w:val="18"/>
      <w:szCs w:val="18"/>
    </w:rPr>
  </w:style>
  <w:style w:type="character" w:customStyle="1" w:styleId="197">
    <w:name w:val="信息标题 Char1"/>
    <w:basedOn w:val="125"/>
    <w:qFormat/>
    <w:uiPriority w:val="99"/>
    <w:rPr>
      <w:rFonts w:ascii="Cambria" w:hAnsi="Cambria" w:eastAsia="宋体" w:cs="宋体"/>
      <w:sz w:val="24"/>
      <w:szCs w:val="24"/>
      <w:shd w:val="pct20" w:color="auto" w:fill="auto"/>
    </w:rPr>
  </w:style>
  <w:style w:type="paragraph" w:customStyle="1" w:styleId="198">
    <w:name w:val="ggbody"/>
    <w:basedOn w:val="1"/>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199">
    <w:name w:val="ggtitle"/>
    <w:basedOn w:val="1"/>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00">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01">
    <w:name w:val="纯文本 Char1"/>
    <w:qFormat/>
    <w:uiPriority w:val="0"/>
    <w:rPr>
      <w:rFonts w:ascii="宋体" w:hAnsi="Courier New" w:cs="Courier New"/>
      <w:kern w:val="2"/>
      <w:sz w:val="21"/>
      <w:szCs w:val="21"/>
    </w:rPr>
  </w:style>
  <w:style w:type="character" w:customStyle="1" w:styleId="202">
    <w:name w:val="Char Char23"/>
    <w:qFormat/>
    <w:uiPriority w:val="0"/>
    <w:rPr>
      <w:rFonts w:ascii="Times New Roman" w:hAnsi="Times New Roman" w:eastAsia="宋体" w:cs="Times New Roman"/>
      <w:b/>
      <w:bCs/>
      <w:szCs w:val="24"/>
    </w:rPr>
  </w:style>
  <w:style w:type="character" w:customStyle="1" w:styleId="203">
    <w:name w:val="脚注文本 Char1"/>
    <w:basedOn w:val="125"/>
    <w:qFormat/>
    <w:uiPriority w:val="99"/>
    <w:rPr>
      <w:rFonts w:ascii="Times New Roman" w:hAnsi="Times New Roman" w:eastAsia="宋体" w:cs="Times New Roman"/>
      <w:sz w:val="18"/>
      <w:szCs w:val="18"/>
    </w:rPr>
  </w:style>
  <w:style w:type="character" w:customStyle="1" w:styleId="204">
    <w:name w:val="尾注文本 Char1"/>
    <w:basedOn w:val="125"/>
    <w:qFormat/>
    <w:uiPriority w:val="99"/>
    <w:rPr>
      <w:rFonts w:ascii="Times New Roman" w:hAnsi="Times New Roman" w:eastAsia="宋体" w:cs="Times New Roman"/>
      <w:szCs w:val="20"/>
    </w:rPr>
  </w:style>
  <w:style w:type="paragraph" w:customStyle="1" w:styleId="205">
    <w:name w:val="HTML Top of Form_25ccfc62-091c-4ead-b277-27263f9251bd"/>
    <w:basedOn w:val="1"/>
    <w:next w:val="1"/>
    <w:link w:val="206"/>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06">
    <w:name w:val="z-窗体顶端 Char"/>
    <w:basedOn w:val="125"/>
    <w:link w:val="205"/>
    <w:qFormat/>
    <w:uiPriority w:val="99"/>
    <w:rPr>
      <w:rFonts w:ascii="Arial" w:hAnsi="Arial" w:eastAsia="宋体" w:cs="Times New Roman"/>
      <w:vanish/>
      <w:kern w:val="0"/>
      <w:sz w:val="16"/>
      <w:szCs w:val="16"/>
    </w:rPr>
  </w:style>
  <w:style w:type="paragraph" w:customStyle="1" w:styleId="207">
    <w:name w:val="HTML Bottom of Form_f3fcbae8-5376-4ea1-b74d-1418a1b7ce29"/>
    <w:basedOn w:val="1"/>
    <w:next w:val="1"/>
    <w:link w:val="208"/>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08">
    <w:name w:val="z-窗体底端 Char"/>
    <w:basedOn w:val="125"/>
    <w:link w:val="207"/>
    <w:qFormat/>
    <w:uiPriority w:val="99"/>
    <w:rPr>
      <w:rFonts w:ascii="Arial" w:hAnsi="Arial" w:eastAsia="宋体" w:cs="Times New Roman"/>
      <w:vanish/>
      <w:kern w:val="0"/>
      <w:sz w:val="16"/>
      <w:szCs w:val="16"/>
    </w:rPr>
  </w:style>
  <w:style w:type="paragraph" w:customStyle="1" w:styleId="209">
    <w:name w:val="_Style 10"/>
    <w:qFormat/>
    <w:uiPriority w:val="0"/>
    <w:rPr>
      <w:rFonts w:ascii="Calibri" w:hAnsi="Calibri" w:eastAsia="宋体" w:cs="Times New Roman"/>
      <w:kern w:val="2"/>
      <w:sz w:val="21"/>
      <w:szCs w:val="22"/>
      <w:lang w:val="en-US" w:eastAsia="zh-CN" w:bidi="ar-SA"/>
    </w:rPr>
  </w:style>
  <w:style w:type="paragraph" w:customStyle="1" w:styleId="210">
    <w:name w:val="Revision_ae45cda1-4ec4-43cf-865a-f12cf3c35085"/>
    <w:qFormat/>
    <w:uiPriority w:val="99"/>
    <w:rPr>
      <w:rFonts w:ascii="Times New Roman" w:hAnsi="Times New Roman" w:eastAsia="宋体" w:cs="Times New Roman"/>
      <w:kern w:val="2"/>
      <w:sz w:val="21"/>
      <w:lang w:val="en-US" w:eastAsia="zh-CN" w:bidi="ar-SA"/>
    </w:rPr>
  </w:style>
  <w:style w:type="character" w:customStyle="1" w:styleId="211">
    <w:name w:val="new"/>
    <w:basedOn w:val="125"/>
    <w:qFormat/>
    <w:uiPriority w:val="0"/>
    <w:rPr>
      <w:color w:val="999999"/>
    </w:rPr>
  </w:style>
  <w:style w:type="character" w:customStyle="1" w:styleId="212">
    <w:name w:val="old"/>
    <w:basedOn w:val="125"/>
    <w:qFormat/>
    <w:uiPriority w:val="0"/>
    <w:rPr>
      <w:color w:val="999999"/>
    </w:rPr>
  </w:style>
  <w:style w:type="character" w:customStyle="1" w:styleId="213">
    <w:name w:val="label6"/>
    <w:basedOn w:val="125"/>
    <w:qFormat/>
    <w:uiPriority w:val="0"/>
  </w:style>
  <w:style w:type="character" w:customStyle="1" w:styleId="214">
    <w:name w:val="label7"/>
    <w:basedOn w:val="125"/>
    <w:qFormat/>
    <w:uiPriority w:val="0"/>
    <w:rPr>
      <w:color w:val="23B7E5"/>
      <w:shd w:val="clear" w:color="auto" w:fill="FFFFFF"/>
    </w:rPr>
  </w:style>
  <w:style w:type="character" w:customStyle="1" w:styleId="215">
    <w:name w:val="label8"/>
    <w:basedOn w:val="125"/>
    <w:qFormat/>
    <w:uiPriority w:val="0"/>
    <w:rPr>
      <w:color w:val="1CC09F"/>
      <w:shd w:val="clear" w:color="auto" w:fill="FFFFFF"/>
    </w:rPr>
  </w:style>
  <w:style w:type="character" w:customStyle="1" w:styleId="216">
    <w:name w:val="label9"/>
    <w:basedOn w:val="125"/>
    <w:qFormat/>
    <w:uiPriority w:val="0"/>
  </w:style>
  <w:style w:type="character" w:customStyle="1" w:styleId="217">
    <w:name w:val="hover5"/>
    <w:basedOn w:val="125"/>
    <w:qFormat/>
    <w:uiPriority w:val="0"/>
    <w:rPr>
      <w:shd w:val="clear" w:color="auto" w:fill="EEEEEE"/>
    </w:rPr>
  </w:style>
  <w:style w:type="paragraph" w:customStyle="1" w:styleId="218">
    <w:name w:val="WPSOffice手动目录 1"/>
    <w:qFormat/>
    <w:uiPriority w:val="0"/>
    <w:rPr>
      <w:rFonts w:ascii="Calibri" w:hAnsi="Calibri" w:eastAsia="宋体" w:cs="Times New Roman"/>
      <w:lang w:val="en-US" w:eastAsia="zh-CN" w:bidi="ar-SA"/>
    </w:rPr>
  </w:style>
  <w:style w:type="paragraph" w:customStyle="1" w:styleId="219">
    <w:name w:val="WPSOffice手动目录 2"/>
    <w:qFormat/>
    <w:uiPriority w:val="0"/>
    <w:pPr>
      <w:ind w:left="200" w:leftChars="200"/>
    </w:pPr>
    <w:rPr>
      <w:rFonts w:ascii="Calibri" w:hAnsi="Calibri" w:eastAsia="宋体" w:cs="Times New Roman"/>
      <w:lang w:val="en-US" w:eastAsia="zh-CN" w:bidi="ar-SA"/>
    </w:rPr>
  </w:style>
  <w:style w:type="paragraph" w:customStyle="1" w:styleId="220">
    <w:name w:val="WPSOffice手动目录 3"/>
    <w:qFormat/>
    <w:uiPriority w:val="0"/>
    <w:pPr>
      <w:ind w:left="400" w:leftChars="400"/>
    </w:pPr>
    <w:rPr>
      <w:rFonts w:ascii="Calibri" w:hAnsi="Calibri" w:eastAsia="宋体" w:cs="宋体"/>
      <w:lang w:val="en-US" w:eastAsia="zh-CN" w:bidi="ar-SA"/>
    </w:rPr>
  </w:style>
  <w:style w:type="paragraph" w:customStyle="1" w:styleId="22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23466</Words>
  <Characters>24651</Characters>
  <Lines>205</Lines>
  <Paragraphs>57</Paragraphs>
  <TotalTime>2</TotalTime>
  <ScaleCrop>false</ScaleCrop>
  <LinksUpToDate>false</LinksUpToDate>
  <CharactersWithSpaces>25561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2021-11-02T19:16:00Z</dcterms:created>
  <dc:creator>靳 欢</dc:creator>
  <cp:lastModifiedBy>Administrator</cp:lastModifiedBy>
  <dcterms:modified xsi:type="dcterms:W3CDTF">2025-07-03T04:03:58Z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BDDD09A629024385BAE828E66EEC77A5</vt:lpwstr>
  </property>
  <property fmtid="{D5CDD505-2E9C-101B-9397-08002B2CF9AE}" pid="4" name="KSOTemplateDocerSaveRecord">
    <vt:lpwstr>eyJoZGlkIjoiMjgxNDIzNjM1OWU4NDRiM2NkZjUzMDIwMzcyZjAzYmEiLCJ1c2VySWQiOiIzMTY4Njk4MDUifQ==</vt:lpwstr>
  </property>
</Properties>
</file>