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ascii="宋体" w:hAnsi="宋体" w:eastAsia="宋体" w:cs="宋体"/>
          <w:b/>
          <w:bCs/>
          <w:color w:val="auto"/>
          <w:kern w:val="0"/>
          <w:highlight w:val="none"/>
        </w:rPr>
      </w:pPr>
      <w:bookmarkStart w:id="58" w:name="_GoBack"/>
      <w:bookmarkEnd w:id="58"/>
      <w:r>
        <w:rPr>
          <w:rFonts w:hint="eastAsia" w:ascii="宋体" w:hAnsi="宋体" w:eastAsia="宋体" w:cs="宋体"/>
          <w:b/>
          <w:bCs/>
          <w:color w:val="auto"/>
          <w:kern w:val="0"/>
          <w:highlight w:val="none"/>
        </w:rPr>
        <w:t>版本号：202</w:t>
      </w:r>
      <w:r>
        <w:rPr>
          <w:rFonts w:hint="eastAsia" w:ascii="宋体" w:hAnsi="宋体" w:eastAsia="宋体" w:cs="宋体"/>
          <w:b/>
          <w:bCs/>
          <w:color w:val="auto"/>
          <w:kern w:val="0"/>
          <w:highlight w:val="none"/>
          <w:lang w:val="en-US" w:eastAsia="zh-CN"/>
        </w:rPr>
        <w:t>4</w:t>
      </w:r>
      <w:r>
        <w:rPr>
          <w:rFonts w:hint="eastAsia" w:ascii="宋体" w:hAnsi="宋体" w:eastAsia="宋体" w:cs="宋体"/>
          <w:b/>
          <w:bCs/>
          <w:color w:val="auto"/>
          <w:kern w:val="0"/>
          <w:highlight w:val="none"/>
        </w:rPr>
        <w:t>年1</w:t>
      </w:r>
      <w:r>
        <w:rPr>
          <w:rFonts w:hint="eastAsia" w:ascii="宋体" w:hAnsi="宋体" w:eastAsia="宋体" w:cs="宋体"/>
          <w:b/>
          <w:bCs/>
          <w:color w:val="auto"/>
          <w:kern w:val="0"/>
          <w:highlight w:val="none"/>
          <w:lang w:val="en-US" w:eastAsia="zh-CN"/>
        </w:rPr>
        <w:t>1</w:t>
      </w:r>
      <w:r>
        <w:rPr>
          <w:rFonts w:hint="eastAsia" w:ascii="宋体" w:hAnsi="宋体" w:eastAsia="宋体" w:cs="宋体"/>
          <w:b/>
          <w:bCs/>
          <w:color w:val="auto"/>
          <w:kern w:val="0"/>
          <w:highlight w:val="none"/>
        </w:rPr>
        <w:t>月版</w:t>
      </w:r>
    </w:p>
    <w:p>
      <w:pPr>
        <w:adjustRightInd w:val="0"/>
        <w:snapToGrid w:val="0"/>
        <w:spacing w:line="360" w:lineRule="auto"/>
        <w:jc w:val="left"/>
        <w:rPr>
          <w:rFonts w:ascii="宋体" w:hAnsi="宋体" w:eastAsia="宋体" w:cs="宋体"/>
          <w:b/>
          <w:bCs/>
          <w:color w:val="auto"/>
          <w:kern w:val="0"/>
          <w:highlight w:val="none"/>
        </w:rPr>
      </w:pPr>
    </w:p>
    <w:p>
      <w:pPr>
        <w:adjustRightInd w:val="0"/>
        <w:snapToGrid w:val="0"/>
        <w:spacing w:line="360" w:lineRule="auto"/>
        <w:jc w:val="right"/>
        <w:rPr>
          <w:rFonts w:asciiTheme="minorEastAsia" w:hAnsiTheme="minorEastAsia"/>
          <w:b/>
          <w:color w:val="auto"/>
          <w:kern w:val="0"/>
          <w:sz w:val="28"/>
          <w:szCs w:val="28"/>
          <w:highlight w:val="none"/>
        </w:rPr>
      </w:pPr>
      <w:r>
        <w:rPr>
          <w:rFonts w:hint="eastAsia" w:ascii="宋体" w:hAnsi="宋体" w:eastAsia="宋体" w:cs="宋体"/>
          <w:b/>
          <w:color w:val="auto"/>
          <w:kern w:val="0"/>
          <w:sz w:val="28"/>
          <w:szCs w:val="28"/>
          <w:highlight w:val="none"/>
        </w:rPr>
        <w:t>标段编号：</w:t>
      </w:r>
      <w:r>
        <w:rPr>
          <w:rFonts w:hint="eastAsia" w:asciiTheme="minorEastAsia" w:hAnsiTheme="minorEastAsia"/>
          <w:b/>
          <w:color w:val="auto"/>
          <w:kern w:val="0"/>
          <w:sz w:val="28"/>
          <w:szCs w:val="28"/>
          <w:highlight w:val="none"/>
          <w:u w:val="single"/>
        </w:rPr>
        <w:t xml:space="preserve">      </w:t>
      </w:r>
    </w:p>
    <w:p>
      <w:pPr>
        <w:adjustRightInd w:val="0"/>
        <w:snapToGrid w:val="0"/>
        <w:spacing w:line="360" w:lineRule="auto"/>
        <w:jc w:val="center"/>
        <w:rPr>
          <w:rFonts w:ascii="黑体" w:hAnsi="宋体" w:eastAsia="黑体"/>
          <w:b/>
          <w:color w:val="auto"/>
          <w:kern w:val="0"/>
          <w:sz w:val="72"/>
          <w:szCs w:val="72"/>
          <w:highlight w:val="none"/>
        </w:rPr>
      </w:pPr>
    </w:p>
    <w:p>
      <w:pPr>
        <w:adjustRightInd w:val="0"/>
        <w:snapToGrid w:val="0"/>
        <w:spacing w:line="360" w:lineRule="auto"/>
        <w:jc w:val="center"/>
        <w:rPr>
          <w:rFonts w:ascii="黑体" w:hAnsi="宋体" w:eastAsia="黑体"/>
          <w:b/>
          <w:color w:val="auto"/>
          <w:kern w:val="0"/>
          <w:sz w:val="72"/>
          <w:szCs w:val="72"/>
          <w:highlight w:val="none"/>
        </w:rPr>
      </w:pPr>
      <w:r>
        <w:rPr>
          <w:rFonts w:hint="eastAsia" w:ascii="黑体" w:hAnsi="宋体" w:eastAsia="黑体"/>
          <w:b/>
          <w:color w:val="auto"/>
          <w:kern w:val="0"/>
          <w:sz w:val="72"/>
          <w:szCs w:val="72"/>
          <w:highlight w:val="none"/>
        </w:rPr>
        <w:t>深圳市建设工程</w:t>
      </w:r>
    </w:p>
    <w:p>
      <w:pPr>
        <w:adjustRightInd w:val="0"/>
        <w:snapToGrid w:val="0"/>
        <w:spacing w:line="360" w:lineRule="auto"/>
        <w:jc w:val="center"/>
        <w:rPr>
          <w:rFonts w:ascii="黑体" w:hAnsi="宋体" w:eastAsia="黑体"/>
          <w:b/>
          <w:color w:val="auto"/>
          <w:kern w:val="0"/>
          <w:sz w:val="72"/>
          <w:szCs w:val="72"/>
          <w:highlight w:val="none"/>
        </w:rPr>
      </w:pPr>
      <w:r>
        <w:rPr>
          <w:rFonts w:hint="eastAsia" w:ascii="黑体" w:hAnsi="宋体" w:eastAsia="黑体"/>
          <w:b/>
          <w:color w:val="auto"/>
          <w:kern w:val="0"/>
          <w:sz w:val="72"/>
          <w:szCs w:val="72"/>
          <w:highlight w:val="none"/>
        </w:rPr>
        <w:t>设计类招标文件</w:t>
      </w:r>
    </w:p>
    <w:p>
      <w:pPr>
        <w:adjustRightInd w:val="0"/>
        <w:snapToGrid w:val="0"/>
        <w:spacing w:line="360" w:lineRule="auto"/>
        <w:jc w:val="center"/>
        <w:rPr>
          <w:rFonts w:ascii="黑体" w:hAnsi="宋体" w:eastAsia="黑体"/>
          <w:b/>
          <w:color w:val="auto"/>
          <w:kern w:val="0"/>
          <w:sz w:val="72"/>
          <w:szCs w:val="72"/>
          <w:highlight w:val="none"/>
        </w:rPr>
      </w:pPr>
      <w:r>
        <w:rPr>
          <w:rFonts w:hint="eastAsia" w:ascii="黑体" w:hAnsi="宋体" w:eastAsia="黑体"/>
          <w:b/>
          <w:color w:val="auto"/>
          <w:kern w:val="0"/>
          <w:sz w:val="36"/>
          <w:szCs w:val="36"/>
          <w:highlight w:val="none"/>
        </w:rPr>
        <w:t>（建筑方案设计类除外）</w:t>
      </w:r>
    </w:p>
    <w:p>
      <w:pPr>
        <w:adjustRightInd w:val="0"/>
        <w:snapToGrid w:val="0"/>
        <w:spacing w:line="360" w:lineRule="auto"/>
        <w:jc w:val="center"/>
        <w:rPr>
          <w:rFonts w:asciiTheme="minorEastAsia" w:hAnsiTheme="minorEastAsia"/>
          <w:b/>
          <w:color w:val="auto"/>
          <w:kern w:val="0"/>
          <w:sz w:val="36"/>
          <w:szCs w:val="36"/>
          <w:highlight w:val="none"/>
        </w:rPr>
      </w:pPr>
    </w:p>
    <w:p>
      <w:pPr>
        <w:adjustRightInd w:val="0"/>
        <w:snapToGrid w:val="0"/>
        <w:spacing w:line="360" w:lineRule="auto"/>
        <w:jc w:val="center"/>
        <w:rPr>
          <w:rFonts w:ascii="宋体" w:hAnsi="宋体" w:eastAsia="宋体" w:cs="宋体"/>
          <w:b/>
          <w:color w:val="auto"/>
          <w:kern w:val="0"/>
          <w:sz w:val="36"/>
          <w:szCs w:val="36"/>
          <w:highlight w:val="none"/>
        </w:rPr>
      </w:pPr>
      <w:r>
        <w:rPr>
          <w:rFonts w:hint="eastAsia" w:ascii="宋体" w:hAnsi="宋体" w:eastAsia="宋体" w:cs="宋体"/>
          <w:b/>
          <w:color w:val="auto"/>
          <w:kern w:val="0"/>
          <w:sz w:val="36"/>
          <w:szCs w:val="36"/>
          <w:highlight w:val="none"/>
        </w:rPr>
        <w:t>（示范文本）</w:t>
      </w:r>
    </w:p>
    <w:p>
      <w:pPr>
        <w:adjustRightInd w:val="0"/>
        <w:snapToGrid w:val="0"/>
        <w:spacing w:line="360" w:lineRule="auto"/>
        <w:jc w:val="center"/>
        <w:rPr>
          <w:rFonts w:ascii="宋体" w:hAnsi="宋体" w:eastAsia="宋体" w:cs="宋体"/>
          <w:b/>
          <w:color w:val="auto"/>
          <w:kern w:val="0"/>
          <w:sz w:val="72"/>
          <w:szCs w:val="72"/>
          <w:highlight w:val="none"/>
        </w:rPr>
      </w:pPr>
    </w:p>
    <w:p>
      <w:pPr>
        <w:adjustRightInd w:val="0"/>
        <w:snapToGrid w:val="0"/>
        <w:spacing w:line="360" w:lineRule="auto"/>
        <w:ind w:firstLine="560" w:firstLineChars="2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标段名称：</w:t>
      </w:r>
      <w:r>
        <w:rPr>
          <w:rFonts w:hint="eastAsia" w:ascii="宋体" w:hAnsi="宋体" w:eastAsia="宋体" w:cs="宋体"/>
          <w:color w:val="auto"/>
          <w:kern w:val="0"/>
          <w:sz w:val="28"/>
          <w:szCs w:val="28"/>
          <w:highlight w:val="none"/>
          <w:u w:val="single"/>
        </w:rPr>
        <w:t xml:space="preserve">      </w:t>
      </w:r>
    </w:p>
    <w:p>
      <w:pPr>
        <w:adjustRightInd w:val="0"/>
        <w:snapToGrid w:val="0"/>
        <w:spacing w:line="360" w:lineRule="auto"/>
        <w:ind w:firstLine="560" w:firstLineChars="2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招 标 人：</w:t>
      </w:r>
      <w:r>
        <w:rPr>
          <w:rFonts w:hint="eastAsia" w:ascii="宋体" w:hAnsi="宋体" w:eastAsia="宋体" w:cs="宋体"/>
          <w:color w:val="auto"/>
          <w:kern w:val="0"/>
          <w:sz w:val="28"/>
          <w:szCs w:val="28"/>
          <w:highlight w:val="none"/>
          <w:u w:val="single"/>
        </w:rPr>
        <w:t xml:space="preserve">      </w:t>
      </w:r>
    </w:p>
    <w:p>
      <w:pPr>
        <w:adjustRightInd w:val="0"/>
        <w:snapToGrid w:val="0"/>
        <w:spacing w:line="360" w:lineRule="auto"/>
        <w:ind w:firstLine="560" w:firstLineChars="2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法定代表人或其委托代理人：</w:t>
      </w:r>
      <w:r>
        <w:rPr>
          <w:rFonts w:hint="eastAsia" w:ascii="宋体" w:hAnsi="宋体" w:eastAsia="宋体" w:cs="宋体"/>
          <w:color w:val="auto"/>
          <w:kern w:val="0"/>
          <w:sz w:val="28"/>
          <w:szCs w:val="28"/>
          <w:highlight w:val="none"/>
          <w:u w:val="single"/>
        </w:rPr>
        <w:t xml:space="preserve">      </w:t>
      </w:r>
    </w:p>
    <w:p>
      <w:pPr>
        <w:adjustRightInd w:val="0"/>
        <w:snapToGrid w:val="0"/>
        <w:spacing w:line="360" w:lineRule="auto"/>
        <w:ind w:firstLine="560" w:firstLineChars="2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招标代理机构：</w:t>
      </w:r>
      <w:r>
        <w:rPr>
          <w:rFonts w:hint="eastAsia" w:ascii="宋体" w:hAnsi="宋体" w:eastAsia="宋体" w:cs="宋体"/>
          <w:color w:val="auto"/>
          <w:kern w:val="0"/>
          <w:sz w:val="28"/>
          <w:szCs w:val="28"/>
          <w:highlight w:val="none"/>
          <w:u w:val="single"/>
        </w:rPr>
        <w:t xml:space="preserve">      </w:t>
      </w:r>
    </w:p>
    <w:p>
      <w:pPr>
        <w:adjustRightInd w:val="0"/>
        <w:snapToGrid w:val="0"/>
        <w:spacing w:line="360" w:lineRule="auto"/>
        <w:ind w:firstLine="560" w:firstLineChars="200"/>
        <w:jc w:val="left"/>
        <w:rPr>
          <w:rFonts w:ascii="宋体" w:hAnsi="宋体" w:eastAsia="宋体" w:cs="宋体"/>
          <w:color w:val="auto"/>
          <w:kern w:val="0"/>
          <w:sz w:val="28"/>
          <w:szCs w:val="28"/>
          <w:highlight w:val="none"/>
          <w:u w:val="single"/>
        </w:rPr>
      </w:pPr>
      <w:r>
        <w:rPr>
          <w:rFonts w:hint="eastAsia" w:ascii="宋体" w:hAnsi="宋体" w:eastAsia="宋体" w:cs="宋体"/>
          <w:color w:val="auto"/>
          <w:kern w:val="0"/>
          <w:sz w:val="28"/>
          <w:szCs w:val="28"/>
          <w:highlight w:val="none"/>
        </w:rPr>
        <w:t>法定代表人或其委托代理人：</w:t>
      </w:r>
      <w:r>
        <w:rPr>
          <w:rFonts w:hint="eastAsia" w:ascii="宋体" w:hAnsi="宋体" w:eastAsia="宋体" w:cs="宋体"/>
          <w:color w:val="auto"/>
          <w:kern w:val="0"/>
          <w:sz w:val="28"/>
          <w:szCs w:val="28"/>
          <w:highlight w:val="none"/>
          <w:u w:val="single"/>
        </w:rPr>
        <w:t xml:space="preserve">      </w:t>
      </w:r>
    </w:p>
    <w:p>
      <w:pPr>
        <w:adjustRightInd w:val="0"/>
        <w:snapToGrid w:val="0"/>
        <w:spacing w:line="360" w:lineRule="auto"/>
        <w:ind w:firstLine="560" w:firstLineChars="200"/>
        <w:jc w:val="left"/>
        <w:rPr>
          <w:rFonts w:ascii="宋体" w:hAnsi="宋体"/>
          <w:color w:val="auto"/>
          <w:kern w:val="0"/>
          <w:sz w:val="28"/>
          <w:szCs w:val="28"/>
          <w:highlight w:val="none"/>
          <w:u w:val="single"/>
        </w:rPr>
      </w:pPr>
    </w:p>
    <w:p>
      <w:pPr>
        <w:adjustRightInd w:val="0"/>
        <w:snapToGrid w:val="0"/>
        <w:spacing w:line="360" w:lineRule="auto"/>
        <w:ind w:firstLine="560" w:firstLineChars="200"/>
        <w:jc w:val="left"/>
        <w:rPr>
          <w:rFonts w:ascii="宋体" w:hAnsi="宋体"/>
          <w:color w:val="auto"/>
          <w:kern w:val="0"/>
          <w:sz w:val="28"/>
          <w:szCs w:val="28"/>
          <w:highlight w:val="none"/>
          <w:u w:val="single"/>
        </w:rPr>
      </w:pPr>
    </w:p>
    <w:p>
      <w:pPr>
        <w:adjustRightInd w:val="0"/>
        <w:snapToGrid w:val="0"/>
        <w:spacing w:line="360" w:lineRule="auto"/>
        <w:jc w:val="center"/>
        <w:rPr>
          <w:rFonts w:ascii="宋体" w:hAnsi="宋体" w:eastAsia="宋体" w:cs="宋体"/>
          <w:b/>
          <w:bCs/>
          <w:color w:val="auto"/>
          <w:sz w:val="36"/>
          <w:szCs w:val="36"/>
          <w:highlight w:val="none"/>
        </w:rPr>
      </w:pPr>
    </w:p>
    <w:p>
      <w:pPr>
        <w:jc w:val="left"/>
        <w:rPr>
          <w:rFonts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br w:type="page"/>
      </w:r>
    </w:p>
    <w:p>
      <w:pPr>
        <w:adjustRightInd w:val="0"/>
        <w:snapToGrid w:val="0"/>
        <w:spacing w:line="360" w:lineRule="auto"/>
        <w:jc w:val="center"/>
        <w:rPr>
          <w:rFonts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目  录</w:t>
      </w:r>
    </w:p>
    <w:p>
      <w:pPr>
        <w:pStyle w:val="55"/>
        <w:tabs>
          <w:tab w:val="right" w:leader="dot" w:pos="9638"/>
          <w:tab w:val="clear" w:pos="8949"/>
        </w:tabs>
        <w:ind w:right="0" w:rightChars="0" w:firstLine="0" w:firstLineChars="0"/>
        <w:rPr>
          <w:rFonts w:cs="宋体"/>
          <w:color w:val="auto"/>
          <w:highlight w:val="none"/>
        </w:rPr>
      </w:pPr>
      <w:r>
        <w:rPr>
          <w:rFonts w:hint="eastAsia" w:cs="宋体"/>
          <w:color w:val="auto"/>
          <w:highlight w:val="none"/>
        </w:rPr>
        <w:fldChar w:fldCharType="begin"/>
      </w:r>
      <w:r>
        <w:rPr>
          <w:rFonts w:hint="eastAsia" w:cs="宋体"/>
          <w:color w:val="auto"/>
          <w:highlight w:val="none"/>
        </w:rPr>
        <w:instrText xml:space="preserve">TOC \o "1-3" \h \u </w:instrText>
      </w:r>
      <w:r>
        <w:rPr>
          <w:rFonts w:hint="eastAsia" w:cs="宋体"/>
          <w:color w:val="auto"/>
          <w:highlight w:val="none"/>
        </w:rPr>
        <w:fldChar w:fldCharType="separate"/>
      </w:r>
      <w:r>
        <w:rPr>
          <w:color w:val="auto"/>
          <w:highlight w:val="none"/>
        </w:rPr>
        <w:fldChar w:fldCharType="begin"/>
      </w:r>
      <w:r>
        <w:rPr>
          <w:color w:val="auto"/>
          <w:highlight w:val="none"/>
        </w:rPr>
        <w:instrText xml:space="preserve"> HYPERLINK \l "_Toc17187" </w:instrText>
      </w:r>
      <w:r>
        <w:rPr>
          <w:color w:val="auto"/>
          <w:highlight w:val="none"/>
        </w:rPr>
        <w:fldChar w:fldCharType="separate"/>
      </w:r>
      <w:r>
        <w:rPr>
          <w:rFonts w:hint="eastAsia" w:cs="宋体"/>
          <w:color w:val="auto"/>
          <w:kern w:val="0"/>
          <w:highlight w:val="none"/>
        </w:rPr>
        <w:t>第一章 使用说明</w:t>
      </w:r>
      <w:r>
        <w:rPr>
          <w:rFonts w:hint="eastAsia" w:cs="宋体"/>
          <w:color w:val="auto"/>
          <w:highlight w:val="none"/>
        </w:rPr>
        <w:tab/>
      </w:r>
      <w:r>
        <w:rPr>
          <w:rFonts w:hint="eastAsia" w:cs="宋体"/>
          <w:color w:val="auto"/>
          <w:highlight w:val="none"/>
        </w:rPr>
        <w:fldChar w:fldCharType="begin"/>
      </w:r>
      <w:r>
        <w:rPr>
          <w:rFonts w:hint="eastAsia" w:cs="宋体"/>
          <w:color w:val="auto"/>
          <w:highlight w:val="none"/>
        </w:rPr>
        <w:instrText xml:space="preserve"> PAGEREF _Toc17187 </w:instrText>
      </w:r>
      <w:r>
        <w:rPr>
          <w:rFonts w:hint="eastAsia" w:cs="宋体"/>
          <w:color w:val="auto"/>
          <w:highlight w:val="none"/>
        </w:rPr>
        <w:fldChar w:fldCharType="separate"/>
      </w:r>
      <w:r>
        <w:rPr>
          <w:rFonts w:hint="eastAsia" w:cs="宋体"/>
          <w:color w:val="auto"/>
          <w:highlight w:val="none"/>
        </w:rPr>
        <w:t>3</w:t>
      </w:r>
      <w:r>
        <w:rPr>
          <w:rFonts w:hint="eastAsia" w:cs="宋体"/>
          <w:color w:val="auto"/>
          <w:highlight w:val="none"/>
        </w:rPr>
        <w:fldChar w:fldCharType="end"/>
      </w:r>
      <w:r>
        <w:rPr>
          <w:rFonts w:hint="eastAsia" w:cs="宋体"/>
          <w:color w:val="auto"/>
          <w:highlight w:val="none"/>
        </w:rPr>
        <w:fldChar w:fldCharType="end"/>
      </w:r>
    </w:p>
    <w:p>
      <w:pPr>
        <w:pStyle w:val="55"/>
        <w:tabs>
          <w:tab w:val="right" w:leader="dot" w:pos="9638"/>
          <w:tab w:val="clear" w:pos="8949"/>
        </w:tabs>
        <w:ind w:right="0" w:rightChars="0" w:firstLine="0" w:firstLineChars="0"/>
        <w:rPr>
          <w:rFonts w:cs="宋体"/>
          <w:color w:val="auto"/>
          <w:highlight w:val="none"/>
        </w:rPr>
      </w:pPr>
      <w:r>
        <w:rPr>
          <w:color w:val="auto"/>
          <w:highlight w:val="none"/>
        </w:rPr>
        <w:fldChar w:fldCharType="begin"/>
      </w:r>
      <w:r>
        <w:rPr>
          <w:color w:val="auto"/>
          <w:highlight w:val="none"/>
        </w:rPr>
        <w:instrText xml:space="preserve"> HYPERLINK \l "_Toc5080" </w:instrText>
      </w:r>
      <w:r>
        <w:rPr>
          <w:color w:val="auto"/>
          <w:highlight w:val="none"/>
        </w:rPr>
        <w:fldChar w:fldCharType="separate"/>
      </w:r>
      <w:r>
        <w:rPr>
          <w:rFonts w:hint="eastAsia" w:cs="宋体"/>
          <w:color w:val="auto"/>
          <w:kern w:val="0"/>
          <w:highlight w:val="none"/>
        </w:rPr>
        <w:t>第二章  投标须知</w:t>
      </w:r>
      <w:r>
        <w:rPr>
          <w:rFonts w:hint="eastAsia" w:cs="宋体"/>
          <w:color w:val="auto"/>
          <w:highlight w:val="none"/>
        </w:rPr>
        <w:tab/>
      </w:r>
      <w:r>
        <w:rPr>
          <w:rFonts w:hint="eastAsia" w:cs="宋体"/>
          <w:color w:val="auto"/>
          <w:highlight w:val="none"/>
        </w:rPr>
        <w:fldChar w:fldCharType="begin"/>
      </w:r>
      <w:r>
        <w:rPr>
          <w:rFonts w:hint="eastAsia" w:cs="宋体"/>
          <w:color w:val="auto"/>
          <w:highlight w:val="none"/>
        </w:rPr>
        <w:instrText xml:space="preserve"> PAGEREF _Toc5080 </w:instrText>
      </w:r>
      <w:r>
        <w:rPr>
          <w:rFonts w:hint="eastAsia" w:cs="宋体"/>
          <w:color w:val="auto"/>
          <w:highlight w:val="none"/>
        </w:rPr>
        <w:fldChar w:fldCharType="separate"/>
      </w:r>
      <w:r>
        <w:rPr>
          <w:rFonts w:hint="eastAsia" w:cs="宋体"/>
          <w:color w:val="auto"/>
          <w:highlight w:val="none"/>
        </w:rPr>
        <w:t>7</w:t>
      </w:r>
      <w:r>
        <w:rPr>
          <w:rFonts w:hint="eastAsia" w:cs="宋体"/>
          <w:color w:val="auto"/>
          <w:highlight w:val="none"/>
        </w:rPr>
        <w:fldChar w:fldCharType="end"/>
      </w:r>
      <w:r>
        <w:rPr>
          <w:rFonts w:hint="eastAsia" w:cs="宋体"/>
          <w:color w:val="auto"/>
          <w:highlight w:val="none"/>
        </w:rPr>
        <w:fldChar w:fldCharType="end"/>
      </w:r>
    </w:p>
    <w:p>
      <w:pPr>
        <w:pStyle w:val="68"/>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"_Toc8591" </w:instrText>
      </w:r>
      <w:r>
        <w:rPr>
          <w:color w:val="auto"/>
          <w:highlight w:val="none"/>
        </w:rPr>
        <w:fldChar w:fldCharType="separate"/>
      </w:r>
      <w:r>
        <w:rPr>
          <w:rFonts w:hint="eastAsia" w:cs="宋体"/>
          <w:b w:val="0"/>
          <w:bCs/>
          <w:color w:val="auto"/>
          <w:kern w:val="0"/>
          <w:highlight w:val="none"/>
        </w:rPr>
        <w:t>一、 投标须知前附表</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_Toc8591 </w:instrText>
      </w:r>
      <w:r>
        <w:rPr>
          <w:rFonts w:hint="eastAsia" w:cs="宋体"/>
          <w:b w:val="0"/>
          <w:bCs/>
          <w:color w:val="auto"/>
          <w:highlight w:val="none"/>
        </w:rPr>
        <w:fldChar w:fldCharType="separate"/>
      </w:r>
      <w:r>
        <w:rPr>
          <w:rFonts w:hint="eastAsia" w:cs="宋体"/>
          <w:b w:val="0"/>
          <w:bCs/>
          <w:color w:val="auto"/>
          <w:highlight w:val="none"/>
        </w:rPr>
        <w:t>7</w:t>
      </w:r>
      <w:r>
        <w:rPr>
          <w:rFonts w:hint="eastAsia" w:cs="宋体"/>
          <w:b w:val="0"/>
          <w:bCs/>
          <w:color w:val="auto"/>
          <w:highlight w:val="none"/>
        </w:rPr>
        <w:fldChar w:fldCharType="end"/>
      </w:r>
      <w:r>
        <w:rPr>
          <w:rFonts w:hint="eastAsia" w:cs="宋体"/>
          <w:b w:val="0"/>
          <w:bCs/>
          <w:color w:val="auto"/>
          <w:highlight w:val="none"/>
        </w:rPr>
        <w:fldChar w:fldCharType="end"/>
      </w:r>
    </w:p>
    <w:p>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"_Toc19411" </w:instrText>
      </w:r>
      <w:r>
        <w:rPr>
          <w:color w:val="auto"/>
          <w:highlight w:val="none"/>
        </w:rPr>
        <w:fldChar w:fldCharType="separate"/>
      </w:r>
      <w:r>
        <w:rPr>
          <w:rFonts w:hint="eastAsia" w:cs="宋体"/>
          <w:b w:val="0"/>
          <w:bCs/>
          <w:color w:val="auto"/>
          <w:kern w:val="0"/>
          <w:highlight w:val="none"/>
        </w:rPr>
        <w:t>（一）招标项目基本情况</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_Toc19411 </w:instrText>
      </w:r>
      <w:r>
        <w:rPr>
          <w:rFonts w:hint="eastAsia" w:cs="宋体"/>
          <w:b w:val="0"/>
          <w:bCs/>
          <w:color w:val="auto"/>
          <w:highlight w:val="none"/>
        </w:rPr>
        <w:fldChar w:fldCharType="separate"/>
      </w:r>
      <w:r>
        <w:rPr>
          <w:rFonts w:hint="eastAsia" w:cs="宋体"/>
          <w:b w:val="0"/>
          <w:bCs/>
          <w:color w:val="auto"/>
          <w:highlight w:val="none"/>
        </w:rPr>
        <w:t>7</w:t>
      </w:r>
      <w:r>
        <w:rPr>
          <w:rFonts w:hint="eastAsia" w:cs="宋体"/>
          <w:b w:val="0"/>
          <w:bCs/>
          <w:color w:val="auto"/>
          <w:highlight w:val="none"/>
        </w:rPr>
        <w:fldChar w:fldCharType="end"/>
      </w:r>
      <w:r>
        <w:rPr>
          <w:rFonts w:hint="eastAsia" w:cs="宋体"/>
          <w:b w:val="0"/>
          <w:bCs/>
          <w:color w:val="auto"/>
          <w:highlight w:val="none"/>
        </w:rPr>
        <w:fldChar w:fldCharType="end"/>
      </w:r>
    </w:p>
    <w:p>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"_Toc6655" </w:instrText>
      </w:r>
      <w:r>
        <w:rPr>
          <w:color w:val="auto"/>
          <w:highlight w:val="none"/>
        </w:rPr>
        <w:fldChar w:fldCharType="separate"/>
      </w:r>
      <w:r>
        <w:rPr>
          <w:rFonts w:hint="eastAsia" w:cs="宋体"/>
          <w:b w:val="0"/>
          <w:bCs/>
          <w:color w:val="auto"/>
          <w:kern w:val="0"/>
          <w:highlight w:val="none"/>
        </w:rPr>
        <w:t>（二）投标文件编制成果及要求</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_Toc6655 </w:instrText>
      </w:r>
      <w:r>
        <w:rPr>
          <w:rFonts w:hint="eastAsia" w:cs="宋体"/>
          <w:b w:val="0"/>
          <w:bCs/>
          <w:color w:val="auto"/>
          <w:highlight w:val="none"/>
        </w:rPr>
        <w:fldChar w:fldCharType="separate"/>
      </w:r>
      <w:r>
        <w:rPr>
          <w:rFonts w:hint="eastAsia" w:cs="宋体"/>
          <w:b w:val="0"/>
          <w:bCs/>
          <w:color w:val="auto"/>
          <w:highlight w:val="none"/>
        </w:rPr>
        <w:t>11</w:t>
      </w:r>
      <w:r>
        <w:rPr>
          <w:rFonts w:hint="eastAsia" w:cs="宋体"/>
          <w:b w:val="0"/>
          <w:bCs/>
          <w:color w:val="auto"/>
          <w:highlight w:val="none"/>
        </w:rPr>
        <w:fldChar w:fldCharType="end"/>
      </w:r>
      <w:r>
        <w:rPr>
          <w:rFonts w:hint="eastAsia" w:cs="宋体"/>
          <w:b w:val="0"/>
          <w:bCs/>
          <w:color w:val="auto"/>
          <w:highlight w:val="none"/>
        </w:rPr>
        <w:fldChar w:fldCharType="end"/>
      </w:r>
    </w:p>
    <w:p>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"_Toc13058" </w:instrText>
      </w:r>
      <w:r>
        <w:rPr>
          <w:color w:val="auto"/>
          <w:highlight w:val="none"/>
        </w:rPr>
        <w:fldChar w:fldCharType="separate"/>
      </w:r>
      <w:r>
        <w:rPr>
          <w:rFonts w:hint="eastAsia" w:cs="宋体"/>
          <w:b w:val="0"/>
          <w:bCs/>
          <w:color w:val="auto"/>
          <w:kern w:val="0"/>
          <w:highlight w:val="none"/>
        </w:rPr>
        <w:t>（三）招标投标分段限时投诉的规定</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_Toc13058 </w:instrText>
      </w:r>
      <w:r>
        <w:rPr>
          <w:rFonts w:hint="eastAsia" w:cs="宋体"/>
          <w:b w:val="0"/>
          <w:bCs/>
          <w:color w:val="auto"/>
          <w:highlight w:val="none"/>
        </w:rPr>
        <w:fldChar w:fldCharType="separate"/>
      </w:r>
      <w:r>
        <w:rPr>
          <w:rFonts w:hint="eastAsia" w:cs="宋体"/>
          <w:b w:val="0"/>
          <w:bCs/>
          <w:color w:val="auto"/>
          <w:highlight w:val="none"/>
        </w:rPr>
        <w:t>14</w:t>
      </w:r>
      <w:r>
        <w:rPr>
          <w:rFonts w:hint="eastAsia" w:cs="宋体"/>
          <w:b w:val="0"/>
          <w:bCs/>
          <w:color w:val="auto"/>
          <w:highlight w:val="none"/>
        </w:rPr>
        <w:fldChar w:fldCharType="end"/>
      </w:r>
      <w:r>
        <w:rPr>
          <w:rFonts w:hint="eastAsia" w:cs="宋体"/>
          <w:b w:val="0"/>
          <w:bCs/>
          <w:color w:val="auto"/>
          <w:highlight w:val="none"/>
        </w:rPr>
        <w:fldChar w:fldCharType="end"/>
      </w:r>
    </w:p>
    <w:p>
      <w:pPr>
        <w:pStyle w:val="68"/>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"_Toc24081" </w:instrText>
      </w:r>
      <w:r>
        <w:rPr>
          <w:color w:val="auto"/>
          <w:highlight w:val="none"/>
        </w:rPr>
        <w:fldChar w:fldCharType="separate"/>
      </w:r>
      <w:r>
        <w:rPr>
          <w:rFonts w:hint="eastAsia" w:cs="宋体"/>
          <w:b w:val="0"/>
          <w:bCs/>
          <w:color w:val="auto"/>
          <w:kern w:val="0"/>
          <w:highlight w:val="none"/>
        </w:rPr>
        <w:t>二、投标文件否决性条款</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_Toc24081 </w:instrText>
      </w:r>
      <w:r>
        <w:rPr>
          <w:rFonts w:hint="eastAsia" w:cs="宋体"/>
          <w:b w:val="0"/>
          <w:bCs/>
          <w:color w:val="auto"/>
          <w:highlight w:val="none"/>
        </w:rPr>
        <w:fldChar w:fldCharType="separate"/>
      </w:r>
      <w:r>
        <w:rPr>
          <w:rFonts w:hint="eastAsia" w:cs="宋体"/>
          <w:b w:val="0"/>
          <w:bCs/>
          <w:color w:val="auto"/>
          <w:highlight w:val="none"/>
        </w:rPr>
        <w:t>15</w:t>
      </w:r>
      <w:r>
        <w:rPr>
          <w:rFonts w:hint="eastAsia" w:cs="宋体"/>
          <w:b w:val="0"/>
          <w:bCs/>
          <w:color w:val="auto"/>
          <w:highlight w:val="none"/>
        </w:rPr>
        <w:fldChar w:fldCharType="end"/>
      </w:r>
      <w:r>
        <w:rPr>
          <w:rFonts w:hint="eastAsia" w:cs="宋体"/>
          <w:b w:val="0"/>
          <w:bCs/>
          <w:color w:val="auto"/>
          <w:highlight w:val="none"/>
        </w:rPr>
        <w:fldChar w:fldCharType="end"/>
      </w:r>
    </w:p>
    <w:p>
      <w:pPr>
        <w:pStyle w:val="68"/>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"_Toc14481" </w:instrText>
      </w:r>
      <w:r>
        <w:rPr>
          <w:color w:val="auto"/>
          <w:highlight w:val="none"/>
        </w:rPr>
        <w:fldChar w:fldCharType="separate"/>
      </w:r>
      <w:r>
        <w:rPr>
          <w:rFonts w:hint="eastAsia" w:cs="宋体"/>
          <w:b w:val="0"/>
          <w:bCs/>
          <w:color w:val="auto"/>
          <w:kern w:val="0"/>
          <w:highlight w:val="none"/>
        </w:rPr>
        <w:t>三、招投标须知正文</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_Toc14481 </w:instrText>
      </w:r>
      <w:r>
        <w:rPr>
          <w:rFonts w:hint="eastAsia" w:cs="宋体"/>
          <w:b w:val="0"/>
          <w:bCs/>
          <w:color w:val="auto"/>
          <w:highlight w:val="none"/>
        </w:rPr>
        <w:fldChar w:fldCharType="separate"/>
      </w:r>
      <w:r>
        <w:rPr>
          <w:rFonts w:hint="eastAsia" w:cs="宋体"/>
          <w:b w:val="0"/>
          <w:bCs/>
          <w:color w:val="auto"/>
          <w:highlight w:val="none"/>
        </w:rPr>
        <w:t>17</w:t>
      </w:r>
      <w:r>
        <w:rPr>
          <w:rFonts w:hint="eastAsia" w:cs="宋体"/>
          <w:b w:val="0"/>
          <w:bCs/>
          <w:color w:val="auto"/>
          <w:highlight w:val="none"/>
        </w:rPr>
        <w:fldChar w:fldCharType="end"/>
      </w:r>
      <w:r>
        <w:rPr>
          <w:rFonts w:hint="eastAsia" w:cs="宋体"/>
          <w:b w:val="0"/>
          <w:bCs/>
          <w:color w:val="auto"/>
          <w:highlight w:val="none"/>
        </w:rPr>
        <w:fldChar w:fldCharType="end"/>
      </w:r>
    </w:p>
    <w:p>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"_Toc7229" </w:instrText>
      </w:r>
      <w:r>
        <w:rPr>
          <w:color w:val="auto"/>
          <w:highlight w:val="none"/>
        </w:rPr>
        <w:fldChar w:fldCharType="separate"/>
      </w:r>
      <w:r>
        <w:rPr>
          <w:rFonts w:hint="eastAsia" w:cs="宋体"/>
          <w:b w:val="0"/>
          <w:bCs/>
          <w:color w:val="auto"/>
          <w:kern w:val="0"/>
          <w:highlight w:val="none"/>
        </w:rPr>
        <w:t>（一）招标</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_Toc7229 </w:instrText>
      </w:r>
      <w:r>
        <w:rPr>
          <w:rFonts w:hint="eastAsia" w:cs="宋体"/>
          <w:b w:val="0"/>
          <w:bCs/>
          <w:color w:val="auto"/>
          <w:highlight w:val="none"/>
        </w:rPr>
        <w:fldChar w:fldCharType="separate"/>
      </w:r>
      <w:r>
        <w:rPr>
          <w:rFonts w:hint="eastAsia" w:cs="宋体"/>
          <w:b w:val="0"/>
          <w:bCs/>
          <w:color w:val="auto"/>
          <w:highlight w:val="none"/>
        </w:rPr>
        <w:t>17</w:t>
      </w:r>
      <w:r>
        <w:rPr>
          <w:rFonts w:hint="eastAsia" w:cs="宋体"/>
          <w:b w:val="0"/>
          <w:bCs/>
          <w:color w:val="auto"/>
          <w:highlight w:val="none"/>
        </w:rPr>
        <w:fldChar w:fldCharType="end"/>
      </w:r>
      <w:r>
        <w:rPr>
          <w:rFonts w:hint="eastAsia" w:cs="宋体"/>
          <w:b w:val="0"/>
          <w:bCs/>
          <w:color w:val="auto"/>
          <w:highlight w:val="none"/>
        </w:rPr>
        <w:fldChar w:fldCharType="end"/>
      </w:r>
    </w:p>
    <w:p>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"_Toc17700" </w:instrText>
      </w:r>
      <w:r>
        <w:rPr>
          <w:color w:val="auto"/>
          <w:highlight w:val="none"/>
        </w:rPr>
        <w:fldChar w:fldCharType="separate"/>
      </w:r>
      <w:r>
        <w:rPr>
          <w:rFonts w:hint="eastAsia" w:cs="宋体"/>
          <w:b w:val="0"/>
          <w:bCs/>
          <w:color w:val="auto"/>
          <w:kern w:val="0"/>
          <w:highlight w:val="none"/>
        </w:rPr>
        <w:t>（二）投标</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_Toc17700 </w:instrText>
      </w:r>
      <w:r>
        <w:rPr>
          <w:rFonts w:hint="eastAsia" w:cs="宋体"/>
          <w:b w:val="0"/>
          <w:bCs/>
          <w:color w:val="auto"/>
          <w:highlight w:val="none"/>
        </w:rPr>
        <w:fldChar w:fldCharType="separate"/>
      </w:r>
      <w:r>
        <w:rPr>
          <w:rFonts w:hint="eastAsia" w:cs="宋体"/>
          <w:b w:val="0"/>
          <w:bCs/>
          <w:color w:val="auto"/>
          <w:highlight w:val="none"/>
        </w:rPr>
        <w:t>17</w:t>
      </w:r>
      <w:r>
        <w:rPr>
          <w:rFonts w:hint="eastAsia" w:cs="宋体"/>
          <w:b w:val="0"/>
          <w:bCs/>
          <w:color w:val="auto"/>
          <w:highlight w:val="none"/>
        </w:rPr>
        <w:fldChar w:fldCharType="end"/>
      </w:r>
      <w:r>
        <w:rPr>
          <w:rFonts w:hint="eastAsia" w:cs="宋体"/>
          <w:b w:val="0"/>
          <w:bCs/>
          <w:color w:val="auto"/>
          <w:highlight w:val="none"/>
        </w:rPr>
        <w:fldChar w:fldCharType="end"/>
      </w:r>
    </w:p>
    <w:p>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"_Toc1632" </w:instrText>
      </w:r>
      <w:r>
        <w:rPr>
          <w:color w:val="auto"/>
          <w:highlight w:val="none"/>
        </w:rPr>
        <w:fldChar w:fldCharType="separate"/>
      </w:r>
      <w:r>
        <w:rPr>
          <w:rFonts w:hint="eastAsia" w:cs="宋体"/>
          <w:b w:val="0"/>
          <w:bCs/>
          <w:color w:val="auto"/>
          <w:kern w:val="0"/>
          <w:highlight w:val="none"/>
        </w:rPr>
        <w:t>（三）资格后审</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_Toc1632 </w:instrText>
      </w:r>
      <w:r>
        <w:rPr>
          <w:rFonts w:hint="eastAsia" w:cs="宋体"/>
          <w:b w:val="0"/>
          <w:bCs/>
          <w:color w:val="auto"/>
          <w:highlight w:val="none"/>
        </w:rPr>
        <w:fldChar w:fldCharType="separate"/>
      </w:r>
      <w:r>
        <w:rPr>
          <w:rFonts w:hint="eastAsia" w:cs="宋体"/>
          <w:b w:val="0"/>
          <w:bCs/>
          <w:color w:val="auto"/>
          <w:highlight w:val="none"/>
        </w:rPr>
        <w:t>20</w:t>
      </w:r>
      <w:r>
        <w:rPr>
          <w:rFonts w:hint="eastAsia" w:cs="宋体"/>
          <w:b w:val="0"/>
          <w:bCs/>
          <w:color w:val="auto"/>
          <w:highlight w:val="none"/>
        </w:rPr>
        <w:fldChar w:fldCharType="end"/>
      </w:r>
      <w:r>
        <w:rPr>
          <w:rFonts w:hint="eastAsia" w:cs="宋体"/>
          <w:b w:val="0"/>
          <w:bCs/>
          <w:color w:val="auto"/>
          <w:highlight w:val="none"/>
        </w:rPr>
        <w:fldChar w:fldCharType="end"/>
      </w:r>
    </w:p>
    <w:p>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"_Toc10182" </w:instrText>
      </w:r>
      <w:r>
        <w:rPr>
          <w:color w:val="auto"/>
          <w:highlight w:val="none"/>
        </w:rPr>
        <w:fldChar w:fldCharType="separate"/>
      </w:r>
      <w:r>
        <w:rPr>
          <w:rFonts w:hint="eastAsia" w:cs="宋体"/>
          <w:b w:val="0"/>
          <w:bCs/>
          <w:color w:val="auto"/>
          <w:kern w:val="0"/>
          <w:highlight w:val="none"/>
        </w:rPr>
        <w:t>（四）开标</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_Toc10182 </w:instrText>
      </w:r>
      <w:r>
        <w:rPr>
          <w:rFonts w:hint="eastAsia" w:cs="宋体"/>
          <w:b w:val="0"/>
          <w:bCs/>
          <w:color w:val="auto"/>
          <w:highlight w:val="none"/>
        </w:rPr>
        <w:fldChar w:fldCharType="separate"/>
      </w:r>
      <w:r>
        <w:rPr>
          <w:rFonts w:hint="eastAsia" w:cs="宋体"/>
          <w:b w:val="0"/>
          <w:bCs/>
          <w:color w:val="auto"/>
          <w:highlight w:val="none"/>
        </w:rPr>
        <w:t>20</w:t>
      </w:r>
      <w:r>
        <w:rPr>
          <w:rFonts w:hint="eastAsia" w:cs="宋体"/>
          <w:b w:val="0"/>
          <w:bCs/>
          <w:color w:val="auto"/>
          <w:highlight w:val="none"/>
        </w:rPr>
        <w:fldChar w:fldCharType="end"/>
      </w:r>
      <w:r>
        <w:rPr>
          <w:rFonts w:hint="eastAsia" w:cs="宋体"/>
          <w:b w:val="0"/>
          <w:bCs/>
          <w:color w:val="auto"/>
          <w:highlight w:val="none"/>
        </w:rPr>
        <w:fldChar w:fldCharType="end"/>
      </w:r>
    </w:p>
    <w:p>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"_Toc2418" </w:instrText>
      </w:r>
      <w:r>
        <w:rPr>
          <w:color w:val="auto"/>
          <w:highlight w:val="none"/>
        </w:rPr>
        <w:fldChar w:fldCharType="separate"/>
      </w:r>
      <w:r>
        <w:rPr>
          <w:rFonts w:hint="eastAsia" w:cs="宋体"/>
          <w:b w:val="0"/>
          <w:bCs/>
          <w:color w:val="auto"/>
          <w:kern w:val="0"/>
          <w:highlight w:val="none"/>
        </w:rPr>
        <w:t>（五）评标</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_Toc2418 </w:instrText>
      </w:r>
      <w:r>
        <w:rPr>
          <w:rFonts w:hint="eastAsia" w:cs="宋体"/>
          <w:b w:val="0"/>
          <w:bCs/>
          <w:color w:val="auto"/>
          <w:highlight w:val="none"/>
        </w:rPr>
        <w:fldChar w:fldCharType="separate"/>
      </w:r>
      <w:r>
        <w:rPr>
          <w:rFonts w:hint="eastAsia" w:cs="宋体"/>
          <w:b w:val="0"/>
          <w:bCs/>
          <w:color w:val="auto"/>
          <w:highlight w:val="none"/>
        </w:rPr>
        <w:t>21</w:t>
      </w:r>
      <w:r>
        <w:rPr>
          <w:rFonts w:hint="eastAsia" w:cs="宋体"/>
          <w:b w:val="0"/>
          <w:bCs/>
          <w:color w:val="auto"/>
          <w:highlight w:val="none"/>
        </w:rPr>
        <w:fldChar w:fldCharType="end"/>
      </w:r>
      <w:r>
        <w:rPr>
          <w:rFonts w:hint="eastAsia" w:cs="宋体"/>
          <w:b w:val="0"/>
          <w:bCs/>
          <w:color w:val="auto"/>
          <w:highlight w:val="none"/>
        </w:rPr>
        <w:fldChar w:fldCharType="end"/>
      </w:r>
    </w:p>
    <w:p>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"_Toc29510" </w:instrText>
      </w:r>
      <w:r>
        <w:rPr>
          <w:color w:val="auto"/>
          <w:highlight w:val="none"/>
        </w:rPr>
        <w:fldChar w:fldCharType="separate"/>
      </w:r>
      <w:r>
        <w:rPr>
          <w:rFonts w:hint="eastAsia" w:cs="宋体"/>
          <w:b w:val="0"/>
          <w:bCs/>
          <w:color w:val="auto"/>
          <w:kern w:val="0"/>
          <w:highlight w:val="none"/>
        </w:rPr>
        <w:t>（六）定标</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_Toc29510 </w:instrText>
      </w:r>
      <w:r>
        <w:rPr>
          <w:rFonts w:hint="eastAsia" w:cs="宋体"/>
          <w:b w:val="0"/>
          <w:bCs/>
          <w:color w:val="auto"/>
          <w:highlight w:val="none"/>
        </w:rPr>
        <w:fldChar w:fldCharType="separate"/>
      </w:r>
      <w:r>
        <w:rPr>
          <w:rFonts w:hint="eastAsia" w:cs="宋体"/>
          <w:b w:val="0"/>
          <w:bCs/>
          <w:color w:val="auto"/>
          <w:highlight w:val="none"/>
        </w:rPr>
        <w:t>24</w:t>
      </w:r>
      <w:r>
        <w:rPr>
          <w:rFonts w:hint="eastAsia" w:cs="宋体"/>
          <w:b w:val="0"/>
          <w:bCs/>
          <w:color w:val="auto"/>
          <w:highlight w:val="none"/>
        </w:rPr>
        <w:fldChar w:fldCharType="end"/>
      </w:r>
      <w:r>
        <w:rPr>
          <w:rFonts w:hint="eastAsia" w:cs="宋体"/>
          <w:b w:val="0"/>
          <w:bCs/>
          <w:color w:val="auto"/>
          <w:highlight w:val="none"/>
        </w:rPr>
        <w:fldChar w:fldCharType="end"/>
      </w:r>
    </w:p>
    <w:p>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"_Toc10227" </w:instrText>
      </w:r>
      <w:r>
        <w:rPr>
          <w:color w:val="auto"/>
          <w:highlight w:val="none"/>
        </w:rPr>
        <w:fldChar w:fldCharType="separate"/>
      </w:r>
      <w:r>
        <w:rPr>
          <w:rFonts w:hint="eastAsia" w:cs="宋体"/>
          <w:b w:val="0"/>
          <w:bCs/>
          <w:color w:val="auto"/>
          <w:kern w:val="0"/>
          <w:highlight w:val="none"/>
        </w:rPr>
        <w:t>（七）中标通知书</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_Toc10227 </w:instrText>
      </w:r>
      <w:r>
        <w:rPr>
          <w:rFonts w:hint="eastAsia" w:cs="宋体"/>
          <w:b w:val="0"/>
          <w:bCs/>
          <w:color w:val="auto"/>
          <w:highlight w:val="none"/>
        </w:rPr>
        <w:fldChar w:fldCharType="separate"/>
      </w:r>
      <w:r>
        <w:rPr>
          <w:rFonts w:hint="eastAsia" w:cs="宋体"/>
          <w:b w:val="0"/>
          <w:bCs/>
          <w:color w:val="auto"/>
          <w:highlight w:val="none"/>
        </w:rPr>
        <w:t>28</w:t>
      </w:r>
      <w:r>
        <w:rPr>
          <w:rFonts w:hint="eastAsia" w:cs="宋体"/>
          <w:b w:val="0"/>
          <w:bCs/>
          <w:color w:val="auto"/>
          <w:highlight w:val="none"/>
        </w:rPr>
        <w:fldChar w:fldCharType="end"/>
      </w:r>
      <w:r>
        <w:rPr>
          <w:rFonts w:hint="eastAsia" w:cs="宋体"/>
          <w:b w:val="0"/>
          <w:bCs/>
          <w:color w:val="auto"/>
          <w:highlight w:val="none"/>
        </w:rPr>
        <w:fldChar w:fldCharType="end"/>
      </w:r>
    </w:p>
    <w:p>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"_Toc5986" </w:instrText>
      </w:r>
      <w:r>
        <w:rPr>
          <w:color w:val="auto"/>
          <w:highlight w:val="none"/>
        </w:rPr>
        <w:fldChar w:fldCharType="separate"/>
      </w:r>
      <w:r>
        <w:rPr>
          <w:rFonts w:hint="eastAsia" w:cs="宋体"/>
          <w:b w:val="0"/>
          <w:bCs/>
          <w:color w:val="auto"/>
          <w:kern w:val="0"/>
          <w:highlight w:val="none"/>
        </w:rPr>
        <w:t>（八）合同授予</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_Toc5986 </w:instrText>
      </w:r>
      <w:r>
        <w:rPr>
          <w:rFonts w:hint="eastAsia" w:cs="宋体"/>
          <w:b w:val="0"/>
          <w:bCs/>
          <w:color w:val="auto"/>
          <w:highlight w:val="none"/>
        </w:rPr>
        <w:fldChar w:fldCharType="separate"/>
      </w:r>
      <w:r>
        <w:rPr>
          <w:rFonts w:hint="eastAsia" w:cs="宋体"/>
          <w:b w:val="0"/>
          <w:bCs/>
          <w:color w:val="auto"/>
          <w:highlight w:val="none"/>
        </w:rPr>
        <w:t>28</w:t>
      </w:r>
      <w:r>
        <w:rPr>
          <w:rFonts w:hint="eastAsia" w:cs="宋体"/>
          <w:b w:val="0"/>
          <w:bCs/>
          <w:color w:val="auto"/>
          <w:highlight w:val="none"/>
        </w:rPr>
        <w:fldChar w:fldCharType="end"/>
      </w:r>
      <w:r>
        <w:rPr>
          <w:rFonts w:hint="eastAsia" w:cs="宋体"/>
          <w:b w:val="0"/>
          <w:bCs/>
          <w:color w:val="auto"/>
          <w:highlight w:val="none"/>
        </w:rPr>
        <w:fldChar w:fldCharType="end"/>
      </w:r>
    </w:p>
    <w:p>
      <w:pPr>
        <w:pStyle w:val="55"/>
        <w:tabs>
          <w:tab w:val="right" w:leader="dot" w:pos="9638"/>
          <w:tab w:val="clear" w:pos="8949"/>
        </w:tabs>
        <w:ind w:right="0" w:rightChars="0" w:firstLine="0" w:firstLineChars="0"/>
        <w:rPr>
          <w:rFonts w:cs="宋体"/>
          <w:color w:val="auto"/>
          <w:highlight w:val="none"/>
        </w:rPr>
      </w:pPr>
      <w:r>
        <w:rPr>
          <w:color w:val="auto"/>
          <w:highlight w:val="none"/>
        </w:rPr>
        <w:fldChar w:fldCharType="begin"/>
      </w:r>
      <w:r>
        <w:rPr>
          <w:color w:val="auto"/>
          <w:highlight w:val="none"/>
        </w:rPr>
        <w:instrText xml:space="preserve"> HYPERLINK \l "_Toc13536" </w:instrText>
      </w:r>
      <w:r>
        <w:rPr>
          <w:color w:val="auto"/>
          <w:highlight w:val="none"/>
        </w:rPr>
        <w:fldChar w:fldCharType="separate"/>
      </w:r>
      <w:r>
        <w:rPr>
          <w:rFonts w:hint="eastAsia" w:cs="宋体"/>
          <w:color w:val="auto"/>
          <w:kern w:val="0"/>
          <w:highlight w:val="none"/>
        </w:rPr>
        <w:t>第三章  招标人对招标文件的补充/修改</w:t>
      </w:r>
      <w:r>
        <w:rPr>
          <w:rFonts w:hint="eastAsia" w:cs="宋体"/>
          <w:color w:val="auto"/>
          <w:highlight w:val="none"/>
        </w:rPr>
        <w:tab/>
      </w:r>
      <w:r>
        <w:rPr>
          <w:rFonts w:hint="eastAsia" w:cs="宋体"/>
          <w:color w:val="auto"/>
          <w:highlight w:val="none"/>
        </w:rPr>
        <w:fldChar w:fldCharType="begin"/>
      </w:r>
      <w:r>
        <w:rPr>
          <w:rFonts w:hint="eastAsia" w:cs="宋体"/>
          <w:color w:val="auto"/>
          <w:highlight w:val="none"/>
        </w:rPr>
        <w:instrText xml:space="preserve"> PAGEREF _Toc13536 </w:instrText>
      </w:r>
      <w:r>
        <w:rPr>
          <w:rFonts w:hint="eastAsia" w:cs="宋体"/>
          <w:color w:val="auto"/>
          <w:highlight w:val="none"/>
        </w:rPr>
        <w:fldChar w:fldCharType="separate"/>
      </w:r>
      <w:r>
        <w:rPr>
          <w:rFonts w:hint="eastAsia" w:cs="宋体"/>
          <w:color w:val="auto"/>
          <w:highlight w:val="none"/>
        </w:rPr>
        <w:t>33</w:t>
      </w:r>
      <w:r>
        <w:rPr>
          <w:rFonts w:hint="eastAsia" w:cs="宋体"/>
          <w:color w:val="auto"/>
          <w:highlight w:val="none"/>
        </w:rPr>
        <w:fldChar w:fldCharType="end"/>
      </w:r>
      <w:r>
        <w:rPr>
          <w:rFonts w:hint="eastAsia" w:cs="宋体"/>
          <w:color w:val="auto"/>
          <w:highlight w:val="none"/>
        </w:rPr>
        <w:fldChar w:fldCharType="end"/>
      </w:r>
    </w:p>
    <w:p>
      <w:pPr>
        <w:pStyle w:val="55"/>
        <w:tabs>
          <w:tab w:val="right" w:leader="dot" w:pos="9638"/>
          <w:tab w:val="clear" w:pos="8949"/>
        </w:tabs>
        <w:ind w:right="0" w:rightChars="0" w:firstLine="0" w:firstLineChars="0"/>
        <w:rPr>
          <w:rFonts w:cs="宋体"/>
          <w:color w:val="auto"/>
          <w:highlight w:val="none"/>
        </w:rPr>
      </w:pPr>
      <w:r>
        <w:rPr>
          <w:color w:val="auto"/>
          <w:highlight w:val="none"/>
        </w:rPr>
        <w:fldChar w:fldCharType="begin"/>
      </w:r>
      <w:r>
        <w:rPr>
          <w:color w:val="auto"/>
          <w:highlight w:val="none"/>
        </w:rPr>
        <w:instrText xml:space="preserve"> HYPERLINK \l "_Toc7288" </w:instrText>
      </w:r>
      <w:r>
        <w:rPr>
          <w:color w:val="auto"/>
          <w:highlight w:val="none"/>
        </w:rPr>
        <w:fldChar w:fldCharType="separate"/>
      </w:r>
      <w:r>
        <w:rPr>
          <w:rFonts w:hint="eastAsia" w:cs="宋体"/>
          <w:color w:val="auto"/>
          <w:kern w:val="0"/>
          <w:highlight w:val="none"/>
        </w:rPr>
        <w:t>第四章  设计任务书及前期资料</w:t>
      </w:r>
      <w:r>
        <w:rPr>
          <w:rFonts w:hint="eastAsia" w:cs="宋体"/>
          <w:color w:val="auto"/>
          <w:highlight w:val="none"/>
        </w:rPr>
        <w:tab/>
      </w:r>
      <w:r>
        <w:rPr>
          <w:rFonts w:hint="eastAsia" w:cs="宋体"/>
          <w:color w:val="auto"/>
          <w:highlight w:val="none"/>
        </w:rPr>
        <w:fldChar w:fldCharType="begin"/>
      </w:r>
      <w:r>
        <w:rPr>
          <w:rFonts w:hint="eastAsia" w:cs="宋体"/>
          <w:color w:val="auto"/>
          <w:highlight w:val="none"/>
        </w:rPr>
        <w:instrText xml:space="preserve"> PAGEREF _Toc7288 </w:instrText>
      </w:r>
      <w:r>
        <w:rPr>
          <w:rFonts w:hint="eastAsia" w:cs="宋体"/>
          <w:color w:val="auto"/>
          <w:highlight w:val="none"/>
        </w:rPr>
        <w:fldChar w:fldCharType="separate"/>
      </w:r>
      <w:r>
        <w:rPr>
          <w:rFonts w:hint="eastAsia" w:cs="宋体"/>
          <w:color w:val="auto"/>
          <w:highlight w:val="none"/>
        </w:rPr>
        <w:t>34</w:t>
      </w:r>
      <w:r>
        <w:rPr>
          <w:rFonts w:hint="eastAsia" w:cs="宋体"/>
          <w:color w:val="auto"/>
          <w:highlight w:val="none"/>
        </w:rPr>
        <w:fldChar w:fldCharType="end"/>
      </w:r>
      <w:r>
        <w:rPr>
          <w:rFonts w:hint="eastAsia" w:cs="宋体"/>
          <w:color w:val="auto"/>
          <w:highlight w:val="none"/>
        </w:rPr>
        <w:fldChar w:fldCharType="end"/>
      </w:r>
    </w:p>
    <w:p>
      <w:pPr>
        <w:pStyle w:val="55"/>
        <w:tabs>
          <w:tab w:val="right" w:leader="dot" w:pos="9638"/>
          <w:tab w:val="clear" w:pos="8949"/>
        </w:tabs>
        <w:ind w:right="0" w:rightChars="0" w:firstLine="0" w:firstLineChars="0"/>
        <w:rPr>
          <w:rFonts w:cs="宋体"/>
          <w:color w:val="auto"/>
          <w:highlight w:val="none"/>
        </w:rPr>
      </w:pPr>
      <w:r>
        <w:rPr>
          <w:color w:val="auto"/>
          <w:highlight w:val="none"/>
        </w:rPr>
        <w:fldChar w:fldCharType="begin"/>
      </w:r>
      <w:r>
        <w:rPr>
          <w:color w:val="auto"/>
          <w:highlight w:val="none"/>
        </w:rPr>
        <w:instrText xml:space="preserve"> HYPERLINK \l "_Toc23337" </w:instrText>
      </w:r>
      <w:r>
        <w:rPr>
          <w:color w:val="auto"/>
          <w:highlight w:val="none"/>
        </w:rPr>
        <w:fldChar w:fldCharType="separate"/>
      </w:r>
      <w:r>
        <w:rPr>
          <w:rFonts w:hint="eastAsia" w:cs="宋体"/>
          <w:color w:val="auto"/>
          <w:kern w:val="0"/>
          <w:highlight w:val="none"/>
        </w:rPr>
        <w:t>第五章  投标文件格式</w:t>
      </w:r>
      <w:r>
        <w:rPr>
          <w:rFonts w:hint="eastAsia" w:cs="宋体"/>
          <w:color w:val="auto"/>
          <w:highlight w:val="none"/>
        </w:rPr>
        <w:tab/>
      </w:r>
      <w:r>
        <w:rPr>
          <w:rFonts w:hint="eastAsia" w:cs="宋体"/>
          <w:color w:val="auto"/>
          <w:highlight w:val="none"/>
        </w:rPr>
        <w:fldChar w:fldCharType="begin"/>
      </w:r>
      <w:r>
        <w:rPr>
          <w:rFonts w:hint="eastAsia" w:cs="宋体"/>
          <w:color w:val="auto"/>
          <w:highlight w:val="none"/>
        </w:rPr>
        <w:instrText xml:space="preserve"> PAGEREF _Toc23337 </w:instrText>
      </w:r>
      <w:r>
        <w:rPr>
          <w:rFonts w:hint="eastAsia" w:cs="宋体"/>
          <w:color w:val="auto"/>
          <w:highlight w:val="none"/>
        </w:rPr>
        <w:fldChar w:fldCharType="separate"/>
      </w:r>
      <w:r>
        <w:rPr>
          <w:rFonts w:hint="eastAsia" w:cs="宋体"/>
          <w:color w:val="auto"/>
          <w:highlight w:val="none"/>
        </w:rPr>
        <w:t>35</w:t>
      </w:r>
      <w:r>
        <w:rPr>
          <w:rFonts w:hint="eastAsia" w:cs="宋体"/>
          <w:color w:val="auto"/>
          <w:highlight w:val="none"/>
        </w:rPr>
        <w:fldChar w:fldCharType="end"/>
      </w:r>
      <w:r>
        <w:rPr>
          <w:rFonts w:hint="eastAsia" w:cs="宋体"/>
          <w:color w:val="auto"/>
          <w:highlight w:val="none"/>
        </w:rPr>
        <w:fldChar w:fldCharType="end"/>
      </w:r>
    </w:p>
    <w:p>
      <w:pPr>
        <w:pStyle w:val="55"/>
        <w:tabs>
          <w:tab w:val="right" w:leader="dot" w:pos="9638"/>
          <w:tab w:val="clear" w:pos="8949"/>
        </w:tabs>
        <w:ind w:right="0" w:rightChars="0" w:firstLine="0" w:firstLineChars="0"/>
        <w:rPr>
          <w:rFonts w:cs="宋体"/>
          <w:color w:val="auto"/>
          <w:highlight w:val="none"/>
        </w:rPr>
      </w:pPr>
      <w:r>
        <w:rPr>
          <w:color w:val="auto"/>
          <w:highlight w:val="none"/>
        </w:rPr>
        <w:fldChar w:fldCharType="begin"/>
      </w:r>
      <w:r>
        <w:rPr>
          <w:color w:val="auto"/>
          <w:highlight w:val="none"/>
        </w:rPr>
        <w:instrText xml:space="preserve"> HYPERLINK \l "_Toc22487" </w:instrText>
      </w:r>
      <w:r>
        <w:rPr>
          <w:color w:val="auto"/>
          <w:highlight w:val="none"/>
        </w:rPr>
        <w:fldChar w:fldCharType="separate"/>
      </w:r>
      <w:r>
        <w:rPr>
          <w:rFonts w:hint="eastAsia" w:cs="宋体"/>
          <w:color w:val="auto"/>
          <w:kern w:val="0"/>
          <w:highlight w:val="none"/>
        </w:rPr>
        <w:t>第六章  合同条款</w:t>
      </w:r>
      <w:r>
        <w:rPr>
          <w:rFonts w:hint="eastAsia" w:cs="宋体"/>
          <w:color w:val="auto"/>
          <w:highlight w:val="none"/>
        </w:rPr>
        <w:tab/>
      </w:r>
      <w:r>
        <w:rPr>
          <w:rFonts w:hint="eastAsia" w:cs="宋体"/>
          <w:color w:val="auto"/>
          <w:highlight w:val="none"/>
        </w:rPr>
        <w:fldChar w:fldCharType="begin"/>
      </w:r>
      <w:r>
        <w:rPr>
          <w:rFonts w:hint="eastAsia" w:cs="宋体"/>
          <w:color w:val="auto"/>
          <w:highlight w:val="none"/>
        </w:rPr>
        <w:instrText xml:space="preserve"> PAGEREF _Toc22487 </w:instrText>
      </w:r>
      <w:r>
        <w:rPr>
          <w:rFonts w:hint="eastAsia" w:cs="宋体"/>
          <w:color w:val="auto"/>
          <w:highlight w:val="none"/>
        </w:rPr>
        <w:fldChar w:fldCharType="separate"/>
      </w:r>
      <w:r>
        <w:rPr>
          <w:rFonts w:hint="eastAsia" w:cs="宋体"/>
          <w:color w:val="auto"/>
          <w:highlight w:val="none"/>
        </w:rPr>
        <w:t>51</w:t>
      </w:r>
      <w:r>
        <w:rPr>
          <w:rFonts w:hint="eastAsia" w:cs="宋体"/>
          <w:color w:val="auto"/>
          <w:highlight w:val="none"/>
        </w:rPr>
        <w:fldChar w:fldCharType="end"/>
      </w:r>
      <w:r>
        <w:rPr>
          <w:rFonts w:hint="eastAsia" w:cs="宋体"/>
          <w:color w:val="auto"/>
          <w:highlight w:val="none"/>
        </w:rPr>
        <w:fldChar w:fldCharType="end"/>
      </w:r>
    </w:p>
    <w:p>
      <w:pPr>
        <w:adjustRightInd w:val="0"/>
        <w:snapToGrid w:val="0"/>
        <w:spacing w:line="360" w:lineRule="auto"/>
        <w:jc w:val="center"/>
        <w:rPr>
          <w:color w:val="auto"/>
          <w:highlight w:val="none"/>
        </w:rPr>
      </w:pPr>
      <w:r>
        <w:rPr>
          <w:rFonts w:hint="eastAsia" w:ascii="宋体" w:hAnsi="宋体" w:eastAsia="宋体" w:cs="宋体"/>
          <w:bCs/>
          <w:color w:val="auto"/>
          <w:sz w:val="24"/>
          <w:szCs w:val="24"/>
          <w:highlight w:val="none"/>
        </w:rPr>
        <w:fldChar w:fldCharType="end"/>
      </w:r>
    </w:p>
    <w:p>
      <w:pPr>
        <w:adjustRightInd w:val="0"/>
        <w:snapToGrid w:val="0"/>
        <w:spacing w:line="360" w:lineRule="auto"/>
        <w:jc w:val="center"/>
        <w:rPr>
          <w:color w:val="auto"/>
          <w:highlight w:val="none"/>
        </w:rPr>
      </w:pPr>
      <w:r>
        <w:rPr>
          <w:color w:val="auto"/>
          <w:highlight w:val="none"/>
        </w:rPr>
        <w:br w:type="page"/>
      </w:r>
    </w:p>
    <w:p>
      <w:pPr>
        <w:adjustRightInd w:val="0"/>
        <w:snapToGrid w:val="0"/>
        <w:spacing w:line="360" w:lineRule="auto"/>
        <w:jc w:val="center"/>
        <w:outlineLvl w:val="0"/>
        <w:rPr>
          <w:rFonts w:ascii="黑体" w:eastAsia="黑体"/>
          <w:bCs/>
          <w:color w:val="auto"/>
          <w:kern w:val="0"/>
          <w:sz w:val="32"/>
          <w:szCs w:val="32"/>
          <w:highlight w:val="none"/>
        </w:rPr>
      </w:pPr>
      <w:bookmarkStart w:id="0" w:name="_Toc17187"/>
      <w:r>
        <w:rPr>
          <w:rFonts w:hint="eastAsia" w:ascii="黑体" w:eastAsia="黑体"/>
          <w:bCs/>
          <w:color w:val="auto"/>
          <w:kern w:val="0"/>
          <w:sz w:val="32"/>
          <w:szCs w:val="32"/>
          <w:highlight w:val="none"/>
        </w:rPr>
        <w:t>第一章 使用说明</w:t>
      </w:r>
      <w:bookmarkEnd w:id="0"/>
    </w:p>
    <w:p>
      <w:pPr>
        <w:adjustRightInd w:val="0"/>
        <w:snapToGrid w:val="0"/>
        <w:spacing w:line="440" w:lineRule="exact"/>
        <w:ind w:firstLine="420" w:firstLineChars="200"/>
        <w:rPr>
          <w:rFonts w:hint="eastAsia"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一、为了规范工程设计招标投标活动，保障招标人和投标人的合法权益，根据国家及深圳市有关法律、法规、规章和规范性文件的规定，结合我市实际，遵循公开、公平、公正和诚实信用的原则，深圳市住房和建设局制定了《深圳市建设工程设计类招标文件（建筑方案设计类除外）》（以下简称“本范本”）。</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二、本范本适用于采用电子招投标及计算机评标的设计类（建筑方案设计类除外）招标工程。</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三、本范本的主要编写依据：</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1．《中华人民共和国建筑法》；</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2．《中华人民共和国招标投标法》；</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 《中华人民共和国招标投标法实施条例》；</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 《工程建设项目勘察设计招标投标办法》；</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 《建筑工程设计招标投标管理办法》；</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 《电子招标投标办法》；</w:t>
      </w:r>
    </w:p>
    <w:p>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 《关于创新完善体制机制推动招标投标市场规范健康发展的意见》(国办发〔2024〕21号）；</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．《关于建设工程招标投标改革的若干规定》(深府〔2015〕73号)；</w:t>
      </w:r>
    </w:p>
    <w:p>
      <w:pPr>
        <w:adjustRightInd w:val="0"/>
        <w:snapToGrid w:val="0"/>
        <w:spacing w:line="440" w:lineRule="exact"/>
        <w:ind w:firstLine="420" w:firstLineChars="20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9</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《关于进一步规范建设工程招标投标活动的通知》</w:t>
      </w:r>
      <w:r>
        <w:rPr>
          <w:rFonts w:hint="eastAsia" w:ascii="宋体" w:hAnsi="宋体" w:eastAsia="宋体" w:cs="宋体"/>
          <w:color w:val="auto"/>
          <w:kern w:val="0"/>
          <w:szCs w:val="21"/>
          <w:highlight w:val="none"/>
        </w:rPr>
        <w:t>(深府</w:t>
      </w:r>
      <w:r>
        <w:rPr>
          <w:rFonts w:hint="eastAsia" w:ascii="宋体" w:hAnsi="宋体" w:eastAsia="宋体" w:cs="宋体"/>
          <w:color w:val="auto"/>
          <w:kern w:val="0"/>
          <w:szCs w:val="21"/>
          <w:highlight w:val="none"/>
          <w:lang w:val="en-US" w:eastAsia="zh-CN"/>
        </w:rPr>
        <w:t>规</w:t>
      </w:r>
      <w:r>
        <w:rPr>
          <w:rFonts w:hint="eastAsia" w:ascii="宋体" w:hAnsi="宋体" w:eastAsia="宋体" w:cs="宋体"/>
          <w:color w:val="auto"/>
          <w:kern w:val="0"/>
          <w:szCs w:val="21"/>
          <w:highlight w:val="none"/>
        </w:rPr>
        <w:t>〔20</w:t>
      </w:r>
      <w:r>
        <w:rPr>
          <w:rFonts w:hint="eastAsia" w:ascii="宋体" w:hAnsi="宋体" w:eastAsia="宋体" w:cs="宋体"/>
          <w:color w:val="auto"/>
          <w:kern w:val="0"/>
          <w:szCs w:val="21"/>
          <w:highlight w:val="none"/>
          <w:lang w:val="en-US" w:eastAsia="zh-CN"/>
        </w:rPr>
        <w:t>24</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号)</w:t>
      </w:r>
      <w:r>
        <w:rPr>
          <w:rFonts w:hint="eastAsia" w:ascii="宋体" w:hAnsi="宋体" w:eastAsia="宋体" w:cs="宋体"/>
          <w:color w:val="auto"/>
          <w:kern w:val="0"/>
          <w:szCs w:val="21"/>
          <w:highlight w:val="none"/>
          <w:lang w:eastAsia="zh-CN"/>
        </w:rPr>
        <w:t>；</w:t>
      </w:r>
    </w:p>
    <w:p>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10</w:t>
      </w:r>
      <w:r>
        <w:rPr>
          <w:rFonts w:hint="eastAsia" w:ascii="宋体" w:hAnsi="宋体" w:eastAsia="宋体" w:cs="宋体"/>
          <w:color w:val="auto"/>
          <w:kern w:val="0"/>
          <w:szCs w:val="21"/>
          <w:highlight w:val="none"/>
        </w:rPr>
        <w:t>.《关于进一步完善建设工程招标投标制度的若干措施》(深建规〔2020〕1号)；</w:t>
      </w:r>
    </w:p>
    <w:p>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11</w:t>
      </w:r>
      <w:r>
        <w:rPr>
          <w:rFonts w:hint="eastAsia" w:ascii="宋体" w:hAnsi="宋体" w:eastAsia="宋体" w:cs="宋体"/>
          <w:color w:val="auto"/>
          <w:kern w:val="0"/>
          <w:szCs w:val="21"/>
          <w:highlight w:val="none"/>
        </w:rPr>
        <w:t>.《工程信息模型应用统一标准》（GB/T51212-2016）；</w:t>
      </w:r>
    </w:p>
    <w:p>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.《建筑信息模型设计交付标准》（GB/T51301-2018）；</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其他有关工程建设的法律、法规、规章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四、本工程招标投标活动在</w:t>
      </w:r>
      <w:r>
        <w:rPr>
          <w:rFonts w:hint="eastAsia" w:ascii="宋体" w:hAnsi="宋体" w:eastAsia="宋体" w:cs="宋体"/>
          <w:b w:val="0"/>
          <w:bCs w:val="0"/>
          <w:i w:val="0"/>
          <w:iCs w:val="0"/>
          <w:color w:val="auto"/>
          <w:spacing w:val="0"/>
          <w:w w:val="100"/>
          <w:sz w:val="21"/>
          <w:szCs w:val="21"/>
          <w:highlight w:val="none"/>
          <w:vertAlign w:val="baseline"/>
        </w:rPr>
        <w:t>深圳交易集团有限公司（深圳公共资源交易中心）</w:t>
      </w:r>
      <w:r>
        <w:rPr>
          <w:rFonts w:hint="eastAsia" w:ascii="宋体" w:hAnsi="宋体" w:eastAsia="宋体" w:cs="宋体"/>
          <w:color w:val="auto"/>
          <w:kern w:val="0"/>
          <w:szCs w:val="21"/>
          <w:highlight w:val="none"/>
        </w:rPr>
        <w:t>进行。</w:t>
      </w:r>
    </w:p>
    <w:p>
      <w:pPr>
        <w:wordWrap w:val="0"/>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五、本招标文件所指交易网为：</w:t>
      </w:r>
      <w:r>
        <w:rPr>
          <w:rFonts w:hint="eastAsia" w:ascii="宋体" w:hAnsi="宋体" w:eastAsia="宋体" w:cs="宋体"/>
          <w:color w:val="auto"/>
          <w:szCs w:val="21"/>
          <w:highlight w:val="none"/>
        </w:rPr>
        <w:t>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六、招标人和投标人应事先办理企业的数字证书或电子营业执照，同时应办理相关人员的数字证书。有关手续请查看交易网中的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建设工程</w:t>
      </w:r>
      <w:r>
        <w:rPr>
          <w:rFonts w:hint="eastAsia" w:ascii="宋体" w:hAnsi="宋体" w:eastAsia="宋体" w:cs="宋体"/>
          <w:color w:val="auto"/>
          <w:szCs w:val="21"/>
          <w:highlight w:val="none"/>
        </w:rPr>
        <w:t>数字证书办事指南”。</w:t>
      </w:r>
      <w:r>
        <w:rPr>
          <w:rFonts w:hint="eastAsia" w:ascii="宋体" w:hAnsi="宋体" w:eastAsia="宋体" w:cs="宋体"/>
          <w:color w:val="auto"/>
          <w:kern w:val="0"/>
          <w:szCs w:val="21"/>
          <w:highlight w:val="none"/>
        </w:rPr>
        <w:t>使用电子营业执照的，须提前在</w:t>
      </w:r>
      <w:r>
        <w:rPr>
          <w:rFonts w:hint="eastAsia" w:ascii="宋体" w:hAnsi="宋体" w:eastAsia="宋体" w:cs="宋体"/>
          <w:color w:val="auto"/>
          <w:szCs w:val="21"/>
          <w:highlight w:val="none"/>
        </w:rPr>
        <w:t>国家市场监督管理总局</w:t>
      </w:r>
      <w:r>
        <w:rPr>
          <w:rFonts w:hint="eastAsia" w:ascii="宋体" w:hAnsi="宋体" w:eastAsia="宋体" w:cs="宋体"/>
          <w:color w:val="auto"/>
          <w:kern w:val="0"/>
          <w:szCs w:val="21"/>
          <w:highlight w:val="none"/>
        </w:rPr>
        <w:t>“电子营业执照”微信小程序电子营业执照应用程序中下载本企业电子营业执照，</w:t>
      </w:r>
      <w:r>
        <w:rPr>
          <w:rFonts w:hint="eastAsia" w:ascii="宋体" w:hAnsi="宋体" w:eastAsia="宋体" w:cs="宋体"/>
          <w:b w:val="0"/>
          <w:bCs w:val="0"/>
          <w:i w:val="0"/>
          <w:iCs w:val="0"/>
          <w:color w:val="auto"/>
          <w:spacing w:val="0"/>
          <w:w w:val="100"/>
          <w:sz w:val="21"/>
          <w:szCs w:val="21"/>
          <w:highlight w:val="none"/>
          <w:vertAlign w:val="baseline"/>
        </w:rPr>
        <w:t>有关手续请查看交易网“电子营业执照用户使用手册”。</w:t>
      </w:r>
    </w:p>
    <w:p>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七、电子招标文件通过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 gov.sn/)和中国招标投标公共服务平台(网址:http://www.cebpubservice.com/)发布。</w:t>
      </w:r>
    </w:p>
    <w:p>
      <w:pPr>
        <w:adjustRightInd w:val="0"/>
        <w:snapToGrid w:val="0"/>
        <w:spacing w:line="440" w:lineRule="exact"/>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八、有关招标问题的说明</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招标文件中的所有空格招标人必须按实填写，无内容者或不采用者应填写“无”。对本招标文件示范文本进行补充、删除或修改的内容，应统一写入本招标文件的第三章。同时，应明确注明是对招标文件示范文本具体章节条款进行补充或修改。第三章内容与其他部分有冲突时，以第三章内容为准，但与相关法律、法规、政策相冲突的除外。</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2．采用本示范文本以外的评标方法应经建设、交通行政主管部门批准，并且必须在招标文件的评标方法中进行详细描述。</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3.采用本示范文本以外的定标方法应经建设、交通行政主管部门批准，并且必须在招标文件中进行详细描述。</w:t>
      </w:r>
    </w:p>
    <w:p>
      <w:pPr>
        <w:adjustRightInd w:val="0"/>
        <w:snapToGrid w:val="0"/>
        <w:spacing w:line="440" w:lineRule="exact"/>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4.招标人注意事项：</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4.1招标人所提交电子招标文件格式应为*.SJZB。该文件格式必须是由</w:t>
      </w:r>
      <w:r>
        <w:rPr>
          <w:rFonts w:hint="eastAsia" w:ascii="宋体" w:hAnsi="宋体" w:eastAsia="宋体" w:cs="宋体"/>
          <w:color w:val="auto"/>
          <w:szCs w:val="21"/>
          <w:highlight w:val="none"/>
          <w:lang w:val="en-US" w:eastAsia="zh-CN"/>
        </w:rPr>
        <w:t>交易平台编制</w:t>
      </w:r>
      <w:r>
        <w:rPr>
          <w:rFonts w:hint="eastAsia" w:ascii="宋体" w:hAnsi="宋体" w:eastAsia="宋体" w:cs="宋体"/>
          <w:color w:val="auto"/>
          <w:kern w:val="0"/>
          <w:szCs w:val="21"/>
          <w:highlight w:val="none"/>
        </w:rPr>
        <w:t>生成。</w:t>
      </w:r>
    </w:p>
    <w:p>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4.2</w:t>
      </w:r>
      <w:r>
        <w:rPr>
          <w:rFonts w:hint="eastAsia" w:ascii="宋体" w:hAnsi="宋体" w:eastAsia="宋体" w:cs="宋体"/>
          <w:color w:val="auto"/>
          <w:kern w:val="0"/>
          <w:szCs w:val="21"/>
          <w:highlight w:val="none"/>
        </w:rPr>
        <w:t>根据《深圳市人民政府办公厅关于印发加快推进建筑信息模型（BIM）技术应用的实施意见（试行）的通知》（深府办函〔2021〕103号）的规定，2022年1月1日起，新建（立项、核准备案）市区政府投资和国有资金投资建设项目、市区重大项目、重点片区工程项目全面实施BIM技术应用，上述项目于2022 年6月1日起，在办理规划许可、施工许可、竣工验收各审批报建环节提交BIM模型，市区政府投资和国有资金投资建设项目在招投标环节采用BIM 电子招投标系统。招标人应严格落实上述要求，并在招标策划时明确BIM技术应用阶段、内容、费用和成果文件等内容。</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4.3 对于采用BIM技术的招标项目，招标人应在招标文件中明确实施BIM的具体要求（如BIM设计范围、内容、深度、成果文件格式等），并提供方案设计阶段BIM成果文件（如有），同时充分考虑投标人编制BIM标书的时间。</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4.4具有数字证书或电子营业执照签名的电子招标文件，方为合法、有效；未对电子文件进行数字证书或电子营业执照签名的，将不予备案与发布。</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4.5如对招标文件作任何修改，均须保证投标文件足够编制时间。</w:t>
      </w:r>
    </w:p>
    <w:p>
      <w:pPr>
        <w:adjustRightInd w:val="0"/>
        <w:snapToGrid w:val="0"/>
        <w:spacing w:line="440" w:lineRule="exact"/>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九、有关投标问题的说明</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1.投标人获取招标文件后，应仔细阅读招标文件及附件的全部内容，附件与招标文件具有同等效力。</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2.投标人应在投标截止时间前，登录</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kern w:val="0"/>
          <w:szCs w:val="21"/>
          <w:highlight w:val="none"/>
        </w:rPr>
        <w:t>免费查阅或下载招标文件、答疑及招标文件补充通知。</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3.投标人对招标文件有不同意见或不明之处，应在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向招标人提出。</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4.投标人应在遵循招标文件的各项规定和要求的前提下，编制投标文件。投标文件必须满足招标文件中的实质性要求和条件。投标文件若出现否决性条款的情形其投标将会被否决。</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kern w:val="0"/>
          <w:szCs w:val="21"/>
          <w:highlight w:val="none"/>
        </w:rPr>
        <w:t>是投标人获取建设工程电子招标文件唯一合法渠道。投标人需随时关注交易网</w:t>
      </w:r>
      <w:r>
        <w:rPr>
          <w:rFonts w:hint="eastAsia" w:ascii="宋体" w:hAnsi="宋体" w:eastAsia="宋体" w:cs="宋体"/>
          <w:color w:val="auto"/>
          <w:kern w:val="0"/>
          <w:szCs w:val="21"/>
          <w:highlight w:val="none"/>
          <w:lang w:val="en-US" w:eastAsia="zh-CN"/>
        </w:rPr>
        <w:t>或</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上招标文件更新情况，并根据最后一次发布的电子招标文件制作及更新投标文件。如因未使用最新版招标文件制作投标文件导致不利后果的，由投标人自行承担。</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6.投标人应当遵守</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的相关规定，违反规定导致不利后果的，由投标人自行承担。</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投标人须对投标资料的真实性负责。招标人有权将投标文件的部分或全部内容向外公示，若公示期间收到有关弄虚作假投诉的，招标人将提请建设行政主管部门或有关行政管理部门查处。一旦查实将严格按照法律法规作出处理。</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8.投标人注意事项：</w:t>
      </w:r>
    </w:p>
    <w:p>
      <w:pPr>
        <w:adjustRightInd w:val="0"/>
        <w:snapToGrid w:val="0"/>
        <w:spacing w:line="38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8.1投标人（含联合体各方）须办理企业信息登记。勘察、设计、施工、监理、造价、检测等</w:t>
      </w:r>
    </w:p>
    <w:p>
      <w:pPr>
        <w:wordWrap w:val="0"/>
        <w:adjustRightInd w:val="0"/>
        <w:snapToGrid w:val="0"/>
        <w:spacing w:line="380" w:lineRule="exact"/>
        <w:ind w:firstLine="0" w:firstLineChars="0"/>
        <w:jc w:val="left"/>
        <w:rPr>
          <w:rFonts w:hint="eastAsia"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8.2投标人应事先办理企业数字证书或电子营业执照及其相关人员的数字证书及录入投标员信息。有关手续请查看交易网的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建设工程</w:t>
      </w:r>
      <w:r>
        <w:rPr>
          <w:rFonts w:hint="eastAsia" w:ascii="宋体" w:hAnsi="宋体" w:eastAsia="宋体" w:cs="宋体"/>
          <w:color w:val="auto"/>
          <w:szCs w:val="21"/>
          <w:highlight w:val="none"/>
        </w:rPr>
        <w:t>数字证书办事指南”</w:t>
      </w:r>
      <w:r>
        <w:rPr>
          <w:rFonts w:hint="eastAsia" w:ascii="宋体" w:hAnsi="宋体" w:eastAsia="宋体" w:cs="宋体"/>
          <w:color w:val="auto"/>
          <w:kern w:val="0"/>
          <w:szCs w:val="21"/>
          <w:highlight w:val="none"/>
        </w:rPr>
        <w:t>。市住房和建设局企业与人员信息半天交换一次，请投标人提前办好备案和变更手续。使用电子营业执照的，须提前在国家市场监督管理监管总局“电子营业执照”微信小程序电子营业执照应用程序中下载本企业电子营业执照，有关手续请查看“电子营业执照用户使用手册”。</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8.3投标人所提交电子投标文件格式为*.SJTB，资格审查文件格式为*.SJTZS，业绩文件格式为*.SJTYJ。这些文件格式必须是由交易网所下载最新版本的“电子文件编制工具”生成。因电子投标文件编制不规范而导致投标文件内容无法导入系统导致不利后果的，由投标人自行承担。编制投标文件时，如需粘贴图片，</w:t>
      </w:r>
      <w:r>
        <w:rPr>
          <w:rFonts w:hint="eastAsia" w:ascii="宋体" w:hAnsi="宋体" w:eastAsia="宋体" w:cs="宋体"/>
          <w:color w:val="auto"/>
          <w:szCs w:val="21"/>
          <w:highlight w:val="none"/>
        </w:rPr>
        <w:t>可使用JPG/PNG/BMP格式</w:t>
      </w:r>
      <w:r>
        <w:rPr>
          <w:rFonts w:hint="eastAsia" w:ascii="宋体" w:hAnsi="宋体" w:eastAsia="宋体" w:cs="宋体"/>
          <w:color w:val="auto"/>
          <w:kern w:val="0"/>
          <w:szCs w:val="21"/>
          <w:highlight w:val="none"/>
        </w:rPr>
        <w:t>，且其分辨率不得低于100dpi。设计文本文件和资信标一共所占用磁盘空间必须小于50M，方案演示文件所占用磁盘空间必须小于1024M，展示图板所占用磁盘空间必须小于1024M，资格审查文件所占用磁盘空间必须小于200M。</w:t>
      </w:r>
    </w:p>
    <w:p>
      <w:pPr>
        <w:adjustRightInd w:val="0"/>
        <w:snapToGrid w:val="0"/>
        <w:spacing w:line="38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8.4  招标人提供了方案设计阶段BIM成果文件的，投标人应在该文件的基础上应用BIM技术进行深化设计，在编制BIM标书文件时，使用符合</w:t>
      </w:r>
      <w:r>
        <w:rPr>
          <w:rFonts w:hint="eastAsia" w:ascii="宋体" w:hAnsi="宋体" w:eastAsia="宋体" w:cs="宋体"/>
          <w:color w:val="auto"/>
          <w:highlight w:val="none"/>
        </w:rPr>
        <w:t>建设工程招投标平台</w:t>
      </w:r>
      <w:r>
        <w:rPr>
          <w:rFonts w:hint="eastAsia" w:ascii="宋体" w:hAnsi="宋体" w:eastAsia="宋体" w:cs="宋体"/>
          <w:color w:val="auto"/>
          <w:szCs w:val="21"/>
          <w:highlight w:val="none"/>
        </w:rPr>
        <w:t xml:space="preserve"> BIM 电子招投标系统兼容要求的设计模型标书编制工具，将 BIM 模型、地标文件及相关附件进行整合，整合完成后将输出资料导入“电子文件编制工具”进行签名，生成 BIM 标书文件(格式为*</w:t>
      </w:r>
      <w:r>
        <w:rPr>
          <w:rFonts w:hint="eastAsia" w:ascii="宋体" w:hAnsi="宋体" w:eastAsia="宋体" w:cs="宋体"/>
          <w:color w:val="auto"/>
          <w:kern w:val="0"/>
          <w:szCs w:val="21"/>
          <w:highlight w:val="none"/>
        </w:rPr>
        <w:t>SJTB</w:t>
      </w:r>
      <w:r>
        <w:rPr>
          <w:rFonts w:hint="eastAsia" w:ascii="宋体" w:hAnsi="宋体" w:eastAsia="宋体" w:cs="宋体"/>
          <w:color w:val="auto"/>
          <w:szCs w:val="21"/>
          <w:highlight w:val="none"/>
        </w:rPr>
        <w:t>)。BIM模型的建模范围、建模精度、成果文件格式等应当符合招标文件的要求，BIM模型所占用磁盘空间建议小于 400M。</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8.5电子投标文件必须具有数字证书或电子营业执照签名，方为合法、有效；因未对电子文件进行数字证书或电子营业执照签名导致不利后果的，由投标人自行承担。</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在电子投标文件编制工具中，生成电子标书时，必须对电子标书进行《单位机构数字证书》或电子营业执照签名以及《法定代表人个人数字证书》签名。</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8.6投标人应严格按招标文件要求，在截标前使用投标人（或联合体主体）单位机构数字证书或电子营业执照，通过交易平台递交电子投标文件，上传成功后打印回执；为防止网络阻塞，建议预留充足时间上传投标文件。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8.7投标人可使用电子投标文件编制工具中的加密功能对电子投标文件中各部分内容进行加密（可使用数字证书或电子营业执照进行加密）,其中：用于投标文件加密的数字证书必须是本单位的任意一个数字证书，包括机构数字证书、机构个人数字证书。用于投标文件加密的电子营业执照必须是由本单位法定代表人在市场监督管理总局的电子营业执照小程序中下载的真实有效的电子营业执照，且投标操作人员须法定代表人在授权并下载本单位电子营业执照后才可进行标书加密等相关操作。</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对电子投标文件加密的，需在开标会时登录</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kern w:val="0"/>
          <w:szCs w:val="21"/>
          <w:highlight w:val="none"/>
        </w:rPr>
        <w:t>远程解密或携带用于加密的数字证书或电子营业执照在开标会上进行解密。因未成功解密导致不利后果的，由投标人自行承担。</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9.本工程将采用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进行投标、开标及评标，请认真阅读本说明，若有疑问可通过载明的联系方式要求技术咨询。</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p>
      <w:pPr>
        <w:rPr>
          <w:color w:val="auto"/>
          <w:highlight w:val="none"/>
        </w:rPr>
      </w:pPr>
    </w:p>
    <w:p>
      <w:pPr>
        <w:adjustRightInd w:val="0"/>
        <w:snapToGrid w:val="0"/>
        <w:spacing w:before="93" w:beforeLines="30" w:line="360" w:lineRule="auto"/>
        <w:ind w:firstLine="420" w:firstLineChars="200"/>
        <w:jc w:val="left"/>
        <w:rPr>
          <w:rFonts w:ascii="宋体" w:hAnsi="宋体" w:eastAsia="宋体" w:cs="宋体"/>
          <w:color w:val="auto"/>
          <w:kern w:val="0"/>
          <w:szCs w:val="21"/>
          <w:highlight w:val="none"/>
        </w:rPr>
      </w:pPr>
    </w:p>
    <w:p>
      <w:pPr>
        <w:adjustRightInd w:val="0"/>
        <w:snapToGrid w:val="0"/>
        <w:spacing w:before="93" w:beforeLines="30" w:line="360" w:lineRule="auto"/>
        <w:jc w:val="left"/>
        <w:rPr>
          <w:rFonts w:ascii="宋体" w:hAnsi="宋体" w:eastAsia="宋体" w:cs="宋体"/>
          <w:color w:val="auto"/>
          <w:kern w:val="0"/>
          <w:szCs w:val="21"/>
          <w:highlight w:val="none"/>
        </w:rPr>
      </w:pPr>
    </w:p>
    <w:tbl>
      <w:tblPr>
        <w:tblStyle w:val="79"/>
        <w:tblW w:w="9854" w:type="dxa"/>
        <w:jc w:val="center"/>
        <w:tblInd w:w="0" w:type="dxa"/>
        <w:tblLayout w:type="fixed"/>
        <w:tblCellMar>
          <w:top w:w="0" w:type="dxa"/>
          <w:left w:w="108" w:type="dxa"/>
          <w:bottom w:w="0" w:type="dxa"/>
          <w:right w:w="108" w:type="dxa"/>
        </w:tblCellMar>
      </w:tblPr>
      <w:tblGrid>
        <w:gridCol w:w="1587"/>
        <w:gridCol w:w="3212"/>
        <w:gridCol w:w="1957"/>
        <w:gridCol w:w="3098"/>
      </w:tblGrid>
      <w:tr>
        <w:tblPrEx>
          <w:tblLayout w:type="fixed"/>
          <w:tblCellMar>
            <w:top w:w="0" w:type="dxa"/>
            <w:left w:w="108" w:type="dxa"/>
            <w:bottom w:w="0" w:type="dxa"/>
            <w:right w:w="108" w:type="dxa"/>
          </w:tblCellMar>
        </w:tblPrEx>
        <w:trPr>
          <w:trHeight w:val="454" w:hRule="atLeast"/>
          <w:jc w:val="center"/>
        </w:trPr>
        <w:tc>
          <w:tcPr>
            <w:tcW w:w="1587"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p>
        </w:tc>
        <w:tc>
          <w:tcPr>
            <w:tcW w:w="3212"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309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587"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p>
        </w:tc>
        <w:tc>
          <w:tcPr>
            <w:tcW w:w="3212"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w:t>
            </w:r>
          </w:p>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其委托代理人：</w:t>
            </w:r>
          </w:p>
        </w:tc>
        <w:tc>
          <w:tcPr>
            <w:tcW w:w="309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587"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3212"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309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587"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3212"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309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587"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3212"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309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587"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3212"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309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587"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3212"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309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bl>
    <w:p>
      <w:pPr>
        <w:widowControl/>
        <w:spacing w:line="20" w:lineRule="exact"/>
        <w:jc w:val="left"/>
        <w:rPr>
          <w:color w:val="auto"/>
          <w:highlight w:val="none"/>
        </w:rPr>
      </w:pPr>
      <w:r>
        <w:rPr>
          <w:color w:val="auto"/>
          <w:highlight w:val="none"/>
        </w:rPr>
        <w:br w:type="page"/>
      </w:r>
    </w:p>
    <w:p>
      <w:pPr>
        <w:adjustRightInd w:val="0"/>
        <w:snapToGrid w:val="0"/>
        <w:spacing w:line="360" w:lineRule="auto"/>
        <w:jc w:val="center"/>
        <w:outlineLvl w:val="0"/>
        <w:rPr>
          <w:rFonts w:ascii="黑体" w:eastAsia="黑体"/>
          <w:bCs/>
          <w:color w:val="auto"/>
          <w:kern w:val="0"/>
          <w:sz w:val="32"/>
          <w:szCs w:val="32"/>
          <w:highlight w:val="none"/>
        </w:rPr>
      </w:pPr>
      <w:bookmarkStart w:id="1" w:name="_Toc5080"/>
      <w:r>
        <w:rPr>
          <w:rFonts w:hint="eastAsia" w:ascii="黑体" w:eastAsia="黑体"/>
          <w:bCs/>
          <w:color w:val="auto"/>
          <w:kern w:val="0"/>
          <w:sz w:val="32"/>
          <w:szCs w:val="32"/>
          <w:highlight w:val="none"/>
        </w:rPr>
        <w:t>第二章  投标须知</w:t>
      </w:r>
      <w:bookmarkEnd w:id="1"/>
    </w:p>
    <w:p>
      <w:pPr>
        <w:adjustRightInd w:val="0"/>
        <w:snapToGrid w:val="0"/>
        <w:spacing w:line="360" w:lineRule="auto"/>
        <w:jc w:val="center"/>
        <w:outlineLvl w:val="1"/>
        <w:rPr>
          <w:rFonts w:ascii="黑体" w:hAnsi="黑体" w:eastAsia="黑体" w:cs="黑体"/>
          <w:bCs/>
          <w:color w:val="auto"/>
          <w:kern w:val="0"/>
          <w:sz w:val="32"/>
          <w:szCs w:val="32"/>
          <w:highlight w:val="none"/>
        </w:rPr>
      </w:pPr>
      <w:bookmarkStart w:id="2" w:name="_Toc8591"/>
      <w:r>
        <w:rPr>
          <w:rFonts w:hint="eastAsia" w:ascii="黑体" w:hAnsi="黑体" w:eastAsia="黑体" w:cs="黑体"/>
          <w:bCs/>
          <w:color w:val="auto"/>
          <w:kern w:val="0"/>
          <w:sz w:val="32"/>
          <w:szCs w:val="32"/>
          <w:highlight w:val="none"/>
        </w:rPr>
        <w:t>一、 投标须知前附表</w:t>
      </w:r>
      <w:bookmarkEnd w:id="2"/>
    </w:p>
    <w:p>
      <w:pPr>
        <w:adjustRightInd w:val="0"/>
        <w:snapToGrid w:val="0"/>
        <w:spacing w:line="360" w:lineRule="auto"/>
        <w:jc w:val="center"/>
        <w:outlineLvl w:val="2"/>
        <w:rPr>
          <w:rFonts w:ascii="宋体" w:hAnsi="宋体" w:eastAsia="宋体" w:cs="宋体"/>
          <w:b/>
          <w:color w:val="auto"/>
          <w:kern w:val="0"/>
          <w:sz w:val="30"/>
          <w:szCs w:val="30"/>
          <w:highlight w:val="none"/>
        </w:rPr>
      </w:pPr>
      <w:bookmarkStart w:id="3" w:name="_Toc19411"/>
      <w:r>
        <w:rPr>
          <w:rFonts w:hint="eastAsia" w:ascii="宋体" w:hAnsi="宋体" w:eastAsia="宋体" w:cs="宋体"/>
          <w:b/>
          <w:color w:val="auto"/>
          <w:kern w:val="0"/>
          <w:sz w:val="30"/>
          <w:szCs w:val="30"/>
          <w:highlight w:val="none"/>
        </w:rPr>
        <w:t>（一）招标项目基本情况</w:t>
      </w:r>
      <w:bookmarkEnd w:id="3"/>
    </w:p>
    <w:tbl>
      <w:tblPr>
        <w:tblStyle w:val="79"/>
        <w:tblW w:w="938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115"/>
        <w:gridCol w:w="6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blHeader/>
          <w:jc w:val="center"/>
        </w:trPr>
        <w:tc>
          <w:tcPr>
            <w:tcW w:w="680"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2115"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内容</w:t>
            </w:r>
          </w:p>
        </w:tc>
        <w:tc>
          <w:tcPr>
            <w:tcW w:w="6588"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80"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标段名称</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80"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工程地点</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80"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是否场外工程</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   □否</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行政监督部门</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80"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工程规模及主要特征</w:t>
            </w:r>
          </w:p>
        </w:tc>
        <w:tc>
          <w:tcPr>
            <w:tcW w:w="6588" w:type="dxa"/>
            <w:shd w:val="clear" w:color="auto" w:fill="auto"/>
            <w:vAlign w:val="center"/>
          </w:tcPr>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80"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6588" w:type="dxa"/>
            <w:shd w:val="clear" w:color="auto" w:fill="auto"/>
            <w:vAlign w:val="center"/>
          </w:tcPr>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7" w:hRule="atLeast"/>
          <w:jc w:val="center"/>
        </w:trPr>
        <w:tc>
          <w:tcPr>
            <w:tcW w:w="680" w:type="dxa"/>
            <w:vMerge w:val="restart"/>
            <w:shd w:val="clear" w:color="auto" w:fill="auto"/>
            <w:vAlign w:val="center"/>
          </w:tcPr>
          <w:p>
            <w:pPr>
              <w:adjustRightInd w:val="0"/>
              <w:snapToGrid w:val="0"/>
              <w:spacing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6</w:t>
            </w:r>
          </w:p>
        </w:tc>
        <w:tc>
          <w:tcPr>
            <w:tcW w:w="2115" w:type="dxa"/>
            <w:vMerge w:val="restart"/>
            <w:shd w:val="clear" w:color="auto" w:fill="auto"/>
            <w:vAlign w:val="center"/>
          </w:tcPr>
          <w:p>
            <w:pPr>
              <w:adjustRightInd w:val="0"/>
              <w:snapToGrid w:val="0"/>
              <w:spacing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6588" w:type="dxa"/>
            <w:shd w:val="clear" w:color="auto" w:fill="auto"/>
            <w:vAlign w:val="center"/>
          </w:tcPr>
          <w:p>
            <w:pPr>
              <w:adjustRightInd/>
              <w:snapToGrid/>
              <w:spacing w:line="24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snapToGrid/>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snapToGrid/>
              <w:spacing w:line="240" w:lineRule="auto"/>
              <w:rPr>
                <w:rFonts w:hint="eastAsia" w:ascii="宋体" w:hAnsi="宋体" w:eastAsia="宋体" w:cs="宋体"/>
                <w:bCs/>
                <w:color w:val="auto"/>
                <w:kern w:val="0"/>
                <w:szCs w:val="21"/>
                <w:highlight w:val="none"/>
                <w:u w:val="single"/>
                <w:lang w:val="en-US" w:eastAsia="zh-CN"/>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80" w:type="dxa"/>
            <w:vMerge w:val="continue"/>
            <w:shd w:val="clear" w:color="auto" w:fill="auto"/>
            <w:vAlign w:val="center"/>
          </w:tcPr>
          <w:p>
            <w:pPr>
              <w:adjustRightInd w:val="0"/>
              <w:snapToGrid w:val="0"/>
              <w:spacing w:line="360" w:lineRule="auto"/>
              <w:jc w:val="center"/>
              <w:rPr>
                <w:rFonts w:hint="eastAsia" w:ascii="宋体" w:hAnsi="宋体" w:eastAsia="宋体" w:cs="宋体"/>
                <w:color w:val="auto"/>
                <w:kern w:val="0"/>
                <w:szCs w:val="21"/>
                <w:highlight w:val="none"/>
                <w:lang w:val="en-US" w:eastAsia="zh-CN"/>
              </w:rPr>
            </w:pPr>
          </w:p>
        </w:tc>
        <w:tc>
          <w:tcPr>
            <w:tcW w:w="2115" w:type="dxa"/>
            <w:vMerge w:val="continue"/>
            <w:shd w:val="clear" w:color="auto" w:fill="auto"/>
            <w:vAlign w:val="center"/>
          </w:tcPr>
          <w:p>
            <w:pPr>
              <w:adjustRightInd w:val="0"/>
              <w:snapToGrid w:val="0"/>
              <w:spacing w:line="360" w:lineRule="auto"/>
              <w:jc w:val="center"/>
              <w:rPr>
                <w:rFonts w:hint="eastAsia" w:ascii="宋体" w:hAnsi="宋体" w:eastAsia="宋体" w:cs="宋体"/>
                <w:color w:val="auto"/>
                <w:kern w:val="0"/>
                <w:szCs w:val="21"/>
                <w:highlight w:val="none"/>
              </w:rPr>
            </w:pPr>
          </w:p>
        </w:tc>
        <w:tc>
          <w:tcPr>
            <w:tcW w:w="6588" w:type="dxa"/>
            <w:shd w:val="clear" w:color="auto" w:fill="auto"/>
            <w:vAlign w:val="center"/>
          </w:tcPr>
          <w:p>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pPr>
              <w:adjustRightInd w:val="0"/>
              <w:snapToGrid w:val="0"/>
              <w:spacing w:line="360" w:lineRule="auto"/>
              <w:ind w:firstLine="0" w:firstLineChars="0"/>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投标人为大型企业的，中标后需将合同金额的</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%依法分包给符合条件的中小企业。</w:t>
            </w:r>
          </w:p>
          <w:p>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pPr>
              <w:adjustRightInd w:val="0"/>
              <w:snapToGrid w:val="0"/>
              <w:spacing w:line="360" w:lineRule="auto"/>
              <w:rPr>
                <w:color w:val="auto"/>
                <w:highlight w:val="none"/>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pPr>
              <w:adjustRightInd w:val="0"/>
              <w:snapToGrid w:val="0"/>
              <w:spacing w:line="360" w:lineRule="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0" w:type="dxa"/>
            <w:shd w:val="clear" w:color="auto" w:fill="auto"/>
            <w:vAlign w:val="center"/>
          </w:tcPr>
          <w:p>
            <w:pPr>
              <w:adjustRightInd w:val="0"/>
              <w:snapToGrid w:val="0"/>
              <w:spacing w:line="360" w:lineRule="auto"/>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7</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投标人资质要求</w:t>
            </w:r>
          </w:p>
        </w:tc>
        <w:tc>
          <w:tcPr>
            <w:tcW w:w="6588" w:type="dxa"/>
            <w:shd w:val="clear" w:color="auto" w:fill="auto"/>
            <w:vAlign w:val="center"/>
          </w:tcPr>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80" w:type="dxa"/>
            <w:shd w:val="clear" w:color="auto" w:fill="auto"/>
            <w:vAlign w:val="center"/>
          </w:tcPr>
          <w:p>
            <w:pPr>
              <w:adjustRightInd w:val="0"/>
              <w:snapToGrid w:val="0"/>
              <w:spacing w:line="360" w:lineRule="auto"/>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8</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投标人业绩要求</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680" w:type="dxa"/>
            <w:shd w:val="clear" w:color="auto" w:fill="auto"/>
            <w:vAlign w:val="center"/>
          </w:tcPr>
          <w:p>
            <w:pPr>
              <w:adjustRightInd w:val="0"/>
              <w:snapToGrid w:val="0"/>
              <w:spacing w:line="360" w:lineRule="auto"/>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9</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□不接受</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□接受</w:t>
            </w:r>
          </w:p>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注：联合体资质应符合法律法规的规定，并按照联合体协议约定的分工进行认定。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80" w:type="dxa"/>
            <w:shd w:val="clear" w:color="auto" w:fill="auto"/>
            <w:vAlign w:val="center"/>
          </w:tcPr>
          <w:p>
            <w:pPr>
              <w:adjustRightInd w:val="0"/>
              <w:snapToGrid w:val="0"/>
              <w:jc w:val="center"/>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Cs w:val="21"/>
                <w:highlight w:val="none"/>
                <w:lang w:val="en-US" w:eastAsia="zh-CN"/>
              </w:rPr>
              <w:t>10</w:t>
            </w:r>
          </w:p>
        </w:tc>
        <w:tc>
          <w:tcPr>
            <w:tcW w:w="2115" w:type="dxa"/>
            <w:shd w:val="clear" w:color="auto" w:fill="auto"/>
            <w:vAlign w:val="center"/>
          </w:tcPr>
          <w:p>
            <w:pPr>
              <w:adjustRightInd w:val="0"/>
              <w:snapToGrid w:val="0"/>
              <w:jc w:val="center"/>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color w:val="auto"/>
                <w:kern w:val="0"/>
                <w:szCs w:val="21"/>
                <w:highlight w:val="none"/>
                <w:lang w:val="en-US" w:eastAsia="zh-CN"/>
              </w:rPr>
              <w:t>是否接受利害关系单位投标</w:t>
            </w:r>
          </w:p>
        </w:tc>
        <w:tc>
          <w:tcPr>
            <w:tcW w:w="6588" w:type="dxa"/>
            <w:shd w:val="clear" w:color="auto" w:fill="auto"/>
            <w:vAlign w:val="center"/>
          </w:tcPr>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□接受    □不接受</w:t>
            </w:r>
          </w:p>
          <w:p>
            <w:pPr>
              <w:adjustRightInd w:val="0"/>
              <w:snapToGrid w:val="0"/>
              <w:spacing w:line="360" w:lineRule="auto"/>
              <w:rPr>
                <w:rFonts w:hint="eastAsia" w:ascii="宋体" w:hAnsi="宋体" w:eastAsia="宋体" w:cs="宋体"/>
                <w:b/>
                <w:color w:val="auto"/>
                <w:kern w:val="0"/>
                <w:sz w:val="21"/>
                <w:szCs w:val="21"/>
                <w:highlight w:val="none"/>
                <w:lang w:val="en-US" w:eastAsia="zh-CN" w:bidi="ar-SA"/>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r>
              <w:rPr>
                <w:rFonts w:hint="eastAsia" w:ascii="宋体" w:hAnsi="宋体" w:eastAsia="宋体" w:cs="宋体"/>
                <w:b w:val="0"/>
                <w:bCs w:val="0"/>
                <w:color w:val="auto"/>
                <w:kern w:val="0"/>
                <w:sz w:val="21"/>
                <w:szCs w:val="21"/>
                <w:highlight w:val="none"/>
                <w:vertAlign w:val="superscript"/>
                <w:lang w:val="en-US" w:eastAsia="zh-CN"/>
              </w:rPr>
              <w:t>[</w:t>
            </w:r>
            <w:r>
              <w:rPr>
                <w:rStyle w:val="136"/>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default" w:ascii="宋体" w:hAnsi="宋体" w:eastAsia="宋体" w:cs="宋体"/>
                <w:b w:val="0"/>
                <w:bCs w:val="0"/>
                <w:color w:val="auto"/>
                <w:kern w:val="0"/>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80" w:type="dxa"/>
            <w:shd w:val="clear" w:color="auto" w:fill="auto"/>
            <w:vAlign w:val="center"/>
          </w:tcPr>
          <w:p>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1</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设计周期</w:t>
            </w:r>
          </w:p>
        </w:tc>
        <w:tc>
          <w:tcPr>
            <w:tcW w:w="6588" w:type="dxa"/>
            <w:shd w:val="clear" w:color="auto" w:fill="auto"/>
            <w:vAlign w:val="center"/>
          </w:tcPr>
          <w:p>
            <w:pPr>
              <w:tabs>
                <w:tab w:val="left" w:pos="4370"/>
              </w:tabs>
              <w:adjustRightInd w:val="0"/>
              <w:snapToGrid w:val="0"/>
              <w:spacing w:line="360" w:lineRule="auto"/>
              <w:jc w:val="left"/>
              <w:rPr>
                <w:rFonts w:hint="eastAsia" w:ascii="宋体" w:hAnsi="宋体" w:eastAsia="宋体" w:cs="宋体"/>
                <w:b/>
                <w:bCs/>
                <w:color w:val="auto"/>
                <w:kern w:val="0"/>
                <w:szCs w:val="21"/>
                <w:highlight w:val="none"/>
                <w:lang w:eastAsia="zh-CN"/>
              </w:rPr>
            </w:pPr>
            <w:r>
              <w:rPr>
                <w:rFonts w:hint="eastAsia" w:ascii="宋体" w:hAnsi="宋体" w:eastAsia="宋体" w:cs="宋体"/>
                <w:bCs/>
                <w:color w:val="auto"/>
                <w:kern w:val="0"/>
                <w:szCs w:val="21"/>
                <w:highlight w:val="none"/>
                <w:u w:val="single"/>
              </w:rPr>
              <w:t xml:space="preserve">      </w:t>
            </w:r>
            <w:r>
              <w:rPr>
                <w:rFonts w:hint="eastAsia" w:ascii="宋体" w:hAnsi="宋体" w:eastAsia="宋体" w:cs="宋体"/>
                <w:b/>
                <w:bCs/>
                <w:color w:val="auto"/>
                <w:kern w:val="0"/>
                <w:szCs w:val="21"/>
                <w:highlight w:val="none"/>
              </w:rPr>
              <w:t xml:space="preserve"> </w:t>
            </w:r>
            <w:r>
              <w:rPr>
                <w:rFonts w:hint="eastAsia" w:ascii="宋体" w:hAnsi="宋体" w:eastAsia="宋体" w:cs="宋体"/>
                <w:b/>
                <w:bCs/>
                <w:color w:val="auto"/>
                <w:kern w:val="0"/>
                <w:szCs w:val="21"/>
                <w:highlight w:val="none"/>
                <w:lang w:eastAsia="zh-CN"/>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80" w:type="dxa"/>
            <w:shd w:val="clear" w:color="auto" w:fill="auto"/>
            <w:vAlign w:val="center"/>
          </w:tcPr>
          <w:p>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2</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工程总投资估算额</w:t>
            </w:r>
          </w:p>
        </w:tc>
        <w:tc>
          <w:tcPr>
            <w:tcW w:w="6588" w:type="dxa"/>
            <w:shd w:val="clear" w:color="auto" w:fill="auto"/>
            <w:vAlign w:val="center"/>
          </w:tcPr>
          <w:p>
            <w:pPr>
              <w:adjustRightInd w:val="0"/>
              <w:snapToGrid w:val="0"/>
              <w:spacing w:line="360" w:lineRule="auto"/>
              <w:jc w:val="left"/>
              <w:rPr>
                <w:rFonts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0"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13</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资格审查方式</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资格后审。截标后，由招标人</w:t>
            </w:r>
            <w:r>
              <w:rPr>
                <w:rFonts w:hint="eastAsia" w:ascii="宋体" w:hAnsi="宋体" w:eastAsia="宋体" w:cs="宋体"/>
                <w:color w:val="auto"/>
                <w:kern w:val="0"/>
                <w:szCs w:val="21"/>
                <w:highlight w:val="none"/>
                <w:lang w:eastAsia="zh-CN"/>
              </w:rPr>
              <w:t>登录</w:t>
            </w:r>
            <w:r>
              <w:rPr>
                <w:rFonts w:hint="eastAsia" w:ascii="宋体" w:hAnsi="宋体" w:eastAsia="宋体" w:cs="宋体"/>
                <w:color w:val="auto"/>
                <w:kern w:val="0"/>
                <w:szCs w:val="21"/>
                <w:highlight w:val="none"/>
              </w:rPr>
              <w:t>交易网进行审查，审查结果在网上公示。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2" w:hRule="atLeast"/>
          <w:jc w:val="center"/>
        </w:trPr>
        <w:tc>
          <w:tcPr>
            <w:tcW w:w="680" w:type="dxa"/>
            <w:shd w:val="clear" w:color="auto" w:fill="auto"/>
            <w:vAlign w:val="center"/>
          </w:tcPr>
          <w:p>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4</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设计费</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□固定报价</w:t>
            </w:r>
          </w:p>
          <w:p>
            <w:pPr>
              <w:adjustRightInd w:val="0"/>
              <w:snapToGrid w:val="0"/>
              <w:spacing w:line="360" w:lineRule="auto"/>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□固定总价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pPr>
              <w:adjustRightInd w:val="0"/>
              <w:snapToGrid w:val="0"/>
              <w:spacing w:line="360" w:lineRule="auto"/>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□浮动报价</w:t>
            </w:r>
          </w:p>
          <w:p>
            <w:pPr>
              <w:adjustRightInd w:val="0"/>
              <w:snapToGrid w:val="0"/>
              <w:spacing w:line="360" w:lineRule="auto"/>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□不高于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pPr>
              <w:adjustRightInd w:val="0"/>
              <w:snapToGrid w:val="0"/>
              <w:spacing w:line="360" w:lineRule="auto"/>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□不高于基准价的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计费依据：</w:t>
            </w:r>
            <w:r>
              <w:rPr>
                <w:rFonts w:hint="eastAsia" w:ascii="宋体" w:hAnsi="宋体" w:eastAsia="宋体" w:cs="宋体"/>
                <w:color w:val="auto"/>
                <w:kern w:val="0"/>
                <w:szCs w:val="21"/>
                <w:highlight w:val="none"/>
                <w:u w:val="single"/>
              </w:rPr>
              <w:t xml:space="preserve">      </w:t>
            </w:r>
          </w:p>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注：设计费用应充分考虑实施BIM所需</w:t>
            </w:r>
            <w:r>
              <w:rPr>
                <w:rFonts w:ascii="宋体" w:hAnsi="宋体" w:eastAsia="宋体" w:cs="宋体"/>
                <w:color w:val="auto"/>
                <w:kern w:val="0"/>
                <w:szCs w:val="21"/>
                <w:highlight w:val="none"/>
              </w:rPr>
              <w:t>软件、硬件、人员</w:t>
            </w:r>
            <w:r>
              <w:rPr>
                <w:rFonts w:hint="eastAsia" w:ascii="宋体" w:hAnsi="宋体" w:eastAsia="宋体" w:cs="宋体"/>
                <w:color w:val="auto"/>
                <w:kern w:val="0"/>
                <w:szCs w:val="21"/>
                <w:highlight w:val="none"/>
              </w:rPr>
              <w:t>等费用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80" w:type="dxa"/>
            <w:shd w:val="clear" w:color="auto" w:fill="auto"/>
            <w:vAlign w:val="center"/>
          </w:tcPr>
          <w:p>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5</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踏勘现场</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时间：</w:t>
            </w:r>
            <w:r>
              <w:rPr>
                <w:rFonts w:hint="eastAsia" w:ascii="宋体" w:hAnsi="宋体" w:eastAsia="宋体" w:cs="宋体"/>
                <w:color w:val="auto"/>
                <w:kern w:val="0"/>
                <w:szCs w:val="21"/>
                <w:highlight w:val="none"/>
                <w:u w:val="single"/>
              </w:rPr>
              <w:t xml:space="preserve">      </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2" w:hRule="atLeast"/>
          <w:jc w:val="center"/>
        </w:trPr>
        <w:tc>
          <w:tcPr>
            <w:tcW w:w="680" w:type="dxa"/>
            <w:shd w:val="clear" w:color="auto" w:fill="auto"/>
            <w:vAlign w:val="center"/>
          </w:tcPr>
          <w:p>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6</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投标人质疑的期限与方式</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投标人质疑截止时间：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（投标截止日期前不少于10日）。</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投标人提交疑问的方式：</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□投标人对招标事宜的质疑以不署名的形式登录交易网提出</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jc w:val="center"/>
        </w:trPr>
        <w:tc>
          <w:tcPr>
            <w:tcW w:w="680" w:type="dxa"/>
            <w:shd w:val="clear" w:color="auto" w:fill="auto"/>
            <w:vAlign w:val="center"/>
          </w:tcPr>
          <w:p>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7</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jc w:val="center"/>
        </w:trPr>
        <w:tc>
          <w:tcPr>
            <w:tcW w:w="680" w:type="dxa"/>
            <w:shd w:val="clear" w:color="auto" w:fill="auto"/>
            <w:vAlign w:val="center"/>
          </w:tcPr>
          <w:p>
            <w:pPr>
              <w:adjustRightInd w:val="0"/>
              <w:snapToGrid w:val="0"/>
              <w:spacing w:line="360" w:lineRule="auto"/>
              <w:jc w:val="center"/>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Cs w:val="21"/>
                <w:highlight w:val="none"/>
              </w:rPr>
              <w:t>1</w:t>
            </w:r>
            <w:r>
              <w:rPr>
                <w:rFonts w:hint="eastAsia" w:ascii="宋体" w:hAnsi="宋体" w:eastAsia="宋体" w:cs="宋体"/>
                <w:bCs/>
                <w:color w:val="auto"/>
                <w:kern w:val="0"/>
                <w:szCs w:val="21"/>
                <w:highlight w:val="none"/>
                <w:lang w:val="en-US" w:eastAsia="zh-CN"/>
              </w:rPr>
              <w:t>8</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jc w:val="center"/>
        </w:trPr>
        <w:tc>
          <w:tcPr>
            <w:tcW w:w="680" w:type="dxa"/>
            <w:vMerge w:val="restart"/>
            <w:shd w:val="clear" w:color="auto" w:fill="auto"/>
            <w:vAlign w:val="center"/>
          </w:tcPr>
          <w:p>
            <w:pPr>
              <w:adjustRightInd w:val="0"/>
              <w:snapToGrid w:val="0"/>
              <w:spacing w:line="360" w:lineRule="auto"/>
              <w:jc w:val="center"/>
              <w:rPr>
                <w:rFonts w:hint="eastAsia" w:ascii="宋体" w:hAnsi="宋体" w:eastAsia="宋体" w:cs="宋体"/>
                <w:bCs/>
                <w:color w:val="auto"/>
                <w:kern w:val="0"/>
                <w:szCs w:val="21"/>
                <w:highlight w:val="none"/>
                <w:lang w:eastAsia="zh-CN"/>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9</w:t>
            </w:r>
          </w:p>
        </w:tc>
        <w:tc>
          <w:tcPr>
            <w:tcW w:w="2115"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□投标担保的金额：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□无需提供投标担保</w:t>
            </w:r>
          </w:p>
          <w:p>
            <w:pPr>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根据《深圳市住房和建设局关于推行差异化缴纳投标保证金进一步降低招标投标交易成本的通知》（深建市场〔2023〕2号）的规定，</w:t>
            </w:r>
          </w:p>
          <w:p>
            <w:pPr>
              <w:adjustRightInd w:val="0"/>
              <w:snapToGrid w:val="0"/>
              <w:spacing w:line="360" w:lineRule="auto"/>
              <w:jc w:val="left"/>
              <w:rPr>
                <w:rFonts w:hint="default" w:ascii="宋体" w:hAnsi="宋体" w:eastAsia="宋体" w:cs="宋体"/>
                <w:color w:val="auto"/>
                <w:kern w:val="0"/>
                <w:szCs w:val="21"/>
                <w:highlight w:val="none"/>
                <w:lang w:val="en-US"/>
              </w:rPr>
            </w:pPr>
            <w:r>
              <w:rPr>
                <w:rFonts w:hint="eastAsia" w:ascii="宋体" w:hAnsi="宋体" w:eastAsia="宋体" w:cs="宋体"/>
                <w:color w:val="auto"/>
                <w:kern w:val="0"/>
                <w:szCs w:val="21"/>
                <w:highlight w:val="none"/>
                <w:lang w:val="en-US" w:eastAsia="zh-CN"/>
              </w:rPr>
              <w:t>政府投资建设工程的设计等服务类项目原则上不再收取投标保证金，政府投资建设工程以外的其他依法必须招标建设工程项目，鼓励招标人免收投标保证金。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2" w:hRule="atLeast"/>
          <w:jc w:val="center"/>
        </w:trPr>
        <w:tc>
          <w:tcPr>
            <w:tcW w:w="680"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 w:val="21"/>
                <w:szCs w:val="21"/>
                <w:highlight w:val="none"/>
                <w:lang w:val="en-US" w:eastAsia="zh-CN" w:bidi="ar-SA"/>
              </w:rPr>
            </w:pPr>
          </w:p>
        </w:tc>
        <w:tc>
          <w:tcPr>
            <w:tcW w:w="2115"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6588"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2.鼓励投标人使用电子保函、保险。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jc w:val="center"/>
        </w:trPr>
        <w:tc>
          <w:tcPr>
            <w:tcW w:w="680"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20</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招标会议时间</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开标会、评标会、定标会议时间及地点，在交易网进行查询。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8" w:hRule="atLeast"/>
          <w:jc w:val="center"/>
        </w:trPr>
        <w:tc>
          <w:tcPr>
            <w:tcW w:w="680"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21</w:t>
            </w:r>
          </w:p>
        </w:tc>
        <w:tc>
          <w:tcPr>
            <w:tcW w:w="2115"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过多投标人淘汰环节</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w:t>
            </w:r>
          </w:p>
        </w:tc>
        <w:tc>
          <w:tcPr>
            <w:tcW w:w="6588" w:type="dxa"/>
            <w:shd w:val="clear" w:color="auto" w:fill="auto"/>
            <w:vAlign w:val="center"/>
          </w:tcPr>
          <w:p>
            <w:pPr>
              <w:widowControl/>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pPr>
              <w:widowControl/>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□由计算机随机产生</w:t>
            </w:r>
          </w:p>
          <w:p>
            <w:pPr>
              <w:widowControl/>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□招标人自行确定：</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0"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2115"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6588" w:type="dxa"/>
            <w:shd w:val="clear" w:color="auto" w:fill="auto"/>
            <w:vAlign w:val="center"/>
          </w:tcPr>
          <w:p>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136"/>
                <w:rFonts w:hint="eastAsia" w:ascii="宋体" w:hAnsi="宋体" w:eastAsia="宋体" w:cs="宋体"/>
                <w:color w:val="auto"/>
                <w:kern w:val="0"/>
                <w:szCs w:val="21"/>
                <w:highlight w:val="none"/>
                <w:lang w:val="en-US" w:eastAsia="zh-CN"/>
              </w:rPr>
              <w:t>[</w:t>
            </w:r>
            <w:r>
              <w:rPr>
                <w:rStyle w:val="136"/>
                <w:rFonts w:hint="eastAsia" w:ascii="宋体" w:hAnsi="宋体" w:eastAsia="宋体" w:cs="宋体"/>
                <w:color w:val="auto"/>
                <w:kern w:val="0"/>
                <w:szCs w:val="21"/>
                <w:highlight w:val="none"/>
                <w:lang w:val="en-US" w:eastAsia="zh-CN"/>
              </w:rPr>
              <w:footnoteReference w:id="1"/>
            </w:r>
            <w:r>
              <w:rPr>
                <w:rStyle w:val="136"/>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pPr>
              <w:adjustRightInd w:val="0"/>
              <w:snapToGrid w:val="0"/>
              <w:spacing w:line="360" w:lineRule="auto"/>
              <w:ind w:firstLine="0" w:firstLineChars="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pPr>
              <w:adjustRightInd w:val="0"/>
              <w:snapToGrid w:val="0"/>
              <w:spacing w:line="360" w:lineRule="auto"/>
              <w:ind w:firstLine="0" w:firstLineChars="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拟派项目负责人及管理团队成员的资历、能力、信誉，企业资质、业绩、履约等，具体择优因素由招标人根据实际确定。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7" w:hRule="atLeast"/>
          <w:jc w:val="center"/>
        </w:trPr>
        <w:tc>
          <w:tcPr>
            <w:tcW w:w="680"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2115"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6588" w:type="dxa"/>
            <w:shd w:val="clear" w:color="auto" w:fill="auto"/>
            <w:vAlign w:val="center"/>
          </w:tcPr>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w:t>
            </w:r>
            <w:bookmarkStart w:id="4" w:name="OLE_LINK1"/>
            <w:r>
              <w:rPr>
                <w:rFonts w:hint="eastAsia" w:ascii="宋体" w:hAnsi="宋体" w:eastAsia="宋体" w:cs="宋体"/>
                <w:color w:val="auto"/>
                <w:kern w:val="0"/>
                <w:szCs w:val="21"/>
                <w:highlight w:val="none"/>
              </w:rPr>
              <w:t>投标人淘汰方式</w:t>
            </w:r>
            <w:bookmarkEnd w:id="4"/>
            <w:r>
              <w:rPr>
                <w:rFonts w:hint="eastAsia" w:ascii="宋体" w:hAnsi="宋体" w:eastAsia="宋体" w:cs="宋体"/>
                <w:color w:val="auto"/>
                <w:kern w:val="0"/>
                <w:szCs w:val="21"/>
                <w:highlight w:val="none"/>
              </w:rPr>
              <w:t>：</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   □逐轮票决  </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计算规则（采用直接票决或逐轮票决的）：</w:t>
            </w:r>
            <w:bookmarkStart w:id="5" w:name="OLE_LINK9"/>
            <w:r>
              <w:rPr>
                <w:rFonts w:hint="eastAsia" w:ascii="宋体" w:hAnsi="宋体" w:eastAsia="宋体" w:cs="宋体"/>
                <w:color w:val="auto"/>
                <w:kern w:val="0"/>
                <w:szCs w:val="21"/>
                <w:highlight w:val="none"/>
              </w:rPr>
              <w:t>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r>
              <w:rPr>
                <w:rFonts w:hint="eastAsia" w:ascii="宋体" w:hAnsi="宋体" w:eastAsia="宋体" w:cs="宋体"/>
                <w:color w:val="auto"/>
                <w:kern w:val="0"/>
                <w:szCs w:val="21"/>
                <w:highlight w:val="none"/>
                <w:lang w:eastAsia="zh-CN"/>
              </w:rPr>
              <w:t>。</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jc w:val="center"/>
        </w:trPr>
        <w:tc>
          <w:tcPr>
            <w:tcW w:w="680" w:type="dxa"/>
            <w:shd w:val="clear" w:color="auto" w:fill="auto"/>
            <w:vAlign w:val="center"/>
          </w:tcPr>
          <w:p>
            <w:pPr>
              <w:adjustRightInd w:val="0"/>
              <w:snapToGrid w:val="0"/>
              <w:spacing w:line="360" w:lineRule="auto"/>
              <w:jc w:val="center"/>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lang w:val="en-US" w:eastAsia="zh-CN"/>
              </w:rPr>
              <w:t>22</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评标方法及标准</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□定性评审法</w:t>
            </w:r>
          </w:p>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5" w:hRule="atLeast"/>
          <w:jc w:val="center"/>
        </w:trPr>
        <w:tc>
          <w:tcPr>
            <w:tcW w:w="680" w:type="dxa"/>
            <w:shd w:val="clear" w:color="auto" w:fill="auto"/>
            <w:vAlign w:val="center"/>
          </w:tcPr>
          <w:p>
            <w:pPr>
              <w:adjustRightInd w:val="0"/>
              <w:snapToGrid w:val="0"/>
              <w:spacing w:line="360" w:lineRule="auto"/>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3</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专家推荐原则</w:t>
            </w:r>
          </w:p>
        </w:tc>
        <w:tc>
          <w:tcPr>
            <w:tcW w:w="6588" w:type="dxa"/>
            <w:shd w:val="clear" w:color="auto" w:fill="auto"/>
            <w:vAlign w:val="center"/>
          </w:tcPr>
          <w:p>
            <w:pPr>
              <w:numPr>
                <w:ilvl w:val="0"/>
                <w:numId w:val="0"/>
              </w:num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招标人应根据项目实际合理设置评审要素，对专家评标质量提出要求，并明确专家推荐</w:t>
            </w:r>
            <w:r>
              <w:rPr>
                <w:rFonts w:hint="eastAsia" w:ascii="宋体" w:hAnsi="宋体" w:eastAsia="宋体" w:cs="宋体"/>
                <w:color w:val="auto"/>
                <w:kern w:val="0"/>
                <w:szCs w:val="21"/>
                <w:highlight w:val="none"/>
                <w:lang w:eastAsia="zh-CN"/>
              </w:rPr>
              <w:t>中标候选人</w:t>
            </w:r>
            <w:r>
              <w:rPr>
                <w:rFonts w:hint="eastAsia" w:ascii="宋体" w:hAnsi="宋体" w:eastAsia="宋体" w:cs="宋体"/>
                <w:color w:val="auto"/>
                <w:kern w:val="0"/>
                <w:szCs w:val="21"/>
                <w:highlight w:val="none"/>
              </w:rPr>
              <w:t>原则</w:t>
            </w:r>
            <w:r>
              <w:rPr>
                <w:rStyle w:val="136"/>
                <w:rFonts w:hint="eastAsia" w:ascii="宋体" w:hAnsi="宋体" w:eastAsia="宋体" w:cs="宋体"/>
                <w:color w:val="auto"/>
                <w:kern w:val="0"/>
                <w:szCs w:val="21"/>
                <w:highlight w:val="none"/>
                <w:lang w:val="en-US" w:eastAsia="zh-CN"/>
              </w:rPr>
              <w:t>[</w:t>
            </w:r>
            <w:r>
              <w:rPr>
                <w:rStyle w:val="136"/>
                <w:rFonts w:hint="eastAsia" w:ascii="宋体" w:hAnsi="宋体" w:eastAsia="宋体" w:cs="宋体"/>
                <w:color w:val="auto"/>
                <w:kern w:val="0"/>
                <w:szCs w:val="21"/>
                <w:highlight w:val="none"/>
                <w:lang w:val="en-US" w:eastAsia="zh-CN"/>
              </w:rPr>
              <w:footnoteReference w:id="2"/>
            </w:r>
            <w:r>
              <w:rPr>
                <w:rStyle w:val="136"/>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pPr>
              <w:numPr>
                <w:ilvl w:val="0"/>
                <w:numId w:val="0"/>
              </w:numPr>
              <w:adjustRightInd w:val="0"/>
              <w:snapToGrid w:val="0"/>
              <w:spacing w:line="360" w:lineRule="auto"/>
              <w:jc w:val="left"/>
              <w:rPr>
                <w:rFonts w:hint="eastAsia" w:ascii="宋体" w:hAnsi="宋体" w:eastAsia="宋体" w:cs="宋体"/>
                <w:color w:val="auto"/>
                <w:kern w:val="0"/>
                <w:szCs w:val="21"/>
                <w:highlight w:val="none"/>
                <w:u w:val="single"/>
                <w:lang w:eastAsia="zh-CN"/>
              </w:rPr>
            </w:pPr>
            <w:r>
              <w:rPr>
                <w:rFonts w:hint="eastAsia" w:ascii="宋体" w:hAnsi="宋体" w:eastAsia="宋体" w:cs="宋体"/>
                <w:color w:val="auto"/>
                <w:kern w:val="0"/>
                <w:szCs w:val="21"/>
                <w:highlight w:val="none"/>
                <w:u w:val="single"/>
                <w:lang w:val="en-US" w:eastAsia="zh-CN"/>
              </w:rPr>
              <w:t>注：招标人应根据项目实际，设置规则清晰、可操作性强的推荐中标候选人原则，可以重点考虑</w:t>
            </w:r>
            <w:r>
              <w:rPr>
                <w:rFonts w:hint="eastAsia" w:ascii="宋体" w:hAnsi="宋体" w:eastAsia="宋体" w:cs="宋体"/>
                <w:color w:val="auto"/>
                <w:kern w:val="0"/>
                <w:szCs w:val="21"/>
                <w:highlight w:val="none"/>
              </w:rPr>
              <w:t>投标方案经济性、技术可行性、功能结构合理性、设计精细化程度等因素</w:t>
            </w:r>
            <w:r>
              <w:rPr>
                <w:rFonts w:hint="eastAsia" w:ascii="宋体" w:hAnsi="宋体" w:eastAsia="宋体" w:cs="宋体"/>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1" w:hRule="atLeast"/>
          <w:jc w:val="center"/>
        </w:trPr>
        <w:tc>
          <w:tcPr>
            <w:tcW w:w="680" w:type="dxa"/>
            <w:shd w:val="clear" w:color="auto" w:fill="auto"/>
            <w:vAlign w:val="center"/>
          </w:tcPr>
          <w:p>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4</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评标地点</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□交易场所评标</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3" w:hRule="atLeast"/>
          <w:jc w:val="center"/>
        </w:trPr>
        <w:tc>
          <w:tcPr>
            <w:tcW w:w="680" w:type="dxa"/>
            <w:shd w:val="clear" w:color="auto" w:fill="auto"/>
            <w:vAlign w:val="center"/>
          </w:tcPr>
          <w:p>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5</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评标委员会的人员组成</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由招标人依法组建</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注：采用BIM技术的招标项目</w:t>
            </w:r>
            <w:r>
              <w:rPr>
                <w:rFonts w:ascii="宋体" w:hAnsi="宋体" w:eastAsia="宋体" w:cs="宋体"/>
                <w:color w:val="auto"/>
                <w:kern w:val="0"/>
                <w:szCs w:val="21"/>
                <w:highlight w:val="none"/>
              </w:rPr>
              <w:t>，评标专家应</w:t>
            </w:r>
            <w:r>
              <w:rPr>
                <w:rFonts w:hint="eastAsia" w:ascii="宋体" w:hAnsi="宋体" w:eastAsia="宋体" w:cs="宋体"/>
                <w:color w:val="auto"/>
                <w:kern w:val="0"/>
                <w:szCs w:val="21"/>
                <w:highlight w:val="none"/>
              </w:rPr>
              <w:t>具备评审</w:t>
            </w:r>
            <w:r>
              <w:rPr>
                <w:rFonts w:ascii="宋体" w:hAnsi="宋体" w:eastAsia="宋体" w:cs="宋体"/>
                <w:color w:val="auto"/>
                <w:kern w:val="0"/>
                <w:szCs w:val="21"/>
                <w:highlight w:val="none"/>
              </w:rPr>
              <w:t>BIM</w:t>
            </w:r>
            <w:r>
              <w:rPr>
                <w:rFonts w:hint="eastAsia" w:ascii="宋体" w:hAnsi="宋体" w:eastAsia="宋体" w:cs="宋体"/>
                <w:color w:val="auto"/>
                <w:kern w:val="0"/>
                <w:szCs w:val="21"/>
                <w:highlight w:val="none"/>
              </w:rPr>
              <w:t>模型的能力</w:t>
            </w:r>
            <w:r>
              <w:rPr>
                <w:rFonts w:ascii="宋体" w:hAnsi="宋体" w:eastAsia="宋体" w:cs="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7" w:hRule="atLeast"/>
          <w:jc w:val="center"/>
        </w:trPr>
        <w:tc>
          <w:tcPr>
            <w:tcW w:w="680" w:type="dxa"/>
            <w:shd w:val="clear" w:color="auto" w:fill="auto"/>
            <w:vAlign w:val="center"/>
          </w:tcPr>
          <w:p>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6</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项目定标方案：在报内设（上级）的纪检监察机构（或督察机构）备案的基础上，于招标公告备案时上传至备案系统加密保存</w:t>
            </w:r>
            <w:r>
              <w:rPr>
                <w:rStyle w:val="136"/>
                <w:rFonts w:hint="eastAsia" w:ascii="宋体" w:hAnsi="宋体" w:eastAsia="宋体" w:cs="宋体"/>
                <w:color w:val="auto"/>
                <w:kern w:val="0"/>
                <w:szCs w:val="21"/>
                <w:highlight w:val="none"/>
              </w:rPr>
              <w:t>[</w:t>
            </w:r>
            <w:r>
              <w:rPr>
                <w:rStyle w:val="136"/>
                <w:rFonts w:hint="eastAsia" w:ascii="宋体" w:hAnsi="宋体" w:eastAsia="宋体" w:cs="宋体"/>
                <w:color w:val="auto"/>
                <w:kern w:val="0"/>
                <w:szCs w:val="21"/>
                <w:highlight w:val="none"/>
              </w:rPr>
              <w:footnoteReference w:id="3"/>
            </w:r>
            <w:r>
              <w:rPr>
                <w:rStyle w:val="136"/>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1" w:hRule="atLeast"/>
          <w:jc w:val="center"/>
        </w:trPr>
        <w:tc>
          <w:tcPr>
            <w:tcW w:w="680"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27</w:t>
            </w:r>
          </w:p>
        </w:tc>
        <w:tc>
          <w:tcPr>
            <w:tcW w:w="2115"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定标方法</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□直接票决定标法</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□简单多数（且过半数）    □对比胜出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7" w:hRule="atLeast"/>
          <w:jc w:val="center"/>
        </w:trPr>
        <w:tc>
          <w:tcPr>
            <w:tcW w:w="680" w:type="dxa"/>
            <w:vMerge w:val="continue"/>
            <w:shd w:val="clear" w:color="auto" w:fill="auto"/>
            <w:vAlign w:val="center"/>
          </w:tcPr>
          <w:p>
            <w:pPr>
              <w:adjustRightInd w:val="0"/>
              <w:snapToGrid w:val="0"/>
              <w:spacing w:line="360" w:lineRule="auto"/>
              <w:jc w:val="left"/>
              <w:rPr>
                <w:color w:val="auto"/>
                <w:highlight w:val="none"/>
              </w:rPr>
            </w:pPr>
          </w:p>
        </w:tc>
        <w:tc>
          <w:tcPr>
            <w:tcW w:w="2115" w:type="dxa"/>
            <w:vMerge w:val="continue"/>
            <w:shd w:val="clear" w:color="auto" w:fill="auto"/>
            <w:vAlign w:val="center"/>
          </w:tcPr>
          <w:p>
            <w:pPr>
              <w:adjustRightInd w:val="0"/>
              <w:snapToGrid w:val="0"/>
              <w:spacing w:line="360" w:lineRule="auto"/>
              <w:jc w:val="left"/>
              <w:rPr>
                <w:color w:val="auto"/>
                <w:highlight w:val="none"/>
              </w:rPr>
            </w:pP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□逐轮票决定标法</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jc w:val="center"/>
        </w:trPr>
        <w:tc>
          <w:tcPr>
            <w:tcW w:w="680" w:type="dxa"/>
            <w:vMerge w:val="continue"/>
            <w:shd w:val="clear" w:color="auto" w:fill="auto"/>
            <w:vAlign w:val="center"/>
          </w:tcPr>
          <w:p>
            <w:pPr>
              <w:adjustRightInd w:val="0"/>
              <w:snapToGrid w:val="0"/>
              <w:spacing w:line="360" w:lineRule="auto"/>
              <w:jc w:val="left"/>
              <w:rPr>
                <w:color w:val="auto"/>
                <w:highlight w:val="none"/>
              </w:rPr>
            </w:pPr>
          </w:p>
        </w:tc>
        <w:tc>
          <w:tcPr>
            <w:tcW w:w="2115" w:type="dxa"/>
            <w:vMerge w:val="continue"/>
            <w:shd w:val="clear" w:color="auto" w:fill="auto"/>
            <w:vAlign w:val="center"/>
          </w:tcPr>
          <w:p>
            <w:pPr>
              <w:adjustRightInd w:val="0"/>
              <w:snapToGrid w:val="0"/>
              <w:spacing w:line="360" w:lineRule="auto"/>
              <w:jc w:val="left"/>
              <w:rPr>
                <w:color w:val="auto"/>
                <w:highlight w:val="none"/>
              </w:rPr>
            </w:pPr>
          </w:p>
        </w:tc>
        <w:tc>
          <w:tcPr>
            <w:tcW w:w="6588" w:type="dxa"/>
            <w:shd w:val="clear" w:color="auto" w:fill="auto"/>
            <w:vAlign w:val="center"/>
          </w:tcPr>
          <w:p>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□集体议事定标法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1" w:hRule="atLeast"/>
          <w:jc w:val="center"/>
        </w:trPr>
        <w:tc>
          <w:tcPr>
            <w:tcW w:w="680" w:type="dxa"/>
            <w:vMerge w:val="continue"/>
            <w:shd w:val="clear" w:color="auto" w:fill="auto"/>
            <w:vAlign w:val="center"/>
          </w:tcPr>
          <w:p>
            <w:pPr>
              <w:jc w:val="left"/>
              <w:rPr>
                <w:color w:val="auto"/>
                <w:highlight w:val="none"/>
              </w:rPr>
            </w:pPr>
          </w:p>
        </w:tc>
        <w:tc>
          <w:tcPr>
            <w:tcW w:w="2115" w:type="dxa"/>
            <w:vMerge w:val="continue"/>
            <w:shd w:val="clear" w:color="auto" w:fill="auto"/>
            <w:vAlign w:val="center"/>
          </w:tcPr>
          <w:p>
            <w:pPr>
              <w:jc w:val="left"/>
              <w:rPr>
                <w:color w:val="auto"/>
                <w:highlight w:val="none"/>
              </w:rPr>
            </w:pPr>
          </w:p>
        </w:tc>
        <w:tc>
          <w:tcPr>
            <w:tcW w:w="6588" w:type="dxa"/>
            <w:shd w:val="clear" w:color="auto" w:fill="auto"/>
            <w:vAlign w:val="center"/>
          </w:tcPr>
          <w:p>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3" w:hRule="atLeast"/>
          <w:jc w:val="center"/>
        </w:trPr>
        <w:tc>
          <w:tcPr>
            <w:tcW w:w="680" w:type="dxa"/>
            <w:shd w:val="clear" w:color="auto" w:fill="auto"/>
            <w:vAlign w:val="center"/>
          </w:tcPr>
          <w:p>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8</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发出中标通知书及签订合同</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招标人和中标人应当自中标通知书发出之日起三十日内，按照招标文件和中标人的投标文件签订合同（因投诉暂停的除外）。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3" w:hRule="atLeast"/>
          <w:jc w:val="center"/>
        </w:trPr>
        <w:tc>
          <w:tcPr>
            <w:tcW w:w="680" w:type="dxa"/>
            <w:shd w:val="clear" w:color="auto" w:fill="auto"/>
            <w:vAlign w:val="center"/>
          </w:tcPr>
          <w:p>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9</w:t>
            </w:r>
          </w:p>
        </w:tc>
        <w:tc>
          <w:tcPr>
            <w:tcW w:w="211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投标补偿</w:t>
            </w:r>
          </w:p>
        </w:tc>
        <w:tc>
          <w:tcPr>
            <w:tcW w:w="658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□无投标补偿</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□有投标补偿。具体补偿方案为：</w:t>
            </w:r>
            <w:r>
              <w:rPr>
                <w:rFonts w:hint="eastAsia" w:ascii="宋体" w:hAnsi="宋体" w:eastAsia="宋体" w:cs="宋体"/>
                <w:color w:val="auto"/>
                <w:kern w:val="0"/>
                <w:szCs w:val="21"/>
                <w:highlight w:val="none"/>
                <w:u w:val="single"/>
              </w:rPr>
              <w:t xml:space="preserve">      </w:t>
            </w:r>
          </w:p>
        </w:tc>
      </w:tr>
    </w:tbl>
    <w:p>
      <w:pPr>
        <w:widowControl/>
        <w:spacing w:line="20" w:lineRule="exact"/>
        <w:jc w:val="left"/>
        <w:rPr>
          <w:color w:val="auto"/>
          <w:highlight w:val="none"/>
        </w:rPr>
      </w:pPr>
      <w:r>
        <w:rPr>
          <w:color w:val="auto"/>
          <w:highlight w:val="none"/>
        </w:rPr>
        <w:br w:type="page"/>
      </w:r>
    </w:p>
    <w:p>
      <w:pPr>
        <w:adjustRightInd w:val="0"/>
        <w:snapToGrid w:val="0"/>
        <w:spacing w:line="360" w:lineRule="auto"/>
        <w:jc w:val="center"/>
        <w:outlineLvl w:val="2"/>
        <w:rPr>
          <w:rFonts w:ascii="宋体" w:hAnsi="宋体" w:eastAsia="宋体" w:cs="宋体"/>
          <w:b/>
          <w:color w:val="auto"/>
          <w:kern w:val="0"/>
          <w:sz w:val="30"/>
          <w:szCs w:val="30"/>
          <w:highlight w:val="none"/>
        </w:rPr>
      </w:pPr>
      <w:bookmarkStart w:id="6" w:name="_Toc6655"/>
      <w:r>
        <w:rPr>
          <w:rFonts w:hint="eastAsia" w:ascii="宋体" w:hAnsi="宋体" w:eastAsia="宋体" w:cs="宋体"/>
          <w:b/>
          <w:color w:val="auto"/>
          <w:kern w:val="0"/>
          <w:sz w:val="30"/>
          <w:szCs w:val="30"/>
          <w:highlight w:val="none"/>
        </w:rPr>
        <w:t>（二）投标文件编制成果及要求</w:t>
      </w:r>
      <w:bookmarkEnd w:id="6"/>
    </w:p>
    <w:tbl>
      <w:tblPr>
        <w:tblStyle w:val="79"/>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942"/>
        <w:gridCol w:w="1054"/>
        <w:gridCol w:w="7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677" w:type="dxa"/>
            <w:shd w:val="clear" w:color="auto" w:fill="auto"/>
            <w:vAlign w:val="center"/>
          </w:tcPr>
          <w:p>
            <w:pPr>
              <w:adjustRightInd w:val="0"/>
              <w:snapToGrid w:val="0"/>
              <w:spacing w:line="360" w:lineRule="auto"/>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序号</w:t>
            </w:r>
          </w:p>
        </w:tc>
        <w:tc>
          <w:tcPr>
            <w:tcW w:w="1996" w:type="dxa"/>
            <w:gridSpan w:val="2"/>
            <w:shd w:val="clear" w:color="auto" w:fill="auto"/>
            <w:vAlign w:val="center"/>
          </w:tcPr>
          <w:p>
            <w:pPr>
              <w:adjustRightInd w:val="0"/>
              <w:snapToGrid w:val="0"/>
              <w:spacing w:line="360" w:lineRule="auto"/>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内容</w:t>
            </w:r>
          </w:p>
        </w:tc>
        <w:tc>
          <w:tcPr>
            <w:tcW w:w="7181" w:type="dxa"/>
            <w:shd w:val="clear" w:color="auto" w:fill="auto"/>
            <w:vAlign w:val="center"/>
          </w:tcPr>
          <w:p>
            <w:pPr>
              <w:adjustRightInd w:val="0"/>
              <w:snapToGrid w:val="0"/>
              <w:spacing w:line="360" w:lineRule="auto"/>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9" w:hRule="atLeast"/>
          <w:jc w:val="center"/>
        </w:trPr>
        <w:tc>
          <w:tcPr>
            <w:tcW w:w="677"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942"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技术标</w:t>
            </w:r>
          </w:p>
        </w:tc>
        <w:tc>
          <w:tcPr>
            <w:tcW w:w="1054"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文本</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文件</w:t>
            </w:r>
          </w:p>
        </w:tc>
        <w:tc>
          <w:tcPr>
            <w:tcW w:w="7181" w:type="dxa"/>
            <w:shd w:val="clear" w:color="auto" w:fill="auto"/>
            <w:vAlign w:val="center"/>
          </w:tcPr>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7"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编制内容（图纸可作为文本附件或穿插文本其中）：</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1、项目分析及技术措施</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2、工期质量保障措施</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3、节能、环保措施及四新应用情况</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4" w:hRule="atLeast"/>
          <w:jc w:val="center"/>
        </w:trPr>
        <w:tc>
          <w:tcPr>
            <w:tcW w:w="677"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1、电子文件应采用电子投标文件编制工具制作，文件格式要求详见本范本“使用说明”。</w:t>
            </w:r>
          </w:p>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Cs/>
                <w:color w:val="auto"/>
                <w:kern w:val="0"/>
                <w:szCs w:val="21"/>
                <w:highlight w:val="none"/>
              </w:rPr>
              <w:t>2、文本中图片命名规则：序号+图名（其中“序号”为阿拉伯数字），例如：01道路横断面图。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7" w:hRule="atLeast"/>
          <w:jc w:val="center"/>
        </w:trPr>
        <w:tc>
          <w:tcPr>
            <w:tcW w:w="677"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bookmarkStart w:id="7" w:name="方案演示文件" w:colFirst="3" w:colLast="3"/>
            <w:r>
              <w:rPr>
                <w:rFonts w:hint="eastAsia" w:ascii="宋体" w:hAnsi="宋体" w:eastAsia="宋体" w:cs="宋体"/>
                <w:color w:val="auto"/>
                <w:kern w:val="0"/>
                <w:szCs w:val="21"/>
                <w:highlight w:val="none"/>
              </w:rPr>
              <w:t>2</w:t>
            </w:r>
          </w:p>
        </w:tc>
        <w:tc>
          <w:tcPr>
            <w:tcW w:w="942"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054"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□方案</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演示</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文件</w:t>
            </w:r>
          </w:p>
        </w:tc>
        <w:tc>
          <w:tcPr>
            <w:tcW w:w="7181" w:type="dxa"/>
            <w:shd w:val="clear" w:color="auto" w:fill="auto"/>
            <w:vAlign w:val="center"/>
          </w:tcPr>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演示时间不超过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5" w:hRule="atLeast"/>
          <w:jc w:val="center"/>
        </w:trPr>
        <w:tc>
          <w:tcPr>
            <w:tcW w:w="677"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942"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054"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7181"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电子文件应采用电子投标文件编制工具制作，文件格式要求详见本范本“使用说明”。</w:t>
            </w:r>
          </w:p>
        </w:tc>
      </w:tr>
      <w:bookmark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jc w:val="center"/>
        </w:trPr>
        <w:tc>
          <w:tcPr>
            <w:tcW w:w="677"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bookmarkStart w:id="8" w:name="展示图板" w:colFirst="3" w:colLast="3"/>
            <w:r>
              <w:rPr>
                <w:rFonts w:hint="eastAsia" w:ascii="宋体" w:hAnsi="宋体" w:eastAsia="宋体" w:cs="宋体"/>
                <w:color w:val="auto"/>
                <w:kern w:val="0"/>
                <w:szCs w:val="21"/>
                <w:highlight w:val="none"/>
              </w:rPr>
              <w:t>3</w:t>
            </w:r>
          </w:p>
        </w:tc>
        <w:tc>
          <w:tcPr>
            <w:tcW w:w="942"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054"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□展示</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图板</w:t>
            </w:r>
          </w:p>
        </w:tc>
        <w:tc>
          <w:tcPr>
            <w:tcW w:w="7181" w:type="dxa"/>
            <w:shd w:val="clear" w:color="auto" w:fill="auto"/>
            <w:vAlign w:val="center"/>
          </w:tcPr>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9" w:hRule="atLeast"/>
          <w:jc w:val="center"/>
        </w:trPr>
        <w:tc>
          <w:tcPr>
            <w:tcW w:w="677"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942"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054"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7181"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展示图不超过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块</w:t>
            </w:r>
            <w:r>
              <w:rPr>
                <w:rFonts w:hint="eastAsia" w:ascii="宋体" w:hAnsi="宋体" w:eastAsia="宋体" w:cs="宋体"/>
                <w:bCs/>
                <w:color w:val="auto"/>
                <w:kern w:val="0"/>
                <w:szCs w:val="21"/>
                <w:highlight w:val="none"/>
              </w:rPr>
              <w:t>，应表现</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等处的立体透视效果。</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图板内容应着重表现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的立体效果。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5" w:hRule="atLeast"/>
          <w:jc w:val="center"/>
        </w:trPr>
        <w:tc>
          <w:tcPr>
            <w:tcW w:w="677"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942"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054"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7181" w:type="dxa"/>
            <w:shd w:val="clear" w:color="auto" w:fill="auto"/>
            <w:vAlign w:val="center"/>
          </w:tcPr>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□提交展示图版，展示图版均为</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号图；</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□提交电子文件形式，应使用电子投标文件编制工具制作，文件格式要求详见本范本“使用说明”。</w:t>
            </w:r>
          </w:p>
        </w:tc>
      </w:tr>
      <w:bookmarkEnd w:id="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jc w:val="center"/>
        </w:trPr>
        <w:tc>
          <w:tcPr>
            <w:tcW w:w="677"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bookmarkStart w:id="9" w:name="实物设计模型" w:colFirst="3" w:colLast="3"/>
            <w:r>
              <w:rPr>
                <w:rFonts w:hint="eastAsia" w:ascii="宋体" w:hAnsi="宋体" w:eastAsia="宋体" w:cs="宋体"/>
                <w:color w:val="auto"/>
                <w:kern w:val="0"/>
                <w:szCs w:val="21"/>
                <w:highlight w:val="none"/>
              </w:rPr>
              <w:t>4</w:t>
            </w:r>
          </w:p>
        </w:tc>
        <w:tc>
          <w:tcPr>
            <w:tcW w:w="942"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054"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□实物</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模型</w:t>
            </w:r>
          </w:p>
        </w:tc>
        <w:tc>
          <w:tcPr>
            <w:tcW w:w="7181"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jc w:val="center"/>
        </w:trPr>
        <w:tc>
          <w:tcPr>
            <w:tcW w:w="677"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比例尺为1︰</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□素色模型  □彩色模型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jc w:val="center"/>
        </w:trPr>
        <w:tc>
          <w:tcPr>
            <w:tcW w:w="677"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采用沙盘形式。沙盘面积不宜超过3m</w:t>
            </w:r>
            <w:r>
              <w:rPr>
                <w:rFonts w:hint="eastAsia" w:ascii="宋体" w:hAnsi="宋体" w:eastAsia="宋体" w:cs="宋体"/>
                <w:color w:val="auto"/>
                <w:kern w:val="0"/>
                <w:szCs w:val="21"/>
                <w:highlight w:val="none"/>
                <w:vertAlign w:val="superscript"/>
              </w:rPr>
              <w:t>2</w:t>
            </w:r>
            <w:r>
              <w:rPr>
                <w:rFonts w:hint="eastAsia" w:ascii="宋体" w:hAnsi="宋体" w:eastAsia="宋体" w:cs="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677"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restart"/>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w:t>
            </w:r>
            <w:r>
              <w:rPr>
                <w:rFonts w:ascii="宋体" w:hAnsi="宋体" w:eastAsia="宋体" w:cs="宋体"/>
                <w:color w:val="auto"/>
                <w:kern w:val="0"/>
                <w:szCs w:val="21"/>
                <w:highlight w:val="none"/>
              </w:rPr>
              <w:t xml:space="preserve"> 设计BIM标</w:t>
            </w:r>
            <w:r>
              <w:rPr>
                <w:rFonts w:hint="eastAsia" w:ascii="宋体" w:hAnsi="宋体" w:eastAsia="宋体" w:cs="宋体"/>
                <w:color w:val="auto"/>
                <w:kern w:val="0"/>
                <w:szCs w:val="21"/>
                <w:highlight w:val="none"/>
              </w:rPr>
              <w:t>书文件</w:t>
            </w:r>
          </w:p>
        </w:tc>
        <w:tc>
          <w:tcPr>
            <w:tcW w:w="7181" w:type="dxa"/>
            <w:shd w:val="clear" w:color="auto" w:fill="auto"/>
            <w:vAlign w:val="center"/>
          </w:tcPr>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w:t>
            </w:r>
            <w:r>
              <w:rPr>
                <w:rFonts w:ascii="宋体" w:hAnsi="宋体" w:eastAsia="宋体" w:cs="宋体"/>
                <w:bCs/>
                <w:color w:val="auto"/>
                <w:kern w:val="0"/>
                <w:szCs w:val="21"/>
                <w:highlight w:val="none"/>
              </w:rPr>
              <w:t xml:space="preserve"> 采用暗标形式</w:t>
            </w:r>
            <w:r>
              <w:rPr>
                <w:rFonts w:hint="eastAsia" w:ascii="宋体" w:hAnsi="宋体" w:eastAsia="宋体" w:cs="宋体"/>
                <w:bCs/>
                <w:color w:val="auto"/>
                <w:kern w:val="0"/>
                <w:szCs w:val="21"/>
                <w:highlight w:val="none"/>
              </w:rPr>
              <w:t xml:space="preserve">                </w:t>
            </w:r>
            <w:r>
              <w:rPr>
                <w:rFonts w:ascii="宋体" w:hAnsi="宋体" w:eastAsia="宋体" w:cs="宋体"/>
                <w:bCs/>
                <w:color w:val="auto"/>
                <w:kern w:val="0"/>
                <w:szCs w:val="21"/>
                <w:highlight w:val="none"/>
              </w:rPr>
              <w:t>□ 采用明标形式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2" w:hRule="atLeast"/>
          <w:jc w:val="center"/>
        </w:trPr>
        <w:tc>
          <w:tcPr>
            <w:tcW w:w="677"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pPr>
              <w:adjustRightInd w:val="0"/>
              <w:snapToGrid w:val="0"/>
              <w:spacing w:line="360" w:lineRule="auto"/>
              <w:jc w:val="left"/>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BIM标书文件编制：</w:t>
            </w:r>
          </w:p>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bCs/>
                <w:color w:val="auto"/>
                <w:kern w:val="0"/>
                <w:szCs w:val="21"/>
                <w:highlight w:val="none"/>
              </w:rPr>
              <w:t>1</w:t>
            </w:r>
            <w:r>
              <w:rPr>
                <w:rFonts w:ascii="宋体" w:hAnsi="宋体" w:eastAsia="宋体" w:cs="宋体"/>
                <w:bCs/>
                <w:color w:val="auto"/>
                <w:kern w:val="0"/>
                <w:szCs w:val="21"/>
                <w:highlight w:val="none"/>
              </w:rPr>
              <w:t>、BIM实施方案</w:t>
            </w:r>
          </w:p>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bCs/>
                <w:color w:val="auto"/>
                <w:kern w:val="0"/>
                <w:szCs w:val="21"/>
                <w:highlight w:val="none"/>
              </w:rPr>
              <w:t>2</w:t>
            </w:r>
            <w:r>
              <w:rPr>
                <w:rFonts w:ascii="宋体" w:hAnsi="宋体" w:eastAsia="宋体" w:cs="宋体"/>
                <w:bCs/>
                <w:color w:val="auto"/>
                <w:kern w:val="0"/>
                <w:szCs w:val="21"/>
                <w:highlight w:val="none"/>
              </w:rPr>
              <w:t>、设计BIM模型、预留视点及备注；</w:t>
            </w:r>
          </w:p>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bCs/>
                <w:color w:val="auto"/>
                <w:kern w:val="0"/>
                <w:szCs w:val="21"/>
                <w:highlight w:val="none"/>
              </w:rPr>
              <w:t>3</w:t>
            </w:r>
            <w:r>
              <w:rPr>
                <w:rFonts w:ascii="宋体" w:hAnsi="宋体" w:eastAsia="宋体" w:cs="宋体"/>
                <w:bCs/>
                <w:color w:val="auto"/>
                <w:kern w:val="0"/>
                <w:szCs w:val="21"/>
                <w:highlight w:val="none"/>
              </w:rPr>
              <w:t>、建筑内外部漫游动画；</w:t>
            </w:r>
          </w:p>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rPr>
              <w:t>4、</w:t>
            </w:r>
            <w:r>
              <w:rPr>
                <w:rFonts w:hint="eastAsia" w:ascii="仿宋_GB2312" w:hAnsi="仿宋_GB2312" w:eastAsia="仿宋_GB2312" w:cs="仿宋_GB2312"/>
                <w:bCs/>
                <w:color w:val="auto"/>
                <w:kern w:val="0"/>
                <w:szCs w:val="21"/>
                <w:highlight w:val="none"/>
                <w:lang w:val="en-US" w:eastAsia="zh-CN"/>
              </w:rPr>
              <w:t>模型和周边环境GIS整合</w:t>
            </w:r>
            <w:r>
              <w:rPr>
                <w:rFonts w:hint="eastAsia" w:ascii="仿宋_GB2312" w:hAnsi="仿宋_GB2312" w:eastAsia="仿宋_GB2312" w:cs="仿宋_GB2312"/>
                <w:bCs/>
                <w:color w:val="auto"/>
                <w:kern w:val="0"/>
                <w:szCs w:val="21"/>
                <w:highlight w:val="none"/>
              </w:rPr>
              <w:t>；</w:t>
            </w:r>
          </w:p>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0" w:hRule="atLeast"/>
          <w:jc w:val="center"/>
        </w:trPr>
        <w:tc>
          <w:tcPr>
            <w:tcW w:w="677"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pPr>
              <w:adjustRightInd w:val="0"/>
              <w:snapToGrid w:val="0"/>
              <w:spacing w:line="380" w:lineRule="exact"/>
              <w:rPr>
                <w:rFonts w:ascii="宋体" w:hAnsi="宋体" w:eastAsia="宋体" w:cs="宋体"/>
                <w:b/>
                <w:bCs/>
                <w:color w:val="auto"/>
                <w:kern w:val="0"/>
                <w:szCs w:val="21"/>
                <w:highlight w:val="none"/>
              </w:rPr>
            </w:pPr>
            <w:r>
              <w:rPr>
                <w:rFonts w:hint="eastAsia" w:ascii="微软雅黑" w:hAnsi="微软雅黑" w:eastAsia="微软雅黑" w:cs="微软雅黑"/>
                <w:b/>
                <w:bCs/>
                <w:color w:val="auto"/>
                <w:sz w:val="18"/>
                <w:szCs w:val="18"/>
                <w:highlight w:val="none"/>
              </w:rPr>
              <w:t>本项目属于☐</w:t>
            </w:r>
            <w:r>
              <w:rPr>
                <w:rFonts w:hint="eastAsia"/>
                <w:b/>
                <w:bCs/>
                <w:color w:val="auto"/>
                <w:sz w:val="18"/>
                <w:szCs w:val="18"/>
                <w:highlight w:val="none"/>
              </w:rPr>
              <w:t xml:space="preserve">房建BIM项目  </w:t>
            </w:r>
            <w:r>
              <w:rPr>
                <w:rFonts w:hint="eastAsia" w:ascii="微软雅黑" w:hAnsi="微软雅黑" w:eastAsia="微软雅黑" w:cs="微软雅黑"/>
                <w:b/>
                <w:bCs/>
                <w:color w:val="auto"/>
                <w:sz w:val="18"/>
                <w:szCs w:val="18"/>
                <w:highlight w:val="none"/>
              </w:rPr>
              <w:t>☐</w:t>
            </w:r>
            <w:r>
              <w:rPr>
                <w:rFonts w:hint="eastAsia"/>
                <w:b/>
                <w:bCs/>
                <w:color w:val="auto"/>
                <w:sz w:val="18"/>
                <w:szCs w:val="18"/>
                <w:highlight w:val="none"/>
              </w:rPr>
              <w:t xml:space="preserve">市政基础设施BIM项目  </w:t>
            </w:r>
            <w:r>
              <w:rPr>
                <w:rFonts w:hint="eastAsia" w:ascii="微软雅黑" w:hAnsi="微软雅黑" w:eastAsia="微软雅黑" w:cs="微软雅黑"/>
                <w:b/>
                <w:bCs/>
                <w:color w:val="auto"/>
                <w:sz w:val="18"/>
                <w:szCs w:val="18"/>
                <w:highlight w:val="none"/>
              </w:rPr>
              <w:t>☐</w:t>
            </w:r>
            <w:r>
              <w:rPr>
                <w:rFonts w:hint="eastAsia"/>
                <w:b/>
                <w:bCs/>
                <w:color w:val="auto"/>
                <w:sz w:val="18"/>
                <w:szCs w:val="18"/>
                <w:highlight w:val="none"/>
              </w:rPr>
              <w:t>水务工程BIM项目</w:t>
            </w:r>
          </w:p>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szCs w:val="21"/>
                <w:highlight w:val="none"/>
              </w:rPr>
              <w:t>使用符合</w:t>
            </w:r>
            <w:r>
              <w:rPr>
                <w:rFonts w:hint="eastAsia"/>
                <w:color w:val="auto"/>
                <w:highlight w:val="none"/>
              </w:rPr>
              <w:t>建设工程招投标平台</w:t>
            </w:r>
            <w:r>
              <w:rPr>
                <w:rFonts w:hint="eastAsia" w:ascii="宋体" w:hAnsi="宋体" w:eastAsia="宋体" w:cs="宋体"/>
                <w:color w:val="auto"/>
                <w:szCs w:val="21"/>
                <w:highlight w:val="none"/>
              </w:rPr>
              <w:t>BIM 电子招投标系统兼容要求的设计模型标书编制工具，完成</w:t>
            </w:r>
            <w:r>
              <w:rPr>
                <w:rFonts w:hint="eastAsia" w:ascii="宋体" w:hAnsi="宋体" w:eastAsia="宋体" w:cs="宋体"/>
                <w:color w:val="auto"/>
                <w:szCs w:val="21"/>
                <w:highlight w:val="none"/>
                <w:lang w:val="en-US" w:eastAsia="zh-CN"/>
              </w:rPr>
              <w:t>标书编制</w:t>
            </w:r>
            <w:r>
              <w:rPr>
                <w:rFonts w:hint="eastAsia" w:ascii="宋体" w:hAnsi="宋体" w:eastAsia="宋体" w:cs="宋体"/>
                <w:color w:val="auto"/>
                <w:szCs w:val="21"/>
                <w:highlight w:val="none"/>
              </w:rPr>
              <w:t>后将输出资料导入电子投标文件编制工具进行签名，生成 BIM 标书文件(</w:t>
            </w:r>
            <w:r>
              <w:rPr>
                <w:rFonts w:hint="eastAsia" w:ascii="宋体" w:hAnsi="宋体" w:eastAsia="宋体" w:cs="宋体"/>
                <w:b/>
                <w:bCs/>
                <w:color w:val="auto"/>
                <w:szCs w:val="21"/>
                <w:highlight w:val="none"/>
              </w:rPr>
              <w:t>格式为*</w:t>
            </w:r>
            <w:r>
              <w:rPr>
                <w:rFonts w:ascii="宋体" w:hAnsi="宋体" w:eastAsia="宋体" w:cs="宋体"/>
                <w:color w:val="auto"/>
                <w:kern w:val="0"/>
                <w:szCs w:val="21"/>
                <w:highlight w:val="none"/>
              </w:rPr>
              <w:t>SJTB</w:t>
            </w:r>
            <w:r>
              <w:rPr>
                <w:rFonts w:hint="eastAsia" w:ascii="宋体" w:hAnsi="宋体" w:eastAsia="宋体" w:cs="宋体"/>
                <w:color w:val="auto"/>
                <w:szCs w:val="21"/>
                <w:highlight w:val="none"/>
              </w:rPr>
              <w:t>)。</w:t>
            </w:r>
          </w:p>
        </w:tc>
      </w:tr>
      <w:bookmark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677"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ascii="宋体" w:hAnsi="宋体" w:eastAsia="宋体" w:cs="宋体"/>
                <w:color w:val="auto"/>
                <w:kern w:val="0"/>
                <w:szCs w:val="21"/>
                <w:highlight w:val="none"/>
              </w:rPr>
              <w:t>5</w:t>
            </w:r>
          </w:p>
        </w:tc>
        <w:tc>
          <w:tcPr>
            <w:tcW w:w="1996" w:type="dxa"/>
            <w:gridSpan w:val="2"/>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资信标</w:t>
            </w:r>
          </w:p>
        </w:tc>
        <w:tc>
          <w:tcPr>
            <w:tcW w:w="7181"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9" w:hRule="atLeast"/>
          <w:jc w:val="center"/>
        </w:trPr>
        <w:tc>
          <w:tcPr>
            <w:tcW w:w="677"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996" w:type="dxa"/>
            <w:gridSpan w:val="2"/>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编制内容：</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1、投标函；</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2、《投标人基本情况表》；</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3、</w:t>
            </w:r>
            <w:r>
              <w:rPr>
                <w:rFonts w:hint="eastAsia" w:ascii="宋体" w:hAnsi="宋体" w:eastAsia="宋体" w:cs="宋体"/>
                <w:color w:val="auto"/>
                <w:kern w:val="0"/>
                <w:szCs w:val="21"/>
                <w:highlight w:val="none"/>
              </w:rPr>
              <w:t>《投标人工程业绩表》；</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4、《投标人近3年内签订同类工程合同的项目一览表》；</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5、《投标人近6年荣获“优秀工程设计奖”一览表》；</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6、《拟投入的项目负责人基本情况表》；</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7、《拟投入的项目组专业负责人基本情况表》；</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8、联合体共同投标协议书；</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9、前述2～8款表格所涉相关证明材料；</w:t>
            </w:r>
          </w:p>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10、其他</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 w:hRule="atLeast"/>
          <w:jc w:val="center"/>
        </w:trPr>
        <w:tc>
          <w:tcPr>
            <w:tcW w:w="677"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996" w:type="dxa"/>
            <w:gridSpan w:val="2"/>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电子文件应采用电子投标文件编制工具制作，文件格式要求详见本范本“使用说明”。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2" w:hRule="atLeast"/>
          <w:jc w:val="center"/>
        </w:trPr>
        <w:tc>
          <w:tcPr>
            <w:tcW w:w="677"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bookmarkStart w:id="10" w:name="资格审查文件1" w:colFirst="2" w:colLast="2"/>
            <w:r>
              <w:rPr>
                <w:rFonts w:ascii="宋体" w:hAnsi="宋体" w:eastAsia="宋体" w:cs="宋体"/>
                <w:color w:val="auto"/>
                <w:kern w:val="0"/>
                <w:szCs w:val="21"/>
                <w:highlight w:val="none"/>
              </w:rPr>
              <w:t>6</w:t>
            </w:r>
          </w:p>
        </w:tc>
        <w:tc>
          <w:tcPr>
            <w:tcW w:w="1996" w:type="dxa"/>
            <w:gridSpan w:val="2"/>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□资格审查文件</w:t>
            </w:r>
          </w:p>
        </w:tc>
        <w:tc>
          <w:tcPr>
            <w:tcW w:w="7181" w:type="dxa"/>
            <w:shd w:val="clear" w:color="auto" w:fill="auto"/>
            <w:vAlign w:val="center"/>
          </w:tcPr>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编制内容：</w:t>
            </w:r>
          </w:p>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1、通过年审的营业执照副本（原件扫描件）；</w:t>
            </w:r>
          </w:p>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2、企业资质证书（原件扫描件）；</w:t>
            </w:r>
          </w:p>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3、联合体共同投标协议（若有，原件扫描件）；</w:t>
            </w:r>
          </w:p>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4、其他：</w:t>
            </w:r>
            <w:r>
              <w:rPr>
                <w:rFonts w:hint="eastAsia" w:ascii="宋体" w:hAnsi="宋体" w:eastAsia="宋体" w:cs="宋体"/>
                <w:bCs/>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77"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996" w:type="dxa"/>
            <w:gridSpan w:val="2"/>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7181" w:type="dxa"/>
            <w:shd w:val="clear" w:color="auto" w:fill="auto"/>
            <w:vAlign w:val="center"/>
          </w:tcPr>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电子文件应采用电子投标文件编制工具制作，文件格式要求详见本范本“使用说明”。</w:t>
            </w:r>
          </w:p>
        </w:tc>
      </w:tr>
      <w:bookmarkEnd w:id="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4" w:hRule="atLeast"/>
          <w:jc w:val="center"/>
        </w:trPr>
        <w:tc>
          <w:tcPr>
            <w:tcW w:w="677"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ascii="宋体" w:hAnsi="宋体" w:eastAsia="宋体" w:cs="宋体"/>
                <w:color w:val="auto"/>
                <w:kern w:val="0"/>
                <w:szCs w:val="21"/>
                <w:highlight w:val="none"/>
              </w:rPr>
              <w:t>7</w:t>
            </w:r>
          </w:p>
        </w:tc>
        <w:tc>
          <w:tcPr>
            <w:tcW w:w="1996" w:type="dxa"/>
            <w:gridSpan w:val="2"/>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rPr>
              <w:t>业绩文件</w:t>
            </w:r>
          </w:p>
        </w:tc>
        <w:tc>
          <w:tcPr>
            <w:tcW w:w="7181"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编制内容：</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1、业绩一览表；</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2、业绩要求证明材料</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业绩文件包含：招标文件中要求提供的所有业绩证明文件。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1" w:hRule="atLeast"/>
          <w:jc w:val="center"/>
        </w:trPr>
        <w:tc>
          <w:tcPr>
            <w:tcW w:w="677"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996" w:type="dxa"/>
            <w:gridSpan w:val="2"/>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7181"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采用电子文件形式。应使用电子投标文件编制工具制作，文件格式要求详见本范本“使用说明”。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1" w:hRule="atLeast"/>
          <w:jc w:val="center"/>
        </w:trPr>
        <w:tc>
          <w:tcPr>
            <w:tcW w:w="677"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ascii="宋体" w:hAnsi="宋体" w:eastAsia="宋体" w:cs="宋体"/>
                <w:color w:val="auto"/>
                <w:kern w:val="0"/>
                <w:szCs w:val="21"/>
                <w:highlight w:val="none"/>
              </w:rPr>
              <w:t>8</w:t>
            </w:r>
          </w:p>
        </w:tc>
        <w:tc>
          <w:tcPr>
            <w:tcW w:w="1996" w:type="dxa"/>
            <w:gridSpan w:val="2"/>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投标文件递交</w:t>
            </w:r>
          </w:p>
        </w:tc>
        <w:tc>
          <w:tcPr>
            <w:tcW w:w="7181" w:type="dxa"/>
            <w:shd w:val="clear" w:color="auto" w:fill="auto"/>
            <w:vAlign w:val="center"/>
          </w:tcPr>
          <w:p>
            <w:pPr>
              <w:adjustRightInd w:val="0"/>
              <w:snapToGrid w:val="0"/>
              <w:spacing w:line="36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bCs/>
                <w:color w:val="auto"/>
                <w:kern w:val="0"/>
                <w:szCs w:val="21"/>
                <w:highlight w:val="none"/>
              </w:rPr>
              <w:t>□网上递交</w:t>
            </w:r>
            <w:r>
              <w:rPr>
                <w:rFonts w:hint="eastAsia" w:ascii="宋体" w:hAnsi="宋体" w:eastAsia="宋体" w:cs="宋体"/>
                <w:bCs/>
                <w:color w:val="auto"/>
                <w:kern w:val="0"/>
                <w:szCs w:val="21"/>
                <w:highlight w:val="none"/>
                <w:lang w:val="en-US" w:eastAsia="zh-CN"/>
              </w:rPr>
              <w:t>,</w:t>
            </w:r>
            <w:r>
              <w:rPr>
                <w:rFonts w:hint="eastAsia" w:ascii="宋体" w:hAnsi="宋体" w:eastAsia="宋体" w:cs="宋体"/>
                <w:color w:val="auto"/>
                <w:kern w:val="0"/>
                <w:szCs w:val="21"/>
                <w:highlight w:val="none"/>
              </w:rPr>
              <w:t>电子招标投标交易平台，网址：</w:t>
            </w:r>
            <w:r>
              <w:rPr>
                <w:rFonts w:hint="eastAsia" w:ascii="宋体" w:hAnsi="宋体" w:eastAsia="宋体" w:cs="宋体"/>
                <w:i w:val="0"/>
                <w:iCs w:val="0"/>
                <w:color w:val="auto"/>
                <w:kern w:val="0"/>
                <w:szCs w:val="21"/>
                <w:highlight w:val="none"/>
                <w:u w:val="single"/>
              </w:rPr>
              <w:t xml:space="preserve">            </w:t>
            </w:r>
          </w:p>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□窗口递交（一式两份）：全部投标文件刻录在同一张光盘中并密封递交</w:t>
            </w:r>
            <w:r>
              <w:rPr>
                <w:rFonts w:hint="eastAsia" w:ascii="宋体" w:hAnsi="宋体" w:eastAsia="宋体" w:cs="宋体"/>
                <w:color w:val="auto"/>
                <w:kern w:val="0"/>
                <w:szCs w:val="21"/>
                <w:highlight w:val="none"/>
              </w:rPr>
              <w:t>（资格审查文件需单独刻盘封装）</w:t>
            </w:r>
            <w:r>
              <w:rPr>
                <w:rFonts w:hint="eastAsia" w:ascii="宋体" w:hAnsi="宋体" w:eastAsia="宋体" w:cs="宋体"/>
                <w:bCs/>
                <w:color w:val="auto"/>
                <w:kern w:val="0"/>
                <w:szCs w:val="21"/>
                <w:highlight w:val="none"/>
              </w:rPr>
              <w:t>，密封袋上注明工程名称、投标人名称。</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注：若有要求提交展示图板、实物设计模型、电子演示文件或以光盘形式提交设计BIM标书文件等，则全部投标文件均无须网上递交，须于截标前递交至</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bCs/>
                <w:color w:val="auto"/>
                <w:kern w:val="0"/>
                <w:szCs w:val="21"/>
                <w:highlight w:val="none"/>
              </w:rPr>
              <w:t>截标窗口。</w:t>
            </w:r>
          </w:p>
        </w:tc>
      </w:tr>
    </w:tbl>
    <w:p>
      <w:pPr>
        <w:widowControl/>
        <w:spacing w:line="20" w:lineRule="exact"/>
        <w:jc w:val="left"/>
        <w:rPr>
          <w:color w:val="auto"/>
          <w:highlight w:val="none"/>
        </w:rPr>
      </w:pPr>
      <w:r>
        <w:rPr>
          <w:color w:val="auto"/>
          <w:highlight w:val="none"/>
        </w:rPr>
        <w:br w:type="page"/>
      </w:r>
    </w:p>
    <w:p>
      <w:pPr>
        <w:adjustRightInd w:val="0"/>
        <w:snapToGrid w:val="0"/>
        <w:spacing w:line="360" w:lineRule="auto"/>
        <w:jc w:val="center"/>
        <w:outlineLvl w:val="2"/>
        <w:rPr>
          <w:rFonts w:ascii="宋体" w:hAnsi="宋体" w:eastAsia="宋体" w:cs="宋体"/>
          <w:b/>
          <w:color w:val="auto"/>
          <w:kern w:val="0"/>
          <w:sz w:val="30"/>
          <w:szCs w:val="30"/>
          <w:highlight w:val="none"/>
        </w:rPr>
      </w:pPr>
      <w:bookmarkStart w:id="11" w:name="_Toc13058"/>
      <w:bookmarkStart w:id="12" w:name="_Toc31249"/>
      <w:r>
        <w:rPr>
          <w:rFonts w:hint="eastAsia" w:ascii="宋体" w:hAnsi="宋体" w:eastAsia="宋体" w:cs="宋体"/>
          <w:b/>
          <w:color w:val="auto"/>
          <w:kern w:val="0"/>
          <w:sz w:val="30"/>
          <w:szCs w:val="30"/>
          <w:highlight w:val="none"/>
        </w:rPr>
        <w:t>（三）招标投标分段限时投诉的规定</w:t>
      </w:r>
      <w:bookmarkEnd w:id="11"/>
      <w:bookmarkEnd w:id="12"/>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73号）、《深圳市工程建设项目招标投标活动异议和投诉处理办法》（深建规</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2020</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16号）的规定。</w:t>
      </w:r>
    </w:p>
    <w:p>
      <w:pPr>
        <w:spacing w:line="360" w:lineRule="auto"/>
        <w:ind w:firstLine="420" w:firstLineChars="200"/>
        <w:rPr>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https://zjj.sz.gov.cn/xxgk/ztzl/jsjd/），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pPr>
        <w:widowControl/>
        <w:jc w:val="left"/>
        <w:rPr>
          <w:rFonts w:ascii="宋体"/>
          <w:color w:val="auto"/>
          <w:kern w:val="0"/>
          <w:szCs w:val="21"/>
          <w:highlight w:val="none"/>
        </w:rPr>
      </w:pPr>
      <w:r>
        <w:rPr>
          <w:rFonts w:ascii="宋体"/>
          <w:color w:val="auto"/>
          <w:kern w:val="0"/>
          <w:szCs w:val="21"/>
          <w:highlight w:val="none"/>
        </w:rPr>
        <w:br w:type="page"/>
      </w:r>
    </w:p>
    <w:p>
      <w:pPr>
        <w:adjustRightInd w:val="0"/>
        <w:snapToGrid w:val="0"/>
        <w:spacing w:line="360" w:lineRule="auto"/>
        <w:jc w:val="center"/>
        <w:outlineLvl w:val="1"/>
        <w:rPr>
          <w:rFonts w:ascii="黑体" w:hAnsi="黑体" w:eastAsia="黑体" w:cs="黑体"/>
          <w:bCs/>
          <w:color w:val="auto"/>
          <w:kern w:val="0"/>
          <w:sz w:val="32"/>
          <w:szCs w:val="32"/>
          <w:highlight w:val="none"/>
        </w:rPr>
      </w:pPr>
      <w:bookmarkStart w:id="13" w:name="_Toc24081"/>
      <w:r>
        <w:rPr>
          <w:rFonts w:hint="eastAsia" w:ascii="黑体" w:hAnsi="黑体" w:eastAsia="黑体" w:cs="黑体"/>
          <w:bCs/>
          <w:color w:val="auto"/>
          <w:kern w:val="0"/>
          <w:sz w:val="32"/>
          <w:szCs w:val="32"/>
          <w:highlight w:val="none"/>
        </w:rPr>
        <w:t>二、投标文件否决性条款</w:t>
      </w:r>
      <w:bookmarkEnd w:id="13"/>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【提示招标人】</w:t>
      </w:r>
      <w:r>
        <w:rPr>
          <w:rFonts w:hint="eastAsia" w:ascii="宋体" w:hAnsi="宋体" w:eastAsia="宋体" w:cs="宋体"/>
          <w:bCs/>
          <w:color w:val="auto"/>
          <w:kern w:val="0"/>
          <w:szCs w:val="21"/>
          <w:highlight w:val="none"/>
        </w:rPr>
        <w:t>如招标文件的澄清、答疑、补充文件中增加否决性条款的，招标人应当重新编写本章节内容，将新增否决性条款列入本章节，并发布新的完整的《投标文件否决性条款》。否则，增加的否决性条款无效。</w:t>
      </w:r>
    </w:p>
    <w:p>
      <w:pPr>
        <w:adjustRightInd w:val="0"/>
        <w:snapToGrid w:val="0"/>
        <w:spacing w:line="360" w:lineRule="auto"/>
        <w:ind w:firstLine="422" w:firstLineChars="200"/>
        <w:rPr>
          <w:rFonts w:ascii="宋体" w:hAnsi="宋体" w:eastAsia="宋体" w:cs="宋体"/>
          <w:b/>
          <w:strike/>
          <w:color w:val="auto"/>
          <w:kern w:val="0"/>
          <w:szCs w:val="21"/>
          <w:highlight w:val="none"/>
        </w:rPr>
      </w:pPr>
      <w:r>
        <w:rPr>
          <w:rFonts w:hint="eastAsia" w:ascii="宋体" w:hAnsi="宋体" w:eastAsia="宋体" w:cs="宋体"/>
          <w:b/>
          <w:bCs/>
          <w:color w:val="auto"/>
          <w:kern w:val="0"/>
          <w:szCs w:val="21"/>
          <w:highlight w:val="none"/>
        </w:rPr>
        <w:t>【提示投标人和评标委员会】</w:t>
      </w:r>
      <w:r>
        <w:rPr>
          <w:rFonts w:hint="eastAsia" w:ascii="宋体" w:hAnsi="宋体" w:eastAsia="宋体" w:cs="宋体"/>
          <w:bCs/>
          <w:color w:val="auto"/>
          <w:kern w:val="0"/>
          <w:szCs w:val="21"/>
          <w:highlight w:val="none"/>
        </w:rPr>
        <w:t>本章节是本工程招标文件（含招标文件的澄清、补充文件等）中涉及的所有否决性条款，否决性条款包括：招标文件不予受理（开标阶段）、废标（评标阶段）条款。除出现以下情形外，投标文件的其他任何情形均不得作否决处理。招标文件中有关否决性条款的阐述与本章节不一致的，以本章节内容为准。</w:t>
      </w:r>
    </w:p>
    <w:p>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（一）开标阶段不予受理的情形：（由招标人或其委派人员负责判定）</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1.逾期提交投标文件的；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2.资格审查不合格的；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3.投标文件中各电子投标文件未加签有效数字证书或电子营业执照</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kern w:val="0"/>
          <w:szCs w:val="21"/>
          <w:highlight w:val="none"/>
        </w:rPr>
        <w:t>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4.所提交电子投标文件格式不符合招标文件要求或开标后交易平台无法读取导入的；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5.组成联合体投标时，未提交联合体共同投标协议书的；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6.联合体各方在同一招标项目中以自己名义单独投标或者参加其他联合体投标的；</w:t>
      </w:r>
    </w:p>
    <w:p>
      <w:pPr>
        <w:adjustRightInd w:val="0"/>
        <w:snapToGrid w:val="0"/>
        <w:spacing w:line="360" w:lineRule="auto"/>
        <w:ind w:firstLine="420" w:firstLineChars="200"/>
        <w:jc w:val="left"/>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color w:val="auto"/>
          <w:szCs w:val="21"/>
          <w:highlight w:val="none"/>
        </w:rPr>
        <w:t>单位负责人为同一人或者存在控股、管理关系的不同单位</w:t>
      </w:r>
      <w:r>
        <w:rPr>
          <w:rFonts w:hint="eastAsia" w:ascii="宋体" w:hAnsi="宋体" w:eastAsia="宋体" w:cs="宋体"/>
          <w:color w:val="auto"/>
          <w:kern w:val="0"/>
          <w:szCs w:val="21"/>
          <w:highlight w:val="none"/>
        </w:rPr>
        <w:t>提交投标文件的，在资格审查阶段，当部分相关单位自愿退出后仍有两家或两家以上要求继续进入后续招投标环节的；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8.未按招标文件要求提交投标担保的；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9.未按招标文件要求编制投标函，且投标人拒绝澄清或修正的；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10.投标人名称或组织结构与投标报名时不一致，且不能提供有效证明的；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11.被责令停业的，或被暂停投标资格的，或被取消投标资格的；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12.近3年内（从招标公告发布之日起倒算）投标人或者其法定代表人有行贿犯罪记录的；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13.近1年起（从截标之日倒算起）因串通投标、转包、以他人名义投标或者违法分包等违法行为受到建设、交通或者财政部门行政处罚的；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14.因违反工程质量、安全生产管理规定等原因被建设部门给予红色警示且在警示期内的；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15.拖欠工人工资被有关部门责令改正而未改正的；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16.依法应当拒绝投标的其他情形。</w:t>
      </w:r>
    </w:p>
    <w:p>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（二）</w:t>
      </w:r>
      <w:r>
        <w:rPr>
          <w:rFonts w:hint="eastAsia" w:ascii="宋体" w:hAnsi="宋体" w:eastAsia="宋体" w:cs="宋体"/>
          <w:b/>
          <w:bCs/>
          <w:color w:val="auto"/>
          <w:kern w:val="0"/>
          <w:szCs w:val="21"/>
          <w:highlight w:val="none"/>
        </w:rPr>
        <w:t>评标阶段有关废标的情形：（由评标委员会负责判定）</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1.采用暗标方式的，投标人在暗标部分投标文件内标注名称、印章、商标等标记符号，使得能够辨认出投标人或其专业技术人员身份的；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2.投标人以他人的名义投标或出现下列串通投标、弄虚作假投标嫌疑情形之一的：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2.1不同投标人的投标文件内容存在非正常一致的；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2.2不同投标人的投标文件错漏之处一致的；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2.3不同投标人的投标文件由同一单位或者同一个人编制的；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2.4不同投标人的投标文件载明的项目管理班子成员出现同一人的；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2.5不同投标人的投标文件相互混装的；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2.6不同投标人的投标文件由同一台电脑编制的；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2.7不同投标人聘请同一人为其投标提供技术或者经济咨询服务的，但招标工程本身要求采用专有技术的除外；</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2.8评标委员会认定的其他串通投标情形；</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3.技术标书内容明显违反项目规划设计要点，技术经济指标严重失实的；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4.技术标书中存在违反国家工程建设标准强制性条文的；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5.评标委员会三分之二及以上成员认为应当废标的其他情形。</w:t>
      </w:r>
    </w:p>
    <w:p>
      <w:pPr>
        <w:adjustRightInd w:val="0"/>
        <w:snapToGrid w:val="0"/>
        <w:spacing w:line="360" w:lineRule="auto"/>
        <w:ind w:firstLine="422" w:firstLineChars="200"/>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（招标人对上述内容有修改或补充的，以下述条款为准）</w:t>
      </w:r>
    </w:p>
    <w:p>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（三）招标人补充的投标文件不予受理的情形：</w:t>
      </w:r>
    </w:p>
    <w:p>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bCs/>
          <w:color w:val="auto"/>
          <w:kern w:val="0"/>
          <w:szCs w:val="21"/>
          <w:highlight w:val="none"/>
          <w:u w:val="single"/>
        </w:rPr>
        <w:t xml:space="preserve">      </w:t>
      </w:r>
    </w:p>
    <w:p>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（四）招标人补充的废标情形：</w:t>
      </w:r>
    </w:p>
    <w:p>
      <w:pPr>
        <w:adjustRightInd w:val="0"/>
        <w:snapToGrid w:val="0"/>
        <w:spacing w:line="360" w:lineRule="auto"/>
        <w:ind w:firstLine="420" w:firstLineChars="200"/>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p>
      <w:pPr>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br w:type="page"/>
      </w:r>
    </w:p>
    <w:p>
      <w:pPr>
        <w:adjustRightInd w:val="0"/>
        <w:snapToGrid w:val="0"/>
        <w:spacing w:line="360" w:lineRule="auto"/>
        <w:jc w:val="center"/>
        <w:outlineLvl w:val="1"/>
        <w:rPr>
          <w:rFonts w:ascii="黑体" w:hAnsi="黑体" w:eastAsia="黑体" w:cs="黑体"/>
          <w:bCs/>
          <w:color w:val="auto"/>
          <w:kern w:val="0"/>
          <w:sz w:val="32"/>
          <w:szCs w:val="32"/>
          <w:highlight w:val="none"/>
        </w:rPr>
      </w:pPr>
      <w:bookmarkStart w:id="14" w:name="_Toc14481"/>
      <w:r>
        <w:rPr>
          <w:rFonts w:hint="eastAsia" w:ascii="黑体" w:hAnsi="黑体" w:eastAsia="黑体" w:cs="黑体"/>
          <w:bCs/>
          <w:color w:val="auto"/>
          <w:kern w:val="0"/>
          <w:sz w:val="32"/>
          <w:szCs w:val="32"/>
          <w:highlight w:val="none"/>
        </w:rPr>
        <w:t>三、招投标须知正文</w:t>
      </w:r>
      <w:bookmarkEnd w:id="14"/>
    </w:p>
    <w:p>
      <w:pPr>
        <w:adjustRightInd w:val="0"/>
        <w:snapToGrid w:val="0"/>
        <w:spacing w:line="360" w:lineRule="auto"/>
        <w:jc w:val="center"/>
        <w:outlineLvl w:val="2"/>
        <w:rPr>
          <w:rFonts w:ascii="宋体" w:hAnsi="宋体" w:eastAsia="宋体" w:cs="宋体"/>
          <w:b/>
          <w:color w:val="auto"/>
          <w:kern w:val="0"/>
          <w:sz w:val="30"/>
          <w:szCs w:val="30"/>
          <w:highlight w:val="none"/>
        </w:rPr>
      </w:pPr>
      <w:bookmarkStart w:id="15" w:name="_Toc7229"/>
      <w:r>
        <w:rPr>
          <w:rFonts w:hint="eastAsia" w:ascii="宋体" w:hAnsi="宋体" w:eastAsia="宋体" w:cs="宋体"/>
          <w:b/>
          <w:color w:val="auto"/>
          <w:kern w:val="0"/>
          <w:sz w:val="30"/>
          <w:szCs w:val="30"/>
          <w:highlight w:val="none"/>
        </w:rPr>
        <w:t>（一）招标</w:t>
      </w:r>
      <w:bookmarkEnd w:id="15"/>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1.1招标文件的编制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1.1.1招标人应根据招标项目特点和招标公告约定编制招标文件。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1.1.2招标文件的编制，必须依照以下格式及包括下列内容：</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(1)第一章  使用说明</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(2)第二章  投标须知</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highlight w:val="none"/>
        </w:rPr>
        <w:t>第三章  招标人对招标文件的补充/修改</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(4)第四章  设计任务书及前期资料</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(5)第五章  投标文件格式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(6)第六章  合同条款</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1.2踏勘现场</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1.2.1在投标文件编制前，招标人将按照前附表所规定方式，组织投标人踏勘项目现场及其周围环境，以便投标人获取编制投标文件和签署合同所需全部资料。投标人承担踏勘现场所发生的自身费用。</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1.2.2招标人向投标人所提供有关项目现场的数据和资料，是踏勘当时现有的、能被投标人采用的资料。招标人对于投标人由此所作任何推论、理解和分析，不承担责任。</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1.2.3经招标人允许，投标人可因踏勘目的而进入招标项目现场，但投标人不得因此使得招标人承担有关责任和蒙受损失。投标人须自行承担踏勘现场的责任、风险及相关费用。</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1.3招标文件的澄清、修改、补充</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1.3.1招标人对招标文件进行的澄清、修改以补充文件的形式，将于规定的招标人答疑截止时间前报主管部门备案，并通过</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向所有投标人公示。投标人应随时上网查看最新信息，否则由此导致不利后果的，由投标人自行承担。</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1.3.2招标文件的补充文件是招标文件的组成部分。当招标文件与补充文件的内容不一致时，以补充文件为准；当补充文件之间的内容不一致时，以最后发出的文件为准。</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1.3.3为确保投标人有充分时间对招标文件修改内容进行研究，招标人可酌情延长投标截止时间，并在招标文件补充文件中予以明确。</w:t>
      </w:r>
    </w:p>
    <w:p>
      <w:pPr>
        <w:adjustRightInd w:val="0"/>
        <w:snapToGrid w:val="0"/>
        <w:spacing w:line="360" w:lineRule="auto"/>
        <w:jc w:val="center"/>
        <w:outlineLvl w:val="2"/>
        <w:rPr>
          <w:rFonts w:ascii="宋体" w:hAnsi="宋体" w:eastAsia="宋体" w:cs="宋体"/>
          <w:b/>
          <w:color w:val="auto"/>
          <w:kern w:val="0"/>
          <w:sz w:val="30"/>
          <w:highlight w:val="none"/>
        </w:rPr>
      </w:pPr>
      <w:bookmarkStart w:id="16" w:name="_Toc17700"/>
      <w:r>
        <w:rPr>
          <w:rFonts w:hint="eastAsia" w:ascii="宋体" w:hAnsi="宋体" w:eastAsia="宋体" w:cs="宋体"/>
          <w:b/>
          <w:color w:val="auto"/>
          <w:kern w:val="0"/>
          <w:sz w:val="30"/>
          <w:highlight w:val="none"/>
        </w:rPr>
        <w:t>（二）投标</w:t>
      </w:r>
      <w:bookmarkEnd w:id="16"/>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2.1文件编制语言、度量单位</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2.1.1投标人与招标人之间与投标有关的所有往来通知、函件和投标文件，均应使用中文。投标文件中的外文专业术语，须附上其中文注释。投标人随投标文件提供的证明资料、支持文件等，若有采用其他语言表述的，则必须附有中文译文（否则该资料可以不予认可，由此导致不利后果的，由投标人自行承担）。对投标文件的最终解释，将以中文或中文译文为准。</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2.1.2除工程建设标准及技术要求另有规定外，投标文件所使用度量单位，均采用中华人民共和国法定计量单位。</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2.1.3涉及货币种类时，除特殊说明外，均指人民币。</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2.2投标人资格要求</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2.2.1 投标人应当具备承担本招标项目的能力；具备国家有关规定或者招标文件规定的资格条件；且通过合法途径取得招标文件。</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2.2.2关于联合体投标</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（1）由两个或两个以上法人</w:t>
      </w:r>
      <w:r>
        <w:rPr>
          <w:rFonts w:hint="eastAsia" w:ascii="宋体" w:hAnsi="宋体" w:eastAsia="宋体" w:cs="宋体"/>
          <w:color w:val="auto"/>
          <w:szCs w:val="21"/>
          <w:highlight w:val="none"/>
        </w:rPr>
        <w:t>或者其他组织</w:t>
      </w:r>
      <w:r>
        <w:rPr>
          <w:rFonts w:hint="eastAsia" w:ascii="宋体" w:hAnsi="宋体" w:eastAsia="宋体" w:cs="宋体"/>
          <w:color w:val="auto"/>
          <w:kern w:val="0"/>
          <w:szCs w:val="21"/>
          <w:highlight w:val="none"/>
        </w:rPr>
        <w:t>组成一个联合体以一个投标人的身份共同投标时，应符合招标项目资质及其他相关要求；</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（2）投标人的投标文件及中标后签署的合同协议书对联合体每一成员均具</w:t>
      </w:r>
      <w:r>
        <w:rPr>
          <w:rFonts w:hint="eastAsia" w:ascii="宋体" w:hAnsi="宋体" w:eastAsia="宋体" w:cs="宋体"/>
          <w:color w:val="auto"/>
          <w:kern w:val="0"/>
          <w:szCs w:val="21"/>
          <w:highlight w:val="none"/>
          <w:lang w:val="en-US" w:eastAsia="zh-CN"/>
        </w:rPr>
        <w:t>有</w:t>
      </w:r>
      <w:r>
        <w:rPr>
          <w:rFonts w:hint="eastAsia" w:ascii="宋体" w:hAnsi="宋体" w:eastAsia="宋体" w:cs="宋体"/>
          <w:color w:val="auto"/>
          <w:kern w:val="0"/>
          <w:szCs w:val="21"/>
          <w:highlight w:val="none"/>
        </w:rPr>
        <w:t>法律约束力；</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（3）联合体的各成员应当签订共同投标协议，明确约定各方拟承担的工作和责任，并将该共同投标协议随投标文件一并递交给招标人；</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（4）联合体中标后，联合体各方应当共同与招标人签订合同，为履行合同向招标人承担连带责任；</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（5）由联合体的各成员提交一份授权书，证明联合体代表资格，该授权书作为投标文件的组成部分一并提交给招标人；</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（6）联合体主体作为联合体所有成员的代表承担责任和接受指令，并负责整个合同的全面履行；</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（7）参加联合体的各成员不得再以自己的名义单独投标，也不得同时参加两个或两个以上的联合体投标。</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2.3投标文件的编制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2.3.1投标文件编制成果及要求</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投标文件由技术标和资信标两部分组成。详见前附表规定和本招标文件范本第五章《投标文件格式》。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2.3.2投标文件的签署</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投标文件必须使用投标人的机构数字证书或电子营业执照和法人数字证书进行签名。</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2.4对招标文件查收及质疑</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2.4.1投标人获取招标文件后，应仔细检查招标文件是否完整。如有残缺，应在获取招标文件后3日内向招标人提出，以便补齐。否则，由此导致不利后果的，由投标人自己承担。</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2.4.2投标人对招标文件若有其他疑问，应于前附表规定的时间和方式向招标人提出，逾期不予受理。</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2.5投标有效期</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2.5.1投标有效期按法律法规规定期限内，所有投标文件均保持有效。</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的退还与没收的规定仍然适用。</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2.6投标担保</w:t>
      </w:r>
    </w:p>
    <w:p>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2.6.1投标人应按前附表的规定提交投标担保</w:t>
      </w:r>
      <w:r>
        <w:rPr>
          <w:rFonts w:hint="eastAsia" w:ascii="宋体" w:hAnsi="宋体" w:eastAsia="宋体" w:cs="宋体"/>
          <w:color w:val="auto"/>
          <w:kern w:val="0"/>
          <w:szCs w:val="21"/>
          <w:highlight w:val="none"/>
          <w:lang w:eastAsia="zh-CN"/>
        </w:rPr>
        <w:t>。</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2.6.2</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w:t>
      </w: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2.6.3</w:t>
      </w:r>
      <w:r>
        <w:rPr>
          <w:rFonts w:hint="eastAsia" w:ascii="宋体" w:hAnsi="宋体" w:eastAsia="宋体" w:cs="宋体"/>
          <w:color w:val="auto"/>
          <w:szCs w:val="21"/>
          <w:highlight w:val="none"/>
        </w:rPr>
        <w:t>对于未能按要求提交投标担保的，投标文件将按有关条款不予受理。</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2.6.4</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2.6.5</w:t>
      </w:r>
      <w:r>
        <w:rPr>
          <w:rFonts w:hint="eastAsia" w:ascii="宋体" w:hAnsi="宋体" w:eastAsia="宋体" w:cs="宋体"/>
          <w:color w:val="auto"/>
          <w:szCs w:val="21"/>
          <w:highlight w:val="none"/>
        </w:rPr>
        <w:t>出现下列情形之一时，招标人应当在7天内退还投标人的投标担保：</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中标通知书发出，中标人签订了工程承包合同；</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招标过程中招标活动因正当理由被招标人宣布终止；</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招标失败需重新组织招标；</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投标有效期满而投标人不同意作出延长。</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2.6.6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投标人有弄虚作假或串通投标等违法违规行为；</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投标人在投标有效期内撤回其投标文件；</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中标人无正当理由不与招标人订立合同，在签订合同时向招标人提出附加条件，或者不按照招标文件要求提交履约保证金的；</w:t>
      </w:r>
    </w:p>
    <w:p>
      <w:pPr>
        <w:adjustRightInd w:val="0"/>
        <w:snapToGrid w:val="0"/>
        <w:spacing w:line="360" w:lineRule="auto"/>
        <w:ind w:firstLine="420" w:firstLineChars="200"/>
        <w:jc w:val="left"/>
        <w:rPr>
          <w:rFonts w:hint="eastAsia" w:ascii="宋体" w:hAnsi="宋体" w:eastAsia="宋体" w:cs="宋体"/>
          <w:strike/>
          <w:color w:val="auto"/>
          <w:kern w:val="0"/>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投标人资质证书被暂扣或吊销，但仍参与投标的。</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2.7投标文件的提交</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2.7.1投标截止时间</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投标人应根据前附表规定，在投标截止时间前完成投标文件递交，逾期概不受理。</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2.7.2投标文件的补充、修改与撤回</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（1）递交投标文件之后至规定的投标截止时间之前，投标人可以撤回、补充或修改其已提交的投标文件，并通知招标人。补充、修改内容亦为投标文件有效组成部分。</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（2）投标人的撤回、补充、修改，仍应按前附表规定编制和递交，并重新进行电子签名确认和打印回执。</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（3）投标截止时间之后、投标有效期终止之前，投标人不得补充、修改或者撤回其已提交的投标文件。</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2.7.3截标时投标人的数量要求</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截标时，递交标书的投标人数量不足3名的，招标人将按相关法律法规的规定，暂停开标和评标程序。如因此导致招标失败，招标人将不负担给投标人造成的损失（已规定有投标补偿的除外）。</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联合体投标的工程，联合体主体单位应在投标时录入已进行企业信息备案或be登记的联合体其他成员单位。</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2.8投标补偿</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对于投标人是否（或如何）予以投标补偿，均须遵循招标公告或前附表约定。</w:t>
      </w:r>
    </w:p>
    <w:p>
      <w:pPr>
        <w:adjustRightInd w:val="0"/>
        <w:snapToGrid w:val="0"/>
        <w:spacing w:before="0" w:after="0" w:line="360" w:lineRule="auto"/>
        <w:ind w:left="0" w:firstLine="0"/>
        <w:jc w:val="left"/>
        <w:rPr>
          <w:rFonts w:hint="eastAsia" w:ascii="宋体" w:hAnsi="宋体" w:eastAsia="宋体" w:cs="宋体"/>
          <w:b/>
          <w:color w:val="auto"/>
          <w:kern w:val="0"/>
          <w:sz w:val="21"/>
          <w:szCs w:val="22"/>
          <w:highlight w:val="none"/>
        </w:rPr>
      </w:pPr>
      <w:r>
        <w:rPr>
          <w:rFonts w:hint="eastAsia" w:ascii="宋体" w:hAnsi="宋体" w:eastAsia="宋体" w:cs="宋体"/>
          <w:b/>
          <w:color w:val="auto"/>
          <w:kern w:val="0"/>
          <w:sz w:val="21"/>
          <w:szCs w:val="22"/>
          <w:highlight w:val="none"/>
        </w:rPr>
        <w:t>2.9其他规定</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投标人保证投标文件及资料均未侵犯他人的知识产权，否则必须承担全部责任。若投标人使用了他人的专利、专有技术，涉及的费用由投标人负责。</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中标后应按照《深圳经济特区数据条例》的有关规定，加强对BIM数据的安全管理，建立健全数据管理制度，及时排查BIM数据在存储、使用、加工、传递、交付过程中可能出现的信息安全隐患，做好安全防护和处理。</w:t>
      </w:r>
    </w:p>
    <w:p>
      <w:pPr>
        <w:adjustRightInd w:val="0"/>
        <w:snapToGrid w:val="0"/>
        <w:spacing w:line="360" w:lineRule="auto"/>
        <w:ind w:firstLine="420" w:firstLineChars="200"/>
        <w:jc w:val="left"/>
        <w:rPr>
          <w:rFonts w:ascii="宋体" w:hAnsi="宋体" w:eastAsia="宋体" w:cs="宋体"/>
          <w:color w:val="auto"/>
          <w:kern w:val="0"/>
          <w:szCs w:val="21"/>
          <w:highlight w:val="none"/>
        </w:rPr>
      </w:pPr>
    </w:p>
    <w:p>
      <w:pPr>
        <w:adjustRightInd w:val="0"/>
        <w:snapToGrid w:val="0"/>
        <w:spacing w:line="360" w:lineRule="auto"/>
        <w:ind w:firstLine="420" w:firstLineChars="200"/>
        <w:jc w:val="left"/>
        <w:rPr>
          <w:rFonts w:ascii="宋体" w:hAnsi="宋体" w:eastAsia="宋体" w:cs="宋体"/>
          <w:color w:val="auto"/>
          <w:kern w:val="0"/>
          <w:szCs w:val="21"/>
          <w:highlight w:val="none"/>
        </w:rPr>
      </w:pPr>
    </w:p>
    <w:p>
      <w:pPr>
        <w:adjustRightInd w:val="0"/>
        <w:snapToGrid w:val="0"/>
        <w:spacing w:line="360" w:lineRule="auto"/>
        <w:jc w:val="center"/>
        <w:outlineLvl w:val="2"/>
        <w:rPr>
          <w:rFonts w:ascii="宋体" w:hAnsi="宋体" w:eastAsia="宋体" w:cs="宋体"/>
          <w:b/>
          <w:color w:val="auto"/>
          <w:kern w:val="0"/>
          <w:sz w:val="30"/>
          <w:highlight w:val="none"/>
        </w:rPr>
      </w:pPr>
      <w:bookmarkStart w:id="17" w:name="_Toc1632"/>
      <w:r>
        <w:rPr>
          <w:rFonts w:hint="eastAsia" w:ascii="宋体" w:hAnsi="宋体" w:eastAsia="宋体" w:cs="宋体"/>
          <w:b/>
          <w:color w:val="auto"/>
          <w:kern w:val="0"/>
          <w:sz w:val="30"/>
          <w:highlight w:val="none"/>
        </w:rPr>
        <w:t>（三）资格后审</w:t>
      </w:r>
      <w:bookmarkEnd w:id="17"/>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采用资格后审方式的，按以下规定进行：</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3.1资格审查由招标人组成的资格后审委员会负责，在截标后，每一个投标人的资格审查文件均在</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对本项目投标人公开，招标人</w:t>
      </w:r>
      <w:r>
        <w:rPr>
          <w:rFonts w:hint="eastAsia" w:ascii="宋体" w:hAnsi="宋体" w:eastAsia="宋体" w:cs="宋体"/>
          <w:color w:val="auto"/>
          <w:kern w:val="0"/>
          <w:szCs w:val="21"/>
          <w:highlight w:val="none"/>
          <w:lang w:eastAsia="zh-CN"/>
        </w:rPr>
        <w:t>登录</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对各投标人资格进行审查。</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3.2资格后审委员会成员数量为3人以上单数，招标代理人员参与资格审查的，其人员不得超过总人数的1/3。</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3.3资格后审委员严格对照招标公告中要求的投标人资格条件，逐个审查投标人递交的资格审查文件，审核判断投标人是否满足该资格条件。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3.4审查过程中如出现疑问，资格后审委员可要求投标人进行澄清说明，并根据招标公告设置的条件要求进行判断；如出现投标人资格不符合招标公告设置条件的，应当向投标人说明情况，并允许投标人答辩，记录有关情况。</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3.5拟进行资格后审澄清、答辩的代表由招标人核对身份。</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3.6资格后审委员会要求投标人进行澄清、答辩，但投标人在招标人规定时间内未派出人员及时作出澄清、答辩的，资格后审委员会将可能作出不利于投标人的判定。</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3.7</w:t>
      </w:r>
      <w:r>
        <w:rPr>
          <w:rFonts w:hint="eastAsia" w:ascii="宋体" w:hAnsi="宋体" w:eastAsia="宋体" w:cs="宋体"/>
          <w:color w:val="auto"/>
          <w:szCs w:val="21"/>
          <w:highlight w:val="none"/>
        </w:rPr>
        <w:t>全部投标人的资格审查材料审查完毕后，资格后审委员会出具资格审查报告，并按规定将审查结果进行公示，同时由系统直接将所有投标人的</w:t>
      </w:r>
      <w:r>
        <w:rPr>
          <w:rFonts w:hint="eastAsia" w:ascii="仿宋_GB2312" w:hAnsi="仿宋_GB2312" w:eastAsia="仿宋_GB2312" w:cs="仿宋_GB2312"/>
          <w:color w:val="auto"/>
          <w:sz w:val="21"/>
          <w:szCs w:val="21"/>
          <w:highlight w:val="none"/>
          <w:lang w:val="en-US" w:eastAsia="zh-CN"/>
        </w:rPr>
        <w:t>业绩文件</w:t>
      </w:r>
      <w:r>
        <w:rPr>
          <w:rFonts w:hint="eastAsia" w:ascii="宋体" w:hAnsi="宋体" w:eastAsia="宋体" w:cs="宋体"/>
          <w:color w:val="auto"/>
          <w:szCs w:val="21"/>
          <w:highlight w:val="none"/>
        </w:rPr>
        <w:t>内容公示。资格审查合格投标人少于3家的，不再进行后续招标投标程序。资格审查结果应当在交易网公示不少于3个工作日。</w:t>
      </w:r>
    </w:p>
    <w:p>
      <w:pPr>
        <w:adjustRightInd w:val="0"/>
        <w:snapToGrid w:val="0"/>
        <w:spacing w:line="360" w:lineRule="auto"/>
        <w:jc w:val="center"/>
        <w:outlineLvl w:val="2"/>
        <w:rPr>
          <w:rFonts w:ascii="宋体" w:hAnsi="宋体" w:eastAsia="宋体" w:cs="宋体"/>
          <w:b/>
          <w:color w:val="auto"/>
          <w:kern w:val="0"/>
          <w:sz w:val="30"/>
          <w:highlight w:val="none"/>
        </w:rPr>
      </w:pPr>
      <w:bookmarkStart w:id="18" w:name="_Toc10182"/>
      <w:r>
        <w:rPr>
          <w:rFonts w:hint="eastAsia" w:ascii="宋体" w:hAnsi="宋体" w:eastAsia="宋体" w:cs="宋体"/>
          <w:b/>
          <w:color w:val="auto"/>
          <w:kern w:val="0"/>
          <w:sz w:val="30"/>
          <w:highlight w:val="none"/>
        </w:rPr>
        <w:t>（四）开标</w:t>
      </w:r>
      <w:bookmarkEnd w:id="18"/>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4.1开标会议由招标人在交易网进行，投标人现场参加开标会的必须是法定代表人或投标员，并必须遵守办理程序及人员身份的相关规定。</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4.2资格后审不合格的投标人不进入开标程序。</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4.3开标时，需按开标程序分步对电子投标文件各部分进行导入；如电子投标文件已加密的，也必须按开标程序分步对电子投标文件各部分进行解密。</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4.4按“投标文件否决性条款”规定宣布为不予受理情形的投标文件，不予送交评标委员会评审。</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w:t>
      </w:r>
      <w:r>
        <w:rPr>
          <w:rFonts w:hint="eastAsia" w:ascii="宋体" w:hAnsi="宋体" w:eastAsia="宋体" w:cs="宋体"/>
          <w:color w:val="auto"/>
          <w:szCs w:val="21"/>
          <w:highlight w:val="none"/>
        </w:rPr>
        <w:t>对于</w:t>
      </w:r>
      <w:r>
        <w:rPr>
          <w:rFonts w:hint="eastAsia" w:ascii="宋体" w:hAnsi="宋体" w:eastAsia="宋体" w:cs="宋体"/>
          <w:color w:val="auto"/>
          <w:szCs w:val="21"/>
          <w:highlight w:val="none"/>
          <w:lang w:val="en-US" w:eastAsia="zh-CN"/>
        </w:rPr>
        <w:t>资格审查</w:t>
      </w:r>
      <w:r>
        <w:rPr>
          <w:rFonts w:hint="eastAsia" w:ascii="宋体" w:hAnsi="宋体" w:eastAsia="宋体" w:cs="宋体"/>
          <w:color w:val="auto"/>
          <w:szCs w:val="21"/>
          <w:highlight w:val="none"/>
        </w:rPr>
        <w:t>合格的投标人数量超过20名的，招标人应当采用票决法淘汰部分投标人，但进入后续评标程序的投标人数量应当为15至20名。</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pPr>
        <w:adjustRightInd w:val="0"/>
        <w:snapToGrid w:val="0"/>
        <w:spacing w:line="360" w:lineRule="auto"/>
        <w:ind w:firstLine="420" w:firstLineChars="200"/>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招标人在过多投标人淘汰环节应当采用票决法进行择优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w:t>
      </w:r>
      <w:r>
        <w:rPr>
          <w:rFonts w:hint="eastAsia" w:ascii="宋体" w:hAnsi="宋体" w:eastAsia="宋体" w:cs="宋体"/>
          <w:color w:val="auto"/>
          <w:szCs w:val="21"/>
          <w:highlight w:val="none"/>
          <w:lang w:val="en-US" w:eastAsia="zh-CN"/>
        </w:rPr>
        <w:t>负责人</w:t>
      </w:r>
      <w:r>
        <w:rPr>
          <w:rFonts w:hint="eastAsia" w:ascii="宋体" w:hAnsi="宋体" w:eastAsia="宋体" w:cs="宋体"/>
          <w:color w:val="auto"/>
          <w:szCs w:val="21"/>
          <w:highlight w:val="none"/>
        </w:rPr>
        <w:t>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strike w:val="0"/>
          <w:color w:val="auto"/>
          <w:kern w:val="0"/>
          <w:szCs w:val="21"/>
          <w:highlight w:val="none"/>
        </w:rPr>
        <w:t>招标人可以根据项目实际情况增加择优因素，也可以综合考虑择优因素或按择优因素的重要性，对投标人进行逐级淘汰。</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4.6招标人应对开标过程进行记录，以存档备查。</w:t>
      </w:r>
      <w:r>
        <w:rPr>
          <w:rFonts w:hint="eastAsia" w:ascii="宋体" w:hAnsi="宋体" w:eastAsia="宋体" w:cs="宋体"/>
          <w:color w:val="auto"/>
          <w:szCs w:val="21"/>
          <w:highlight w:val="none"/>
        </w:rPr>
        <w:t>开标及入围结果应当在交易网进行公示。</w:t>
      </w:r>
    </w:p>
    <w:p>
      <w:pPr>
        <w:adjustRightInd w:val="0"/>
        <w:snapToGrid w:val="0"/>
        <w:spacing w:line="360" w:lineRule="auto"/>
        <w:ind w:firstLine="420" w:firstLineChars="200"/>
        <w:rPr>
          <w:rFonts w:ascii="宋体" w:hAnsi="宋体" w:eastAsia="宋体" w:cs="宋体"/>
          <w:color w:val="auto"/>
          <w:kern w:val="0"/>
          <w:szCs w:val="21"/>
          <w:highlight w:val="none"/>
        </w:rPr>
      </w:pPr>
    </w:p>
    <w:p>
      <w:pPr>
        <w:adjustRightInd w:val="0"/>
        <w:snapToGrid w:val="0"/>
        <w:spacing w:line="360" w:lineRule="auto"/>
        <w:jc w:val="center"/>
        <w:outlineLvl w:val="2"/>
        <w:rPr>
          <w:rFonts w:ascii="宋体" w:hAnsi="宋体" w:eastAsia="宋体" w:cs="宋体"/>
          <w:b/>
          <w:color w:val="auto"/>
          <w:kern w:val="0"/>
          <w:sz w:val="30"/>
          <w:highlight w:val="none"/>
        </w:rPr>
      </w:pPr>
      <w:bookmarkStart w:id="19" w:name="_Toc2418"/>
      <w:r>
        <w:rPr>
          <w:rFonts w:hint="eastAsia" w:ascii="宋体" w:hAnsi="宋体" w:eastAsia="宋体" w:cs="宋体"/>
          <w:b/>
          <w:color w:val="auto"/>
          <w:kern w:val="0"/>
          <w:sz w:val="30"/>
          <w:highlight w:val="none"/>
        </w:rPr>
        <w:t>（五）评标</w:t>
      </w:r>
      <w:bookmarkEnd w:id="19"/>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评标委员会应当根据“投标须知前附表”规定的评标方法，对投标文件进行评审和比较，招标文件中没有规定的标准和方法不得作为评标的依据。</w:t>
      </w:r>
    </w:p>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color w:val="auto"/>
          <w:kern w:val="0"/>
          <w:highlight w:val="none"/>
        </w:rPr>
        <w:t>5.1评标委员会组建及职责</w:t>
      </w:r>
      <w:r>
        <w:rPr>
          <w:rFonts w:hint="eastAsia" w:ascii="宋体" w:hAnsi="宋体" w:eastAsia="宋体" w:cs="宋体"/>
          <w:b/>
          <w:bCs/>
          <w:color w:val="auto"/>
          <w:kern w:val="0"/>
          <w:szCs w:val="21"/>
          <w:highlight w:val="none"/>
        </w:rPr>
        <w:t xml:space="preserve"> </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5.1.1评标委员会组建方式：由招标人依法组建，负责评标活动。评标委员会的专家成员由招标人从评标专家库内按照专业随机抽取，评标委员会成员数量为5人以上单数，招标人可以委派一名代表。</w:t>
      </w:r>
    </w:p>
    <w:p>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5.1.2评标委员会职责：评标委员会应根据招标文件规定的评标方法和标准，遵循公开、公正、公平、科学、择优的原则，对投标文件进行评审。评标委员会根据招标文件规定向招标人推荐合格投标人或中标候选人。</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5.1.</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szCs w:val="21"/>
          <w:highlight w:val="none"/>
        </w:rPr>
        <w:t>评标委员会成员应认真、公正、诚实、廉洁、勤勉地履行专家职责，按时参加评标，严格遵守评标纪律，并对评标结果终身负责。</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5.2投标文件的初步评审</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5.2.1计算机评标系统对投标文件进行自动清标分析，然后由评标委员会进行投标文件的初步评审。</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5.2.2投标文件初步评审不合格的，应参照投标文件否决性条款作相应处理。</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5.3投标文件的详细评审</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评标委员会根据招标文件规定的评标方法和标准，对各投标人的投标文件分别进行详细评审。</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5.4投标文件的重大偏差</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投标文件存在的重大偏差情形的，评标委员会应根据相应的投标文件否决性条款作废标处理。</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5.5投标文件的细微偏差</w:t>
      </w:r>
    </w:p>
    <w:p>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5.6投标文件的澄清答辩</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5.6.2采用评标区录音电话方式澄清答辩的答辩人，仅限该项目递交投标文件时确定的投标员，投标员的联系方式以截标信息为准。采用现场方式澄清答辩的答辩人应为该单位的授权委托人，授权委托人须本人携带有效的身份证明文件（包含身份证原件、法定代表人证明书、法人授权委托书等）。澄清答辩人员的身份由招标人核验。</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5.6.3评标委员会要求投标人进行答辩，但投标人在评标委员会规定的时间（不少于30分钟）内未派出代表及时作出答辩的，评标委员会将根据招标文件规定作出不利于投标人的判定，投标人不得因此提出任何异议。</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5.7 废标的处理</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5.7.1除法律、法规、规章、规范性文件规定以及本招标文件否决性条款单列的废标情形外，评标委员会不得对投标文件作废标处理。评标委员会对投标文件应坚持谨慎废标的原则。 </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5.7.2评标委员会在作出任何一项废标决定前，都应当严格遵循以下程序：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①向当事投标人作相应的澄清。</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②当事投标人应当在通知规定时间内，向评标委员会作出澄清和解释。未按时作出澄清和解释的，评标委员会可对相应投标文件按最不利情形认定。</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③在充分讨论的基础上集体表决。</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④若表决通过废标决定，应在评标报告中详细载明废标的理由、依据、答辩的情况和集体表决的情况（同意废标和不同意废标的评标委员会成员均应当注明）。</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⑤评标委员会在否决所有投标文件前，应当向招标人核实有关情况，听取招标人意见。</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5.8</w:t>
      </w:r>
      <w:r>
        <w:rPr>
          <w:rFonts w:hint="eastAsia" w:ascii="宋体" w:hAnsi="宋体" w:eastAsia="宋体" w:cs="宋体"/>
          <w:b/>
          <w:bCs/>
          <w:strike w:val="0"/>
          <w:color w:val="auto"/>
          <w:szCs w:val="21"/>
          <w:highlight w:val="none"/>
          <w:lang w:val="en-US" w:eastAsia="zh-CN"/>
        </w:rPr>
        <w:t>中标候选人</w:t>
      </w:r>
      <w:r>
        <w:rPr>
          <w:rFonts w:hint="eastAsia" w:ascii="宋体" w:hAnsi="宋体" w:eastAsia="宋体" w:cs="宋体"/>
          <w:b/>
          <w:color w:val="auto"/>
          <w:kern w:val="0"/>
          <w:highlight w:val="none"/>
        </w:rPr>
        <w:t>的推荐</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5.8.1评标委员会实行少数服从多数的原则，评标结果经评标委员会全体成员过半数通过有效。</w:t>
      </w:r>
    </w:p>
    <w:p>
      <w:pPr>
        <w:adjustRightInd w:val="0"/>
        <w:snapToGrid w:val="0"/>
        <w:spacing w:line="360" w:lineRule="auto"/>
        <w:ind w:firstLine="420" w:firstLineChars="200"/>
        <w:rPr>
          <w:rFonts w:ascii="宋体" w:hAnsi="宋体" w:eastAsia="宋体" w:cs="宋体"/>
          <w:strike/>
          <w:color w:val="auto"/>
          <w:szCs w:val="21"/>
          <w:highlight w:val="none"/>
        </w:rPr>
      </w:pPr>
      <w:r>
        <w:rPr>
          <w:rFonts w:hint="eastAsia" w:ascii="宋体" w:hAnsi="宋体" w:eastAsia="宋体" w:cs="宋体"/>
          <w:color w:val="auto"/>
          <w:kern w:val="0"/>
          <w:szCs w:val="21"/>
          <w:highlight w:val="none"/>
        </w:rPr>
        <w:t>5.8.2</w:t>
      </w:r>
      <w:r>
        <w:rPr>
          <w:rFonts w:hint="eastAsia" w:ascii="宋体" w:hAnsi="宋体" w:eastAsia="宋体" w:cs="宋体"/>
          <w:strike w:val="0"/>
          <w:color w:val="auto"/>
          <w:kern w:val="0"/>
          <w:szCs w:val="21"/>
          <w:highlight w:val="none"/>
        </w:rPr>
        <w:t>评标委员会经过对投标文件进行评审和比较后</w:t>
      </w:r>
      <w:r>
        <w:rPr>
          <w:rFonts w:hint="eastAsia" w:ascii="宋体" w:hAnsi="宋体" w:eastAsia="宋体" w:cs="宋体"/>
          <w:strike w:val="0"/>
          <w:color w:val="auto"/>
          <w:kern w:val="0"/>
          <w:szCs w:val="21"/>
          <w:highlight w:val="none"/>
          <w:lang w:eastAsia="zh-CN"/>
        </w:rPr>
        <w:t>，</w:t>
      </w:r>
      <w:r>
        <w:rPr>
          <w:rFonts w:hint="eastAsia" w:ascii="宋体" w:hAnsi="宋体" w:eastAsia="宋体" w:cs="宋体"/>
          <w:strike w:val="0"/>
          <w:color w:val="auto"/>
          <w:szCs w:val="21"/>
          <w:highlight w:val="none"/>
          <w:u w:val="none"/>
        </w:rPr>
        <w:t>评审合格投标人数量超过5</w:t>
      </w:r>
      <w:r>
        <w:rPr>
          <w:rFonts w:hint="eastAsia" w:ascii="宋体" w:hAnsi="宋体" w:eastAsia="宋体" w:cs="宋体"/>
          <w:strike w:val="0"/>
          <w:color w:val="auto"/>
          <w:szCs w:val="21"/>
          <w:highlight w:val="none"/>
          <w:u w:val="none"/>
          <w:lang w:val="en-US" w:eastAsia="zh-CN"/>
        </w:rPr>
        <w:t>名的</w:t>
      </w:r>
      <w:r>
        <w:rPr>
          <w:rFonts w:hint="eastAsia" w:ascii="宋体" w:hAnsi="宋体" w:eastAsia="宋体" w:cs="宋体"/>
          <w:strike w:val="0"/>
          <w:color w:val="auto"/>
          <w:szCs w:val="21"/>
          <w:highlight w:val="none"/>
          <w:u w:val="none"/>
        </w:rPr>
        <w:t>，</w:t>
      </w:r>
      <w:r>
        <w:rPr>
          <w:rFonts w:hint="eastAsia" w:ascii="宋体" w:hAnsi="宋体" w:eastAsia="宋体" w:cs="宋体"/>
          <w:color w:val="auto"/>
          <w:szCs w:val="21"/>
          <w:highlight w:val="none"/>
        </w:rPr>
        <w:t>评标委员会应根据招标文件确定的规则，结合评审意见，</w:t>
      </w:r>
      <w:r>
        <w:rPr>
          <w:rFonts w:hint="eastAsia" w:ascii="宋体" w:hAnsi="宋体" w:eastAsia="宋体" w:cs="宋体"/>
          <w:strike w:val="0"/>
          <w:color w:val="auto"/>
          <w:szCs w:val="21"/>
          <w:highlight w:val="none"/>
        </w:rPr>
        <w:t>在合格投标人中</w:t>
      </w:r>
      <w:r>
        <w:rPr>
          <w:rFonts w:hint="eastAsia" w:ascii="宋体" w:hAnsi="宋体" w:eastAsia="宋体" w:cs="宋体"/>
          <w:strike w:val="0"/>
          <w:color w:val="auto"/>
          <w:szCs w:val="21"/>
          <w:highlight w:val="none"/>
          <w:lang w:val="en-US" w:eastAsia="zh-CN"/>
        </w:rPr>
        <w:t>择优推荐</w:t>
      </w:r>
      <w:r>
        <w:rPr>
          <w:rFonts w:hint="eastAsia" w:ascii="宋体" w:hAnsi="宋体" w:eastAsia="宋体" w:cs="宋体"/>
          <w:strike w:val="0"/>
          <w:color w:val="auto"/>
          <w:szCs w:val="21"/>
          <w:highlight w:val="none"/>
        </w:rPr>
        <w:t>50%的投标人作为</w:t>
      </w:r>
      <w:r>
        <w:rPr>
          <w:rFonts w:hint="eastAsia" w:ascii="宋体" w:hAnsi="宋体" w:eastAsia="宋体" w:cs="宋体"/>
          <w:strike w:val="0"/>
          <w:color w:val="auto"/>
          <w:szCs w:val="21"/>
          <w:highlight w:val="none"/>
          <w:lang w:val="en-US" w:eastAsia="zh-CN"/>
        </w:rPr>
        <w:t>中标</w:t>
      </w:r>
      <w:r>
        <w:rPr>
          <w:rFonts w:hint="eastAsia" w:ascii="宋体" w:hAnsi="宋体" w:eastAsia="宋体" w:cs="宋体"/>
          <w:strike w:val="0"/>
          <w:color w:val="auto"/>
          <w:szCs w:val="21"/>
          <w:highlight w:val="none"/>
        </w:rPr>
        <w:t>候选人（采用四舍五入取整），并详细说明推荐理由。</w:t>
      </w:r>
      <w:r>
        <w:rPr>
          <w:rFonts w:hint="eastAsia" w:ascii="宋体" w:hAnsi="宋体" w:eastAsia="宋体" w:cs="宋体"/>
          <w:strike w:val="0"/>
          <w:color w:val="auto"/>
          <w:szCs w:val="21"/>
          <w:highlight w:val="none"/>
          <w:u w:val="none"/>
        </w:rPr>
        <w:t>评审合格投标人数量</w:t>
      </w:r>
      <w:r>
        <w:rPr>
          <w:rFonts w:hint="eastAsia" w:ascii="宋体" w:hAnsi="宋体" w:eastAsia="宋体" w:cs="宋体"/>
          <w:strike w:val="0"/>
          <w:color w:val="auto"/>
          <w:szCs w:val="21"/>
          <w:highlight w:val="none"/>
          <w:u w:val="none"/>
          <w:lang w:val="en-US" w:eastAsia="zh-CN"/>
        </w:rPr>
        <w:t>为3-</w:t>
      </w:r>
      <w:r>
        <w:rPr>
          <w:rFonts w:hint="eastAsia" w:ascii="宋体" w:hAnsi="宋体" w:eastAsia="宋体" w:cs="宋体"/>
          <w:strike w:val="0"/>
          <w:color w:val="auto"/>
          <w:szCs w:val="21"/>
          <w:highlight w:val="none"/>
          <w:u w:val="none"/>
        </w:rPr>
        <w:t>5</w:t>
      </w:r>
      <w:r>
        <w:rPr>
          <w:rFonts w:hint="eastAsia" w:ascii="宋体" w:hAnsi="宋体" w:eastAsia="宋体" w:cs="宋体"/>
          <w:strike w:val="0"/>
          <w:color w:val="auto"/>
          <w:szCs w:val="21"/>
          <w:highlight w:val="none"/>
          <w:u w:val="none"/>
          <w:lang w:val="en-US" w:eastAsia="zh-CN"/>
        </w:rPr>
        <w:t>名的，所有合格投标人均为中标候选人</w:t>
      </w:r>
      <w:r>
        <w:rPr>
          <w:rStyle w:val="136"/>
          <w:rFonts w:hint="eastAsia" w:ascii="宋体" w:hAnsi="宋体" w:eastAsia="宋体" w:cs="宋体"/>
          <w:strike w:val="0"/>
          <w:color w:val="auto"/>
          <w:szCs w:val="21"/>
          <w:highlight w:val="none"/>
          <w:u w:val="none"/>
          <w:lang w:val="en-US" w:eastAsia="zh-CN"/>
        </w:rPr>
        <w:t>[</w:t>
      </w:r>
      <w:r>
        <w:rPr>
          <w:rStyle w:val="136"/>
          <w:rFonts w:hint="eastAsia" w:ascii="宋体" w:hAnsi="宋体" w:eastAsia="宋体" w:cs="宋体"/>
          <w:strike w:val="0"/>
          <w:color w:val="auto"/>
          <w:szCs w:val="21"/>
          <w:highlight w:val="none"/>
          <w:u w:val="none"/>
          <w:lang w:val="en-US" w:eastAsia="zh-CN"/>
        </w:rPr>
        <w:footnoteReference w:id="4"/>
      </w:r>
      <w:r>
        <w:rPr>
          <w:rStyle w:val="136"/>
          <w:rFonts w:hint="eastAsia" w:ascii="宋体" w:hAnsi="宋体" w:eastAsia="宋体" w:cs="宋体"/>
          <w:strike w:val="0"/>
          <w:color w:val="auto"/>
          <w:szCs w:val="21"/>
          <w:highlight w:val="none"/>
          <w:u w:val="none"/>
          <w:lang w:val="en-US" w:eastAsia="zh-CN"/>
        </w:rPr>
        <w:t>]</w:t>
      </w:r>
      <w:r>
        <w:rPr>
          <w:rFonts w:hint="eastAsia" w:ascii="宋体" w:hAnsi="宋体" w:eastAsia="宋体" w:cs="宋体"/>
          <w:strike w:val="0"/>
          <w:color w:val="auto"/>
          <w:szCs w:val="21"/>
          <w:highlight w:val="none"/>
          <w:u w:val="none"/>
          <w:lang w:val="en-US" w:eastAsia="zh-CN"/>
        </w:rPr>
        <w:t>。</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5.8.3评标委员会作出无效标或者废标处理后，合格投标人数量不足3名的，招标人应当宣布本次招标失败，重新招标。</w:t>
      </w:r>
    </w:p>
    <w:p>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采用批量招标方式的，评标委员会作出无效标或者废标处理后，合格投标人数量不足拟定中标人数量加上2名的，招标人不得再采用批量招标方式。</w:t>
      </w:r>
    </w:p>
    <w:p>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的项目，评标委员会作出无效标或者废标处理后合格投标人数量仍不足3名的，评标委员会应当将对合格投标人的评审意见提交招标人，招标人可以按照原招标文件的定标程序和方法从合格投标人中确定中标人，或者将上述情况在</w:t>
      </w:r>
      <w:r>
        <w:rPr>
          <w:rFonts w:hint="eastAsia" w:ascii="宋体" w:hAnsi="宋体" w:eastAsia="宋体" w:cs="宋体"/>
          <w:color w:val="auto"/>
          <w:kern w:val="0"/>
          <w:highlight w:val="none"/>
        </w:rPr>
        <w:t>交易网公示</w:t>
      </w:r>
      <w:r>
        <w:rPr>
          <w:rFonts w:hint="eastAsia" w:ascii="宋体" w:hAnsi="宋体" w:eastAsia="宋体" w:cs="宋体"/>
          <w:color w:val="auto"/>
          <w:kern w:val="0"/>
          <w:szCs w:val="21"/>
          <w:highlight w:val="none"/>
        </w:rPr>
        <w:t>3个工作日后直接发包。</w:t>
      </w:r>
    </w:p>
    <w:p>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5.8.4评标过程中，若评标委员会认为本次招标缺乏竞争性，可以不推荐投标人，由招标人重新组织招标。</w:t>
      </w:r>
    </w:p>
    <w:p>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5.8.5如招投标过程中出现严重异常情况，经</w:t>
      </w:r>
      <w:r>
        <w:rPr>
          <w:rFonts w:hint="eastAsia" w:ascii="宋体" w:hAnsi="宋体" w:eastAsia="宋体" w:cs="宋体"/>
          <w:color w:val="auto"/>
          <w:szCs w:val="21"/>
          <w:highlight w:val="none"/>
          <w:lang w:val="en-US" w:eastAsia="zh-CN"/>
        </w:rPr>
        <w:t>建设、交通行政</w:t>
      </w:r>
      <w:r>
        <w:rPr>
          <w:rFonts w:hint="eastAsia" w:ascii="宋体" w:hAnsi="宋体" w:eastAsia="宋体" w:cs="宋体"/>
          <w:color w:val="auto"/>
          <w:kern w:val="0"/>
          <w:szCs w:val="21"/>
          <w:highlight w:val="none"/>
        </w:rPr>
        <w:t>主管部门批准，招标人可以不接受本次招标结果，应当重新招标。</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5.9 评标报告</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5.9.1评标委员会收集并汇总全体评委评审意见后，由评标委员会主任委员填写《评标报告》。</w:t>
      </w:r>
      <w:r>
        <w:rPr>
          <w:rFonts w:hint="eastAsia" w:ascii="宋体" w:hAnsi="宋体" w:eastAsia="宋体" w:cs="宋体"/>
          <w:color w:val="auto"/>
          <w:szCs w:val="21"/>
          <w:highlight w:val="none"/>
        </w:rPr>
        <w:t>评标委员会应在评标报告中指出各投标文件的优点和存在的缺陷、签订合同前应注意和澄清的事项。评标过程中发现投标人报价存在异常低价的，应要求投标人作必要的澄清说明，提供相关材料，并在评标报告中提示该投标人在合同履行、工程质量安全等方面存在的风险。</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5.9.2评标报告应由评标委员会全体成员签字。</w:t>
      </w:r>
      <w:r>
        <w:rPr>
          <w:rFonts w:hint="eastAsia" w:ascii="宋体" w:hAnsi="宋体" w:eastAsia="宋体" w:cs="宋体"/>
          <w:color w:val="auto"/>
          <w:szCs w:val="21"/>
          <w:highlight w:val="none"/>
        </w:rPr>
        <w:t>评标委员会成员对评审意见和中标候选人名单存在分歧意见的，可采用书面方式阐述其不同意见和理由</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w:t>
      </w:r>
      <w:r>
        <w:rPr>
          <w:rFonts w:hint="eastAsia" w:ascii="宋体" w:hAnsi="宋体" w:eastAsia="宋体" w:cs="宋体"/>
          <w:color w:val="auto"/>
          <w:szCs w:val="21"/>
          <w:highlight w:val="none"/>
        </w:rPr>
        <w:t>在评标报告中客观记录。</w:t>
      </w:r>
      <w:r>
        <w:rPr>
          <w:rFonts w:hint="eastAsia" w:ascii="宋体" w:hAnsi="宋体" w:eastAsia="宋体" w:cs="宋体"/>
          <w:color w:val="auto"/>
          <w:kern w:val="0"/>
          <w:szCs w:val="21"/>
          <w:highlight w:val="none"/>
        </w:rPr>
        <w:t>评标委员会成员拒绝签字的，视为同意评标结论。评标委员会应对此做出书面记录。</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5.9.3对发现的涉嫌违法、违规行为，应当在评标报告中做出详细说明，做好取证工作，并及时告知行政主管部门。</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5.9.4评标委员会向招标人提交评标报告后即解散。评标过程中使用的文件、资料等，都不得带离评标室。</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5.10 评标结果公示</w:t>
      </w:r>
    </w:p>
    <w:p>
      <w:pPr>
        <w:adjustRightInd w:val="0"/>
        <w:snapToGrid w:val="0"/>
        <w:spacing w:line="360" w:lineRule="auto"/>
        <w:ind w:firstLine="420" w:firstLineChars="200"/>
        <w:jc w:val="left"/>
        <w:rPr>
          <w:rFonts w:ascii="宋体" w:hAnsi="宋体" w:eastAsia="宋体" w:cs="宋体"/>
          <w:b/>
          <w:color w:val="auto"/>
          <w:kern w:val="0"/>
          <w:highlight w:val="none"/>
        </w:rPr>
      </w:pPr>
      <w:r>
        <w:rPr>
          <w:rFonts w:hint="eastAsia" w:ascii="宋体" w:hAnsi="宋体" w:eastAsia="宋体" w:cs="宋体"/>
          <w:color w:val="auto"/>
          <w:kern w:val="0"/>
          <w:szCs w:val="21"/>
          <w:highlight w:val="none"/>
        </w:rPr>
        <w:t>招标人应当将评标报告（含合格投标人名单）</w:t>
      </w:r>
      <w:r>
        <w:rPr>
          <w:rFonts w:hint="eastAsia" w:ascii="宋体" w:hAnsi="宋体" w:eastAsia="宋体" w:cs="宋体"/>
          <w:color w:val="auto"/>
          <w:kern w:val="0"/>
          <w:szCs w:val="21"/>
          <w:highlight w:val="none"/>
          <w:lang w:val="en-US" w:eastAsia="zh-CN"/>
        </w:rPr>
        <w:t>及</w:t>
      </w:r>
      <w:r>
        <w:rPr>
          <w:rFonts w:hint="eastAsia" w:ascii="宋体" w:hAnsi="宋体" w:eastAsia="宋体" w:cs="宋体"/>
          <w:color w:val="auto"/>
          <w:szCs w:val="21"/>
          <w:highlight w:val="none"/>
          <w:lang w:val="en-US" w:eastAsia="zh-CN"/>
        </w:rPr>
        <w:t>资信标内容</w:t>
      </w:r>
      <w:r>
        <w:rPr>
          <w:rFonts w:hint="eastAsia" w:ascii="宋体" w:hAnsi="宋体" w:eastAsia="宋体" w:cs="宋体"/>
          <w:color w:val="auto"/>
          <w:kern w:val="0"/>
          <w:szCs w:val="21"/>
          <w:highlight w:val="none"/>
        </w:rPr>
        <w:t>在</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公示3个工作日。</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5.11其它规定</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5.11.1若投标人的投标行为出现违反相关法律法规等政策文件列明的各种情形的，招标人将提请主管部门对相应投标人作不良记录。</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5.11.2评标过程中，若评标委员依据招标文件的规定要求招标人重新招标，招标人不承担因招标失败给投标人造成的损失。</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5.11.3如果投标文件中的BIM标书文件与其他文件内容不一致时，原则上以其他文件内容为准，投标人在投标文件或澄清中明确以bim标书文件为准的除外。</w:t>
      </w:r>
    </w:p>
    <w:p>
      <w:pPr>
        <w:adjustRightInd w:val="0"/>
        <w:snapToGrid w:val="0"/>
        <w:spacing w:line="360" w:lineRule="auto"/>
        <w:ind w:firstLine="420" w:firstLineChars="200"/>
        <w:rPr>
          <w:rFonts w:ascii="宋体" w:hAnsi="宋体" w:eastAsia="宋体" w:cs="宋体"/>
          <w:color w:val="auto"/>
          <w:kern w:val="0"/>
          <w:szCs w:val="21"/>
          <w:highlight w:val="none"/>
        </w:rPr>
      </w:pP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5.12评标表格</w:t>
      </w:r>
    </w:p>
    <w:p>
      <w:pPr>
        <w:adjustRightInd w:val="0"/>
        <w:snapToGrid w:val="0"/>
        <w:spacing w:line="360" w:lineRule="auto"/>
        <w:jc w:val="center"/>
        <w:rPr>
          <w:rFonts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商务标定性评审表</w:t>
      </w:r>
    </w:p>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79"/>
        <w:tblW w:w="87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adjustRightInd w:val="0"/>
              <w:snapToGrid w:val="0"/>
              <w:spacing w:line="360" w:lineRule="auto"/>
              <w:jc w:val="center"/>
              <w:rPr>
                <w:rFonts w:ascii="宋体" w:hAnsi="宋体" w:eastAsia="宋体" w:cs="宋体"/>
                <w:color w:val="auto"/>
                <w:kern w:val="0"/>
                <w:szCs w:val="21"/>
                <w:highlight w:val="none"/>
              </w:rPr>
            </w:pPr>
            <w:bookmarkStart w:id="20" w:name="商务标定性评审表" w:colFirst="0" w:colLast="0"/>
          </w:p>
        </w:tc>
        <w:tc>
          <w:tcPr>
            <w:tcW w:w="1555"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pPr>
              <w:adjustRightInd w:val="0"/>
              <w:snapToGrid w:val="0"/>
              <w:spacing w:line="360" w:lineRule="auto"/>
              <w:jc w:val="center"/>
              <w:rPr>
                <w:rFonts w:ascii="宋体" w:hAnsi="宋体" w:eastAsia="宋体" w:cs="宋体"/>
                <w:color w:val="auto"/>
                <w:kern w:val="0"/>
                <w:szCs w:val="21"/>
                <w:highlight w:val="none"/>
              </w:rPr>
            </w:pPr>
          </w:p>
        </w:tc>
      </w:tr>
      <w:bookmark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64" w:type="dxa"/>
            <w:gridSpan w:val="5"/>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评标专家：                           评标日期：    年  月  日</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pPr>
        <w:numPr>
          <w:ilvl w:val="0"/>
          <w:numId w:val="1"/>
        </w:num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本表适用于专家独立评审使用；</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2、指出各评审项的优点、存在缺陷或签订合同前应注意和澄清事项；</w:t>
      </w:r>
    </w:p>
    <w:p>
      <w:pPr>
        <w:tabs>
          <w:tab w:val="left" w:pos="840"/>
        </w:tabs>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3、综合评价等级仅分为合格或不合格两个等级，不合格仅限于符合招标文件废标情形以及投标文件违反国家强制性条文标准的情形。</w:t>
      </w:r>
    </w:p>
    <w:p>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lang w:val="en-US" w:eastAsia="zh-CN"/>
        </w:rPr>
        <w:t>技术标</w:t>
      </w:r>
      <w:r>
        <w:rPr>
          <w:rFonts w:hint="eastAsia" w:ascii="宋体" w:hAnsi="宋体" w:eastAsia="宋体" w:cs="宋体"/>
          <w:b/>
          <w:color w:val="auto"/>
          <w:kern w:val="0"/>
          <w:sz w:val="28"/>
          <w:szCs w:val="28"/>
          <w:highlight w:val="none"/>
        </w:rPr>
        <w:t>定性评审表</w:t>
      </w:r>
    </w:p>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79"/>
        <w:tblW w:w="87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adjustRightInd w:val="0"/>
              <w:snapToGrid w:val="0"/>
              <w:spacing w:line="360" w:lineRule="auto"/>
              <w:jc w:val="center"/>
              <w:rPr>
                <w:rFonts w:ascii="宋体" w:hAnsi="宋体" w:eastAsia="宋体" w:cs="宋体"/>
                <w:color w:val="auto"/>
                <w:kern w:val="0"/>
                <w:szCs w:val="21"/>
                <w:highlight w:val="none"/>
              </w:rPr>
            </w:pPr>
            <w:bookmarkStart w:id="21" w:name="技术标定性评审表" w:colFirst="0" w:colLast="0"/>
          </w:p>
        </w:tc>
        <w:tc>
          <w:tcPr>
            <w:tcW w:w="1555"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pPr>
              <w:adjustRightInd w:val="0"/>
              <w:snapToGrid w:val="0"/>
              <w:spacing w:line="360" w:lineRule="auto"/>
              <w:jc w:val="center"/>
              <w:rPr>
                <w:rFonts w:ascii="宋体" w:hAnsi="宋体" w:eastAsia="宋体" w:cs="宋体"/>
                <w:color w:val="auto"/>
                <w:kern w:val="0"/>
                <w:szCs w:val="21"/>
                <w:highlight w:val="none"/>
              </w:rPr>
            </w:pPr>
          </w:p>
        </w:tc>
      </w:tr>
      <w:bookmarkEnd w:id="2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64" w:type="dxa"/>
            <w:gridSpan w:val="5"/>
            <w:vAlign w:val="center"/>
          </w:tcPr>
          <w:p>
            <w:pPr>
              <w:adjustRightInd w:val="0"/>
              <w:snapToGrid w:val="0"/>
              <w:spacing w:line="360" w:lineRule="auto"/>
              <w:jc w:val="left"/>
              <w:rPr>
                <w:rFonts w:ascii="宋体" w:hAnsi="宋体" w:eastAsia="宋体" w:cs="宋体"/>
                <w:color w:val="auto"/>
                <w:kern w:val="0"/>
                <w:sz w:val="20"/>
                <w:szCs w:val="21"/>
                <w:highlight w:val="none"/>
              </w:rPr>
            </w:pPr>
            <w:r>
              <w:rPr>
                <w:rFonts w:hint="eastAsia" w:ascii="宋体" w:hAnsi="宋体" w:eastAsia="宋体" w:cs="宋体"/>
                <w:color w:val="auto"/>
                <w:kern w:val="0"/>
                <w:sz w:val="20"/>
                <w:szCs w:val="21"/>
                <w:highlight w:val="none"/>
              </w:rPr>
              <w:t>综合评价等级：□合格    □不合格</w:t>
            </w:r>
          </w:p>
        </w:tc>
      </w:tr>
    </w:tbl>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评标专家：                                  评标日期：    年  月  日</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1、本表适用于专家独立评审使用；</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2、指出各评审项的优点、存在缺陷或签订合同前应注意和澄清事项；</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3、综合评价等级仅分为合格或不合格两个等级，不合格仅限于符合招标文件废标情形以及投标文件违反国家强制性条文标准的情形。</w:t>
      </w:r>
    </w:p>
    <w:p>
      <w:pPr>
        <w:adjustRightInd w:val="0"/>
        <w:snapToGrid w:val="0"/>
        <w:spacing w:line="360" w:lineRule="auto"/>
        <w:ind w:firstLine="420" w:firstLineChars="200"/>
        <w:rPr>
          <w:rFonts w:ascii="宋体" w:hAnsi="宋体" w:eastAsia="宋体" w:cs="宋体"/>
          <w:color w:val="auto"/>
          <w:kern w:val="0"/>
          <w:szCs w:val="21"/>
          <w:highlight w:val="none"/>
        </w:rPr>
      </w:pPr>
    </w:p>
    <w:p>
      <w:pPr>
        <w:adjustRightInd w:val="0"/>
        <w:snapToGrid w:val="0"/>
        <w:spacing w:line="360" w:lineRule="auto"/>
        <w:ind w:firstLine="420" w:firstLineChars="200"/>
        <w:rPr>
          <w:rFonts w:ascii="宋体" w:hAnsi="宋体" w:eastAsia="宋体" w:cs="宋体"/>
          <w:color w:val="auto"/>
          <w:szCs w:val="21"/>
          <w:highlight w:val="none"/>
        </w:rPr>
      </w:pPr>
    </w:p>
    <w:p>
      <w:pPr>
        <w:adjustRightInd w:val="0"/>
        <w:snapToGrid w:val="0"/>
        <w:spacing w:line="360" w:lineRule="auto"/>
        <w:jc w:val="center"/>
        <w:outlineLvl w:val="2"/>
        <w:rPr>
          <w:rFonts w:ascii="宋体" w:hAnsi="宋体" w:eastAsia="宋体" w:cs="宋体"/>
          <w:b/>
          <w:color w:val="auto"/>
          <w:kern w:val="0"/>
          <w:sz w:val="30"/>
          <w:highlight w:val="none"/>
        </w:rPr>
      </w:pPr>
      <w:bookmarkStart w:id="22" w:name="_Toc10428"/>
      <w:bookmarkStart w:id="23" w:name="_Toc29510"/>
      <w:bookmarkStart w:id="24" w:name="_Toc11935"/>
      <w:r>
        <w:rPr>
          <w:rFonts w:hint="eastAsia" w:ascii="宋体" w:hAnsi="宋体" w:eastAsia="宋体" w:cs="宋体"/>
          <w:b/>
          <w:color w:val="auto"/>
          <w:kern w:val="0"/>
          <w:sz w:val="30"/>
          <w:highlight w:val="none"/>
        </w:rPr>
        <w:t>（六）定标</w:t>
      </w:r>
      <w:bookmarkEnd w:id="22"/>
      <w:bookmarkEnd w:id="23"/>
      <w:bookmarkEnd w:id="24"/>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6.1 清标</w:t>
      </w:r>
    </w:p>
    <w:p>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6.1.1 在开展定标前，招标人可以自行或委托专业机构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6.1.2 </w:t>
      </w: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6.1.3 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6.2定标方法</w:t>
      </w:r>
    </w:p>
    <w:p>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6.2.1直接票决定标法</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招标人组建定标委员会，定标委员会成员对所有进入定标程序的投标人根据前附表确定的方式进行投票，根据得票数确定中标人。</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②简单多数法（且过半数）</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a.投票规则：定标委员会在进入投票范围的投标人中，以每人投票支持一个投标人的方式，得票最多且过半数的投标人为中标人。</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③对比胜出法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6.2.2逐轮票决定标法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招标人组建定标委员会，定标委员会成员对所有进入定标程序的投标人根据前附表确定的方式进行逐轮投票，每轮以得票数确定进入下一轮投票的投标人直至确定中标人。</w:t>
      </w:r>
    </w:p>
    <w:p>
      <w:pPr>
        <w:adjustRightInd w:val="0"/>
        <w:snapToGrid w:val="0"/>
        <w:spacing w:line="360" w:lineRule="auto"/>
        <w:ind w:firstLine="413" w:firstLineChars="196"/>
        <w:rPr>
          <w:rFonts w:ascii="宋体" w:hAnsi="宋体" w:eastAsia="宋体" w:cs="宋体"/>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②对比胜出法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szCs w:val="21"/>
          <w:highlight w:val="none"/>
        </w:rPr>
        <w:t>根据前述规则，直至剩余1名投标人为中标人。</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6.2.</w:t>
      </w:r>
      <w:r>
        <w:rPr>
          <w:rFonts w:hint="eastAsia" w:ascii="宋体" w:hAnsi="宋体" w:eastAsia="宋体" w:cs="宋体"/>
          <w:b/>
          <w:color w:val="auto"/>
          <w:kern w:val="0"/>
          <w:szCs w:val="21"/>
          <w:highlight w:val="none"/>
          <w:lang w:val="en-US" w:eastAsia="zh-CN"/>
        </w:rPr>
        <w:t>3</w:t>
      </w:r>
      <w:r>
        <w:rPr>
          <w:rFonts w:hint="eastAsia" w:ascii="宋体" w:hAnsi="宋体" w:eastAsia="宋体" w:cs="宋体"/>
          <w:b/>
          <w:color w:val="auto"/>
          <w:kern w:val="0"/>
          <w:szCs w:val="21"/>
          <w:highlight w:val="none"/>
        </w:rPr>
        <w:t>集体议事定标法</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6.3定标原则</w:t>
      </w:r>
    </w:p>
    <w:p>
      <w:pPr>
        <w:adjustRightInd w:val="0"/>
        <w:snapToGrid w:val="0"/>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环节的择优因素主要考虑企业资质、企业规模、科技创新能力、项目管理人员经验与水平、同类工程经验（业绩）及履约评价、企业及其人员的廉政记录、信用等因素，其中初步设计和施工图设计招标重点考虑：投标方案经济性、技术可行性、功能结构合理性、设计精细化程度等因素。同等条件下，招标人可以优先考虑投标人合同稳定性、质量安全保障性、劳资纠纷可控度、</w:t>
      </w:r>
      <w:r>
        <w:rPr>
          <w:rFonts w:hint="eastAsia" w:ascii="宋体" w:hAnsi="宋体" w:eastAsia="宋体" w:cs="宋体"/>
          <w:color w:val="auto"/>
          <w:szCs w:val="21"/>
          <w:highlight w:val="none"/>
        </w:rPr>
        <w:t>BIM技术应用情况</w:t>
      </w:r>
      <w:r>
        <w:rPr>
          <w:rFonts w:hint="eastAsia" w:ascii="宋体" w:hAnsi="宋体" w:eastAsia="宋体" w:cs="宋体"/>
          <w:color w:val="auto"/>
          <w:kern w:val="0"/>
          <w:szCs w:val="21"/>
          <w:highlight w:val="none"/>
        </w:rPr>
        <w:t>等因素，方案设计招标除外。招标人可以根据项目实际情况增加择优</w:t>
      </w:r>
      <w:r>
        <w:rPr>
          <w:rFonts w:hint="eastAsia" w:ascii="宋体" w:hAnsi="宋体" w:eastAsia="宋体" w:cs="宋体"/>
          <w:color w:val="auto"/>
          <w:kern w:val="0"/>
          <w:szCs w:val="21"/>
          <w:highlight w:val="none"/>
          <w:lang w:val="en-US" w:eastAsia="zh-CN"/>
        </w:rPr>
        <w:t>因</w:t>
      </w:r>
      <w:r>
        <w:rPr>
          <w:rFonts w:hint="eastAsia" w:ascii="宋体" w:hAnsi="宋体" w:eastAsia="宋体" w:cs="宋体"/>
          <w:color w:val="auto"/>
          <w:kern w:val="0"/>
          <w:szCs w:val="21"/>
          <w:highlight w:val="none"/>
        </w:rPr>
        <w:t>素，也可以综合考虑择优因素或按择优因素的重要性，对投标人进行逐级淘汰</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rPr>
        <w:t>鼓励招标人将</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参与“百千万工程”</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相关业绩、奖项等</w:t>
      </w:r>
      <w:r>
        <w:rPr>
          <w:rFonts w:hint="eastAsia" w:ascii="宋体" w:hAnsi="宋体" w:eastAsia="宋体" w:cs="宋体"/>
          <w:color w:val="auto"/>
          <w:szCs w:val="21"/>
          <w:highlight w:val="none"/>
          <w:lang w:val="en-US" w:eastAsia="zh-CN"/>
        </w:rPr>
        <w:t>情况</w:t>
      </w:r>
      <w:r>
        <w:rPr>
          <w:rFonts w:hint="eastAsia" w:ascii="宋体" w:hAnsi="宋体" w:eastAsia="宋体" w:cs="宋体"/>
          <w:color w:val="auto"/>
          <w:szCs w:val="21"/>
          <w:highlight w:val="none"/>
        </w:rPr>
        <w:t>作为定标择优因素</w:t>
      </w:r>
      <w:r>
        <w:rPr>
          <w:rFonts w:hint="eastAsia" w:ascii="宋体" w:hAnsi="宋体" w:eastAsia="宋体" w:cs="宋体"/>
          <w:color w:val="auto"/>
          <w:kern w:val="0"/>
          <w:szCs w:val="21"/>
          <w:highlight w:val="none"/>
        </w:rPr>
        <w:t>。</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招标人可以结合项目实际要求投标人提供资信标作为定标参考因素之一，详见附件2《资信标要求一览表》。</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6.4定标程序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招标人应当事先制定定标工作规则，对不同类别项目择优竞价结合方式、竞价方法、择优要素予以明确，并报招标人内设（或上级）的纪检监察机构（或督查机构）备案。</w:t>
      </w:r>
    </w:p>
    <w:p>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pPr>
        <w:adjustRightInd w:val="0"/>
        <w:snapToGrid w:val="0"/>
        <w:spacing w:line="360" w:lineRule="auto"/>
        <w:ind w:firstLine="420" w:firstLineChars="20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136"/>
          <w:rFonts w:hint="eastAsia" w:ascii="宋体" w:hAnsi="宋体" w:eastAsia="宋体" w:cs="宋体"/>
          <w:color w:val="auto"/>
          <w:kern w:val="0"/>
          <w:szCs w:val="21"/>
          <w:highlight w:val="none"/>
          <w:lang w:val="en-US" w:eastAsia="zh-CN"/>
        </w:rPr>
        <w:t>[</w:t>
      </w:r>
      <w:r>
        <w:rPr>
          <w:rStyle w:val="136"/>
          <w:rFonts w:hint="eastAsia" w:ascii="宋体" w:hAnsi="宋体" w:eastAsia="宋体" w:cs="宋体"/>
          <w:color w:val="auto"/>
          <w:kern w:val="0"/>
          <w:szCs w:val="21"/>
          <w:highlight w:val="none"/>
          <w:lang w:val="en-US" w:eastAsia="zh-CN"/>
        </w:rPr>
        <w:footnoteReference w:id="5"/>
      </w:r>
      <w:r>
        <w:rPr>
          <w:rStyle w:val="136"/>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pPr>
        <w:adjustRightInd w:val="0"/>
        <w:snapToGrid w:val="0"/>
        <w:spacing w:line="360" w:lineRule="auto"/>
        <w:ind w:firstLine="420" w:firstLineChars="200"/>
        <w:rPr>
          <w:rFonts w:hint="eastAsia" w:ascii="宋体" w:hAnsi="宋体" w:eastAsia="宋体" w:cs="宋体"/>
          <w:strike w:val="0"/>
          <w:color w:val="auto"/>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3</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发现评标委员会未按招标文件规定进行评审、推荐中标候选人等异常情形的，经招标投标行政监督部门批准后由评标委员会复核纠正</w:t>
      </w:r>
      <w:r>
        <w:rPr>
          <w:rStyle w:val="136"/>
          <w:rFonts w:hint="eastAsia" w:ascii="宋体" w:hAnsi="宋体" w:eastAsia="宋体" w:cs="宋体"/>
          <w:color w:val="auto"/>
          <w:szCs w:val="21"/>
          <w:highlight w:val="none"/>
        </w:rPr>
        <w:t>[</w:t>
      </w:r>
      <w:r>
        <w:rPr>
          <w:rStyle w:val="136"/>
          <w:rFonts w:hint="eastAsia" w:ascii="宋体" w:hAnsi="宋体" w:eastAsia="宋体" w:cs="宋体"/>
          <w:color w:val="auto"/>
          <w:szCs w:val="21"/>
          <w:highlight w:val="none"/>
        </w:rPr>
        <w:footnoteReference w:id="6"/>
      </w:r>
      <w:r>
        <w:rPr>
          <w:rStyle w:val="136"/>
          <w:rFonts w:hint="eastAsia" w:ascii="宋体" w:hAnsi="宋体" w:eastAsia="宋体" w:cs="宋体"/>
          <w:color w:val="auto"/>
          <w:szCs w:val="21"/>
          <w:highlight w:val="none"/>
        </w:rPr>
        <w:t>]</w:t>
      </w:r>
      <w:r>
        <w:rPr>
          <w:rFonts w:hint="eastAsia" w:ascii="宋体" w:hAnsi="宋体" w:eastAsia="宋体" w:cs="宋体"/>
          <w:strike w:val="0"/>
          <w:color w:val="auto"/>
          <w:szCs w:val="21"/>
          <w:highlight w:val="none"/>
          <w:lang w:eastAsia="zh-CN"/>
        </w:rPr>
        <w:t>。</w:t>
      </w:r>
    </w:p>
    <w:p>
      <w:pPr>
        <w:adjustRightInd w:val="0"/>
        <w:snapToGrid w:val="0"/>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b w:val="0"/>
          <w:bCs/>
          <w:color w:val="auto"/>
          <w:kern w:val="0"/>
          <w:szCs w:val="21"/>
          <w:highlight w:val="none"/>
        </w:rPr>
        <w:t>6.4.</w:t>
      </w:r>
      <w:r>
        <w:rPr>
          <w:rFonts w:hint="eastAsia" w:ascii="宋体" w:hAnsi="宋体" w:eastAsia="宋体" w:cs="宋体"/>
          <w:b w:val="0"/>
          <w:bCs/>
          <w:color w:val="auto"/>
          <w:kern w:val="0"/>
          <w:szCs w:val="21"/>
          <w:highlight w:val="none"/>
          <w:lang w:eastAsia="zh-CN"/>
        </w:rPr>
        <w:t>4</w:t>
      </w:r>
      <w:r>
        <w:rPr>
          <w:rFonts w:hint="eastAsia" w:ascii="宋体" w:hAnsi="宋体" w:eastAsia="宋体" w:cs="宋体"/>
          <w:b w:val="0"/>
          <w:bCs/>
          <w:color w:val="auto"/>
          <w:kern w:val="0"/>
          <w:szCs w:val="21"/>
          <w:highlight w:val="none"/>
        </w:rPr>
        <w:t>定标委员会</w:t>
      </w:r>
      <w:r>
        <w:rPr>
          <w:rFonts w:hint="eastAsia" w:ascii="宋体" w:hAnsi="宋体" w:eastAsia="宋体" w:cs="宋体"/>
          <w:color w:val="auto"/>
          <w:szCs w:val="21"/>
          <w:highlight w:val="none"/>
        </w:rPr>
        <w:t>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可以按以下方式组建，具体组建方式由招标人在项目定标方案中予以明确</w:t>
      </w:r>
      <w:r>
        <w:rPr>
          <w:rStyle w:val="136"/>
          <w:rFonts w:hint="eastAsia" w:ascii="宋体" w:hAnsi="宋体" w:eastAsia="宋体" w:cs="宋体"/>
          <w:color w:val="auto"/>
          <w:szCs w:val="21"/>
          <w:highlight w:val="none"/>
        </w:rPr>
        <w:t>[</w:t>
      </w:r>
      <w:r>
        <w:rPr>
          <w:rStyle w:val="136"/>
          <w:rFonts w:hint="eastAsia" w:ascii="宋体" w:hAnsi="宋体" w:eastAsia="宋体" w:cs="宋体"/>
          <w:color w:val="auto"/>
          <w:szCs w:val="21"/>
          <w:highlight w:val="none"/>
        </w:rPr>
        <w:footnoteReference w:id="7"/>
      </w:r>
      <w:r>
        <w:rPr>
          <w:rStyle w:val="136"/>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pPr>
        <w:adjustRightInd w:val="0"/>
        <w:snapToGrid w:val="0"/>
        <w:spacing w:line="360" w:lineRule="auto"/>
        <w:ind w:firstLine="411" w:firstLineChars="196"/>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r>
        <w:rPr>
          <w:rFonts w:hint="eastAsia" w:ascii="宋体" w:hAnsi="宋体" w:eastAsia="宋体" w:cs="宋体"/>
          <w:color w:val="auto"/>
          <w:szCs w:val="21"/>
          <w:highlight w:val="none"/>
          <w:lang w:val="en-US" w:eastAsia="zh-CN"/>
        </w:rPr>
        <w:t xml:space="preserve">   </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b w:val="0"/>
          <w:bCs/>
          <w:color w:val="auto"/>
          <w:kern w:val="0"/>
          <w:szCs w:val="21"/>
          <w:highlight w:val="none"/>
        </w:rPr>
        <w:t>6.4.</w:t>
      </w:r>
      <w:r>
        <w:rPr>
          <w:rFonts w:hint="eastAsia" w:ascii="宋体" w:hAnsi="宋体" w:eastAsia="宋体" w:cs="宋体"/>
          <w:b w:val="0"/>
          <w:bCs/>
          <w:color w:val="auto"/>
          <w:kern w:val="0"/>
          <w:szCs w:val="21"/>
          <w:highlight w:val="none"/>
          <w:lang w:val="en-US" w:eastAsia="zh-CN"/>
        </w:rPr>
        <w:t>5</w:t>
      </w:r>
      <w:r>
        <w:rPr>
          <w:rFonts w:hint="eastAsia" w:ascii="宋体" w:hAnsi="宋体" w:eastAsia="宋体" w:cs="宋体"/>
          <w:color w:val="auto"/>
          <w:szCs w:val="21"/>
          <w:highlight w:val="none"/>
        </w:rPr>
        <w:t>定标委员会应当在定标会上推荐定标组长，招标人的法定代表人或者主要负责人参加定标委员会的，由其直接担任定标委员会组长。招标人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r>
        <w:rPr>
          <w:rStyle w:val="136"/>
          <w:rFonts w:hint="eastAsia" w:ascii="宋体" w:hAnsi="宋体" w:eastAsia="宋体" w:cs="宋体"/>
          <w:color w:val="auto"/>
          <w:szCs w:val="21"/>
          <w:highlight w:val="none"/>
        </w:rPr>
        <w:t>[</w:t>
      </w:r>
      <w:r>
        <w:rPr>
          <w:rStyle w:val="136"/>
          <w:rFonts w:hint="eastAsia" w:ascii="宋体" w:hAnsi="宋体" w:eastAsia="宋体" w:cs="宋体"/>
          <w:color w:val="auto"/>
          <w:szCs w:val="21"/>
          <w:highlight w:val="none"/>
        </w:rPr>
        <w:footnoteReference w:id="8"/>
      </w:r>
      <w:r>
        <w:rPr>
          <w:rStyle w:val="136"/>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pPr>
        <w:adjustRightInd w:val="0"/>
        <w:snapToGrid w:val="0"/>
        <w:spacing w:line="360" w:lineRule="auto"/>
        <w:ind w:firstLine="411" w:firstLineChars="196"/>
        <w:rPr>
          <w:rFonts w:ascii="宋体" w:hAnsi="宋体" w:eastAsia="宋体" w:cs="宋体"/>
          <w:strike/>
          <w:color w:val="auto"/>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招标人组建定标委员会后，进入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召开定标会。</w:t>
      </w:r>
      <w:r>
        <w:rPr>
          <w:rFonts w:hint="eastAsia" w:ascii="宋体" w:hAnsi="宋体" w:eastAsia="宋体" w:cs="宋体"/>
          <w:color w:val="auto"/>
          <w:szCs w:val="21"/>
          <w:highlight w:val="none"/>
        </w:rPr>
        <w:t>定标委员会在定标时查看加密的项目定标方案，在综合考量评标委员会评审意见、招标人清标情况的基础上，按照既定的项目定标方案独立行使投票权，并明确理由。定标委员会成员在定标系统中提交选票（须说明推荐理由），并打印选票签名确认，定标过程公开、公平、公正。定标委员会按有关规定及招标文件约定的定标方法确定一名中标人。</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招标人应当自评标结束后10个工作日内进入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进行定标。不能按时定标的，应当通过交易网公示延期原因和最终定标时间。</w:t>
      </w:r>
    </w:p>
    <w:p>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szCs w:val="21"/>
          <w:highlight w:val="none"/>
        </w:rPr>
        <w:t>招标人应在定标结束后将定标记录、定标报告交由深圳交易集团有限公司（深圳公共资源交易中心）归档并同时公示定标结果和中标结果。定标记录应包括定标委员会会议过程、正式成员名单</w:t>
      </w:r>
      <w:r>
        <w:rPr>
          <w:rFonts w:hint="eastAsia" w:ascii="宋体" w:hAnsi="宋体" w:eastAsia="宋体" w:cs="宋体"/>
          <w:color w:val="auto"/>
          <w:szCs w:val="21"/>
          <w:highlight w:val="none"/>
          <w:lang w:eastAsia="zh-CN"/>
        </w:rPr>
        <w:t>、监督小组名单</w:t>
      </w:r>
      <w:r>
        <w:rPr>
          <w:rFonts w:hint="eastAsia" w:ascii="宋体" w:hAnsi="宋体" w:eastAsia="宋体" w:cs="宋体"/>
          <w:color w:val="auto"/>
          <w:szCs w:val="21"/>
          <w:highlight w:val="none"/>
        </w:rPr>
        <w:t>。定标报告应包括定标委员会的产生过程、定标程序及定标结果等内容。招标人提交中标信息确认时，应认真核对中标公示信息，无误后再签名确认。</w:t>
      </w:r>
    </w:p>
    <w:p>
      <w:pPr>
        <w:adjustRightInd w:val="0"/>
        <w:snapToGrid w:val="0"/>
        <w:spacing w:line="360" w:lineRule="auto"/>
        <w:ind w:firstLine="411" w:firstLineChars="196"/>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szCs w:val="21"/>
          <w:highlight w:val="none"/>
        </w:rPr>
        <w:t>招标人应当向定标委员会提供项目定标方案、清标报告作为定标辅助材料。定标结束后，项目定标方案、清标报告及定标委员投票结果等定标过程资料应当留存备查。</w:t>
      </w:r>
    </w:p>
    <w:p>
      <w:pPr>
        <w:adjustRightInd w:val="0"/>
        <w:snapToGrid w:val="0"/>
        <w:spacing w:line="360" w:lineRule="auto"/>
        <w:jc w:val="left"/>
        <w:rPr>
          <w:rFonts w:hint="default" w:ascii="宋体" w:hAnsi="宋体" w:eastAsia="宋体" w:cs="宋体"/>
          <w:b/>
          <w:strike/>
          <w:color w:val="auto"/>
          <w:kern w:val="0"/>
          <w:highlight w:val="none"/>
        </w:rPr>
      </w:pPr>
      <w:r>
        <w:rPr>
          <w:rFonts w:hint="eastAsia" w:ascii="宋体" w:hAnsi="宋体" w:eastAsia="宋体" w:cs="宋体"/>
          <w:b/>
          <w:color w:val="auto"/>
          <w:kern w:val="0"/>
          <w:highlight w:val="none"/>
        </w:rPr>
        <w:t>6.5</w:t>
      </w:r>
      <w:r>
        <w:rPr>
          <w:rFonts w:hint="eastAsia" w:ascii="宋体" w:hAnsi="宋体" w:eastAsia="宋体" w:cs="宋体"/>
          <w:b/>
          <w:strike w:val="0"/>
          <w:color w:val="auto"/>
          <w:kern w:val="0"/>
          <w:highlight w:val="none"/>
          <w:lang w:val="en-US" w:eastAsia="zh-CN"/>
        </w:rPr>
        <w:t>重新定标</w:t>
      </w:r>
    </w:p>
    <w:p>
      <w:pPr>
        <w:spacing w:line="360" w:lineRule="auto"/>
        <w:ind w:firstLine="422" w:firstLineChars="200"/>
        <w:rPr>
          <w:rFonts w:hint="eastAsia" w:ascii="宋体" w:hAnsi="宋体" w:eastAsia="宋体" w:cs="宋体"/>
          <w:color w:val="auto"/>
          <w:szCs w:val="21"/>
          <w:highlight w:val="none"/>
          <w:lang w:val="en-US" w:eastAsia="zh-CN"/>
        </w:rPr>
      </w:pPr>
      <w:r>
        <w:rPr>
          <w:rFonts w:hint="eastAsia" w:ascii="宋体" w:hAnsi="宋体" w:eastAsia="宋体" w:cs="宋体"/>
          <w:b/>
          <w:bCs/>
          <w:color w:val="auto"/>
          <w:szCs w:val="21"/>
          <w:highlight w:val="none"/>
        </w:rPr>
        <w:t>定标后有下列情形之一的，招标人可以从评审合格的其他投标人中采用原招标文件规定的定标方法，由原定标委员会确定中标人。</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5.1中标人放弃中标资格或者拒不签订合同的；</w:t>
      </w:r>
    </w:p>
    <w:p>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5.2中标人不按照招标文件要求提交履约担保的；</w:t>
      </w:r>
    </w:p>
    <w:p>
      <w:pPr>
        <w:adjustRightInd/>
        <w:snapToGrid/>
        <w:spacing w:line="360" w:lineRule="auto"/>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5.3被查实存在影响中标结果违法行为的。</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6.6资信标表格</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招标人可以结合项目实际要求投标人提供资信标作为定标参考因素之一。</w:t>
      </w:r>
    </w:p>
    <w:p>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资信标要求一览表（如有）</w:t>
      </w:r>
    </w:p>
    <w:tbl>
      <w:tblPr>
        <w:tblStyle w:val="7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2989"/>
        <w:gridCol w:w="4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20"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2989"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资信要素名称</w:t>
            </w:r>
          </w:p>
        </w:tc>
        <w:tc>
          <w:tcPr>
            <w:tcW w:w="4113"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有关要求或说明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20" w:type="dxa"/>
            <w:vAlign w:val="center"/>
          </w:tcPr>
          <w:p>
            <w:pPr>
              <w:adjustRightInd w:val="0"/>
              <w:snapToGrid w:val="0"/>
              <w:spacing w:line="360" w:lineRule="auto"/>
              <w:jc w:val="center"/>
              <w:rPr>
                <w:rFonts w:ascii="宋体" w:hAnsi="宋体" w:eastAsia="宋体" w:cs="宋体"/>
                <w:color w:val="auto"/>
                <w:kern w:val="0"/>
                <w:sz w:val="20"/>
                <w:szCs w:val="21"/>
                <w:highlight w:val="none"/>
              </w:rPr>
            </w:pPr>
            <w:bookmarkStart w:id="25" w:name="资信标要求一览表" w:colFirst="0" w:colLast="0"/>
          </w:p>
        </w:tc>
        <w:tc>
          <w:tcPr>
            <w:tcW w:w="2989" w:type="dxa"/>
            <w:vAlign w:val="center"/>
          </w:tcPr>
          <w:p>
            <w:pPr>
              <w:adjustRightInd w:val="0"/>
              <w:snapToGrid w:val="0"/>
              <w:spacing w:line="360" w:lineRule="auto"/>
              <w:rPr>
                <w:rFonts w:ascii="宋体" w:hAnsi="宋体" w:eastAsia="宋体" w:cs="宋体"/>
                <w:color w:val="auto"/>
                <w:kern w:val="0"/>
                <w:sz w:val="20"/>
                <w:szCs w:val="21"/>
                <w:highlight w:val="none"/>
              </w:rPr>
            </w:pPr>
          </w:p>
        </w:tc>
        <w:tc>
          <w:tcPr>
            <w:tcW w:w="4113" w:type="dxa"/>
            <w:vAlign w:val="center"/>
          </w:tcPr>
          <w:p>
            <w:pPr>
              <w:adjustRightInd w:val="0"/>
              <w:snapToGrid w:val="0"/>
              <w:spacing w:line="360" w:lineRule="auto"/>
              <w:rPr>
                <w:rFonts w:ascii="宋体" w:hAnsi="宋体" w:eastAsia="宋体" w:cs="宋体"/>
                <w:color w:val="auto"/>
                <w:kern w:val="0"/>
                <w:sz w:val="20"/>
                <w:szCs w:val="21"/>
                <w:highlight w:val="none"/>
              </w:rPr>
            </w:pPr>
          </w:p>
        </w:tc>
      </w:tr>
      <w:bookmarkEnd w:id="25"/>
    </w:tbl>
    <w:p>
      <w:pPr>
        <w:adjustRightInd w:val="0"/>
        <w:snapToGrid w:val="0"/>
        <w:spacing w:line="360" w:lineRule="auto"/>
        <w:rPr>
          <w:rFonts w:ascii="宋体" w:hAnsi="宋体" w:eastAsia="宋体" w:cs="宋体"/>
          <w:color w:val="auto"/>
          <w:kern w:val="0"/>
          <w:szCs w:val="21"/>
          <w:highlight w:val="none"/>
        </w:rPr>
      </w:pP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备注：资信要素不进行评审，真实性通过公示予以监督。</w:t>
      </w:r>
    </w:p>
    <w:p>
      <w:pPr>
        <w:adjustRightInd w:val="0"/>
        <w:snapToGrid w:val="0"/>
        <w:spacing w:line="360" w:lineRule="auto"/>
        <w:jc w:val="center"/>
        <w:outlineLvl w:val="2"/>
        <w:rPr>
          <w:rFonts w:ascii="宋体" w:hAnsi="宋体" w:eastAsia="宋体" w:cs="宋体"/>
          <w:b/>
          <w:color w:val="auto"/>
          <w:kern w:val="0"/>
          <w:sz w:val="30"/>
          <w:highlight w:val="none"/>
        </w:rPr>
      </w:pPr>
      <w:bookmarkStart w:id="26" w:name="_Toc4937"/>
      <w:bookmarkStart w:id="27" w:name="_Toc10227"/>
      <w:bookmarkStart w:id="28" w:name="_Toc158"/>
      <w:r>
        <w:rPr>
          <w:rFonts w:hint="eastAsia" w:ascii="宋体" w:hAnsi="宋体" w:eastAsia="宋体" w:cs="宋体"/>
          <w:b/>
          <w:color w:val="auto"/>
          <w:kern w:val="0"/>
          <w:sz w:val="30"/>
          <w:highlight w:val="none"/>
        </w:rPr>
        <w:t>（七）中标通知书</w:t>
      </w:r>
      <w:bookmarkEnd w:id="26"/>
      <w:bookmarkEnd w:id="27"/>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招标人应按前附表规定向中标人发出中标通知书。</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招标人在发出中标通知书之前因正当理由，经行政监督部门批准并经交易网公示3个工作日后，招标人有权接受或拒绝投标、宣布投标程序无效或拒绝所有投标。对受影响的投标人不承担任何责任。</w:t>
      </w:r>
    </w:p>
    <w:p>
      <w:pPr>
        <w:adjustRightInd w:val="0"/>
        <w:snapToGrid w:val="0"/>
        <w:spacing w:line="360" w:lineRule="auto"/>
        <w:jc w:val="center"/>
        <w:outlineLvl w:val="2"/>
        <w:rPr>
          <w:rFonts w:ascii="宋体" w:hAnsi="宋体" w:eastAsia="宋体" w:cs="宋体"/>
          <w:b/>
          <w:color w:val="auto"/>
          <w:kern w:val="0"/>
          <w:sz w:val="30"/>
          <w:highlight w:val="none"/>
        </w:rPr>
      </w:pPr>
      <w:bookmarkStart w:id="29" w:name="_Toc22074"/>
      <w:bookmarkStart w:id="30" w:name="_Toc5986"/>
      <w:r>
        <w:rPr>
          <w:rFonts w:hint="eastAsia" w:ascii="宋体" w:hAnsi="宋体" w:eastAsia="宋体" w:cs="宋体"/>
          <w:b/>
          <w:color w:val="auto"/>
          <w:kern w:val="0"/>
          <w:sz w:val="30"/>
          <w:highlight w:val="none"/>
        </w:rPr>
        <w:t>（八）合同授予</w:t>
      </w:r>
      <w:bookmarkEnd w:id="29"/>
      <w:bookmarkEnd w:id="30"/>
    </w:p>
    <w:p>
      <w:pPr>
        <w:adjustRightInd w:val="0"/>
        <w:snapToGrid w:val="0"/>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kern w:val="0"/>
          <w:szCs w:val="21"/>
          <w:highlight w:val="none"/>
        </w:rPr>
        <w:t>招标人应按照前附表规定时间，参照本示范文本第六章《合同条款》与中标人订立合同。招标人与中标人签订设计合同，必须遵守本招标文件和投标文件中的合同条件，不得随意更改。</w:t>
      </w:r>
    </w:p>
    <w:bookmarkEnd w:id="28"/>
    <w:p>
      <w:pPr>
        <w:rPr>
          <w:rFonts w:ascii="宋体" w:hAnsi="宋体" w:eastAsia="宋体" w:cs="宋体"/>
          <w:color w:val="auto"/>
          <w:highlight w:val="none"/>
        </w:rPr>
      </w:pPr>
      <w:bookmarkStart w:id="31" w:name="_Toc22693"/>
      <w:bookmarkStart w:id="32" w:name="_Toc21003"/>
      <w:bookmarkStart w:id="33" w:name="_Toc17283"/>
      <w:r>
        <w:rPr>
          <w:rFonts w:hint="eastAsia" w:ascii="宋体" w:hAnsi="宋体" w:eastAsia="宋体" w:cs="宋体"/>
          <w:color w:val="auto"/>
          <w:highlight w:val="none"/>
        </w:rPr>
        <w:br w:type="page"/>
      </w:r>
    </w:p>
    <w:p>
      <w:pPr>
        <w:adjustRightInd w:val="0"/>
        <w:snapToGrid w:val="0"/>
        <w:spacing w:line="360" w:lineRule="auto"/>
        <w:jc w:val="left"/>
        <w:outlineLvl w:val="3"/>
        <w:rPr>
          <w:rFonts w:ascii="宋体" w:hAnsi="宋体" w:eastAsia="宋体" w:cs="宋体"/>
          <w:b/>
          <w:color w:val="auto"/>
          <w:kern w:val="0"/>
          <w:highlight w:val="none"/>
        </w:rPr>
      </w:pPr>
      <w:r>
        <w:rPr>
          <w:rFonts w:hint="eastAsia" w:ascii="宋体" w:hAnsi="宋体" w:eastAsia="宋体" w:cs="宋体"/>
          <w:b/>
          <w:color w:val="auto"/>
          <w:kern w:val="0"/>
          <w:highlight w:val="none"/>
        </w:rPr>
        <w:t>附件1：评标要素</w:t>
      </w:r>
      <w:bookmarkEnd w:id="31"/>
      <w:bookmarkEnd w:id="32"/>
      <w:bookmarkEnd w:id="33"/>
      <w:r>
        <w:rPr>
          <w:rFonts w:hint="eastAsia" w:ascii="宋体" w:hAnsi="宋体" w:eastAsia="宋体" w:cs="宋体"/>
          <w:b/>
          <w:color w:val="auto"/>
          <w:kern w:val="0"/>
          <w:highlight w:val="none"/>
        </w:rPr>
        <w:t>（仅供参考）</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一、市政工程设计评标评审要素可设置如下：</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设计依据：设计依据是否充分，项目是否取得规划等政府有关部门或有关单位的批复文件；项目设计方案和经济技术指标等，是否符合规划用地条件和有关要求，是否响应招标文件；作为设计依据而选用的工程建设标准，是否适用、是否现行有效。</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（二）场地资料：建设项目现状的场地资料，是否收集齐全，是否表达准确。</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（三）设计范围：投标文件中设计范围是否完整、有无漏项，是否符合招标文件约定；是否含有海绵城市设施、水土保持和再生建材产品利用等内容；是否明确工程规模和概况等；</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设计内容：设计方案是否符合强制性工程建设标准、公共安全和公众利益，工程造价是否得到有效控制；交通组织是否合理、安全；结构及水、电、气等专业设计方案，总体上是否经济、合理、安全；桥梁造型、道路形态等，是否遵循工程美学设计原则，总体观感是否舒适；景观绿化设计是否协调等。</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（五）方案比较：主体工程是否有设计方案比较，方案比较是否充分、合理；所推荐设计方案是否合理、可行。</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（六）设计表达：投标文件格式是否规范，设计深度是否符合招标文件约定。</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（七）BIM应用：招标文件要求采用BIM技术的，投标文件的BIM实施方案、</w:t>
      </w:r>
      <w:r>
        <w:rPr>
          <w:rFonts w:hint="eastAsia" w:ascii="宋体" w:hAnsi="宋体" w:eastAsia="宋体" w:cs="宋体"/>
          <w:color w:val="auto"/>
          <w:szCs w:val="21"/>
          <w:highlight w:val="none"/>
        </w:rPr>
        <w:t>建模范围、建模精度、成果文件格式等</w:t>
      </w:r>
      <w:r>
        <w:rPr>
          <w:rFonts w:hint="eastAsia" w:ascii="宋体" w:hAnsi="宋体" w:eastAsia="宋体" w:cs="宋体"/>
          <w:color w:val="auto"/>
          <w:kern w:val="0"/>
          <w:szCs w:val="21"/>
          <w:highlight w:val="none"/>
        </w:rPr>
        <w:t>是否有效响应。</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（八）装配式建设：招标文件要求项目按装配式建设的，投标文件是否有效响应。</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（九）沙盘或实体模型：招标文件要求提交沙盘或实体工程模型的，投标人是否</w:t>
      </w:r>
      <w:r>
        <w:rPr>
          <w:rFonts w:hint="eastAsia" w:ascii="宋体" w:hAnsi="宋体" w:eastAsia="宋体" w:cs="宋体"/>
          <w:color w:val="auto"/>
          <w:kern w:val="0"/>
          <w:szCs w:val="21"/>
          <w:highlight w:val="none"/>
          <w:lang w:val="en-US" w:eastAsia="zh-CN"/>
        </w:rPr>
        <w:t>有</w:t>
      </w:r>
      <w:r>
        <w:rPr>
          <w:rFonts w:hint="eastAsia" w:ascii="宋体" w:hAnsi="宋体" w:eastAsia="宋体" w:cs="宋体"/>
          <w:color w:val="auto"/>
          <w:kern w:val="0"/>
          <w:szCs w:val="21"/>
          <w:highlight w:val="none"/>
        </w:rPr>
        <w:t>效响应。</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（十）招标文件约定的其他设计内容，以及工期、设计费、配合服务等，投标文件是否有效响应。</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二、按设计团队招标模式的，评标委员会主要评审投标人单位综合实力。评审要素可侧重设置如下：</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（一）团队成员：投标人拟投入设计团队人员的基本信息（姓名、专业、年龄、职称、注册、岗位）；主创设计人和各专业负责人的既往勘察设计业绩、勘察设计获奖和勘察设计类社会荣誉。</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（二）项目解读：阐明对于招标项目的独立理解和勘察设计构思，解读项目方案，设计项目能否满足“适用、经济、绿色、美观”建筑方针。 </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（三）单位资信：或考核企业信用信息、信用等级或信用评价结果；或考核企业近一年受到建设主管部门行政处罚或不良行为记录情况；或考核企业近三年勘察设计获奖和既往同类项目勘察设计业绩。</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服务能力：针对招标项目提出的勘察设计质量保障措施如何；勘察设计进度计划的合理性、可行性以及是否响应招标文件要求；勘察单位配合服务设计单位和施工单位；设计单位技术交底和施工现场服务等设计后续配合服务，是否承诺提供到位。</w:t>
      </w:r>
    </w:p>
    <w:p>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highlight w:val="none"/>
        </w:rPr>
        <w:br w:type="page"/>
      </w:r>
    </w:p>
    <w:p>
      <w:pPr>
        <w:adjustRightInd w:val="0"/>
        <w:snapToGrid w:val="0"/>
        <w:spacing w:line="360" w:lineRule="auto"/>
        <w:jc w:val="left"/>
        <w:outlineLvl w:val="3"/>
        <w:rPr>
          <w:rFonts w:ascii="宋体" w:hAnsi="宋体" w:eastAsia="宋体" w:cs="宋体"/>
          <w:b/>
          <w:color w:val="auto"/>
          <w:kern w:val="0"/>
          <w:highlight w:val="none"/>
        </w:rPr>
      </w:pPr>
      <w:bookmarkStart w:id="34" w:name="_Toc25386"/>
      <w:bookmarkStart w:id="35" w:name="_Toc9035"/>
      <w:bookmarkStart w:id="36" w:name="_Toc14878"/>
      <w:bookmarkStart w:id="37" w:name="_Toc8651"/>
      <w:r>
        <w:rPr>
          <w:rFonts w:hint="eastAsia" w:ascii="宋体" w:hAnsi="宋体" w:eastAsia="宋体" w:cs="宋体"/>
          <w:b/>
          <w:color w:val="auto"/>
          <w:kern w:val="0"/>
          <w:highlight w:val="none"/>
        </w:rPr>
        <w:t>附件2：定标要素</w:t>
      </w:r>
      <w:bookmarkEnd w:id="34"/>
      <w:bookmarkEnd w:id="35"/>
      <w:bookmarkEnd w:id="36"/>
      <w:bookmarkEnd w:id="37"/>
      <w:r>
        <w:rPr>
          <w:rFonts w:hint="eastAsia" w:ascii="宋体" w:hAnsi="宋体" w:eastAsia="宋体" w:cs="宋体"/>
          <w:b/>
          <w:color w:val="auto"/>
          <w:kern w:val="0"/>
          <w:highlight w:val="none"/>
        </w:rPr>
        <w:t>（仅供参考）</w:t>
      </w:r>
    </w:p>
    <w:p>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一、项目按设计方案（或勘察方案）招标模式的，定标委员会侧重对投标文件内容完整性、项目功能布局和经济技术指标等要素进行简单复核，并可查验投标人单位信用概况。针对工程设计投标文件内容，定标评审要素可设置如下：</w:t>
      </w:r>
    </w:p>
    <w:p>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（一）复核项目设计是否符合规划用地条件。</w:t>
      </w:r>
    </w:p>
    <w:p>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（二）复核主要经济技术指标是否符合规划许可要求和招标文件要求。</w:t>
      </w:r>
    </w:p>
    <w:p>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（三）复核项目总体布置是否合理，是否出现重大漏项。</w:t>
      </w:r>
    </w:p>
    <w:p>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（四）复核项目使用功能是否符合招标文件要求。</w:t>
      </w:r>
    </w:p>
    <w:p>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五）复核招标文件中载明的如下设计内容是否漏项：（1）房屋建筑工程：结构、电气、给排水、通风空调、专项工程（建筑装饰工程、建筑幕墙工程、轻型钢结构工程、建筑智能化系统、消防设施工程、照明工程、风景园林工程、环境工程）、工业建筑复杂工艺、绿色建筑、海绵城市设施、装配式建筑和其他设计内容（燃气工程、特殊工艺、标识系统、基坑支护、设计前期工程咨询、路口开设或市政管线衔接等）；（2）市政工程：装配式建设模式、海绵城市设施、水土保持和再生建材产品利用等。</w:t>
      </w:r>
    </w:p>
    <w:p>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（六）</w:t>
      </w:r>
      <w:r>
        <w:rPr>
          <w:rFonts w:hint="eastAsia" w:ascii="宋体" w:hAnsi="宋体" w:eastAsia="宋体" w:cs="宋体"/>
          <w:color w:val="auto"/>
          <w:kern w:val="0"/>
          <w:szCs w:val="21"/>
          <w:highlight w:val="none"/>
        </w:rPr>
        <w:t>复核基于BIM的成果文件的范围、精度、BIM实施能力、BIM实施方案等是否符合招标文件要求，查验沙盘或实体模型是否按招标文件要求提供。</w:t>
      </w:r>
    </w:p>
    <w:p>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（七）复核设计进度（工期）、设计费是否满足招标文件要求；复核设计技术交底和施工现场服务等设计后续配合服务，是否承诺提供到位。</w:t>
      </w:r>
    </w:p>
    <w:p>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（八）查验投标人的企业信用信息、信用等级或信用评价结果，或查验企业近一年受到工程建设主管部门行政处罚或不良行为记录情况。</w:t>
      </w:r>
    </w:p>
    <w:p>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二、 项目按设计团队招标模式的，评标委员会侧重复核投标人单位综合实力，并可查验投标文件是否出现重大疏漏或差错。针对投标文件，定标评审要素可设置如下：</w:t>
      </w:r>
    </w:p>
    <w:p>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（一）复核投标人拟投入团队主创设计人（或项目负责人）和各专业负责人的既往勘察设计业绩、勘察设计获奖和勘察设计类社会荣誉。</w:t>
      </w:r>
    </w:p>
    <w:p>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（二）复核投标人的企业信用信息、信用等级或信用评价结果，或近一年受到工程建设主管部门行政处罚或不良行为记录情况；复核企业近三年设计获奖和既往同类项目业绩。</w:t>
      </w:r>
    </w:p>
    <w:p>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三）查验勘察设计费约定是否招标文件要求；查验勘察设计进度计划是否合理、可行，是否响应招标文件要求；查验勘察设计质量保障措施是否全面、可靠；查验勘察单位配合服务设计单位和施工单位，以及设计技术交底和施工现场服务等设计后续配合服务，是否承诺提供到位；查验勘察工程技术人员配备情况。</w:t>
      </w:r>
    </w:p>
    <w:p>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（四）查验设计投标文件主要经济技术指标是否符合规划许可要求。</w:t>
      </w:r>
    </w:p>
    <w:p>
      <w:pPr>
        <w:adjustRightInd w:val="0"/>
        <w:snapToGrid w:val="0"/>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（五）查验投标文件是否响应招标文件中载明的内容，是否出现漏项。</w:t>
      </w:r>
    </w:p>
    <w:p>
      <w:pPr>
        <w:adjustRightInd w:val="0"/>
        <w:snapToGrid w:val="0"/>
        <w:spacing w:line="360" w:lineRule="auto"/>
        <w:jc w:val="center"/>
        <w:outlineLvl w:val="0"/>
        <w:rPr>
          <w:rFonts w:ascii="黑体" w:eastAsia="黑体"/>
          <w:b/>
          <w:color w:val="auto"/>
          <w:kern w:val="0"/>
          <w:sz w:val="36"/>
          <w:highlight w:val="none"/>
        </w:rPr>
      </w:pPr>
      <w:r>
        <w:rPr>
          <w:rFonts w:ascii="宋体" w:hAnsi="宋体"/>
          <w:color w:val="auto"/>
          <w:kern w:val="0"/>
          <w:highlight w:val="none"/>
        </w:rPr>
        <w:br w:type="page"/>
      </w:r>
      <w:bookmarkStart w:id="38" w:name="_Toc27341"/>
      <w:bookmarkStart w:id="39" w:name="_Toc13536"/>
      <w:r>
        <w:rPr>
          <w:rFonts w:hint="eastAsia" w:ascii="黑体" w:eastAsia="黑体"/>
          <w:bCs/>
          <w:color w:val="auto"/>
          <w:kern w:val="0"/>
          <w:sz w:val="32"/>
          <w:szCs w:val="32"/>
          <w:highlight w:val="none"/>
        </w:rPr>
        <w:t xml:space="preserve">第三章 </w:t>
      </w:r>
      <w:r>
        <w:rPr>
          <w:rFonts w:ascii="黑体" w:eastAsia="黑体"/>
          <w:bCs/>
          <w:color w:val="auto"/>
          <w:kern w:val="0"/>
          <w:sz w:val="32"/>
          <w:szCs w:val="32"/>
          <w:highlight w:val="none"/>
        </w:rPr>
        <w:t xml:space="preserve"> </w:t>
      </w:r>
      <w:r>
        <w:rPr>
          <w:rFonts w:hint="eastAsia" w:ascii="黑体" w:eastAsia="黑体"/>
          <w:bCs/>
          <w:color w:val="auto"/>
          <w:kern w:val="0"/>
          <w:sz w:val="32"/>
          <w:szCs w:val="32"/>
          <w:highlight w:val="none"/>
        </w:rPr>
        <w:t>招标人对招标文件的补充/修改</w:t>
      </w:r>
      <w:bookmarkEnd w:id="38"/>
      <w:bookmarkEnd w:id="39"/>
    </w:p>
    <w:p>
      <w:pPr>
        <w:topLinePunct/>
        <w:adjustRightInd w:val="0"/>
        <w:snapToGrid w:val="0"/>
        <w:spacing w:line="360" w:lineRule="auto"/>
        <w:ind w:firstLine="420" w:firstLineChars="200"/>
        <w:rPr>
          <w:rFonts w:ascii="宋体" w:hAnsi="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招标人可根据工程实际情况，对本示范文本进行补充或修改，但有关补充或修改内容不得违法违规，且必须逐一列举在以下栏目中。请投标人认真阅读并遵照执行：</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以下空白。</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r>
        <w:rPr>
          <w:rFonts w:hint="eastAsia" w:ascii="宋体" w:hAnsi="宋体" w:eastAsia="宋体" w:cs="宋体"/>
          <w:color w:val="auto"/>
          <w:kern w:val="0"/>
          <w:szCs w:val="21"/>
          <w:highlight w:val="none"/>
          <w:u w:val="single"/>
        </w:rPr>
        <w:t xml:space="preserve">      </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r>
        <w:rPr>
          <w:rFonts w:hint="eastAsia" w:ascii="宋体" w:hAnsi="宋体" w:eastAsia="宋体" w:cs="宋体"/>
          <w:color w:val="auto"/>
          <w:kern w:val="0"/>
          <w:szCs w:val="21"/>
          <w:highlight w:val="none"/>
          <w:u w:val="single"/>
        </w:rPr>
        <w:t xml:space="preserve">      </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编制日期：</w:t>
      </w:r>
      <w:r>
        <w:rPr>
          <w:rFonts w:hint="eastAsia" w:ascii="宋体" w:hAnsi="宋体" w:eastAsia="宋体" w:cs="宋体"/>
          <w:color w:val="auto"/>
          <w:kern w:val="0"/>
          <w:szCs w:val="21"/>
          <w:highlight w:val="none"/>
          <w:u w:val="single"/>
        </w:rPr>
        <w:t xml:space="preserve">      </w:t>
      </w:r>
    </w:p>
    <w:p>
      <w:pPr>
        <w:rPr>
          <w:color w:val="auto"/>
          <w:highlight w:val="none"/>
        </w:rPr>
      </w:pPr>
      <w:r>
        <w:rPr>
          <w:rFonts w:hint="eastAsia"/>
          <w:color w:val="auto"/>
          <w:highlight w:val="none"/>
        </w:rPr>
        <w:br w:type="page"/>
      </w:r>
      <w:bookmarkStart w:id="40" w:name="_Toc13923"/>
      <w:bookmarkEnd w:id="40"/>
    </w:p>
    <w:p>
      <w:pPr>
        <w:adjustRightInd w:val="0"/>
        <w:snapToGrid w:val="0"/>
        <w:spacing w:line="360" w:lineRule="auto"/>
        <w:jc w:val="center"/>
        <w:outlineLvl w:val="0"/>
        <w:rPr>
          <w:rFonts w:ascii="黑体" w:hAnsi="黑体" w:eastAsia="黑体" w:cs="黑体"/>
          <w:b/>
          <w:color w:val="auto"/>
          <w:kern w:val="0"/>
          <w:sz w:val="32"/>
          <w:szCs w:val="32"/>
          <w:highlight w:val="none"/>
        </w:rPr>
      </w:pPr>
      <w:bookmarkStart w:id="41" w:name="_Toc7288"/>
      <w:r>
        <w:rPr>
          <w:rFonts w:hint="eastAsia" w:ascii="黑体" w:hAnsi="黑体" w:eastAsia="黑体" w:cs="黑体"/>
          <w:b/>
          <w:color w:val="auto"/>
          <w:kern w:val="0"/>
          <w:sz w:val="32"/>
          <w:szCs w:val="32"/>
          <w:highlight w:val="none"/>
        </w:rPr>
        <w:t>第四章  设计任务书及前期资料</w:t>
      </w:r>
      <w:bookmarkEnd w:id="41"/>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设计任务书及前期资料</w:t>
      </w:r>
    </w:p>
    <w:p>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BIM要求（仅供参考）</w:t>
      </w:r>
    </w:p>
    <w:p>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一 模型要求：</w:t>
      </w:r>
    </w:p>
    <w:p>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（一） BIM模型设计要求：如BIM应用范围、精度、建筑指标分析等</w:t>
      </w:r>
    </w:p>
    <w:p>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（二） BIM模型辅助展示：</w:t>
      </w:r>
    </w:p>
    <w:p>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（三） BIM成果文件要求：</w:t>
      </w:r>
    </w:p>
    <w:p>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（四）……</w:t>
      </w:r>
    </w:p>
    <w:p>
      <w:pPr>
        <w:adjustRightInd w:val="0"/>
        <w:snapToGrid w:val="0"/>
        <w:spacing w:line="360" w:lineRule="auto"/>
        <w:ind w:firstLine="420" w:firstLineChars="200"/>
        <w:jc w:val="left"/>
        <w:rPr>
          <w:rFonts w:ascii="宋体" w:hAnsi="宋体"/>
          <w:color w:val="auto"/>
          <w:kern w:val="0"/>
          <w:szCs w:val="21"/>
          <w:highlight w:val="none"/>
        </w:rPr>
      </w:pPr>
    </w:p>
    <w:p>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二、实施方案：</w:t>
      </w:r>
    </w:p>
    <w:p>
      <w:pPr>
        <w:adjustRightInd w:val="0"/>
        <w:snapToGrid w:val="0"/>
        <w:spacing w:line="360" w:lineRule="auto"/>
        <w:ind w:firstLine="420" w:firstLineChars="200"/>
        <w:jc w:val="left"/>
        <w:rPr>
          <w:rFonts w:ascii="宋体" w:hAnsi="宋体" w:eastAsia="宋体" w:cs="宋体"/>
          <w:color w:val="auto"/>
          <w:highlight w:val="none"/>
        </w:rPr>
        <w:sectPr>
          <w:footerReference r:id="rId4" w:type="default"/>
          <w:pgSz w:w="11906" w:h="16838"/>
          <w:pgMar w:top="1417" w:right="1417" w:bottom="1417" w:left="1417" w:header="851" w:footer="992" w:gutter="0"/>
          <w:cols w:space="425" w:num="1"/>
          <w:docGrid w:type="lines" w:linePitch="312" w:charSpace="0"/>
        </w:sectPr>
      </w:pPr>
      <w:r>
        <w:rPr>
          <w:rFonts w:hint="eastAsia" w:ascii="宋体" w:hAnsi="宋体"/>
          <w:color w:val="auto"/>
          <w:kern w:val="0"/>
          <w:szCs w:val="21"/>
          <w:highlight w:val="none"/>
        </w:rPr>
        <w:t>投标人自行编辑BIM建筑方案模型实施方案，格式要求为*.PDF，主要包括以下内容：实施目标、应用范围、实施团队、软硬件环境、模型精细度要求、协同实施、成果文件交付格式及内容、实施保障机制。</w:t>
      </w:r>
    </w:p>
    <w:p>
      <w:pPr>
        <w:adjustRightInd w:val="0"/>
        <w:snapToGrid w:val="0"/>
        <w:spacing w:line="360" w:lineRule="auto"/>
        <w:jc w:val="left"/>
        <w:rPr>
          <w:rFonts w:ascii="宋体" w:hAnsi="宋体"/>
          <w:snapToGrid w:val="0"/>
          <w:color w:val="auto"/>
          <w:kern w:val="0"/>
          <w:szCs w:val="21"/>
          <w:highlight w:val="none"/>
        </w:rPr>
      </w:pPr>
    </w:p>
    <w:p>
      <w:pPr>
        <w:adjustRightInd w:val="0"/>
        <w:snapToGrid w:val="0"/>
        <w:spacing w:line="360" w:lineRule="auto"/>
        <w:jc w:val="center"/>
        <w:outlineLvl w:val="0"/>
        <w:rPr>
          <w:rFonts w:ascii="黑体" w:hAnsi="黑体" w:eastAsia="黑体" w:cs="黑体"/>
          <w:bCs/>
          <w:color w:val="auto"/>
          <w:kern w:val="0"/>
          <w:sz w:val="32"/>
          <w:szCs w:val="32"/>
          <w:highlight w:val="none"/>
        </w:rPr>
      </w:pPr>
      <w:bookmarkStart w:id="42" w:name="_Toc23337"/>
      <w:r>
        <w:rPr>
          <w:rFonts w:hint="eastAsia" w:ascii="黑体" w:hAnsi="黑体" w:eastAsia="黑体" w:cs="黑体"/>
          <w:bCs/>
          <w:color w:val="auto"/>
          <w:kern w:val="0"/>
          <w:sz w:val="32"/>
          <w:szCs w:val="32"/>
          <w:highlight w:val="none"/>
        </w:rPr>
        <w:t>第五章  投标文件格式</w:t>
      </w:r>
      <w:bookmarkEnd w:id="42"/>
    </w:p>
    <w:p>
      <w:pPr>
        <w:adjustRightInd w:val="0"/>
        <w:snapToGrid w:val="0"/>
        <w:spacing w:line="360" w:lineRule="auto"/>
        <w:ind w:firstLine="420" w:firstLineChars="200"/>
        <w:jc w:val="left"/>
        <w:rPr>
          <w:rFonts w:ascii="宋体" w:hAnsi="宋体"/>
          <w:color w:val="auto"/>
          <w:kern w:val="0"/>
          <w:highlight w:val="none"/>
        </w:rPr>
      </w:pPr>
      <w:r>
        <w:rPr>
          <w:rFonts w:ascii="宋体" w:hAnsi="宋体"/>
          <w:color w:val="auto"/>
          <w:kern w:val="0"/>
          <w:highlight w:val="none"/>
        </w:rPr>
        <w:br w:type="page"/>
      </w:r>
    </w:p>
    <w:p>
      <w:pPr>
        <w:adjustRightInd w:val="0"/>
        <w:snapToGrid w:val="0"/>
        <w:spacing w:line="360" w:lineRule="auto"/>
        <w:jc w:val="center"/>
        <w:outlineLvl w:val="1"/>
        <w:rPr>
          <w:rFonts w:ascii="宋体" w:hAnsi="宋体" w:eastAsia="宋体" w:cs="宋体"/>
          <w:b/>
          <w:color w:val="auto"/>
          <w:kern w:val="0"/>
          <w:sz w:val="30"/>
          <w:highlight w:val="none"/>
        </w:rPr>
      </w:pPr>
      <w:bookmarkStart w:id="43" w:name="_Toc23958"/>
      <w:r>
        <w:rPr>
          <w:rFonts w:hint="eastAsia" w:ascii="宋体" w:hAnsi="宋体" w:eastAsia="宋体" w:cs="宋体"/>
          <w:b/>
          <w:color w:val="auto"/>
          <w:kern w:val="0"/>
          <w:sz w:val="30"/>
          <w:highlight w:val="none"/>
        </w:rPr>
        <w:t>5.1资信标</w:t>
      </w:r>
      <w:bookmarkEnd w:id="43"/>
    </w:p>
    <w:p>
      <w:pPr>
        <w:adjustRightInd w:val="0"/>
        <w:snapToGrid w:val="0"/>
        <w:spacing w:line="360" w:lineRule="auto"/>
        <w:jc w:val="left"/>
        <w:outlineLvl w:val="2"/>
        <w:rPr>
          <w:rFonts w:ascii="宋体" w:hAnsi="宋体" w:eastAsia="宋体" w:cs="宋体"/>
          <w:b/>
          <w:color w:val="auto"/>
          <w:kern w:val="0"/>
          <w:highlight w:val="none"/>
        </w:rPr>
      </w:pPr>
      <w:bookmarkStart w:id="44" w:name="_Toc32257"/>
      <w:r>
        <w:rPr>
          <w:rFonts w:hint="eastAsia" w:ascii="宋体" w:hAnsi="宋体" w:eastAsia="宋体" w:cs="宋体"/>
          <w:b/>
          <w:color w:val="auto"/>
          <w:kern w:val="0"/>
          <w:highlight w:val="none"/>
        </w:rPr>
        <w:t>投标附件1.投标函</w:t>
      </w:r>
      <w:bookmarkEnd w:id="44"/>
    </w:p>
    <w:p>
      <w:pPr>
        <w:adjustRightInd w:val="0"/>
        <w:snapToGrid w:val="0"/>
        <w:spacing w:line="360" w:lineRule="auto"/>
        <w:jc w:val="left"/>
        <w:rPr>
          <w:rFonts w:ascii="宋体" w:hAnsi="宋体" w:eastAsia="宋体" w:cs="宋体"/>
          <w:color w:val="auto"/>
          <w:kern w:val="0"/>
          <w:sz w:val="32"/>
          <w:szCs w:val="32"/>
          <w:highlight w:val="none"/>
        </w:rPr>
      </w:pPr>
      <w:r>
        <w:rPr>
          <w:rFonts w:hint="eastAsia" w:ascii="宋体" w:hAnsi="宋体" w:eastAsia="宋体" w:cs="宋体"/>
          <w:bCs/>
          <w:color w:val="auto"/>
          <w:kern w:val="0"/>
          <w:highlight w:val="none"/>
        </w:rPr>
        <w:t>（提示：本投标函中除明确由“招标人填写”外，其余空格均应由投标人填写完整。投标人一旦中标，该投标函将作为有关部门后续监管的依据。）</w:t>
      </w:r>
    </w:p>
    <w:p>
      <w:pPr>
        <w:adjustRightInd w:val="0"/>
        <w:snapToGrid w:val="0"/>
        <w:jc w:val="center"/>
        <w:rPr>
          <w:rFonts w:ascii="宋体" w:hAnsi="宋体" w:eastAsia="宋体" w:cs="宋体"/>
          <w:b/>
          <w:color w:val="auto"/>
          <w:kern w:val="0"/>
          <w:sz w:val="44"/>
          <w:szCs w:val="44"/>
          <w:highlight w:val="none"/>
        </w:rPr>
      </w:pPr>
      <w:r>
        <w:rPr>
          <w:rFonts w:hint="eastAsia" w:ascii="宋体" w:hAnsi="宋体" w:eastAsia="宋体" w:cs="宋体"/>
          <w:b/>
          <w:color w:val="auto"/>
          <w:kern w:val="0"/>
          <w:sz w:val="44"/>
          <w:szCs w:val="44"/>
          <w:highlight w:val="none"/>
        </w:rPr>
        <w:t>投标函</w:t>
      </w:r>
    </w:p>
    <w:p>
      <w:pPr>
        <w:adjustRightInd w:val="0"/>
        <w:snapToGrid w:val="0"/>
        <w:spacing w:line="34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致招标人：______</w:t>
      </w:r>
      <w:r>
        <w:rPr>
          <w:rFonts w:hint="eastAsia" w:ascii="宋体" w:hAnsi="宋体" w:eastAsia="宋体" w:cs="宋体"/>
          <w:color w:val="auto"/>
          <w:kern w:val="0"/>
          <w:szCs w:val="21"/>
          <w:highlight w:val="none"/>
          <w:u w:val="single"/>
        </w:rPr>
        <w:t>（招标人名称，招标人填写）</w:t>
      </w:r>
      <w:r>
        <w:rPr>
          <w:rFonts w:hint="eastAsia" w:ascii="宋体" w:hAnsi="宋体" w:eastAsia="宋体" w:cs="宋体"/>
          <w:color w:val="auto"/>
          <w:kern w:val="0"/>
          <w:szCs w:val="21"/>
          <w:highlight w:val="none"/>
        </w:rPr>
        <w:t>____________</w:t>
      </w:r>
    </w:p>
    <w:p>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为确保贵方招标项目__</w:t>
      </w:r>
      <w:r>
        <w:rPr>
          <w:rFonts w:hint="eastAsia" w:ascii="宋体" w:hAnsi="宋体" w:eastAsia="宋体" w:cs="宋体"/>
          <w:bCs/>
          <w:color w:val="auto"/>
          <w:kern w:val="0"/>
          <w:szCs w:val="21"/>
          <w:highlight w:val="none"/>
          <w:u w:val="single"/>
        </w:rPr>
        <w:t>（项目名称，招标人填写</w:t>
      </w:r>
      <w:r>
        <w:rPr>
          <w:rFonts w:hint="eastAsia" w:ascii="宋体" w:hAnsi="宋体" w:eastAsia="宋体" w:cs="宋体"/>
          <w:bCs/>
          <w:color w:val="auto"/>
          <w:kern w:val="0"/>
          <w:szCs w:val="21"/>
          <w:highlight w:val="none"/>
        </w:rPr>
        <w:t>____）招投标工作的顺利进行，加强与贵方长期友好合作，我方作为投标人，将严格执行工程建设相关法律法规，并完全理解和接受招标文件所有内容，为此郑重承诺如下：</w:t>
      </w:r>
    </w:p>
    <w:p>
      <w:pPr>
        <w:adjustRightInd w:val="0"/>
        <w:snapToGrid w:val="0"/>
        <w:spacing w:line="34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1、经分析研究，结合我方实际情况，我单位愿以</w:t>
      </w:r>
      <w:bookmarkStart w:id="45" w:name="固定总价"/>
      <w:r>
        <w:rPr>
          <w:rFonts w:hint="eastAsia" w:ascii="宋体" w:hAnsi="宋体" w:eastAsia="宋体" w:cs="宋体"/>
          <w:color w:val="auto"/>
          <w:kern w:val="0"/>
          <w:szCs w:val="21"/>
          <w:highlight w:val="none"/>
          <w:u w:val="single"/>
        </w:rPr>
        <w:t xml:space="preserve">       </w:t>
      </w:r>
      <w:bookmarkEnd w:id="45"/>
      <w:bookmarkStart w:id="46" w:name="其他"/>
      <w:r>
        <w:rPr>
          <w:rFonts w:hint="eastAsia" w:ascii="宋体" w:hAnsi="宋体" w:eastAsia="宋体" w:cs="宋体"/>
          <w:color w:val="auto"/>
          <w:kern w:val="0"/>
          <w:szCs w:val="21"/>
          <w:highlight w:val="none"/>
        </w:rPr>
        <w:t>___</w:t>
      </w:r>
      <w:r>
        <w:rPr>
          <w:rFonts w:hint="eastAsia" w:ascii="宋体" w:hAnsi="宋体" w:eastAsia="宋体" w:cs="宋体"/>
          <w:bCs/>
          <w:color w:val="auto"/>
          <w:kern w:val="0"/>
          <w:sz w:val="22"/>
          <w:highlight w:val="none"/>
        </w:rPr>
        <w:t>（按照前附表规定报价方式填写）</w:t>
      </w:r>
      <w:r>
        <w:rPr>
          <w:rFonts w:hint="eastAsia" w:ascii="宋体" w:hAnsi="宋体" w:eastAsia="宋体" w:cs="宋体"/>
          <w:color w:val="auto"/>
          <w:kern w:val="0"/>
          <w:szCs w:val="21"/>
          <w:highlight w:val="none"/>
        </w:rPr>
        <w:t>_</w:t>
      </w:r>
      <w:bookmarkEnd w:id="46"/>
      <w:r>
        <w:rPr>
          <w:rFonts w:hint="eastAsia" w:ascii="宋体" w:hAnsi="宋体" w:eastAsia="宋体" w:cs="宋体"/>
          <w:color w:val="auto"/>
          <w:kern w:val="0"/>
          <w:szCs w:val="21"/>
          <w:highlight w:val="none"/>
        </w:rPr>
        <w:t>结算，按实际完成的、由业主审核签认的合格工程量经审计部门审计后进行计算。（投标人填写）</w:t>
      </w:r>
    </w:p>
    <w:p>
      <w:pPr>
        <w:adjustRightInd w:val="0"/>
        <w:snapToGrid w:val="0"/>
        <w:spacing w:line="34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2、</w:t>
      </w:r>
      <w:r>
        <w:rPr>
          <w:rFonts w:hint="eastAsia" w:ascii="宋体" w:hAnsi="宋体" w:eastAsia="宋体" w:cs="宋体"/>
          <w:color w:val="auto"/>
          <w:kern w:val="0"/>
          <w:szCs w:val="21"/>
          <w:highlight w:val="none"/>
        </w:rPr>
        <w:t>我方同意所递交投标文件，在投标须知前附表规定的投标有效期内保持有效。在此期间内我方投标有可能中标，我方将受此约束。如果在投标有效期内撤回投标或放弃中标资格，我方投标担保将均被没收；由此给贵方造成的损失超过我方投标担保金额的，贵方有权依法要求我方对超过部分进行赔偿。</w:t>
      </w:r>
    </w:p>
    <w:p>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3、我方保证所提交的保证金是从我单位基本账户汇出，银行保函是由我单位基本账户开户银行所在网点或其上级银行机构出具，</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bCs/>
          <w:color w:val="auto"/>
          <w:kern w:val="0"/>
          <w:szCs w:val="21"/>
          <w:highlight w:val="none"/>
        </w:rPr>
        <w:t>保证保险的保费是通过我单位基本账户支付，如不按上述原则提交投标担保，招标人有权取消我方的中标资格或单方面终止合同，因此造成的责任由我方承担。</w:t>
      </w:r>
    </w:p>
    <w:p>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4、</w:t>
      </w:r>
      <w:r>
        <w:rPr>
          <w:rFonts w:ascii="宋体" w:hAnsi="宋体" w:eastAsia="宋体" w:cs="宋体"/>
          <w:bCs/>
          <w:color w:val="auto"/>
          <w:kern w:val="0"/>
          <w:szCs w:val="21"/>
          <w:highlight w:val="none"/>
        </w:rPr>
        <w:t>一旦我方中标，将保证在中标通知书发出之日起30日内，与贵方按招标文件、中标通知书中的内容签定</w:t>
      </w:r>
      <w:r>
        <w:rPr>
          <w:rFonts w:hint="eastAsia" w:ascii="宋体" w:hAnsi="宋体" w:eastAsia="宋体" w:cs="宋体"/>
          <w:bCs/>
          <w:color w:val="auto"/>
          <w:kern w:val="0"/>
          <w:szCs w:val="21"/>
          <w:highlight w:val="none"/>
        </w:rPr>
        <w:t>设计</w:t>
      </w:r>
      <w:r>
        <w:rPr>
          <w:rFonts w:ascii="宋体" w:hAnsi="宋体" w:eastAsia="宋体" w:cs="宋体"/>
          <w:bCs/>
          <w:color w:val="auto"/>
          <w:kern w:val="0"/>
          <w:szCs w:val="21"/>
          <w:highlight w:val="none"/>
        </w:rPr>
        <w:t>合同，否则，视为我方自愿放弃中标资格。</w:t>
      </w:r>
    </w:p>
    <w:p>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5、按规定完成设计合同中所约定如下全部内容（与招标文件中招标范围一致）：</w:t>
      </w:r>
      <w:r>
        <w:rPr>
          <w:rFonts w:hint="eastAsia" w:ascii="宋体" w:hAnsi="宋体" w:eastAsia="宋体" w:cs="宋体"/>
          <w:bCs/>
          <w:color w:val="auto"/>
          <w:kern w:val="0"/>
          <w:szCs w:val="21"/>
          <w:highlight w:val="none"/>
          <w:u w:val="single"/>
        </w:rPr>
        <w:t>（投标人填写）</w:t>
      </w:r>
      <w:r>
        <w:rPr>
          <w:rFonts w:hint="eastAsia" w:ascii="宋体" w:hAnsi="宋体" w:eastAsia="宋体" w:cs="宋体"/>
          <w:bCs/>
          <w:color w:val="auto"/>
          <w:kern w:val="0"/>
          <w:szCs w:val="21"/>
          <w:highlight w:val="none"/>
        </w:rPr>
        <w:t>。</w:t>
      </w:r>
    </w:p>
    <w:p>
      <w:pPr>
        <w:adjustRightInd w:val="0"/>
        <w:snapToGrid w:val="0"/>
        <w:spacing w:line="340" w:lineRule="exact"/>
        <w:ind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6、我方将配备与招标公告和投标文件共同约定相一致的项目组主要设计成员。详见《拟投入的项目负责人基本情况表》（投标附件6）和《拟投入的项目组专业负责人基本情况表》（投标附件7）。我方一旦中标，则在变更招标公告已规定的项目负责人或专业负责人时，须事先征得贵方批准同意。我方若因非正当理由变更招标公告已规定且我方投标文件已承诺的项目负责人或专业负责人，则招标人有权取消我方中标资格，或酌减设计费，或单方面终止合同，由此造成的违约责任由我方承担。</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7</w:t>
      </w:r>
      <w:r>
        <w:rPr>
          <w:rFonts w:hint="eastAsia" w:ascii="宋体" w:hAnsi="宋体" w:eastAsia="宋体" w:cs="宋体"/>
          <w:bCs/>
          <w:color w:val="auto"/>
          <w:szCs w:val="21"/>
          <w:highlight w:val="none"/>
        </w:rPr>
        <w:t>、招标文件规定的其他主要承诺事项：</w:t>
      </w:r>
    </w:p>
    <w:p>
      <w:pPr>
        <w:adjustRightInd w:val="0"/>
        <w:snapToGrid w:val="0"/>
        <w:spacing w:line="340" w:lineRule="exact"/>
        <w:ind w:firstLine="420" w:firstLineChars="200"/>
        <w:jc w:val="left"/>
        <w:rPr>
          <w:rFonts w:hint="default" w:ascii="宋体" w:hAnsi="宋体" w:eastAsia="宋体" w:cs="宋体"/>
          <w:bCs/>
          <w:color w:val="auto"/>
          <w:kern w:val="0"/>
          <w:szCs w:val="21"/>
          <w:highlight w:val="none"/>
          <w:lang w:val="en-US"/>
        </w:rPr>
      </w:pPr>
      <w:r>
        <w:rPr>
          <w:rFonts w:hint="eastAsia" w:ascii="宋体" w:hAnsi="宋体" w:eastAsia="宋体" w:cs="宋体"/>
          <w:bCs/>
          <w:color w:val="auto"/>
          <w:szCs w:val="21"/>
          <w:highlight w:val="none"/>
          <w:u w:val="single"/>
        </w:rPr>
        <w:t>_</w:t>
      </w:r>
      <w:r>
        <w:rPr>
          <w:rFonts w:hint="eastAsia" w:ascii="宋体" w:hAnsi="宋体" w:eastAsia="宋体" w:cs="宋体"/>
          <w:bCs/>
          <w:color w:val="auto"/>
          <w:szCs w:val="21"/>
          <w:highlight w:val="none"/>
          <w:u w:val="single"/>
          <w:lang w:val="en-US" w:eastAsia="zh-CN"/>
        </w:rPr>
        <w:t xml:space="preserve"> 如承诺</w:t>
      </w:r>
      <w:r>
        <w:rPr>
          <w:rFonts w:hint="eastAsia" w:ascii="宋体" w:hAnsi="宋体" w:eastAsia="宋体" w:cs="宋体"/>
          <w:color w:val="auto"/>
          <w:kern w:val="0"/>
          <w:szCs w:val="21"/>
          <w:highlight w:val="none"/>
          <w:lang w:eastAsia="zh-CN"/>
        </w:rPr>
        <w:t>将中标金额的</w:t>
      </w:r>
      <w:r>
        <w:rPr>
          <w:rFonts w:hint="eastAsia" w:ascii="宋体" w:hAnsi="宋体" w:eastAsia="宋体" w:cs="宋体"/>
          <w:color w:val="auto"/>
          <w:kern w:val="0"/>
          <w:szCs w:val="21"/>
          <w:highlight w:val="none"/>
          <w:u w:val="single"/>
          <w:lang w:val="en-US" w:eastAsia="zh-CN"/>
        </w:rPr>
        <w:t xml:space="preserve">   % </w:t>
      </w:r>
      <w:r>
        <w:rPr>
          <w:rFonts w:hint="eastAsia" w:ascii="宋体" w:hAnsi="宋体" w:eastAsia="宋体" w:cs="宋体"/>
          <w:color w:val="auto"/>
          <w:kern w:val="0"/>
          <w:szCs w:val="21"/>
          <w:highlight w:val="none"/>
          <w:lang w:eastAsia="zh-CN"/>
        </w:rPr>
        <w:t>依法分包给满足条件的中小企业</w:t>
      </w:r>
      <w:r>
        <w:rPr>
          <w:rFonts w:hint="eastAsia" w:ascii="宋体" w:hAnsi="宋体" w:eastAsia="宋体" w:cs="宋体"/>
          <w:color w:val="auto"/>
          <w:kern w:val="0"/>
          <w:szCs w:val="21"/>
          <w:highlight w:val="none"/>
          <w:lang w:val="en-US" w:eastAsia="zh-CN"/>
        </w:rPr>
        <w:t>等</w:t>
      </w:r>
      <w:r>
        <w:rPr>
          <w:rFonts w:hint="eastAsia" w:ascii="宋体" w:hAnsi="宋体" w:eastAsia="宋体" w:cs="宋体"/>
          <w:bCs/>
          <w:color w:val="auto"/>
          <w:szCs w:val="21"/>
          <w:highlight w:val="none"/>
          <w:u w:val="single"/>
          <w:lang w:eastAsia="zh-CN"/>
        </w:rPr>
        <w:t>。</w:t>
      </w:r>
      <w:r>
        <w:rPr>
          <w:rFonts w:hint="eastAsia" w:ascii="宋体" w:hAnsi="宋体" w:eastAsia="宋体" w:cs="宋体"/>
          <w:bCs/>
          <w:color w:val="auto"/>
          <w:szCs w:val="21"/>
          <w:highlight w:val="none"/>
          <w:u w:val="single"/>
          <w:lang w:val="en-US" w:eastAsia="zh-CN"/>
        </w:rPr>
        <w:t xml:space="preserve">                  </w:t>
      </w:r>
    </w:p>
    <w:p>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lang w:val="en-US" w:eastAsia="zh-CN"/>
        </w:rPr>
        <w:t>8</w:t>
      </w:r>
      <w:r>
        <w:rPr>
          <w:rFonts w:hint="eastAsia" w:ascii="宋体" w:hAnsi="宋体" w:eastAsia="宋体" w:cs="宋体"/>
          <w:bCs/>
          <w:color w:val="auto"/>
          <w:kern w:val="0"/>
          <w:szCs w:val="21"/>
          <w:highlight w:val="none"/>
        </w:rPr>
        <w:t>、我方在本次投标中无任何弄虚作假、串通投标、围标等不法行为。否则，我方甘愿接受取消投标资格、取消中标资格、解除设计合同、记录不良行为、暂停参加建设工程投标资格等处理；我方行为涉嫌构成犯罪的，将依法接受刑事责任追究并移送公安机关查处。</w:t>
      </w:r>
    </w:p>
    <w:p>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lang w:val="en-US" w:eastAsia="zh-CN"/>
        </w:rPr>
        <w:t>9</w:t>
      </w:r>
      <w:r>
        <w:rPr>
          <w:rFonts w:hint="eastAsia" w:ascii="宋体" w:hAnsi="宋体" w:eastAsia="宋体" w:cs="宋体"/>
          <w:bCs/>
          <w:color w:val="auto"/>
          <w:kern w:val="0"/>
          <w:szCs w:val="21"/>
          <w:highlight w:val="none"/>
        </w:rPr>
        <w:t>、如果违反本投标函中任何条款，我方愿意接受：</w:t>
      </w:r>
    </w:p>
    <w:p>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(1)视作我方单方面违约，并按照合同规定向贵方支付违约金或解除合同；</w:t>
      </w:r>
    </w:p>
    <w:p>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(2)履约评价评定为良好及以下；</w:t>
      </w:r>
    </w:p>
    <w:p>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(3)本工程招标人今后可拒绝我方参与投标；</w:t>
      </w:r>
    </w:p>
    <w:p>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(4)建设行政主管部门（或相关主管部门）处以的不良行为记录或行政处罚。</w:t>
      </w:r>
    </w:p>
    <w:p>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lang w:val="en-US" w:eastAsia="zh-CN"/>
        </w:rPr>
        <w:t>10</w:t>
      </w:r>
      <w:r>
        <w:rPr>
          <w:rFonts w:hint="eastAsia" w:ascii="宋体" w:hAnsi="宋体" w:eastAsia="宋体" w:cs="宋体"/>
          <w:color w:val="auto"/>
          <w:kern w:val="0"/>
          <w:szCs w:val="21"/>
          <w:highlight w:val="none"/>
        </w:rPr>
        <w:t>、除非贵我双方另外达成协议并生效，贵方招标文件、中标通知书和我方投标文件，将成为约束双方的合同条款的有效组成部分。</w:t>
      </w:r>
    </w:p>
    <w:p>
      <w:pPr>
        <w:adjustRightInd w:val="0"/>
        <w:snapToGrid w:val="0"/>
        <w:spacing w:line="340" w:lineRule="exact"/>
        <w:ind w:firstLine="420" w:firstLineChars="200"/>
        <w:jc w:val="left"/>
        <w:rPr>
          <w:rFonts w:ascii="宋体" w:hAnsi="宋体" w:eastAsia="宋体" w:cs="宋体"/>
          <w:bCs/>
          <w:color w:val="auto"/>
          <w:kern w:val="0"/>
          <w:szCs w:val="21"/>
          <w:highlight w:val="none"/>
        </w:rPr>
      </w:pPr>
    </w:p>
    <w:p>
      <w:pPr>
        <w:adjustRightInd w:val="0"/>
        <w:snapToGrid w:val="0"/>
        <w:spacing w:line="34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投标人（单位公章）：__________________________________________________</w:t>
      </w:r>
    </w:p>
    <w:p>
      <w:pPr>
        <w:adjustRightInd w:val="0"/>
        <w:snapToGrid w:val="0"/>
        <w:spacing w:line="34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投标人法定代表人签章：</w:t>
      </w:r>
    </w:p>
    <w:p>
      <w:pPr>
        <w:adjustRightInd w:val="0"/>
        <w:snapToGrid w:val="0"/>
        <w:spacing w:line="34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单位地址：___________________________________________________________</w:t>
      </w:r>
    </w:p>
    <w:p>
      <w:pPr>
        <w:adjustRightInd w:val="0"/>
        <w:snapToGrid w:val="0"/>
        <w:spacing w:line="34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邮政编码：__________________电话：______________ 传真：______________</w:t>
      </w:r>
    </w:p>
    <w:p>
      <w:pPr>
        <w:adjustRightInd w:val="0"/>
        <w:snapToGrid w:val="0"/>
        <w:spacing w:line="340" w:lineRule="exact"/>
        <w:ind w:firstLine="4200" w:firstLineChars="2000"/>
        <w:jc w:val="left"/>
        <w:rPr>
          <w:rFonts w:hAnsi="宋体"/>
          <w:bCs/>
          <w:color w:val="auto"/>
          <w:kern w:val="0"/>
          <w:szCs w:val="21"/>
          <w:highlight w:val="none"/>
        </w:rPr>
      </w:pPr>
      <w:r>
        <w:rPr>
          <w:rFonts w:hint="eastAsia" w:ascii="宋体" w:hAnsi="宋体" w:eastAsia="宋体" w:cs="宋体"/>
          <w:bCs/>
          <w:color w:val="auto"/>
          <w:kern w:val="0"/>
          <w:szCs w:val="21"/>
          <w:highlight w:val="none"/>
        </w:rPr>
        <w:t>年   月   日</w:t>
      </w:r>
      <w:r>
        <w:rPr>
          <w:rFonts w:hint="eastAsia" w:ascii="宋体" w:hAnsi="宋体" w:eastAsia="宋体" w:cs="宋体"/>
          <w:bCs/>
          <w:color w:val="auto"/>
          <w:kern w:val="0"/>
          <w:szCs w:val="21"/>
          <w:highlight w:val="none"/>
        </w:rPr>
        <w:br w:type="page"/>
      </w:r>
    </w:p>
    <w:p>
      <w:pPr>
        <w:adjustRightInd w:val="0"/>
        <w:snapToGrid w:val="0"/>
        <w:spacing w:line="360" w:lineRule="auto"/>
        <w:jc w:val="left"/>
        <w:outlineLvl w:val="2"/>
        <w:rPr>
          <w:rFonts w:ascii="宋体" w:hAnsi="宋体" w:eastAsia="宋体" w:cs="宋体"/>
          <w:b/>
          <w:color w:val="auto"/>
          <w:kern w:val="0"/>
          <w:highlight w:val="none"/>
        </w:rPr>
      </w:pPr>
      <w:bookmarkStart w:id="47" w:name="_Toc15383"/>
      <w:r>
        <w:rPr>
          <w:rFonts w:hint="eastAsia" w:ascii="宋体" w:hAnsi="宋体" w:eastAsia="宋体" w:cs="宋体"/>
          <w:b/>
          <w:color w:val="auto"/>
          <w:kern w:val="0"/>
          <w:highlight w:val="none"/>
        </w:rPr>
        <w:t>投标附件2.投标人基本情况表</w:t>
      </w:r>
      <w:bookmarkEnd w:id="47"/>
    </w:p>
    <w:p>
      <w:pPr>
        <w:adjustRightInd w:val="0"/>
        <w:snapToGrid w:val="0"/>
        <w:spacing w:line="360" w:lineRule="auto"/>
        <w:jc w:val="center"/>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投标人基本情况表</w:t>
      </w:r>
    </w:p>
    <w:tbl>
      <w:tblPr>
        <w:tblStyle w:val="79"/>
        <w:tblW w:w="9854" w:type="dxa"/>
        <w:jc w:val="center"/>
        <w:tblInd w:w="0" w:type="dxa"/>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
      <w:tblGrid>
        <w:gridCol w:w="2518"/>
        <w:gridCol w:w="2980"/>
        <w:gridCol w:w="2550"/>
        <w:gridCol w:w="1806"/>
      </w:tblGrid>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2518" w:type="dxa"/>
            <w:tcBorders>
              <w:top w:val="single" w:color="auto" w:sz="6" w:space="0"/>
              <w:left w:val="single" w:color="auto" w:sz="6"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企业名称</w:t>
            </w:r>
          </w:p>
        </w:tc>
        <w:tc>
          <w:tcPr>
            <w:tcW w:w="2980" w:type="dxa"/>
            <w:tcBorders>
              <w:top w:val="single" w:color="auto" w:sz="6"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2550" w:type="dxa"/>
            <w:tcBorders>
              <w:top w:val="single" w:color="auto" w:sz="6"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企业</w:t>
            </w:r>
            <w:r>
              <w:rPr>
                <w:rFonts w:hint="eastAsia" w:ascii="宋体" w:hAnsi="宋体" w:eastAsia="宋体" w:cs="宋体"/>
                <w:bCs/>
                <w:color w:val="auto"/>
                <w:kern w:val="0"/>
                <w:highlight w:val="none"/>
              </w:rPr>
              <w:t>注册</w:t>
            </w:r>
            <w:r>
              <w:rPr>
                <w:rFonts w:hint="eastAsia" w:ascii="宋体" w:hAnsi="宋体" w:eastAsia="宋体" w:cs="宋体"/>
                <w:color w:val="auto"/>
                <w:kern w:val="0"/>
                <w:highlight w:val="none"/>
              </w:rPr>
              <w:t>资本</w:t>
            </w:r>
          </w:p>
        </w:tc>
        <w:tc>
          <w:tcPr>
            <w:tcW w:w="1806" w:type="dxa"/>
            <w:tcBorders>
              <w:top w:val="single" w:color="auto" w:sz="6"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万元</w:t>
            </w: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2518" w:type="dxa"/>
            <w:tcBorders>
              <w:top w:val="single" w:color="auto" w:sz="2" w:space="0"/>
              <w:left w:val="single" w:color="auto" w:sz="6"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企业地址</w:t>
            </w:r>
          </w:p>
        </w:tc>
        <w:tc>
          <w:tcPr>
            <w:tcW w:w="7336" w:type="dxa"/>
            <w:gridSpan w:val="3"/>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2518" w:type="dxa"/>
            <w:tcBorders>
              <w:top w:val="single" w:color="auto" w:sz="2" w:space="0"/>
              <w:left w:val="single" w:color="auto" w:sz="6"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企业法定代表人姓名</w:t>
            </w:r>
          </w:p>
        </w:tc>
        <w:tc>
          <w:tcPr>
            <w:tcW w:w="2980"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2550"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企业技术负责人姓名</w:t>
            </w:r>
          </w:p>
        </w:tc>
        <w:tc>
          <w:tcPr>
            <w:tcW w:w="180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2518" w:type="dxa"/>
            <w:tcBorders>
              <w:top w:val="single" w:color="auto" w:sz="2" w:space="0"/>
              <w:left w:val="single" w:color="auto" w:sz="6"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符合本工程设计资质类别及等级</w:t>
            </w:r>
          </w:p>
        </w:tc>
        <w:tc>
          <w:tcPr>
            <w:tcW w:w="2980"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2550"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取得符合本工程要求的设计资质时间</w:t>
            </w:r>
          </w:p>
        </w:tc>
        <w:tc>
          <w:tcPr>
            <w:tcW w:w="180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2518" w:type="dxa"/>
            <w:tcBorders>
              <w:top w:val="single" w:color="auto" w:sz="2" w:space="0"/>
              <w:left w:val="single" w:color="auto" w:sz="6"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符合本工程要求的设计资质，是否已在建设主管部门信息管理系统备案</w:t>
            </w:r>
          </w:p>
        </w:tc>
        <w:tc>
          <w:tcPr>
            <w:tcW w:w="2980"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2550"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在建设主管部门信息管理系统备案总人数</w:t>
            </w:r>
          </w:p>
        </w:tc>
        <w:tc>
          <w:tcPr>
            <w:tcW w:w="180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2518" w:type="dxa"/>
            <w:tcBorders>
              <w:top w:val="single" w:color="auto" w:sz="2" w:space="0"/>
              <w:left w:val="single" w:color="auto" w:sz="6" w:space="0"/>
              <w:bottom w:val="single" w:color="auto" w:sz="6"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企业质量管理体系认证证书名称、认证单位及取得时间</w:t>
            </w:r>
          </w:p>
        </w:tc>
        <w:tc>
          <w:tcPr>
            <w:tcW w:w="7336" w:type="dxa"/>
            <w:gridSpan w:val="3"/>
            <w:tcBorders>
              <w:top w:val="single" w:color="auto" w:sz="2" w:space="0"/>
              <w:left w:val="single" w:color="auto" w:sz="2" w:space="0"/>
              <w:bottom w:val="single" w:color="auto" w:sz="6"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2518" w:type="dxa"/>
            <w:tcBorders>
              <w:top w:val="single" w:color="auto" w:sz="2" w:space="0"/>
              <w:left w:val="single" w:color="auto" w:sz="6" w:space="0"/>
              <w:bottom w:val="single" w:color="auto" w:sz="6"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备注</w:t>
            </w:r>
          </w:p>
        </w:tc>
        <w:tc>
          <w:tcPr>
            <w:tcW w:w="7336" w:type="dxa"/>
            <w:gridSpan w:val="3"/>
            <w:tcBorders>
              <w:top w:val="single" w:color="auto" w:sz="2" w:space="0"/>
              <w:left w:val="single" w:color="auto" w:sz="2" w:space="0"/>
              <w:bottom w:val="single" w:color="auto" w:sz="6"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r>
    </w:tbl>
    <w:p>
      <w:pPr>
        <w:rPr>
          <w:rFonts w:ascii="宋体" w:hAnsi="宋体" w:eastAsia="宋体" w:cs="宋体"/>
          <w:color w:val="auto"/>
          <w:highlight w:val="none"/>
        </w:rPr>
      </w:pPr>
    </w:p>
    <w:p>
      <w:pPr>
        <w:adjustRightInd w:val="0"/>
        <w:snapToGrid w:val="0"/>
        <w:spacing w:line="360" w:lineRule="auto"/>
        <w:jc w:val="left"/>
        <w:rPr>
          <w:rFonts w:ascii="宋体" w:hAnsi="宋体"/>
          <w:color w:val="auto"/>
          <w:kern w:val="0"/>
          <w:highlight w:val="none"/>
        </w:rPr>
      </w:pPr>
      <w:r>
        <w:rPr>
          <w:rFonts w:hint="eastAsia" w:ascii="楷体_GB2312" w:hAnsi="楷体_GB2312" w:eastAsia="楷体_GB2312" w:cs="楷体_GB2312"/>
          <w:color w:val="auto"/>
          <w:kern w:val="0"/>
          <w:highlight w:val="none"/>
        </w:rPr>
        <w:t>注：本表须与《资信要素一览表》配套使用。</w:t>
      </w:r>
      <w:r>
        <w:rPr>
          <w:rFonts w:hint="eastAsia" w:ascii="宋体" w:hAnsi="宋体" w:eastAsia="宋体" w:cs="宋体"/>
          <w:color w:val="auto"/>
          <w:kern w:val="0"/>
          <w:highlight w:val="none"/>
        </w:rPr>
        <w:br w:type="page"/>
      </w:r>
    </w:p>
    <w:p>
      <w:pPr>
        <w:adjustRightInd w:val="0"/>
        <w:snapToGrid w:val="0"/>
        <w:spacing w:line="360" w:lineRule="auto"/>
        <w:jc w:val="left"/>
        <w:outlineLvl w:val="2"/>
        <w:rPr>
          <w:rFonts w:ascii="宋体" w:hAnsi="宋体" w:eastAsia="宋体" w:cs="宋体"/>
          <w:b/>
          <w:color w:val="auto"/>
          <w:kern w:val="0"/>
          <w:highlight w:val="none"/>
        </w:rPr>
      </w:pPr>
      <w:bookmarkStart w:id="48" w:name="_Toc8320"/>
      <w:r>
        <w:rPr>
          <w:rFonts w:hint="eastAsia" w:ascii="宋体" w:hAnsi="宋体" w:eastAsia="宋体" w:cs="宋体"/>
          <w:b/>
          <w:color w:val="auto"/>
          <w:kern w:val="0"/>
          <w:highlight w:val="none"/>
        </w:rPr>
        <w:t>投标附件3.投标人工程业绩表</w:t>
      </w:r>
      <w:bookmarkEnd w:id="48"/>
    </w:p>
    <w:p>
      <w:pPr>
        <w:adjustRightInd w:val="0"/>
        <w:snapToGrid w:val="0"/>
        <w:spacing w:line="360" w:lineRule="auto"/>
        <w:jc w:val="center"/>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投标人工程业绩表</w:t>
      </w:r>
    </w:p>
    <w:tbl>
      <w:tblPr>
        <w:tblStyle w:val="79"/>
        <w:tblW w:w="9853" w:type="dxa"/>
        <w:jc w:val="center"/>
        <w:tblInd w:w="0" w:type="dxa"/>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
      <w:tblGrid>
        <w:gridCol w:w="1502"/>
        <w:gridCol w:w="1795"/>
        <w:gridCol w:w="2243"/>
        <w:gridCol w:w="1173"/>
        <w:gridCol w:w="1294"/>
        <w:gridCol w:w="1846"/>
      </w:tblGrid>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502" w:type="dxa"/>
            <w:tcBorders>
              <w:top w:val="single" w:color="auto" w:sz="6" w:space="0"/>
              <w:left w:val="single" w:color="auto" w:sz="6" w:space="0"/>
              <w:bottom w:val="single" w:color="auto" w:sz="2" w:space="0"/>
              <w:right w:val="single" w:color="auto" w:sz="2" w:space="0"/>
            </w:tcBorders>
            <w:shd w:val="clear" w:color="auto" w:fill="auto"/>
            <w:vAlign w:val="center"/>
          </w:tcPr>
          <w:p>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企业名称</w:t>
            </w:r>
          </w:p>
        </w:tc>
        <w:tc>
          <w:tcPr>
            <w:tcW w:w="8351" w:type="dxa"/>
            <w:gridSpan w:val="5"/>
            <w:tcBorders>
              <w:top w:val="single" w:color="auto" w:sz="6"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853" w:type="dxa"/>
            <w:gridSpan w:val="6"/>
            <w:tcBorders>
              <w:top w:val="single" w:color="auto" w:sz="2" w:space="0"/>
              <w:left w:val="single" w:color="auto" w:sz="6"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bCs/>
                <w:color w:val="auto"/>
                <w:kern w:val="0"/>
                <w:highlight w:val="none"/>
              </w:rPr>
              <w:t>企业近3年已签订同类工程合同（设计费均为50万元以上）的项目数量</w:t>
            </w: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502" w:type="dxa"/>
            <w:tcBorders>
              <w:top w:val="single" w:color="auto" w:sz="2" w:space="0"/>
              <w:left w:val="single" w:color="auto" w:sz="6" w:space="0"/>
              <w:bottom w:val="single" w:color="auto" w:sz="2" w:space="0"/>
              <w:right w:val="single" w:color="auto" w:sz="2" w:space="0"/>
            </w:tcBorders>
            <w:shd w:val="clear" w:color="auto" w:fill="auto"/>
            <w:vAlign w:val="center"/>
          </w:tcPr>
          <w:p>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本年度</w:t>
            </w:r>
          </w:p>
        </w:tc>
        <w:tc>
          <w:tcPr>
            <w:tcW w:w="1795"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szCs w:val="21"/>
                <w:highlight w:val="none"/>
              </w:rPr>
            </w:pPr>
          </w:p>
        </w:tc>
        <w:tc>
          <w:tcPr>
            <w:tcW w:w="2243"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前1年度</w:t>
            </w:r>
          </w:p>
        </w:tc>
        <w:tc>
          <w:tcPr>
            <w:tcW w:w="1173"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szCs w:val="21"/>
                <w:highlight w:val="none"/>
              </w:rPr>
            </w:pPr>
          </w:p>
        </w:tc>
        <w:tc>
          <w:tcPr>
            <w:tcW w:w="1294"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前2年度</w:t>
            </w: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853" w:type="dxa"/>
            <w:gridSpan w:val="6"/>
            <w:tcBorders>
              <w:top w:val="single" w:color="auto" w:sz="2" w:space="0"/>
              <w:left w:val="single" w:color="auto" w:sz="6"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企业近6年荣获市政类“优秀工程设计奖”数量</w:t>
            </w: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502" w:type="dxa"/>
            <w:tcBorders>
              <w:top w:val="single" w:color="auto" w:sz="2" w:space="0"/>
              <w:left w:val="single" w:color="auto" w:sz="6" w:space="0"/>
              <w:right w:val="single" w:color="auto" w:sz="2" w:space="0"/>
            </w:tcBorders>
            <w:shd w:val="clear" w:color="auto" w:fill="auto"/>
            <w:vAlign w:val="center"/>
          </w:tcPr>
          <w:p>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获奖年度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国家级</w:t>
            </w: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建设部级或中勘设协级</w:t>
            </w: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省厅级或省勘设协级</w:t>
            </w: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地市级或市勘设协级</w:t>
            </w: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502" w:type="dxa"/>
            <w:tcBorders>
              <w:top w:val="single" w:color="auto" w:sz="2" w:space="0"/>
              <w:left w:val="single" w:color="auto" w:sz="6" w:space="0"/>
              <w:right w:val="single" w:color="auto" w:sz="2" w:space="0"/>
            </w:tcBorders>
            <w:shd w:val="clear" w:color="auto" w:fill="auto"/>
            <w:vAlign w:val="center"/>
          </w:tcPr>
          <w:p>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本年度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502" w:type="dxa"/>
            <w:tcBorders>
              <w:left w:val="single" w:color="auto" w:sz="6" w:space="0"/>
              <w:right w:val="single" w:color="auto" w:sz="2" w:space="0"/>
            </w:tcBorders>
            <w:shd w:val="clear" w:color="auto" w:fill="auto"/>
            <w:vAlign w:val="center"/>
          </w:tcPr>
          <w:p>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前1年度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502" w:type="dxa"/>
            <w:tcBorders>
              <w:left w:val="single" w:color="auto" w:sz="6" w:space="0"/>
              <w:right w:val="single" w:color="auto" w:sz="2" w:space="0"/>
            </w:tcBorders>
            <w:shd w:val="clear" w:color="auto" w:fill="auto"/>
            <w:vAlign w:val="center"/>
          </w:tcPr>
          <w:p>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前2年度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502" w:type="dxa"/>
            <w:tcBorders>
              <w:left w:val="single" w:color="auto" w:sz="6" w:space="0"/>
              <w:right w:val="single" w:color="auto" w:sz="2" w:space="0"/>
            </w:tcBorders>
            <w:shd w:val="clear" w:color="auto" w:fill="auto"/>
            <w:vAlign w:val="center"/>
          </w:tcPr>
          <w:p>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前3年度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502" w:type="dxa"/>
            <w:tcBorders>
              <w:left w:val="single" w:color="auto" w:sz="6" w:space="0"/>
              <w:right w:val="single" w:color="auto" w:sz="2" w:space="0"/>
            </w:tcBorders>
            <w:shd w:val="clear" w:color="auto" w:fill="auto"/>
            <w:vAlign w:val="center"/>
          </w:tcPr>
          <w:p>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前4年度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502" w:type="dxa"/>
            <w:tcBorders>
              <w:top w:val="single" w:color="auto" w:sz="2" w:space="0"/>
              <w:left w:val="single" w:color="auto" w:sz="6" w:space="0"/>
              <w:right w:val="single" w:color="auto" w:sz="2" w:space="0"/>
            </w:tcBorders>
            <w:shd w:val="clear" w:color="auto" w:fill="auto"/>
            <w:vAlign w:val="center"/>
          </w:tcPr>
          <w:p>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前5年度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502" w:type="dxa"/>
            <w:tcBorders>
              <w:top w:val="single" w:color="auto" w:sz="2" w:space="0"/>
              <w:left w:val="single" w:color="auto" w:sz="6" w:space="0"/>
              <w:right w:val="single" w:color="auto" w:sz="2" w:space="0"/>
            </w:tcBorders>
            <w:shd w:val="clear" w:color="auto" w:fill="auto"/>
            <w:vAlign w:val="center"/>
          </w:tcPr>
          <w:p>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合计</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502" w:type="dxa"/>
            <w:tcBorders>
              <w:left w:val="single" w:color="auto" w:sz="6" w:space="0"/>
              <w:right w:val="single" w:color="auto" w:sz="2" w:space="0"/>
            </w:tcBorders>
            <w:shd w:val="clear" w:color="auto" w:fill="auto"/>
            <w:vAlign w:val="center"/>
          </w:tcPr>
          <w:p>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备注</w:t>
            </w:r>
          </w:p>
        </w:tc>
        <w:tc>
          <w:tcPr>
            <w:tcW w:w="8351" w:type="dxa"/>
            <w:gridSpan w:val="5"/>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eastAsia="宋体" w:cs="宋体"/>
                <w:bCs/>
                <w:color w:val="auto"/>
                <w:kern w:val="0"/>
                <w:highlight w:val="none"/>
              </w:rPr>
            </w:pPr>
          </w:p>
        </w:tc>
      </w:tr>
    </w:tbl>
    <w:p>
      <w:pPr>
        <w:spacing w:line="360" w:lineRule="auto"/>
        <w:jc w:val="left"/>
        <w:rPr>
          <w:rFonts w:ascii="宋体" w:hAnsi="宋体" w:eastAsia="宋体" w:cs="宋体"/>
          <w:color w:val="auto"/>
          <w:highlight w:val="none"/>
        </w:rPr>
      </w:pPr>
    </w:p>
    <w:p>
      <w:pPr>
        <w:adjustRightInd w:val="0"/>
        <w:snapToGrid w:val="0"/>
        <w:spacing w:line="360" w:lineRule="auto"/>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注：1.</w:t>
      </w:r>
      <w:r>
        <w:rPr>
          <w:rFonts w:hint="eastAsia" w:ascii="楷体_GB2312" w:hAnsi="楷体_GB2312" w:eastAsia="楷体_GB2312" w:cs="楷体_GB2312"/>
          <w:color w:val="auto"/>
          <w:highlight w:val="none"/>
        </w:rPr>
        <w:t xml:space="preserve"> </w:t>
      </w:r>
      <w:r>
        <w:rPr>
          <w:rFonts w:hint="eastAsia" w:ascii="楷体_GB2312" w:hAnsi="楷体_GB2312" w:eastAsia="楷体_GB2312" w:cs="楷体_GB2312"/>
          <w:color w:val="auto"/>
          <w:kern w:val="0"/>
          <w:highlight w:val="none"/>
        </w:rPr>
        <w:t>同一个项目，只取其最高奖项记奖一次，可为联合获奖。</w:t>
      </w:r>
    </w:p>
    <w:p>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2.除如实填写本表外，尚应提交同类工程设计合同原件扫描件和《投标人近3年内签订同类工程合同的项目一览表》（投标附件4）。</w:t>
      </w:r>
    </w:p>
    <w:p>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3.除如实填写本表外，尚应提交获奖项目的获奖证书原件扫描件，以及《投标人近6年荣获“优秀工程设计奖”一览表》（投标附件5）。</w:t>
      </w:r>
    </w:p>
    <w:p>
      <w:pPr>
        <w:adjustRightInd w:val="0"/>
        <w:snapToGrid w:val="0"/>
        <w:spacing w:line="360" w:lineRule="auto"/>
        <w:ind w:firstLine="420" w:firstLineChars="200"/>
        <w:jc w:val="left"/>
        <w:rPr>
          <w:rFonts w:ascii="宋体" w:hAnsi="宋体"/>
          <w:color w:val="auto"/>
          <w:kern w:val="0"/>
          <w:highlight w:val="none"/>
        </w:rPr>
      </w:pPr>
      <w:r>
        <w:rPr>
          <w:rFonts w:ascii="宋体" w:hAnsi="宋体"/>
          <w:color w:val="auto"/>
          <w:kern w:val="0"/>
          <w:highlight w:val="none"/>
        </w:rPr>
        <w:br w:type="page"/>
      </w:r>
    </w:p>
    <w:p>
      <w:pPr>
        <w:adjustRightInd w:val="0"/>
        <w:snapToGrid w:val="0"/>
        <w:spacing w:line="360" w:lineRule="auto"/>
        <w:jc w:val="left"/>
        <w:outlineLvl w:val="2"/>
        <w:rPr>
          <w:rFonts w:ascii="宋体" w:hAnsi="宋体" w:eastAsia="宋体" w:cs="宋体"/>
          <w:b/>
          <w:color w:val="auto"/>
          <w:kern w:val="0"/>
          <w:highlight w:val="none"/>
        </w:rPr>
      </w:pPr>
      <w:bookmarkStart w:id="49" w:name="_Toc24889"/>
      <w:r>
        <w:rPr>
          <w:rFonts w:hint="eastAsia" w:ascii="宋体" w:hAnsi="宋体" w:eastAsia="宋体" w:cs="宋体"/>
          <w:b/>
          <w:color w:val="auto"/>
          <w:kern w:val="0"/>
          <w:highlight w:val="none"/>
        </w:rPr>
        <w:t>投标附件4.投标人近3年内签订同类工程合同的项目一览表</w:t>
      </w:r>
      <w:bookmarkEnd w:id="49"/>
    </w:p>
    <w:p>
      <w:pPr>
        <w:adjustRightInd w:val="0"/>
        <w:snapToGrid w:val="0"/>
        <w:spacing w:line="360" w:lineRule="auto"/>
        <w:jc w:val="center"/>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投标人近3年内签订同类工程合同的项目一览表</w:t>
      </w:r>
    </w:p>
    <w:tbl>
      <w:tblPr>
        <w:tblStyle w:val="79"/>
        <w:tblW w:w="9802" w:type="dxa"/>
        <w:jc w:val="center"/>
        <w:tblInd w:w="0" w:type="dxa"/>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
      <w:tblGrid>
        <w:gridCol w:w="510"/>
        <w:gridCol w:w="2268"/>
        <w:gridCol w:w="2237"/>
        <w:gridCol w:w="2672"/>
        <w:gridCol w:w="1001"/>
        <w:gridCol w:w="1114"/>
      </w:tblGrid>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atLeast"/>
          <w:tblHeader/>
          <w:jc w:val="center"/>
        </w:trPr>
        <w:tc>
          <w:tcPr>
            <w:tcW w:w="510"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226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 程 项 目 名 称</w:t>
            </w:r>
          </w:p>
        </w:tc>
        <w:tc>
          <w:tcPr>
            <w:tcW w:w="2237"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工程规模与主要特征</w:t>
            </w:r>
          </w:p>
        </w:tc>
        <w:tc>
          <w:tcPr>
            <w:tcW w:w="2672"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设计费合同额（万元。均应在50万元以上）</w:t>
            </w:r>
          </w:p>
        </w:tc>
        <w:tc>
          <w:tcPr>
            <w:tcW w:w="1001" w:type="dxa"/>
            <w:shd w:val="clear" w:color="auto" w:fill="auto"/>
            <w:tcMar>
              <w:top w:w="0" w:type="dxa"/>
              <w:left w:w="28" w:type="dxa"/>
              <w:bottom w:w="0" w:type="dxa"/>
              <w:right w:w="28" w:type="dxa"/>
            </w:tcMar>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设计开始设计时间</w:t>
            </w:r>
          </w:p>
        </w:tc>
        <w:tc>
          <w:tcPr>
            <w:tcW w:w="1114"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设计结束时间日期</w:t>
            </w: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bl>
    <w:p>
      <w:pPr>
        <w:adjustRightInd w:val="0"/>
        <w:snapToGrid w:val="0"/>
        <w:spacing w:line="360" w:lineRule="auto"/>
        <w:jc w:val="left"/>
        <w:rPr>
          <w:rFonts w:ascii="宋体" w:hAnsi="宋体" w:eastAsia="宋体" w:cs="宋体"/>
          <w:color w:val="auto"/>
          <w:kern w:val="0"/>
          <w:highlight w:val="none"/>
        </w:rPr>
      </w:pPr>
    </w:p>
    <w:p>
      <w:pPr>
        <w:adjustRightInd w:val="0"/>
        <w:snapToGrid w:val="0"/>
        <w:spacing w:line="360" w:lineRule="auto"/>
        <w:jc w:val="left"/>
        <w:rPr>
          <w:rFonts w:ascii="宋体" w:hAnsi="宋体"/>
          <w:color w:val="auto"/>
          <w:kern w:val="0"/>
          <w:highlight w:val="none"/>
        </w:rPr>
      </w:pPr>
      <w:r>
        <w:rPr>
          <w:rFonts w:hint="eastAsia" w:ascii="楷体_GB2312" w:hAnsi="楷体_GB2312" w:eastAsia="楷体_GB2312" w:cs="楷体_GB2312"/>
          <w:color w:val="auto"/>
          <w:kern w:val="0"/>
          <w:highlight w:val="none"/>
        </w:rPr>
        <w:t>注：本表须与《投标人工程业绩表》（投标附件3）配套使用。</w:t>
      </w:r>
      <w:r>
        <w:rPr>
          <w:rFonts w:ascii="宋体" w:hAnsi="宋体"/>
          <w:color w:val="auto"/>
          <w:kern w:val="0"/>
          <w:highlight w:val="none"/>
        </w:rPr>
        <w:br w:type="page"/>
      </w:r>
    </w:p>
    <w:p>
      <w:pPr>
        <w:adjustRightInd w:val="0"/>
        <w:snapToGrid w:val="0"/>
        <w:spacing w:line="360" w:lineRule="auto"/>
        <w:jc w:val="left"/>
        <w:outlineLvl w:val="2"/>
        <w:rPr>
          <w:rFonts w:ascii="宋体" w:hAnsi="宋体" w:eastAsia="宋体" w:cs="宋体"/>
          <w:b/>
          <w:color w:val="auto"/>
          <w:kern w:val="0"/>
          <w:highlight w:val="none"/>
        </w:rPr>
      </w:pPr>
      <w:bookmarkStart w:id="50" w:name="_Toc14180"/>
      <w:r>
        <w:rPr>
          <w:rFonts w:hint="eastAsia" w:ascii="宋体" w:hAnsi="宋体" w:eastAsia="宋体" w:cs="宋体"/>
          <w:b/>
          <w:color w:val="auto"/>
          <w:kern w:val="0"/>
          <w:highlight w:val="none"/>
        </w:rPr>
        <w:t>投标附件5.投标人近6年荣获“优秀工程设计奖”一览表</w:t>
      </w:r>
      <w:bookmarkEnd w:id="50"/>
    </w:p>
    <w:p>
      <w:pPr>
        <w:adjustRightInd w:val="0"/>
        <w:snapToGrid w:val="0"/>
        <w:spacing w:line="360" w:lineRule="auto"/>
        <w:jc w:val="center"/>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投标人近6年荣获“优秀工程设计奖”一览表</w:t>
      </w:r>
    </w:p>
    <w:tbl>
      <w:tblPr>
        <w:tblStyle w:val="79"/>
        <w:tblW w:w="9803" w:type="dxa"/>
        <w:jc w:val="center"/>
        <w:tblInd w:w="0" w:type="dxa"/>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
      <w:tblGrid>
        <w:gridCol w:w="558"/>
        <w:gridCol w:w="4346"/>
        <w:gridCol w:w="1447"/>
        <w:gridCol w:w="1337"/>
        <w:gridCol w:w="1001"/>
        <w:gridCol w:w="1114"/>
      </w:tblGrid>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tblHeader/>
          <w:jc w:val="center"/>
        </w:trPr>
        <w:tc>
          <w:tcPr>
            <w:tcW w:w="55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4346"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获奖工程名称</w:t>
            </w:r>
          </w:p>
        </w:tc>
        <w:tc>
          <w:tcPr>
            <w:tcW w:w="1447"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获奖工程</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建设地点</w:t>
            </w:r>
          </w:p>
        </w:tc>
        <w:tc>
          <w:tcPr>
            <w:tcW w:w="1337"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颁奖单位</w:t>
            </w:r>
          </w:p>
        </w:tc>
        <w:tc>
          <w:tcPr>
            <w:tcW w:w="1001" w:type="dxa"/>
            <w:shd w:val="clear" w:color="auto" w:fill="auto"/>
            <w:tcMar>
              <w:top w:w="0" w:type="dxa"/>
              <w:left w:w="28" w:type="dxa"/>
              <w:bottom w:w="0" w:type="dxa"/>
              <w:right w:w="28" w:type="dxa"/>
            </w:tcMar>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获奖时间</w:t>
            </w:r>
          </w:p>
        </w:tc>
        <w:tc>
          <w:tcPr>
            <w:tcW w:w="1114"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获奖公告查询网址</w:t>
            </w: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14</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right="31" w:rightChars="15"/>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r>
    </w:tbl>
    <w:p>
      <w:pPr>
        <w:adjustRightInd w:val="0"/>
        <w:snapToGrid w:val="0"/>
        <w:spacing w:line="360" w:lineRule="auto"/>
        <w:jc w:val="left"/>
        <w:rPr>
          <w:rFonts w:ascii="宋体" w:hAnsi="宋体" w:eastAsia="宋体" w:cs="宋体"/>
          <w:color w:val="auto"/>
          <w:kern w:val="0"/>
          <w:highlight w:val="none"/>
        </w:rPr>
      </w:pPr>
    </w:p>
    <w:p>
      <w:pPr>
        <w:adjustRightInd w:val="0"/>
        <w:snapToGrid w:val="0"/>
        <w:spacing w:line="360" w:lineRule="auto"/>
        <w:jc w:val="left"/>
        <w:rPr>
          <w:rFonts w:ascii="宋体" w:hAnsi="宋体"/>
          <w:color w:val="auto"/>
          <w:kern w:val="0"/>
          <w:highlight w:val="none"/>
        </w:rPr>
      </w:pPr>
      <w:r>
        <w:rPr>
          <w:rFonts w:hint="eastAsia" w:ascii="楷体_GB2312" w:hAnsi="楷体_GB2312" w:eastAsia="楷体_GB2312" w:cs="楷体_GB2312"/>
          <w:color w:val="auto"/>
          <w:kern w:val="0"/>
          <w:highlight w:val="none"/>
        </w:rPr>
        <w:t>注：本表须与《投标人工程业绩表》（投标附件3）配套使用。</w:t>
      </w:r>
      <w:r>
        <w:rPr>
          <w:rFonts w:ascii="宋体" w:hAnsi="宋体"/>
          <w:color w:val="auto"/>
          <w:kern w:val="0"/>
          <w:highlight w:val="none"/>
        </w:rPr>
        <w:br w:type="page"/>
      </w:r>
    </w:p>
    <w:p>
      <w:pPr>
        <w:adjustRightInd w:val="0"/>
        <w:snapToGrid w:val="0"/>
        <w:spacing w:line="360" w:lineRule="auto"/>
        <w:jc w:val="left"/>
        <w:outlineLvl w:val="2"/>
        <w:rPr>
          <w:rFonts w:ascii="宋体" w:hAnsi="宋体" w:eastAsia="宋体" w:cs="宋体"/>
          <w:b/>
          <w:color w:val="auto"/>
          <w:kern w:val="0"/>
          <w:highlight w:val="none"/>
        </w:rPr>
      </w:pPr>
      <w:bookmarkStart w:id="51" w:name="_Toc1357"/>
      <w:r>
        <w:rPr>
          <w:rFonts w:hint="eastAsia" w:ascii="宋体" w:hAnsi="宋体" w:eastAsia="宋体" w:cs="宋体"/>
          <w:b/>
          <w:color w:val="auto"/>
          <w:kern w:val="0"/>
          <w:highlight w:val="none"/>
        </w:rPr>
        <w:t>投标附件6.拟投入的项目负责人基本情况表</w:t>
      </w:r>
      <w:bookmarkEnd w:id="51"/>
    </w:p>
    <w:p>
      <w:pPr>
        <w:adjustRightInd w:val="0"/>
        <w:snapToGrid w:val="0"/>
        <w:spacing w:line="360" w:lineRule="auto"/>
        <w:jc w:val="center"/>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拟投入的项目负责人基本情况表</w:t>
      </w:r>
    </w:p>
    <w:tbl>
      <w:tblPr>
        <w:tblStyle w:val="79"/>
        <w:tblW w:w="98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2872"/>
        <w:gridCol w:w="986"/>
        <w:gridCol w:w="1774"/>
        <w:gridCol w:w="1039"/>
        <w:gridCol w:w="341"/>
        <w:gridCol w:w="579"/>
        <w:gridCol w:w="1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姓名</w:t>
            </w:r>
          </w:p>
        </w:tc>
        <w:tc>
          <w:tcPr>
            <w:tcW w:w="287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986"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性别</w:t>
            </w:r>
          </w:p>
        </w:tc>
        <w:tc>
          <w:tcPr>
            <w:tcW w:w="1774"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380" w:type="dxa"/>
            <w:gridSpan w:val="2"/>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出生年月</w:t>
            </w:r>
          </w:p>
        </w:tc>
        <w:tc>
          <w:tcPr>
            <w:tcW w:w="1773" w:type="dxa"/>
            <w:gridSpan w:val="2"/>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学历</w:t>
            </w:r>
          </w:p>
        </w:tc>
        <w:tc>
          <w:tcPr>
            <w:tcW w:w="287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986"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学位</w:t>
            </w:r>
          </w:p>
        </w:tc>
        <w:tc>
          <w:tcPr>
            <w:tcW w:w="1774"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380" w:type="dxa"/>
            <w:gridSpan w:val="2"/>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所学专业</w:t>
            </w:r>
          </w:p>
        </w:tc>
        <w:tc>
          <w:tcPr>
            <w:tcW w:w="1773" w:type="dxa"/>
            <w:gridSpan w:val="2"/>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职务</w:t>
            </w:r>
          </w:p>
        </w:tc>
        <w:tc>
          <w:tcPr>
            <w:tcW w:w="3858" w:type="dxa"/>
            <w:gridSpan w:val="2"/>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774"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何专业何职称</w:t>
            </w:r>
          </w:p>
        </w:tc>
        <w:tc>
          <w:tcPr>
            <w:tcW w:w="3153" w:type="dxa"/>
            <w:gridSpan w:val="4"/>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执业注册资格</w:t>
            </w:r>
          </w:p>
        </w:tc>
        <w:tc>
          <w:tcPr>
            <w:tcW w:w="3858" w:type="dxa"/>
            <w:gridSpan w:val="2"/>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774"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执业注册资格证书编号</w:t>
            </w:r>
          </w:p>
        </w:tc>
        <w:tc>
          <w:tcPr>
            <w:tcW w:w="3153" w:type="dxa"/>
            <w:gridSpan w:val="4"/>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55" w:type="dxa"/>
            <w:gridSpan w:val="8"/>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项目负责人近5年已主持完成设计的同类工程情况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序号</w:t>
            </w:r>
          </w:p>
        </w:tc>
        <w:tc>
          <w:tcPr>
            <w:tcW w:w="287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工程名称</w:t>
            </w:r>
          </w:p>
        </w:tc>
        <w:tc>
          <w:tcPr>
            <w:tcW w:w="2760" w:type="dxa"/>
            <w:gridSpan w:val="2"/>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建设单位</w:t>
            </w:r>
          </w:p>
        </w:tc>
        <w:tc>
          <w:tcPr>
            <w:tcW w:w="1039"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设计时间</w:t>
            </w:r>
          </w:p>
        </w:tc>
        <w:tc>
          <w:tcPr>
            <w:tcW w:w="920" w:type="dxa"/>
            <w:gridSpan w:val="2"/>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建设规模</w:t>
            </w:r>
          </w:p>
        </w:tc>
        <w:tc>
          <w:tcPr>
            <w:tcW w:w="1194"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建成情况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1</w:t>
            </w:r>
          </w:p>
        </w:tc>
        <w:tc>
          <w:tcPr>
            <w:tcW w:w="287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2760" w:type="dxa"/>
            <w:gridSpan w:val="2"/>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039"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920" w:type="dxa"/>
            <w:gridSpan w:val="2"/>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19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2</w:t>
            </w:r>
          </w:p>
        </w:tc>
        <w:tc>
          <w:tcPr>
            <w:tcW w:w="287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2760" w:type="dxa"/>
            <w:gridSpan w:val="2"/>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039"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920" w:type="dxa"/>
            <w:gridSpan w:val="2"/>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19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3</w:t>
            </w:r>
          </w:p>
        </w:tc>
        <w:tc>
          <w:tcPr>
            <w:tcW w:w="287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2760" w:type="dxa"/>
            <w:gridSpan w:val="2"/>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039"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920" w:type="dxa"/>
            <w:gridSpan w:val="2"/>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19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4</w:t>
            </w:r>
          </w:p>
        </w:tc>
        <w:tc>
          <w:tcPr>
            <w:tcW w:w="287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2760" w:type="dxa"/>
            <w:gridSpan w:val="2"/>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039"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920" w:type="dxa"/>
            <w:gridSpan w:val="2"/>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19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5</w:t>
            </w:r>
          </w:p>
        </w:tc>
        <w:tc>
          <w:tcPr>
            <w:tcW w:w="287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2760" w:type="dxa"/>
            <w:gridSpan w:val="2"/>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039"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920" w:type="dxa"/>
            <w:gridSpan w:val="2"/>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19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6</w:t>
            </w:r>
          </w:p>
        </w:tc>
        <w:tc>
          <w:tcPr>
            <w:tcW w:w="287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2760" w:type="dxa"/>
            <w:gridSpan w:val="2"/>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039"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920" w:type="dxa"/>
            <w:gridSpan w:val="2"/>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19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bl>
    <w:p>
      <w:pPr>
        <w:adjustRightInd w:val="0"/>
        <w:snapToGrid w:val="0"/>
        <w:spacing w:line="360" w:lineRule="auto"/>
        <w:jc w:val="left"/>
        <w:rPr>
          <w:rFonts w:ascii="宋体" w:hAnsi="宋体" w:eastAsia="宋体" w:cs="宋体"/>
          <w:color w:val="auto"/>
          <w:kern w:val="0"/>
          <w:highlight w:val="none"/>
        </w:rPr>
      </w:pPr>
    </w:p>
    <w:p>
      <w:pPr>
        <w:adjustRightInd w:val="0"/>
        <w:snapToGrid w:val="0"/>
        <w:spacing w:line="360" w:lineRule="auto"/>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注：1.须随本表提交项目负责人</w:t>
      </w:r>
      <w:r>
        <w:rPr>
          <w:rFonts w:hint="eastAsia" w:ascii="楷体_GB2312" w:hAnsi="楷体_GB2312" w:eastAsia="楷体_GB2312" w:cs="楷体_GB2312"/>
          <w:color w:val="auto"/>
          <w:kern w:val="0"/>
          <w:szCs w:val="21"/>
          <w:highlight w:val="none"/>
        </w:rPr>
        <w:t>执业注册资格证书（或职称证书）及毕业证原件扫描件、</w:t>
      </w:r>
      <w:r>
        <w:rPr>
          <w:rFonts w:hint="eastAsia" w:ascii="楷体_GB2312" w:hAnsi="楷体_GB2312" w:eastAsia="楷体_GB2312" w:cs="楷体_GB2312"/>
          <w:color w:val="auto"/>
          <w:kern w:val="0"/>
          <w:highlight w:val="none"/>
        </w:rPr>
        <w:t>近5年已主持完成设计的同类工程施工图关键页（1页即可）复印件及施工图审查合格书复印件。</w:t>
      </w:r>
    </w:p>
    <w:p>
      <w:pPr>
        <w:adjustRightInd w:val="0"/>
        <w:snapToGrid w:val="0"/>
        <w:spacing w:line="360" w:lineRule="auto"/>
        <w:ind w:firstLine="420" w:firstLineChars="200"/>
        <w:jc w:val="left"/>
        <w:rPr>
          <w:rFonts w:ascii="宋体" w:hAnsi="宋体"/>
          <w:color w:val="auto"/>
          <w:kern w:val="0"/>
          <w:highlight w:val="none"/>
        </w:rPr>
      </w:pPr>
      <w:r>
        <w:rPr>
          <w:rFonts w:hint="eastAsia" w:ascii="楷体_GB2312" w:hAnsi="楷体_GB2312" w:eastAsia="楷体_GB2312" w:cs="楷体_GB2312"/>
          <w:color w:val="auto"/>
          <w:kern w:val="0"/>
          <w:highlight w:val="none"/>
        </w:rPr>
        <w:t>2.同类工程业绩填写最多不得超过6项。</w:t>
      </w:r>
      <w:r>
        <w:rPr>
          <w:rFonts w:ascii="宋体" w:hAnsi="宋体"/>
          <w:color w:val="auto"/>
          <w:kern w:val="0"/>
          <w:highlight w:val="none"/>
        </w:rPr>
        <w:br w:type="page"/>
      </w:r>
    </w:p>
    <w:p>
      <w:pPr>
        <w:adjustRightInd w:val="0"/>
        <w:snapToGrid w:val="0"/>
        <w:spacing w:line="360" w:lineRule="auto"/>
        <w:jc w:val="left"/>
        <w:outlineLvl w:val="2"/>
        <w:rPr>
          <w:rFonts w:ascii="宋体" w:hAnsi="宋体" w:eastAsia="宋体" w:cs="宋体"/>
          <w:b/>
          <w:color w:val="auto"/>
          <w:kern w:val="0"/>
          <w:highlight w:val="none"/>
        </w:rPr>
      </w:pPr>
      <w:bookmarkStart w:id="52" w:name="_Toc7687"/>
      <w:r>
        <w:rPr>
          <w:rFonts w:hint="eastAsia" w:ascii="宋体" w:hAnsi="宋体" w:eastAsia="宋体" w:cs="宋体"/>
          <w:b/>
          <w:color w:val="auto"/>
          <w:kern w:val="0"/>
          <w:highlight w:val="none"/>
        </w:rPr>
        <w:t>投标附件7.拟投入的项目组专业负责人基本情况表</w:t>
      </w:r>
      <w:bookmarkEnd w:id="52"/>
    </w:p>
    <w:p>
      <w:pPr>
        <w:adjustRightInd w:val="0"/>
        <w:snapToGrid w:val="0"/>
        <w:spacing w:line="360" w:lineRule="auto"/>
        <w:jc w:val="center"/>
        <w:rPr>
          <w:rFonts w:ascii="宋体" w:hAnsi="宋体" w:eastAsia="宋体" w:cs="宋体"/>
          <w:color w:val="auto"/>
          <w:kern w:val="0"/>
          <w:sz w:val="30"/>
          <w:szCs w:val="30"/>
          <w:highlight w:val="none"/>
        </w:rPr>
      </w:pPr>
      <w:r>
        <w:rPr>
          <w:rFonts w:hint="eastAsia" w:ascii="宋体" w:hAnsi="宋体" w:eastAsia="宋体" w:cs="宋体"/>
          <w:b/>
          <w:color w:val="auto"/>
          <w:kern w:val="0"/>
          <w:sz w:val="30"/>
          <w:szCs w:val="30"/>
          <w:highlight w:val="none"/>
        </w:rPr>
        <w:t>拟投入的项目组专业负责人基本情况表</w:t>
      </w:r>
    </w:p>
    <w:tbl>
      <w:tblPr>
        <w:tblStyle w:val="79"/>
        <w:tblW w:w="98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027"/>
        <w:gridCol w:w="1496"/>
        <w:gridCol w:w="1631"/>
        <w:gridCol w:w="1011"/>
        <w:gridCol w:w="1707"/>
        <w:gridCol w:w="2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序号</w:t>
            </w:r>
          </w:p>
        </w:tc>
        <w:tc>
          <w:tcPr>
            <w:tcW w:w="1027"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姓  名</w:t>
            </w:r>
          </w:p>
        </w:tc>
        <w:tc>
          <w:tcPr>
            <w:tcW w:w="1496"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出生</w:t>
            </w:r>
          </w:p>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年月</w:t>
            </w:r>
          </w:p>
        </w:tc>
        <w:tc>
          <w:tcPr>
            <w:tcW w:w="1631"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注册资格</w:t>
            </w:r>
          </w:p>
        </w:tc>
        <w:tc>
          <w:tcPr>
            <w:tcW w:w="1011"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职称</w:t>
            </w:r>
          </w:p>
        </w:tc>
        <w:tc>
          <w:tcPr>
            <w:tcW w:w="1707"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拟在本项目中从事专业</w:t>
            </w:r>
          </w:p>
        </w:tc>
        <w:tc>
          <w:tcPr>
            <w:tcW w:w="228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社保购买单位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1</w:t>
            </w:r>
          </w:p>
        </w:tc>
        <w:tc>
          <w:tcPr>
            <w:tcW w:w="102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2</w:t>
            </w:r>
          </w:p>
        </w:tc>
        <w:tc>
          <w:tcPr>
            <w:tcW w:w="102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3</w:t>
            </w:r>
          </w:p>
        </w:tc>
        <w:tc>
          <w:tcPr>
            <w:tcW w:w="102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4</w:t>
            </w:r>
          </w:p>
        </w:tc>
        <w:tc>
          <w:tcPr>
            <w:tcW w:w="102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5</w:t>
            </w:r>
          </w:p>
        </w:tc>
        <w:tc>
          <w:tcPr>
            <w:tcW w:w="102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6</w:t>
            </w:r>
          </w:p>
        </w:tc>
        <w:tc>
          <w:tcPr>
            <w:tcW w:w="102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7</w:t>
            </w:r>
          </w:p>
        </w:tc>
        <w:tc>
          <w:tcPr>
            <w:tcW w:w="102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8</w:t>
            </w:r>
          </w:p>
        </w:tc>
        <w:tc>
          <w:tcPr>
            <w:tcW w:w="102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9</w:t>
            </w:r>
          </w:p>
        </w:tc>
        <w:tc>
          <w:tcPr>
            <w:tcW w:w="102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10</w:t>
            </w:r>
          </w:p>
        </w:tc>
        <w:tc>
          <w:tcPr>
            <w:tcW w:w="102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11</w:t>
            </w:r>
          </w:p>
        </w:tc>
        <w:tc>
          <w:tcPr>
            <w:tcW w:w="102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12</w:t>
            </w:r>
          </w:p>
        </w:tc>
        <w:tc>
          <w:tcPr>
            <w:tcW w:w="102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bl>
    <w:p>
      <w:pPr>
        <w:adjustRightInd w:val="0"/>
        <w:snapToGrid w:val="0"/>
        <w:spacing w:line="360" w:lineRule="auto"/>
        <w:jc w:val="left"/>
        <w:rPr>
          <w:rFonts w:ascii="宋体" w:hAnsi="宋体" w:eastAsia="宋体" w:cs="宋体"/>
          <w:color w:val="auto"/>
          <w:kern w:val="0"/>
          <w:szCs w:val="21"/>
          <w:highlight w:val="none"/>
        </w:rPr>
      </w:pPr>
    </w:p>
    <w:p>
      <w:pPr>
        <w:adjustRightInd w:val="0"/>
        <w:snapToGrid w:val="0"/>
        <w:spacing w:line="360" w:lineRule="auto"/>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注：1.须随本表提交表中人员的执业注册资格证书（或职称证书）及毕业证原件扫描件。</w:t>
      </w:r>
    </w:p>
    <w:p>
      <w:pPr>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2.表中人员均须在建设行政主管部门信息管理系统中提前完成备案。</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楷体_GB2312" w:hAnsi="楷体_GB2312" w:eastAsia="楷体_GB2312" w:cs="楷体_GB2312"/>
          <w:color w:val="auto"/>
          <w:kern w:val="0"/>
          <w:szCs w:val="21"/>
          <w:highlight w:val="none"/>
        </w:rPr>
        <w:t>3.本表应按专业依次填写。表格不足时可续页。</w:t>
      </w:r>
      <w:r>
        <w:rPr>
          <w:rFonts w:hint="eastAsia" w:ascii="宋体" w:hAnsi="宋体" w:eastAsia="宋体" w:cs="宋体"/>
          <w:color w:val="auto"/>
          <w:kern w:val="0"/>
          <w:szCs w:val="21"/>
          <w:highlight w:val="none"/>
        </w:rPr>
        <w:br w:type="page"/>
      </w:r>
    </w:p>
    <w:p>
      <w:pPr>
        <w:adjustRightInd w:val="0"/>
        <w:snapToGrid w:val="0"/>
        <w:spacing w:line="360" w:lineRule="auto"/>
        <w:jc w:val="left"/>
        <w:outlineLvl w:val="2"/>
        <w:rPr>
          <w:rFonts w:ascii="宋体" w:hAnsi="宋体" w:eastAsia="宋体" w:cs="宋体"/>
          <w:b/>
          <w:color w:val="auto"/>
          <w:kern w:val="0"/>
          <w:highlight w:val="none"/>
        </w:rPr>
      </w:pPr>
      <w:r>
        <w:rPr>
          <w:rFonts w:hint="eastAsia" w:ascii="宋体" w:hAnsi="宋体" w:eastAsia="宋体" w:cs="宋体"/>
          <w:b/>
          <w:color w:val="auto"/>
          <w:kern w:val="0"/>
          <w:highlight w:val="none"/>
        </w:rPr>
        <w:t>投标附件8.联合体共同投标协议书</w:t>
      </w:r>
    </w:p>
    <w:p>
      <w:pPr>
        <w:adjustRightInd w:val="0"/>
        <w:snapToGrid w:val="0"/>
        <w:spacing w:line="360" w:lineRule="auto"/>
        <w:jc w:val="center"/>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联合体共同投标协议书</w:t>
      </w:r>
    </w:p>
    <w:p>
      <w:pPr>
        <w:adjustRightInd w:val="0"/>
        <w:snapToGrid w:val="0"/>
        <w:spacing w:line="360" w:lineRule="auto"/>
        <w:jc w:val="center"/>
        <w:rPr>
          <w:rFonts w:ascii="宋体" w:hAnsi="宋体" w:eastAsia="宋体" w:cs="宋体"/>
          <w:b/>
          <w:color w:val="auto"/>
          <w:kern w:val="0"/>
          <w:sz w:val="32"/>
          <w:szCs w:val="32"/>
          <w:highlight w:val="none"/>
        </w:rPr>
      </w:pP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______________________</w:t>
      </w:r>
      <w:r>
        <w:rPr>
          <w:rFonts w:hint="eastAsia" w:ascii="宋体" w:hAnsi="宋体" w:eastAsia="宋体" w:cs="宋体"/>
          <w:color w:val="auto"/>
          <w:kern w:val="0"/>
          <w:szCs w:val="21"/>
          <w:highlight w:val="none"/>
          <w:u w:val="single"/>
        </w:rPr>
        <w:t>（所有成员单位名称）</w:t>
      </w:r>
      <w:r>
        <w:rPr>
          <w:rFonts w:hint="eastAsia" w:ascii="宋体" w:hAnsi="宋体" w:eastAsia="宋体" w:cs="宋体"/>
          <w:color w:val="auto"/>
          <w:kern w:val="0"/>
          <w:szCs w:val="21"/>
          <w:highlight w:val="none"/>
        </w:rPr>
        <w:t>____________________自愿组成联合体，共同参加___________</w:t>
      </w:r>
      <w:r>
        <w:rPr>
          <w:rFonts w:hint="eastAsia" w:ascii="宋体" w:hAnsi="宋体" w:eastAsia="宋体" w:cs="宋体"/>
          <w:color w:val="auto"/>
          <w:kern w:val="0"/>
          <w:szCs w:val="21"/>
          <w:highlight w:val="none"/>
          <w:u w:val="single"/>
        </w:rPr>
        <w:t>（项目名称）</w:t>
      </w:r>
      <w:r>
        <w:rPr>
          <w:rFonts w:hint="eastAsia" w:ascii="宋体" w:hAnsi="宋体" w:eastAsia="宋体" w:cs="宋体"/>
          <w:color w:val="auto"/>
          <w:kern w:val="0"/>
          <w:szCs w:val="21"/>
          <w:highlight w:val="none"/>
        </w:rPr>
        <w:t>________的投标。现就联合体投标事宜订立如下协议：</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1、_______</w:t>
      </w:r>
      <w:r>
        <w:rPr>
          <w:rFonts w:hint="eastAsia" w:ascii="宋体" w:hAnsi="宋体" w:eastAsia="宋体" w:cs="宋体"/>
          <w:color w:val="auto"/>
          <w:kern w:val="0"/>
          <w:szCs w:val="21"/>
          <w:highlight w:val="none"/>
          <w:u w:val="single"/>
        </w:rPr>
        <w:t>（某成员单位名称）</w:t>
      </w:r>
      <w:r>
        <w:rPr>
          <w:rFonts w:hint="eastAsia" w:ascii="宋体" w:hAnsi="宋体" w:eastAsia="宋体" w:cs="宋体"/>
          <w:color w:val="auto"/>
          <w:kern w:val="0"/>
          <w:szCs w:val="21"/>
          <w:highlight w:val="none"/>
        </w:rPr>
        <w:t>______为本工程投标联合体牵头人。</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2、联合体牵头人合法代表联合体各成员单位：接收及提交投标相关资料、信息或指令，并处理与之相关事务；负责本工程投标文件编制；负责合同谈判、签订及实施阶段的主导、组织和协调工作。</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3、联合体严格按照招标文件要求，准时递交投标文件，切实履行合同，并对外承担连带责任。</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4、联合体各成员单位内部职责分工如下：</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(1)联合体牵头人____________________，承担_____________工作；</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(2)联合体成员______________________，承担_____________工作；</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(3)联合体成员______________________，承担_____________工作。</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5、本协议书自签署之日起生效，未中标或者中标后合同履行完毕后，自动失效。</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6、本协议书一式_________份，联合体成员和招标人各执一份。</w:t>
      </w:r>
    </w:p>
    <w:p>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本投标协议同时兼作法定代表人证明书和法人授权委托书。</w:t>
      </w:r>
    </w:p>
    <w:p>
      <w:pPr>
        <w:adjustRightInd w:val="0"/>
        <w:snapToGrid w:val="0"/>
        <w:spacing w:line="360" w:lineRule="auto"/>
        <w:ind w:firstLine="420" w:firstLineChars="200"/>
        <w:jc w:val="left"/>
        <w:rPr>
          <w:rFonts w:ascii="宋体" w:hAnsi="宋体" w:eastAsia="宋体" w:cs="宋体"/>
          <w:color w:val="auto"/>
          <w:kern w:val="0"/>
          <w:szCs w:val="21"/>
          <w:highlight w:val="none"/>
        </w:rPr>
      </w:pP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牵头人</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单位名称（盖单位公章）：</w:t>
      </w:r>
      <w:r>
        <w:rPr>
          <w:rFonts w:hint="eastAsia" w:ascii="宋体" w:hAnsi="宋体" w:eastAsia="宋体" w:cs="宋体"/>
          <w:color w:val="auto"/>
          <w:kern w:val="0"/>
          <w:szCs w:val="21"/>
          <w:highlight w:val="none"/>
          <w:u w:val="single"/>
        </w:rPr>
        <w:t>_________________________</w:t>
      </w:r>
      <w:r>
        <w:rPr>
          <w:rFonts w:hint="eastAsia" w:ascii="宋体" w:hAnsi="宋体" w:eastAsia="宋体" w:cs="宋体"/>
          <w:color w:val="auto"/>
          <w:kern w:val="0"/>
          <w:highlight w:val="none"/>
        </w:rPr>
        <w:t>_</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法定代表人或授权委托人（签字）：__________________</w:t>
      </w:r>
    </w:p>
    <w:p>
      <w:pPr>
        <w:adjustRightInd w:val="0"/>
        <w:snapToGrid w:val="0"/>
        <w:spacing w:line="360" w:lineRule="auto"/>
        <w:ind w:firstLine="420" w:firstLineChars="200"/>
        <w:jc w:val="left"/>
        <w:rPr>
          <w:rFonts w:ascii="宋体" w:hAnsi="宋体" w:eastAsia="宋体" w:cs="宋体"/>
          <w:color w:val="auto"/>
          <w:kern w:val="0"/>
          <w:szCs w:val="21"/>
          <w:highlight w:val="none"/>
        </w:rPr>
      </w:pP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成员1</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单位名称（盖单位公章）：________________________</w:t>
      </w:r>
      <w:r>
        <w:rPr>
          <w:rFonts w:hint="eastAsia" w:ascii="宋体" w:hAnsi="宋体" w:eastAsia="宋体" w:cs="宋体"/>
          <w:color w:val="auto"/>
          <w:kern w:val="0"/>
          <w:highlight w:val="none"/>
        </w:rPr>
        <w:t>_</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法定代表人或授权委托人（签字）：_______________</w:t>
      </w:r>
      <w:r>
        <w:rPr>
          <w:rFonts w:hint="eastAsia" w:ascii="宋体" w:hAnsi="宋体" w:eastAsia="宋体" w:cs="宋体"/>
          <w:color w:val="auto"/>
          <w:kern w:val="0"/>
          <w:highlight w:val="none"/>
        </w:rPr>
        <w:t>__</w:t>
      </w:r>
    </w:p>
    <w:p>
      <w:pPr>
        <w:adjustRightInd w:val="0"/>
        <w:snapToGrid w:val="0"/>
        <w:spacing w:line="360" w:lineRule="auto"/>
        <w:ind w:firstLine="420" w:firstLineChars="200"/>
        <w:jc w:val="left"/>
        <w:rPr>
          <w:rFonts w:ascii="宋体" w:hAnsi="宋体" w:eastAsia="宋体" w:cs="宋体"/>
          <w:color w:val="auto"/>
          <w:kern w:val="0"/>
          <w:szCs w:val="21"/>
          <w:highlight w:val="none"/>
        </w:rPr>
      </w:pP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成员2</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单位名称（盖单位公章）：________________________</w:t>
      </w:r>
      <w:r>
        <w:rPr>
          <w:rFonts w:hint="eastAsia" w:ascii="宋体" w:hAnsi="宋体" w:eastAsia="宋体" w:cs="宋体"/>
          <w:color w:val="auto"/>
          <w:kern w:val="0"/>
          <w:highlight w:val="none"/>
        </w:rPr>
        <w:t>_</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法定代表人或授权委托人（签字）：_______________</w:t>
      </w:r>
      <w:r>
        <w:rPr>
          <w:rFonts w:hint="eastAsia" w:ascii="宋体" w:hAnsi="宋体" w:eastAsia="宋体" w:cs="宋体"/>
          <w:color w:val="auto"/>
          <w:kern w:val="0"/>
          <w:highlight w:val="none"/>
        </w:rPr>
        <w:t>__</w:t>
      </w:r>
    </w:p>
    <w:p>
      <w:pPr>
        <w:adjustRightInd w:val="0"/>
        <w:snapToGrid w:val="0"/>
        <w:spacing w:line="360" w:lineRule="auto"/>
        <w:ind w:firstLine="420" w:firstLineChars="200"/>
        <w:jc w:val="left"/>
        <w:rPr>
          <w:rFonts w:ascii="宋体" w:hAnsi="宋体" w:eastAsia="宋体" w:cs="宋体"/>
          <w:color w:val="auto"/>
          <w:kern w:val="0"/>
          <w:szCs w:val="21"/>
          <w:highlight w:val="none"/>
        </w:rPr>
      </w:pPr>
    </w:p>
    <w:p>
      <w:pPr>
        <w:adjustRightInd w:val="0"/>
        <w:snapToGrid w:val="0"/>
        <w:spacing w:line="360" w:lineRule="auto"/>
        <w:ind w:firstLine="4200" w:firstLineChars="20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签订日期：       年    月    日</w:t>
      </w:r>
      <w:r>
        <w:rPr>
          <w:rFonts w:hint="eastAsia" w:ascii="宋体" w:hAnsi="宋体" w:eastAsia="宋体" w:cs="宋体"/>
          <w:color w:val="auto"/>
          <w:highlight w:val="none"/>
        </w:rPr>
        <w:br w:type="page"/>
      </w:r>
    </w:p>
    <w:p>
      <w:pPr>
        <w:adjustRightInd w:val="0"/>
        <w:snapToGrid w:val="0"/>
        <w:spacing w:line="360" w:lineRule="auto"/>
        <w:jc w:val="left"/>
        <w:outlineLvl w:val="2"/>
        <w:rPr>
          <w:rFonts w:hint="default" w:ascii="宋体" w:hAnsi="宋体" w:eastAsia="宋体" w:cs="宋体"/>
          <w:b/>
          <w:color w:val="auto"/>
          <w:kern w:val="0"/>
          <w:highlight w:val="none"/>
          <w:lang w:val="en-US" w:eastAsia="zh-CN"/>
        </w:rPr>
      </w:pPr>
      <w:bookmarkStart w:id="53" w:name="_Toc12651"/>
      <w:r>
        <w:rPr>
          <w:rFonts w:hint="eastAsia" w:ascii="宋体" w:hAnsi="宋体" w:eastAsia="宋体" w:cs="宋体"/>
          <w:b/>
          <w:color w:val="auto"/>
          <w:kern w:val="0"/>
          <w:highlight w:val="none"/>
        </w:rPr>
        <w:t>投标附件9.</w:t>
      </w:r>
      <w:r>
        <w:rPr>
          <w:rFonts w:hint="eastAsia" w:ascii="宋体" w:hAnsi="宋体" w:eastAsia="宋体" w:cs="宋体"/>
          <w:b/>
          <w:color w:val="auto"/>
          <w:kern w:val="0"/>
          <w:highlight w:val="none"/>
          <w:lang w:val="en-US" w:eastAsia="zh-CN"/>
        </w:rPr>
        <w:t>中小企业声明函</w:t>
      </w:r>
    </w:p>
    <w:p>
      <w:pPr>
        <w:pStyle w:val="227"/>
        <w:spacing w:before="0" w:beforeAutospacing="0" w:after="0" w:afterAutospacing="0" w:line="360" w:lineRule="auto"/>
        <w:jc w:val="center"/>
        <w:rPr>
          <w:rFonts w:hint="eastAsia" w:ascii="宋体" w:hAnsi="宋体" w:eastAsia="宋体" w:cs="宋体"/>
          <w:color w:val="auto"/>
          <w:kern w:val="2"/>
          <w:sz w:val="44"/>
          <w:szCs w:val="22"/>
          <w:highlight w:val="none"/>
        </w:rPr>
      </w:pPr>
    </w:p>
    <w:p>
      <w:pPr>
        <w:pStyle w:val="227"/>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pPr>
        <w:pStyle w:val="22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pPr>
        <w:pStyle w:val="22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lang w:eastAsia="zh-CN"/>
        </w:rPr>
      </w:pPr>
      <w:r>
        <w:rPr>
          <w:rFonts w:hint="eastAsia" w:ascii="宋体" w:hAnsi="宋体" w:eastAsia="宋体" w:cs="宋体"/>
          <w:color w:val="auto"/>
          <w:kern w:val="2"/>
          <w:sz w:val="21"/>
          <w:szCs w:val="21"/>
          <w:highlight w:val="none"/>
          <w:u w:val="single"/>
        </w:rPr>
        <w:t>本</w:t>
      </w:r>
      <w:r>
        <w:rPr>
          <w:rFonts w:hint="eastAsia" w:cs="宋体"/>
          <w:color w:val="auto"/>
          <w:kern w:val="2"/>
          <w:sz w:val="21"/>
          <w:szCs w:val="21"/>
          <w:highlight w:val="none"/>
          <w:u w:val="single"/>
          <w:lang w:val="en-US" w:eastAsia="zh-CN"/>
        </w:rPr>
        <w:t>企业</w:t>
      </w:r>
      <w:r>
        <w:rPr>
          <w:rFonts w:hint="eastAsia" w:ascii="宋体" w:hAnsi="宋体" w:eastAsia="宋体" w:cs="宋体"/>
          <w:color w:val="auto"/>
          <w:kern w:val="2"/>
          <w:sz w:val="21"/>
          <w:szCs w:val="21"/>
          <w:highlight w:val="none"/>
          <w:u w:val="single"/>
        </w:rPr>
        <w:t>（联合体）</w:t>
      </w:r>
      <w:r>
        <w:rPr>
          <w:rFonts w:hint="eastAsia" w:ascii="宋体" w:hAnsi="宋体" w:eastAsia="宋体" w:cs="宋体"/>
          <w:color w:val="auto"/>
          <w:kern w:val="2"/>
          <w:sz w:val="21"/>
          <w:szCs w:val="21"/>
          <w:highlight w:val="none"/>
          <w:u w:val="none"/>
        </w:rPr>
        <w:t>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活动，工程服务全部由符合政策要求的中小企业承接。相关企业（含联合体中的中小企业）的具体情况如下</w:t>
      </w:r>
      <w:r>
        <w:rPr>
          <w:rFonts w:hint="eastAsia" w:cs="宋体"/>
          <w:color w:val="auto"/>
          <w:kern w:val="2"/>
          <w:sz w:val="21"/>
          <w:szCs w:val="21"/>
          <w:highlight w:val="none"/>
          <w:u w:val="none"/>
          <w:lang w:eastAsia="zh-CN"/>
        </w:rPr>
        <w:t>：</w:t>
      </w:r>
    </w:p>
    <w:p>
      <w:pPr>
        <w:pStyle w:val="227"/>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XX企业</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（本招标项目所属行业）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pPr>
        <w:pStyle w:val="22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single"/>
          <w:lang w:val="en-US" w:eastAsia="zh-CN"/>
        </w:rPr>
      </w:pPr>
      <w:r>
        <w:rPr>
          <w:rFonts w:hint="eastAsia" w:cs="宋体"/>
          <w:color w:val="auto"/>
          <w:kern w:val="2"/>
          <w:sz w:val="21"/>
          <w:szCs w:val="21"/>
          <w:highlight w:val="none"/>
          <w:u w:val="single"/>
          <w:lang w:eastAsia="zh-CN"/>
        </w:rPr>
        <w:t>……</w:t>
      </w:r>
    </w:p>
    <w:p>
      <w:pPr>
        <w:pStyle w:val="22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以上企业</w:t>
      </w:r>
      <w:r>
        <w:rPr>
          <w:rFonts w:hint="eastAsia" w:ascii="宋体" w:hAnsi="宋体" w:eastAsia="宋体" w:cs="宋体"/>
          <w:color w:val="auto"/>
          <w:kern w:val="2"/>
          <w:sz w:val="21"/>
          <w:szCs w:val="21"/>
          <w:highlight w:val="none"/>
        </w:rPr>
        <w:t>不属于大企业的分支机构，不存在控股股东为大企业的情形，也不存在与大企业的负责人为同一人的情形。</w:t>
      </w:r>
    </w:p>
    <w:p>
      <w:pPr>
        <w:pStyle w:val="22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pPr>
        <w:pStyle w:val="22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pPr>
        <w:pStyle w:val="22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pPr>
        <w:pStyle w:val="22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日期：</w:t>
      </w:r>
    </w:p>
    <w:p>
      <w:pPr>
        <w:pStyle w:val="22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pPr>
        <w:pStyle w:val="227"/>
        <w:spacing w:before="0" w:beforeAutospacing="0" w:after="0" w:afterAutospacing="0" w:line="360" w:lineRule="auto"/>
        <w:ind w:firstLine="420" w:firstLineChars="200"/>
        <w:rPr>
          <w:rFonts w:hint="default" w:cs="宋体"/>
          <w:color w:val="auto"/>
          <w:kern w:val="2"/>
          <w:sz w:val="21"/>
          <w:szCs w:val="21"/>
          <w:highlight w:val="none"/>
          <w:lang w:val="en-US" w:eastAsia="zh-CN"/>
        </w:rPr>
      </w:pPr>
      <w:r>
        <w:rPr>
          <w:rFonts w:hint="eastAsia" w:cs="宋体"/>
          <w:color w:val="auto"/>
          <w:kern w:val="2"/>
          <w:sz w:val="21"/>
          <w:szCs w:val="21"/>
          <w:highlight w:val="none"/>
          <w:lang w:val="en-US" w:eastAsia="zh-CN"/>
        </w:rPr>
        <w:t>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的，投标人属于招标项目所属行业的中小企业且提供声明函后，方可适用该条款。</w:t>
      </w:r>
    </w:p>
    <w:p>
      <w:pPr>
        <w:pStyle w:val="227"/>
        <w:spacing w:before="0" w:beforeAutospacing="0" w:after="0" w:afterAutospacing="0" w:line="360" w:lineRule="auto"/>
        <w:ind w:firstLine="420" w:firstLineChars="200"/>
        <w:rPr>
          <w:rFonts w:hint="eastAsia" w:eastAsia="宋体"/>
          <w:color w:val="auto"/>
          <w:kern w:val="2"/>
          <w:sz w:val="21"/>
          <w:szCs w:val="21"/>
          <w:highlight w:val="none"/>
          <w:lang w:eastAsia="zh-CN"/>
        </w:rPr>
      </w:pPr>
    </w:p>
    <w:p>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pPr>
        <w:adjustRightInd w:val="0"/>
        <w:snapToGrid w:val="0"/>
        <w:spacing w:line="360" w:lineRule="auto"/>
        <w:ind w:firstLine="0" w:firstLineChars="0"/>
        <w:jc w:val="left"/>
        <w:outlineLvl w:val="9"/>
        <w:rPr>
          <w:rFonts w:hint="eastAsia" w:ascii="宋体" w:hAnsi="宋体" w:eastAsia="宋体" w:cs="宋体"/>
          <w:b w:val="0"/>
          <w:snapToGrid w:val="0"/>
          <w:color w:val="auto"/>
          <w:kern w:val="0"/>
          <w:highlight w:val="none"/>
        </w:rPr>
      </w:pPr>
    </w:p>
    <w:p>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pPr>
        <w:adjustRightInd w:val="0"/>
        <w:snapToGrid w:val="0"/>
        <w:spacing w:line="360" w:lineRule="auto"/>
        <w:jc w:val="left"/>
        <w:outlineLvl w:val="2"/>
        <w:rPr>
          <w:rFonts w:ascii="宋体" w:hAnsi="宋体" w:eastAsia="宋体" w:cs="宋体"/>
          <w:b/>
          <w:color w:val="auto"/>
          <w:kern w:val="0"/>
          <w:highlight w:val="none"/>
        </w:rPr>
      </w:pPr>
      <w:r>
        <w:rPr>
          <w:rFonts w:hint="eastAsia" w:ascii="宋体" w:hAnsi="宋体" w:eastAsia="宋体" w:cs="宋体"/>
          <w:b/>
          <w:color w:val="auto"/>
          <w:kern w:val="0"/>
          <w:highlight w:val="none"/>
        </w:rPr>
        <w:t>投标附件</w:t>
      </w:r>
      <w:r>
        <w:rPr>
          <w:rFonts w:hint="eastAsia" w:ascii="宋体" w:hAnsi="宋体" w:eastAsia="宋体" w:cs="宋体"/>
          <w:b/>
          <w:color w:val="auto"/>
          <w:kern w:val="0"/>
          <w:highlight w:val="none"/>
          <w:lang w:val="en-US" w:eastAsia="zh-CN"/>
        </w:rPr>
        <w:t>10</w:t>
      </w:r>
      <w:r>
        <w:rPr>
          <w:rFonts w:hint="eastAsia" w:ascii="宋体" w:hAnsi="宋体" w:eastAsia="宋体" w:cs="宋体"/>
          <w:b/>
          <w:color w:val="auto"/>
          <w:kern w:val="0"/>
          <w:highlight w:val="none"/>
        </w:rPr>
        <w:t>.其他</w:t>
      </w:r>
      <w:bookmarkEnd w:id="53"/>
    </w:p>
    <w:p>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其他</w:t>
      </w:r>
      <w:r>
        <w:rPr>
          <w:rFonts w:hint="eastAsia" w:ascii="宋体" w:hAnsi="宋体" w:eastAsia="宋体" w:cs="宋体"/>
          <w:color w:val="auto"/>
          <w:highlight w:val="none"/>
        </w:rPr>
        <w:br w:type="page"/>
      </w:r>
    </w:p>
    <w:p>
      <w:pPr>
        <w:adjustRightInd w:val="0"/>
        <w:snapToGrid w:val="0"/>
        <w:spacing w:line="360" w:lineRule="auto"/>
        <w:jc w:val="center"/>
        <w:outlineLvl w:val="1"/>
        <w:rPr>
          <w:rFonts w:ascii="宋体" w:hAnsi="宋体" w:eastAsia="宋体" w:cs="宋体"/>
          <w:b/>
          <w:color w:val="auto"/>
          <w:kern w:val="0"/>
          <w:sz w:val="30"/>
          <w:highlight w:val="none"/>
        </w:rPr>
      </w:pPr>
      <w:bookmarkStart w:id="54" w:name="_Toc28600"/>
      <w:bookmarkStart w:id="55" w:name="资格审查文件"/>
      <w:r>
        <w:rPr>
          <w:rFonts w:hint="eastAsia" w:ascii="宋体" w:hAnsi="宋体" w:eastAsia="宋体" w:cs="宋体"/>
          <w:b/>
          <w:color w:val="auto"/>
          <w:kern w:val="0"/>
          <w:sz w:val="30"/>
          <w:highlight w:val="none"/>
        </w:rPr>
        <w:t>5.2资格审查文件</w:t>
      </w:r>
      <w:bookmarkEnd w:id="54"/>
    </w:p>
    <w:p>
      <w:pPr>
        <w:adjustRightInd w:val="0"/>
        <w:snapToGrid w:val="0"/>
        <w:spacing w:line="360" w:lineRule="auto"/>
        <w:jc w:val="center"/>
        <w:rPr>
          <w:rFonts w:ascii="宋体" w:hAnsi="宋体" w:eastAsia="宋体" w:cs="宋体"/>
          <w:b/>
          <w:color w:val="auto"/>
          <w:kern w:val="0"/>
          <w:sz w:val="30"/>
          <w:highlight w:val="none"/>
        </w:rPr>
      </w:pPr>
    </w:p>
    <w:p>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资格审查文件</w:t>
      </w:r>
    </w:p>
    <w:p>
      <w:pPr>
        <w:adjustRightInd w:val="0"/>
        <w:snapToGrid w:val="0"/>
        <w:spacing w:line="360" w:lineRule="auto"/>
        <w:jc w:val="center"/>
        <w:rPr>
          <w:rFonts w:ascii="宋体" w:hAnsi="宋体" w:eastAsia="宋体" w:cs="宋体"/>
          <w:b/>
          <w:color w:val="auto"/>
          <w:kern w:val="0"/>
          <w:highlight w:val="none"/>
        </w:rPr>
      </w:pPr>
    </w:p>
    <w:p>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资格审查文件内容如下：</w:t>
      </w:r>
    </w:p>
    <w:p>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(1)通过年审的营业执照副本（原件扫描件）；</w:t>
      </w:r>
    </w:p>
    <w:p>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(2)企业资质证书（原件扫描件）；</w:t>
      </w:r>
    </w:p>
    <w:p>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(3)联合体共同投标协议（若有，原件扫描件）；</w:t>
      </w:r>
    </w:p>
    <w:p>
      <w:pPr>
        <w:widowControl/>
        <w:adjustRightInd w:val="0"/>
        <w:snapToGrid w:val="0"/>
        <w:spacing w:line="360" w:lineRule="auto"/>
        <w:jc w:val="left"/>
        <w:rPr>
          <w:rFonts w:hint="eastAsia" w:ascii="宋体" w:hAnsi="宋体" w:eastAsia="宋体" w:cs="宋体"/>
          <w:bCs/>
          <w:color w:val="auto"/>
          <w:kern w:val="0"/>
          <w:highlight w:val="none"/>
        </w:rPr>
      </w:pPr>
      <w:r>
        <w:rPr>
          <w:rFonts w:hint="eastAsia" w:ascii="宋体" w:hAnsi="宋体" w:eastAsia="宋体" w:cs="宋体"/>
          <w:bCs/>
          <w:color w:val="auto"/>
          <w:kern w:val="0"/>
          <w:highlight w:val="none"/>
        </w:rPr>
        <w:t>(4)中小企业声明函扫描件（</w:t>
      </w:r>
      <w:r>
        <w:rPr>
          <w:rFonts w:hint="eastAsia" w:ascii="宋体" w:hAnsi="宋体" w:eastAsia="宋体" w:cs="宋体"/>
          <w:bCs/>
          <w:color w:val="auto"/>
          <w:kern w:val="0"/>
          <w:highlight w:val="none"/>
          <w:lang w:val="en-US" w:eastAsia="zh-CN"/>
        </w:rPr>
        <w:t>如招标文件有要求，则需提供</w:t>
      </w:r>
      <w:r>
        <w:rPr>
          <w:rFonts w:hint="eastAsia" w:ascii="宋体" w:hAnsi="宋体" w:eastAsia="宋体" w:cs="宋体"/>
          <w:bCs/>
          <w:color w:val="auto"/>
          <w:kern w:val="0"/>
          <w:highlight w:val="none"/>
        </w:rPr>
        <w:t>）；</w:t>
      </w:r>
    </w:p>
    <w:p>
      <w:pPr>
        <w:widowControl/>
        <w:adjustRightInd w:val="0"/>
        <w:snapToGrid w:val="0"/>
        <w:spacing w:line="360" w:lineRule="auto"/>
        <w:jc w:val="left"/>
        <w:rPr>
          <w:rFonts w:hint="eastAsia" w:ascii="宋体" w:hAnsi="宋体" w:eastAsia="宋体" w:cs="宋体"/>
          <w:bCs/>
          <w:color w:val="auto"/>
          <w:kern w:val="0"/>
          <w:highlight w:val="none"/>
          <w:u w:val="none"/>
        </w:rPr>
      </w:pPr>
      <w:r>
        <w:rPr>
          <w:rFonts w:hint="eastAsia" w:ascii="宋体" w:hAnsi="宋体" w:eastAsia="宋体" w:cs="宋体"/>
          <w:bCs/>
          <w:color w:val="auto"/>
          <w:kern w:val="0"/>
          <w:highlight w:val="none"/>
        </w:rPr>
        <w:t>(</w:t>
      </w:r>
      <w:r>
        <w:rPr>
          <w:rFonts w:hint="eastAsia" w:ascii="宋体" w:hAnsi="宋体" w:eastAsia="宋体" w:cs="宋体"/>
          <w:bCs/>
          <w:color w:val="auto"/>
          <w:kern w:val="0"/>
          <w:highlight w:val="none"/>
          <w:lang w:val="en-US" w:eastAsia="zh-CN"/>
        </w:rPr>
        <w:t>5</w:t>
      </w:r>
      <w:r>
        <w:rPr>
          <w:rFonts w:hint="eastAsia" w:ascii="宋体" w:hAnsi="宋体" w:eastAsia="宋体" w:cs="宋体"/>
          <w:bCs/>
          <w:color w:val="auto"/>
          <w:kern w:val="0"/>
          <w:highlight w:val="none"/>
        </w:rPr>
        <w:t>)其他</w:t>
      </w:r>
      <w:r>
        <w:rPr>
          <w:rFonts w:hint="eastAsia" w:ascii="宋体" w:hAnsi="宋体" w:eastAsia="宋体" w:cs="宋体"/>
          <w:bCs/>
          <w:color w:val="auto"/>
          <w:kern w:val="0"/>
          <w:highlight w:val="none"/>
          <w:u w:val="none"/>
        </w:rPr>
        <w:t xml:space="preserve">      </w:t>
      </w:r>
    </w:p>
    <w:p>
      <w:pPr>
        <w:widowControl/>
        <w:jc w:val="center"/>
        <w:rPr>
          <w:rFonts w:ascii="宋体" w:hAnsi="宋体" w:eastAsia="宋体" w:cs="宋体"/>
          <w:color w:val="auto"/>
          <w:sz w:val="44"/>
          <w:szCs w:val="44"/>
          <w:highlight w:val="none"/>
        </w:rPr>
      </w:pPr>
      <w:r>
        <w:rPr>
          <w:rFonts w:hint="eastAsia" w:ascii="宋体" w:hAnsi="宋体" w:eastAsia="宋体" w:cs="宋体"/>
          <w:color w:val="auto"/>
          <w:highlight w:val="none"/>
        </w:rPr>
        <w:br w:type="page"/>
      </w:r>
      <w:r>
        <w:rPr>
          <w:rFonts w:hint="eastAsia" w:ascii="宋体" w:hAnsi="宋体" w:eastAsia="宋体" w:cs="宋体"/>
          <w:b/>
          <w:bCs/>
          <w:color w:val="auto"/>
          <w:sz w:val="44"/>
          <w:szCs w:val="44"/>
          <w:highlight w:val="none"/>
        </w:rPr>
        <w:t>投标保函</w:t>
      </w:r>
    </w:p>
    <w:p>
      <w:pPr>
        <w:widowControl/>
        <w:jc w:val="right"/>
        <w:rPr>
          <w:rFonts w:ascii="宋体" w:hAnsi="宋体" w:eastAsia="宋体" w:cs="宋体"/>
          <w:color w:val="auto"/>
          <w:highlight w:val="none"/>
        </w:rPr>
      </w:pPr>
      <w:r>
        <w:rPr>
          <w:rFonts w:hint="eastAsia" w:ascii="宋体" w:hAnsi="宋体" w:eastAsia="宋体" w:cs="宋体"/>
          <w:color w:val="auto"/>
          <w:highlight w:val="none"/>
        </w:rPr>
        <w:t>保函编号：__________</w:t>
      </w:r>
    </w:p>
    <w:p>
      <w:pPr>
        <w:widowControl/>
        <w:jc w:val="left"/>
        <w:rPr>
          <w:rFonts w:ascii="宋体" w:hAnsi="宋体" w:eastAsia="宋体" w:cs="宋体"/>
          <w:color w:val="auto"/>
          <w:highlight w:val="none"/>
        </w:rPr>
      </w:pPr>
    </w:p>
    <w:p>
      <w:pPr>
        <w:widowControl/>
        <w:jc w:val="left"/>
        <w:rPr>
          <w:rFonts w:ascii="宋体" w:hAnsi="宋体" w:eastAsia="宋体" w:cs="宋体"/>
          <w:color w:val="auto"/>
          <w:highlight w:val="none"/>
        </w:rPr>
      </w:pPr>
      <w:r>
        <w:rPr>
          <w:rFonts w:hint="eastAsia" w:ascii="宋体" w:hAnsi="宋体" w:eastAsia="宋体" w:cs="宋体"/>
          <w:color w:val="auto"/>
          <w:highlight w:val="none"/>
        </w:rPr>
        <w:t>致______________________________（下称受益人）：</w:t>
      </w:r>
    </w:p>
    <w:p>
      <w:pPr>
        <w:widowControl/>
        <w:ind w:firstLine="630" w:firstLineChars="300"/>
        <w:jc w:val="left"/>
        <w:rPr>
          <w:rFonts w:ascii="宋体" w:hAnsi="宋体" w:eastAsia="宋体" w:cs="宋体"/>
          <w:color w:val="auto"/>
          <w:highlight w:val="none"/>
        </w:rPr>
      </w:pPr>
      <w:r>
        <w:rPr>
          <w:rFonts w:hint="eastAsia" w:ascii="宋体" w:hAnsi="宋体" w:eastAsia="宋体" w:cs="宋体"/>
          <w:color w:val="auto"/>
          <w:highlight w:val="none"/>
        </w:rPr>
        <w:t>鉴于_____________________________（下称被保证人）将参加贵方标段编号为______________的____________________________________项目的投标，我方接受被保证人的委托，在此向受益人提供不可撤销的投标保证：</w:t>
      </w:r>
    </w:p>
    <w:p>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一、本保证担保的担保金额为______（币种）______元（小写）_____________（大写）。</w:t>
      </w:r>
    </w:p>
    <w:p>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二、本保证担保的保证期间为该项目的投标有效期或延长的投标有效期后28日（含28日），延长投标有效期无须通知我方。</w:t>
      </w:r>
    </w:p>
    <w:p>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三、在本保证担保的保证期间内，如果被保证人出现下列情形之一，受益人可以向我方提起索赔：</w:t>
      </w:r>
    </w:p>
    <w:p>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1.被保证人在招标文件规定的投标有效期内撤回其投标；</w:t>
      </w:r>
    </w:p>
    <w:p>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2.被保证人在投标有效期内收到受益人发出的中标通知书后，不能或拒绝按招标文件的要求签署合同；</w:t>
      </w:r>
    </w:p>
    <w:p>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3.被保证人在投标有效期内收到受益人发出的中标通知书后，不能或拒绝按招标文件的规定提交履约担保。</w:t>
      </w:r>
    </w:p>
    <w:p>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五、受益人的索赔通知应当说明索赔理由，并必须在本保证担保的保证期间内以专人送达或邮寄送达的方式送达我方。</w:t>
      </w:r>
    </w:p>
    <w:p>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六、本保证担保项下的权利不得转让。</w:t>
      </w:r>
    </w:p>
    <w:p>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七、本保证担保的保证期间届满，或我方已向受益人支付本保证担保的担保金额，我方的保证责任免除。</w:t>
      </w:r>
    </w:p>
    <w:p>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八、本保证担保适用中华人民共和国法律。</w:t>
      </w:r>
    </w:p>
    <w:p>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九、本保证担保以中文文本为准，涂改无效。</w:t>
      </w:r>
    </w:p>
    <w:p>
      <w:pPr>
        <w:widowControl/>
        <w:jc w:val="left"/>
        <w:rPr>
          <w:rFonts w:ascii="宋体" w:hAnsi="宋体" w:eastAsia="宋体" w:cs="宋体"/>
          <w:color w:val="auto"/>
          <w:highlight w:val="none"/>
        </w:rPr>
      </w:pPr>
      <w:r>
        <w:rPr>
          <w:rFonts w:hint="eastAsia" w:ascii="宋体" w:hAnsi="宋体" w:eastAsia="宋体" w:cs="宋体"/>
          <w:color w:val="auto"/>
          <w:highlight w:val="none"/>
        </w:rPr>
        <w:t>保证人（盖章）：___________________________________________________</w:t>
      </w:r>
    </w:p>
    <w:p>
      <w:pPr>
        <w:widowControl/>
        <w:jc w:val="left"/>
        <w:rPr>
          <w:rFonts w:ascii="宋体" w:hAnsi="宋体" w:eastAsia="宋体" w:cs="宋体"/>
          <w:color w:val="auto"/>
          <w:highlight w:val="none"/>
        </w:rPr>
      </w:pPr>
      <w:r>
        <w:rPr>
          <w:rFonts w:hint="eastAsia" w:ascii="宋体" w:hAnsi="宋体" w:eastAsia="宋体" w:cs="宋体"/>
          <w:color w:val="auto"/>
          <w:highlight w:val="none"/>
        </w:rPr>
        <w:t>法定代表人或其授权委托代理人（签字或盖章）：_______________________</w:t>
      </w:r>
    </w:p>
    <w:p>
      <w:pPr>
        <w:widowControl/>
        <w:jc w:val="left"/>
        <w:rPr>
          <w:rFonts w:ascii="宋体" w:hAnsi="宋体" w:eastAsia="宋体" w:cs="宋体"/>
          <w:color w:val="auto"/>
          <w:highlight w:val="none"/>
        </w:rPr>
      </w:pPr>
      <w:r>
        <w:rPr>
          <w:rFonts w:hint="eastAsia" w:ascii="宋体" w:hAnsi="宋体" w:eastAsia="宋体" w:cs="宋体"/>
          <w:color w:val="auto"/>
          <w:highlight w:val="none"/>
        </w:rPr>
        <w:t>单位地址：________________________________________________________</w:t>
      </w:r>
    </w:p>
    <w:p>
      <w:pPr>
        <w:widowControl/>
        <w:jc w:val="left"/>
        <w:rPr>
          <w:rFonts w:ascii="宋体" w:hAnsi="宋体" w:eastAsia="宋体" w:cs="宋体"/>
          <w:color w:val="auto"/>
          <w:highlight w:val="none"/>
        </w:rPr>
      </w:pPr>
      <w:r>
        <w:rPr>
          <w:rFonts w:hint="eastAsia" w:ascii="宋体" w:hAnsi="宋体" w:eastAsia="宋体" w:cs="宋体"/>
          <w:color w:val="auto"/>
          <w:highlight w:val="none"/>
        </w:rPr>
        <w:t>邮政编码：___________电话：_________________传真：________________</w:t>
      </w:r>
    </w:p>
    <w:p>
      <w:pPr>
        <w:widowControl/>
        <w:jc w:val="left"/>
        <w:rPr>
          <w:rFonts w:ascii="宋体" w:hAnsi="宋体" w:eastAsia="宋体" w:cs="宋体"/>
          <w:color w:val="auto"/>
          <w:highlight w:val="none"/>
        </w:rPr>
      </w:pPr>
      <w:r>
        <w:rPr>
          <w:rFonts w:hint="eastAsia" w:ascii="宋体" w:hAnsi="宋体" w:eastAsia="宋体" w:cs="宋体"/>
          <w:color w:val="auto"/>
          <w:highlight w:val="none"/>
        </w:rPr>
        <w:t>日期：__________年______月______日</w:t>
      </w:r>
    </w:p>
    <w:p>
      <w:pPr>
        <w:widowControl/>
        <w:jc w:val="left"/>
        <w:rPr>
          <w:rFonts w:ascii="宋体" w:hAnsi="宋体" w:eastAsia="宋体" w:cs="宋体"/>
          <w:color w:val="auto"/>
          <w:highlight w:val="none"/>
        </w:rPr>
      </w:pPr>
    </w:p>
    <w:p>
      <w:pPr>
        <w:widowControl/>
        <w:jc w:val="left"/>
        <w:rPr>
          <w:rFonts w:ascii="宋体" w:hAnsi="宋体" w:eastAsia="宋体" w:cs="宋体"/>
          <w:color w:val="auto"/>
          <w:highlight w:val="none"/>
        </w:rPr>
      </w:pPr>
    </w:p>
    <w:p>
      <w:pPr>
        <w:widowControl/>
        <w:jc w:val="left"/>
        <w:rPr>
          <w:rFonts w:ascii="宋体" w:hAnsi="宋体" w:eastAsia="宋体" w:cs="宋体"/>
          <w:color w:val="auto"/>
          <w:highlight w:val="none"/>
        </w:rPr>
      </w:pPr>
      <w:r>
        <w:rPr>
          <w:rFonts w:hint="eastAsia" w:ascii="宋体" w:hAnsi="宋体" w:eastAsia="宋体" w:cs="宋体"/>
          <w:color w:val="auto"/>
          <w:highlight w:val="none"/>
        </w:rPr>
        <w:t>（本保函失效后，请将原件退回我方注销）</w:t>
      </w:r>
    </w:p>
    <w:p>
      <w:pPr>
        <w:widowControl/>
        <w:jc w:val="left"/>
        <w:rPr>
          <w:rFonts w:ascii="宋体" w:hAnsi="宋体" w:eastAsia="宋体" w:cs="宋体"/>
          <w:color w:val="auto"/>
          <w:highlight w:val="none"/>
        </w:rPr>
      </w:pPr>
    </w:p>
    <w:p>
      <w:pPr>
        <w:widowControl/>
        <w:jc w:val="left"/>
        <w:rPr>
          <w:rFonts w:ascii="宋体" w:hAnsi="宋体" w:eastAsia="宋体" w:cs="宋体"/>
          <w:color w:val="auto"/>
          <w:highlight w:val="none"/>
        </w:rPr>
      </w:pPr>
      <w:r>
        <w:rPr>
          <w:rFonts w:hint="eastAsia" w:ascii="宋体" w:hAnsi="宋体" w:eastAsia="宋体" w:cs="宋体"/>
          <w:color w:val="auto"/>
          <w:highlight w:val="none"/>
        </w:rPr>
        <w:t>注：如果投标人不采用以上投标保函格式，拟采用的投标保函格式须经招标人确认。</w:t>
      </w:r>
    </w:p>
    <w:p>
      <w:pPr>
        <w:widowControl/>
        <w:jc w:val="left"/>
        <w:rPr>
          <w:rFonts w:ascii="宋体" w:hAnsi="宋体" w:eastAsia="宋体" w:cs="宋体"/>
          <w:color w:val="auto"/>
          <w:highlight w:val="none"/>
        </w:rPr>
      </w:pPr>
      <w:r>
        <w:rPr>
          <w:rFonts w:hint="eastAsia" w:ascii="宋体" w:hAnsi="宋体" w:eastAsia="宋体" w:cs="宋体"/>
          <w:color w:val="auto"/>
          <w:highlight w:val="none"/>
        </w:rPr>
        <w:br w:type="page"/>
      </w:r>
    </w:p>
    <w:p>
      <w:pPr>
        <w:adjustRightInd w:val="0"/>
        <w:snapToGrid w:val="0"/>
        <w:spacing w:line="360" w:lineRule="auto"/>
        <w:jc w:val="center"/>
        <w:rPr>
          <w:rFonts w:ascii="宋体" w:hAnsi="宋体" w:eastAsia="宋体" w:cs="宋体"/>
          <w:color w:val="auto"/>
          <w:sz w:val="44"/>
          <w:highlight w:val="none"/>
        </w:rPr>
      </w:pPr>
      <w:bookmarkStart w:id="56" w:name="_Hlk86676344"/>
      <w:r>
        <w:rPr>
          <w:rFonts w:hint="eastAsia" w:ascii="宋体" w:hAnsi="宋体" w:eastAsia="宋体" w:cs="宋体"/>
          <w:color w:val="auto"/>
          <w:sz w:val="44"/>
          <w:highlight w:val="none"/>
        </w:rPr>
        <w:t>投标保证保险保险凭证</w:t>
      </w:r>
    </w:p>
    <w:p>
      <w:pPr>
        <w:spacing w:line="360" w:lineRule="auto"/>
        <w:jc w:val="cente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 xml:space="preserve">                </w:t>
      </w:r>
      <w:r>
        <w:rPr>
          <w:rFonts w:hint="eastAsia" w:ascii="宋体" w:hAnsi="宋体" w:eastAsia="宋体" w:cs="宋体"/>
          <w:color w:val="auto"/>
          <w:szCs w:val="21"/>
          <w:highlight w:val="none"/>
        </w:rPr>
        <w:t>编号：</w:t>
      </w:r>
    </w:p>
    <w:p>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pPr>
        <w:pStyle w:val="227"/>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2.投标人中标后因自身原因未在招标文件规定的时间内与贵方签订合同；</w:t>
      </w:r>
    </w:p>
    <w:p>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pPr>
        <w:pStyle w:val="227"/>
        <w:spacing w:before="0" w:beforeAutospacing="0" w:after="0" w:afterAutospacing="0" w:line="360" w:lineRule="auto"/>
        <w:rPr>
          <w:color w:val="auto"/>
          <w:kern w:val="2"/>
          <w:sz w:val="21"/>
          <w:szCs w:val="21"/>
          <w:highlight w:val="none"/>
        </w:rPr>
      </w:pPr>
    </w:p>
    <w:p>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pPr>
        <w:pStyle w:val="227"/>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pPr>
        <w:pStyle w:val="227"/>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年   月   日</w:t>
      </w:r>
    </w:p>
    <w:bookmarkEnd w:id="56"/>
    <w:p>
      <w:pPr>
        <w:widowControl/>
        <w:jc w:val="left"/>
        <w:rPr>
          <w:rFonts w:ascii="宋体" w:hAnsi="宋体" w:eastAsia="宋体" w:cs="宋体"/>
          <w:color w:val="auto"/>
          <w:highlight w:val="none"/>
        </w:rPr>
      </w:pPr>
    </w:p>
    <w:p>
      <w:pPr>
        <w:widowControl/>
        <w:jc w:val="left"/>
        <w:rPr>
          <w:rFonts w:ascii="宋体" w:hAnsi="宋体" w:eastAsia="宋体" w:cs="宋体"/>
          <w:color w:val="auto"/>
          <w:highlight w:val="none"/>
        </w:rPr>
      </w:pPr>
    </w:p>
    <w:p>
      <w:pPr>
        <w:widowControl/>
        <w:jc w:val="left"/>
        <w:rPr>
          <w:rFonts w:ascii="宋体" w:hAnsi="宋体" w:eastAsia="宋体" w:cs="宋体"/>
          <w:color w:val="auto"/>
          <w:highlight w:val="none"/>
        </w:rPr>
      </w:pPr>
    </w:p>
    <w:p>
      <w:pPr>
        <w:adjustRightInd w:val="0"/>
        <w:snapToGrid w:val="0"/>
        <w:spacing w:line="360" w:lineRule="auto"/>
        <w:jc w:val="left"/>
        <w:rPr>
          <w:rFonts w:ascii="宋体" w:hAnsi="宋体" w:eastAsia="宋体" w:cs="宋体"/>
          <w:color w:val="auto"/>
          <w:highlight w:val="none"/>
        </w:rPr>
      </w:pPr>
    </w:p>
    <w:p>
      <w:pPr>
        <w:adjustRightInd w:val="0"/>
        <w:snapToGrid w:val="0"/>
        <w:spacing w:line="360" w:lineRule="auto"/>
        <w:jc w:val="left"/>
        <w:rPr>
          <w:rFonts w:ascii="宋体" w:hAnsi="宋体" w:eastAsia="宋体" w:cs="宋体"/>
          <w:color w:val="auto"/>
          <w:highlight w:val="none"/>
        </w:rPr>
      </w:pPr>
    </w:p>
    <w:p>
      <w:pPr>
        <w:adjustRightInd w:val="0"/>
        <w:snapToGrid w:val="0"/>
        <w:spacing w:line="360" w:lineRule="auto"/>
        <w:jc w:val="left"/>
        <w:rPr>
          <w:rFonts w:ascii="宋体" w:hAnsi="宋体" w:eastAsia="宋体" w:cs="宋体"/>
          <w:color w:val="auto"/>
          <w:highlight w:val="none"/>
        </w:rPr>
      </w:pPr>
    </w:p>
    <w:p>
      <w:pPr>
        <w:adjustRightInd w:val="0"/>
        <w:snapToGrid w:val="0"/>
        <w:spacing w:line="360" w:lineRule="auto"/>
        <w:jc w:val="left"/>
        <w:rPr>
          <w:rFonts w:ascii="宋体" w:hAnsi="宋体" w:eastAsia="宋体" w:cs="宋体"/>
          <w:color w:val="auto"/>
          <w:highlight w:val="none"/>
        </w:rPr>
      </w:pPr>
    </w:p>
    <w:p>
      <w:pPr>
        <w:adjustRightInd w:val="0"/>
        <w:snapToGrid w:val="0"/>
        <w:spacing w:line="360" w:lineRule="auto"/>
        <w:jc w:val="left"/>
        <w:rPr>
          <w:rFonts w:ascii="宋体" w:hAnsi="宋体" w:eastAsia="宋体" w:cs="宋体"/>
          <w:color w:val="auto"/>
          <w:highlight w:val="none"/>
        </w:rPr>
      </w:pPr>
    </w:p>
    <w:p>
      <w:pPr>
        <w:adjustRightInd w:val="0"/>
        <w:snapToGrid w:val="0"/>
        <w:spacing w:line="360" w:lineRule="auto"/>
        <w:jc w:val="left"/>
        <w:rPr>
          <w:rFonts w:ascii="宋体" w:hAnsi="宋体" w:eastAsia="宋体" w:cs="宋体"/>
          <w:color w:val="auto"/>
          <w:highlight w:val="none"/>
        </w:rPr>
      </w:pPr>
    </w:p>
    <w:p>
      <w:pPr>
        <w:widowControl/>
        <w:jc w:val="left"/>
        <w:rPr>
          <w:rFonts w:ascii="宋体" w:hAnsi="宋体" w:eastAsia="宋体" w:cs="宋体"/>
          <w:color w:val="auto"/>
          <w:kern w:val="0"/>
          <w:szCs w:val="21"/>
          <w:highlight w:val="none"/>
        </w:rPr>
      </w:pPr>
    </w:p>
    <w:p>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建设工程合同履约保证保险保险凭证</w:t>
      </w:r>
    </w:p>
    <w:p>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。我方已接受被保证人的请求，并出具《建设工程合同履约保证保险》保险单。   </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）履行相关义务，导致工期延误或服务质量不符合建设工程合同要求，给被保险人造成损失的，被保险人可向保险人提出索赔，保险人按照保险合同的约定承担损失赔偿责任。</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pPr>
        <w:numPr>
          <w:ilvl w:val="0"/>
          <w:numId w:val="2"/>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pPr>
        <w:widowControl/>
        <w:spacing w:line="360" w:lineRule="auto"/>
        <w:ind w:firstLine="420" w:firstLineChars="200"/>
        <w:jc w:val="left"/>
        <w:rPr>
          <w:rFonts w:ascii="宋体" w:hAnsi="宋体" w:eastAsia="宋体" w:cs="宋体"/>
          <w:color w:val="auto"/>
          <w:kern w:val="0"/>
          <w:szCs w:val="21"/>
          <w:highlight w:val="none"/>
        </w:rPr>
      </w:pPr>
    </w:p>
    <w:p>
      <w:pPr>
        <w:adjustRightInd w:val="0"/>
        <w:snapToGrid w:val="0"/>
        <w:spacing w:after="120"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XXX保险有限公司建设工程合同履约保证保险（X款）条款》及保单</w:t>
      </w:r>
    </w:p>
    <w:p>
      <w:pPr>
        <w:widowControl/>
        <w:spacing w:line="360" w:lineRule="auto"/>
        <w:ind w:firstLine="420" w:firstLineChars="200"/>
        <w:jc w:val="left"/>
        <w:rPr>
          <w:rFonts w:ascii="宋体" w:hAnsi="宋体" w:eastAsia="宋体" w:cs="宋体"/>
          <w:color w:val="auto"/>
          <w:kern w:val="0"/>
          <w:szCs w:val="21"/>
          <w:highlight w:val="none"/>
        </w:rPr>
      </w:pPr>
    </w:p>
    <w:p>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pPr>
        <w:widowControl/>
        <w:spacing w:line="360" w:lineRule="auto"/>
        <w:ind w:firstLine="5250" w:firstLineChars="25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pPr>
        <w:rPr>
          <w:rFonts w:ascii="宋体" w:hAnsi="宋体" w:eastAsia="宋体" w:cs="宋体"/>
          <w:color w:val="auto"/>
          <w:szCs w:val="21"/>
          <w:highlight w:val="none"/>
        </w:rPr>
      </w:pPr>
    </w:p>
    <w:p>
      <w:pPr>
        <w:adjustRightInd w:val="0"/>
        <w:snapToGrid w:val="0"/>
        <w:spacing w:line="360" w:lineRule="auto"/>
        <w:jc w:val="left"/>
        <w:rPr>
          <w:rFonts w:ascii="宋体" w:hAnsi="宋体" w:eastAsia="宋体" w:cs="宋体"/>
          <w:color w:val="auto"/>
          <w:highlight w:val="none"/>
        </w:rPr>
      </w:pPr>
    </w:p>
    <w:p>
      <w:pPr>
        <w:adjustRightInd w:val="0"/>
        <w:snapToGrid w:val="0"/>
        <w:spacing w:line="360" w:lineRule="auto"/>
        <w:jc w:val="left"/>
        <w:rPr>
          <w:rFonts w:ascii="宋体" w:hAnsi="宋体" w:eastAsia="宋体" w:cs="宋体"/>
          <w:color w:val="auto"/>
          <w:highlight w:val="none"/>
        </w:rPr>
      </w:pPr>
    </w:p>
    <w:p>
      <w:pPr>
        <w:adjustRightInd w:val="0"/>
        <w:snapToGrid w:val="0"/>
        <w:spacing w:line="360" w:lineRule="auto"/>
        <w:jc w:val="left"/>
        <w:rPr>
          <w:rFonts w:ascii="宋体" w:hAnsi="宋体" w:eastAsia="宋体" w:cs="宋体"/>
          <w:color w:val="auto"/>
          <w:highlight w:val="none"/>
        </w:rPr>
      </w:pPr>
    </w:p>
    <w:p>
      <w:pPr>
        <w:adjustRightInd w:val="0"/>
        <w:snapToGrid w:val="0"/>
        <w:spacing w:line="360" w:lineRule="auto"/>
        <w:jc w:val="left"/>
        <w:rPr>
          <w:rFonts w:ascii="宋体" w:hAnsi="宋体" w:eastAsia="宋体" w:cs="宋体"/>
          <w:color w:val="auto"/>
          <w:highlight w:val="none"/>
        </w:rPr>
      </w:pPr>
    </w:p>
    <w:p>
      <w:pPr>
        <w:adjustRightInd w:val="0"/>
        <w:snapToGrid w:val="0"/>
        <w:spacing w:line="360" w:lineRule="auto"/>
        <w:jc w:val="left"/>
        <w:rPr>
          <w:rFonts w:ascii="宋体" w:hAnsi="宋体" w:eastAsia="宋体" w:cs="宋体"/>
          <w:color w:val="auto"/>
          <w:highlight w:val="none"/>
        </w:rPr>
      </w:pPr>
    </w:p>
    <w:p>
      <w:pPr>
        <w:adjustRightInd w:val="0"/>
        <w:snapToGrid w:val="0"/>
        <w:spacing w:line="360" w:lineRule="auto"/>
        <w:jc w:val="left"/>
        <w:rPr>
          <w:rFonts w:ascii="宋体" w:hAnsi="宋体" w:eastAsia="宋体" w:cs="宋体"/>
          <w:color w:val="auto"/>
          <w:highlight w:val="none"/>
        </w:rPr>
      </w:pPr>
    </w:p>
    <w:p>
      <w:pPr>
        <w:adjustRightInd w:val="0"/>
        <w:snapToGrid w:val="0"/>
        <w:spacing w:line="360" w:lineRule="auto"/>
        <w:jc w:val="left"/>
        <w:rPr>
          <w:rFonts w:ascii="宋体" w:hAnsi="宋体" w:eastAsia="宋体" w:cs="宋体"/>
          <w:color w:val="auto"/>
          <w:highlight w:val="none"/>
        </w:rPr>
      </w:pPr>
    </w:p>
    <w:p>
      <w:pPr>
        <w:adjustRightInd w:val="0"/>
        <w:snapToGrid w:val="0"/>
        <w:spacing w:line="360" w:lineRule="auto"/>
        <w:jc w:val="left"/>
        <w:rPr>
          <w:rFonts w:ascii="宋体" w:hAnsi="宋体" w:eastAsia="宋体" w:cs="宋体"/>
          <w:color w:val="auto"/>
          <w:highlight w:val="none"/>
        </w:rPr>
      </w:pPr>
    </w:p>
    <w:p>
      <w:pPr>
        <w:adjustRightInd w:val="0"/>
        <w:snapToGrid w:val="0"/>
        <w:spacing w:line="360" w:lineRule="auto"/>
        <w:jc w:val="left"/>
        <w:rPr>
          <w:rFonts w:ascii="宋体" w:hAnsi="宋体" w:eastAsia="宋体" w:cs="宋体"/>
          <w:color w:val="auto"/>
          <w:highlight w:val="none"/>
        </w:rPr>
      </w:pPr>
    </w:p>
    <w:p>
      <w:pPr>
        <w:adjustRightInd w:val="0"/>
        <w:snapToGrid w:val="0"/>
        <w:spacing w:line="360" w:lineRule="auto"/>
        <w:jc w:val="left"/>
        <w:rPr>
          <w:rFonts w:ascii="宋体" w:hAnsi="宋体" w:eastAsia="宋体" w:cs="宋体"/>
          <w:color w:val="auto"/>
          <w:highlight w:val="none"/>
        </w:rPr>
      </w:pPr>
    </w:p>
    <w:bookmarkEnd w:id="55"/>
    <w:p>
      <w:pPr>
        <w:adjustRightInd w:val="0"/>
        <w:snapToGrid w:val="0"/>
        <w:spacing w:line="360" w:lineRule="auto"/>
        <w:jc w:val="center"/>
        <w:outlineLvl w:val="0"/>
        <w:rPr>
          <w:rFonts w:ascii="黑体" w:hAnsi="黑体" w:eastAsia="黑体" w:cs="黑体"/>
          <w:bCs/>
          <w:color w:val="auto"/>
          <w:kern w:val="0"/>
          <w:sz w:val="32"/>
          <w:szCs w:val="32"/>
          <w:highlight w:val="none"/>
        </w:rPr>
      </w:pPr>
      <w:bookmarkStart w:id="57" w:name="_Toc22487"/>
      <w:r>
        <w:rPr>
          <w:rFonts w:hint="eastAsia" w:ascii="黑体" w:hAnsi="黑体" w:eastAsia="黑体" w:cs="黑体"/>
          <w:bCs/>
          <w:color w:val="auto"/>
          <w:kern w:val="0"/>
          <w:sz w:val="32"/>
          <w:szCs w:val="32"/>
          <w:highlight w:val="none"/>
        </w:rPr>
        <w:t>第六章  合同条款</w:t>
      </w:r>
      <w:bookmarkEnd w:id="57"/>
    </w:p>
    <w:p>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合同条款</w:t>
      </w:r>
    </w:p>
    <w:p>
      <w:pPr>
        <w:rPr>
          <w:rFonts w:ascii="宋体" w:hAnsi="宋体" w:eastAsia="宋体" w:cs="宋体"/>
          <w:color w:val="auto"/>
          <w:highlight w:val="none"/>
        </w:rPr>
      </w:pPr>
      <w:r>
        <w:rPr>
          <w:rFonts w:hint="eastAsia" w:ascii="宋体" w:hAnsi="宋体" w:eastAsia="宋体" w:cs="宋体"/>
          <w:color w:val="auto"/>
          <w:highlight w:val="none"/>
        </w:rPr>
        <w:t>建议使用市造价管理部门发布的设计类合同示范范本</w:t>
      </w:r>
    </w:p>
    <w:p>
      <w:pPr>
        <w:rPr>
          <w:rFonts w:ascii="宋体" w:hAnsi="宋体" w:eastAsia="宋体" w:cs="宋体"/>
          <w:color w:val="auto"/>
          <w:highlight w:val="none"/>
        </w:rPr>
      </w:pPr>
    </w:p>
    <w:sectPr>
      <w:footerReference r:id="rId5" w:type="default"/>
      <w:pgSz w:w="11906" w:h="16838"/>
      <w:pgMar w:top="1134" w:right="1134" w:bottom="1134" w:left="1134" w:header="1247" w:footer="737" w:gutter="0"/>
      <w:cols w:space="720" w:num="1"/>
      <w:docGrid w:linePitch="380"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ˎ̥">
    <w:altName w:val="CESI仿宋-GB2312"/>
    <w:panose1 w:val="00000000000000000000"/>
    <w:charset w:val="00"/>
    <w:family w:val="roman"/>
    <w:pitch w:val="default"/>
    <w:sig w:usb0="00000000" w:usb1="00000000" w:usb2="00000000" w:usb3="00000000" w:csb0="00040001" w:csb1="00000000"/>
  </w:font>
  <w:font w:name="Microsoft YaHei UI">
    <w:panose1 w:val="020B0503020204020204"/>
    <w:charset w:val="86"/>
    <w:family w:val="swiss"/>
    <w:pitch w:val="default"/>
    <w:sig w:usb0="80000287" w:usb1="2ACF3C50" w:usb2="00000016" w:usb3="00000000" w:csb0="0004001F" w:csb1="00000000"/>
  </w:font>
  <w:font w:name="Wingdings 2">
    <w:altName w:val="Wingdings"/>
    <w:panose1 w:val="05020102010507070707"/>
    <w:charset w:val="02"/>
    <w:family w:val="roman"/>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1"/>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51"/>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pPr>
                          <w:r>
                            <w:fldChar w:fldCharType="begin"/>
                          </w:r>
                          <w:r>
                            <w:instrText xml:space="preserve">PAGE   \* MERGEFORMAT</w:instrText>
                          </w:r>
                          <w:r>
                            <w:fldChar w:fldCharType="separate"/>
                          </w:r>
                          <w:r>
                            <w:rPr>
                              <w:lang w:val="zh-CN"/>
                            </w:rPr>
                            <w:t>51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jc w:val="center"/>
                    </w:pPr>
                    <w:r>
                      <w:fldChar w:fldCharType="begin"/>
                    </w:r>
                    <w:r>
                      <w:instrText xml:space="preserve">PAGE   \* MERGEFORMAT</w:instrText>
                    </w:r>
                    <w:r>
                      <w:fldChar w:fldCharType="separate"/>
                    </w:r>
                    <w:r>
                      <w:rPr>
                        <w:lang w:val="zh-CN"/>
                      </w:rPr>
                      <w:t>51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[2]的具体要求源自《深圳市人民政府关于进一步规范建设工程招标投标活动的通知》(深府规〔2024〕8号)第三条。</w:t>
      </w:r>
    </w:p>
  </w:footnote>
  <w:footnote w:id="2">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[3]、[4]的具体要求源自《深圳市人民政府关于进一步规范建设工程招标投标活动的通知》(深府规〔2024〕8号)第四、七条。</w:t>
      </w:r>
    </w:p>
  </w:footnote>
  <w:footnote w:id="3">
    <w:p>
      <w:pPr>
        <w:pStyle w:val="62"/>
        <w:snapToGrid w:val="0"/>
      </w:pPr>
    </w:p>
  </w:footnote>
  <w:footnote w:id="4">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[5]的具体要求源自《深圳市住房和建设局关于进一步规范招标投标有关事宜的通知》（深建市场〔2022〕4号）第三条。</w:t>
      </w:r>
    </w:p>
    <w:p>
      <w:pPr>
        <w:pStyle w:val="62"/>
        <w:snapToGrid w:val="0"/>
      </w:pPr>
    </w:p>
  </w:footnote>
  <w:footnote w:id="5">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[6]-[9]的具体要求源自《深圳市人民政府关于进一步规范建设工程招标投标活动的通知》(深</w:t>
      </w:r>
    </w:p>
  </w:footnote>
  <w:footnote w:id="6">
    <w:p>
      <w:pPr>
        <w:adjustRightInd w:val="0"/>
        <w:snapToGrid w:val="0"/>
      </w:pPr>
      <w:r>
        <w:rPr>
          <w:rFonts w:hint="eastAsia" w:ascii="宋体" w:hAnsi="宋体" w:eastAsia="宋体" w:cs="宋体"/>
          <w:color w:val="000000" w:themeColor="text1"/>
          <w:szCs w:val="21"/>
          <w:lang w:val="en-US" w:eastAsia="zh-CN"/>
          <w14:textFill>
            <w14:solidFill>
              <w14:schemeClr w14:val="tx1"/>
            </w14:solidFill>
          </w14:textFill>
        </w:rPr>
        <w:t>府规〔2024〕8号)第五、七、九条以及《深圳市人民政府印发关于建设工程招标投标改革若干规定</w:t>
      </w:r>
    </w:p>
  </w:footnote>
  <w:footnote w:id="7">
    <w:p>
      <w:pPr>
        <w:adjustRightInd w:val="0"/>
        <w:snapToGrid w:val="0"/>
        <w:ind w:firstLine="0"/>
      </w:pPr>
      <w:r>
        <w:rPr>
          <w:rFonts w:hint="eastAsia" w:ascii="宋体" w:hAnsi="宋体" w:eastAsia="宋体" w:cs="宋体"/>
          <w:color w:val="000000" w:themeColor="text1"/>
          <w:szCs w:val="21"/>
          <w:lang w:val="en-US" w:eastAsia="zh-CN"/>
          <w14:textFill>
            <w14:solidFill>
              <w14:schemeClr w14:val="tx1"/>
            </w14:solidFill>
          </w14:textFill>
        </w:rPr>
        <w:t>的通知》（深府〔2015〕73号）第四十七条。</w:t>
      </w:r>
    </w:p>
  </w:footnote>
  <w:footnote w:id="8">
    <w:p>
      <w:pPr>
        <w:pStyle w:val="62"/>
        <w:snapToGrid w:val="0"/>
        <w:rPr>
          <w:rFonts w:hint="default" w:eastAsia="宋体"/>
          <w:lang w:val="en-US" w:eastAsia="zh-C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E2DB9B4"/>
    <w:multiLevelType w:val="singleLevel"/>
    <w:tmpl w:val="EE2DB9B4"/>
    <w:lvl w:ilvl="0" w:tentative="0">
      <w:start w:val="4"/>
      <w:numFmt w:val="chineseCounting"/>
      <w:suff w:val="nothing"/>
      <w:lvlText w:val="%1、"/>
      <w:lvlJc w:val="left"/>
      <w:rPr>
        <w:rFonts w:hint="eastAsia"/>
      </w:rPr>
    </w:lvl>
  </w:abstractNum>
  <w:abstractNum w:abstractNumId="1">
    <w:nsid w:val="7D22672B"/>
    <w:multiLevelType w:val="multilevel"/>
    <w:tmpl w:val="7D22672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8f15e836-4dd9-4c90-8f71-4af0bc10ab1a"/>
  </w:docVars>
  <w:rsids>
    <w:rsidRoot w:val="0098207A"/>
    <w:rsid w:val="00005A05"/>
    <w:rsid w:val="000C2473"/>
    <w:rsid w:val="001B4F00"/>
    <w:rsid w:val="00214E57"/>
    <w:rsid w:val="00237ABD"/>
    <w:rsid w:val="002D0A40"/>
    <w:rsid w:val="00381040"/>
    <w:rsid w:val="00381D52"/>
    <w:rsid w:val="0039320D"/>
    <w:rsid w:val="003B07B5"/>
    <w:rsid w:val="00541338"/>
    <w:rsid w:val="005449F8"/>
    <w:rsid w:val="005651E2"/>
    <w:rsid w:val="00572956"/>
    <w:rsid w:val="00692E0C"/>
    <w:rsid w:val="006F2488"/>
    <w:rsid w:val="00704669"/>
    <w:rsid w:val="0094576B"/>
    <w:rsid w:val="00972F90"/>
    <w:rsid w:val="0098207A"/>
    <w:rsid w:val="00A51EB6"/>
    <w:rsid w:val="00A53C5C"/>
    <w:rsid w:val="00B94C65"/>
    <w:rsid w:val="00BB4731"/>
    <w:rsid w:val="00BE78E7"/>
    <w:rsid w:val="00C55466"/>
    <w:rsid w:val="00C6526C"/>
    <w:rsid w:val="00D16EBA"/>
    <w:rsid w:val="00D430D7"/>
    <w:rsid w:val="00DB7DD4"/>
    <w:rsid w:val="00DF3DD2"/>
    <w:rsid w:val="00DF73EB"/>
    <w:rsid w:val="00E1509A"/>
    <w:rsid w:val="00FF2678"/>
    <w:rsid w:val="010F3077"/>
    <w:rsid w:val="01222861"/>
    <w:rsid w:val="02543FEB"/>
    <w:rsid w:val="02AF7938"/>
    <w:rsid w:val="03404F08"/>
    <w:rsid w:val="03707562"/>
    <w:rsid w:val="03C12816"/>
    <w:rsid w:val="03D92499"/>
    <w:rsid w:val="03F3062D"/>
    <w:rsid w:val="03FD622B"/>
    <w:rsid w:val="04365740"/>
    <w:rsid w:val="04396E37"/>
    <w:rsid w:val="05124BCF"/>
    <w:rsid w:val="053053C9"/>
    <w:rsid w:val="058D598A"/>
    <w:rsid w:val="05975A9E"/>
    <w:rsid w:val="061340E1"/>
    <w:rsid w:val="069E7F76"/>
    <w:rsid w:val="06F15AA5"/>
    <w:rsid w:val="07757E6F"/>
    <w:rsid w:val="07CA0FD6"/>
    <w:rsid w:val="07E913A4"/>
    <w:rsid w:val="08135F56"/>
    <w:rsid w:val="08157702"/>
    <w:rsid w:val="08640511"/>
    <w:rsid w:val="08AD0891"/>
    <w:rsid w:val="08EB573C"/>
    <w:rsid w:val="09C54A03"/>
    <w:rsid w:val="0A735912"/>
    <w:rsid w:val="0BBD7762"/>
    <w:rsid w:val="0C225C38"/>
    <w:rsid w:val="0C746ABD"/>
    <w:rsid w:val="0C8B47F1"/>
    <w:rsid w:val="0CB115FB"/>
    <w:rsid w:val="0D4F4494"/>
    <w:rsid w:val="0D7B0878"/>
    <w:rsid w:val="0DDB4634"/>
    <w:rsid w:val="0DE6032D"/>
    <w:rsid w:val="0E75798A"/>
    <w:rsid w:val="0EC50E83"/>
    <w:rsid w:val="0F8B76DD"/>
    <w:rsid w:val="103C57C3"/>
    <w:rsid w:val="10746173"/>
    <w:rsid w:val="10C10A36"/>
    <w:rsid w:val="11025031"/>
    <w:rsid w:val="114F4368"/>
    <w:rsid w:val="125C0BBE"/>
    <w:rsid w:val="12773E40"/>
    <w:rsid w:val="12C578FE"/>
    <w:rsid w:val="130C6447"/>
    <w:rsid w:val="135037BF"/>
    <w:rsid w:val="141911AF"/>
    <w:rsid w:val="14B56429"/>
    <w:rsid w:val="14B57F9C"/>
    <w:rsid w:val="14FB27C8"/>
    <w:rsid w:val="158617B7"/>
    <w:rsid w:val="168439A7"/>
    <w:rsid w:val="169C4738"/>
    <w:rsid w:val="17321D9C"/>
    <w:rsid w:val="179D4832"/>
    <w:rsid w:val="181576A6"/>
    <w:rsid w:val="188624F1"/>
    <w:rsid w:val="18F964D4"/>
    <w:rsid w:val="18FE10DA"/>
    <w:rsid w:val="1A4563DB"/>
    <w:rsid w:val="1A491EAB"/>
    <w:rsid w:val="1AEE3B12"/>
    <w:rsid w:val="1AF5167A"/>
    <w:rsid w:val="1AF924BF"/>
    <w:rsid w:val="1B167F68"/>
    <w:rsid w:val="1B910D1B"/>
    <w:rsid w:val="1BAF6202"/>
    <w:rsid w:val="1C375572"/>
    <w:rsid w:val="1C771675"/>
    <w:rsid w:val="1C8A4F21"/>
    <w:rsid w:val="1C956884"/>
    <w:rsid w:val="1D220C6C"/>
    <w:rsid w:val="1DED2110"/>
    <w:rsid w:val="1DF75C3F"/>
    <w:rsid w:val="1EC26A69"/>
    <w:rsid w:val="1EE3319B"/>
    <w:rsid w:val="1F3212A3"/>
    <w:rsid w:val="1F4153C3"/>
    <w:rsid w:val="1FA31B8D"/>
    <w:rsid w:val="201F3622"/>
    <w:rsid w:val="20BB0CC8"/>
    <w:rsid w:val="22992700"/>
    <w:rsid w:val="231B6256"/>
    <w:rsid w:val="232C1B98"/>
    <w:rsid w:val="24160C67"/>
    <w:rsid w:val="242D7165"/>
    <w:rsid w:val="2439646A"/>
    <w:rsid w:val="245D5881"/>
    <w:rsid w:val="24FF672F"/>
    <w:rsid w:val="2530555E"/>
    <w:rsid w:val="2583059B"/>
    <w:rsid w:val="25872642"/>
    <w:rsid w:val="25970AA1"/>
    <w:rsid w:val="25AE4D6D"/>
    <w:rsid w:val="260475EE"/>
    <w:rsid w:val="263727CB"/>
    <w:rsid w:val="266F111A"/>
    <w:rsid w:val="26DD4C43"/>
    <w:rsid w:val="272522C5"/>
    <w:rsid w:val="278F5083"/>
    <w:rsid w:val="279C55DC"/>
    <w:rsid w:val="27E35050"/>
    <w:rsid w:val="28BE7803"/>
    <w:rsid w:val="28F21191"/>
    <w:rsid w:val="2A051DC6"/>
    <w:rsid w:val="2AC83A6C"/>
    <w:rsid w:val="2B927F41"/>
    <w:rsid w:val="2C2220D9"/>
    <w:rsid w:val="2C9E3311"/>
    <w:rsid w:val="2CFD7A89"/>
    <w:rsid w:val="2CFF2826"/>
    <w:rsid w:val="2D005D7F"/>
    <w:rsid w:val="2D191D8E"/>
    <w:rsid w:val="2D3C55BF"/>
    <w:rsid w:val="2D5219A3"/>
    <w:rsid w:val="2D956228"/>
    <w:rsid w:val="2DA51213"/>
    <w:rsid w:val="2DC55467"/>
    <w:rsid w:val="2E61338C"/>
    <w:rsid w:val="2EBF6305"/>
    <w:rsid w:val="2F2517AF"/>
    <w:rsid w:val="2F6F7D2B"/>
    <w:rsid w:val="2F834FA7"/>
    <w:rsid w:val="2FB57C11"/>
    <w:rsid w:val="30127E9C"/>
    <w:rsid w:val="303946BB"/>
    <w:rsid w:val="3058256D"/>
    <w:rsid w:val="31004A9C"/>
    <w:rsid w:val="319B716C"/>
    <w:rsid w:val="31B42E39"/>
    <w:rsid w:val="31C53C32"/>
    <w:rsid w:val="32134DD5"/>
    <w:rsid w:val="32384F3D"/>
    <w:rsid w:val="326276D3"/>
    <w:rsid w:val="329B2BE5"/>
    <w:rsid w:val="32FC004E"/>
    <w:rsid w:val="333F5C66"/>
    <w:rsid w:val="343B01DB"/>
    <w:rsid w:val="344829B6"/>
    <w:rsid w:val="351D3D85"/>
    <w:rsid w:val="352841D7"/>
    <w:rsid w:val="353E4554"/>
    <w:rsid w:val="35B75B3B"/>
    <w:rsid w:val="35BE6D1C"/>
    <w:rsid w:val="36353E74"/>
    <w:rsid w:val="369D743C"/>
    <w:rsid w:val="36AD7C62"/>
    <w:rsid w:val="36DF7544"/>
    <w:rsid w:val="37414E2F"/>
    <w:rsid w:val="376702E5"/>
    <w:rsid w:val="37D77A1D"/>
    <w:rsid w:val="37F667FF"/>
    <w:rsid w:val="383626D9"/>
    <w:rsid w:val="38591578"/>
    <w:rsid w:val="38B8397F"/>
    <w:rsid w:val="39643D30"/>
    <w:rsid w:val="3A06498E"/>
    <w:rsid w:val="3A4A72A1"/>
    <w:rsid w:val="3ACE2A23"/>
    <w:rsid w:val="3B6062C9"/>
    <w:rsid w:val="3B770BFA"/>
    <w:rsid w:val="3BA02E0F"/>
    <w:rsid w:val="3BBE66E6"/>
    <w:rsid w:val="3BD96CCB"/>
    <w:rsid w:val="3C3635D6"/>
    <w:rsid w:val="3C371BB9"/>
    <w:rsid w:val="3C924665"/>
    <w:rsid w:val="3CD605BB"/>
    <w:rsid w:val="3CEF0D5F"/>
    <w:rsid w:val="3D74475E"/>
    <w:rsid w:val="3E120395"/>
    <w:rsid w:val="3E580094"/>
    <w:rsid w:val="3EBE557F"/>
    <w:rsid w:val="3F340649"/>
    <w:rsid w:val="3F8D4ADB"/>
    <w:rsid w:val="40140D3D"/>
    <w:rsid w:val="402402A1"/>
    <w:rsid w:val="40913795"/>
    <w:rsid w:val="40DB253A"/>
    <w:rsid w:val="412C6752"/>
    <w:rsid w:val="41526B64"/>
    <w:rsid w:val="41696CCA"/>
    <w:rsid w:val="41935B65"/>
    <w:rsid w:val="41BD2160"/>
    <w:rsid w:val="420B3BE6"/>
    <w:rsid w:val="42916A0C"/>
    <w:rsid w:val="43397FDC"/>
    <w:rsid w:val="43A21097"/>
    <w:rsid w:val="43DC3C38"/>
    <w:rsid w:val="43EC5437"/>
    <w:rsid w:val="44001CCE"/>
    <w:rsid w:val="443D74B5"/>
    <w:rsid w:val="44D258DF"/>
    <w:rsid w:val="451C45C0"/>
    <w:rsid w:val="45516B00"/>
    <w:rsid w:val="466D0097"/>
    <w:rsid w:val="46937505"/>
    <w:rsid w:val="46F72688"/>
    <w:rsid w:val="472B2756"/>
    <w:rsid w:val="474F00CC"/>
    <w:rsid w:val="478A7399"/>
    <w:rsid w:val="47936940"/>
    <w:rsid w:val="48270124"/>
    <w:rsid w:val="48B63D3D"/>
    <w:rsid w:val="48C1255C"/>
    <w:rsid w:val="48FA645F"/>
    <w:rsid w:val="494119E7"/>
    <w:rsid w:val="498B3C53"/>
    <w:rsid w:val="49D778EB"/>
    <w:rsid w:val="49E8778F"/>
    <w:rsid w:val="4A1D59B7"/>
    <w:rsid w:val="4A201D24"/>
    <w:rsid w:val="4AE22D26"/>
    <w:rsid w:val="4AF52893"/>
    <w:rsid w:val="4BDA36E3"/>
    <w:rsid w:val="4BDD5D96"/>
    <w:rsid w:val="4BFF2922"/>
    <w:rsid w:val="4C1A768C"/>
    <w:rsid w:val="4CDB3A16"/>
    <w:rsid w:val="4D2239F2"/>
    <w:rsid w:val="4DBF5582"/>
    <w:rsid w:val="4DEA4606"/>
    <w:rsid w:val="4FC74093"/>
    <w:rsid w:val="4FDF6815"/>
    <w:rsid w:val="4FF96A83"/>
    <w:rsid w:val="5101651E"/>
    <w:rsid w:val="51033507"/>
    <w:rsid w:val="51411532"/>
    <w:rsid w:val="52841DA5"/>
    <w:rsid w:val="52C050B6"/>
    <w:rsid w:val="53395710"/>
    <w:rsid w:val="53D778F9"/>
    <w:rsid w:val="54B24E99"/>
    <w:rsid w:val="5526344E"/>
    <w:rsid w:val="556644E4"/>
    <w:rsid w:val="55F34C3B"/>
    <w:rsid w:val="571E5A0F"/>
    <w:rsid w:val="57280663"/>
    <w:rsid w:val="574169AF"/>
    <w:rsid w:val="57BE2BBD"/>
    <w:rsid w:val="57E2278D"/>
    <w:rsid w:val="584D5A13"/>
    <w:rsid w:val="584D65AC"/>
    <w:rsid w:val="58692CBA"/>
    <w:rsid w:val="58B1683E"/>
    <w:rsid w:val="58E93DFA"/>
    <w:rsid w:val="59343F90"/>
    <w:rsid w:val="594E0C6A"/>
    <w:rsid w:val="598C1AAD"/>
    <w:rsid w:val="59D979CB"/>
    <w:rsid w:val="59F9006D"/>
    <w:rsid w:val="5A515808"/>
    <w:rsid w:val="5AA14FF6"/>
    <w:rsid w:val="5AD71C6E"/>
    <w:rsid w:val="5BED1FB7"/>
    <w:rsid w:val="5CC33BB7"/>
    <w:rsid w:val="5D054B36"/>
    <w:rsid w:val="5D082B9D"/>
    <w:rsid w:val="5D64571D"/>
    <w:rsid w:val="5DB36498"/>
    <w:rsid w:val="5E3B40ED"/>
    <w:rsid w:val="5E44663D"/>
    <w:rsid w:val="5EF955F9"/>
    <w:rsid w:val="5FEF25ED"/>
    <w:rsid w:val="606B7FFC"/>
    <w:rsid w:val="60760363"/>
    <w:rsid w:val="61253896"/>
    <w:rsid w:val="61CE2791"/>
    <w:rsid w:val="62612827"/>
    <w:rsid w:val="62974EEF"/>
    <w:rsid w:val="62AA2E12"/>
    <w:rsid w:val="62D36341"/>
    <w:rsid w:val="62E3549F"/>
    <w:rsid w:val="63F078A7"/>
    <w:rsid w:val="63F607E7"/>
    <w:rsid w:val="640658F6"/>
    <w:rsid w:val="645A795A"/>
    <w:rsid w:val="64892981"/>
    <w:rsid w:val="64C574CA"/>
    <w:rsid w:val="65037395"/>
    <w:rsid w:val="655E5E3C"/>
    <w:rsid w:val="656016CE"/>
    <w:rsid w:val="65DC4ACB"/>
    <w:rsid w:val="66106E6A"/>
    <w:rsid w:val="663A6E09"/>
    <w:rsid w:val="66D84A61"/>
    <w:rsid w:val="66F14244"/>
    <w:rsid w:val="6746316E"/>
    <w:rsid w:val="6856228A"/>
    <w:rsid w:val="68B71BEF"/>
    <w:rsid w:val="68F30C8A"/>
    <w:rsid w:val="695D2339"/>
    <w:rsid w:val="69BA4EFE"/>
    <w:rsid w:val="6A576E16"/>
    <w:rsid w:val="6A61388B"/>
    <w:rsid w:val="6A6752A6"/>
    <w:rsid w:val="6B79220F"/>
    <w:rsid w:val="6BC24763"/>
    <w:rsid w:val="6BEB70C0"/>
    <w:rsid w:val="6C0C0C87"/>
    <w:rsid w:val="6C6A18D0"/>
    <w:rsid w:val="6CBB26FA"/>
    <w:rsid w:val="6D8002F0"/>
    <w:rsid w:val="6D87118A"/>
    <w:rsid w:val="6DF02D94"/>
    <w:rsid w:val="6EBE56B6"/>
    <w:rsid w:val="6F7E73B3"/>
    <w:rsid w:val="6FBD1AF1"/>
    <w:rsid w:val="70CA3F61"/>
    <w:rsid w:val="713D49A0"/>
    <w:rsid w:val="718524BB"/>
    <w:rsid w:val="71D376CA"/>
    <w:rsid w:val="71E61E59"/>
    <w:rsid w:val="72485261"/>
    <w:rsid w:val="72705C86"/>
    <w:rsid w:val="7279700A"/>
    <w:rsid w:val="72B648F6"/>
    <w:rsid w:val="730E4A24"/>
    <w:rsid w:val="731D700F"/>
    <w:rsid w:val="737D2D45"/>
    <w:rsid w:val="73AA26AC"/>
    <w:rsid w:val="73DB73CE"/>
    <w:rsid w:val="74014CFD"/>
    <w:rsid w:val="741E53A2"/>
    <w:rsid w:val="74984C54"/>
    <w:rsid w:val="74A0585D"/>
    <w:rsid w:val="7563761F"/>
    <w:rsid w:val="75BD6F05"/>
    <w:rsid w:val="75CB7F75"/>
    <w:rsid w:val="763C648B"/>
    <w:rsid w:val="764F4E7B"/>
    <w:rsid w:val="7669667B"/>
    <w:rsid w:val="76C71663"/>
    <w:rsid w:val="76C9109B"/>
    <w:rsid w:val="7718691C"/>
    <w:rsid w:val="774562F7"/>
    <w:rsid w:val="779F2461"/>
    <w:rsid w:val="77D655FF"/>
    <w:rsid w:val="78276081"/>
    <w:rsid w:val="78652BF2"/>
    <w:rsid w:val="786F477A"/>
    <w:rsid w:val="78E56468"/>
    <w:rsid w:val="790C526F"/>
    <w:rsid w:val="797265B2"/>
    <w:rsid w:val="797A667D"/>
    <w:rsid w:val="79B20162"/>
    <w:rsid w:val="79F07CD6"/>
    <w:rsid w:val="79F707C4"/>
    <w:rsid w:val="7A8A11D0"/>
    <w:rsid w:val="7AA30990"/>
    <w:rsid w:val="7AAF70E6"/>
    <w:rsid w:val="7B6B1515"/>
    <w:rsid w:val="7CA4332E"/>
    <w:rsid w:val="7CE6267C"/>
    <w:rsid w:val="7CF40F8E"/>
    <w:rsid w:val="7D231DD8"/>
    <w:rsid w:val="7D787D79"/>
    <w:rsid w:val="7D7E21E3"/>
    <w:rsid w:val="7E2265CE"/>
    <w:rsid w:val="7E9677CA"/>
    <w:rsid w:val="7F09560F"/>
    <w:rsid w:val="7F497728"/>
    <w:rsid w:val="7F756EE0"/>
    <w:rsid w:val="7FFFB999"/>
    <w:rsid w:val="DF5A4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qFormat="1" w:uiPriority="0" w:semiHidden="0" w:name="annotation text"/>
    <w:lsdException w:qFormat="1" w:uiPriority="0" w:semiHidden="0" w:name="header"/>
    <w:lsdException w:qFormat="1" w:uiPriority="0" w:semiHidden="0" w:name="footer"/>
    <w:lsdException w:qFormat="1" w:unhideWhenUsed="0" w:uiPriority="0" w:name="index heading"/>
    <w:lsdException w:qFormat="1" w:uiPriority="35" w:name="caption"/>
    <w:lsdException w:qFormat="1" w:unhideWhenUsed="0" w:uiPriority="0" w:name="table of figures"/>
    <w:lsdException w:qFormat="1" w:unhideWhenUsed="0" w:uiPriority="0" w:name="envelope address"/>
    <w:lsdException w:qFormat="1" w:unhideWhenUsed="0" w:uiPriority="0" w:name="envelope return"/>
    <w:lsdException w:qFormat="1" w:unhideWhenUsed="0" w:uiPriority="0" w:name="footnote reference"/>
    <w:lsdException w:qFormat="1" w:unhideWhenUsed="0" w:uiPriority="0" w:name="annotation reference"/>
    <w:lsdException w:qFormat="1" w:unhideWhenUsed="0" w:uiPriority="0" w:name="line number"/>
    <w:lsdException w:uiPriority="99" w:name="page number"/>
    <w:lsdException w:qFormat="1" w:unhideWhenUsed="0" w:uiPriority="0" w:name="endnote reference"/>
    <w:lsdException w:qFormat="1" w:unhideWhenUsed="0" w:uiPriority="0" w:name="endnote text"/>
    <w:lsdException w:uiPriority="99" w:name="table of authorities"/>
    <w:lsdException w:uiPriority="99" w:name="macro"/>
    <w:lsdException w:qFormat="1" w:unhideWhenUsed="0" w:uiPriority="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10" w:semiHidden="0" w:name="Title"/>
    <w:lsdException w:qFormat="1" w:unhideWhenUsed="0" w:uiPriority="0" w:name="Closing"/>
    <w:lsdException w:qFormat="1" w:unhideWhenUsed="0" w:uiPriority="0" w:name="Signature"/>
    <w:lsdException w:qFormat="1" w:uiPriority="1" w:name="Default Paragraph Font"/>
    <w:lsdException w:qFormat="1" w:uiPriority="99" w:name="Body Text"/>
    <w:lsdException w:qFormat="1" w:uiPriority="99"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11" w:semiHidden="0" w:name="Subtitle"/>
    <w:lsdException w:qFormat="1" w:unhideWhenUsed="0" w:uiPriority="0" w:name="Salutation"/>
    <w:lsdException w:qFormat="1" w:uiPriority="0" w:name="Date"/>
    <w:lsdException w:qFormat="1" w:unhideWhenUsed="0" w:uiPriority="0" w:name="Body Text First Indent"/>
    <w:lsdException w:qFormat="1" w:unhideWhenUsed="0" w:uiPriority="0" w:name="Body Text First Indent 2"/>
    <w:lsdException w:qFormat="1" w:unhideWhenUsed="0" w:uiPriority="0" w:name="Note Heading"/>
    <w:lsdException w:uiPriority="99" w:name="Body Text 2"/>
    <w:lsdException w:qFormat="1" w:unhideWhenUsed="0" w:uiPriority="0" w:name="Body Text 3"/>
    <w:lsdException w:qFormat="1" w:unhideWhenUsed="0" w:uiPriority="0" w:name="Body Text Indent 2"/>
    <w:lsdException w:uiPriority="99" w:name="Body Text Indent 3"/>
    <w:lsdException w:qFormat="1" w:unhideWhenUsed="0" w:uiPriority="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iPriority="0" w:semiHidden="0" w:name="Plain Text"/>
    <w:lsdException w:qFormat="1" w:unhideWhenUsed="0" w:uiPriority="0" w:name="E-mail Signature"/>
    <w:lsdException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nhideWhenUsed="0" w:uiPriority="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qFormat="1"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nhideWhenUsed="0" w:uiPriority="0" w:name="Balloon Text"/>
    <w:lsdException w:qFormat="1" w:unhideWhenUsed="0" w:uiPriority="0" w:semiHidden="0" w:name="Table Grid"/>
    <w:lsdException w:qFormat="1" w:unhideWhenUsed="0"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40"/>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41"/>
    <w:qFormat/>
    <w:uiPriority w:val="0"/>
    <w:pPr>
      <w:keepNext/>
      <w:keepLines/>
      <w:spacing w:before="260" w:after="260" w:line="416" w:lineRule="auto"/>
      <w:ind w:left="720" w:hanging="432"/>
      <w:outlineLvl w:val="2"/>
    </w:pPr>
    <w:rPr>
      <w:b/>
      <w:bCs/>
      <w:sz w:val="32"/>
      <w:szCs w:val="32"/>
    </w:rPr>
  </w:style>
  <w:style w:type="paragraph" w:styleId="5">
    <w:name w:val="heading 4"/>
    <w:basedOn w:val="1"/>
    <w:next w:val="1"/>
    <w:link w:val="142"/>
    <w:qFormat/>
    <w:uiPriority w:val="0"/>
    <w:pPr>
      <w:keepNext/>
      <w:keepLines/>
      <w:spacing w:before="280" w:after="290" w:line="376" w:lineRule="auto"/>
      <w:ind w:left="864" w:hanging="144"/>
      <w:outlineLvl w:val="3"/>
    </w:pPr>
    <w:rPr>
      <w:rFonts w:asciiTheme="majorHAnsi" w:hAnsiTheme="majorHAnsi" w:eastAsiaTheme="majorEastAsia" w:cstheme="majorBidi"/>
      <w:b/>
      <w:bCs/>
      <w:sz w:val="28"/>
      <w:szCs w:val="28"/>
    </w:rPr>
  </w:style>
  <w:style w:type="paragraph" w:styleId="6">
    <w:name w:val="heading 5"/>
    <w:basedOn w:val="1"/>
    <w:next w:val="1"/>
    <w:link w:val="143"/>
    <w:qFormat/>
    <w:uiPriority w:val="0"/>
    <w:pPr>
      <w:keepNext/>
      <w:keepLines/>
      <w:spacing w:before="280" w:after="290" w:line="376" w:lineRule="auto"/>
      <w:ind w:left="1008" w:hanging="432"/>
      <w:outlineLvl w:val="4"/>
    </w:pPr>
    <w:rPr>
      <w:b/>
      <w:bCs/>
      <w:sz w:val="28"/>
      <w:szCs w:val="28"/>
    </w:rPr>
  </w:style>
  <w:style w:type="paragraph" w:styleId="7">
    <w:name w:val="heading 6"/>
    <w:basedOn w:val="1"/>
    <w:next w:val="1"/>
    <w:link w:val="144"/>
    <w:qFormat/>
    <w:uiPriority w:val="0"/>
    <w:pPr>
      <w:keepNext/>
      <w:keepLines/>
      <w:spacing w:before="240" w:after="64" w:line="320" w:lineRule="auto"/>
      <w:ind w:left="1152" w:hanging="432"/>
      <w:outlineLvl w:val="5"/>
    </w:pPr>
    <w:rPr>
      <w:rFonts w:asciiTheme="majorHAnsi" w:hAnsiTheme="majorHAnsi" w:eastAsiaTheme="majorEastAsia" w:cstheme="majorBidi"/>
      <w:b/>
      <w:bCs/>
      <w:sz w:val="24"/>
      <w:szCs w:val="24"/>
    </w:rPr>
  </w:style>
  <w:style w:type="paragraph" w:styleId="8">
    <w:name w:val="heading 7"/>
    <w:basedOn w:val="1"/>
    <w:next w:val="1"/>
    <w:link w:val="145"/>
    <w:qFormat/>
    <w:uiPriority w:val="0"/>
    <w:pPr>
      <w:keepNext/>
      <w:keepLines/>
      <w:spacing w:before="240" w:after="64" w:line="320" w:lineRule="auto"/>
      <w:ind w:left="1296" w:hanging="288"/>
      <w:outlineLvl w:val="6"/>
    </w:pPr>
    <w:rPr>
      <w:b/>
      <w:bCs/>
      <w:sz w:val="24"/>
      <w:szCs w:val="24"/>
    </w:rPr>
  </w:style>
  <w:style w:type="paragraph" w:styleId="9">
    <w:name w:val="heading 8"/>
    <w:basedOn w:val="1"/>
    <w:next w:val="1"/>
    <w:link w:val="146"/>
    <w:qFormat/>
    <w:uiPriority w:val="0"/>
    <w:pPr>
      <w:keepNext/>
      <w:keepLines/>
      <w:spacing w:before="240" w:after="64" w:line="320" w:lineRule="auto"/>
      <w:ind w:left="1440" w:hanging="432"/>
      <w:outlineLvl w:val="7"/>
    </w:pPr>
    <w:rPr>
      <w:rFonts w:asciiTheme="majorHAnsi" w:hAnsiTheme="majorHAnsi" w:eastAsiaTheme="majorEastAsia" w:cstheme="majorBidi"/>
      <w:sz w:val="24"/>
      <w:szCs w:val="24"/>
    </w:rPr>
  </w:style>
  <w:style w:type="paragraph" w:styleId="10">
    <w:name w:val="heading 9"/>
    <w:basedOn w:val="1"/>
    <w:next w:val="1"/>
    <w:link w:val="147"/>
    <w:qFormat/>
    <w:uiPriority w:val="0"/>
    <w:pPr>
      <w:keepNext/>
      <w:keepLines/>
      <w:spacing w:before="240" w:after="64" w:line="320" w:lineRule="auto"/>
      <w:ind w:left="1584" w:hanging="144"/>
      <w:outlineLvl w:val="8"/>
    </w:pPr>
    <w:rPr>
      <w:rFonts w:asciiTheme="majorHAnsi" w:hAnsiTheme="majorHAnsi" w:eastAsiaTheme="majorEastAsia" w:cstheme="majorBidi"/>
      <w:szCs w:val="21"/>
    </w:rPr>
  </w:style>
  <w:style w:type="character" w:default="1" w:styleId="124">
    <w:name w:val="Default Paragraph Font"/>
    <w:semiHidden/>
    <w:unhideWhenUsed/>
    <w:qFormat/>
    <w:uiPriority w:val="1"/>
  </w:style>
  <w:style w:type="table" w:default="1" w:styleId="79">
    <w:name w:val="Normal Table"/>
    <w:semiHidden/>
    <w:unhideWhenUsed/>
    <w:qFormat/>
    <w:uiPriority w:val="99"/>
    <w:tblPr>
      <w:tblLayout w:type="fixed"/>
      <w:tblCellMar>
        <w:top w:w="0" w:type="dxa"/>
        <w:left w:w="108" w:type="dxa"/>
        <w:bottom w:w="0" w:type="dxa"/>
        <w:right w:w="108" w:type="dxa"/>
      </w:tblCellMar>
    </w:tblPr>
  </w:style>
  <w:style w:type="paragraph" w:styleId="11">
    <w:name w:val="List 3"/>
    <w:basedOn w:val="1"/>
    <w:semiHidden/>
    <w:qFormat/>
    <w:uiPriority w:val="0"/>
    <w:pPr>
      <w:ind w:left="100" w:leftChars="400" w:hanging="200" w:hangingChars="200"/>
    </w:pPr>
    <w:rPr>
      <w:rFonts w:ascii="Times New Roman" w:hAnsi="Times New Roman" w:eastAsia="宋体" w:cs="Times New Roman"/>
      <w:szCs w:val="24"/>
    </w:rPr>
  </w:style>
  <w:style w:type="paragraph" w:styleId="12">
    <w:name w:val="toc 7"/>
    <w:basedOn w:val="1"/>
    <w:next w:val="1"/>
    <w:semiHidden/>
    <w:qFormat/>
    <w:uiPriority w:val="0"/>
    <w:pPr>
      <w:ind w:left="1260"/>
      <w:jc w:val="left"/>
    </w:pPr>
    <w:rPr>
      <w:rFonts w:ascii="Times New Roman" w:hAnsi="Times New Roman" w:eastAsia="宋体" w:cs="Times New Roman"/>
      <w:sz w:val="18"/>
      <w:szCs w:val="18"/>
    </w:rPr>
  </w:style>
  <w:style w:type="paragraph" w:styleId="13">
    <w:name w:val="List Number 2"/>
    <w:basedOn w:val="1"/>
    <w:semiHidden/>
    <w:qFormat/>
    <w:uiPriority w:val="0"/>
    <w:pPr>
      <w:tabs>
        <w:tab w:val="left" w:pos="780"/>
      </w:tabs>
      <w:ind w:left="780" w:hanging="360"/>
    </w:pPr>
    <w:rPr>
      <w:rFonts w:ascii="Times New Roman" w:hAnsi="Times New Roman" w:eastAsia="宋体" w:cs="Times New Roman"/>
      <w:szCs w:val="24"/>
    </w:rPr>
  </w:style>
  <w:style w:type="paragraph" w:styleId="14">
    <w:name w:val="Note Heading"/>
    <w:basedOn w:val="1"/>
    <w:next w:val="1"/>
    <w:link w:val="151"/>
    <w:semiHidden/>
    <w:qFormat/>
    <w:uiPriority w:val="0"/>
    <w:pPr>
      <w:jc w:val="center"/>
    </w:pPr>
    <w:rPr>
      <w:rFonts w:ascii="Times New Roman" w:hAnsi="Times New Roman" w:eastAsia="宋体" w:cs="Times New Roman"/>
      <w:szCs w:val="24"/>
    </w:rPr>
  </w:style>
  <w:style w:type="paragraph" w:styleId="15">
    <w:name w:val="List Bullet 4"/>
    <w:basedOn w:val="1"/>
    <w:semiHidden/>
    <w:qFormat/>
    <w:uiPriority w:val="0"/>
    <w:pPr>
      <w:tabs>
        <w:tab w:val="left" w:pos="1620"/>
      </w:tabs>
      <w:ind w:left="1620" w:hanging="360"/>
    </w:pPr>
    <w:rPr>
      <w:rFonts w:ascii="Times New Roman" w:hAnsi="Times New Roman" w:eastAsia="宋体" w:cs="Times New Roman"/>
      <w:szCs w:val="24"/>
    </w:rPr>
  </w:style>
  <w:style w:type="paragraph" w:styleId="16">
    <w:name w:val="index 8"/>
    <w:basedOn w:val="1"/>
    <w:next w:val="1"/>
    <w:semiHidden/>
    <w:qFormat/>
    <w:uiPriority w:val="0"/>
    <w:pPr>
      <w:ind w:left="1680" w:hanging="210"/>
      <w:jc w:val="left"/>
    </w:pPr>
    <w:rPr>
      <w:rFonts w:ascii="Times New Roman" w:hAnsi="Times New Roman" w:eastAsia="宋体" w:cs="Times New Roman"/>
      <w:sz w:val="20"/>
      <w:szCs w:val="20"/>
    </w:rPr>
  </w:style>
  <w:style w:type="paragraph" w:styleId="17">
    <w:name w:val="E-mail Signature"/>
    <w:basedOn w:val="1"/>
    <w:link w:val="153"/>
    <w:semiHidden/>
    <w:qFormat/>
    <w:uiPriority w:val="0"/>
    <w:rPr>
      <w:rFonts w:ascii="Times New Roman" w:hAnsi="Times New Roman" w:eastAsia="宋体" w:cs="Times New Roman"/>
      <w:szCs w:val="24"/>
    </w:rPr>
  </w:style>
  <w:style w:type="paragraph" w:styleId="18">
    <w:name w:val="List Number"/>
    <w:basedOn w:val="1"/>
    <w:semiHidden/>
    <w:qFormat/>
    <w:uiPriority w:val="0"/>
    <w:pPr>
      <w:tabs>
        <w:tab w:val="left" w:pos="360"/>
      </w:tabs>
      <w:ind w:left="360" w:hanging="360"/>
    </w:pPr>
    <w:rPr>
      <w:rFonts w:ascii="Times New Roman" w:hAnsi="Times New Roman" w:eastAsia="宋体" w:cs="Times New Roman"/>
      <w:szCs w:val="24"/>
    </w:rPr>
  </w:style>
  <w:style w:type="paragraph" w:styleId="19">
    <w:name w:val="index 5"/>
    <w:basedOn w:val="1"/>
    <w:next w:val="1"/>
    <w:semiHidden/>
    <w:qFormat/>
    <w:uiPriority w:val="0"/>
    <w:pPr>
      <w:ind w:left="1050" w:hanging="210"/>
      <w:jc w:val="left"/>
    </w:pPr>
    <w:rPr>
      <w:rFonts w:ascii="Times New Roman" w:hAnsi="Times New Roman" w:eastAsia="宋体" w:cs="Times New Roman"/>
      <w:sz w:val="20"/>
      <w:szCs w:val="20"/>
    </w:rPr>
  </w:style>
  <w:style w:type="paragraph" w:styleId="20">
    <w:name w:val="List Bullet"/>
    <w:basedOn w:val="1"/>
    <w:semiHidden/>
    <w:qFormat/>
    <w:uiPriority w:val="0"/>
    <w:pPr>
      <w:tabs>
        <w:tab w:val="left" w:pos="360"/>
      </w:tabs>
      <w:ind w:left="360" w:hanging="360"/>
    </w:pPr>
    <w:rPr>
      <w:rFonts w:ascii="Times New Roman" w:hAnsi="Times New Roman" w:eastAsia="宋体" w:cs="Times New Roman"/>
      <w:szCs w:val="24"/>
    </w:rPr>
  </w:style>
  <w:style w:type="paragraph" w:styleId="21">
    <w:name w:val="envelope address"/>
    <w:basedOn w:val="1"/>
    <w:semiHidden/>
    <w:qFormat/>
    <w:uiPriority w:val="0"/>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22">
    <w:name w:val="Document Map"/>
    <w:basedOn w:val="1"/>
    <w:link w:val="156"/>
    <w:qFormat/>
    <w:uiPriority w:val="0"/>
    <w:pPr>
      <w:shd w:val="clear" w:color="auto" w:fill="000080"/>
    </w:pPr>
    <w:rPr>
      <w:rFonts w:ascii="Times New Roman" w:hAnsi="Times New Roman" w:eastAsia="宋体" w:cs="Times New Roman"/>
      <w:szCs w:val="20"/>
    </w:rPr>
  </w:style>
  <w:style w:type="paragraph" w:styleId="23">
    <w:name w:val="toa heading"/>
    <w:basedOn w:val="1"/>
    <w:next w:val="1"/>
    <w:semiHidden/>
    <w:qFormat/>
    <w:uiPriority w:val="0"/>
    <w:pPr>
      <w:autoSpaceDE w:val="0"/>
      <w:autoSpaceDN w:val="0"/>
      <w:adjustRightInd w:val="0"/>
      <w:spacing w:before="120" w:after="60" w:line="360" w:lineRule="auto"/>
      <w:ind w:right="-425"/>
    </w:pPr>
    <w:rPr>
      <w:rFonts w:ascii="Arial" w:hAnsi="Arial" w:eastAsia="宋体" w:cs="Times New Roman"/>
      <w:color w:val="000000"/>
      <w:sz w:val="24"/>
      <w:szCs w:val="20"/>
    </w:rPr>
  </w:style>
  <w:style w:type="paragraph" w:styleId="24">
    <w:name w:val="annotation text"/>
    <w:basedOn w:val="1"/>
    <w:link w:val="176"/>
    <w:unhideWhenUsed/>
    <w:qFormat/>
    <w:uiPriority w:val="0"/>
    <w:pPr>
      <w:jc w:val="left"/>
    </w:pPr>
    <w:rPr>
      <w:rFonts w:ascii="Times New Roman" w:hAnsi="Times New Roman" w:eastAsia="宋体" w:cs="Times New Roman"/>
      <w:szCs w:val="20"/>
    </w:rPr>
  </w:style>
  <w:style w:type="paragraph" w:styleId="25">
    <w:name w:val="index 6"/>
    <w:basedOn w:val="1"/>
    <w:next w:val="1"/>
    <w:semiHidden/>
    <w:qFormat/>
    <w:uiPriority w:val="0"/>
    <w:pPr>
      <w:ind w:left="1260" w:hanging="210"/>
      <w:jc w:val="left"/>
    </w:pPr>
    <w:rPr>
      <w:rFonts w:ascii="Times New Roman" w:hAnsi="Times New Roman" w:eastAsia="宋体" w:cs="Times New Roman"/>
      <w:sz w:val="20"/>
      <w:szCs w:val="20"/>
    </w:rPr>
  </w:style>
  <w:style w:type="paragraph" w:styleId="26">
    <w:name w:val="Salutation"/>
    <w:basedOn w:val="1"/>
    <w:next w:val="1"/>
    <w:link w:val="167"/>
    <w:semiHidden/>
    <w:qFormat/>
    <w:uiPriority w:val="0"/>
    <w:rPr>
      <w:rFonts w:ascii="Times New Roman" w:hAnsi="Times New Roman" w:eastAsia="宋体" w:cs="Times New Roman"/>
      <w:szCs w:val="24"/>
    </w:rPr>
  </w:style>
  <w:style w:type="paragraph" w:styleId="27">
    <w:name w:val="Body Text 3"/>
    <w:basedOn w:val="1"/>
    <w:link w:val="158"/>
    <w:semiHidden/>
    <w:qFormat/>
    <w:uiPriority w:val="0"/>
    <w:pPr>
      <w:spacing w:after="120"/>
    </w:pPr>
    <w:rPr>
      <w:rFonts w:ascii="Times New Roman" w:hAnsi="Times New Roman" w:eastAsia="宋体" w:cs="Times New Roman"/>
      <w:sz w:val="16"/>
      <w:szCs w:val="16"/>
    </w:rPr>
  </w:style>
  <w:style w:type="paragraph" w:styleId="28">
    <w:name w:val="Closing"/>
    <w:basedOn w:val="1"/>
    <w:link w:val="168"/>
    <w:semiHidden/>
    <w:qFormat/>
    <w:uiPriority w:val="0"/>
    <w:pPr>
      <w:ind w:left="100" w:leftChars="2100"/>
    </w:pPr>
    <w:rPr>
      <w:rFonts w:ascii="Times New Roman" w:hAnsi="Times New Roman" w:eastAsia="宋体" w:cs="Times New Roman"/>
      <w:szCs w:val="24"/>
    </w:rPr>
  </w:style>
  <w:style w:type="paragraph" w:styleId="29">
    <w:name w:val="List Bullet 3"/>
    <w:basedOn w:val="1"/>
    <w:semiHidden/>
    <w:qFormat/>
    <w:uiPriority w:val="0"/>
    <w:pPr>
      <w:tabs>
        <w:tab w:val="left" w:pos="1200"/>
      </w:tabs>
      <w:ind w:left="1200" w:hanging="360"/>
    </w:pPr>
    <w:rPr>
      <w:rFonts w:ascii="Times New Roman" w:hAnsi="Times New Roman" w:eastAsia="宋体" w:cs="Times New Roman"/>
      <w:szCs w:val="24"/>
    </w:rPr>
  </w:style>
  <w:style w:type="paragraph" w:styleId="30">
    <w:name w:val="Body Text"/>
    <w:basedOn w:val="1"/>
    <w:link w:val="179"/>
    <w:semiHidden/>
    <w:unhideWhenUsed/>
    <w:qFormat/>
    <w:uiPriority w:val="99"/>
    <w:pPr>
      <w:spacing w:after="120"/>
    </w:pPr>
    <w:rPr>
      <w:rFonts w:ascii="Times New Roman" w:hAnsi="Times New Roman" w:eastAsia="宋体" w:cs="Times New Roman"/>
      <w:szCs w:val="20"/>
    </w:rPr>
  </w:style>
  <w:style w:type="paragraph" w:styleId="31">
    <w:name w:val="Body Text Indent"/>
    <w:basedOn w:val="1"/>
    <w:link w:val="200"/>
    <w:semiHidden/>
    <w:unhideWhenUsed/>
    <w:qFormat/>
    <w:uiPriority w:val="99"/>
    <w:pPr>
      <w:spacing w:after="120"/>
      <w:ind w:left="420" w:leftChars="200"/>
    </w:pPr>
    <w:rPr>
      <w:rFonts w:ascii="Times New Roman" w:hAnsi="Times New Roman" w:eastAsia="宋体" w:cs="Times New Roman"/>
      <w:szCs w:val="20"/>
    </w:rPr>
  </w:style>
  <w:style w:type="paragraph" w:styleId="32">
    <w:name w:val="List Number 3"/>
    <w:basedOn w:val="1"/>
    <w:semiHidden/>
    <w:qFormat/>
    <w:uiPriority w:val="0"/>
    <w:pPr>
      <w:tabs>
        <w:tab w:val="left" w:pos="1200"/>
      </w:tabs>
      <w:ind w:left="1200" w:hanging="360"/>
    </w:pPr>
    <w:rPr>
      <w:rFonts w:ascii="Times New Roman" w:hAnsi="Times New Roman" w:eastAsia="宋体" w:cs="Times New Roman"/>
      <w:szCs w:val="24"/>
    </w:rPr>
  </w:style>
  <w:style w:type="paragraph" w:styleId="33">
    <w:name w:val="List 2"/>
    <w:basedOn w:val="1"/>
    <w:semiHidden/>
    <w:qFormat/>
    <w:uiPriority w:val="0"/>
    <w:pPr>
      <w:ind w:left="100" w:leftChars="200" w:hanging="200" w:hangingChars="200"/>
    </w:pPr>
    <w:rPr>
      <w:rFonts w:ascii="Times New Roman" w:hAnsi="Times New Roman" w:eastAsia="宋体" w:cs="Times New Roman"/>
      <w:szCs w:val="24"/>
    </w:rPr>
  </w:style>
  <w:style w:type="paragraph" w:styleId="34">
    <w:name w:val="List Continue"/>
    <w:basedOn w:val="1"/>
    <w:semiHidden/>
    <w:qFormat/>
    <w:uiPriority w:val="0"/>
    <w:pPr>
      <w:spacing w:after="120"/>
      <w:ind w:left="420" w:leftChars="200"/>
    </w:pPr>
    <w:rPr>
      <w:rFonts w:ascii="Times New Roman" w:hAnsi="Times New Roman" w:eastAsia="宋体" w:cs="Times New Roman"/>
      <w:szCs w:val="24"/>
    </w:rPr>
  </w:style>
  <w:style w:type="paragraph" w:styleId="35">
    <w:name w:val="Block Text"/>
    <w:basedOn w:val="1"/>
    <w:semiHidden/>
    <w:qFormat/>
    <w:uiPriority w:val="0"/>
    <w:pPr>
      <w:spacing w:after="120"/>
      <w:ind w:left="1440" w:leftChars="700" w:right="1440" w:rightChars="700"/>
    </w:pPr>
    <w:rPr>
      <w:rFonts w:ascii="Times New Roman" w:hAnsi="Times New Roman" w:eastAsia="宋体" w:cs="Times New Roman"/>
      <w:szCs w:val="24"/>
    </w:rPr>
  </w:style>
  <w:style w:type="paragraph" w:styleId="36">
    <w:name w:val="List Bullet 2"/>
    <w:basedOn w:val="1"/>
    <w:semiHidden/>
    <w:qFormat/>
    <w:uiPriority w:val="0"/>
    <w:pPr>
      <w:tabs>
        <w:tab w:val="left" w:pos="780"/>
      </w:tabs>
      <w:ind w:left="780" w:hanging="360"/>
    </w:pPr>
    <w:rPr>
      <w:rFonts w:ascii="Times New Roman" w:hAnsi="Times New Roman" w:eastAsia="宋体" w:cs="Times New Roman"/>
      <w:szCs w:val="24"/>
    </w:rPr>
  </w:style>
  <w:style w:type="paragraph" w:styleId="37">
    <w:name w:val="HTML Address"/>
    <w:basedOn w:val="1"/>
    <w:link w:val="166"/>
    <w:semiHidden/>
    <w:qFormat/>
    <w:uiPriority w:val="0"/>
    <w:rPr>
      <w:rFonts w:ascii="Times New Roman" w:hAnsi="Times New Roman" w:eastAsia="宋体" w:cs="Times New Roman"/>
      <w:i/>
      <w:iCs/>
      <w:szCs w:val="24"/>
    </w:rPr>
  </w:style>
  <w:style w:type="paragraph" w:styleId="38">
    <w:name w:val="index 4"/>
    <w:basedOn w:val="1"/>
    <w:next w:val="1"/>
    <w:semiHidden/>
    <w:qFormat/>
    <w:uiPriority w:val="0"/>
    <w:pPr>
      <w:ind w:left="840" w:hanging="210"/>
      <w:jc w:val="left"/>
    </w:pPr>
    <w:rPr>
      <w:rFonts w:ascii="Times New Roman" w:hAnsi="Times New Roman" w:eastAsia="宋体" w:cs="Times New Roman"/>
      <w:sz w:val="20"/>
      <w:szCs w:val="20"/>
    </w:rPr>
  </w:style>
  <w:style w:type="paragraph" w:styleId="39">
    <w:name w:val="toc 5"/>
    <w:basedOn w:val="1"/>
    <w:next w:val="1"/>
    <w:semiHidden/>
    <w:qFormat/>
    <w:uiPriority w:val="0"/>
    <w:pPr>
      <w:tabs>
        <w:tab w:val="right" w:leader="dot" w:pos="8948"/>
      </w:tabs>
      <w:spacing w:line="360" w:lineRule="auto"/>
      <w:ind w:left="420" w:leftChars="200" w:right="420" w:rightChars="200" w:firstLine="960" w:firstLineChars="400"/>
    </w:pPr>
    <w:rPr>
      <w:rFonts w:ascii="宋体" w:hAnsi="宋体" w:eastAsia="宋体" w:cs="Times New Roman"/>
      <w:kern w:val="0"/>
      <w:sz w:val="24"/>
      <w:szCs w:val="24"/>
    </w:rPr>
  </w:style>
  <w:style w:type="paragraph" w:styleId="40">
    <w:name w:val="toc 3"/>
    <w:basedOn w:val="1"/>
    <w:next w:val="1"/>
    <w:qFormat/>
    <w:uiPriority w:val="0"/>
    <w:pPr>
      <w:tabs>
        <w:tab w:val="right" w:leader="dot" w:pos="8949"/>
      </w:tabs>
      <w:adjustRightInd w:val="0"/>
      <w:snapToGrid w:val="0"/>
      <w:spacing w:line="360" w:lineRule="auto"/>
      <w:ind w:right="420" w:rightChars="200" w:firstLine="964" w:firstLineChars="400"/>
      <w:jc w:val="left"/>
    </w:pPr>
    <w:rPr>
      <w:rFonts w:ascii="宋体" w:hAnsi="宋体" w:eastAsia="宋体" w:cs="Times New Roman"/>
      <w:b/>
      <w:iCs/>
      <w:sz w:val="24"/>
      <w:szCs w:val="24"/>
    </w:rPr>
  </w:style>
  <w:style w:type="paragraph" w:styleId="41">
    <w:name w:val="Plain Text"/>
    <w:basedOn w:val="1"/>
    <w:link w:val="203"/>
    <w:unhideWhenUsed/>
    <w:qFormat/>
    <w:uiPriority w:val="0"/>
    <w:rPr>
      <w:rFonts w:ascii="宋体" w:hAnsi="Courier New" w:eastAsia="宋体" w:cs="Times New Roman"/>
      <w:kern w:val="0"/>
      <w:sz w:val="20"/>
      <w:szCs w:val="21"/>
    </w:rPr>
  </w:style>
  <w:style w:type="paragraph" w:styleId="42">
    <w:name w:val="List Bullet 5"/>
    <w:basedOn w:val="1"/>
    <w:semiHidden/>
    <w:qFormat/>
    <w:uiPriority w:val="0"/>
    <w:pPr>
      <w:tabs>
        <w:tab w:val="left" w:pos="2040"/>
      </w:tabs>
      <w:ind w:left="2040" w:hanging="360"/>
    </w:pPr>
    <w:rPr>
      <w:rFonts w:ascii="Times New Roman" w:hAnsi="Times New Roman" w:eastAsia="宋体" w:cs="Times New Roman"/>
      <w:szCs w:val="24"/>
    </w:rPr>
  </w:style>
  <w:style w:type="paragraph" w:styleId="43">
    <w:name w:val="List Number 4"/>
    <w:basedOn w:val="1"/>
    <w:semiHidden/>
    <w:qFormat/>
    <w:uiPriority w:val="0"/>
    <w:pPr>
      <w:tabs>
        <w:tab w:val="left" w:pos="1620"/>
      </w:tabs>
      <w:ind w:left="1620" w:hanging="360"/>
    </w:pPr>
    <w:rPr>
      <w:rFonts w:ascii="Times New Roman" w:hAnsi="Times New Roman" w:eastAsia="宋体" w:cs="Times New Roman"/>
      <w:szCs w:val="24"/>
    </w:rPr>
  </w:style>
  <w:style w:type="paragraph" w:styleId="44">
    <w:name w:val="toc 8"/>
    <w:basedOn w:val="1"/>
    <w:next w:val="1"/>
    <w:semiHidden/>
    <w:qFormat/>
    <w:uiPriority w:val="0"/>
    <w:pPr>
      <w:ind w:left="1470"/>
      <w:jc w:val="left"/>
    </w:pPr>
    <w:rPr>
      <w:rFonts w:ascii="Times New Roman" w:hAnsi="Times New Roman" w:eastAsia="宋体" w:cs="Times New Roman"/>
      <w:sz w:val="18"/>
      <w:szCs w:val="18"/>
    </w:rPr>
  </w:style>
  <w:style w:type="paragraph" w:styleId="45">
    <w:name w:val="index 3"/>
    <w:basedOn w:val="1"/>
    <w:next w:val="1"/>
    <w:semiHidden/>
    <w:qFormat/>
    <w:uiPriority w:val="0"/>
    <w:pPr>
      <w:ind w:left="630" w:hanging="210"/>
      <w:jc w:val="left"/>
    </w:pPr>
    <w:rPr>
      <w:rFonts w:ascii="Times New Roman" w:hAnsi="Times New Roman" w:eastAsia="宋体" w:cs="Times New Roman"/>
      <w:sz w:val="20"/>
      <w:szCs w:val="20"/>
    </w:rPr>
  </w:style>
  <w:style w:type="paragraph" w:styleId="46">
    <w:name w:val="Date"/>
    <w:basedOn w:val="1"/>
    <w:next w:val="1"/>
    <w:link w:val="225"/>
    <w:semiHidden/>
    <w:unhideWhenUsed/>
    <w:qFormat/>
    <w:uiPriority w:val="0"/>
    <w:pPr>
      <w:ind w:left="100" w:leftChars="2500"/>
    </w:pPr>
    <w:rPr>
      <w:rFonts w:ascii="Times New Roman" w:hAnsi="Times New Roman" w:eastAsia="宋体" w:cs="Times New Roman"/>
      <w:szCs w:val="20"/>
    </w:rPr>
  </w:style>
  <w:style w:type="paragraph" w:styleId="47">
    <w:name w:val="Body Text Indent 2"/>
    <w:basedOn w:val="1"/>
    <w:link w:val="162"/>
    <w:semiHidden/>
    <w:qFormat/>
    <w:uiPriority w:val="0"/>
    <w:pPr>
      <w:spacing w:after="120" w:line="480" w:lineRule="auto"/>
      <w:ind w:left="420" w:leftChars="200"/>
    </w:pPr>
    <w:rPr>
      <w:rFonts w:ascii="Times New Roman" w:hAnsi="Times New Roman" w:eastAsia="宋体" w:cs="Times New Roman"/>
      <w:szCs w:val="24"/>
    </w:rPr>
  </w:style>
  <w:style w:type="paragraph" w:styleId="48">
    <w:name w:val="endnote text"/>
    <w:basedOn w:val="1"/>
    <w:link w:val="215"/>
    <w:semiHidden/>
    <w:qFormat/>
    <w:uiPriority w:val="0"/>
    <w:pPr>
      <w:snapToGrid w:val="0"/>
      <w:jc w:val="left"/>
    </w:pPr>
    <w:rPr>
      <w:rFonts w:ascii="Times New Roman" w:hAnsi="Times New Roman" w:eastAsia="宋体" w:cs="Times New Roman"/>
      <w:szCs w:val="24"/>
    </w:rPr>
  </w:style>
  <w:style w:type="paragraph" w:styleId="49">
    <w:name w:val="List Continue 5"/>
    <w:basedOn w:val="1"/>
    <w:semiHidden/>
    <w:qFormat/>
    <w:uiPriority w:val="0"/>
    <w:pPr>
      <w:spacing w:after="120"/>
      <w:ind w:left="2100" w:leftChars="1000"/>
    </w:pPr>
    <w:rPr>
      <w:rFonts w:ascii="Times New Roman" w:hAnsi="Times New Roman" w:eastAsia="宋体" w:cs="Times New Roman"/>
      <w:szCs w:val="24"/>
    </w:rPr>
  </w:style>
  <w:style w:type="paragraph" w:styleId="50">
    <w:name w:val="Balloon Text"/>
    <w:basedOn w:val="1"/>
    <w:link w:val="159"/>
    <w:semiHidden/>
    <w:qFormat/>
    <w:uiPriority w:val="0"/>
    <w:rPr>
      <w:rFonts w:ascii="Times New Roman" w:hAnsi="Times New Roman" w:eastAsia="宋体" w:cs="Times New Roman"/>
      <w:sz w:val="18"/>
      <w:szCs w:val="18"/>
    </w:rPr>
  </w:style>
  <w:style w:type="paragraph" w:styleId="51">
    <w:name w:val="footer"/>
    <w:basedOn w:val="1"/>
    <w:link w:val="155"/>
    <w:unhideWhenUsed/>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2">
    <w:name w:val="envelope return"/>
    <w:basedOn w:val="1"/>
    <w:semiHidden/>
    <w:qFormat/>
    <w:uiPriority w:val="0"/>
    <w:pPr>
      <w:snapToGrid w:val="0"/>
    </w:pPr>
    <w:rPr>
      <w:rFonts w:ascii="Arial" w:hAnsi="Arial" w:eastAsia="宋体" w:cs="Arial"/>
      <w:szCs w:val="24"/>
    </w:rPr>
  </w:style>
  <w:style w:type="paragraph" w:styleId="53">
    <w:name w:val="header"/>
    <w:basedOn w:val="1"/>
    <w:link w:val="170"/>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4">
    <w:name w:val="Signature"/>
    <w:basedOn w:val="1"/>
    <w:link w:val="149"/>
    <w:semiHidden/>
    <w:qFormat/>
    <w:uiPriority w:val="0"/>
    <w:pPr>
      <w:ind w:left="100" w:leftChars="2100"/>
    </w:pPr>
    <w:rPr>
      <w:rFonts w:ascii="Times New Roman" w:hAnsi="Times New Roman" w:eastAsia="宋体" w:cs="Times New Roman"/>
      <w:szCs w:val="24"/>
    </w:rPr>
  </w:style>
  <w:style w:type="paragraph" w:styleId="55">
    <w:name w:val="toc 1"/>
    <w:basedOn w:val="1"/>
    <w:next w:val="1"/>
    <w:qFormat/>
    <w:uiPriority w:val="0"/>
    <w:pPr>
      <w:tabs>
        <w:tab w:val="right" w:leader="dot" w:pos="8949"/>
      </w:tabs>
      <w:adjustRightInd w:val="0"/>
      <w:snapToGrid w:val="0"/>
      <w:spacing w:line="360" w:lineRule="auto"/>
      <w:ind w:right="420" w:rightChars="200" w:firstLine="960" w:firstLineChars="400"/>
      <w:jc w:val="center"/>
    </w:pPr>
    <w:rPr>
      <w:rFonts w:ascii="宋体" w:hAnsi="宋体" w:eastAsia="宋体" w:cs="Times New Roman"/>
      <w:bCs/>
      <w:caps/>
      <w:sz w:val="24"/>
      <w:szCs w:val="24"/>
    </w:rPr>
  </w:style>
  <w:style w:type="paragraph" w:styleId="56">
    <w:name w:val="List Continue 4"/>
    <w:basedOn w:val="1"/>
    <w:semiHidden/>
    <w:qFormat/>
    <w:uiPriority w:val="0"/>
    <w:pPr>
      <w:spacing w:after="120"/>
      <w:ind w:left="1680" w:leftChars="800"/>
    </w:pPr>
    <w:rPr>
      <w:rFonts w:ascii="Times New Roman" w:hAnsi="Times New Roman" w:eastAsia="宋体" w:cs="Times New Roman"/>
      <w:szCs w:val="24"/>
    </w:rPr>
  </w:style>
  <w:style w:type="paragraph" w:styleId="57">
    <w:name w:val="toc 4"/>
    <w:basedOn w:val="1"/>
    <w:next w:val="1"/>
    <w:qFormat/>
    <w:uiPriority w:val="0"/>
    <w:pPr>
      <w:tabs>
        <w:tab w:val="right" w:leader="dot" w:pos="8949"/>
      </w:tabs>
      <w:adjustRightInd w:val="0"/>
      <w:snapToGrid w:val="0"/>
      <w:spacing w:line="360" w:lineRule="auto"/>
      <w:ind w:left="630" w:leftChars="300" w:right="630" w:rightChars="300"/>
      <w:jc w:val="distribute"/>
    </w:pPr>
    <w:rPr>
      <w:rFonts w:ascii="宋体" w:hAnsi="宋体" w:eastAsia="宋体" w:cs="Times New Roman"/>
      <w:szCs w:val="21"/>
    </w:rPr>
  </w:style>
  <w:style w:type="paragraph" w:styleId="58">
    <w:name w:val="index heading"/>
    <w:basedOn w:val="1"/>
    <w:next w:val="59"/>
    <w:semiHidden/>
    <w:qFormat/>
    <w:uiPriority w:val="0"/>
    <w:pPr>
      <w:spacing w:before="120" w:after="120"/>
      <w:jc w:val="left"/>
    </w:pPr>
    <w:rPr>
      <w:rFonts w:ascii="Times New Roman" w:hAnsi="Times New Roman" w:eastAsia="宋体" w:cs="Times New Roman"/>
      <w:b/>
      <w:bCs/>
      <w:i/>
      <w:iCs/>
      <w:sz w:val="20"/>
      <w:szCs w:val="20"/>
    </w:rPr>
  </w:style>
  <w:style w:type="paragraph" w:styleId="59">
    <w:name w:val="index 1"/>
    <w:basedOn w:val="1"/>
    <w:next w:val="1"/>
    <w:semiHidden/>
    <w:unhideWhenUsed/>
    <w:qFormat/>
    <w:uiPriority w:val="0"/>
    <w:rPr>
      <w:rFonts w:ascii="Times New Roman" w:hAnsi="Times New Roman" w:eastAsia="宋体" w:cs="Times New Roman"/>
      <w:szCs w:val="20"/>
    </w:rPr>
  </w:style>
  <w:style w:type="paragraph" w:styleId="60">
    <w:name w:val="List Number 5"/>
    <w:basedOn w:val="1"/>
    <w:semiHidden/>
    <w:qFormat/>
    <w:uiPriority w:val="0"/>
    <w:pPr>
      <w:tabs>
        <w:tab w:val="left" w:pos="2040"/>
      </w:tabs>
      <w:ind w:left="2040" w:hanging="360"/>
    </w:pPr>
    <w:rPr>
      <w:rFonts w:ascii="Times New Roman" w:hAnsi="Times New Roman" w:eastAsia="宋体" w:cs="Times New Roman"/>
      <w:szCs w:val="24"/>
    </w:rPr>
  </w:style>
  <w:style w:type="paragraph" w:styleId="61">
    <w:name w:val="List"/>
    <w:basedOn w:val="1"/>
    <w:semiHidden/>
    <w:qFormat/>
    <w:uiPriority w:val="0"/>
    <w:pPr>
      <w:ind w:left="200" w:hanging="200" w:hangingChars="200"/>
    </w:pPr>
    <w:rPr>
      <w:rFonts w:ascii="Times New Roman" w:hAnsi="Times New Roman" w:eastAsia="宋体" w:cs="Times New Roman"/>
      <w:szCs w:val="24"/>
    </w:rPr>
  </w:style>
  <w:style w:type="paragraph" w:styleId="62">
    <w:name w:val="footnote text"/>
    <w:basedOn w:val="1"/>
    <w:link w:val="216"/>
    <w:semiHidden/>
    <w:qFormat/>
    <w:uiPriority w:val="0"/>
    <w:pPr>
      <w:snapToGrid w:val="0"/>
      <w:jc w:val="left"/>
    </w:pPr>
    <w:rPr>
      <w:rFonts w:ascii="Times New Roman" w:hAnsi="Times New Roman" w:eastAsia="宋体" w:cs="Times New Roman"/>
      <w:sz w:val="18"/>
      <w:szCs w:val="20"/>
    </w:rPr>
  </w:style>
  <w:style w:type="paragraph" w:styleId="63">
    <w:name w:val="toc 6"/>
    <w:basedOn w:val="1"/>
    <w:next w:val="1"/>
    <w:semiHidden/>
    <w:qFormat/>
    <w:uiPriority w:val="0"/>
    <w:pPr>
      <w:ind w:left="1050"/>
      <w:jc w:val="left"/>
    </w:pPr>
    <w:rPr>
      <w:rFonts w:ascii="Times New Roman" w:hAnsi="Times New Roman" w:eastAsia="宋体" w:cs="Times New Roman"/>
      <w:sz w:val="18"/>
      <w:szCs w:val="18"/>
    </w:rPr>
  </w:style>
  <w:style w:type="paragraph" w:styleId="64">
    <w:name w:val="List 5"/>
    <w:basedOn w:val="1"/>
    <w:semiHidden/>
    <w:qFormat/>
    <w:uiPriority w:val="0"/>
    <w:pPr>
      <w:ind w:left="100" w:leftChars="800" w:hanging="200" w:hangingChars="200"/>
    </w:pPr>
    <w:rPr>
      <w:rFonts w:ascii="Times New Roman" w:hAnsi="Times New Roman" w:eastAsia="宋体" w:cs="Times New Roman"/>
      <w:szCs w:val="24"/>
    </w:rPr>
  </w:style>
  <w:style w:type="paragraph" w:styleId="65">
    <w:name w:val="index 7"/>
    <w:basedOn w:val="1"/>
    <w:next w:val="1"/>
    <w:semiHidden/>
    <w:qFormat/>
    <w:uiPriority w:val="0"/>
    <w:pPr>
      <w:ind w:left="1470" w:hanging="210"/>
      <w:jc w:val="left"/>
    </w:pPr>
    <w:rPr>
      <w:rFonts w:ascii="Times New Roman" w:hAnsi="Times New Roman" w:eastAsia="宋体" w:cs="Times New Roman"/>
      <w:sz w:val="20"/>
      <w:szCs w:val="20"/>
    </w:rPr>
  </w:style>
  <w:style w:type="paragraph" w:styleId="66">
    <w:name w:val="index 9"/>
    <w:basedOn w:val="1"/>
    <w:next w:val="1"/>
    <w:semiHidden/>
    <w:qFormat/>
    <w:uiPriority w:val="0"/>
    <w:pPr>
      <w:ind w:left="1890" w:hanging="210"/>
      <w:jc w:val="left"/>
    </w:pPr>
    <w:rPr>
      <w:rFonts w:ascii="Times New Roman" w:hAnsi="Times New Roman" w:eastAsia="宋体" w:cs="Times New Roman"/>
      <w:sz w:val="20"/>
      <w:szCs w:val="20"/>
    </w:rPr>
  </w:style>
  <w:style w:type="paragraph" w:styleId="67">
    <w:name w:val="table of figures"/>
    <w:basedOn w:val="1"/>
    <w:next w:val="1"/>
    <w:semiHidden/>
    <w:qFormat/>
    <w:uiPriority w:val="0"/>
    <w:pPr>
      <w:ind w:left="200" w:leftChars="200" w:hanging="200" w:hangingChars="200"/>
    </w:pPr>
    <w:rPr>
      <w:rFonts w:ascii="Times New Roman" w:hAnsi="Times New Roman" w:eastAsia="宋体" w:cs="Times New Roman"/>
      <w:sz w:val="24"/>
      <w:szCs w:val="24"/>
    </w:rPr>
  </w:style>
  <w:style w:type="paragraph" w:styleId="68">
    <w:name w:val="toc 2"/>
    <w:basedOn w:val="1"/>
    <w:next w:val="1"/>
    <w:qFormat/>
    <w:uiPriority w:val="0"/>
    <w:pPr>
      <w:tabs>
        <w:tab w:val="right" w:leader="dot" w:pos="8949"/>
      </w:tabs>
      <w:adjustRightInd w:val="0"/>
      <w:snapToGrid w:val="0"/>
      <w:spacing w:line="360" w:lineRule="auto"/>
      <w:ind w:right="420" w:rightChars="200" w:firstLine="964" w:firstLineChars="400"/>
      <w:jc w:val="distribute"/>
    </w:pPr>
    <w:rPr>
      <w:rFonts w:ascii="宋体" w:hAnsi="宋体" w:eastAsia="宋体" w:cs="Times New Roman"/>
      <w:b/>
      <w:smallCaps/>
      <w:sz w:val="24"/>
      <w:szCs w:val="24"/>
    </w:rPr>
  </w:style>
  <w:style w:type="paragraph" w:styleId="69">
    <w:name w:val="toc 9"/>
    <w:basedOn w:val="1"/>
    <w:next w:val="1"/>
    <w:semiHidden/>
    <w:qFormat/>
    <w:uiPriority w:val="0"/>
    <w:pPr>
      <w:ind w:left="1680"/>
      <w:jc w:val="left"/>
    </w:pPr>
    <w:rPr>
      <w:rFonts w:ascii="Times New Roman" w:hAnsi="Times New Roman" w:eastAsia="宋体" w:cs="Times New Roman"/>
      <w:sz w:val="18"/>
      <w:szCs w:val="18"/>
    </w:rPr>
  </w:style>
  <w:style w:type="paragraph" w:styleId="70">
    <w:name w:val="List 4"/>
    <w:basedOn w:val="1"/>
    <w:semiHidden/>
    <w:qFormat/>
    <w:uiPriority w:val="0"/>
    <w:pPr>
      <w:ind w:left="100" w:leftChars="600" w:hanging="200" w:hangingChars="200"/>
    </w:pPr>
    <w:rPr>
      <w:rFonts w:ascii="Times New Roman" w:hAnsi="Times New Roman" w:eastAsia="宋体" w:cs="Times New Roman"/>
      <w:szCs w:val="24"/>
    </w:rPr>
  </w:style>
  <w:style w:type="paragraph" w:styleId="71">
    <w:name w:val="List Continue 2"/>
    <w:basedOn w:val="1"/>
    <w:semiHidden/>
    <w:qFormat/>
    <w:uiPriority w:val="0"/>
    <w:pPr>
      <w:spacing w:after="120"/>
      <w:ind w:left="840" w:leftChars="400"/>
    </w:pPr>
    <w:rPr>
      <w:rFonts w:ascii="Times New Roman" w:hAnsi="Times New Roman" w:eastAsia="宋体" w:cs="Times New Roman"/>
      <w:szCs w:val="24"/>
    </w:rPr>
  </w:style>
  <w:style w:type="paragraph" w:styleId="72">
    <w:name w:val="Message Header"/>
    <w:basedOn w:val="1"/>
    <w:link w:val="157"/>
    <w:semiHidden/>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z w:val="24"/>
      <w:szCs w:val="24"/>
    </w:rPr>
  </w:style>
  <w:style w:type="paragraph" w:styleId="73">
    <w:name w:val="HTML Preformatted"/>
    <w:basedOn w:val="1"/>
    <w:link w:val="148"/>
    <w:semiHidden/>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kern w:val="0"/>
      <w:sz w:val="24"/>
      <w:szCs w:val="24"/>
    </w:rPr>
  </w:style>
  <w:style w:type="paragraph" w:styleId="74">
    <w:name w:val="List Continue 3"/>
    <w:basedOn w:val="1"/>
    <w:semiHidden/>
    <w:qFormat/>
    <w:uiPriority w:val="0"/>
    <w:pPr>
      <w:spacing w:after="120"/>
      <w:ind w:left="1260" w:leftChars="600"/>
    </w:pPr>
    <w:rPr>
      <w:rFonts w:ascii="Times New Roman" w:hAnsi="Times New Roman" w:eastAsia="宋体" w:cs="Times New Roman"/>
      <w:szCs w:val="24"/>
    </w:rPr>
  </w:style>
  <w:style w:type="paragraph" w:styleId="75">
    <w:name w:val="index 2"/>
    <w:basedOn w:val="1"/>
    <w:next w:val="1"/>
    <w:semiHidden/>
    <w:qFormat/>
    <w:uiPriority w:val="0"/>
    <w:pPr>
      <w:ind w:left="420" w:hanging="210"/>
      <w:jc w:val="left"/>
    </w:pPr>
    <w:rPr>
      <w:rFonts w:ascii="Times New Roman" w:hAnsi="Times New Roman" w:eastAsia="宋体" w:cs="Times New Roman"/>
      <w:sz w:val="20"/>
      <w:szCs w:val="20"/>
    </w:rPr>
  </w:style>
  <w:style w:type="paragraph" w:styleId="76">
    <w:name w:val="annotation subject"/>
    <w:basedOn w:val="24"/>
    <w:next w:val="24"/>
    <w:link w:val="160"/>
    <w:semiHidden/>
    <w:qFormat/>
    <w:uiPriority w:val="0"/>
    <w:rPr>
      <w:b/>
      <w:bCs/>
      <w:szCs w:val="24"/>
    </w:rPr>
  </w:style>
  <w:style w:type="paragraph" w:styleId="77">
    <w:name w:val="Body Text First Indent"/>
    <w:basedOn w:val="1"/>
    <w:link w:val="169"/>
    <w:semiHidden/>
    <w:qFormat/>
    <w:uiPriority w:val="0"/>
    <w:pPr>
      <w:spacing w:after="120"/>
      <w:ind w:firstLine="420" w:firstLineChars="100"/>
    </w:pPr>
    <w:rPr>
      <w:rFonts w:ascii="Times New Roman"/>
      <w:szCs w:val="24"/>
    </w:rPr>
  </w:style>
  <w:style w:type="paragraph" w:styleId="78">
    <w:name w:val="Body Text First Indent 2"/>
    <w:basedOn w:val="1"/>
    <w:link w:val="150"/>
    <w:semiHidden/>
    <w:qFormat/>
    <w:uiPriority w:val="0"/>
    <w:pPr>
      <w:spacing w:after="120"/>
      <w:ind w:left="420" w:leftChars="200" w:firstLine="420"/>
    </w:pPr>
    <w:rPr>
      <w:rFonts w:ascii="Times New Roman" w:hAnsi="Times New Roman"/>
      <w:szCs w:val="24"/>
    </w:rPr>
  </w:style>
  <w:style w:type="table" w:styleId="80">
    <w:name w:val="Table Grid"/>
    <w:basedOn w:val="7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81">
    <w:name w:val="Table Theme"/>
    <w:basedOn w:val="79"/>
    <w:semiHidden/>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82">
    <w:name w:val="Table Colorful 1"/>
    <w:basedOn w:val="79"/>
    <w:semiHidden/>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Layout w:type="fixed"/>
    </w:tblPr>
    <w:tcPr>
      <w:shd w:val="solid" w:color="008080" w:fill="FFFFFF"/>
    </w:tcPr>
    <w:tblStylePr w:type="firstRow">
      <w:rPr>
        <w:b/>
        <w:bCs/>
        <w:i/>
        <w:iCs/>
      </w:rPr>
      <w:tblPr>
        <w:tblLayout w:type="fixed"/>
      </w:tblPr>
      <w:tcPr>
        <w:tcBorders>
          <w:tl2br w:val="nil"/>
          <w:tr2bl w:val="nil"/>
        </w:tcBorders>
        <w:shd w:val="solid" w:color="000000" w:fill="FFFFFF"/>
      </w:tcPr>
    </w:tblStylePr>
    <w:tblStylePr w:type="firstCol">
      <w:rPr>
        <w:b/>
        <w:bCs/>
        <w:i/>
        <w:iCs/>
      </w:rPr>
      <w:tblPr>
        <w:tblLayout w:type="fixed"/>
      </w:tblPr>
      <w:tcPr>
        <w:tcBorders>
          <w:tl2br w:val="nil"/>
          <w:tr2bl w:val="nil"/>
        </w:tcBorders>
        <w:shd w:val="solid" w:color="000080" w:fill="FFFFFF"/>
      </w:tcPr>
    </w:tblStylePr>
    <w:tblStylePr w:type="nwCell">
      <w:tblPr>
        <w:tblLayout w:type="fixed"/>
      </w:tblPr>
      <w:tcPr>
        <w:tcBorders>
          <w:tl2br w:val="nil"/>
          <w:tr2bl w:val="nil"/>
        </w:tcBorders>
        <w:shd w:val="solid" w:color="000000" w:fill="FFFFFF"/>
      </w:tcPr>
    </w:tblStylePr>
    <w:tblStylePr w:type="swCell">
      <w:rPr>
        <w:b/>
        <w:bCs/>
        <w:i w:val="0"/>
        <w:iCs w:val="0"/>
      </w:rPr>
      <w:tblPr>
        <w:tblLayout w:type="fixed"/>
      </w:tblPr>
      <w:tcPr>
        <w:tcBorders>
          <w:tl2br w:val="nil"/>
          <w:tr2bl w:val="nil"/>
        </w:tcBorders>
      </w:tcPr>
    </w:tblStylePr>
  </w:style>
  <w:style w:type="table" w:styleId="83">
    <w:name w:val="Table Colorful 2"/>
    <w:basedOn w:val="79"/>
    <w:semiHidden/>
    <w:qFormat/>
    <w:uiPriority w:val="0"/>
    <w:pPr>
      <w:widowControl w:val="0"/>
      <w:jc w:val="both"/>
    </w:pPr>
    <w:tblPr>
      <w:tblBorders>
        <w:bottom w:val="single" w:color="000000" w:sz="12" w:space="0"/>
      </w:tblBorders>
      <w:tblLayout w:type="fixed"/>
    </w:tblPr>
    <w:tcPr>
      <w:shd w:val="pct20" w:color="FFFF00" w:fill="FFFFFF"/>
    </w:tcPr>
    <w:tblStylePr w:type="firstRow">
      <w:rPr>
        <w:b/>
        <w:bCs/>
        <w:i/>
        <w:iCs/>
        <w:color w:val="FFFFFF"/>
      </w:rPr>
      <w:tblPr>
        <w:tblLayout w:type="fixed"/>
      </w:tblPr>
      <w:tcPr>
        <w:tcBorders>
          <w:bottom w:val="single" w:color="000000" w:sz="12" w:space="0"/>
          <w:tl2br w:val="nil"/>
          <w:tr2bl w:val="nil"/>
        </w:tcBorders>
        <w:shd w:val="solid" w:color="800000" w:fill="FFFFFF"/>
      </w:tcPr>
    </w:tblStylePr>
    <w:tblStylePr w:type="firstCol">
      <w:rPr>
        <w:b/>
        <w:bCs/>
        <w:i/>
        <w:iCs/>
      </w:rPr>
      <w:tblPr>
        <w:tblLayout w:type="fixed"/>
      </w:tblPr>
      <w:tcPr>
        <w:tcBorders>
          <w:tl2br w:val="nil"/>
          <w:tr2bl w:val="nil"/>
        </w:tcBorders>
      </w:tcPr>
    </w:tblStylePr>
    <w:tblStylePr w:type="lastCol">
      <w:tblPr>
        <w:tblLayout w:type="fixed"/>
      </w:tblPr>
      <w:tcPr>
        <w:tcBorders>
          <w:tl2br w:val="nil"/>
          <w:tr2bl w:val="nil"/>
        </w:tcBorders>
        <w:shd w:val="solid" w:color="C0C0C0" w:fill="FFFFFF"/>
      </w:tcPr>
    </w:tblStylePr>
    <w:tblStylePr w:type="swCell">
      <w:rPr>
        <w:b/>
        <w:bCs/>
        <w:i w:val="0"/>
        <w:iCs w:val="0"/>
      </w:rPr>
      <w:tblPr>
        <w:tblLayout w:type="fixed"/>
      </w:tblPr>
      <w:tcPr>
        <w:tcBorders>
          <w:tl2br w:val="nil"/>
          <w:tr2bl w:val="nil"/>
        </w:tcBorders>
      </w:tcPr>
    </w:tblStylePr>
  </w:style>
  <w:style w:type="table" w:styleId="84">
    <w:name w:val="Table Colorful 3"/>
    <w:basedOn w:val="79"/>
    <w:semiHidden/>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Layout w:type="fixed"/>
    </w:tblPr>
    <w:tcPr>
      <w:shd w:val="pct25" w:color="008080" w:fill="FFFFFF"/>
    </w:tcPr>
    <w:tblStylePr w:type="firstRow">
      <w:tblPr>
        <w:tblLayout w:type="fixed"/>
      </w:tblPr>
      <w:tcPr>
        <w:tcBorders>
          <w:bottom w:val="single" w:color="000000" w:sz="6" w:space="0"/>
          <w:tl2br w:val="nil"/>
          <w:tr2bl w:val="nil"/>
        </w:tcBorders>
        <w:shd w:val="solid" w:color="008080" w:fill="FFFFFF"/>
      </w:tcPr>
    </w:tblStylePr>
    <w:tblStylePr w:type="firstCol">
      <w:tblPr>
        <w:tblLayout w:type="fixed"/>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blLayout w:type="fixed"/>
      </w:tblPr>
      <w:tcPr>
        <w:tcBorders>
          <w:tl2br w:val="nil"/>
          <w:tr2bl w:val="nil"/>
        </w:tcBorders>
        <w:shd w:val="solid" w:color="000000" w:fill="FFFFFF"/>
      </w:tcPr>
    </w:tblStylePr>
  </w:style>
  <w:style w:type="table" w:styleId="85">
    <w:name w:val="Table Elegant"/>
    <w:basedOn w:val="79"/>
    <w:semiHidden/>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Pr>
    <w:tcPr>
      <w:shd w:val="clear" w:color="auto" w:fill="auto"/>
    </w:tcPr>
    <w:tblStylePr w:type="firstRow">
      <w:rPr>
        <w:caps/>
        <w:color w:val="auto"/>
      </w:rPr>
      <w:tblPr>
        <w:tblLayout w:type="fixed"/>
      </w:tblPr>
      <w:tcPr>
        <w:tcBorders>
          <w:tl2br w:val="nil"/>
          <w:tr2bl w:val="nil"/>
        </w:tcBorders>
      </w:tcPr>
    </w:tblStylePr>
  </w:style>
  <w:style w:type="table" w:styleId="86">
    <w:name w:val="Table Classic 1"/>
    <w:basedOn w:val="79"/>
    <w:semiHidden/>
    <w:qFormat/>
    <w:uiPriority w:val="0"/>
    <w:pPr>
      <w:widowControl w:val="0"/>
      <w:jc w:val="both"/>
    </w:pPr>
    <w:tblPr>
      <w:tblBorders>
        <w:top w:val="single" w:color="000000" w:sz="12" w:space="0"/>
        <w:bottom w:val="single" w:color="000000" w:sz="12" w:space="0"/>
      </w:tblBorders>
      <w:tblLayout w:type="fixed"/>
    </w:tblPr>
    <w:tcPr>
      <w:shd w:val="clear" w:color="auto" w:fill="auto"/>
    </w:tcPr>
    <w:tblStylePr w:type="firstRow">
      <w:rPr>
        <w:i/>
        <w:iCs/>
      </w:rPr>
      <w:tblPr>
        <w:tblLayout w:type="fixed"/>
      </w:tblPr>
      <w:tcPr>
        <w:tcBorders>
          <w:bottom w:val="single" w:color="000000" w:sz="6" w:space="0"/>
          <w:tl2br w:val="nil"/>
          <w:tr2bl w:val="nil"/>
        </w:tcBorders>
      </w:tcPr>
    </w:tblStylePr>
    <w:tblStylePr w:type="lastRow">
      <w:rPr>
        <w:color w:val="auto"/>
      </w:rPr>
      <w:tblPr>
        <w:tblLayout w:type="fixed"/>
      </w:tblPr>
      <w:tcPr>
        <w:tcBorders>
          <w:top w:val="single" w:color="000000" w:sz="6" w:space="0"/>
          <w:tl2br w:val="nil"/>
          <w:tr2bl w:val="nil"/>
        </w:tcBorders>
      </w:tcPr>
    </w:tblStylePr>
    <w:tblStylePr w:type="firstCol">
      <w:tblPr>
        <w:tblLayout w:type="fixed"/>
      </w:tblPr>
      <w:tcPr>
        <w:tcBorders>
          <w:right w:val="single" w:color="000000" w:sz="6" w:space="0"/>
          <w:tl2br w:val="nil"/>
          <w:tr2bl w:val="nil"/>
        </w:tcBorders>
      </w:tcPr>
    </w:tblStylePr>
    <w:tblStylePr w:type="neCell">
      <w:rPr>
        <w:b/>
        <w:bCs/>
        <w:i w:val="0"/>
        <w:iCs w:val="0"/>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87">
    <w:name w:val="Table Classic 2"/>
    <w:basedOn w:val="79"/>
    <w:semiHidden/>
    <w:qFormat/>
    <w:uiPriority w:val="0"/>
    <w:pPr>
      <w:widowControl w:val="0"/>
      <w:jc w:val="both"/>
    </w:pPr>
    <w:tblPr>
      <w:tblBorders>
        <w:top w:val="single" w:color="000000" w:sz="12" w:space="0"/>
        <w:bottom w:val="single" w:color="000000" w:sz="12" w:space="0"/>
      </w:tblBorders>
      <w:tblLayout w:type="fixed"/>
    </w:tblPr>
    <w:tcPr>
      <w:shd w:val="clear" w:color="auto" w:fill="auto"/>
    </w:tcPr>
    <w:tblStylePr w:type="firstRow">
      <w:rPr>
        <w:color w:val="FFFFFF"/>
      </w:rPr>
      <w:tblPr>
        <w:tblLayout w:type="fixed"/>
      </w:tblPr>
      <w:tcPr>
        <w:tcBorders>
          <w:bottom w:val="single" w:color="000000" w:sz="6" w:space="0"/>
          <w:tl2br w:val="nil"/>
          <w:tr2bl w:val="nil"/>
        </w:tcBorders>
        <w:shd w:val="solid" w:color="800080" w:fill="FFFFFF"/>
      </w:tcPr>
    </w:tblStylePr>
    <w:tblStylePr w:type="lastRow">
      <w:tblPr>
        <w:tblLayout w:type="fixed"/>
      </w:tblPr>
      <w:tcPr>
        <w:tcBorders>
          <w:top w:val="single" w:color="000000" w:sz="6" w:space="0"/>
          <w:tl2br w:val="nil"/>
          <w:tr2bl w:val="nil"/>
        </w:tcBorders>
      </w:tcPr>
    </w:tblStylePr>
    <w:tblStylePr w:type="firstCol">
      <w:rPr>
        <w:b/>
        <w:bCs/>
      </w:rPr>
      <w:tblPr>
        <w:tblLayout w:type="fixed"/>
      </w:tblPr>
      <w:tcPr>
        <w:tcBorders>
          <w:tl2br w:val="nil"/>
          <w:tr2bl w:val="nil"/>
        </w:tcBorders>
        <w:shd w:val="solid" w:color="C0C0C0" w:fill="FFFFFF"/>
      </w:tcPr>
    </w:tblStylePr>
    <w:tblStylePr w:type="neCell">
      <w:rPr>
        <w:b/>
        <w:bCs/>
      </w:rPr>
      <w:tblPr>
        <w:tblLayout w:type="fixed"/>
      </w:tblPr>
      <w:tcPr>
        <w:tcBorders>
          <w:tl2br w:val="nil"/>
          <w:tr2bl w:val="nil"/>
        </w:tcBorders>
      </w:tcPr>
    </w:tblStylePr>
    <w:tblStylePr w:type="nwCell">
      <w:tblPr>
        <w:tblLayout w:type="fixed"/>
      </w:tblPr>
      <w:tcPr>
        <w:tcBorders>
          <w:tl2br w:val="nil"/>
          <w:tr2bl w:val="nil"/>
        </w:tcBorders>
        <w:shd w:val="solid" w:color="800080" w:fill="FFFFFF"/>
      </w:tcPr>
    </w:tblStylePr>
    <w:tblStylePr w:type="swCell">
      <w:rPr>
        <w:color w:val="000080"/>
      </w:rPr>
      <w:tblPr>
        <w:tblLayout w:type="fixed"/>
      </w:tblPr>
      <w:tcPr>
        <w:tcBorders>
          <w:tl2br w:val="nil"/>
          <w:tr2bl w:val="nil"/>
        </w:tcBorders>
      </w:tcPr>
    </w:tblStylePr>
  </w:style>
  <w:style w:type="table" w:styleId="88">
    <w:name w:val="Table Classic 3"/>
    <w:basedOn w:val="79"/>
    <w:semiHidden/>
    <w:qFormat/>
    <w:uiPriority w:val="0"/>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Layout w:type="fixed"/>
    </w:tblPr>
    <w:tcPr>
      <w:shd w:val="solid" w:color="C0C0C0" w:fill="FFFFFF"/>
    </w:tcPr>
    <w:tblStylePr w:type="firstRow">
      <w:rPr>
        <w:b/>
        <w:bCs/>
        <w:i/>
        <w:iCs/>
        <w:color w:val="FFFFFF"/>
      </w:rPr>
      <w:tblPr>
        <w:tblLayout w:type="fixed"/>
      </w:tblPr>
      <w:tcPr>
        <w:tcBorders>
          <w:bottom w:val="single" w:color="000000" w:sz="6" w:space="0"/>
          <w:tl2br w:val="nil"/>
          <w:tr2bl w:val="nil"/>
        </w:tcBorders>
        <w:shd w:val="solid" w:color="000080" w:fill="FFFFFF"/>
      </w:tcPr>
    </w:tblStylePr>
    <w:tblStylePr w:type="lastRow">
      <w:rPr>
        <w:color w:val="000080"/>
      </w:rPr>
      <w:tblPr>
        <w:tblLayout w:type="fixed"/>
      </w:tblPr>
      <w:tcPr>
        <w:tcBorders>
          <w:top w:val="single" w:color="000000" w:sz="12" w:space="0"/>
          <w:tl2br w:val="nil"/>
          <w:tr2bl w:val="nil"/>
        </w:tcBorders>
        <w:shd w:val="solid" w:color="FFFFFF" w:fill="FFFFFF"/>
      </w:tcPr>
    </w:tblStylePr>
    <w:tblStylePr w:type="firstCol">
      <w:rPr>
        <w:b/>
        <w:bCs/>
        <w:color w:val="000000"/>
      </w:rPr>
      <w:tblPr>
        <w:tblLayout w:type="fixed"/>
      </w:tblPr>
      <w:tcPr>
        <w:tcBorders>
          <w:tl2br w:val="nil"/>
          <w:tr2bl w:val="nil"/>
        </w:tcBorders>
      </w:tcPr>
    </w:tblStylePr>
  </w:style>
  <w:style w:type="table" w:styleId="89">
    <w:name w:val="Table Classic 4"/>
    <w:basedOn w:val="79"/>
    <w:semiHidden/>
    <w:qFormat/>
    <w:uiPriority w:val="0"/>
    <w:pPr>
      <w:widowControl w:val="0"/>
      <w:jc w:val="both"/>
    </w:pPr>
    <w:tblPr>
      <w:tblBorders>
        <w:top w:val="single" w:color="000000" w:sz="12" w:space="0"/>
        <w:left w:val="single" w:color="000000" w:sz="6" w:space="0"/>
        <w:bottom w:val="single" w:color="000000" w:sz="12" w:space="0"/>
        <w:right w:val="single" w:color="000000" w:sz="6" w:space="0"/>
      </w:tblBorders>
      <w:tblLayout w:type="fixed"/>
    </w:tblPr>
    <w:tcPr>
      <w:shd w:val="clear" w:color="auto" w:fill="auto"/>
    </w:tcPr>
    <w:tblStylePr w:type="firstRow">
      <w:rPr>
        <w:b/>
        <w:bCs/>
        <w:i/>
        <w:iCs/>
        <w:color w:val="FFFFFF"/>
      </w:rPr>
      <w:tblPr>
        <w:tblLayout w:type="fixed"/>
      </w:tblPr>
      <w:tcPr>
        <w:tcBorders>
          <w:bottom w:val="single" w:color="000000" w:sz="6" w:space="0"/>
          <w:tl2br w:val="nil"/>
          <w:tr2bl w:val="nil"/>
        </w:tcBorders>
        <w:shd w:val="pct50" w:color="000080" w:fill="FFFFFF"/>
      </w:tcPr>
    </w:tblStylePr>
    <w:tblStylePr w:type="lastRow">
      <w:rPr>
        <w:color w:val="000080"/>
      </w:rPr>
      <w:tblPr>
        <w:tblLayout w:type="fixed"/>
      </w:tblPr>
      <w:tcPr>
        <w:tcBorders>
          <w:bottom w:val="single" w:color="000000" w:sz="6" w:space="0"/>
          <w:tl2br w:val="nil"/>
          <w:tr2bl w:val="nil"/>
        </w:tcBorders>
        <w:shd w:val="pct50" w:color="000000" w:fill="FFFFFF"/>
      </w:tcPr>
    </w:tblStylePr>
    <w:tblStylePr w:type="firstCol">
      <w:rPr>
        <w:b/>
        <w:bCs/>
      </w:rPr>
      <w:tblPr>
        <w:tblLayout w:type="fixed"/>
      </w:tblPr>
      <w:tcPr>
        <w:tcBorders>
          <w:tl2br w:val="nil"/>
          <w:tr2bl w:val="nil"/>
        </w:tcBorders>
      </w:tcPr>
    </w:tblStylePr>
    <w:tblStylePr w:type="nwCell">
      <w:rPr>
        <w:b/>
        <w:bCs/>
      </w:rPr>
      <w:tblPr>
        <w:tblLayout w:type="fixed"/>
      </w:tblPr>
      <w:tcPr>
        <w:tcBorders>
          <w:tl2br w:val="nil"/>
          <w:tr2bl w:val="nil"/>
        </w:tcBorders>
      </w:tcPr>
    </w:tblStylePr>
    <w:tblStylePr w:type="swCell">
      <w:rPr>
        <w:color w:val="000080"/>
      </w:rPr>
      <w:tblPr>
        <w:tblLayout w:type="fixed"/>
      </w:tblPr>
      <w:tcPr>
        <w:tcBorders>
          <w:tl2br w:val="nil"/>
          <w:tr2bl w:val="nil"/>
        </w:tcBorders>
      </w:tcPr>
    </w:tblStylePr>
  </w:style>
  <w:style w:type="table" w:styleId="90">
    <w:name w:val="Table Simple 1"/>
    <w:basedOn w:val="79"/>
    <w:semiHidden/>
    <w:qFormat/>
    <w:uiPriority w:val="0"/>
    <w:pPr>
      <w:widowControl w:val="0"/>
      <w:jc w:val="both"/>
    </w:pPr>
    <w:tblPr>
      <w:tblBorders>
        <w:top w:val="single" w:color="008000" w:sz="12" w:space="0"/>
        <w:bottom w:val="single" w:color="008000" w:sz="12" w:space="0"/>
      </w:tblBorders>
      <w:tblLayout w:type="fixed"/>
    </w:tblPr>
    <w:tcPr>
      <w:shd w:val="clear" w:color="auto" w:fill="auto"/>
    </w:tcPr>
    <w:tblStylePr w:type="firstRow">
      <w:tblPr>
        <w:tblLayout w:type="fixed"/>
      </w:tblPr>
      <w:tcPr>
        <w:tcBorders>
          <w:bottom w:val="single" w:color="008000" w:sz="6" w:space="0"/>
          <w:tl2br w:val="nil"/>
          <w:tr2bl w:val="nil"/>
        </w:tcBorders>
      </w:tcPr>
    </w:tblStylePr>
    <w:tblStylePr w:type="lastRow">
      <w:tblPr>
        <w:tblLayout w:type="fixed"/>
      </w:tblPr>
      <w:tcPr>
        <w:tcBorders>
          <w:top w:val="single" w:color="008000" w:sz="6" w:space="0"/>
          <w:tl2br w:val="nil"/>
          <w:tr2bl w:val="nil"/>
        </w:tcBorders>
      </w:tcPr>
    </w:tblStylePr>
  </w:style>
  <w:style w:type="table" w:styleId="91">
    <w:name w:val="Table Simple 2"/>
    <w:basedOn w:val="79"/>
    <w:semiHidden/>
    <w:qFormat/>
    <w:uiPriority w:val="0"/>
    <w:pPr>
      <w:widowControl w:val="0"/>
      <w:jc w:val="both"/>
    </w:pPr>
    <w:tblPr>
      <w:tblLayout w:type="fixed"/>
    </w:tblPr>
    <w:tblStylePr w:type="firstRow">
      <w:rPr>
        <w:b/>
        <w:bCs/>
      </w:rPr>
      <w:tblPr>
        <w:tblLayout w:type="fixed"/>
      </w:tblPr>
      <w:tcPr>
        <w:tcBorders>
          <w:bottom w:val="single" w:color="000000" w:sz="12" w:space="0"/>
          <w:tl2br w:val="nil"/>
          <w:tr2bl w:val="nil"/>
        </w:tcBorders>
      </w:tcPr>
    </w:tblStylePr>
    <w:tblStylePr w:type="lastRow">
      <w:rPr>
        <w:b/>
        <w:bCs/>
        <w:color w:val="auto"/>
      </w:rPr>
      <w:tblPr>
        <w:tblLayout w:type="fixed"/>
      </w:tblPr>
      <w:tcPr>
        <w:tcBorders>
          <w:top w:val="single" w:color="000000" w:sz="6" w:space="0"/>
          <w:tl2br w:val="nil"/>
          <w:tr2bl w:val="nil"/>
        </w:tcBorders>
      </w:tcPr>
    </w:tblStylePr>
    <w:tblStylePr w:type="firstCol">
      <w:rPr>
        <w:b/>
        <w:bCs/>
      </w:rPr>
      <w:tblPr>
        <w:tblLayout w:type="fixed"/>
      </w:tblPr>
      <w:tcPr>
        <w:tcBorders>
          <w:right w:val="single" w:color="000000" w:sz="12" w:space="0"/>
          <w:tl2br w:val="nil"/>
          <w:tr2bl w:val="nil"/>
        </w:tcBorders>
      </w:tcPr>
    </w:tblStylePr>
    <w:tblStylePr w:type="lastCol">
      <w:rPr>
        <w:b/>
        <w:bCs/>
      </w:rPr>
      <w:tblPr>
        <w:tblLayout w:type="fixed"/>
      </w:tblPr>
      <w:tcPr>
        <w:tcBorders>
          <w:left w:val="single" w:color="000000" w:sz="6" w:space="0"/>
          <w:tl2br w:val="nil"/>
          <w:tr2bl w:val="nil"/>
        </w:tcBorders>
      </w:tcPr>
    </w:tblStylePr>
    <w:tblStylePr w:type="neCell">
      <w:rPr>
        <w:b/>
        <w:bCs/>
      </w:rPr>
      <w:tblPr>
        <w:tblLayout w:type="fixed"/>
      </w:tblPr>
      <w:tcPr>
        <w:tcBorders>
          <w:left w:val="nil"/>
          <w:tl2br w:val="nil"/>
          <w:tr2bl w:val="nil"/>
        </w:tcBorders>
      </w:tcPr>
    </w:tblStylePr>
    <w:tblStylePr w:type="swCell">
      <w:rPr>
        <w:b/>
        <w:bCs/>
      </w:rPr>
      <w:tblPr>
        <w:tblLayout w:type="fixed"/>
      </w:tblPr>
      <w:tcPr>
        <w:tcBorders>
          <w:top w:val="nil"/>
          <w:tl2br w:val="nil"/>
          <w:tr2bl w:val="nil"/>
        </w:tcBorders>
      </w:tcPr>
    </w:tblStylePr>
  </w:style>
  <w:style w:type="table" w:styleId="92">
    <w:name w:val="Table Simple 3"/>
    <w:basedOn w:val="79"/>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tblBorders>
      <w:tblLayout w:type="fixed"/>
    </w:tblPr>
    <w:tcPr>
      <w:shd w:val="clear" w:color="auto" w:fill="auto"/>
    </w:tcPr>
    <w:tblStylePr w:type="firstRow">
      <w:rPr>
        <w:b/>
        <w:bCs/>
        <w:color w:val="FFFFFF"/>
      </w:rPr>
      <w:tblPr>
        <w:tblLayout w:type="fixed"/>
      </w:tblPr>
      <w:tcPr>
        <w:tcBorders>
          <w:tl2br w:val="nil"/>
          <w:tr2bl w:val="nil"/>
        </w:tcBorders>
        <w:shd w:val="solid" w:color="000000" w:fill="FFFFFF"/>
      </w:tcPr>
    </w:tblStylePr>
  </w:style>
  <w:style w:type="table" w:styleId="93">
    <w:name w:val="Table Subtle 1"/>
    <w:basedOn w:val="79"/>
    <w:semiHidden/>
    <w:qFormat/>
    <w:uiPriority w:val="0"/>
    <w:pPr>
      <w:widowControl w:val="0"/>
      <w:jc w:val="both"/>
    </w:pPr>
    <w:tblPr>
      <w:tblStyleRowBandSize w:val="1"/>
      <w:tblLayout w:type="fixed"/>
    </w:tblPr>
    <w:tblStylePr w:type="firstRow">
      <w:tblPr>
        <w:tblLayout w:type="fixed"/>
      </w:tblPr>
      <w:tcPr>
        <w:tcBorders>
          <w:top w:val="single" w:color="000000" w:sz="6" w:space="0"/>
          <w:bottom w:val="single" w:color="000000" w:sz="12" w:space="0"/>
          <w:tl2br w:val="nil"/>
          <w:tr2bl w:val="nil"/>
        </w:tcBorders>
      </w:tcPr>
    </w:tblStylePr>
    <w:tblStylePr w:type="lastRow">
      <w:tblPr>
        <w:tblLayout w:type="fixed"/>
      </w:tblPr>
      <w:tcPr>
        <w:tcBorders>
          <w:top w:val="single" w:color="000000" w:sz="12" w:space="0"/>
          <w:tl2br w:val="nil"/>
          <w:tr2bl w:val="nil"/>
        </w:tcBorders>
        <w:shd w:val="pct25" w:color="800080" w:fill="FFFFFF"/>
      </w:tcPr>
    </w:tblStylePr>
    <w:tblStylePr w:type="firstCol">
      <w:tblPr>
        <w:tblLayout w:type="fixed"/>
      </w:tblPr>
      <w:tcPr>
        <w:tcBorders>
          <w:right w:val="single" w:color="000000" w:sz="12" w:space="0"/>
          <w:tl2br w:val="nil"/>
          <w:tr2bl w:val="nil"/>
        </w:tcBorders>
      </w:tcPr>
    </w:tblStylePr>
    <w:tblStylePr w:type="lastCol">
      <w:tblPr>
        <w:tblLayout w:type="fixed"/>
      </w:tblPr>
      <w:tcPr>
        <w:tcBorders>
          <w:left w:val="single" w:color="000000" w:sz="12" w:space="0"/>
          <w:tl2br w:val="nil"/>
          <w:tr2bl w:val="nil"/>
        </w:tcBorders>
      </w:tcPr>
    </w:tblStylePr>
    <w:tblStylePr w:type="band1Horz">
      <w:tblPr>
        <w:tblLayout w:type="fixed"/>
      </w:tblPr>
      <w:tcPr>
        <w:tcBorders>
          <w:bottom w:val="single" w:color="000000" w:sz="6" w:space="0"/>
          <w:tl2br w:val="nil"/>
          <w:tr2bl w:val="nil"/>
        </w:tcBorders>
        <w:shd w:val="pct25" w:color="808000" w:fill="FFFFFF"/>
      </w:tcPr>
    </w:tblStylePr>
    <w:tblStylePr w:type="neCell">
      <w:rPr>
        <w:b/>
        <w:bCs/>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94">
    <w:name w:val="Table Subtle 2"/>
    <w:basedOn w:val="79"/>
    <w:semiHidden/>
    <w:qFormat/>
    <w:uiPriority w:val="0"/>
    <w:pPr>
      <w:widowControl w:val="0"/>
      <w:jc w:val="both"/>
    </w:pPr>
    <w:tblPr>
      <w:tblBorders>
        <w:left w:val="single" w:color="000000" w:sz="6" w:space="0"/>
        <w:right w:val="single" w:color="000000" w:sz="6" w:space="0"/>
      </w:tblBorders>
      <w:tblLayout w:type="fixed"/>
    </w:tblPr>
    <w:tblStylePr w:type="firstRow">
      <w:tblPr>
        <w:tblLayout w:type="fixed"/>
      </w:tblPr>
      <w:tcPr>
        <w:tcBorders>
          <w:bottom w:val="single" w:color="000000" w:sz="12" w:space="0"/>
          <w:tl2br w:val="nil"/>
          <w:tr2bl w:val="nil"/>
        </w:tcBorders>
      </w:tcPr>
    </w:tblStylePr>
    <w:tblStylePr w:type="lastRow">
      <w:tblPr>
        <w:tblLayout w:type="fixed"/>
      </w:tblPr>
      <w:tcPr>
        <w:tcBorders>
          <w:top w:val="single" w:color="000000" w:sz="12" w:space="0"/>
          <w:tl2br w:val="nil"/>
          <w:tr2bl w:val="nil"/>
        </w:tcBorders>
      </w:tcPr>
    </w:tblStylePr>
    <w:tblStylePr w:type="firstCol">
      <w:tblPr>
        <w:tblLayout w:type="fixed"/>
      </w:tblPr>
      <w:tcPr>
        <w:tcBorders>
          <w:right w:val="single" w:color="000000" w:sz="12" w:space="0"/>
          <w:tl2br w:val="nil"/>
          <w:tr2bl w:val="nil"/>
        </w:tcBorders>
        <w:shd w:val="pct25" w:color="008000" w:fill="FFFFFF"/>
      </w:tcPr>
    </w:tblStylePr>
    <w:tblStylePr w:type="lastCol">
      <w:tblPr>
        <w:tblLayout w:type="fixed"/>
      </w:tblPr>
      <w:tcPr>
        <w:tcBorders>
          <w:left w:val="single" w:color="000000" w:sz="12" w:space="0"/>
          <w:tl2br w:val="nil"/>
          <w:tr2bl w:val="nil"/>
        </w:tcBorders>
        <w:shd w:val="pct25" w:color="808000" w:fill="FFFFFF"/>
      </w:tcPr>
    </w:tblStylePr>
    <w:tblStylePr w:type="neCell">
      <w:rPr>
        <w:b/>
        <w:bCs/>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95">
    <w:name w:val="Table 3D effects 1"/>
    <w:basedOn w:val="79"/>
    <w:semiHidden/>
    <w:qFormat/>
    <w:uiPriority w:val="0"/>
    <w:pPr>
      <w:widowControl w:val="0"/>
      <w:jc w:val="both"/>
    </w:pPr>
    <w:tblPr>
      <w:tblLayout w:type="fixed"/>
    </w:tblPr>
    <w:tcPr>
      <w:shd w:val="solid" w:color="C0C0C0" w:fill="FFFFFF"/>
    </w:tcPr>
    <w:tblStylePr w:type="firstRow">
      <w:rPr>
        <w:b/>
        <w:bCs/>
        <w:color w:val="800080"/>
      </w:rPr>
      <w:tblPr>
        <w:tblLayout w:type="fixed"/>
      </w:tblPr>
      <w:tcPr>
        <w:tcBorders>
          <w:bottom w:val="single" w:color="808080" w:sz="6" w:space="0"/>
          <w:tl2br w:val="nil"/>
          <w:tr2bl w:val="nil"/>
        </w:tcBorders>
      </w:tcPr>
    </w:tblStylePr>
    <w:tblStylePr w:type="lastRow">
      <w:tblPr>
        <w:tblLayout w:type="fixed"/>
      </w:tblPr>
      <w:tcPr>
        <w:tcBorders>
          <w:top w:val="single" w:color="FFFFFF" w:sz="6" w:space="0"/>
          <w:tl2br w:val="nil"/>
          <w:tr2bl w:val="nil"/>
        </w:tcBorders>
      </w:tcPr>
    </w:tblStylePr>
    <w:tblStylePr w:type="firstCol">
      <w:rPr>
        <w:b/>
        <w:bCs/>
      </w:rPr>
      <w:tblPr>
        <w:tblLayout w:type="fixed"/>
      </w:tblPr>
      <w:tcPr>
        <w:tcBorders>
          <w:right w:val="single" w:color="808080" w:sz="6" w:space="0"/>
          <w:tl2br w:val="nil"/>
          <w:tr2bl w:val="nil"/>
        </w:tcBorders>
      </w:tcPr>
    </w:tblStylePr>
    <w:tblStylePr w:type="lastCol">
      <w:tblPr>
        <w:tblLayout w:type="fixed"/>
      </w:tblPr>
      <w:tcPr>
        <w:tcBorders>
          <w:left w:val="single" w:color="FFFFFF" w:sz="6" w:space="0"/>
          <w:tl2br w:val="nil"/>
          <w:tr2bl w:val="nil"/>
        </w:tcBorders>
      </w:tcPr>
    </w:tblStylePr>
    <w:tblStylePr w:type="neCell">
      <w:tblPr>
        <w:tblLayout w:type="fixed"/>
      </w:tblPr>
      <w:tcPr>
        <w:tcBorders>
          <w:left w:val="nil"/>
          <w:bottom w:val="nil"/>
          <w:tl2br w:val="nil"/>
          <w:tr2bl w:val="nil"/>
        </w:tcBorders>
      </w:tcPr>
    </w:tblStylePr>
    <w:tblStylePr w:type="nwCell">
      <w:tblPr>
        <w:tblLayout w:type="fixed"/>
      </w:tblPr>
      <w:tcPr>
        <w:tcBorders>
          <w:bottom w:val="nil"/>
          <w:right w:val="nil"/>
          <w:tl2br w:val="nil"/>
          <w:tr2bl w:val="nil"/>
        </w:tcBorders>
      </w:tcPr>
    </w:tblStylePr>
    <w:tblStylePr w:type="seCell">
      <w:tblPr>
        <w:tblLayout w:type="fixed"/>
      </w:tblPr>
      <w:tcPr>
        <w:tcBorders>
          <w:top w:val="nil"/>
          <w:left w:val="nil"/>
          <w:tl2br w:val="nil"/>
          <w:tr2bl w:val="nil"/>
        </w:tcBorders>
      </w:tcPr>
    </w:tblStylePr>
    <w:tblStylePr w:type="swCell">
      <w:rPr>
        <w:color w:val="000080"/>
      </w:rPr>
      <w:tblPr>
        <w:tblLayout w:type="fixed"/>
      </w:tblPr>
      <w:tcPr>
        <w:tcBorders>
          <w:top w:val="nil"/>
          <w:right w:val="nil"/>
          <w:tl2br w:val="nil"/>
          <w:tr2bl w:val="nil"/>
        </w:tcBorders>
      </w:tcPr>
    </w:tblStylePr>
  </w:style>
  <w:style w:type="table" w:styleId="96">
    <w:name w:val="Table 3D effects 2"/>
    <w:basedOn w:val="79"/>
    <w:semiHidden/>
    <w:qFormat/>
    <w:uiPriority w:val="0"/>
    <w:pPr>
      <w:widowControl w:val="0"/>
      <w:jc w:val="both"/>
    </w:pPr>
    <w:tblPr>
      <w:tblStyleRowBandSize w:val="1"/>
      <w:tblLayout w:type="fixed"/>
    </w:tblPr>
    <w:tcPr>
      <w:shd w:val="solid" w:color="C0C0C0" w:fill="FFFFFF"/>
    </w:tcPr>
    <w:tblStylePr w:type="firstRow">
      <w:rPr>
        <w:b/>
        <w:bCs/>
      </w:rPr>
      <w:tblPr>
        <w:tblLayout w:type="fixed"/>
      </w:tblPr>
      <w:tcPr>
        <w:tcBorders>
          <w:tl2br w:val="nil"/>
          <w:tr2bl w:val="nil"/>
        </w:tcBorders>
      </w:tcPr>
    </w:tblStylePr>
    <w:tblStylePr w:type="firstCol">
      <w:tblPr>
        <w:tblLayout w:type="fixed"/>
      </w:tblPr>
      <w:tcPr>
        <w:tcBorders>
          <w:top w:val="nil"/>
          <w:bottom w:val="nil"/>
          <w:right w:val="single" w:color="808080" w:sz="6" w:space="0"/>
          <w:tl2br w:val="nil"/>
          <w:tr2bl w:val="nil"/>
        </w:tcBorders>
      </w:tcPr>
    </w:tblStylePr>
    <w:tblStylePr w:type="lastCol">
      <w:tblPr>
        <w:tblLayout w:type="fixed"/>
      </w:tblPr>
      <w:tcPr>
        <w:tcBorders>
          <w:right w:val="single" w:color="FFFFFF" w:sz="6" w:space="0"/>
          <w:tl2br w:val="nil"/>
          <w:tr2bl w:val="nil"/>
        </w:tcBorders>
      </w:tcPr>
    </w:tblStylePr>
    <w:tblStylePr w:type="band1Horz">
      <w:tblPr>
        <w:tblLayout w:type="fixed"/>
      </w:tblPr>
      <w:tcPr>
        <w:tcBorders>
          <w:top w:val="single" w:color="808080" w:sz="6" w:space="0"/>
          <w:bottom w:val="single" w:color="FFFFFF" w:sz="6" w:space="0"/>
          <w:tl2br w:val="nil"/>
          <w:tr2bl w:val="nil"/>
        </w:tcBorders>
      </w:tcPr>
    </w:tblStylePr>
    <w:tblStylePr w:type="swCell">
      <w:rPr>
        <w:b/>
        <w:bCs/>
      </w:rPr>
      <w:tblPr>
        <w:tblLayout w:type="fixed"/>
      </w:tblPr>
      <w:tcPr>
        <w:tcBorders>
          <w:tl2br w:val="nil"/>
          <w:tr2bl w:val="nil"/>
        </w:tcBorders>
      </w:tcPr>
    </w:tblStylePr>
  </w:style>
  <w:style w:type="table" w:styleId="97">
    <w:name w:val="Table 3D effects 3"/>
    <w:basedOn w:val="79"/>
    <w:semiHidden/>
    <w:qFormat/>
    <w:uiPriority w:val="0"/>
    <w:pPr>
      <w:widowControl w:val="0"/>
      <w:jc w:val="both"/>
    </w:pPr>
    <w:tblPr>
      <w:tblStyleRowBandSize w:val="1"/>
      <w:tblStyleColBandSize w:val="1"/>
      <w:tblLayout w:type="fixed"/>
    </w:tblPr>
    <w:tblStylePr w:type="firstRow">
      <w:rPr>
        <w:b/>
        <w:bCs/>
      </w:rPr>
      <w:tblPr>
        <w:tblLayout w:type="fixed"/>
      </w:tblPr>
      <w:tcPr>
        <w:tcBorders>
          <w:tl2br w:val="nil"/>
          <w:tr2bl w:val="nil"/>
        </w:tcBorders>
      </w:tcPr>
    </w:tblStylePr>
    <w:tblStylePr w:type="firstCol">
      <w:tblPr>
        <w:tblLayout w:type="fixed"/>
      </w:tblPr>
      <w:tcPr>
        <w:tcBorders>
          <w:top w:val="nil"/>
          <w:bottom w:val="nil"/>
          <w:right w:val="single" w:color="808080" w:sz="6" w:space="0"/>
          <w:tl2br w:val="nil"/>
          <w:tr2bl w:val="nil"/>
        </w:tcBorders>
      </w:tcPr>
    </w:tblStylePr>
    <w:tblStylePr w:type="lastCol">
      <w:tblPr>
        <w:tblLayout w:type="fixed"/>
      </w:tblPr>
      <w:tcPr>
        <w:tcBorders>
          <w:right w:val="single" w:color="FFFFFF" w:sz="6" w:space="0"/>
          <w:tl2br w:val="nil"/>
          <w:tr2bl w:val="nil"/>
        </w:tcBorders>
      </w:tcPr>
    </w:tblStylePr>
    <w:tblStylePr w:type="band1Vert">
      <w:rPr>
        <w:color w:val="auto"/>
      </w:rPr>
      <w:tblPr>
        <w:tblLayout w:type="fixed"/>
      </w:tblPr>
      <w:tcPr>
        <w:shd w:val="solid" w:color="C0C0C0" w:fill="FFFFFF"/>
      </w:tcPr>
    </w:tblStylePr>
    <w:tblStylePr w:type="band2Vert">
      <w:rPr>
        <w:color w:val="auto"/>
      </w:rPr>
      <w:tblPr>
        <w:tblLayout w:type="fixed"/>
      </w:tblPr>
      <w:tcPr>
        <w:shd w:val="pct50" w:color="C0C0C0" w:fill="FFFFFF"/>
      </w:tcPr>
    </w:tblStylePr>
    <w:tblStylePr w:type="band1Horz">
      <w:tblPr>
        <w:tblLayout w:type="fixed"/>
      </w:tblPr>
      <w:tcPr>
        <w:tcBorders>
          <w:top w:val="single" w:color="808080" w:sz="6" w:space="0"/>
          <w:bottom w:val="single" w:color="FFFFFF" w:sz="6" w:space="0"/>
          <w:tl2br w:val="nil"/>
          <w:tr2bl w:val="nil"/>
        </w:tcBorders>
      </w:tcPr>
    </w:tblStylePr>
    <w:tblStylePr w:type="swCell">
      <w:rPr>
        <w:b/>
        <w:bCs/>
      </w:rPr>
      <w:tblPr>
        <w:tblLayout w:type="fixed"/>
      </w:tblPr>
      <w:tcPr>
        <w:tcBorders>
          <w:tl2br w:val="nil"/>
          <w:tr2bl w:val="nil"/>
        </w:tcBorders>
      </w:tcPr>
    </w:tblStylePr>
  </w:style>
  <w:style w:type="table" w:styleId="98">
    <w:name w:val="Table List 1"/>
    <w:basedOn w:val="79"/>
    <w:semiHidden/>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Layout w:type="fixed"/>
    </w:tblPr>
    <w:tblStylePr w:type="firstRow">
      <w:rPr>
        <w:b/>
        <w:bCs/>
        <w:i/>
        <w:iCs/>
        <w:color w:val="800000"/>
      </w:rPr>
      <w:tblPr>
        <w:tblLayout w:type="fixed"/>
      </w:tblPr>
      <w:tcPr>
        <w:tcBorders>
          <w:bottom w:val="single" w:color="000000" w:sz="6" w:space="0"/>
          <w:tl2br w:val="nil"/>
          <w:tr2bl w:val="nil"/>
        </w:tcBorders>
        <w:shd w:val="solid" w:color="C0C0C0" w:fill="FFFFFF"/>
      </w:tcPr>
    </w:tblStylePr>
    <w:tblStylePr w:type="lastRow">
      <w:tblPr>
        <w:tblLayout w:type="fixed"/>
      </w:tblPr>
      <w:tcPr>
        <w:tcBorders>
          <w:top w:val="single" w:color="000000" w:sz="6" w:space="0"/>
          <w:tl2br w:val="nil"/>
          <w:tr2bl w:val="nil"/>
        </w:tcBorders>
      </w:tcPr>
    </w:tblStylePr>
    <w:tblStylePr w:type="band1Horz">
      <w:rPr>
        <w:color w:val="auto"/>
      </w:rPr>
      <w:tblPr>
        <w:tblLayout w:type="fixed"/>
      </w:tblPr>
      <w:tcPr>
        <w:tcBorders>
          <w:tl2br w:val="nil"/>
          <w:tr2bl w:val="nil"/>
        </w:tcBorders>
        <w:shd w:val="solid" w:color="C0C0C0" w:fill="FFFFFF"/>
      </w:tcPr>
    </w:tblStylePr>
    <w:tblStylePr w:type="band2Horz">
      <w:rPr>
        <w:color w:val="auto"/>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99">
    <w:name w:val="Table List 2"/>
    <w:basedOn w:val="79"/>
    <w:semiHidden/>
    <w:qFormat/>
    <w:uiPriority w:val="0"/>
    <w:pPr>
      <w:widowControl w:val="0"/>
      <w:jc w:val="both"/>
    </w:pPr>
    <w:tblPr>
      <w:tblBorders>
        <w:bottom w:val="single" w:color="808080" w:sz="12" w:space="0"/>
      </w:tblBorders>
      <w:tblLayout w:type="fixed"/>
    </w:tblPr>
    <w:tblStylePr w:type="firstRow">
      <w:rPr>
        <w:b/>
        <w:bCs/>
        <w:color w:val="FFFFFF"/>
      </w:rPr>
      <w:tblPr>
        <w:tblLayout w:type="fixed"/>
      </w:tblPr>
      <w:tcPr>
        <w:tcBorders>
          <w:bottom w:val="single" w:color="000000" w:sz="6" w:space="0"/>
          <w:tl2br w:val="nil"/>
          <w:tr2bl w:val="nil"/>
        </w:tcBorders>
        <w:shd w:val="pct75" w:color="008080" w:fill="008000"/>
      </w:tcPr>
    </w:tblStylePr>
    <w:tblStylePr w:type="lastRow">
      <w:tblPr>
        <w:tblLayout w:type="fixed"/>
      </w:tblPr>
      <w:tcPr>
        <w:tcBorders>
          <w:top w:val="single" w:color="000000" w:sz="6" w:space="0"/>
          <w:tl2br w:val="nil"/>
          <w:tr2bl w:val="nil"/>
        </w:tcBorders>
      </w:tcPr>
    </w:tblStylePr>
    <w:tblStylePr w:type="band1Horz">
      <w:rPr>
        <w:color w:val="auto"/>
      </w:rPr>
      <w:tblPr>
        <w:tblLayout w:type="fixed"/>
      </w:tblPr>
      <w:tcPr>
        <w:tcBorders>
          <w:tl2br w:val="nil"/>
          <w:tr2bl w:val="nil"/>
        </w:tcBorders>
        <w:shd w:val="pct20" w:color="00FF00" w:fill="FFFFFF"/>
      </w:tcPr>
    </w:tblStylePr>
    <w:tblStylePr w:type="band2Horz">
      <w:rPr>
        <w:color w:val="auto"/>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100">
    <w:name w:val="Table List 3"/>
    <w:basedOn w:val="79"/>
    <w:semiHidden/>
    <w:qFormat/>
    <w:uiPriority w:val="0"/>
    <w:pPr>
      <w:widowControl w:val="0"/>
      <w:jc w:val="both"/>
    </w:pPr>
    <w:tblPr>
      <w:tblBorders>
        <w:top w:val="single" w:color="000000" w:sz="12" w:space="0"/>
        <w:bottom w:val="single" w:color="000000" w:sz="12" w:space="0"/>
        <w:insideH w:val="single" w:color="000000" w:sz="6" w:space="0"/>
      </w:tblBorders>
      <w:tblLayout w:type="fixed"/>
    </w:tblPr>
    <w:tcPr>
      <w:shd w:val="clear" w:color="auto" w:fill="auto"/>
    </w:tcPr>
    <w:tblStylePr w:type="firstRow">
      <w:rPr>
        <w:b/>
        <w:bCs/>
        <w:color w:val="000080"/>
      </w:rPr>
      <w:tblPr>
        <w:tblLayout w:type="fixed"/>
      </w:tblPr>
      <w:tcPr>
        <w:tcBorders>
          <w:bottom w:val="single" w:color="000000" w:sz="12" w:space="0"/>
          <w:tl2br w:val="nil"/>
          <w:tr2bl w:val="nil"/>
        </w:tcBorders>
      </w:tcPr>
    </w:tblStylePr>
    <w:tblStylePr w:type="lastRow">
      <w:tblPr>
        <w:tblLayout w:type="fixed"/>
      </w:tblPr>
      <w:tcPr>
        <w:tcBorders>
          <w:top w:val="single" w:color="000000" w:sz="12" w:space="0"/>
          <w:tl2br w:val="nil"/>
          <w:tr2bl w:val="nil"/>
        </w:tcBorders>
      </w:tcPr>
    </w:tblStylePr>
    <w:tblStylePr w:type="swCell">
      <w:rPr>
        <w:i/>
        <w:iCs/>
        <w:color w:val="000080"/>
      </w:rPr>
      <w:tblPr>
        <w:tblLayout w:type="fixed"/>
      </w:tblPr>
      <w:tcPr>
        <w:tcBorders>
          <w:tl2br w:val="nil"/>
          <w:tr2bl w:val="nil"/>
        </w:tcBorders>
      </w:tcPr>
    </w:tblStylePr>
  </w:style>
  <w:style w:type="table" w:styleId="101">
    <w:name w:val="Table List 4"/>
    <w:basedOn w:val="79"/>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Layout w:type="fixed"/>
    </w:tblPr>
    <w:tcPr>
      <w:shd w:val="clear" w:color="auto" w:fill="auto"/>
    </w:tcPr>
    <w:tblStylePr w:type="firstRow">
      <w:rPr>
        <w:b/>
        <w:bCs/>
        <w:color w:val="FFFFFF"/>
      </w:rPr>
      <w:tblPr>
        <w:tblLayout w:type="fixed"/>
      </w:tblPr>
      <w:tcPr>
        <w:tcBorders>
          <w:bottom w:val="single" w:color="000000" w:sz="12" w:space="0"/>
          <w:tl2br w:val="nil"/>
          <w:tr2bl w:val="nil"/>
        </w:tcBorders>
        <w:shd w:val="solid" w:color="808080" w:fill="FFFFFF"/>
      </w:tcPr>
    </w:tblStylePr>
  </w:style>
  <w:style w:type="table" w:styleId="102">
    <w:name w:val="Table List 5"/>
    <w:basedOn w:val="79"/>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Layout w:type="fixed"/>
    </w:tblPr>
    <w:tcPr>
      <w:shd w:val="clear" w:color="auto" w:fill="auto"/>
    </w:tcPr>
    <w:tblStylePr w:type="firstRow">
      <w:rPr>
        <w:b/>
        <w:bCs/>
      </w:rPr>
      <w:tblPr>
        <w:tblLayout w:type="fixed"/>
      </w:tblPr>
      <w:tcPr>
        <w:tcBorders>
          <w:bottom w:val="single" w:color="000000" w:sz="12" w:space="0"/>
          <w:tl2br w:val="nil"/>
          <w:tr2bl w:val="nil"/>
        </w:tcBorders>
      </w:tcPr>
    </w:tblStylePr>
    <w:tblStylePr w:type="firstCol">
      <w:rPr>
        <w:b/>
        <w:bCs/>
      </w:rPr>
      <w:tblPr>
        <w:tblLayout w:type="fixed"/>
      </w:tblPr>
      <w:tcPr>
        <w:tcBorders>
          <w:tl2br w:val="nil"/>
          <w:tr2bl w:val="nil"/>
        </w:tcBorders>
      </w:tcPr>
    </w:tblStylePr>
  </w:style>
  <w:style w:type="table" w:styleId="103">
    <w:name w:val="Table List 6"/>
    <w:basedOn w:val="79"/>
    <w:semiHidden/>
    <w:qFormat/>
    <w:uiPriority w:val="0"/>
    <w:pPr>
      <w:widowControl w:val="0"/>
      <w:jc w:val="both"/>
    </w:pPr>
    <w:tblPr>
      <w:tblBorders>
        <w:top w:val="single" w:color="000000" w:sz="6" w:space="0"/>
        <w:left w:val="single" w:color="000000" w:sz="6" w:space="0"/>
        <w:bottom w:val="single" w:color="000000" w:sz="6" w:space="0"/>
        <w:right w:val="single" w:color="000000" w:sz="6" w:space="0"/>
      </w:tblBorders>
      <w:tblLayout w:type="fixed"/>
    </w:tblPr>
    <w:tcPr>
      <w:shd w:val="pct50" w:color="000000" w:fill="FFFFFF"/>
    </w:tcPr>
    <w:tblStylePr w:type="firstRow">
      <w:rPr>
        <w:b/>
        <w:bCs/>
      </w:rPr>
      <w:tblPr>
        <w:tblLayout w:type="fixed"/>
      </w:tblPr>
      <w:tcPr>
        <w:tcBorders>
          <w:bottom w:val="single" w:color="000000" w:sz="12" w:space="0"/>
          <w:tl2br w:val="nil"/>
          <w:tr2bl w:val="nil"/>
        </w:tcBorders>
      </w:tcPr>
    </w:tblStylePr>
    <w:tblStylePr w:type="firstCol">
      <w:rPr>
        <w:b/>
        <w:bCs/>
      </w:rPr>
      <w:tblPr>
        <w:tblLayout w:type="fixed"/>
      </w:tblPr>
      <w:tcPr>
        <w:tcBorders>
          <w:right w:val="single" w:color="000000" w:sz="12" w:space="0"/>
          <w:tl2br w:val="nil"/>
          <w:tr2bl w:val="nil"/>
        </w:tcBorders>
      </w:tcPr>
    </w:tblStylePr>
    <w:tblStylePr w:type="band1Horz">
      <w:tblPr>
        <w:tblLayout w:type="fixed"/>
      </w:tblPr>
      <w:tcPr>
        <w:tcBorders>
          <w:tl2br w:val="nil"/>
          <w:tr2bl w:val="nil"/>
        </w:tcBorders>
        <w:shd w:val="pct25" w:color="000000" w:fill="FFFFFF"/>
      </w:tcPr>
    </w:tblStylePr>
    <w:tblStylePr w:type="nwCell">
      <w:tblPr>
        <w:tblLayout w:type="fixed"/>
      </w:tblPr>
      <w:tcPr>
        <w:tcBorders>
          <w:tl2br w:val="single" w:color="000000" w:sz="6" w:space="0"/>
          <w:tr2bl w:val="nil"/>
        </w:tcBorders>
      </w:tcPr>
    </w:tblStylePr>
  </w:style>
  <w:style w:type="table" w:styleId="104">
    <w:name w:val="Table List 7"/>
    <w:basedOn w:val="79"/>
    <w:semiHidden/>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Layout w:type="fixed"/>
    </w:tblPr>
    <w:tblStylePr w:type="firstRow">
      <w:rPr>
        <w:b/>
        <w:bCs/>
      </w:rPr>
      <w:tblPr>
        <w:tblLayout w:type="fixed"/>
      </w:tblPr>
      <w:tcPr>
        <w:tcBorders>
          <w:bottom w:val="single" w:color="008000" w:sz="12" w:space="0"/>
          <w:tl2br w:val="nil"/>
          <w:tr2bl w:val="nil"/>
        </w:tcBorders>
        <w:shd w:val="solid" w:color="C0C0C0" w:fill="FFFFFF"/>
      </w:tcPr>
    </w:tblStylePr>
    <w:tblStylePr w:type="lastRow">
      <w:rPr>
        <w:b/>
        <w:bCs/>
      </w:rPr>
      <w:tblPr>
        <w:tblLayout w:type="fixed"/>
      </w:tblPr>
      <w:tcPr>
        <w:tcBorders>
          <w:top w:val="single" w:color="008000" w:sz="12" w:space="0"/>
          <w:tl2br w:val="nil"/>
          <w:tr2bl w:val="nil"/>
        </w:tcBorders>
      </w:tcPr>
    </w:tblStylePr>
    <w:tblStylePr w:type="firstCol">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band1Horz">
      <w:rPr>
        <w:color w:val="auto"/>
      </w:rPr>
      <w:tblPr>
        <w:tblLayout w:type="fixed"/>
      </w:tblPr>
      <w:tcPr>
        <w:tcBorders>
          <w:tl2br w:val="nil"/>
          <w:tr2bl w:val="nil"/>
        </w:tcBorders>
        <w:shd w:val="pct20" w:color="000000" w:fill="FFFFFF"/>
      </w:tcPr>
    </w:tblStylePr>
    <w:tblStylePr w:type="band2Horz">
      <w:tblPr>
        <w:tblLayout w:type="fixed"/>
      </w:tblPr>
      <w:tcPr>
        <w:tcBorders>
          <w:tl2br w:val="nil"/>
          <w:tr2bl w:val="nil"/>
        </w:tcBorders>
        <w:shd w:val="pct25" w:color="FFFF00" w:fill="FFFFFF"/>
      </w:tcPr>
    </w:tblStylePr>
  </w:style>
  <w:style w:type="table" w:styleId="105">
    <w:name w:val="Table List 8"/>
    <w:basedOn w:val="79"/>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Layout w:type="fixed"/>
    </w:tblPr>
    <w:tblStylePr w:type="firstRow">
      <w:rPr>
        <w:b/>
        <w:bCs/>
        <w:i/>
        <w:iCs/>
      </w:rPr>
      <w:tblPr>
        <w:tblLayout w:type="fixed"/>
      </w:tblPr>
      <w:tcPr>
        <w:tcBorders>
          <w:bottom w:val="single" w:color="000000" w:sz="6" w:space="0"/>
          <w:tl2br w:val="nil"/>
          <w:tr2bl w:val="nil"/>
        </w:tcBorders>
        <w:shd w:val="solid" w:color="FFFF00" w:fill="FFFFFF"/>
      </w:tcPr>
    </w:tblStylePr>
    <w:tblStylePr w:type="lastRow">
      <w:rPr>
        <w:b/>
        <w:bCs/>
      </w:rPr>
      <w:tblPr>
        <w:tblLayout w:type="fixed"/>
      </w:tblPr>
      <w:tcPr>
        <w:tcBorders>
          <w:top w:val="single" w:color="000000" w:sz="6" w:space="0"/>
          <w:tl2br w:val="nil"/>
          <w:tr2bl w:val="nil"/>
        </w:tcBorders>
      </w:tcPr>
    </w:tblStylePr>
    <w:tblStylePr w:type="firstCol">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band1Horz">
      <w:rPr>
        <w:color w:val="auto"/>
      </w:rPr>
      <w:tblPr>
        <w:tblLayout w:type="fixed"/>
      </w:tblPr>
      <w:tcPr>
        <w:tcBorders>
          <w:tl2br w:val="nil"/>
          <w:tr2bl w:val="nil"/>
        </w:tcBorders>
        <w:shd w:val="pct25" w:color="FFFF00" w:fill="FFFFFF"/>
      </w:tcPr>
    </w:tblStylePr>
    <w:tblStylePr w:type="band2Horz">
      <w:tblPr>
        <w:tblLayout w:type="fixed"/>
      </w:tblPr>
      <w:tcPr>
        <w:tcBorders>
          <w:tl2br w:val="nil"/>
          <w:tr2bl w:val="nil"/>
        </w:tcBorders>
        <w:shd w:val="pct50" w:color="FF0000" w:fill="FFFFFF"/>
      </w:tcPr>
    </w:tblStylePr>
    <w:tblStylePr w:type="nwCell">
      <w:tblPr>
        <w:tblLayout w:type="fixed"/>
      </w:tblPr>
      <w:tcPr>
        <w:tcBorders>
          <w:tl2br w:val="single" w:color="auto" w:sz="6" w:space="0"/>
          <w:tr2bl w:val="nil"/>
        </w:tcBorders>
      </w:tcPr>
    </w:tblStylePr>
  </w:style>
  <w:style w:type="table" w:styleId="106">
    <w:name w:val="Table Contemporary"/>
    <w:basedOn w:val="79"/>
    <w:semiHidden/>
    <w:qFormat/>
    <w:uiPriority w:val="0"/>
    <w:pPr>
      <w:widowControl w:val="0"/>
      <w:jc w:val="both"/>
    </w:pPr>
    <w:tblPr>
      <w:tblBorders>
        <w:insideH w:val="single" w:color="FFFFFF" w:sz="18" w:space="0"/>
        <w:insideV w:val="single" w:color="FFFFFF" w:sz="18" w:space="0"/>
      </w:tblBorders>
      <w:tblLayout w:type="fixed"/>
    </w:tblPr>
    <w:tblStylePr w:type="firstRow">
      <w:rPr>
        <w:b/>
        <w:bCs/>
        <w:color w:val="auto"/>
      </w:rPr>
      <w:tblPr>
        <w:tblLayout w:type="fixed"/>
      </w:tblPr>
      <w:tcPr>
        <w:tcBorders>
          <w:tl2br w:val="nil"/>
          <w:tr2bl w:val="nil"/>
        </w:tcBorders>
        <w:shd w:val="pct20" w:color="000000" w:fill="FFFFFF"/>
      </w:tcPr>
    </w:tblStylePr>
    <w:tblStylePr w:type="band1Horz">
      <w:rPr>
        <w:color w:val="auto"/>
      </w:rPr>
      <w:tblPr>
        <w:tblLayout w:type="fixed"/>
      </w:tblPr>
      <w:tcPr>
        <w:tcBorders>
          <w:tl2br w:val="nil"/>
          <w:tr2bl w:val="nil"/>
        </w:tcBorders>
        <w:shd w:val="pct5" w:color="000000" w:fill="FFFFFF"/>
      </w:tcPr>
    </w:tblStylePr>
    <w:tblStylePr w:type="band2Horz">
      <w:rPr>
        <w:color w:val="auto"/>
      </w:rPr>
      <w:tblPr>
        <w:tblLayout w:type="fixed"/>
      </w:tblPr>
      <w:tcPr>
        <w:tcBorders>
          <w:tl2br w:val="nil"/>
          <w:tr2bl w:val="nil"/>
        </w:tcBorders>
        <w:shd w:val="pct20" w:color="000000" w:fill="FFFFFF"/>
      </w:tcPr>
    </w:tblStylePr>
  </w:style>
  <w:style w:type="table" w:styleId="107">
    <w:name w:val="Table Columns 1"/>
    <w:basedOn w:val="79"/>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Layout w:type="fixed"/>
    </w:tblPr>
    <w:tblStylePr w:type="firstRow">
      <w:rPr>
        <w:b w:val="0"/>
        <w:bCs w:val="0"/>
      </w:rPr>
      <w:tblPr>
        <w:tblLayout w:type="fixed"/>
      </w:tblPr>
      <w:tcPr>
        <w:tcBorders>
          <w:bottom w:val="double" w:color="000000" w:sz="6" w:space="0"/>
          <w:tl2br w:val="nil"/>
          <w:tr2bl w:val="nil"/>
        </w:tcBorders>
      </w:tcPr>
    </w:tblStylePr>
    <w:tblStylePr w:type="lastRow">
      <w:rPr>
        <w:b w:val="0"/>
        <w:bCs w:val="0"/>
      </w:rPr>
      <w:tblPr>
        <w:tblLayout w:type="fixed"/>
      </w:tblPr>
      <w:tcPr>
        <w:tcBorders>
          <w:tl2br w:val="nil"/>
          <w:tr2bl w:val="nil"/>
        </w:tcBorders>
      </w:tcPr>
    </w:tblStylePr>
    <w:tblStylePr w:type="firstCol">
      <w:rPr>
        <w:b w:val="0"/>
        <w:bCs w:val="0"/>
      </w:rPr>
      <w:tblPr>
        <w:tblLayout w:type="fixed"/>
      </w:tblPr>
      <w:tcPr>
        <w:tcBorders>
          <w:tl2br w:val="nil"/>
          <w:tr2bl w:val="nil"/>
        </w:tcBorders>
      </w:tcPr>
    </w:tblStylePr>
    <w:tblStylePr w:type="lastCol">
      <w:rPr>
        <w:b w:val="0"/>
        <w:bCs w:val="0"/>
      </w:rPr>
      <w:tblPr>
        <w:tblLayout w:type="fixed"/>
      </w:tblPr>
      <w:tcPr>
        <w:tcBorders>
          <w:tl2br w:val="nil"/>
          <w:tr2bl w:val="nil"/>
        </w:tcBorders>
      </w:tcPr>
    </w:tblStylePr>
    <w:tblStylePr w:type="band1Vert">
      <w:rPr>
        <w:color w:val="auto"/>
      </w:rPr>
      <w:tblPr>
        <w:tblLayout w:type="fixed"/>
      </w:tblPr>
      <w:tcPr>
        <w:shd w:val="pct25" w:color="000000" w:fill="FFFFFF"/>
      </w:tcPr>
    </w:tblStylePr>
    <w:tblStylePr w:type="band2Vert">
      <w:rPr>
        <w:color w:val="auto"/>
      </w:rPr>
      <w:tblPr>
        <w:tblLayout w:type="fixed"/>
      </w:tblPr>
      <w:tcPr>
        <w:shd w:val="pct25" w:color="FFFF00" w:fill="FFFFFF"/>
      </w:tcPr>
    </w:tblStylePr>
    <w:tblStylePr w:type="neCell">
      <w:rPr>
        <w:b/>
        <w:bCs/>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108">
    <w:name w:val="Table Columns 2"/>
    <w:basedOn w:val="79"/>
    <w:semiHidden/>
    <w:qFormat/>
    <w:uiPriority w:val="0"/>
    <w:pPr>
      <w:widowControl w:val="0"/>
      <w:jc w:val="both"/>
    </w:pPr>
    <w:rPr>
      <w:b/>
      <w:bCs/>
    </w:rPr>
    <w:tblPr>
      <w:tblStyleColBandSize w:val="1"/>
      <w:tblLayout w:type="fixed"/>
    </w:tblPr>
    <w:tblStylePr w:type="firstRow">
      <w:rPr>
        <w:color w:val="FFFFFF"/>
      </w:rPr>
      <w:tblPr>
        <w:tblLayout w:type="fixed"/>
      </w:tblPr>
      <w:tcPr>
        <w:tcBorders>
          <w:tl2br w:val="nil"/>
          <w:tr2bl w:val="nil"/>
        </w:tcBorders>
        <w:shd w:val="solid" w:color="000080" w:fill="FFFFFF"/>
      </w:tcPr>
    </w:tblStylePr>
    <w:tblStylePr w:type="lastRow">
      <w:rPr>
        <w:b w:val="0"/>
        <w:bCs w:val="0"/>
      </w:rPr>
      <w:tblPr>
        <w:tblLayout w:type="fixed"/>
      </w:tblPr>
      <w:tcPr>
        <w:tcBorders>
          <w:tl2br w:val="nil"/>
          <w:tr2bl w:val="nil"/>
        </w:tcBorders>
      </w:tcPr>
    </w:tblStylePr>
    <w:tblStylePr w:type="firstCol">
      <w:rPr>
        <w:b w:val="0"/>
        <w:bCs w:val="0"/>
        <w:color w:val="000000"/>
      </w:rPr>
      <w:tblPr>
        <w:tblLayout w:type="fixed"/>
      </w:tblPr>
      <w:tcPr>
        <w:tcBorders>
          <w:tl2br w:val="nil"/>
          <w:tr2bl w:val="nil"/>
        </w:tcBorders>
      </w:tcPr>
    </w:tblStylePr>
    <w:tblStylePr w:type="lastCol">
      <w:rPr>
        <w:b w:val="0"/>
        <w:bCs w:val="0"/>
      </w:rPr>
      <w:tblPr>
        <w:tblLayout w:type="fixed"/>
      </w:tblPr>
      <w:tcPr>
        <w:tcBorders>
          <w:tl2br w:val="nil"/>
          <w:tr2bl w:val="nil"/>
        </w:tcBorders>
      </w:tcPr>
    </w:tblStylePr>
    <w:tblStylePr w:type="band1Vert">
      <w:rPr>
        <w:color w:val="auto"/>
      </w:rPr>
      <w:tblPr>
        <w:tblLayout w:type="fixed"/>
      </w:tblPr>
      <w:tcPr>
        <w:shd w:val="pct30" w:color="000000" w:fill="FFFFFF"/>
      </w:tcPr>
    </w:tblStylePr>
    <w:tblStylePr w:type="band2Vert">
      <w:rPr>
        <w:color w:val="auto"/>
      </w:rPr>
      <w:tblPr>
        <w:tblLayout w:type="fixed"/>
      </w:tblPr>
      <w:tcPr>
        <w:shd w:val="pct25" w:color="00FF00" w:fill="FFFFFF"/>
      </w:tcPr>
    </w:tblStylePr>
    <w:tblStylePr w:type="neCell">
      <w:rPr>
        <w:b/>
        <w:bCs/>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109">
    <w:name w:val="Table Columns 3"/>
    <w:basedOn w:val="79"/>
    <w:semiHidden/>
    <w:qFormat/>
    <w:uiPriority w:val="0"/>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Layout w:type="fixed"/>
    </w:tblPr>
    <w:tblStylePr w:type="firstRow">
      <w:rPr>
        <w:color w:val="FFFFFF"/>
      </w:rPr>
      <w:tblPr>
        <w:tblLayout w:type="fixed"/>
      </w:tblPr>
      <w:tcPr>
        <w:tcBorders>
          <w:tl2br w:val="nil"/>
          <w:tr2bl w:val="nil"/>
        </w:tcBorders>
        <w:shd w:val="solid" w:color="000080" w:fill="FFFFFF"/>
      </w:tcPr>
    </w:tblStylePr>
    <w:tblStylePr w:type="lastRow">
      <w:rPr>
        <w:b w:val="0"/>
        <w:bCs w:val="0"/>
      </w:rPr>
      <w:tblPr>
        <w:tblLayout w:type="fixed"/>
      </w:tblPr>
      <w:tcPr>
        <w:tcBorders>
          <w:top w:val="single" w:color="000080" w:sz="6" w:space="0"/>
          <w:tl2br w:val="nil"/>
          <w:tr2bl w:val="nil"/>
        </w:tcBorders>
      </w:tcPr>
    </w:tblStylePr>
    <w:tblStylePr w:type="firstCol">
      <w:rPr>
        <w:b w:val="0"/>
        <w:bCs w:val="0"/>
      </w:rPr>
      <w:tblPr>
        <w:tblLayout w:type="fixed"/>
      </w:tblPr>
      <w:tcPr>
        <w:tcBorders>
          <w:tl2br w:val="nil"/>
          <w:tr2bl w:val="nil"/>
        </w:tcBorders>
      </w:tcPr>
    </w:tblStylePr>
    <w:tblStylePr w:type="lastCol">
      <w:rPr>
        <w:b w:val="0"/>
        <w:bCs w:val="0"/>
      </w:rPr>
      <w:tblPr>
        <w:tblLayout w:type="fixed"/>
      </w:tblPr>
      <w:tcPr>
        <w:tcBorders>
          <w:tl2br w:val="nil"/>
          <w:tr2bl w:val="nil"/>
        </w:tcBorders>
      </w:tcPr>
    </w:tblStylePr>
    <w:tblStylePr w:type="band1Vert">
      <w:rPr>
        <w:color w:val="auto"/>
      </w:rPr>
      <w:tblPr>
        <w:tblLayout w:type="fixed"/>
      </w:tblPr>
      <w:tcPr>
        <w:shd w:val="solid" w:color="C0C0C0" w:fill="FFFFFF"/>
      </w:tcPr>
    </w:tblStylePr>
    <w:tblStylePr w:type="band2Vert">
      <w:rPr>
        <w:color w:val="auto"/>
      </w:rPr>
      <w:tblPr>
        <w:tblLayout w:type="fixed"/>
      </w:tblPr>
      <w:tcPr>
        <w:shd w:val="pct10" w:color="000000" w:fill="FFFFFF"/>
      </w:tcPr>
    </w:tblStylePr>
    <w:tblStylePr w:type="neCell">
      <w:rPr>
        <w:b/>
        <w:bCs/>
      </w:rPr>
      <w:tblPr>
        <w:tblLayout w:type="fixed"/>
      </w:tblPr>
      <w:tcPr>
        <w:tcBorders>
          <w:tl2br w:val="nil"/>
          <w:tr2bl w:val="nil"/>
        </w:tcBorders>
      </w:tcPr>
    </w:tblStylePr>
  </w:style>
  <w:style w:type="table" w:styleId="110">
    <w:name w:val="Table Columns 4"/>
    <w:basedOn w:val="79"/>
    <w:semiHidden/>
    <w:qFormat/>
    <w:uiPriority w:val="0"/>
    <w:pPr>
      <w:widowControl w:val="0"/>
      <w:jc w:val="both"/>
    </w:pPr>
    <w:tblPr>
      <w:tblStyleColBandSize w:val="1"/>
      <w:tblLayout w:type="fixed"/>
    </w:tblPr>
    <w:tblStylePr w:type="firstRow">
      <w:rPr>
        <w:color w:val="FFFFFF"/>
      </w:rPr>
      <w:tblPr>
        <w:tblLayout w:type="fixed"/>
      </w:tblPr>
      <w:tcPr>
        <w:tcBorders>
          <w:tl2br w:val="nil"/>
          <w:tr2bl w:val="nil"/>
        </w:tcBorders>
        <w:shd w:val="solid" w:color="000000" w:fill="FFFFFF"/>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band1Vert">
      <w:rPr>
        <w:color w:val="auto"/>
      </w:rPr>
      <w:tblPr>
        <w:tblLayout w:type="fixed"/>
      </w:tblPr>
      <w:tcPr>
        <w:shd w:val="pct50" w:color="008080" w:fill="FFFFFF"/>
      </w:tcPr>
    </w:tblStylePr>
    <w:tblStylePr w:type="band2Vert">
      <w:rPr>
        <w:color w:val="auto"/>
      </w:rPr>
      <w:tblPr>
        <w:tblLayout w:type="fixed"/>
      </w:tblPr>
      <w:tcPr>
        <w:shd w:val="pct10" w:color="000000" w:fill="FFFFFF"/>
      </w:tcPr>
    </w:tblStylePr>
  </w:style>
  <w:style w:type="table" w:styleId="111">
    <w:name w:val="Table Columns 5"/>
    <w:basedOn w:val="79"/>
    <w:semiHidden/>
    <w:qFormat/>
    <w:uiPriority w:val="0"/>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Layout w:type="fixed"/>
    </w:tblPr>
    <w:tblStylePr w:type="firstRow">
      <w:rPr>
        <w:b/>
        <w:bCs/>
        <w:i/>
        <w:iCs/>
      </w:rPr>
      <w:tblPr>
        <w:tblLayout w:type="fixed"/>
      </w:tblPr>
      <w:tcPr>
        <w:tcBorders>
          <w:bottom w:val="single" w:color="808080" w:sz="6" w:space="0"/>
          <w:tl2br w:val="nil"/>
          <w:tr2bl w:val="nil"/>
        </w:tcBorders>
      </w:tcPr>
    </w:tblStylePr>
    <w:tblStylePr w:type="lastRow">
      <w:rPr>
        <w:b/>
        <w:bCs/>
      </w:rPr>
      <w:tblPr>
        <w:tblLayout w:type="fixed"/>
      </w:tblPr>
      <w:tcPr>
        <w:tcBorders>
          <w:top w:val="single" w:color="808080" w:sz="6" w:space="0"/>
          <w:tl2br w:val="nil"/>
          <w:tr2bl w:val="nil"/>
        </w:tcBorders>
      </w:tcPr>
    </w:tblStylePr>
    <w:tblStylePr w:type="firstCol">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band1Vert">
      <w:rPr>
        <w:color w:val="auto"/>
      </w:rPr>
      <w:tblPr>
        <w:tblLayout w:type="fixed"/>
      </w:tblPr>
      <w:tcPr>
        <w:shd w:val="solid" w:color="C0C0C0" w:fill="FFFFFF"/>
      </w:tcPr>
    </w:tblStylePr>
    <w:tblStylePr w:type="band2Vert">
      <w:rPr>
        <w:color w:val="auto"/>
      </w:rPr>
    </w:tblStylePr>
  </w:style>
  <w:style w:type="table" w:styleId="112">
    <w:name w:val="Table Grid 1"/>
    <w:basedOn w:val="79"/>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
    <w:tcPr>
      <w:shd w:val="clear" w:color="auto" w:fill="auto"/>
    </w:tcPr>
    <w:tblStylePr w:type="lastRow">
      <w:rPr>
        <w:i/>
        <w:iCs/>
      </w:rPr>
      <w:tblPr>
        <w:tblLayout w:type="fixed"/>
      </w:tblPr>
      <w:tcPr>
        <w:tcBorders>
          <w:tl2br w:val="nil"/>
          <w:tr2bl w:val="nil"/>
        </w:tcBorders>
      </w:tcPr>
    </w:tblStylePr>
    <w:tblStylePr w:type="lastCol">
      <w:rPr>
        <w:i/>
        <w:i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13">
    <w:name w:val="Table Grid 2"/>
    <w:basedOn w:val="79"/>
    <w:semiHidden/>
    <w:qFormat/>
    <w:uiPriority w:val="0"/>
    <w:pPr>
      <w:widowControl w:val="0"/>
      <w:jc w:val="both"/>
    </w:pPr>
    <w:tblPr>
      <w:tblBorders>
        <w:insideH w:val="single" w:color="000000" w:sz="6" w:space="0"/>
        <w:insideV w:val="single" w:color="000000" w:sz="6" w:space="0"/>
      </w:tblBorders>
      <w:tblLayout w:type="fixed"/>
    </w:tblPr>
    <w:tcPr>
      <w:shd w:val="clear" w:color="auto" w:fill="auto"/>
    </w:tcPr>
    <w:tblStylePr w:type="firstRow">
      <w:rPr>
        <w:b/>
        <w:bCs/>
      </w:rPr>
      <w:tblPr>
        <w:tblLayout w:type="fixed"/>
      </w:tblPr>
      <w:tcPr>
        <w:tcBorders>
          <w:tl2br w:val="nil"/>
          <w:tr2bl w:val="nil"/>
        </w:tcBorders>
      </w:tcPr>
    </w:tblStylePr>
    <w:tblStylePr w:type="lastRow">
      <w:rPr>
        <w:b/>
        <w:bCs/>
      </w:rPr>
      <w:tblPr>
        <w:tblLayout w:type="fixed"/>
      </w:tblPr>
      <w:tcPr>
        <w:tcBorders>
          <w:top w:val="single" w:color="000000" w:sz="6" w:space="0"/>
          <w:tl2br w:val="nil"/>
          <w:tr2bl w:val="nil"/>
        </w:tcBorders>
      </w:tcPr>
    </w:tblStylePr>
    <w:tblStylePr w:type="firstCol">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style>
  <w:style w:type="table" w:styleId="114">
    <w:name w:val="Table Grid 3"/>
    <w:basedOn w:val="79"/>
    <w:semiHidden/>
    <w:qFormat/>
    <w:uiPriority w:val="0"/>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Layout w:type="fixed"/>
    </w:tblPr>
    <w:tcPr>
      <w:shd w:val="clear" w:color="auto" w:fill="auto"/>
    </w:tcPr>
    <w:tblStylePr w:type="firstRow">
      <w:tblPr>
        <w:tblLayout w:type="fixed"/>
      </w:tblPr>
      <w:tcPr>
        <w:tcBorders>
          <w:bottom w:val="single" w:color="000000" w:sz="6" w:space="0"/>
          <w:tl2br w:val="nil"/>
          <w:tr2bl w:val="nil"/>
        </w:tcBorders>
        <w:shd w:val="pct30" w:color="FFFF00" w:fill="FFFFFF"/>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15">
    <w:name w:val="Table Grid 4"/>
    <w:basedOn w:val="79"/>
    <w:semiHidden/>
    <w:qFormat/>
    <w:uiPriority w:val="0"/>
    <w:pPr>
      <w:widowControl w:val="0"/>
      <w:jc w:val="both"/>
    </w:pPr>
    <w:tblPr>
      <w:tblBorders>
        <w:left w:val="single" w:color="000000" w:sz="12" w:space="0"/>
        <w:right w:val="single" w:color="000000" w:sz="12" w:space="0"/>
        <w:insideH w:val="single" w:color="000000" w:sz="6" w:space="0"/>
        <w:insideV w:val="single" w:color="000000" w:sz="6" w:space="0"/>
      </w:tblBorders>
      <w:tblLayout w:type="fixed"/>
    </w:tblPr>
    <w:tcPr>
      <w:shd w:val="clear" w:color="auto" w:fill="auto"/>
    </w:tcPr>
    <w:tblStylePr w:type="firstRow">
      <w:rPr>
        <w:color w:val="auto"/>
      </w:rPr>
      <w:tblPr>
        <w:tblLayout w:type="fixed"/>
      </w:tblPr>
      <w:tcPr>
        <w:tcBorders>
          <w:bottom w:val="single" w:color="000000" w:sz="6" w:space="0"/>
          <w:tl2br w:val="nil"/>
          <w:tr2bl w:val="nil"/>
        </w:tcBorders>
        <w:shd w:val="pct30" w:color="FFFF00" w:fill="FFFFFF"/>
      </w:tcPr>
    </w:tblStylePr>
    <w:tblStylePr w:type="lastRow">
      <w:rPr>
        <w:b/>
        <w:bCs/>
        <w:color w:val="auto"/>
      </w:rPr>
      <w:tblPr>
        <w:tblLayout w:type="fixed"/>
      </w:tblPr>
      <w:tcPr>
        <w:tcBorders>
          <w:top w:val="single" w:color="000000" w:sz="6" w:space="0"/>
          <w:tl2br w:val="nil"/>
          <w:tr2bl w:val="nil"/>
        </w:tcBorders>
        <w:shd w:val="pct30" w:color="FFFF00" w:fill="FFFFFF"/>
      </w:tcPr>
    </w:tblStylePr>
    <w:tblStylePr w:type="lastCol">
      <w:rPr>
        <w:b/>
        <w:bCs/>
        <w:color w:val="auto"/>
      </w:rPr>
      <w:tblPr>
        <w:tblLayout w:type="fixed"/>
      </w:tblPr>
      <w:tcPr>
        <w:tcBorders>
          <w:tl2br w:val="nil"/>
          <w:tr2bl w:val="nil"/>
        </w:tcBorders>
      </w:tcPr>
    </w:tblStylePr>
  </w:style>
  <w:style w:type="table" w:styleId="116">
    <w:name w:val="Table Grid 5"/>
    <w:basedOn w:val="79"/>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
    <w:tcPr>
      <w:shd w:val="clear" w:color="auto" w:fill="auto"/>
    </w:tcPr>
    <w:tblStylePr w:type="firstRow">
      <w:tblPr>
        <w:tblLayout w:type="fixed"/>
      </w:tblPr>
      <w:tcPr>
        <w:tcBorders>
          <w:bottom w:val="single" w:color="000000" w:sz="12" w:space="0"/>
          <w:tl2br w:val="nil"/>
          <w:tr2bl w:val="nil"/>
        </w:tcBorders>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17">
    <w:name w:val="Table Grid 6"/>
    <w:basedOn w:val="79"/>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Layout w:type="fixed"/>
    </w:tblPr>
    <w:tcPr>
      <w:shd w:val="clear" w:color="auto" w:fill="auto"/>
    </w:tcPr>
    <w:tblStylePr w:type="firstRow">
      <w:rPr>
        <w:b/>
        <w:bCs/>
      </w:rPr>
      <w:tblPr>
        <w:tblLayout w:type="fixed"/>
      </w:tblPr>
      <w:tcPr>
        <w:tcBorders>
          <w:bottom w:val="single" w:color="000000" w:sz="6" w:space="0"/>
          <w:tl2br w:val="nil"/>
          <w:tr2bl w:val="nil"/>
        </w:tcBorders>
      </w:tcPr>
    </w:tblStylePr>
    <w:tblStylePr w:type="lastRow">
      <w:rPr>
        <w:color w:val="auto"/>
      </w:rPr>
      <w:tblPr>
        <w:tblLayout w:type="fixed"/>
      </w:tblPr>
      <w:tcPr>
        <w:tcBorders>
          <w:top w:val="single" w:color="000000" w:sz="6" w:space="0"/>
          <w:tl2br w:val="nil"/>
          <w:tr2bl w:val="nil"/>
        </w:tcBorders>
      </w:tcPr>
    </w:tblStylePr>
    <w:tblStylePr w:type="fir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18">
    <w:name w:val="Table Grid 7"/>
    <w:basedOn w:val="79"/>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
    <w:tcPr>
      <w:shd w:val="clear" w:color="auto" w:fill="auto"/>
    </w:tcPr>
    <w:tblStylePr w:type="firstRow">
      <w:rPr>
        <w:b w:val="0"/>
        <w:bCs w:val="0"/>
      </w:rPr>
      <w:tblPr>
        <w:tblLayout w:type="fixed"/>
      </w:tblPr>
      <w:tcPr>
        <w:tcBorders>
          <w:bottom w:val="single" w:color="000000" w:sz="12" w:space="0"/>
          <w:tl2br w:val="nil"/>
          <w:tr2bl w:val="nil"/>
        </w:tcBorders>
      </w:tcPr>
    </w:tblStylePr>
    <w:tblStylePr w:type="lastRow">
      <w:rPr>
        <w:b w:val="0"/>
        <w:bCs w:val="0"/>
      </w:rPr>
      <w:tblPr>
        <w:tblLayout w:type="fixed"/>
      </w:tblPr>
      <w:tcPr>
        <w:tcBorders>
          <w:top w:val="single" w:color="000000" w:sz="6" w:space="0"/>
          <w:tl2br w:val="nil"/>
          <w:tr2bl w:val="nil"/>
        </w:tcBorders>
      </w:tcPr>
    </w:tblStylePr>
    <w:tblStylePr w:type="firstCol">
      <w:rPr>
        <w:b w:val="0"/>
        <w:bCs w:val="0"/>
      </w:rPr>
      <w:tblPr>
        <w:tblLayout w:type="fixed"/>
      </w:tblPr>
      <w:tcPr>
        <w:tcBorders>
          <w:tl2br w:val="nil"/>
          <w:tr2bl w:val="nil"/>
        </w:tcBorders>
      </w:tcPr>
    </w:tblStylePr>
    <w:tblStylePr w:type="lastCol">
      <w:rPr>
        <w:b w:val="0"/>
        <w:bCs w:val="0"/>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19">
    <w:name w:val="Table Grid 8"/>
    <w:basedOn w:val="79"/>
    <w:semiHidden/>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Layout w:type="fixed"/>
    </w:tblPr>
    <w:tcPr>
      <w:shd w:val="clear" w:color="auto" w:fill="auto"/>
    </w:tcPr>
    <w:tblStylePr w:type="firstRow">
      <w:rPr>
        <w:b/>
        <w:bCs/>
        <w:color w:val="FFFFFF"/>
      </w:rPr>
      <w:tblPr>
        <w:tblLayout w:type="fixed"/>
      </w:tblPr>
      <w:tcPr>
        <w:tcBorders>
          <w:tl2br w:val="nil"/>
          <w:tr2bl w:val="nil"/>
        </w:tcBorders>
        <w:shd w:val="solid" w:color="000080" w:fill="FFFFFF"/>
      </w:tcPr>
    </w:tblStylePr>
    <w:tblStylePr w:type="lastRow">
      <w:rPr>
        <w:b/>
        <w:bCs/>
        <w:color w:val="auto"/>
      </w:rPr>
      <w:tblPr>
        <w:tblLayout w:type="fixed"/>
      </w:tblPr>
      <w:tcPr>
        <w:tcBorders>
          <w:tl2br w:val="nil"/>
          <w:tr2bl w:val="nil"/>
        </w:tcBorders>
      </w:tcPr>
    </w:tblStylePr>
    <w:tblStylePr w:type="lastCol">
      <w:rPr>
        <w:b/>
        <w:bCs/>
        <w:color w:val="auto"/>
      </w:rPr>
      <w:tblPr>
        <w:tblLayout w:type="fixed"/>
      </w:tblPr>
      <w:tcPr>
        <w:tcBorders>
          <w:tl2br w:val="nil"/>
          <w:tr2bl w:val="nil"/>
        </w:tcBorders>
      </w:tcPr>
    </w:tblStylePr>
  </w:style>
  <w:style w:type="table" w:styleId="120">
    <w:name w:val="Table Web 1"/>
    <w:basedOn w:val="79"/>
    <w:semiHidden/>
    <w:qFormat/>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Pr>
    <w:trPr>
      <w:tblCellSpacing w:w="20" w:type="dxa"/>
    </w:trPr>
    <w:tcPr>
      <w:shd w:val="clear" w:color="auto" w:fill="auto"/>
    </w:tcPr>
    <w:tblStylePr w:type="firstRow">
      <w:rPr>
        <w:color w:val="auto"/>
      </w:rPr>
      <w:tblPr>
        <w:tblLayout w:type="fixed"/>
      </w:tblPr>
      <w:tcPr>
        <w:tcBorders>
          <w:tl2br w:val="nil"/>
          <w:tr2bl w:val="nil"/>
        </w:tcBorders>
      </w:tcPr>
    </w:tblStylePr>
  </w:style>
  <w:style w:type="table" w:styleId="121">
    <w:name w:val="Table Web 2"/>
    <w:basedOn w:val="79"/>
    <w:semiHidden/>
    <w:qFormat/>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Layout w:type="fixed"/>
    </w:tblPr>
    <w:trPr>
      <w:tblCellSpacing w:w="20" w:type="dxa"/>
    </w:trPr>
    <w:tcPr>
      <w:shd w:val="clear" w:color="auto" w:fill="auto"/>
    </w:tcPr>
    <w:tblStylePr w:type="firstRow">
      <w:rPr>
        <w:color w:val="auto"/>
      </w:rPr>
      <w:tblPr>
        <w:tblLayout w:type="fixed"/>
      </w:tblPr>
      <w:tcPr>
        <w:tcBorders>
          <w:tl2br w:val="nil"/>
          <w:tr2bl w:val="nil"/>
        </w:tcBorders>
      </w:tcPr>
    </w:tblStylePr>
  </w:style>
  <w:style w:type="table" w:styleId="122">
    <w:name w:val="Table Web 3"/>
    <w:basedOn w:val="79"/>
    <w:semiHidden/>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Layout w:type="fixed"/>
    </w:tblPr>
    <w:trPr>
      <w:tblCellSpacing w:w="20" w:type="dxa"/>
    </w:trPr>
    <w:tcPr>
      <w:shd w:val="clear" w:color="auto" w:fill="auto"/>
    </w:tcPr>
    <w:tblStylePr w:type="firstRow">
      <w:rPr>
        <w:color w:val="auto"/>
      </w:rPr>
      <w:tblPr>
        <w:tblLayout w:type="fixed"/>
      </w:tblPr>
      <w:tcPr>
        <w:tcBorders>
          <w:tl2br w:val="nil"/>
          <w:tr2bl w:val="nil"/>
        </w:tcBorders>
      </w:tcPr>
    </w:tblStylePr>
  </w:style>
  <w:style w:type="table" w:styleId="123">
    <w:name w:val="Table Professional"/>
    <w:basedOn w:val="79"/>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
    <w:tcPr>
      <w:shd w:val="clear" w:color="auto" w:fill="auto"/>
    </w:tcPr>
    <w:tblStylePr w:type="firstRow">
      <w:rPr>
        <w:b/>
        <w:bCs/>
        <w:color w:val="auto"/>
      </w:rPr>
      <w:tblPr>
        <w:tblLayout w:type="fixed"/>
      </w:tblPr>
      <w:tcPr>
        <w:tcBorders>
          <w:tl2br w:val="nil"/>
          <w:tr2bl w:val="nil"/>
        </w:tcBorders>
        <w:shd w:val="solid" w:color="000000" w:fill="FFFFFF"/>
      </w:tcPr>
    </w:tblStylePr>
  </w:style>
  <w:style w:type="character" w:styleId="125">
    <w:name w:val="endnote reference"/>
    <w:semiHidden/>
    <w:qFormat/>
    <w:uiPriority w:val="0"/>
    <w:rPr>
      <w:vertAlign w:val="superscript"/>
    </w:rPr>
  </w:style>
  <w:style w:type="character" w:styleId="126">
    <w:name w:val="FollowedHyperlink"/>
    <w:unhideWhenUsed/>
    <w:qFormat/>
    <w:uiPriority w:val="99"/>
    <w:rPr>
      <w:color w:val="800080"/>
      <w:u w:val="single"/>
    </w:rPr>
  </w:style>
  <w:style w:type="character" w:styleId="127">
    <w:name w:val="line number"/>
    <w:basedOn w:val="124"/>
    <w:semiHidden/>
    <w:qFormat/>
    <w:uiPriority w:val="0"/>
  </w:style>
  <w:style w:type="character" w:styleId="128">
    <w:name w:val="HTML Definition"/>
    <w:semiHidden/>
    <w:qFormat/>
    <w:uiPriority w:val="0"/>
    <w:rPr>
      <w:i/>
      <w:iCs/>
    </w:rPr>
  </w:style>
  <w:style w:type="character" w:styleId="129">
    <w:name w:val="HTML Typewriter"/>
    <w:semiHidden/>
    <w:qFormat/>
    <w:uiPriority w:val="0"/>
    <w:rPr>
      <w:rFonts w:ascii="Courier New" w:hAnsi="Courier New" w:cs="Courier New"/>
      <w:sz w:val="20"/>
      <w:szCs w:val="20"/>
    </w:rPr>
  </w:style>
  <w:style w:type="character" w:styleId="130">
    <w:name w:val="HTML Acronym"/>
    <w:basedOn w:val="124"/>
    <w:semiHidden/>
    <w:qFormat/>
    <w:uiPriority w:val="0"/>
  </w:style>
  <w:style w:type="character" w:styleId="131">
    <w:name w:val="HTML Variable"/>
    <w:semiHidden/>
    <w:qFormat/>
    <w:uiPriority w:val="0"/>
    <w:rPr>
      <w:i/>
      <w:iCs/>
    </w:rPr>
  </w:style>
  <w:style w:type="character" w:styleId="132">
    <w:name w:val="Hyperlink"/>
    <w:basedOn w:val="124"/>
    <w:qFormat/>
    <w:uiPriority w:val="99"/>
    <w:rPr>
      <w:color w:val="333333"/>
      <w:u w:val="none"/>
      <w:vertAlign w:val="baseline"/>
    </w:rPr>
  </w:style>
  <w:style w:type="character" w:styleId="133">
    <w:name w:val="HTML Code"/>
    <w:semiHidden/>
    <w:qFormat/>
    <w:uiPriority w:val="0"/>
    <w:rPr>
      <w:rFonts w:ascii="Courier New" w:hAnsi="Courier New" w:cs="Courier New"/>
      <w:sz w:val="20"/>
      <w:szCs w:val="20"/>
    </w:rPr>
  </w:style>
  <w:style w:type="character" w:styleId="134">
    <w:name w:val="annotation reference"/>
    <w:semiHidden/>
    <w:qFormat/>
    <w:uiPriority w:val="0"/>
    <w:rPr>
      <w:sz w:val="21"/>
      <w:szCs w:val="21"/>
    </w:rPr>
  </w:style>
  <w:style w:type="character" w:styleId="135">
    <w:name w:val="HTML Cite"/>
    <w:semiHidden/>
    <w:qFormat/>
    <w:uiPriority w:val="0"/>
    <w:rPr>
      <w:i/>
      <w:iCs/>
    </w:rPr>
  </w:style>
  <w:style w:type="character" w:styleId="136">
    <w:name w:val="footnote reference"/>
    <w:semiHidden/>
    <w:qFormat/>
    <w:uiPriority w:val="0"/>
    <w:rPr>
      <w:vertAlign w:val="superscript"/>
    </w:rPr>
  </w:style>
  <w:style w:type="character" w:styleId="137">
    <w:name w:val="HTML Keyboard"/>
    <w:semiHidden/>
    <w:qFormat/>
    <w:uiPriority w:val="0"/>
    <w:rPr>
      <w:rFonts w:ascii="Courier New" w:hAnsi="Courier New" w:cs="Courier New"/>
      <w:sz w:val="20"/>
      <w:szCs w:val="20"/>
    </w:rPr>
  </w:style>
  <w:style w:type="character" w:styleId="138">
    <w:name w:val="HTML Sample"/>
    <w:semiHidden/>
    <w:qFormat/>
    <w:uiPriority w:val="0"/>
    <w:rPr>
      <w:rFonts w:ascii="Courier New" w:hAnsi="Courier New" w:cs="Courier New"/>
    </w:rPr>
  </w:style>
  <w:style w:type="character" w:customStyle="1" w:styleId="139">
    <w:name w:val="标题 1 字符"/>
    <w:basedOn w:val="124"/>
    <w:link w:val="2"/>
    <w:qFormat/>
    <w:uiPriority w:val="0"/>
    <w:rPr>
      <w:b/>
      <w:bCs/>
      <w:kern w:val="44"/>
      <w:sz w:val="44"/>
      <w:szCs w:val="44"/>
    </w:rPr>
  </w:style>
  <w:style w:type="character" w:customStyle="1" w:styleId="140">
    <w:name w:val="标题 2 字符"/>
    <w:basedOn w:val="124"/>
    <w:link w:val="3"/>
    <w:qFormat/>
    <w:uiPriority w:val="0"/>
    <w:rPr>
      <w:rFonts w:asciiTheme="majorHAnsi" w:hAnsiTheme="majorHAnsi" w:eastAsiaTheme="majorEastAsia" w:cstheme="majorBidi"/>
      <w:b/>
      <w:bCs/>
      <w:sz w:val="32"/>
      <w:szCs w:val="32"/>
    </w:rPr>
  </w:style>
  <w:style w:type="character" w:customStyle="1" w:styleId="141">
    <w:name w:val="标题 3 字符"/>
    <w:basedOn w:val="124"/>
    <w:link w:val="4"/>
    <w:qFormat/>
    <w:uiPriority w:val="0"/>
    <w:rPr>
      <w:b/>
      <w:bCs/>
      <w:sz w:val="32"/>
      <w:szCs w:val="32"/>
    </w:rPr>
  </w:style>
  <w:style w:type="character" w:customStyle="1" w:styleId="142">
    <w:name w:val="标题 4 字符"/>
    <w:basedOn w:val="124"/>
    <w:link w:val="5"/>
    <w:qFormat/>
    <w:uiPriority w:val="0"/>
    <w:rPr>
      <w:rFonts w:asciiTheme="majorHAnsi" w:hAnsiTheme="majorHAnsi" w:eastAsiaTheme="majorEastAsia" w:cstheme="majorBidi"/>
      <w:b/>
      <w:bCs/>
      <w:sz w:val="28"/>
      <w:szCs w:val="28"/>
    </w:rPr>
  </w:style>
  <w:style w:type="character" w:customStyle="1" w:styleId="143">
    <w:name w:val="标题 5 字符"/>
    <w:basedOn w:val="124"/>
    <w:link w:val="6"/>
    <w:qFormat/>
    <w:uiPriority w:val="0"/>
    <w:rPr>
      <w:b/>
      <w:bCs/>
      <w:sz w:val="28"/>
      <w:szCs w:val="28"/>
    </w:rPr>
  </w:style>
  <w:style w:type="character" w:customStyle="1" w:styleId="144">
    <w:name w:val="标题 6 字符"/>
    <w:basedOn w:val="124"/>
    <w:link w:val="7"/>
    <w:qFormat/>
    <w:uiPriority w:val="0"/>
    <w:rPr>
      <w:rFonts w:asciiTheme="majorHAnsi" w:hAnsiTheme="majorHAnsi" w:eastAsiaTheme="majorEastAsia" w:cstheme="majorBidi"/>
      <w:b/>
      <w:bCs/>
      <w:sz w:val="24"/>
      <w:szCs w:val="24"/>
    </w:rPr>
  </w:style>
  <w:style w:type="character" w:customStyle="1" w:styleId="145">
    <w:name w:val="标题 7 字符"/>
    <w:basedOn w:val="124"/>
    <w:link w:val="8"/>
    <w:qFormat/>
    <w:uiPriority w:val="0"/>
    <w:rPr>
      <w:b/>
      <w:bCs/>
      <w:sz w:val="24"/>
      <w:szCs w:val="24"/>
    </w:rPr>
  </w:style>
  <w:style w:type="character" w:customStyle="1" w:styleId="146">
    <w:name w:val="标题 8 字符"/>
    <w:basedOn w:val="124"/>
    <w:link w:val="9"/>
    <w:qFormat/>
    <w:uiPriority w:val="0"/>
    <w:rPr>
      <w:rFonts w:asciiTheme="majorHAnsi" w:hAnsiTheme="majorHAnsi" w:eastAsiaTheme="majorEastAsia" w:cstheme="majorBidi"/>
      <w:sz w:val="24"/>
      <w:szCs w:val="24"/>
    </w:rPr>
  </w:style>
  <w:style w:type="character" w:customStyle="1" w:styleId="147">
    <w:name w:val="标题 9 字符"/>
    <w:basedOn w:val="124"/>
    <w:link w:val="10"/>
    <w:qFormat/>
    <w:uiPriority w:val="0"/>
    <w:rPr>
      <w:rFonts w:asciiTheme="majorHAnsi" w:hAnsiTheme="majorHAnsi" w:eastAsiaTheme="majorEastAsia" w:cstheme="majorBidi"/>
      <w:szCs w:val="21"/>
    </w:rPr>
  </w:style>
  <w:style w:type="character" w:customStyle="1" w:styleId="148">
    <w:name w:val="HTML 预设格式 字符"/>
    <w:link w:val="73"/>
    <w:semiHidden/>
    <w:qFormat/>
    <w:uiPriority w:val="0"/>
    <w:rPr>
      <w:rFonts w:ascii="宋体" w:hAnsi="宋体" w:eastAsia="宋体" w:cs="宋体"/>
      <w:color w:val="000000"/>
      <w:kern w:val="0"/>
      <w:sz w:val="24"/>
      <w:szCs w:val="24"/>
    </w:rPr>
  </w:style>
  <w:style w:type="character" w:customStyle="1" w:styleId="149">
    <w:name w:val="签名 字符"/>
    <w:link w:val="54"/>
    <w:semiHidden/>
    <w:qFormat/>
    <w:uiPriority w:val="0"/>
    <w:rPr>
      <w:rFonts w:ascii="Times New Roman" w:hAnsi="Times New Roman" w:eastAsia="宋体" w:cs="Times New Roman"/>
      <w:szCs w:val="24"/>
    </w:rPr>
  </w:style>
  <w:style w:type="character" w:customStyle="1" w:styleId="150">
    <w:name w:val="正文首行缩进 2 字符"/>
    <w:link w:val="78"/>
    <w:semiHidden/>
    <w:qFormat/>
    <w:uiPriority w:val="0"/>
    <w:rPr>
      <w:rFonts w:ascii="Times New Roman" w:hAnsi="Times New Roman"/>
      <w:szCs w:val="24"/>
    </w:rPr>
  </w:style>
  <w:style w:type="character" w:customStyle="1" w:styleId="151">
    <w:name w:val="注释标题 字符"/>
    <w:link w:val="14"/>
    <w:semiHidden/>
    <w:qFormat/>
    <w:uiPriority w:val="0"/>
    <w:rPr>
      <w:rFonts w:ascii="Times New Roman" w:hAnsi="Times New Roman" w:eastAsia="宋体" w:cs="Times New Roman"/>
      <w:szCs w:val="24"/>
    </w:rPr>
  </w:style>
  <w:style w:type="character" w:customStyle="1" w:styleId="152">
    <w:name w:val="unnamed211"/>
    <w:semiHidden/>
    <w:qFormat/>
    <w:uiPriority w:val="0"/>
    <w:rPr>
      <w:sz w:val="23"/>
      <w:szCs w:val="23"/>
    </w:rPr>
  </w:style>
  <w:style w:type="character" w:customStyle="1" w:styleId="153">
    <w:name w:val="电子邮件签名 字符"/>
    <w:link w:val="17"/>
    <w:semiHidden/>
    <w:qFormat/>
    <w:uiPriority w:val="0"/>
    <w:rPr>
      <w:rFonts w:ascii="Times New Roman" w:hAnsi="Times New Roman" w:eastAsia="宋体" w:cs="Times New Roman"/>
      <w:szCs w:val="24"/>
    </w:rPr>
  </w:style>
  <w:style w:type="character" w:customStyle="1" w:styleId="154">
    <w:name w:val="批注文字 Char"/>
    <w:semiHidden/>
    <w:qFormat/>
    <w:uiPriority w:val="0"/>
    <w:rPr>
      <w:rFonts w:ascii="Times New Roman" w:hAnsi="Times New Roman" w:eastAsia="宋体" w:cs="Times New Roman"/>
      <w:szCs w:val="20"/>
    </w:rPr>
  </w:style>
  <w:style w:type="character" w:customStyle="1" w:styleId="155">
    <w:name w:val="页脚 字符"/>
    <w:link w:val="51"/>
    <w:qFormat/>
    <w:uiPriority w:val="0"/>
    <w:rPr>
      <w:rFonts w:ascii="Times New Roman" w:hAnsi="Times New Roman" w:eastAsia="宋体" w:cs="Times New Roman"/>
      <w:sz w:val="18"/>
      <w:szCs w:val="18"/>
    </w:rPr>
  </w:style>
  <w:style w:type="character" w:customStyle="1" w:styleId="156">
    <w:name w:val="文档结构图 字符"/>
    <w:link w:val="22"/>
    <w:qFormat/>
    <w:uiPriority w:val="0"/>
    <w:rPr>
      <w:rFonts w:ascii="Times New Roman" w:hAnsi="Times New Roman" w:eastAsia="宋体" w:cs="Times New Roman"/>
      <w:szCs w:val="20"/>
      <w:shd w:val="clear" w:color="auto" w:fill="000080"/>
    </w:rPr>
  </w:style>
  <w:style w:type="character" w:customStyle="1" w:styleId="157">
    <w:name w:val="信息标题 字符"/>
    <w:link w:val="72"/>
    <w:semiHidden/>
    <w:qFormat/>
    <w:uiPriority w:val="0"/>
    <w:rPr>
      <w:rFonts w:ascii="Arial" w:hAnsi="Arial" w:eastAsia="宋体" w:cs="Arial"/>
      <w:sz w:val="24"/>
      <w:szCs w:val="24"/>
      <w:shd w:val="pct20" w:color="auto" w:fill="auto"/>
    </w:rPr>
  </w:style>
  <w:style w:type="character" w:customStyle="1" w:styleId="158">
    <w:name w:val="正文文本 3 字符"/>
    <w:link w:val="27"/>
    <w:semiHidden/>
    <w:qFormat/>
    <w:uiPriority w:val="0"/>
    <w:rPr>
      <w:rFonts w:ascii="Times New Roman" w:hAnsi="Times New Roman" w:eastAsia="宋体" w:cs="Times New Roman"/>
      <w:sz w:val="16"/>
      <w:szCs w:val="16"/>
    </w:rPr>
  </w:style>
  <w:style w:type="character" w:customStyle="1" w:styleId="159">
    <w:name w:val="批注框文本 字符"/>
    <w:link w:val="50"/>
    <w:semiHidden/>
    <w:qFormat/>
    <w:uiPriority w:val="0"/>
    <w:rPr>
      <w:rFonts w:ascii="Times New Roman" w:hAnsi="Times New Roman" w:eastAsia="宋体" w:cs="Times New Roman"/>
      <w:sz w:val="18"/>
      <w:szCs w:val="18"/>
    </w:rPr>
  </w:style>
  <w:style w:type="character" w:customStyle="1" w:styleId="160">
    <w:name w:val="批注主题 字符"/>
    <w:link w:val="76"/>
    <w:semiHidden/>
    <w:qFormat/>
    <w:uiPriority w:val="0"/>
    <w:rPr>
      <w:rFonts w:ascii="Times New Roman" w:hAnsi="Times New Roman" w:eastAsia="宋体" w:cs="Times New Roman"/>
      <w:b/>
      <w:bCs/>
      <w:szCs w:val="24"/>
    </w:rPr>
  </w:style>
  <w:style w:type="character" w:customStyle="1" w:styleId="161">
    <w:name w:val="ss1"/>
    <w:semiHidden/>
    <w:qFormat/>
    <w:uiPriority w:val="0"/>
    <w:rPr>
      <w:rFonts w:hint="default" w:ascii="ˎ̥" w:hAnsi="ˎ̥"/>
      <w:color w:val="000000"/>
      <w:sz w:val="18"/>
      <w:szCs w:val="18"/>
      <w:u w:val="none"/>
    </w:rPr>
  </w:style>
  <w:style w:type="character" w:customStyle="1" w:styleId="162">
    <w:name w:val="正文文本缩进 2 字符"/>
    <w:link w:val="47"/>
    <w:semiHidden/>
    <w:qFormat/>
    <w:uiPriority w:val="0"/>
    <w:rPr>
      <w:rFonts w:ascii="Times New Roman" w:hAnsi="Times New Roman" w:eastAsia="宋体" w:cs="Times New Roman"/>
      <w:szCs w:val="24"/>
    </w:rPr>
  </w:style>
  <w:style w:type="character" w:customStyle="1" w:styleId="163">
    <w:name w:val="f142"/>
    <w:semiHidden/>
    <w:qFormat/>
    <w:uiPriority w:val="0"/>
    <w:rPr>
      <w:sz w:val="21"/>
      <w:szCs w:val="21"/>
    </w:rPr>
  </w:style>
  <w:style w:type="character" w:customStyle="1" w:styleId="164">
    <w:name w:val="f14b1"/>
    <w:semiHidden/>
    <w:qFormat/>
    <w:uiPriority w:val="0"/>
    <w:rPr>
      <w:b/>
      <w:bCs/>
      <w:sz w:val="21"/>
      <w:szCs w:val="21"/>
    </w:rPr>
  </w:style>
  <w:style w:type="character" w:customStyle="1" w:styleId="165">
    <w:name w:val="ggwenhao"/>
    <w:basedOn w:val="124"/>
    <w:semiHidden/>
    <w:qFormat/>
    <w:uiPriority w:val="0"/>
  </w:style>
  <w:style w:type="character" w:customStyle="1" w:styleId="166">
    <w:name w:val="HTML 地址 字符"/>
    <w:link w:val="37"/>
    <w:semiHidden/>
    <w:qFormat/>
    <w:uiPriority w:val="0"/>
    <w:rPr>
      <w:rFonts w:ascii="Times New Roman" w:hAnsi="Times New Roman" w:eastAsia="宋体" w:cs="Times New Roman"/>
      <w:i/>
      <w:iCs/>
      <w:szCs w:val="24"/>
    </w:rPr>
  </w:style>
  <w:style w:type="character" w:customStyle="1" w:styleId="167">
    <w:name w:val="称呼 字符"/>
    <w:link w:val="26"/>
    <w:semiHidden/>
    <w:qFormat/>
    <w:uiPriority w:val="0"/>
    <w:rPr>
      <w:rFonts w:ascii="Times New Roman" w:hAnsi="Times New Roman" w:eastAsia="宋体" w:cs="Times New Roman"/>
      <w:szCs w:val="24"/>
    </w:rPr>
  </w:style>
  <w:style w:type="character" w:customStyle="1" w:styleId="168">
    <w:name w:val="结束语 字符"/>
    <w:link w:val="28"/>
    <w:semiHidden/>
    <w:qFormat/>
    <w:uiPriority w:val="0"/>
    <w:rPr>
      <w:rFonts w:ascii="Times New Roman" w:hAnsi="Times New Roman" w:eastAsia="宋体" w:cs="Times New Roman"/>
      <w:szCs w:val="24"/>
    </w:rPr>
  </w:style>
  <w:style w:type="character" w:customStyle="1" w:styleId="169">
    <w:name w:val="正文首行缩进 字符"/>
    <w:link w:val="77"/>
    <w:semiHidden/>
    <w:qFormat/>
    <w:uiPriority w:val="0"/>
    <w:rPr>
      <w:rFonts w:ascii="Times New Roman"/>
      <w:szCs w:val="24"/>
    </w:rPr>
  </w:style>
  <w:style w:type="character" w:customStyle="1" w:styleId="170">
    <w:name w:val="页眉 字符"/>
    <w:link w:val="53"/>
    <w:qFormat/>
    <w:uiPriority w:val="0"/>
    <w:rPr>
      <w:rFonts w:ascii="Times New Roman" w:hAnsi="Times New Roman" w:eastAsia="宋体" w:cs="Times New Roman"/>
      <w:sz w:val="18"/>
      <w:szCs w:val="18"/>
    </w:rPr>
  </w:style>
  <w:style w:type="character" w:customStyle="1" w:styleId="171">
    <w:name w:val="ca-41"/>
    <w:qFormat/>
    <w:uiPriority w:val="0"/>
    <w:rPr>
      <w:rFonts w:hint="eastAsia" w:ascii="黑体" w:eastAsia="黑体"/>
      <w:b/>
      <w:bCs/>
      <w:spacing w:val="-20"/>
      <w:sz w:val="30"/>
      <w:szCs w:val="30"/>
    </w:rPr>
  </w:style>
  <w:style w:type="character" w:customStyle="1" w:styleId="172">
    <w:name w:val="注释标题 字符1"/>
    <w:basedOn w:val="124"/>
    <w:semiHidden/>
    <w:qFormat/>
    <w:uiPriority w:val="99"/>
  </w:style>
  <w:style w:type="character" w:customStyle="1" w:styleId="173">
    <w:name w:val="注释标题 Char1"/>
    <w:basedOn w:val="124"/>
    <w:semiHidden/>
    <w:qFormat/>
    <w:uiPriority w:val="99"/>
    <w:rPr>
      <w:rFonts w:ascii="Times New Roman" w:hAnsi="Times New Roman" w:eastAsia="宋体" w:cs="Times New Roman"/>
      <w:szCs w:val="20"/>
    </w:rPr>
  </w:style>
  <w:style w:type="character" w:customStyle="1" w:styleId="174">
    <w:name w:val="正文文本 3 字符1"/>
    <w:basedOn w:val="124"/>
    <w:semiHidden/>
    <w:qFormat/>
    <w:uiPriority w:val="99"/>
    <w:rPr>
      <w:sz w:val="16"/>
      <w:szCs w:val="16"/>
    </w:rPr>
  </w:style>
  <w:style w:type="character" w:customStyle="1" w:styleId="175">
    <w:name w:val="正文文本 3 Char1"/>
    <w:basedOn w:val="124"/>
    <w:semiHidden/>
    <w:qFormat/>
    <w:uiPriority w:val="99"/>
    <w:rPr>
      <w:rFonts w:ascii="Times New Roman" w:hAnsi="Times New Roman" w:eastAsia="宋体" w:cs="Times New Roman"/>
      <w:sz w:val="16"/>
      <w:szCs w:val="16"/>
    </w:rPr>
  </w:style>
  <w:style w:type="character" w:customStyle="1" w:styleId="176">
    <w:name w:val="批注文字 字符"/>
    <w:basedOn w:val="124"/>
    <w:link w:val="24"/>
    <w:qFormat/>
    <w:uiPriority w:val="0"/>
    <w:rPr>
      <w:rFonts w:ascii="Times New Roman" w:hAnsi="Times New Roman" w:eastAsia="宋体" w:cs="Times New Roman"/>
      <w:szCs w:val="20"/>
    </w:rPr>
  </w:style>
  <w:style w:type="character" w:customStyle="1" w:styleId="177">
    <w:name w:val="批注主题 字符1"/>
    <w:basedOn w:val="176"/>
    <w:semiHidden/>
    <w:qFormat/>
    <w:uiPriority w:val="99"/>
    <w:rPr>
      <w:rFonts w:ascii="Times New Roman" w:hAnsi="Times New Roman" w:eastAsia="宋体" w:cs="Times New Roman"/>
      <w:b/>
      <w:bCs/>
      <w:szCs w:val="20"/>
    </w:rPr>
  </w:style>
  <w:style w:type="character" w:customStyle="1" w:styleId="178">
    <w:name w:val="批注主题 Char1"/>
    <w:basedOn w:val="176"/>
    <w:semiHidden/>
    <w:qFormat/>
    <w:uiPriority w:val="99"/>
    <w:rPr>
      <w:rFonts w:ascii="Times New Roman" w:hAnsi="Times New Roman" w:eastAsia="宋体" w:cs="Times New Roman"/>
      <w:b/>
      <w:bCs/>
      <w:szCs w:val="20"/>
    </w:rPr>
  </w:style>
  <w:style w:type="character" w:customStyle="1" w:styleId="179">
    <w:name w:val="正文文本 字符"/>
    <w:basedOn w:val="124"/>
    <w:link w:val="30"/>
    <w:semiHidden/>
    <w:qFormat/>
    <w:uiPriority w:val="99"/>
    <w:rPr>
      <w:rFonts w:ascii="Times New Roman" w:hAnsi="Times New Roman" w:eastAsia="宋体" w:cs="Times New Roman"/>
      <w:szCs w:val="20"/>
    </w:rPr>
  </w:style>
  <w:style w:type="character" w:customStyle="1" w:styleId="180">
    <w:name w:val="正文文本首行缩进 字符1"/>
    <w:basedOn w:val="179"/>
    <w:semiHidden/>
    <w:qFormat/>
    <w:uiPriority w:val="99"/>
    <w:rPr>
      <w:rFonts w:ascii="Times New Roman" w:hAnsi="Times New Roman" w:eastAsia="宋体" w:cs="Times New Roman"/>
      <w:szCs w:val="20"/>
    </w:rPr>
  </w:style>
  <w:style w:type="character" w:customStyle="1" w:styleId="181">
    <w:name w:val="正文首行缩进 Char1"/>
    <w:basedOn w:val="179"/>
    <w:semiHidden/>
    <w:qFormat/>
    <w:uiPriority w:val="99"/>
    <w:rPr>
      <w:rFonts w:ascii="Times New Roman" w:hAnsi="Times New Roman" w:eastAsia="宋体" w:cs="Times New Roman"/>
      <w:szCs w:val="20"/>
    </w:rPr>
  </w:style>
  <w:style w:type="character" w:customStyle="1" w:styleId="182">
    <w:name w:val="结束语 字符1"/>
    <w:basedOn w:val="124"/>
    <w:semiHidden/>
    <w:qFormat/>
    <w:uiPriority w:val="99"/>
  </w:style>
  <w:style w:type="character" w:customStyle="1" w:styleId="183">
    <w:name w:val="结束语 Char1"/>
    <w:basedOn w:val="124"/>
    <w:semiHidden/>
    <w:qFormat/>
    <w:uiPriority w:val="99"/>
    <w:rPr>
      <w:rFonts w:ascii="Times New Roman" w:hAnsi="Times New Roman" w:eastAsia="宋体" w:cs="Times New Roman"/>
      <w:szCs w:val="20"/>
    </w:rPr>
  </w:style>
  <w:style w:type="character" w:customStyle="1" w:styleId="184">
    <w:name w:val="称呼 字符1"/>
    <w:basedOn w:val="124"/>
    <w:semiHidden/>
    <w:qFormat/>
    <w:uiPriority w:val="99"/>
  </w:style>
  <w:style w:type="character" w:customStyle="1" w:styleId="185">
    <w:name w:val="称呼 Char1"/>
    <w:basedOn w:val="124"/>
    <w:semiHidden/>
    <w:qFormat/>
    <w:uiPriority w:val="99"/>
    <w:rPr>
      <w:rFonts w:ascii="Times New Roman" w:hAnsi="Times New Roman" w:eastAsia="宋体" w:cs="Times New Roman"/>
      <w:szCs w:val="20"/>
    </w:rPr>
  </w:style>
  <w:style w:type="character" w:customStyle="1" w:styleId="186">
    <w:name w:val="电子邮件签名 字符1"/>
    <w:basedOn w:val="124"/>
    <w:semiHidden/>
    <w:qFormat/>
    <w:uiPriority w:val="99"/>
  </w:style>
  <w:style w:type="character" w:customStyle="1" w:styleId="187">
    <w:name w:val="电子邮件签名 Char1"/>
    <w:basedOn w:val="124"/>
    <w:semiHidden/>
    <w:qFormat/>
    <w:uiPriority w:val="99"/>
    <w:rPr>
      <w:rFonts w:ascii="Times New Roman" w:hAnsi="Times New Roman" w:eastAsia="宋体" w:cs="Times New Roman"/>
      <w:szCs w:val="20"/>
    </w:rPr>
  </w:style>
  <w:style w:type="character" w:customStyle="1" w:styleId="188">
    <w:name w:val="文档结构图 字符1"/>
    <w:basedOn w:val="124"/>
    <w:semiHidden/>
    <w:qFormat/>
    <w:uiPriority w:val="99"/>
    <w:rPr>
      <w:rFonts w:ascii="Microsoft YaHei UI" w:eastAsia="Microsoft YaHei UI"/>
      <w:sz w:val="18"/>
      <w:szCs w:val="18"/>
    </w:rPr>
  </w:style>
  <w:style w:type="character" w:customStyle="1" w:styleId="189">
    <w:name w:val="文档结构图 Char1"/>
    <w:basedOn w:val="124"/>
    <w:semiHidden/>
    <w:qFormat/>
    <w:uiPriority w:val="99"/>
    <w:rPr>
      <w:rFonts w:ascii="宋体" w:hAnsi="Times New Roman" w:eastAsia="宋体" w:cs="Times New Roman"/>
      <w:sz w:val="18"/>
      <w:szCs w:val="18"/>
    </w:rPr>
  </w:style>
  <w:style w:type="character" w:customStyle="1" w:styleId="190">
    <w:name w:val="签名 字符1"/>
    <w:basedOn w:val="124"/>
    <w:semiHidden/>
    <w:qFormat/>
    <w:uiPriority w:val="99"/>
  </w:style>
  <w:style w:type="character" w:customStyle="1" w:styleId="191">
    <w:name w:val="签名 Char1"/>
    <w:basedOn w:val="124"/>
    <w:semiHidden/>
    <w:qFormat/>
    <w:uiPriority w:val="99"/>
    <w:rPr>
      <w:rFonts w:ascii="Times New Roman" w:hAnsi="Times New Roman" w:eastAsia="宋体" w:cs="Times New Roman"/>
      <w:szCs w:val="20"/>
    </w:rPr>
  </w:style>
  <w:style w:type="character" w:customStyle="1" w:styleId="192">
    <w:name w:val="正文文本缩进 2 字符1"/>
    <w:basedOn w:val="124"/>
    <w:semiHidden/>
    <w:qFormat/>
    <w:uiPriority w:val="99"/>
  </w:style>
  <w:style w:type="character" w:customStyle="1" w:styleId="193">
    <w:name w:val="正文文本缩进 2 Char1"/>
    <w:basedOn w:val="124"/>
    <w:semiHidden/>
    <w:qFormat/>
    <w:uiPriority w:val="99"/>
    <w:rPr>
      <w:rFonts w:ascii="Times New Roman" w:hAnsi="Times New Roman" w:eastAsia="宋体" w:cs="Times New Roman"/>
      <w:szCs w:val="20"/>
    </w:rPr>
  </w:style>
  <w:style w:type="character" w:customStyle="1" w:styleId="194">
    <w:name w:val="HTML 预设格式 字符1"/>
    <w:basedOn w:val="124"/>
    <w:semiHidden/>
    <w:qFormat/>
    <w:uiPriority w:val="99"/>
    <w:rPr>
      <w:rFonts w:ascii="Courier New" w:hAnsi="Courier New" w:cs="Courier New"/>
      <w:sz w:val="20"/>
      <w:szCs w:val="20"/>
    </w:rPr>
  </w:style>
  <w:style w:type="character" w:customStyle="1" w:styleId="195">
    <w:name w:val="HTML 预设格式 Char1"/>
    <w:basedOn w:val="124"/>
    <w:semiHidden/>
    <w:qFormat/>
    <w:uiPriority w:val="99"/>
    <w:rPr>
      <w:rFonts w:ascii="Courier New" w:hAnsi="Courier New" w:eastAsia="宋体" w:cs="Courier New"/>
      <w:sz w:val="20"/>
      <w:szCs w:val="20"/>
    </w:rPr>
  </w:style>
  <w:style w:type="character" w:customStyle="1" w:styleId="196">
    <w:name w:val="页眉 字符1"/>
    <w:basedOn w:val="124"/>
    <w:semiHidden/>
    <w:qFormat/>
    <w:uiPriority w:val="99"/>
    <w:rPr>
      <w:sz w:val="18"/>
      <w:szCs w:val="18"/>
    </w:rPr>
  </w:style>
  <w:style w:type="character" w:customStyle="1" w:styleId="197">
    <w:name w:val="页眉 Char1"/>
    <w:basedOn w:val="124"/>
    <w:semiHidden/>
    <w:qFormat/>
    <w:uiPriority w:val="99"/>
    <w:rPr>
      <w:rFonts w:ascii="Times New Roman" w:hAnsi="Times New Roman" w:eastAsia="宋体" w:cs="Times New Roman"/>
      <w:sz w:val="18"/>
      <w:szCs w:val="18"/>
    </w:rPr>
  </w:style>
  <w:style w:type="character" w:customStyle="1" w:styleId="198">
    <w:name w:val="HTML 地址 字符1"/>
    <w:basedOn w:val="124"/>
    <w:semiHidden/>
    <w:qFormat/>
    <w:uiPriority w:val="99"/>
    <w:rPr>
      <w:i/>
      <w:iCs/>
    </w:rPr>
  </w:style>
  <w:style w:type="character" w:customStyle="1" w:styleId="199">
    <w:name w:val="HTML 地址 Char1"/>
    <w:basedOn w:val="124"/>
    <w:semiHidden/>
    <w:qFormat/>
    <w:uiPriority w:val="99"/>
    <w:rPr>
      <w:rFonts w:ascii="Times New Roman" w:hAnsi="Times New Roman" w:eastAsia="宋体" w:cs="Times New Roman"/>
      <w:i/>
      <w:iCs/>
      <w:szCs w:val="20"/>
    </w:rPr>
  </w:style>
  <w:style w:type="character" w:customStyle="1" w:styleId="200">
    <w:name w:val="正文文本缩进 字符"/>
    <w:basedOn w:val="124"/>
    <w:link w:val="31"/>
    <w:semiHidden/>
    <w:qFormat/>
    <w:uiPriority w:val="99"/>
    <w:rPr>
      <w:rFonts w:ascii="Times New Roman" w:hAnsi="Times New Roman" w:eastAsia="宋体" w:cs="Times New Roman"/>
      <w:szCs w:val="20"/>
    </w:rPr>
  </w:style>
  <w:style w:type="character" w:customStyle="1" w:styleId="201">
    <w:name w:val="正文文本首行缩进 2 字符1"/>
    <w:basedOn w:val="200"/>
    <w:semiHidden/>
    <w:qFormat/>
    <w:uiPriority w:val="99"/>
    <w:rPr>
      <w:rFonts w:ascii="Times New Roman" w:hAnsi="Times New Roman" w:eastAsia="宋体" w:cs="Times New Roman"/>
      <w:szCs w:val="20"/>
    </w:rPr>
  </w:style>
  <w:style w:type="character" w:customStyle="1" w:styleId="202">
    <w:name w:val="正文首行缩进 2 Char1"/>
    <w:basedOn w:val="200"/>
    <w:semiHidden/>
    <w:qFormat/>
    <w:uiPriority w:val="99"/>
    <w:rPr>
      <w:rFonts w:ascii="Times New Roman" w:hAnsi="Times New Roman" w:eastAsia="宋体" w:cs="Times New Roman"/>
      <w:szCs w:val="20"/>
    </w:rPr>
  </w:style>
  <w:style w:type="character" w:customStyle="1" w:styleId="203">
    <w:name w:val="纯文本 字符"/>
    <w:basedOn w:val="124"/>
    <w:link w:val="41"/>
    <w:qFormat/>
    <w:uiPriority w:val="0"/>
    <w:rPr>
      <w:rFonts w:ascii="宋体" w:hAnsi="Courier New" w:eastAsia="宋体" w:cs="Times New Roman"/>
      <w:kern w:val="0"/>
      <w:sz w:val="20"/>
      <w:szCs w:val="21"/>
    </w:rPr>
  </w:style>
  <w:style w:type="character" w:customStyle="1" w:styleId="204">
    <w:name w:val="批注框文本 字符1"/>
    <w:basedOn w:val="124"/>
    <w:semiHidden/>
    <w:qFormat/>
    <w:uiPriority w:val="99"/>
    <w:rPr>
      <w:sz w:val="18"/>
      <w:szCs w:val="18"/>
    </w:rPr>
  </w:style>
  <w:style w:type="character" w:customStyle="1" w:styleId="205">
    <w:name w:val="批注框文本 Char1"/>
    <w:basedOn w:val="124"/>
    <w:semiHidden/>
    <w:qFormat/>
    <w:uiPriority w:val="99"/>
    <w:rPr>
      <w:rFonts w:ascii="Times New Roman" w:hAnsi="Times New Roman" w:eastAsia="宋体" w:cs="Times New Roman"/>
      <w:sz w:val="18"/>
      <w:szCs w:val="18"/>
    </w:rPr>
  </w:style>
  <w:style w:type="character" w:customStyle="1" w:styleId="206">
    <w:name w:val="页脚 字符1"/>
    <w:basedOn w:val="124"/>
    <w:semiHidden/>
    <w:qFormat/>
    <w:uiPriority w:val="99"/>
    <w:rPr>
      <w:sz w:val="18"/>
      <w:szCs w:val="18"/>
    </w:rPr>
  </w:style>
  <w:style w:type="character" w:customStyle="1" w:styleId="207">
    <w:name w:val="页脚 Char1"/>
    <w:basedOn w:val="124"/>
    <w:semiHidden/>
    <w:qFormat/>
    <w:uiPriority w:val="99"/>
    <w:rPr>
      <w:rFonts w:ascii="Times New Roman" w:hAnsi="Times New Roman" w:eastAsia="宋体" w:cs="Times New Roman"/>
      <w:sz w:val="18"/>
      <w:szCs w:val="18"/>
    </w:rPr>
  </w:style>
  <w:style w:type="character" w:customStyle="1" w:styleId="208">
    <w:name w:val="信息标题 字符1"/>
    <w:basedOn w:val="124"/>
    <w:semiHidden/>
    <w:qFormat/>
    <w:uiPriority w:val="99"/>
    <w:rPr>
      <w:rFonts w:asciiTheme="majorHAnsi" w:hAnsiTheme="majorHAnsi" w:eastAsiaTheme="majorEastAsia" w:cstheme="majorBidi"/>
      <w:sz w:val="24"/>
      <w:szCs w:val="24"/>
      <w:shd w:val="pct20" w:color="auto" w:fill="auto"/>
    </w:rPr>
  </w:style>
  <w:style w:type="character" w:customStyle="1" w:styleId="209">
    <w:name w:val="信息标题 Char1"/>
    <w:basedOn w:val="124"/>
    <w:semiHidden/>
    <w:qFormat/>
    <w:uiPriority w:val="99"/>
    <w:rPr>
      <w:rFonts w:asciiTheme="majorHAnsi" w:hAnsiTheme="majorHAnsi" w:eastAsiaTheme="majorEastAsia" w:cstheme="majorBidi"/>
      <w:sz w:val="24"/>
      <w:szCs w:val="24"/>
      <w:shd w:val="pct20" w:color="auto" w:fill="auto"/>
    </w:rPr>
  </w:style>
  <w:style w:type="paragraph" w:customStyle="1" w:styleId="210">
    <w:name w:val="ggbody"/>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1">
    <w:name w:val="ggtitle"/>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2">
    <w:name w:val="style93"/>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13">
    <w:name w:val="纯文本 Char1"/>
    <w:qFormat/>
    <w:uiPriority w:val="0"/>
    <w:rPr>
      <w:rFonts w:ascii="宋体" w:hAnsi="Courier New" w:cs="Courier New"/>
      <w:kern w:val="2"/>
      <w:sz w:val="21"/>
      <w:szCs w:val="21"/>
    </w:rPr>
  </w:style>
  <w:style w:type="character" w:customStyle="1" w:styleId="214">
    <w:name w:val="Char Char23"/>
    <w:semiHidden/>
    <w:qFormat/>
    <w:uiPriority w:val="0"/>
    <w:rPr>
      <w:rFonts w:ascii="Times New Roman" w:hAnsi="Times New Roman" w:eastAsia="宋体" w:cs="Times New Roman"/>
      <w:b/>
      <w:bCs/>
      <w:szCs w:val="24"/>
    </w:rPr>
  </w:style>
  <w:style w:type="character" w:customStyle="1" w:styleId="215">
    <w:name w:val="尾注文本 字符"/>
    <w:link w:val="48"/>
    <w:semiHidden/>
    <w:qFormat/>
    <w:uiPriority w:val="0"/>
    <w:rPr>
      <w:rFonts w:ascii="Times New Roman" w:hAnsi="Times New Roman" w:eastAsia="宋体" w:cs="Times New Roman"/>
      <w:szCs w:val="24"/>
    </w:rPr>
  </w:style>
  <w:style w:type="character" w:customStyle="1" w:styleId="216">
    <w:name w:val="脚注文本 字符"/>
    <w:link w:val="62"/>
    <w:semiHidden/>
    <w:qFormat/>
    <w:uiPriority w:val="0"/>
    <w:rPr>
      <w:rFonts w:ascii="Times New Roman" w:hAnsi="Times New Roman" w:eastAsia="宋体" w:cs="Times New Roman"/>
      <w:sz w:val="18"/>
      <w:szCs w:val="20"/>
    </w:rPr>
  </w:style>
  <w:style w:type="character" w:customStyle="1" w:styleId="217">
    <w:name w:val="脚注文本 字符1"/>
    <w:basedOn w:val="124"/>
    <w:semiHidden/>
    <w:qFormat/>
    <w:uiPriority w:val="99"/>
    <w:rPr>
      <w:sz w:val="18"/>
      <w:szCs w:val="18"/>
    </w:rPr>
  </w:style>
  <w:style w:type="character" w:customStyle="1" w:styleId="218">
    <w:name w:val="脚注文本 Char1"/>
    <w:basedOn w:val="124"/>
    <w:semiHidden/>
    <w:qFormat/>
    <w:uiPriority w:val="99"/>
    <w:rPr>
      <w:rFonts w:ascii="Times New Roman" w:hAnsi="Times New Roman" w:eastAsia="宋体" w:cs="Times New Roman"/>
      <w:sz w:val="18"/>
      <w:szCs w:val="18"/>
    </w:rPr>
  </w:style>
  <w:style w:type="character" w:customStyle="1" w:styleId="219">
    <w:name w:val="尾注文本 字符1"/>
    <w:basedOn w:val="124"/>
    <w:semiHidden/>
    <w:qFormat/>
    <w:uiPriority w:val="99"/>
  </w:style>
  <w:style w:type="character" w:customStyle="1" w:styleId="220">
    <w:name w:val="尾注文本 Char1"/>
    <w:basedOn w:val="124"/>
    <w:semiHidden/>
    <w:qFormat/>
    <w:uiPriority w:val="99"/>
    <w:rPr>
      <w:rFonts w:ascii="Times New Roman" w:hAnsi="Times New Roman" w:eastAsia="宋体" w:cs="Times New Roman"/>
      <w:szCs w:val="20"/>
    </w:rPr>
  </w:style>
  <w:style w:type="paragraph" w:customStyle="1" w:styleId="221">
    <w:name w:val="z-窗体顶端1"/>
    <w:basedOn w:val="1"/>
    <w:next w:val="1"/>
    <w:link w:val="222"/>
    <w:unhideWhenUsed/>
    <w:qFormat/>
    <w:uiPriority w:val="99"/>
    <w:pPr>
      <w:widowControl/>
      <w:pBdr>
        <w:bottom w:val="single" w:color="auto" w:sz="6" w:space="1"/>
      </w:pBdr>
      <w:jc w:val="center"/>
    </w:pPr>
    <w:rPr>
      <w:rFonts w:ascii="Arial" w:hAnsi="Arial" w:eastAsia="宋体" w:cs="Times New Roman"/>
      <w:vanish/>
      <w:kern w:val="0"/>
      <w:sz w:val="16"/>
      <w:szCs w:val="16"/>
    </w:rPr>
  </w:style>
  <w:style w:type="character" w:customStyle="1" w:styleId="222">
    <w:name w:val="z-窗体顶端 字符"/>
    <w:basedOn w:val="124"/>
    <w:link w:val="221"/>
    <w:qFormat/>
    <w:uiPriority w:val="99"/>
    <w:rPr>
      <w:rFonts w:ascii="Arial" w:hAnsi="Arial" w:eastAsia="宋体" w:cs="Times New Roman"/>
      <w:vanish/>
      <w:kern w:val="0"/>
      <w:sz w:val="16"/>
      <w:szCs w:val="16"/>
    </w:rPr>
  </w:style>
  <w:style w:type="paragraph" w:customStyle="1" w:styleId="223">
    <w:name w:val="z-窗体底端1"/>
    <w:basedOn w:val="1"/>
    <w:next w:val="1"/>
    <w:link w:val="224"/>
    <w:unhideWhenUsed/>
    <w:qFormat/>
    <w:uiPriority w:val="99"/>
    <w:pPr>
      <w:widowControl/>
      <w:pBdr>
        <w:top w:val="single" w:color="auto" w:sz="6" w:space="1"/>
      </w:pBdr>
      <w:jc w:val="center"/>
    </w:pPr>
    <w:rPr>
      <w:rFonts w:ascii="Arial" w:hAnsi="Arial" w:eastAsia="宋体" w:cs="Times New Roman"/>
      <w:vanish/>
      <w:kern w:val="0"/>
      <w:sz w:val="16"/>
      <w:szCs w:val="16"/>
    </w:rPr>
  </w:style>
  <w:style w:type="character" w:customStyle="1" w:styleId="224">
    <w:name w:val="z-窗体底端 字符"/>
    <w:basedOn w:val="124"/>
    <w:link w:val="223"/>
    <w:qFormat/>
    <w:uiPriority w:val="99"/>
    <w:rPr>
      <w:rFonts w:ascii="Arial" w:hAnsi="Arial" w:eastAsia="宋体" w:cs="Times New Roman"/>
      <w:vanish/>
      <w:kern w:val="0"/>
      <w:sz w:val="16"/>
      <w:szCs w:val="16"/>
    </w:rPr>
  </w:style>
  <w:style w:type="character" w:customStyle="1" w:styleId="225">
    <w:name w:val="日期 字符"/>
    <w:basedOn w:val="124"/>
    <w:link w:val="46"/>
    <w:semiHidden/>
    <w:qFormat/>
    <w:uiPriority w:val="0"/>
    <w:rPr>
      <w:rFonts w:ascii="Times New Roman" w:hAnsi="Times New Roman" w:eastAsia="宋体" w:cs="Times New Roman"/>
      <w:szCs w:val="20"/>
    </w:rPr>
  </w:style>
  <w:style w:type="paragraph" w:customStyle="1" w:styleId="226">
    <w:name w:val="_Style 10"/>
    <w:qFormat/>
    <w:uiPriority w:val="0"/>
    <w:rPr>
      <w:rFonts w:ascii="Calibri" w:hAnsi="Calibri" w:eastAsia="宋体" w:cs="Times New Roman"/>
      <w:kern w:val="2"/>
      <w:sz w:val="21"/>
      <w:szCs w:val="22"/>
      <w:lang w:val="en-US" w:eastAsia="zh-CN" w:bidi="ar-SA"/>
    </w:rPr>
  </w:style>
  <w:style w:type="paragraph" w:customStyle="1" w:styleId="227">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20449</Words>
  <Characters>21427</Characters>
  <Lines>222</Lines>
  <Paragraphs>62</Paragraphs>
  <TotalTime>1</TotalTime>
  <ScaleCrop>false</ScaleCrop>
  <LinksUpToDate>false</LinksUpToDate>
  <CharactersWithSpaces>22260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2021-11-02T03:24:00Z</dcterms:created>
  <dc:creator>靳 欢</dc:creator>
  <cp:lastModifiedBy>Administrator</cp:lastModifiedBy>
  <dcterms:modified xsi:type="dcterms:W3CDTF">2025-07-03T04:04:40Z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FDAC39A265254EE9AC075A332F625E7B</vt:lpwstr>
  </property>
  <property fmtid="{D5CDD505-2E9C-101B-9397-08002B2CF9AE}" pid="4" name="KSOTemplateDocerSaveRecord">
    <vt:lpwstr>eyJoZGlkIjoiMjgxNDIzNjM1OWU4NDRiM2NkZjUzMDIwMzcyZjAzYmEiLCJ1c2VySWQiOiIzMTY4Njk4MDUifQ==</vt:lpwstr>
  </property>
</Properties>
</file>