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opLinePunct/>
        <w:adjustRightInd w:val="0"/>
        <w:snapToGrid w:val="0"/>
        <w:spacing w:line="360" w:lineRule="auto"/>
        <w:jc w:val="left"/>
        <w:rPr>
          <w:rFonts w:ascii="宋体" w:hAnsi="宋体" w:eastAsia="宋体" w:cs="宋体"/>
          <w:b/>
          <w:bCs/>
          <w:color w:val="auto"/>
          <w:kern w:val="0"/>
          <w:highlight w:val="none"/>
        </w:rPr>
      </w:pPr>
      <w:r>
        <w:rPr>
          <w:rFonts w:hint="eastAsia" w:ascii="宋体" w:hAnsi="宋体" w:eastAsia="宋体" w:cs="宋体"/>
          <w:b/>
          <w:bCs/>
          <w:color w:val="auto"/>
          <w:kern w:val="0"/>
          <w:highlight w:val="none"/>
        </w:rPr>
        <w:t>版本号：202</w:t>
      </w:r>
      <w:r>
        <w:rPr>
          <w:rFonts w:hint="eastAsia" w:ascii="宋体" w:hAnsi="宋体" w:eastAsia="宋体" w:cs="宋体"/>
          <w:b/>
          <w:bCs/>
          <w:color w:val="auto"/>
          <w:kern w:val="0"/>
          <w:highlight w:val="none"/>
          <w:lang w:val="en-US" w:eastAsia="zh-CN"/>
        </w:rPr>
        <w:t>4</w:t>
      </w:r>
      <w:r>
        <w:rPr>
          <w:rFonts w:hint="eastAsia" w:ascii="宋体" w:hAnsi="宋体" w:eastAsia="宋体" w:cs="宋体"/>
          <w:b/>
          <w:bCs/>
          <w:color w:val="auto"/>
          <w:kern w:val="0"/>
          <w:highlight w:val="none"/>
        </w:rPr>
        <w:t>年1</w:t>
      </w:r>
      <w:r>
        <w:rPr>
          <w:rFonts w:hint="eastAsia" w:ascii="宋体" w:hAnsi="宋体" w:eastAsia="宋体" w:cs="宋体"/>
          <w:b/>
          <w:bCs/>
          <w:color w:val="auto"/>
          <w:kern w:val="0"/>
          <w:highlight w:val="none"/>
          <w:lang w:val="en-US" w:eastAsia="zh-CN"/>
        </w:rPr>
        <w:t>1</w:t>
      </w:r>
      <w:r>
        <w:rPr>
          <w:rFonts w:hint="eastAsia" w:ascii="宋体" w:hAnsi="宋体" w:eastAsia="宋体" w:cs="宋体"/>
          <w:b/>
          <w:bCs/>
          <w:color w:val="auto"/>
          <w:kern w:val="0"/>
          <w:highlight w:val="none"/>
        </w:rPr>
        <w:t>月版</w:t>
      </w:r>
    </w:p>
    <w:p>
      <w:pPr>
        <w:topLinePunct/>
        <w:adjustRightInd w:val="0"/>
        <w:snapToGrid w:val="0"/>
        <w:spacing w:line="360" w:lineRule="auto"/>
        <w:ind w:firstLine="5481" w:firstLineChars="26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标段编号：</w:t>
      </w:r>
      <w:r>
        <w:rPr>
          <w:rFonts w:hint="eastAsia" w:ascii="宋体" w:hAnsi="宋体" w:eastAsia="宋体" w:cs="宋体"/>
          <w:b/>
          <w:color w:val="auto"/>
          <w:kern w:val="0"/>
          <w:highlight w:val="none"/>
          <w:u w:val="single"/>
        </w:rPr>
        <w:t xml:space="preserve">      </w:t>
      </w:r>
    </w:p>
    <w:p>
      <w:pPr>
        <w:topLinePunct/>
        <w:adjustRightInd w:val="0"/>
        <w:snapToGrid w:val="0"/>
        <w:spacing w:line="360" w:lineRule="auto"/>
        <w:jc w:val="center"/>
        <w:rPr>
          <w:rFonts w:ascii="黑体" w:hAnsi="宋体" w:eastAsia="黑体"/>
          <w:b/>
          <w:color w:val="auto"/>
          <w:kern w:val="0"/>
          <w:sz w:val="72"/>
          <w:szCs w:val="72"/>
          <w:highlight w:val="none"/>
        </w:rPr>
      </w:pPr>
    </w:p>
    <w:p>
      <w:pPr>
        <w:topLinePunct/>
        <w:adjustRightInd w:val="0"/>
        <w:snapToGrid w:val="0"/>
        <w:spacing w:line="360" w:lineRule="auto"/>
        <w:jc w:val="center"/>
        <w:rPr>
          <w:rFonts w:ascii="黑体" w:hAnsi="宋体" w:eastAsia="黑体"/>
          <w:b/>
          <w:color w:val="auto"/>
          <w:kern w:val="0"/>
          <w:sz w:val="72"/>
          <w:szCs w:val="72"/>
          <w:highlight w:val="none"/>
        </w:rPr>
      </w:pPr>
      <w:r>
        <w:rPr>
          <w:rFonts w:hint="eastAsia" w:ascii="黑体" w:hAnsi="宋体" w:eastAsia="黑体"/>
          <w:b/>
          <w:color w:val="auto"/>
          <w:kern w:val="0"/>
          <w:sz w:val="72"/>
          <w:szCs w:val="72"/>
          <w:highlight w:val="none"/>
        </w:rPr>
        <w:t>深圳市建设工程</w:t>
      </w:r>
    </w:p>
    <w:p>
      <w:pPr>
        <w:topLinePunct/>
        <w:adjustRightInd w:val="0"/>
        <w:snapToGrid w:val="0"/>
        <w:spacing w:line="360" w:lineRule="auto"/>
        <w:jc w:val="center"/>
        <w:rPr>
          <w:rFonts w:ascii="黑体" w:hAnsi="宋体" w:eastAsia="黑体"/>
          <w:b/>
          <w:color w:val="auto"/>
          <w:kern w:val="0"/>
          <w:sz w:val="72"/>
          <w:szCs w:val="72"/>
          <w:highlight w:val="none"/>
        </w:rPr>
      </w:pPr>
      <w:r>
        <w:rPr>
          <w:rFonts w:hint="eastAsia" w:ascii="黑体" w:hAnsi="宋体" w:eastAsia="黑体"/>
          <w:b/>
          <w:color w:val="auto"/>
          <w:kern w:val="0"/>
          <w:sz w:val="72"/>
          <w:szCs w:val="72"/>
          <w:highlight w:val="none"/>
        </w:rPr>
        <w:t>货物类招标文件</w:t>
      </w:r>
    </w:p>
    <w:p>
      <w:pPr>
        <w:topLinePunct/>
        <w:adjustRightInd w:val="0"/>
        <w:snapToGrid w:val="0"/>
        <w:spacing w:line="360" w:lineRule="auto"/>
        <w:jc w:val="center"/>
        <w:rPr>
          <w:rFonts w:ascii="宋体" w:hAnsi="宋体"/>
          <w:b/>
          <w:bCs/>
          <w:color w:val="auto"/>
          <w:kern w:val="0"/>
          <w:sz w:val="28"/>
          <w:szCs w:val="28"/>
          <w:highlight w:val="none"/>
        </w:rPr>
      </w:pPr>
    </w:p>
    <w:p>
      <w:pPr>
        <w:topLinePunct/>
        <w:adjustRightInd w:val="0"/>
        <w:snapToGrid w:val="0"/>
        <w:spacing w:line="360" w:lineRule="auto"/>
        <w:jc w:val="center"/>
        <w:rPr>
          <w:rFonts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〔示范文本〕</w:t>
      </w:r>
    </w:p>
    <w:p>
      <w:pPr>
        <w:topLinePunct/>
        <w:adjustRightInd w:val="0"/>
        <w:snapToGrid w:val="0"/>
        <w:spacing w:line="360" w:lineRule="auto"/>
        <w:jc w:val="center"/>
        <w:rPr>
          <w:rFonts w:ascii="宋体" w:hAnsi="宋体" w:eastAsia="宋体" w:cs="宋体"/>
          <w:b/>
          <w:bCs/>
          <w:color w:val="auto"/>
          <w:kern w:val="0"/>
          <w:sz w:val="28"/>
          <w:szCs w:val="28"/>
          <w:highlight w:val="none"/>
        </w:rPr>
      </w:pPr>
    </w:p>
    <w:p>
      <w:pPr>
        <w:topLinePunct/>
        <w:adjustRightInd w:val="0"/>
        <w:snapToGrid w:val="0"/>
        <w:spacing w:line="360" w:lineRule="auto"/>
        <w:jc w:val="center"/>
        <w:rPr>
          <w:rFonts w:ascii="宋体" w:hAnsi="宋体" w:eastAsia="宋体" w:cs="宋体"/>
          <w:b/>
          <w:bCs/>
          <w:color w:val="auto"/>
          <w:kern w:val="0"/>
          <w:sz w:val="28"/>
          <w:szCs w:val="28"/>
          <w:highlight w:val="none"/>
        </w:rPr>
      </w:pPr>
    </w:p>
    <w:tbl>
      <w:tblPr>
        <w:tblStyle w:val="81"/>
        <w:tblW w:w="9288" w:type="dxa"/>
        <w:jc w:val="center"/>
        <w:tblInd w:w="0" w:type="dxa"/>
        <w:tblLayout w:type="fixed"/>
        <w:tblCellMar>
          <w:top w:w="0" w:type="dxa"/>
          <w:left w:w="108" w:type="dxa"/>
          <w:bottom w:w="0" w:type="dxa"/>
          <w:right w:w="108" w:type="dxa"/>
        </w:tblCellMar>
      </w:tblPr>
      <w:tblGrid>
        <w:gridCol w:w="3045"/>
        <w:gridCol w:w="6243"/>
      </w:tblGrid>
      <w:tr>
        <w:tblPrEx>
          <w:tblLayout w:type="fixed"/>
          <w:tblCellMar>
            <w:top w:w="0" w:type="dxa"/>
            <w:left w:w="108" w:type="dxa"/>
            <w:bottom w:w="0" w:type="dxa"/>
            <w:right w:w="108" w:type="dxa"/>
          </w:tblCellMar>
        </w:tblPrEx>
        <w:trPr>
          <w:trHeight w:val="454" w:hRule="atLeast"/>
          <w:jc w:val="center"/>
        </w:trPr>
        <w:tc>
          <w:tcPr>
            <w:tcW w:w="3045" w:type="dxa"/>
            <w:shd w:val="clear" w:color="auto" w:fill="auto"/>
            <w:vAlign w:val="center"/>
          </w:tcPr>
          <w:p>
            <w:pPr>
              <w:topLinePunct/>
              <w:adjustRightInd w:val="0"/>
              <w:snapToGrid w:val="0"/>
              <w:spacing w:line="360" w:lineRule="auto"/>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标 段 名 称：</w:t>
            </w:r>
          </w:p>
        </w:tc>
        <w:tc>
          <w:tcPr>
            <w:tcW w:w="6243" w:type="dxa"/>
            <w:shd w:val="clear" w:color="auto" w:fill="auto"/>
            <w:vAlign w:val="center"/>
          </w:tcPr>
          <w:p>
            <w:pPr>
              <w:topLinePunct/>
              <w:adjustRightInd w:val="0"/>
              <w:snapToGrid w:val="0"/>
              <w:spacing w:line="360" w:lineRule="auto"/>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3045" w:type="dxa"/>
            <w:shd w:val="clear" w:color="auto" w:fill="auto"/>
            <w:vAlign w:val="center"/>
          </w:tcPr>
          <w:p>
            <w:pPr>
              <w:topLinePunct/>
              <w:adjustRightInd w:val="0"/>
              <w:snapToGrid w:val="0"/>
              <w:spacing w:line="360" w:lineRule="auto"/>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招  标  人 ：</w:t>
            </w:r>
          </w:p>
        </w:tc>
        <w:tc>
          <w:tcPr>
            <w:tcW w:w="6243" w:type="dxa"/>
            <w:shd w:val="clear" w:color="auto" w:fill="auto"/>
            <w:vAlign w:val="center"/>
          </w:tcPr>
          <w:p>
            <w:pPr>
              <w:topLinePunct/>
              <w:adjustRightInd w:val="0"/>
              <w:snapToGrid w:val="0"/>
              <w:spacing w:line="360" w:lineRule="auto"/>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3045" w:type="dxa"/>
            <w:shd w:val="clear" w:color="auto" w:fill="auto"/>
            <w:vAlign w:val="center"/>
          </w:tcPr>
          <w:p>
            <w:pPr>
              <w:topLinePunct/>
              <w:adjustRightInd w:val="0"/>
              <w:snapToGrid w:val="0"/>
              <w:spacing w:line="360" w:lineRule="auto"/>
              <w:ind w:right="300"/>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法 定 代 表 人</w:t>
            </w:r>
          </w:p>
          <w:p>
            <w:pPr>
              <w:topLinePunct/>
              <w:adjustRightInd w:val="0"/>
              <w:snapToGrid w:val="0"/>
              <w:spacing w:line="360" w:lineRule="auto"/>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或其委托代理人：</w:t>
            </w:r>
          </w:p>
        </w:tc>
        <w:tc>
          <w:tcPr>
            <w:tcW w:w="6243" w:type="dxa"/>
            <w:shd w:val="clear" w:color="auto" w:fill="auto"/>
            <w:vAlign w:val="center"/>
          </w:tcPr>
          <w:p>
            <w:pPr>
              <w:topLinePunct/>
              <w:adjustRightInd w:val="0"/>
              <w:snapToGrid w:val="0"/>
              <w:spacing w:line="360" w:lineRule="auto"/>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3045" w:type="dxa"/>
            <w:shd w:val="clear" w:color="auto" w:fill="auto"/>
            <w:vAlign w:val="center"/>
          </w:tcPr>
          <w:p>
            <w:pPr>
              <w:topLinePunct/>
              <w:adjustRightInd w:val="0"/>
              <w:snapToGrid w:val="0"/>
              <w:spacing w:line="360" w:lineRule="auto"/>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招标代理机构：</w:t>
            </w:r>
          </w:p>
        </w:tc>
        <w:tc>
          <w:tcPr>
            <w:tcW w:w="6243" w:type="dxa"/>
            <w:shd w:val="clear" w:color="auto" w:fill="auto"/>
            <w:vAlign w:val="center"/>
          </w:tcPr>
          <w:p>
            <w:pPr>
              <w:topLinePunct/>
              <w:adjustRightInd w:val="0"/>
              <w:snapToGrid w:val="0"/>
              <w:spacing w:line="360" w:lineRule="auto"/>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3045" w:type="dxa"/>
            <w:shd w:val="clear" w:color="auto" w:fill="auto"/>
            <w:vAlign w:val="center"/>
          </w:tcPr>
          <w:p>
            <w:pPr>
              <w:topLinePunct/>
              <w:adjustRightInd w:val="0"/>
              <w:snapToGrid w:val="0"/>
              <w:spacing w:line="360" w:lineRule="auto"/>
              <w:ind w:right="300"/>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法 定 代 表 人</w:t>
            </w:r>
          </w:p>
          <w:p>
            <w:pPr>
              <w:topLinePunct/>
              <w:adjustRightInd w:val="0"/>
              <w:snapToGrid w:val="0"/>
              <w:spacing w:line="360" w:lineRule="auto"/>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或其委托代理人：</w:t>
            </w:r>
          </w:p>
        </w:tc>
        <w:tc>
          <w:tcPr>
            <w:tcW w:w="6243" w:type="dxa"/>
            <w:shd w:val="clear" w:color="auto" w:fill="auto"/>
            <w:vAlign w:val="center"/>
          </w:tcPr>
          <w:p>
            <w:pPr>
              <w:topLinePunct/>
              <w:adjustRightInd w:val="0"/>
              <w:snapToGrid w:val="0"/>
              <w:spacing w:line="360" w:lineRule="auto"/>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u w:val="single"/>
              </w:rPr>
              <w:t xml:space="preserve">      </w:t>
            </w:r>
          </w:p>
        </w:tc>
      </w:tr>
    </w:tbl>
    <w:p>
      <w:pPr>
        <w:widowControl/>
        <w:jc w:val="center"/>
        <w:rPr>
          <w:b/>
          <w:bCs/>
          <w:color w:val="auto"/>
          <w:sz w:val="36"/>
          <w:szCs w:val="36"/>
          <w:highlight w:val="none"/>
        </w:rPr>
      </w:pPr>
      <w:bookmarkStart w:id="0" w:name="_Toc45702685"/>
      <w:r>
        <w:rPr>
          <w:rFonts w:hint="eastAsia"/>
          <w:color w:val="auto"/>
          <w:highlight w:val="none"/>
        </w:rPr>
        <w:br w:type="page"/>
      </w:r>
      <w:r>
        <w:rPr>
          <w:rFonts w:hint="eastAsia" w:ascii="宋体" w:hAnsi="宋体" w:eastAsia="宋体" w:cs="宋体"/>
          <w:b/>
          <w:bCs/>
          <w:color w:val="auto"/>
          <w:sz w:val="36"/>
          <w:szCs w:val="36"/>
          <w:highlight w:val="none"/>
        </w:rPr>
        <w:t>目 录</w:t>
      </w:r>
    </w:p>
    <w:p>
      <w:pPr>
        <w:pStyle w:val="56"/>
        <w:tabs>
          <w:tab w:val="right" w:leader="dot" w:pos="9072"/>
        </w:tabs>
        <w:rPr>
          <w:rFonts w:ascii="宋体" w:hAnsi="宋体" w:cs="宋体"/>
          <w:b w:val="0"/>
          <w:caps w:val="0"/>
          <w:color w:val="auto"/>
          <w:sz w:val="24"/>
          <w:szCs w:val="24"/>
          <w:highlight w:val="none"/>
        </w:rPr>
      </w:pP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TOC \o "1-3" \h \u </w:instrText>
      </w:r>
      <w:r>
        <w:rPr>
          <w:rFonts w:hint="eastAsia" w:ascii="宋体" w:hAnsi="宋体" w:cs="宋体"/>
          <w:color w:val="auto"/>
          <w:sz w:val="24"/>
          <w:szCs w:val="24"/>
          <w:highlight w:val="none"/>
        </w:rPr>
        <w:fldChar w:fldCharType="separate"/>
      </w:r>
      <w:r>
        <w:rPr>
          <w:color w:val="auto"/>
          <w:highlight w:val="none"/>
        </w:rPr>
        <w:fldChar w:fldCharType="begin"/>
      </w:r>
      <w:r>
        <w:rPr>
          <w:color w:val="auto"/>
          <w:highlight w:val="none"/>
        </w:rPr>
        <w:instrText xml:space="preserve"> HYPERLINK \l "_Toc12964" </w:instrText>
      </w:r>
      <w:r>
        <w:rPr>
          <w:color w:val="auto"/>
          <w:highlight w:val="none"/>
        </w:rPr>
        <w:fldChar w:fldCharType="separate"/>
      </w:r>
      <w:r>
        <w:rPr>
          <w:rFonts w:hint="eastAsia" w:ascii="宋体" w:hAnsi="宋体" w:cs="宋体"/>
          <w:b w:val="0"/>
          <w:caps w:val="0"/>
          <w:color w:val="auto"/>
          <w:kern w:val="0"/>
          <w:sz w:val="24"/>
          <w:szCs w:val="24"/>
          <w:highlight w:val="none"/>
        </w:rPr>
        <w:t>第一章  使用说明</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_Toc12964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3</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pPr>
        <w:pStyle w:val="56"/>
        <w:tabs>
          <w:tab w:val="right" w:leader="dot" w:pos="9072"/>
        </w:tabs>
        <w:rPr>
          <w:rFonts w:ascii="宋体" w:hAnsi="宋体" w:cs="宋体"/>
          <w:b w:val="0"/>
          <w:caps w:val="0"/>
          <w:color w:val="auto"/>
          <w:sz w:val="24"/>
          <w:szCs w:val="24"/>
          <w:highlight w:val="none"/>
        </w:rPr>
      </w:pPr>
      <w:r>
        <w:rPr>
          <w:color w:val="auto"/>
          <w:highlight w:val="none"/>
        </w:rPr>
        <w:fldChar w:fldCharType="begin"/>
      </w:r>
      <w:r>
        <w:rPr>
          <w:color w:val="auto"/>
          <w:highlight w:val="none"/>
        </w:rPr>
        <w:instrText xml:space="preserve"> HYPERLINK \l "_Toc2697" </w:instrText>
      </w:r>
      <w:r>
        <w:rPr>
          <w:color w:val="auto"/>
          <w:highlight w:val="none"/>
        </w:rPr>
        <w:fldChar w:fldCharType="separate"/>
      </w:r>
      <w:r>
        <w:rPr>
          <w:rFonts w:hint="eastAsia" w:ascii="宋体" w:hAnsi="宋体" w:cs="宋体"/>
          <w:b w:val="0"/>
          <w:caps w:val="0"/>
          <w:color w:val="auto"/>
          <w:kern w:val="0"/>
          <w:sz w:val="24"/>
          <w:szCs w:val="24"/>
          <w:highlight w:val="none"/>
        </w:rPr>
        <w:t>第二章  投标须知</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_Toc2697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7</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"_Toc22542" </w:instrText>
      </w:r>
      <w:r>
        <w:rPr>
          <w:color w:val="auto"/>
          <w:highlight w:val="none"/>
        </w:rPr>
        <w:fldChar w:fldCharType="separate"/>
      </w:r>
      <w:r>
        <w:rPr>
          <w:rFonts w:hint="eastAsia" w:ascii="宋体" w:hAnsi="宋体" w:cs="宋体"/>
          <w:smallCaps w:val="0"/>
          <w:color w:val="auto"/>
          <w:kern w:val="0"/>
          <w:sz w:val="24"/>
          <w:szCs w:val="24"/>
          <w:highlight w:val="none"/>
        </w:rPr>
        <w:t>一、投标须知前附表</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_Toc22542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7</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"_Toc23057" </w:instrText>
      </w:r>
      <w:r>
        <w:rPr>
          <w:color w:val="auto"/>
          <w:highlight w:val="none"/>
        </w:rPr>
        <w:fldChar w:fldCharType="separate"/>
      </w:r>
      <w:r>
        <w:rPr>
          <w:rFonts w:hint="eastAsia" w:ascii="宋体" w:hAnsi="宋体" w:cs="宋体"/>
          <w:smallCaps w:val="0"/>
          <w:color w:val="auto"/>
          <w:kern w:val="0"/>
          <w:sz w:val="24"/>
          <w:szCs w:val="24"/>
          <w:highlight w:val="none"/>
        </w:rPr>
        <w:t>（一）招标工程情况介绍</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_Toc23057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12</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"_Toc5571" </w:instrText>
      </w:r>
      <w:r>
        <w:rPr>
          <w:color w:val="auto"/>
          <w:highlight w:val="none"/>
        </w:rPr>
        <w:fldChar w:fldCharType="separate"/>
      </w:r>
      <w:r>
        <w:rPr>
          <w:rFonts w:hint="eastAsia" w:ascii="宋体" w:hAnsi="宋体" w:cs="宋体"/>
          <w:smallCaps w:val="0"/>
          <w:color w:val="auto"/>
          <w:kern w:val="0"/>
          <w:sz w:val="24"/>
          <w:szCs w:val="24"/>
          <w:highlight w:val="none"/>
        </w:rPr>
        <w:t>（二）招标投标分段限时投诉的规定</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_Toc5571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12</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"_Toc22827" </w:instrText>
      </w:r>
      <w:r>
        <w:rPr>
          <w:color w:val="auto"/>
          <w:highlight w:val="none"/>
        </w:rPr>
        <w:fldChar w:fldCharType="separate"/>
      </w:r>
      <w:r>
        <w:rPr>
          <w:rFonts w:hint="eastAsia" w:ascii="宋体" w:hAnsi="宋体" w:cs="宋体"/>
          <w:smallCaps w:val="0"/>
          <w:color w:val="auto"/>
          <w:kern w:val="0"/>
          <w:sz w:val="24"/>
          <w:szCs w:val="24"/>
          <w:highlight w:val="none"/>
        </w:rPr>
        <w:t>二、投标文件否决性条款</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_Toc22827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13</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"_Toc14440" </w:instrText>
      </w:r>
      <w:r>
        <w:rPr>
          <w:color w:val="auto"/>
          <w:highlight w:val="none"/>
        </w:rPr>
        <w:fldChar w:fldCharType="separate"/>
      </w:r>
      <w:r>
        <w:rPr>
          <w:rFonts w:hint="eastAsia" w:ascii="宋体" w:hAnsi="宋体" w:cs="宋体"/>
          <w:smallCaps w:val="0"/>
          <w:color w:val="auto"/>
          <w:kern w:val="0"/>
          <w:sz w:val="24"/>
          <w:szCs w:val="24"/>
          <w:highlight w:val="none"/>
        </w:rPr>
        <w:t>三、招投标须知正文</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_Toc14440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16</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"_Toc14211" </w:instrText>
      </w:r>
      <w:r>
        <w:rPr>
          <w:color w:val="auto"/>
          <w:highlight w:val="none"/>
        </w:rPr>
        <w:fldChar w:fldCharType="separate"/>
      </w:r>
      <w:r>
        <w:rPr>
          <w:rFonts w:hint="eastAsia" w:ascii="宋体" w:hAnsi="宋体" w:cs="宋体"/>
          <w:i w:val="0"/>
          <w:color w:val="auto"/>
          <w:sz w:val="24"/>
          <w:szCs w:val="24"/>
          <w:highlight w:val="none"/>
        </w:rPr>
        <w:t>（一）招标</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_Toc14211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16</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"_Toc22570" </w:instrText>
      </w:r>
      <w:r>
        <w:rPr>
          <w:color w:val="auto"/>
          <w:highlight w:val="none"/>
        </w:rPr>
        <w:fldChar w:fldCharType="separate"/>
      </w:r>
      <w:r>
        <w:rPr>
          <w:rFonts w:hint="eastAsia" w:ascii="宋体" w:hAnsi="宋体" w:cs="宋体"/>
          <w:i w:val="0"/>
          <w:color w:val="auto"/>
          <w:sz w:val="24"/>
          <w:szCs w:val="24"/>
          <w:highlight w:val="none"/>
        </w:rPr>
        <w:t>（二）投标</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_Toc22570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17</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"_Toc32508" </w:instrText>
      </w:r>
      <w:r>
        <w:rPr>
          <w:color w:val="auto"/>
          <w:highlight w:val="none"/>
        </w:rPr>
        <w:fldChar w:fldCharType="separate"/>
      </w:r>
      <w:r>
        <w:rPr>
          <w:rFonts w:hint="eastAsia" w:ascii="宋体" w:hAnsi="宋体" w:cs="宋体"/>
          <w:i w:val="0"/>
          <w:color w:val="auto"/>
          <w:sz w:val="24"/>
          <w:szCs w:val="24"/>
          <w:highlight w:val="none"/>
        </w:rPr>
        <w:t>（三）资格后审</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_Toc32508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22</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"_Toc2087" </w:instrText>
      </w:r>
      <w:r>
        <w:rPr>
          <w:color w:val="auto"/>
          <w:highlight w:val="none"/>
        </w:rPr>
        <w:fldChar w:fldCharType="separate"/>
      </w:r>
      <w:r>
        <w:rPr>
          <w:rFonts w:hint="eastAsia" w:ascii="宋体" w:hAnsi="宋体" w:cs="宋体"/>
          <w:i w:val="0"/>
          <w:color w:val="auto"/>
          <w:sz w:val="24"/>
          <w:szCs w:val="24"/>
          <w:highlight w:val="none"/>
        </w:rPr>
        <w:t>（四）开 标</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_Toc2087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22</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"_Toc27635" </w:instrText>
      </w:r>
      <w:r>
        <w:rPr>
          <w:color w:val="auto"/>
          <w:highlight w:val="none"/>
        </w:rPr>
        <w:fldChar w:fldCharType="separate"/>
      </w:r>
      <w:r>
        <w:rPr>
          <w:rFonts w:hint="eastAsia" w:ascii="宋体" w:hAnsi="宋体" w:cs="宋体"/>
          <w:i w:val="0"/>
          <w:color w:val="auto"/>
          <w:sz w:val="24"/>
          <w:szCs w:val="24"/>
          <w:highlight w:val="none"/>
        </w:rPr>
        <w:t>（五）评 标</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_Toc27635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23</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"_Toc6676" </w:instrText>
      </w:r>
      <w:r>
        <w:rPr>
          <w:color w:val="auto"/>
          <w:highlight w:val="none"/>
        </w:rPr>
        <w:fldChar w:fldCharType="separate"/>
      </w:r>
      <w:r>
        <w:rPr>
          <w:rFonts w:hint="eastAsia" w:ascii="宋体" w:hAnsi="宋体" w:cs="宋体"/>
          <w:i w:val="0"/>
          <w:color w:val="auto"/>
          <w:sz w:val="24"/>
          <w:szCs w:val="24"/>
          <w:highlight w:val="none"/>
        </w:rPr>
        <w:t>（六）定标</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_Toc6676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27</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"_Toc15577" </w:instrText>
      </w:r>
      <w:r>
        <w:rPr>
          <w:color w:val="auto"/>
          <w:highlight w:val="none"/>
        </w:rPr>
        <w:fldChar w:fldCharType="separate"/>
      </w:r>
      <w:r>
        <w:rPr>
          <w:rFonts w:hint="eastAsia" w:ascii="宋体" w:hAnsi="宋体" w:cs="宋体"/>
          <w:i w:val="0"/>
          <w:color w:val="auto"/>
          <w:sz w:val="24"/>
          <w:szCs w:val="24"/>
          <w:highlight w:val="none"/>
        </w:rPr>
        <w:t>（七）中标通知书</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_Toc15577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32</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"_Toc24577" </w:instrText>
      </w:r>
      <w:r>
        <w:rPr>
          <w:color w:val="auto"/>
          <w:highlight w:val="none"/>
        </w:rPr>
        <w:fldChar w:fldCharType="separate"/>
      </w:r>
      <w:r>
        <w:rPr>
          <w:rFonts w:hint="eastAsia" w:ascii="宋体" w:hAnsi="宋体" w:cs="宋体"/>
          <w:i w:val="0"/>
          <w:color w:val="auto"/>
          <w:sz w:val="24"/>
          <w:szCs w:val="24"/>
          <w:highlight w:val="none"/>
        </w:rPr>
        <w:t>（八）合同的授予</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_Toc24577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32</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pPr>
        <w:pStyle w:val="56"/>
        <w:tabs>
          <w:tab w:val="right" w:leader="dot" w:pos="9072"/>
        </w:tabs>
        <w:rPr>
          <w:rFonts w:ascii="宋体" w:hAnsi="宋体" w:cs="宋体"/>
          <w:b w:val="0"/>
          <w:caps w:val="0"/>
          <w:color w:val="auto"/>
          <w:sz w:val="24"/>
          <w:szCs w:val="24"/>
          <w:highlight w:val="none"/>
        </w:rPr>
      </w:pPr>
      <w:r>
        <w:rPr>
          <w:color w:val="auto"/>
          <w:highlight w:val="none"/>
        </w:rPr>
        <w:fldChar w:fldCharType="begin"/>
      </w:r>
      <w:r>
        <w:rPr>
          <w:color w:val="auto"/>
          <w:highlight w:val="none"/>
        </w:rPr>
        <w:instrText xml:space="preserve"> HYPERLINK \l "_Toc23378" </w:instrText>
      </w:r>
      <w:r>
        <w:rPr>
          <w:color w:val="auto"/>
          <w:highlight w:val="none"/>
        </w:rPr>
        <w:fldChar w:fldCharType="separate"/>
      </w:r>
      <w:r>
        <w:rPr>
          <w:rFonts w:hint="eastAsia" w:ascii="宋体" w:hAnsi="宋体" w:cs="宋体"/>
          <w:b w:val="0"/>
          <w:caps w:val="0"/>
          <w:color w:val="auto"/>
          <w:kern w:val="0"/>
          <w:sz w:val="24"/>
          <w:szCs w:val="24"/>
          <w:highlight w:val="none"/>
        </w:rPr>
        <w:t>第三章  招标人对招标文件及合同范本的补充/修改</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_Toc23378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34</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pPr>
        <w:pStyle w:val="56"/>
        <w:tabs>
          <w:tab w:val="right" w:leader="dot" w:pos="9072"/>
        </w:tabs>
        <w:rPr>
          <w:rFonts w:ascii="宋体" w:hAnsi="宋体" w:cs="宋体"/>
          <w:b w:val="0"/>
          <w:caps w:val="0"/>
          <w:color w:val="auto"/>
          <w:sz w:val="24"/>
          <w:szCs w:val="24"/>
          <w:highlight w:val="none"/>
        </w:rPr>
      </w:pPr>
      <w:r>
        <w:rPr>
          <w:color w:val="auto"/>
          <w:highlight w:val="none"/>
        </w:rPr>
        <w:fldChar w:fldCharType="begin"/>
      </w:r>
      <w:r>
        <w:rPr>
          <w:color w:val="auto"/>
          <w:highlight w:val="none"/>
        </w:rPr>
        <w:instrText xml:space="preserve"> HYPERLINK \l "_Toc25974" </w:instrText>
      </w:r>
      <w:r>
        <w:rPr>
          <w:color w:val="auto"/>
          <w:highlight w:val="none"/>
        </w:rPr>
        <w:fldChar w:fldCharType="separate"/>
      </w:r>
      <w:r>
        <w:rPr>
          <w:rFonts w:hint="eastAsia" w:ascii="宋体" w:hAnsi="宋体" w:cs="宋体"/>
          <w:b w:val="0"/>
          <w:caps w:val="0"/>
          <w:color w:val="auto"/>
          <w:kern w:val="0"/>
          <w:sz w:val="24"/>
          <w:szCs w:val="24"/>
          <w:highlight w:val="none"/>
        </w:rPr>
        <w:t>第四章  投标文件格式</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_Toc25974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35</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"_Toc4977" </w:instrText>
      </w:r>
      <w:r>
        <w:rPr>
          <w:color w:val="auto"/>
          <w:highlight w:val="none"/>
        </w:rPr>
        <w:fldChar w:fldCharType="separate"/>
      </w:r>
      <w:r>
        <w:rPr>
          <w:rFonts w:hint="eastAsia" w:ascii="宋体" w:hAnsi="宋体" w:cs="宋体"/>
          <w:smallCaps w:val="0"/>
          <w:color w:val="auto"/>
          <w:kern w:val="0"/>
          <w:sz w:val="24"/>
          <w:szCs w:val="24"/>
          <w:highlight w:val="none"/>
        </w:rPr>
        <w:t>资格审查标书</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_Toc4977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36</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"_Toc8765" </w:instrText>
      </w:r>
      <w:r>
        <w:rPr>
          <w:color w:val="auto"/>
          <w:highlight w:val="none"/>
        </w:rPr>
        <w:fldChar w:fldCharType="separate"/>
      </w:r>
      <w:r>
        <w:rPr>
          <w:rFonts w:hint="eastAsia" w:ascii="宋体" w:hAnsi="宋体" w:cs="宋体"/>
          <w:smallCaps w:val="0"/>
          <w:color w:val="auto"/>
          <w:kern w:val="0"/>
          <w:sz w:val="24"/>
          <w:szCs w:val="24"/>
          <w:highlight w:val="none"/>
        </w:rPr>
        <w:t>资信标书</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_Toc8765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37</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"_Toc29141" </w:instrText>
      </w:r>
      <w:r>
        <w:rPr>
          <w:color w:val="auto"/>
          <w:highlight w:val="none"/>
        </w:rPr>
        <w:fldChar w:fldCharType="separate"/>
      </w:r>
      <w:r>
        <w:rPr>
          <w:rFonts w:hint="eastAsia" w:ascii="宋体" w:hAnsi="宋体" w:cs="宋体"/>
          <w:smallCaps w:val="0"/>
          <w:color w:val="auto"/>
          <w:kern w:val="0"/>
          <w:sz w:val="24"/>
          <w:szCs w:val="24"/>
          <w:highlight w:val="none"/>
        </w:rPr>
        <w:t>技术标书</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_Toc29141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57</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"_Toc31879" </w:instrText>
      </w:r>
      <w:r>
        <w:rPr>
          <w:color w:val="auto"/>
          <w:highlight w:val="none"/>
        </w:rPr>
        <w:fldChar w:fldCharType="separate"/>
      </w:r>
      <w:r>
        <w:rPr>
          <w:rFonts w:hint="eastAsia" w:ascii="宋体" w:hAnsi="宋体" w:cs="宋体"/>
          <w:smallCaps w:val="0"/>
          <w:color w:val="auto"/>
          <w:kern w:val="0"/>
          <w:sz w:val="24"/>
          <w:szCs w:val="24"/>
          <w:highlight w:val="none"/>
        </w:rPr>
        <w:t>商务标书</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_Toc31879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63</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"_Toc26545" </w:instrText>
      </w:r>
      <w:r>
        <w:rPr>
          <w:color w:val="auto"/>
          <w:highlight w:val="none"/>
        </w:rPr>
        <w:fldChar w:fldCharType="separate"/>
      </w:r>
      <w:r>
        <w:rPr>
          <w:rFonts w:hint="eastAsia" w:ascii="宋体" w:hAnsi="宋体" w:cs="宋体"/>
          <w:smallCaps w:val="0"/>
          <w:color w:val="auto"/>
          <w:kern w:val="0"/>
          <w:sz w:val="24"/>
          <w:szCs w:val="24"/>
          <w:highlight w:val="none"/>
        </w:rPr>
        <w:t>业绩文件</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_Toc26545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69</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"_Toc23903" </w:instrText>
      </w:r>
      <w:r>
        <w:rPr>
          <w:color w:val="auto"/>
          <w:highlight w:val="none"/>
        </w:rPr>
        <w:fldChar w:fldCharType="separate"/>
      </w:r>
      <w:r>
        <w:rPr>
          <w:rFonts w:hint="eastAsia" w:ascii="宋体" w:hAnsi="宋体" w:cs="宋体"/>
          <w:smallCaps w:val="0"/>
          <w:color w:val="auto"/>
          <w:kern w:val="0"/>
          <w:sz w:val="24"/>
          <w:szCs w:val="24"/>
          <w:highlight w:val="none"/>
        </w:rPr>
        <w:t>二次报价文件</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_Toc23903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72</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pPr>
        <w:pStyle w:val="56"/>
        <w:tabs>
          <w:tab w:val="right" w:leader="dot" w:pos="9072"/>
        </w:tabs>
        <w:rPr>
          <w:rFonts w:ascii="宋体" w:hAnsi="宋体" w:cs="宋体"/>
          <w:b w:val="0"/>
          <w:caps w:val="0"/>
          <w:color w:val="auto"/>
          <w:sz w:val="24"/>
          <w:szCs w:val="24"/>
          <w:highlight w:val="none"/>
        </w:rPr>
      </w:pPr>
      <w:r>
        <w:rPr>
          <w:color w:val="auto"/>
          <w:highlight w:val="none"/>
        </w:rPr>
        <w:fldChar w:fldCharType="begin"/>
      </w:r>
      <w:r>
        <w:rPr>
          <w:color w:val="auto"/>
          <w:highlight w:val="none"/>
        </w:rPr>
        <w:instrText xml:space="preserve"> HYPERLINK \l "_Toc3075" </w:instrText>
      </w:r>
      <w:r>
        <w:rPr>
          <w:color w:val="auto"/>
          <w:highlight w:val="none"/>
        </w:rPr>
        <w:fldChar w:fldCharType="separate"/>
      </w:r>
      <w:r>
        <w:rPr>
          <w:rFonts w:hint="eastAsia" w:ascii="宋体" w:hAnsi="宋体" w:cs="宋体"/>
          <w:b w:val="0"/>
          <w:caps w:val="0"/>
          <w:color w:val="auto"/>
          <w:kern w:val="0"/>
          <w:sz w:val="24"/>
          <w:szCs w:val="24"/>
          <w:highlight w:val="none"/>
        </w:rPr>
        <w:t>第五章  货物需求书</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_Toc3075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78</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"_Toc29056" </w:instrText>
      </w:r>
      <w:r>
        <w:rPr>
          <w:color w:val="auto"/>
          <w:highlight w:val="none"/>
        </w:rPr>
        <w:fldChar w:fldCharType="separate"/>
      </w:r>
      <w:r>
        <w:rPr>
          <w:rFonts w:hint="eastAsia" w:ascii="宋体" w:hAnsi="宋体" w:cs="宋体"/>
          <w:smallCaps w:val="0"/>
          <w:color w:val="auto"/>
          <w:kern w:val="0"/>
          <w:sz w:val="24"/>
          <w:szCs w:val="24"/>
          <w:highlight w:val="none"/>
        </w:rPr>
        <w:t>第一节  货物需求及数量一览表</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_Toc29056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78</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"_Toc19328" </w:instrText>
      </w:r>
      <w:r>
        <w:rPr>
          <w:color w:val="auto"/>
          <w:highlight w:val="none"/>
        </w:rPr>
        <w:fldChar w:fldCharType="separate"/>
      </w:r>
      <w:r>
        <w:rPr>
          <w:rFonts w:hint="eastAsia" w:ascii="宋体" w:hAnsi="宋体" w:cs="宋体"/>
          <w:smallCaps w:val="0"/>
          <w:color w:val="auto"/>
          <w:kern w:val="0"/>
          <w:sz w:val="24"/>
          <w:szCs w:val="24"/>
          <w:highlight w:val="none"/>
        </w:rPr>
        <w:t>第二节  项目实质性要求和条件</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_Toc19328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79</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"_Toc16903" </w:instrText>
      </w:r>
      <w:r>
        <w:rPr>
          <w:color w:val="auto"/>
          <w:highlight w:val="none"/>
        </w:rPr>
        <w:fldChar w:fldCharType="separate"/>
      </w:r>
      <w:r>
        <w:rPr>
          <w:rFonts w:hint="eastAsia" w:ascii="宋体" w:hAnsi="宋体" w:cs="宋体"/>
          <w:i w:val="0"/>
          <w:color w:val="auto"/>
          <w:kern w:val="0"/>
          <w:sz w:val="24"/>
          <w:szCs w:val="24"/>
          <w:highlight w:val="none"/>
        </w:rPr>
        <w:t>一、资信条款不可偏离表</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_Toc16903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79</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"_Toc9484" </w:instrText>
      </w:r>
      <w:r>
        <w:rPr>
          <w:color w:val="auto"/>
          <w:highlight w:val="none"/>
        </w:rPr>
        <w:fldChar w:fldCharType="separate"/>
      </w:r>
      <w:r>
        <w:rPr>
          <w:rFonts w:hint="eastAsia" w:ascii="宋体" w:hAnsi="宋体" w:cs="宋体"/>
          <w:i w:val="0"/>
          <w:color w:val="auto"/>
          <w:kern w:val="0"/>
          <w:sz w:val="24"/>
          <w:szCs w:val="24"/>
          <w:highlight w:val="none"/>
        </w:rPr>
        <w:t>二、技术性能不可偏离表</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_Toc9484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80</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"_Toc27552" </w:instrText>
      </w:r>
      <w:r>
        <w:rPr>
          <w:color w:val="auto"/>
          <w:highlight w:val="none"/>
        </w:rPr>
        <w:fldChar w:fldCharType="separate"/>
      </w:r>
      <w:r>
        <w:rPr>
          <w:rFonts w:hint="eastAsia" w:ascii="宋体" w:hAnsi="宋体" w:cs="宋体"/>
          <w:i w:val="0"/>
          <w:color w:val="auto"/>
          <w:kern w:val="0"/>
          <w:sz w:val="24"/>
          <w:szCs w:val="24"/>
          <w:highlight w:val="none"/>
        </w:rPr>
        <w:t>三、商务条款不可偏离表</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_Toc27552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81</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pPr>
        <w:pStyle w:val="56"/>
        <w:tabs>
          <w:tab w:val="right" w:leader="dot" w:pos="9072"/>
        </w:tabs>
        <w:rPr>
          <w:rFonts w:ascii="宋体" w:hAnsi="宋体" w:cs="宋体"/>
          <w:b w:val="0"/>
          <w:caps w:val="0"/>
          <w:color w:val="auto"/>
          <w:sz w:val="24"/>
          <w:szCs w:val="24"/>
          <w:highlight w:val="none"/>
        </w:rPr>
      </w:pPr>
      <w:r>
        <w:rPr>
          <w:color w:val="auto"/>
          <w:highlight w:val="none"/>
        </w:rPr>
        <w:fldChar w:fldCharType="begin"/>
      </w:r>
      <w:r>
        <w:rPr>
          <w:color w:val="auto"/>
          <w:highlight w:val="none"/>
        </w:rPr>
        <w:instrText xml:space="preserve"> HYPERLINK \l "_Toc16045" </w:instrText>
      </w:r>
      <w:r>
        <w:rPr>
          <w:color w:val="auto"/>
          <w:highlight w:val="none"/>
        </w:rPr>
        <w:fldChar w:fldCharType="separate"/>
      </w:r>
      <w:r>
        <w:rPr>
          <w:rFonts w:hint="eastAsia" w:ascii="宋体" w:hAnsi="宋体" w:cs="宋体"/>
          <w:b w:val="0"/>
          <w:caps w:val="0"/>
          <w:color w:val="auto"/>
          <w:kern w:val="0"/>
          <w:sz w:val="24"/>
          <w:szCs w:val="24"/>
          <w:highlight w:val="none"/>
        </w:rPr>
        <w:t>第六章  合同条款及格式</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_Toc16045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82</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pPr>
        <w:pStyle w:val="56"/>
        <w:tabs>
          <w:tab w:val="right" w:leader="dot" w:pos="9072"/>
        </w:tabs>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"_Toc12311" </w:instrText>
      </w:r>
      <w:r>
        <w:rPr>
          <w:color w:val="auto"/>
          <w:highlight w:val="none"/>
        </w:rPr>
        <w:fldChar w:fldCharType="separate"/>
      </w:r>
      <w:r>
        <w:rPr>
          <w:rFonts w:hint="eastAsia" w:ascii="宋体" w:hAnsi="宋体" w:cs="宋体"/>
          <w:b w:val="0"/>
          <w:caps w:val="0"/>
          <w:color w:val="auto"/>
          <w:kern w:val="0"/>
          <w:sz w:val="24"/>
          <w:szCs w:val="24"/>
          <w:highlight w:val="none"/>
        </w:rPr>
        <w:t>第七章  技术要求</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_Toc12311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83</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pPr>
        <w:widowControl/>
        <w:jc w:val="center"/>
        <w:rPr>
          <w:b/>
          <w:bCs/>
          <w:color w:val="auto"/>
          <w:sz w:val="32"/>
          <w:szCs w:val="32"/>
          <w:highlight w:val="none"/>
        </w:rPr>
      </w:pPr>
      <w:r>
        <w:rPr>
          <w:rFonts w:hint="eastAsia" w:ascii="宋体" w:hAnsi="宋体" w:eastAsia="宋体" w:cs="宋体"/>
          <w:bCs/>
          <w:color w:val="auto"/>
          <w:sz w:val="24"/>
          <w:szCs w:val="24"/>
          <w:highlight w:val="none"/>
        </w:rPr>
        <w:fldChar w:fldCharType="end"/>
      </w:r>
    </w:p>
    <w:p>
      <w:pPr>
        <w:rPr>
          <w:color w:val="auto"/>
          <w:highlight w:val="none"/>
        </w:rPr>
      </w:pPr>
      <w:r>
        <w:rPr>
          <w:rFonts w:hint="eastAsia"/>
          <w:color w:val="auto"/>
          <w:highlight w:val="none"/>
        </w:rPr>
        <w:br w:type="page"/>
      </w:r>
    </w:p>
    <w:p>
      <w:pPr>
        <w:adjustRightInd w:val="0"/>
        <w:snapToGrid w:val="0"/>
        <w:spacing w:line="360" w:lineRule="auto"/>
        <w:jc w:val="center"/>
        <w:outlineLvl w:val="0"/>
        <w:rPr>
          <w:rFonts w:ascii="黑体" w:eastAsia="黑体"/>
          <w:bCs/>
          <w:color w:val="auto"/>
          <w:kern w:val="0"/>
          <w:sz w:val="32"/>
          <w:szCs w:val="32"/>
          <w:highlight w:val="none"/>
        </w:rPr>
      </w:pPr>
      <w:bookmarkStart w:id="1" w:name="_Toc12964"/>
      <w:r>
        <w:rPr>
          <w:rFonts w:hint="eastAsia" w:ascii="黑体" w:eastAsia="黑体"/>
          <w:bCs/>
          <w:color w:val="auto"/>
          <w:kern w:val="0"/>
          <w:sz w:val="32"/>
          <w:szCs w:val="32"/>
          <w:highlight w:val="none"/>
        </w:rPr>
        <w:t>第一章  使用说明</w:t>
      </w:r>
      <w:bookmarkEnd w:id="0"/>
      <w:bookmarkEnd w:id="1"/>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为了规范工程建设项目货物招标投标活动，保障招标人和投标人的合法权益，根据国家及深圳市有关法律、法规、规章和规范性文件的规定，结合我市实际，遵循公开、公平、公正和诚实信用的原则，深圳市住房和建设局制定了《深圳市建设工程货物类招标文件示范文本》（以下简称“本范本”）。</w:t>
      </w:r>
    </w:p>
    <w:p>
      <w:pPr>
        <w:topLinePunct/>
        <w:adjustRightInd w:val="0"/>
        <w:snapToGrid w:val="0"/>
        <w:spacing w:line="360" w:lineRule="auto"/>
        <w:ind w:left="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w:t>
      </w:r>
      <w:r>
        <w:rPr>
          <w:rFonts w:hint="eastAsia" w:ascii="宋体" w:hAnsi="宋体" w:eastAsia="宋体" w:cs="宋体"/>
          <w:color w:val="auto"/>
          <w:szCs w:val="21"/>
          <w:highlight w:val="none"/>
        </w:rPr>
        <w:t>范本</w:t>
      </w:r>
      <w:r>
        <w:rPr>
          <w:rFonts w:hint="eastAsia" w:ascii="宋体" w:hAnsi="宋体" w:eastAsia="宋体" w:cs="宋体"/>
          <w:color w:val="auto"/>
          <w:kern w:val="0"/>
          <w:szCs w:val="21"/>
          <w:highlight w:val="none"/>
        </w:rPr>
        <w:t>适用于采用评定分离、并采用计算机评标系统评标的深圳市货物类招标工程。</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三、本范本的主要编写依据：</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1．《中华人民共和国建筑法》；</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2．《中华人民共和国招标投标法》；</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3．《中华人民共和国民法典》；</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 《电子招标投标办法》；</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5．《深圳经济特区建设工程施工招标投标条例》；</w:t>
      </w:r>
    </w:p>
    <w:p>
      <w:pPr>
        <w:topLinePunct/>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6．《工程建设项目货物招标投标办法》（国家建设等7部委第27号令）；</w:t>
      </w:r>
    </w:p>
    <w:p>
      <w:pPr>
        <w:topLinePunct/>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7. 《关于创新完善体制机制推动招标投标市场规范健康发展的意见》(国办发〔2024〕21号）；</w:t>
      </w:r>
    </w:p>
    <w:p>
      <w:pPr>
        <w:topLinePunct/>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．《关于建设工程招标投标改革若干规定》（深府〔2015〕73号）；</w:t>
      </w:r>
    </w:p>
    <w:p>
      <w:pPr>
        <w:topLinePunct/>
        <w:adjustRightInd w:val="0"/>
        <w:snapToGrid w:val="0"/>
        <w:spacing w:line="360" w:lineRule="auto"/>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《关于进一步规范建设工程招标投标活动的通知》</w:t>
      </w:r>
      <w:r>
        <w:rPr>
          <w:rFonts w:hint="eastAsia" w:ascii="宋体" w:hAnsi="宋体" w:eastAsia="宋体" w:cs="宋体"/>
          <w:color w:val="auto"/>
          <w:szCs w:val="21"/>
          <w:highlight w:val="none"/>
        </w:rPr>
        <w:t>(深府</w:t>
      </w:r>
      <w:r>
        <w:rPr>
          <w:rFonts w:hint="eastAsia" w:ascii="宋体" w:hAnsi="宋体" w:eastAsia="宋体" w:cs="宋体"/>
          <w:color w:val="auto"/>
          <w:szCs w:val="21"/>
          <w:highlight w:val="none"/>
          <w:lang w:val="en-US" w:eastAsia="zh-CN"/>
        </w:rPr>
        <w:t>规</w:t>
      </w: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号)</w:t>
      </w:r>
      <w:r>
        <w:rPr>
          <w:rFonts w:hint="eastAsia" w:ascii="宋体" w:hAnsi="宋体" w:eastAsia="宋体" w:cs="宋体"/>
          <w:color w:val="auto"/>
          <w:szCs w:val="21"/>
          <w:highlight w:val="none"/>
          <w:lang w:eastAsia="zh-CN"/>
        </w:rPr>
        <w:t>；</w:t>
      </w:r>
    </w:p>
    <w:p>
      <w:pPr>
        <w:topLinePunct/>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10</w:t>
      </w:r>
      <w:r>
        <w:rPr>
          <w:rFonts w:hint="eastAsia" w:ascii="宋体" w:hAnsi="宋体" w:eastAsia="宋体" w:cs="宋体"/>
          <w:color w:val="auto"/>
          <w:kern w:val="0"/>
          <w:szCs w:val="21"/>
          <w:highlight w:val="none"/>
        </w:rPr>
        <w:t>．《关于进一步完善建设工程招标投标制度的若干措施》(深建规〔2020〕1号)；</w:t>
      </w:r>
    </w:p>
    <w:p>
      <w:pPr>
        <w:topLinePunct/>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rPr>
        <w:t>11</w:t>
      </w:r>
      <w:r>
        <w:rPr>
          <w:rFonts w:hint="eastAsia" w:ascii="宋体" w:hAnsi="宋体" w:eastAsia="宋体" w:cs="宋体"/>
          <w:color w:val="auto"/>
          <w:kern w:val="0"/>
          <w:szCs w:val="21"/>
          <w:highlight w:val="none"/>
        </w:rPr>
        <w:t>.其</w:t>
      </w:r>
      <w:r>
        <w:rPr>
          <w:rFonts w:hint="eastAsia" w:ascii="宋体" w:hAnsi="宋体" w:eastAsia="宋体" w:cs="宋体"/>
          <w:color w:val="auto"/>
          <w:szCs w:val="21"/>
          <w:highlight w:val="none"/>
        </w:rPr>
        <w:t>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四、本工程招标投标活动在</w:t>
      </w:r>
      <w:r>
        <w:rPr>
          <w:rFonts w:hint="eastAsia" w:ascii="仿宋_GB2312" w:hAnsi="仿宋_GB2312" w:eastAsia="仿宋_GB2312" w:cs="仿宋_GB2312"/>
          <w:b w:val="0"/>
          <w:bCs w:val="0"/>
          <w:i w:val="0"/>
          <w:iCs w:val="0"/>
          <w:color w:val="auto"/>
          <w:spacing w:val="0"/>
          <w:w w:val="100"/>
          <w:sz w:val="21"/>
          <w:szCs w:val="21"/>
          <w:highlight w:val="none"/>
          <w:vertAlign w:val="baseline"/>
        </w:rPr>
        <w:t>深圳交易集团有限公司（深圳公共资源交易中心）</w:t>
      </w:r>
      <w:r>
        <w:rPr>
          <w:rFonts w:hint="eastAsia" w:ascii="宋体" w:hAnsi="宋体" w:eastAsia="宋体" w:cs="宋体"/>
          <w:color w:val="auto"/>
          <w:kern w:val="0"/>
          <w:szCs w:val="21"/>
          <w:highlight w:val="none"/>
        </w:rPr>
        <w:t>进行。</w:t>
      </w:r>
    </w:p>
    <w:p>
      <w:pPr>
        <w:wordWrap w:val="0"/>
        <w:topLinePunct w:val="0"/>
        <w:adjustRightInd w:val="0"/>
        <w:snapToGrid w:val="0"/>
        <w:spacing w:line="4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五、本招标文件</w:t>
      </w:r>
      <w:r>
        <w:rPr>
          <w:rFonts w:hint="eastAsia" w:ascii="宋体" w:hAnsi="宋体" w:eastAsia="宋体" w:cs="宋体"/>
          <w:color w:val="auto"/>
          <w:szCs w:val="21"/>
          <w:highlight w:val="none"/>
        </w:rPr>
        <w:t>所指交易网为：深圳公共资源交易网（http://www.szggzy.com/）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pPr>
        <w:adjustRightInd w:val="0"/>
        <w:snapToGrid w:val="0"/>
        <w:spacing w:line="4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六、招标人和投标人应事先办理企业数字证书或电子营业执照以及相关人员的数字证书（商务标书由非投标单位的造价工程师编制的，该造价工程师也应办理数字证书）。有关手续请查看交易网中的</w:t>
      </w:r>
      <w:r>
        <w:rPr>
          <w:rFonts w:hint="eastAsia" w:ascii="宋体" w:hAnsi="宋体" w:eastAsia="宋体" w:cs="宋体"/>
          <w:color w:val="auto"/>
          <w:szCs w:val="21"/>
          <w:highlight w:val="none"/>
        </w:rPr>
        <w:t>“建设工程数字证书办事指南”</w:t>
      </w:r>
      <w:r>
        <w:rPr>
          <w:rFonts w:hint="eastAsia" w:ascii="宋体" w:hAnsi="宋体" w:eastAsia="宋体" w:cs="宋体"/>
          <w:snapToGrid w:val="0"/>
          <w:color w:val="auto"/>
          <w:kern w:val="0"/>
          <w:szCs w:val="21"/>
          <w:highlight w:val="none"/>
        </w:rPr>
        <w:t>。使用电子营业执照的，须提前在</w:t>
      </w:r>
      <w:r>
        <w:rPr>
          <w:rFonts w:hint="eastAsia" w:ascii="宋体" w:hAnsi="宋体" w:eastAsia="宋体" w:cs="宋体"/>
          <w:color w:val="auto"/>
          <w:szCs w:val="21"/>
          <w:highlight w:val="none"/>
        </w:rPr>
        <w:t>国家市场监督管理总局</w:t>
      </w:r>
      <w:r>
        <w:rPr>
          <w:rFonts w:hint="eastAsia" w:ascii="宋体" w:hAnsi="宋体" w:eastAsia="宋体" w:cs="宋体"/>
          <w:snapToGrid w:val="0"/>
          <w:color w:val="auto"/>
          <w:kern w:val="0"/>
          <w:szCs w:val="21"/>
          <w:highlight w:val="none"/>
        </w:rPr>
        <w:t>“电子营业执照”微信小程序电子营业执照应用程序中下载本企业电子营业执照，</w:t>
      </w:r>
      <w:r>
        <w:rPr>
          <w:rFonts w:hint="eastAsia" w:ascii="宋体" w:hAnsi="宋体" w:eastAsia="宋体" w:cs="宋体"/>
          <w:b w:val="0"/>
          <w:bCs w:val="0"/>
          <w:i w:val="0"/>
          <w:iCs w:val="0"/>
          <w:color w:val="auto"/>
          <w:spacing w:val="0"/>
          <w:w w:val="100"/>
          <w:sz w:val="21"/>
          <w:szCs w:val="21"/>
          <w:highlight w:val="none"/>
          <w:vertAlign w:val="baseline"/>
        </w:rPr>
        <w:t>有关手续请查看交易网“电子营业执照用户使用手册”。</w:t>
      </w:r>
    </w:p>
    <w:p>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snapToGrid w:val="0"/>
          <w:color w:val="auto"/>
          <w:kern w:val="0"/>
          <w:szCs w:val="21"/>
          <w:highlight w:val="none"/>
        </w:rPr>
        <w:t>七、</w:t>
      </w:r>
      <w:r>
        <w:rPr>
          <w:rFonts w:hint="eastAsia" w:ascii="宋体" w:hAnsi="宋体" w:eastAsia="宋体" w:cs="宋体"/>
          <w:color w:val="auto"/>
          <w:szCs w:val="21"/>
          <w:highlight w:val="none"/>
        </w:rPr>
        <w:t>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 gov.sn/)和中国招标投标公共服务平台(网址:http://www.cebpubservice.com/)发布。</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八、有关招标问题的说明</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招标文件中的所有空格招标人必须按实填写，无内容或不采用应填写“无”。对本招标文件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2．招标文件的建设规模应描述整个建设项目的规模情况和使用功能。</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3．招标文件的招标范围，应详细说明本次招标工程的具体项目、结构类型等项目特征。</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4．采用本示范文本以外的评标方法应经建设</w:t>
      </w:r>
      <w:r>
        <w:rPr>
          <w:rFonts w:hint="eastAsia" w:ascii="宋体" w:hAnsi="宋体" w:eastAsia="宋体" w:cs="宋体"/>
          <w:color w:val="auto"/>
          <w:kern w:val="0"/>
          <w:szCs w:val="21"/>
          <w:highlight w:val="none"/>
        </w:rPr>
        <w:t>、交通</w:t>
      </w:r>
      <w:r>
        <w:rPr>
          <w:rFonts w:hint="eastAsia" w:ascii="宋体" w:hAnsi="宋体" w:eastAsia="宋体" w:cs="宋体"/>
          <w:snapToGrid w:val="0"/>
          <w:color w:val="auto"/>
          <w:kern w:val="0"/>
          <w:szCs w:val="21"/>
          <w:highlight w:val="none"/>
        </w:rPr>
        <w:t>行政主管部门批准，并且必须在招标文件的评标方法中进行详细描述。</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5.采用本示范文本以外的定标方法应经建设</w:t>
      </w:r>
      <w:r>
        <w:rPr>
          <w:rFonts w:hint="eastAsia" w:ascii="宋体" w:hAnsi="宋体" w:eastAsia="宋体" w:cs="宋体"/>
          <w:color w:val="auto"/>
          <w:kern w:val="0"/>
          <w:szCs w:val="21"/>
          <w:highlight w:val="none"/>
        </w:rPr>
        <w:t>、交通</w:t>
      </w:r>
      <w:r>
        <w:rPr>
          <w:rFonts w:hint="eastAsia" w:ascii="宋体" w:hAnsi="宋体" w:eastAsia="宋体" w:cs="宋体"/>
          <w:snapToGrid w:val="0"/>
          <w:color w:val="auto"/>
          <w:kern w:val="0"/>
          <w:szCs w:val="21"/>
          <w:highlight w:val="none"/>
        </w:rPr>
        <w:t>行政主管部门批准，并且必须在招标文件中进行详细描述。</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6.招标人注意事项：</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6.1招标人提交的电子招标文件格式为*.</w:t>
      </w:r>
      <w:r>
        <w:rPr>
          <w:color w:val="auto"/>
          <w:highlight w:val="none"/>
        </w:rPr>
        <w:t>HWZB</w:t>
      </w:r>
      <w:r>
        <w:rPr>
          <w:rFonts w:hint="eastAsia" w:ascii="宋体" w:hAnsi="宋体" w:eastAsia="宋体" w:cs="宋体"/>
          <w:snapToGrid w:val="0"/>
          <w:color w:val="auto"/>
          <w:kern w:val="0"/>
          <w:szCs w:val="21"/>
          <w:highlight w:val="none"/>
        </w:rPr>
        <w:t>或*.</w:t>
      </w:r>
      <w:r>
        <w:rPr>
          <w:color w:val="auto"/>
          <w:highlight w:val="none"/>
        </w:rPr>
        <w:t>TYZB</w:t>
      </w:r>
      <w:r>
        <w:rPr>
          <w:rFonts w:hint="eastAsia" w:ascii="宋体" w:hAnsi="宋体" w:eastAsia="宋体" w:cs="宋体"/>
          <w:snapToGrid w:val="0"/>
          <w:color w:val="auto"/>
          <w:kern w:val="0"/>
          <w:szCs w:val="21"/>
          <w:highlight w:val="none"/>
        </w:rPr>
        <w:t>，且必须是</w:t>
      </w:r>
      <w:r>
        <w:rPr>
          <w:rFonts w:hint="eastAsia" w:ascii="宋体" w:hAnsi="宋体" w:eastAsia="宋体" w:cs="宋体"/>
          <w:color w:val="auto"/>
          <w:kern w:val="0"/>
          <w:szCs w:val="21"/>
          <w:highlight w:val="none"/>
          <w:lang w:val="en-US" w:eastAsia="zh-CN"/>
        </w:rPr>
        <w:t>交易平台在线编制</w:t>
      </w:r>
      <w:r>
        <w:rPr>
          <w:rFonts w:hint="eastAsia" w:ascii="宋体" w:hAnsi="宋体" w:eastAsia="宋体" w:cs="宋体"/>
          <w:snapToGrid w:val="0"/>
          <w:color w:val="auto"/>
          <w:kern w:val="0"/>
          <w:szCs w:val="21"/>
          <w:highlight w:val="none"/>
        </w:rPr>
        <w:t>生成的。</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6.2电子招标文件备案时，需通过</w:t>
      </w:r>
      <w:r>
        <w:rPr>
          <w:rFonts w:hint="eastAsia" w:ascii="宋体" w:hAnsi="宋体" w:eastAsia="宋体" w:cs="宋体"/>
          <w:color w:val="auto"/>
          <w:kern w:val="0"/>
          <w:szCs w:val="21"/>
          <w:highlight w:val="none"/>
        </w:rPr>
        <w:t>交易</w:t>
      </w:r>
      <w:r>
        <w:rPr>
          <w:rFonts w:hint="eastAsia" w:ascii="宋体" w:hAnsi="宋体" w:eastAsia="宋体" w:cs="宋体"/>
          <w:color w:val="auto"/>
          <w:kern w:val="0"/>
          <w:szCs w:val="21"/>
          <w:highlight w:val="none"/>
          <w:lang w:val="en-US" w:eastAsia="zh-CN"/>
        </w:rPr>
        <w:t>网</w:t>
      </w:r>
      <w:r>
        <w:rPr>
          <w:rFonts w:hint="eastAsia" w:ascii="宋体" w:hAnsi="宋体" w:eastAsia="宋体" w:cs="宋体"/>
          <w:snapToGrid w:val="0"/>
          <w:color w:val="auto"/>
          <w:kern w:val="0"/>
          <w:szCs w:val="21"/>
          <w:highlight w:val="none"/>
        </w:rPr>
        <w:t>上传提交电子招标文件。</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 招标控制价公布在交易网的</w:t>
      </w:r>
      <w:r>
        <w:rPr>
          <w:rFonts w:hint="eastAsia" w:ascii="宋体" w:hAnsi="宋体" w:eastAsia="宋体" w:cs="宋体"/>
          <w:color w:val="auto"/>
          <w:szCs w:val="21"/>
          <w:highlight w:val="none"/>
        </w:rPr>
        <w:t>交易</w:t>
      </w:r>
      <w:r>
        <w:rPr>
          <w:rFonts w:hint="eastAsia" w:ascii="宋体" w:hAnsi="宋体" w:eastAsia="宋体" w:cs="宋体"/>
          <w:color w:val="auto"/>
          <w:szCs w:val="21"/>
          <w:highlight w:val="none"/>
          <w:lang w:val="en-US" w:eastAsia="zh-CN"/>
        </w:rPr>
        <w:t>公告</w:t>
      </w:r>
      <w:r>
        <w:rPr>
          <w:rFonts w:hint="eastAsia" w:ascii="宋体" w:hAnsi="宋体" w:eastAsia="宋体" w:cs="宋体"/>
          <w:color w:val="auto"/>
          <w:szCs w:val="21"/>
          <w:highlight w:val="none"/>
        </w:rPr>
        <w:t>-建设工程-招标控制价公示</w:t>
      </w:r>
      <w:r>
        <w:rPr>
          <w:rFonts w:hint="eastAsia" w:ascii="宋体" w:hAnsi="宋体" w:eastAsia="宋体" w:cs="宋体"/>
          <w:snapToGrid w:val="0"/>
          <w:color w:val="auto"/>
          <w:kern w:val="0"/>
          <w:szCs w:val="21"/>
          <w:highlight w:val="none"/>
        </w:rPr>
        <w:t>模块，“附件信息”所挂文件均为参考文件，如果“附件信息”所挂文件中有关数据与“招标控制价公示”模块公示数据不一致的，以“招标控制价公示”模块公示数据为准。如招标人需更改“招标控制价公示”模块公示数据，则按照重新公示方式进行办理，并确保公示时间符合要求。</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“附件信息”所挂文件可以是JPG、Word、Excel等格式，由招标人自行选择。</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九、有关投标问题的说明</w:t>
      </w:r>
    </w:p>
    <w:p>
      <w:pPr>
        <w:adjustRightInd w:val="0"/>
        <w:snapToGrid w:val="0"/>
        <w:spacing w:line="38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1.</w:t>
      </w:r>
      <w:r>
        <w:rPr>
          <w:rFonts w:hint="eastAsia" w:ascii="宋体" w:hAnsi="宋体" w:eastAsia="宋体" w:cs="宋体"/>
          <w:color w:val="auto"/>
          <w:szCs w:val="21"/>
          <w:highlight w:val="none"/>
        </w:rPr>
        <w:t>参加投标的单位（包含联合体投标的各成员）</w:t>
      </w:r>
      <w:r>
        <w:rPr>
          <w:rFonts w:hint="eastAsia" w:ascii="宋体" w:hAnsi="宋体" w:eastAsia="宋体" w:cs="宋体"/>
          <w:color w:val="auto"/>
          <w:kern w:val="0"/>
          <w:szCs w:val="21"/>
          <w:highlight w:val="none"/>
        </w:rPr>
        <w:t>须办理企业信息登记。勘察、设计、施工、监理、造价、检测等企业须在深圳市住房和建设局“企业与人员信息诚信申报平台”办理信息登记，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2.投标人获取招标文件后，应仔细阅读招标文件及附件的全部内容，附件与招标文件具有同等效力。</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3.投标人应在投标截止时间前，登录交易</w:t>
      </w:r>
      <w:r>
        <w:rPr>
          <w:rFonts w:hint="eastAsia" w:ascii="宋体" w:hAnsi="宋体" w:eastAsia="宋体" w:cs="宋体"/>
          <w:snapToGrid w:val="0"/>
          <w:color w:val="auto"/>
          <w:kern w:val="0"/>
          <w:szCs w:val="21"/>
          <w:highlight w:val="none"/>
          <w:lang w:val="en-US" w:eastAsia="zh-CN"/>
        </w:rPr>
        <w:t>网</w:t>
      </w:r>
      <w:r>
        <w:rPr>
          <w:rFonts w:hint="eastAsia" w:ascii="宋体" w:hAnsi="宋体" w:eastAsia="宋体" w:cs="宋体"/>
          <w:snapToGrid w:val="0"/>
          <w:color w:val="auto"/>
          <w:kern w:val="0"/>
          <w:szCs w:val="21"/>
          <w:highlight w:val="none"/>
        </w:rPr>
        <w:t>免费查阅或下载招标文件、答疑及招标文件补充通知。</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4.投标人对招标文件有不同意见或不明之处，应在交易平台向招标人提出。</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5.投标人应在遵循招标文件的各项规定和要求的前提下，编制投标文件。投标文件必须满足招标文件中的实质性要求和条件。投标文件若出现否决性条款的情形其投标将会被否决。</w:t>
      </w:r>
    </w:p>
    <w:p>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6.投标人应严格按招标文件要求，在截标前使用投标人（或联合体主体）企业机构数字证书或电子营业执照，通过交易平台提交电子投标文件，上传成功后打印回执；</w:t>
      </w:r>
      <w:r>
        <w:rPr>
          <w:rFonts w:hint="eastAsia" w:ascii="宋体" w:hAnsi="宋体" w:eastAsia="宋体" w:cs="宋体"/>
          <w:color w:val="auto"/>
          <w:szCs w:val="21"/>
          <w:highlight w:val="none"/>
        </w:rPr>
        <w:t>为避免因网络堵塞、延迟、操作失误或其他不可抗力等因素影响投标文件传输，建议应预留充足时间上传投标文件</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color w:val="auto"/>
          <w:kern w:val="0"/>
          <w:szCs w:val="21"/>
          <w:highlight w:val="none"/>
        </w:rPr>
        <w:t>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7.</w:t>
      </w:r>
      <w:r>
        <w:rPr>
          <w:rFonts w:hint="eastAsia" w:ascii="宋体" w:hAnsi="宋体" w:eastAsia="宋体" w:cs="宋体"/>
          <w:snapToGrid w:val="0"/>
          <w:color w:val="auto"/>
          <w:kern w:val="0"/>
          <w:szCs w:val="21"/>
          <w:highlight w:val="none"/>
          <w:lang w:val="en-US" w:eastAsia="zh-CN"/>
        </w:rPr>
        <w:t>交易网</w:t>
      </w:r>
      <w:r>
        <w:rPr>
          <w:rFonts w:hint="eastAsia" w:ascii="宋体" w:hAnsi="宋体" w:eastAsia="宋体" w:cs="宋体"/>
          <w:snapToGrid w:val="0"/>
          <w:color w:val="auto"/>
          <w:kern w:val="0"/>
          <w:szCs w:val="21"/>
          <w:highlight w:val="none"/>
        </w:rPr>
        <w:t>是投标人获取建设工程电子招标文件和电子送审招标控制价文件的唯一合法渠道。投标人需随时关注交易网，</w:t>
      </w:r>
      <w:r>
        <w:rPr>
          <w:rFonts w:hint="eastAsia" w:ascii="宋体" w:hAnsi="宋体" w:eastAsia="宋体" w:cs="宋体"/>
          <w:color w:val="auto"/>
          <w:szCs w:val="21"/>
          <w:highlight w:val="none"/>
        </w:rPr>
        <w:t>确认所投标的项目招标文件（</w:t>
      </w:r>
      <w:r>
        <w:rPr>
          <w:rFonts w:ascii="宋体" w:hAnsi="宋体" w:eastAsia="宋体" w:cs="宋体"/>
          <w:color w:val="auto"/>
          <w:kern w:val="0"/>
          <w:szCs w:val="21"/>
          <w:highlight w:val="none"/>
        </w:rPr>
        <w:t>HW</w:t>
      </w:r>
      <w:r>
        <w:rPr>
          <w:rFonts w:hint="eastAsia" w:ascii="宋体" w:hAnsi="宋体" w:eastAsia="宋体" w:cs="宋体"/>
          <w:color w:val="auto"/>
          <w:kern w:val="0"/>
          <w:szCs w:val="21"/>
          <w:highlight w:val="none"/>
        </w:rPr>
        <w:t>Z</w:t>
      </w:r>
      <w:r>
        <w:rPr>
          <w:rFonts w:ascii="宋体" w:hAnsi="宋体" w:eastAsia="宋体" w:cs="宋体"/>
          <w:color w:val="auto"/>
          <w:kern w:val="0"/>
          <w:szCs w:val="21"/>
          <w:highlight w:val="none"/>
        </w:rPr>
        <w:t>B</w:t>
      </w:r>
      <w:r>
        <w:rPr>
          <w:rFonts w:hint="eastAsia" w:ascii="宋体" w:hAnsi="宋体" w:eastAsia="宋体" w:cs="宋体"/>
          <w:snapToGrid w:val="0"/>
          <w:color w:val="auto"/>
          <w:kern w:val="0"/>
          <w:szCs w:val="21"/>
          <w:highlight w:val="none"/>
        </w:rPr>
        <w:t>、</w:t>
      </w:r>
      <w:r>
        <w:rPr>
          <w:color w:val="auto"/>
          <w:highlight w:val="none"/>
        </w:rPr>
        <w:t>TYZB</w:t>
      </w:r>
      <w:r>
        <w:rPr>
          <w:rFonts w:hint="eastAsia" w:ascii="宋体" w:hAnsi="宋体" w:eastAsia="宋体" w:cs="宋体"/>
          <w:color w:val="auto"/>
          <w:szCs w:val="21"/>
          <w:highlight w:val="none"/>
        </w:rPr>
        <w:t>）和电子送审招标控制价文件是否更新。如果有更新，须下载最新的招标文件和电子送审招标控制价文件用于制作电子投标文件，否则后果由投标人自行承担。</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8.投标人应当遵守深圳交易集团有限公司（深圳公共资源交易中心）的相关规定，违反规定导致的不利后果，由投标人自行承担。</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9.投标人须对投标资料的真实性负责。招标人有权将投标文件的部分或全部内容向外公示，若公示期间收到有关弄虚作假投诉的，招标人将提请建设、交通行政主管部门查处。一旦查实将严格按照法律法规作出处理。</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10.投标人注意事项：</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10.1《电子文件编制工具》安装软件可在</w:t>
      </w:r>
      <w:r>
        <w:rPr>
          <w:rFonts w:hint="eastAsia" w:ascii="宋体" w:hAnsi="宋体" w:eastAsia="宋体" w:cs="宋体"/>
          <w:color w:val="auto"/>
          <w:szCs w:val="21"/>
          <w:highlight w:val="none"/>
          <w:lang w:eastAsia="zh-CN"/>
        </w:rPr>
        <w:t>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w:t>
      </w:r>
      <w:r>
        <w:rPr>
          <w:rFonts w:hint="eastAsia" w:ascii="宋体" w:hAnsi="宋体" w:eastAsia="宋体" w:cs="宋体"/>
          <w:color w:val="auto"/>
          <w:kern w:val="0"/>
          <w:szCs w:val="21"/>
          <w:highlight w:val="none"/>
          <w:lang w:val="en-US" w:eastAsia="zh-CN"/>
        </w:rPr>
        <w:t>中下载</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请注意使用正确的版本，并及时更新。</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10.2电子投标文件必须按招标文件要求有数字证书或电子营业执照签名方为合法的投标文件。未对电子文件进行数字证书或电子营业执照签名的以及对投标文件进行加密但在开标会规定的时间内没有进行解密的，开标会现场将作为不予受理的投标文件处理。</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在电子投标文件编制工具中，生成电子标书时，须将所签名的证书或电子营业执照的电子签名签署到相应的位置中。</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10.3评标时以电子标书为准，因此在制作电子标书的时候，需要反复核对相关报价，每一个货物只允许有一个报价，任何有选择的报价将不予接受。如果递交的投标文件已加密但未在规定时间内成功解密，则视为此投标文件无法读取导入。</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投标人可使用</w:t>
      </w:r>
      <w:r>
        <w:rPr>
          <w:rFonts w:hint="eastAsia" w:ascii="宋体" w:hAnsi="宋体" w:eastAsia="宋体" w:cs="宋体"/>
          <w:color w:val="auto"/>
          <w:kern w:val="0"/>
          <w:szCs w:val="21"/>
          <w:highlight w:val="none"/>
        </w:rPr>
        <w:t>电子文件编制工具</w:t>
      </w:r>
      <w:r>
        <w:rPr>
          <w:rFonts w:hint="eastAsia" w:ascii="宋体" w:hAnsi="宋体" w:eastAsia="宋体" w:cs="宋体"/>
          <w:color w:val="auto"/>
          <w:szCs w:val="21"/>
          <w:highlight w:val="none"/>
        </w:rPr>
        <w:t>系统中的加密功能对网上传输的投标文件中各部分内容进行加密（可使用数字证书或电子营业执照进行加密）,其中：用于投标文件加密的数字证书必须是本单位的任意一个数字证书，包括机构数字证书、机构个人数字证书。用于投标文件加密的电子营业执照必须是由本单位法定代表人在市场监督管理总局的电子营业执照小程序中下载的真实有效的电子营业执照，且投标操作人员须法定代表人在授权并下载本单位电子营业执照后才可进行标书加密等相关操作。</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10.4在编制技术标投标文件时，如果需要粘贴图片，可使用J</w:t>
      </w:r>
      <w:r>
        <w:rPr>
          <w:rFonts w:ascii="宋体" w:hAnsi="宋体" w:eastAsia="宋体" w:cs="宋体"/>
          <w:color w:val="auto"/>
          <w:szCs w:val="21"/>
          <w:highlight w:val="none"/>
        </w:rPr>
        <w:t>PG/PNG/BMP</w:t>
      </w:r>
      <w:r>
        <w:rPr>
          <w:rFonts w:hint="eastAsia" w:ascii="宋体" w:hAnsi="宋体" w:eastAsia="宋体" w:cs="宋体"/>
          <w:color w:val="auto"/>
          <w:szCs w:val="21"/>
          <w:highlight w:val="none"/>
        </w:rPr>
        <w:t>格式的文件，并且每张图片的分辨率应小于100dpi，最终的标书文件所占用的磁盘空间必须小于5000M；资审文件占用的磁盘空间必须小于200M。</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11.本工程采用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进行投标、开标及评标</w:t>
      </w:r>
      <w:r>
        <w:rPr>
          <w:rFonts w:hint="eastAsia" w:ascii="宋体" w:hAnsi="宋体" w:eastAsia="宋体" w:cs="宋体"/>
          <w:color w:val="auto"/>
          <w:szCs w:val="21"/>
          <w:highlight w:val="none"/>
        </w:rPr>
        <w:t>，请认真阅读本说明，若有疑问可通过载明的联系方式要求技术咨询。</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p>
      <w:pPr>
        <w:adjustRightInd w:val="0"/>
        <w:snapToGrid w:val="0"/>
        <w:spacing w:line="440" w:lineRule="exact"/>
        <w:ind w:firstLine="0" w:firstLineChars="0"/>
        <w:rPr>
          <w:rFonts w:hint="eastAsia" w:ascii="宋体" w:hAnsi="宋体" w:eastAsia="宋体" w:cs="宋体"/>
          <w:color w:val="auto"/>
          <w:szCs w:val="21"/>
          <w:highlight w:val="none"/>
          <w:lang w:val="en-US" w:eastAsia="zh-CN"/>
        </w:rPr>
      </w:pPr>
    </w:p>
    <w:tbl>
      <w:tblPr>
        <w:tblStyle w:val="81"/>
        <w:tblW w:w="9288" w:type="dxa"/>
        <w:jc w:val="center"/>
        <w:tblInd w:w="0" w:type="dxa"/>
        <w:tblLayout w:type="fixed"/>
        <w:tblCellMar>
          <w:top w:w="0" w:type="dxa"/>
          <w:left w:w="108" w:type="dxa"/>
          <w:bottom w:w="0" w:type="dxa"/>
          <w:right w:w="108" w:type="dxa"/>
        </w:tblCellMar>
      </w:tblPr>
      <w:tblGrid>
        <w:gridCol w:w="1670"/>
        <w:gridCol w:w="2835"/>
        <w:gridCol w:w="1843"/>
        <w:gridCol w:w="2940"/>
      </w:tblGrid>
      <w:tr>
        <w:tblPrEx>
          <w:tblLayout w:type="fixed"/>
          <w:tblCellMar>
            <w:top w:w="0" w:type="dxa"/>
            <w:left w:w="108" w:type="dxa"/>
            <w:bottom w:w="0" w:type="dxa"/>
            <w:right w:w="108" w:type="dxa"/>
          </w:tblCellMar>
        </w:tblPrEx>
        <w:trPr>
          <w:trHeight w:val="454" w:hRule="atLeast"/>
          <w:jc w:val="center"/>
        </w:trPr>
        <w:tc>
          <w:tcPr>
            <w:tcW w:w="1670" w:type="dxa"/>
            <w:shd w:val="clear" w:color="auto" w:fill="auto"/>
            <w:vAlign w:val="center"/>
          </w:tcPr>
          <w:p>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 标 人：</w:t>
            </w:r>
          </w:p>
        </w:tc>
        <w:tc>
          <w:tcPr>
            <w:tcW w:w="2835" w:type="dxa"/>
            <w:shd w:val="clear" w:color="auto" w:fill="auto"/>
            <w:vAlign w:val="center"/>
          </w:tcPr>
          <w:p>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招标代理机构：</w:t>
            </w:r>
          </w:p>
        </w:tc>
        <w:tc>
          <w:tcPr>
            <w:tcW w:w="2940" w:type="dxa"/>
            <w:shd w:val="clear" w:color="auto" w:fill="auto"/>
            <w:vAlign w:val="center"/>
          </w:tcPr>
          <w:p>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670" w:type="dxa"/>
            <w:shd w:val="clear" w:color="auto" w:fill="auto"/>
            <w:vAlign w:val="center"/>
          </w:tcPr>
          <w:p>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w:t>
            </w:r>
            <w:r>
              <w:rPr>
                <w:rFonts w:hint="eastAsia" w:ascii="宋体" w:hAnsi="宋体" w:eastAsia="宋体" w:cs="宋体"/>
                <w:color w:val="auto"/>
                <w:kern w:val="0"/>
                <w:szCs w:val="21"/>
                <w:highlight w:val="none"/>
              </w:rPr>
              <w:t>或其委托代理人</w:t>
            </w:r>
            <w:r>
              <w:rPr>
                <w:rFonts w:hint="eastAsia" w:ascii="宋体" w:hAnsi="宋体" w:eastAsia="宋体" w:cs="宋体"/>
                <w:snapToGrid w:val="0"/>
                <w:color w:val="auto"/>
                <w:kern w:val="0"/>
                <w:szCs w:val="21"/>
                <w:highlight w:val="none"/>
              </w:rPr>
              <w:t>：</w:t>
            </w:r>
          </w:p>
        </w:tc>
        <w:tc>
          <w:tcPr>
            <w:tcW w:w="2835" w:type="dxa"/>
            <w:shd w:val="clear" w:color="auto" w:fill="auto"/>
            <w:vAlign w:val="center"/>
          </w:tcPr>
          <w:p>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法定代表人</w:t>
            </w:r>
            <w:r>
              <w:rPr>
                <w:rFonts w:hint="eastAsia" w:ascii="宋体" w:hAnsi="宋体" w:eastAsia="宋体" w:cs="宋体"/>
                <w:color w:val="auto"/>
                <w:kern w:val="0"/>
                <w:szCs w:val="21"/>
                <w:highlight w:val="none"/>
              </w:rPr>
              <w:t>或</w:t>
            </w:r>
          </w:p>
          <w:p>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其委托代理人</w:t>
            </w:r>
            <w:r>
              <w:rPr>
                <w:rFonts w:hint="eastAsia" w:ascii="宋体" w:hAnsi="宋体" w:eastAsia="宋体" w:cs="宋体"/>
                <w:snapToGrid w:val="0"/>
                <w:color w:val="auto"/>
                <w:kern w:val="0"/>
                <w:szCs w:val="21"/>
                <w:highlight w:val="none"/>
              </w:rPr>
              <w:t>：</w:t>
            </w:r>
          </w:p>
        </w:tc>
        <w:tc>
          <w:tcPr>
            <w:tcW w:w="2940" w:type="dxa"/>
            <w:shd w:val="clear" w:color="auto" w:fill="auto"/>
            <w:vAlign w:val="center"/>
          </w:tcPr>
          <w:p>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670" w:type="dxa"/>
            <w:shd w:val="clear" w:color="auto" w:fill="auto"/>
            <w:vAlign w:val="center"/>
          </w:tcPr>
          <w:p>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联系地址：</w:t>
            </w:r>
          </w:p>
        </w:tc>
        <w:tc>
          <w:tcPr>
            <w:tcW w:w="2835" w:type="dxa"/>
            <w:shd w:val="clear" w:color="auto" w:fill="auto"/>
            <w:vAlign w:val="center"/>
          </w:tcPr>
          <w:p>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联系地址：</w:t>
            </w:r>
          </w:p>
        </w:tc>
        <w:tc>
          <w:tcPr>
            <w:tcW w:w="2940" w:type="dxa"/>
            <w:shd w:val="clear" w:color="auto" w:fill="auto"/>
            <w:vAlign w:val="center"/>
          </w:tcPr>
          <w:p>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670" w:type="dxa"/>
            <w:shd w:val="clear" w:color="auto" w:fill="auto"/>
            <w:vAlign w:val="center"/>
          </w:tcPr>
          <w:p>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p>
        </w:tc>
        <w:tc>
          <w:tcPr>
            <w:tcW w:w="2835" w:type="dxa"/>
            <w:shd w:val="clear" w:color="auto" w:fill="auto"/>
            <w:vAlign w:val="center"/>
          </w:tcPr>
          <w:p>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p>
        </w:tc>
        <w:tc>
          <w:tcPr>
            <w:tcW w:w="2940" w:type="dxa"/>
            <w:shd w:val="clear" w:color="auto" w:fill="auto"/>
            <w:vAlign w:val="center"/>
          </w:tcPr>
          <w:p>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670" w:type="dxa"/>
            <w:shd w:val="clear" w:color="auto" w:fill="auto"/>
            <w:vAlign w:val="center"/>
          </w:tcPr>
          <w:p>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传真电话：</w:t>
            </w:r>
          </w:p>
        </w:tc>
        <w:tc>
          <w:tcPr>
            <w:tcW w:w="2835" w:type="dxa"/>
            <w:shd w:val="clear" w:color="auto" w:fill="auto"/>
            <w:vAlign w:val="center"/>
          </w:tcPr>
          <w:p>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传真电话：</w:t>
            </w:r>
          </w:p>
        </w:tc>
        <w:tc>
          <w:tcPr>
            <w:tcW w:w="2940" w:type="dxa"/>
            <w:shd w:val="clear" w:color="auto" w:fill="auto"/>
            <w:vAlign w:val="center"/>
          </w:tcPr>
          <w:p>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670" w:type="dxa"/>
            <w:shd w:val="clear" w:color="auto" w:fill="auto"/>
            <w:vAlign w:val="center"/>
          </w:tcPr>
          <w:p>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电子信箱：</w:t>
            </w:r>
          </w:p>
        </w:tc>
        <w:tc>
          <w:tcPr>
            <w:tcW w:w="2835" w:type="dxa"/>
            <w:shd w:val="clear" w:color="auto" w:fill="auto"/>
            <w:vAlign w:val="center"/>
          </w:tcPr>
          <w:p>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电子信箱：</w:t>
            </w:r>
          </w:p>
        </w:tc>
        <w:tc>
          <w:tcPr>
            <w:tcW w:w="2940" w:type="dxa"/>
            <w:shd w:val="clear" w:color="auto" w:fill="auto"/>
            <w:vAlign w:val="center"/>
          </w:tcPr>
          <w:p>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670" w:type="dxa"/>
            <w:shd w:val="clear" w:color="auto" w:fill="auto"/>
            <w:vAlign w:val="center"/>
          </w:tcPr>
          <w:p>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日    期：</w:t>
            </w:r>
          </w:p>
        </w:tc>
        <w:tc>
          <w:tcPr>
            <w:tcW w:w="2835" w:type="dxa"/>
            <w:shd w:val="clear" w:color="auto" w:fill="auto"/>
            <w:vAlign w:val="center"/>
          </w:tcPr>
          <w:p>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日    期：</w:t>
            </w:r>
          </w:p>
        </w:tc>
        <w:tc>
          <w:tcPr>
            <w:tcW w:w="2940" w:type="dxa"/>
            <w:shd w:val="clear" w:color="auto" w:fill="auto"/>
            <w:vAlign w:val="center"/>
          </w:tcPr>
          <w:p>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bl>
    <w:p>
      <w:pPr>
        <w:adjustRightInd w:val="0"/>
        <w:snapToGrid w:val="0"/>
        <w:spacing w:line="20" w:lineRule="exact"/>
        <w:rPr>
          <w:color w:val="auto"/>
          <w:highlight w:val="none"/>
        </w:rPr>
      </w:pPr>
      <w:r>
        <w:rPr>
          <w:color w:val="auto"/>
          <w:highlight w:val="none"/>
        </w:rPr>
        <w:br w:type="page"/>
      </w:r>
    </w:p>
    <w:p>
      <w:pPr>
        <w:adjustRightInd w:val="0"/>
        <w:snapToGrid w:val="0"/>
        <w:spacing w:line="360" w:lineRule="auto"/>
        <w:jc w:val="center"/>
        <w:outlineLvl w:val="0"/>
        <w:rPr>
          <w:rFonts w:ascii="黑体" w:hAnsi="黑体" w:eastAsia="黑体" w:cs="黑体"/>
          <w:bCs/>
          <w:color w:val="auto"/>
          <w:kern w:val="0"/>
          <w:sz w:val="32"/>
          <w:szCs w:val="32"/>
          <w:highlight w:val="none"/>
        </w:rPr>
      </w:pPr>
      <w:bookmarkStart w:id="2" w:name="_Toc2697"/>
      <w:bookmarkStart w:id="3" w:name="_Toc45702686"/>
      <w:r>
        <w:rPr>
          <w:rFonts w:hint="eastAsia" w:ascii="黑体" w:hAnsi="黑体" w:eastAsia="黑体" w:cs="黑体"/>
          <w:bCs/>
          <w:color w:val="auto"/>
          <w:kern w:val="0"/>
          <w:sz w:val="32"/>
          <w:szCs w:val="32"/>
          <w:highlight w:val="none"/>
        </w:rPr>
        <w:t>第二章  投标须知</w:t>
      </w:r>
      <w:bookmarkEnd w:id="2"/>
      <w:bookmarkEnd w:id="3"/>
    </w:p>
    <w:p>
      <w:pPr>
        <w:topLinePunct/>
        <w:adjustRightInd w:val="0"/>
        <w:snapToGrid w:val="0"/>
        <w:spacing w:line="360" w:lineRule="auto"/>
        <w:jc w:val="center"/>
        <w:outlineLvl w:val="1"/>
        <w:rPr>
          <w:rFonts w:ascii="黑体" w:eastAsia="黑体"/>
          <w:color w:val="auto"/>
          <w:kern w:val="0"/>
          <w:highlight w:val="none"/>
        </w:rPr>
      </w:pPr>
      <w:bookmarkStart w:id="4" w:name="_Toc22542"/>
      <w:bookmarkStart w:id="5" w:name="_Toc45702687"/>
      <w:r>
        <w:rPr>
          <w:rFonts w:hint="eastAsia" w:ascii="黑体" w:hAnsi="黑体" w:eastAsia="黑体" w:cs="黑体"/>
          <w:bCs/>
          <w:color w:val="auto"/>
          <w:kern w:val="0"/>
          <w:sz w:val="32"/>
          <w:szCs w:val="32"/>
          <w:highlight w:val="none"/>
        </w:rPr>
        <w:t>一、投标须知前附表</w:t>
      </w:r>
      <w:bookmarkEnd w:id="4"/>
      <w:bookmarkEnd w:id="5"/>
    </w:p>
    <w:tbl>
      <w:tblPr>
        <w:tblStyle w:val="81"/>
        <w:tblW w:w="95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151"/>
        <w:gridCol w:w="6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trPr>
        <w:tc>
          <w:tcPr>
            <w:tcW w:w="735" w:type="dxa"/>
            <w:shd w:val="clear" w:color="auto" w:fill="auto"/>
            <w:vAlign w:val="center"/>
          </w:tcPr>
          <w:p>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151" w:type="dxa"/>
            <w:shd w:val="clear" w:color="auto" w:fill="auto"/>
            <w:vAlign w:val="center"/>
          </w:tcPr>
          <w:p>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内 容</w:t>
            </w:r>
          </w:p>
        </w:tc>
        <w:tc>
          <w:tcPr>
            <w:tcW w:w="6624" w:type="dxa"/>
            <w:shd w:val="clear" w:color="auto" w:fill="auto"/>
            <w:vAlign w:val="center"/>
          </w:tcPr>
          <w:p>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标段名称</w:t>
            </w:r>
          </w:p>
        </w:tc>
        <w:tc>
          <w:tcPr>
            <w:tcW w:w="6624" w:type="dxa"/>
            <w:shd w:val="clear" w:color="auto" w:fill="auto"/>
            <w:vAlign w:val="center"/>
          </w:tcPr>
          <w:p>
            <w:pPr>
              <w:jc w:val="left"/>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工程地点</w:t>
            </w:r>
          </w:p>
        </w:tc>
        <w:tc>
          <w:tcPr>
            <w:tcW w:w="6624" w:type="dxa"/>
            <w:shd w:val="clear" w:color="auto" w:fill="auto"/>
            <w:vAlign w:val="center"/>
          </w:tcPr>
          <w:p>
            <w:pPr>
              <w:jc w:val="left"/>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是否场外工程</w:t>
            </w:r>
          </w:p>
        </w:tc>
        <w:tc>
          <w:tcPr>
            <w:tcW w:w="6624"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是          □否</w:t>
            </w:r>
          </w:p>
          <w:p>
            <w:pPr>
              <w:jc w:val="left"/>
              <w:rPr>
                <w:rFonts w:ascii="宋体" w:hAnsi="宋体" w:eastAsia="宋体" w:cs="宋体"/>
                <w:color w:val="auto"/>
                <w:szCs w:val="21"/>
                <w:highlight w:val="none"/>
                <w:u w:val="single"/>
              </w:rPr>
            </w:pPr>
            <w:r>
              <w:rPr>
                <w:rFonts w:hint="eastAsia" w:ascii="宋体" w:hAnsi="宋体" w:eastAsia="宋体" w:cs="宋体"/>
                <w:color w:val="auto"/>
                <w:kern w:val="0"/>
                <w:szCs w:val="21"/>
                <w:highlight w:val="none"/>
              </w:rPr>
              <w:t>行政监督部门</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6624" w:type="dxa"/>
            <w:shd w:val="clear" w:color="auto" w:fill="auto"/>
            <w:vAlign w:val="center"/>
          </w:tcPr>
          <w:p>
            <w:pPr>
              <w:jc w:val="left"/>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35" w:type="dxa"/>
            <w:vMerge w:val="restart"/>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2151" w:type="dxa"/>
            <w:vMerge w:val="restart"/>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6624" w:type="dxa"/>
            <w:shd w:val="clear" w:color="auto" w:fill="auto"/>
            <w:vAlign w:val="center"/>
          </w:tcPr>
          <w:p>
            <w:pPr>
              <w:adjustRightInd/>
              <w:snapToGrid/>
              <w:spacing w:line="24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snapToGrid/>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snapToGrid/>
              <w:spacing w:line="240" w:lineRule="auto"/>
              <w:rPr>
                <w:rFonts w:ascii="宋体" w:hAnsi="宋体" w:eastAsia="宋体" w:cs="宋体"/>
                <w:color w:val="auto"/>
                <w:szCs w:val="21"/>
                <w:highlight w:val="none"/>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35" w:type="dxa"/>
            <w:vMerge w:val="continue"/>
            <w:shd w:val="clear" w:color="auto" w:fill="auto"/>
            <w:vAlign w:val="center"/>
          </w:tcPr>
          <w:p>
            <w:pPr>
              <w:topLinePunct/>
              <w:adjustRightInd w:val="0"/>
              <w:snapToGrid w:val="0"/>
              <w:jc w:val="center"/>
              <w:rPr>
                <w:rFonts w:hint="eastAsia" w:ascii="宋体" w:hAnsi="宋体" w:eastAsia="宋体" w:cs="宋体"/>
                <w:color w:val="auto"/>
                <w:kern w:val="0"/>
                <w:szCs w:val="21"/>
                <w:highlight w:val="none"/>
              </w:rPr>
            </w:pPr>
          </w:p>
        </w:tc>
        <w:tc>
          <w:tcPr>
            <w:tcW w:w="2151" w:type="dxa"/>
            <w:vMerge w:val="continue"/>
            <w:shd w:val="clear" w:color="auto" w:fill="auto"/>
            <w:vAlign w:val="center"/>
          </w:tcPr>
          <w:p>
            <w:pPr>
              <w:topLinePunct/>
              <w:adjustRightInd w:val="0"/>
              <w:snapToGrid w:val="0"/>
              <w:jc w:val="center"/>
              <w:rPr>
                <w:rFonts w:hint="eastAsia" w:ascii="宋体" w:hAnsi="宋体" w:eastAsia="宋体" w:cs="宋体"/>
                <w:color w:val="auto"/>
                <w:kern w:val="0"/>
                <w:szCs w:val="21"/>
                <w:highlight w:val="none"/>
              </w:rPr>
            </w:pPr>
          </w:p>
        </w:tc>
        <w:tc>
          <w:tcPr>
            <w:tcW w:w="6624" w:type="dxa"/>
            <w:shd w:val="clear" w:color="auto" w:fill="auto"/>
            <w:vAlign w:val="center"/>
          </w:tcPr>
          <w:p>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pPr>
              <w:adjustRightInd w:val="0"/>
              <w:snapToGrid w:val="0"/>
              <w:spacing w:line="360" w:lineRule="auto"/>
              <w:ind w:firstLine="0" w:firstLineChars="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投标人为大型企业的，中标后需将合同金额的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%依法分包给符合条件的中小企业。</w:t>
            </w:r>
          </w:p>
          <w:p>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pPr>
              <w:adjustRightInd w:val="0"/>
              <w:snapToGrid w:val="0"/>
              <w:spacing w:line="360" w:lineRule="auto"/>
              <w:rPr>
                <w:color w:val="auto"/>
                <w:highlight w:val="none"/>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pPr>
              <w:adjustRightInd w:val="0"/>
              <w:snapToGrid w:val="0"/>
              <w:spacing w:line="360" w:lineRule="auto"/>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采用的币种</w:t>
            </w:r>
          </w:p>
        </w:tc>
        <w:tc>
          <w:tcPr>
            <w:tcW w:w="6624" w:type="dxa"/>
            <w:shd w:val="clear" w:color="auto" w:fill="auto"/>
          </w:tcPr>
          <w:p>
            <w:pP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结合项目选择币种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供货期</w:t>
            </w:r>
          </w:p>
        </w:tc>
        <w:tc>
          <w:tcPr>
            <w:tcW w:w="6624" w:type="dxa"/>
            <w:shd w:val="clear" w:color="auto" w:fill="auto"/>
            <w:vAlign w:val="center"/>
          </w:tcPr>
          <w:p>
            <w:pPr>
              <w:topLinePunct/>
              <w:adjustRightInd w:val="0"/>
              <w:snapToGrid w:val="0"/>
              <w:spacing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☐供货期</w:t>
            </w:r>
            <w:r>
              <w:rPr>
                <w:rFonts w:hint="eastAsia" w:ascii="宋体" w:hAnsi="宋体" w:eastAsia="宋体" w:cs="宋体"/>
                <w:color w:val="auto"/>
                <w:szCs w:val="21"/>
                <w:highlight w:val="none"/>
                <w:u w:val="none"/>
              </w:rPr>
              <w:t xml:space="preserve">    </w:t>
            </w:r>
            <w:r>
              <w:rPr>
                <w:rFonts w:hint="eastAsia" w:ascii="宋体" w:hAnsi="宋体" w:eastAsia="宋体" w:cs="宋体"/>
                <w:color w:val="auto"/>
                <w:szCs w:val="21"/>
                <w:highlight w:val="none"/>
                <w:u w:val="single"/>
              </w:rPr>
              <w:t>日历天（适用于供货项目）</w:t>
            </w:r>
          </w:p>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rPr>
              <w:t>☐总工期</w:t>
            </w:r>
            <w:r>
              <w:rPr>
                <w:rFonts w:hint="eastAsia" w:ascii="宋体" w:hAnsi="宋体" w:eastAsia="宋体" w:cs="宋体"/>
                <w:color w:val="auto"/>
                <w:szCs w:val="21"/>
                <w:highlight w:val="none"/>
                <w:u w:val="none"/>
              </w:rPr>
              <w:t xml:space="preserve">    </w:t>
            </w:r>
            <w:r>
              <w:rPr>
                <w:rFonts w:hint="eastAsia" w:ascii="宋体" w:hAnsi="宋体" w:eastAsia="宋体" w:cs="宋体"/>
                <w:color w:val="auto"/>
                <w:szCs w:val="21"/>
                <w:highlight w:val="none"/>
                <w:u w:val="single"/>
              </w:rPr>
              <w:t>日历天，其中：供货期</w:t>
            </w:r>
            <w:r>
              <w:rPr>
                <w:rFonts w:hint="eastAsia" w:ascii="宋体" w:hAnsi="宋体" w:eastAsia="宋体" w:cs="宋体"/>
                <w:color w:val="auto"/>
                <w:szCs w:val="21"/>
                <w:highlight w:val="none"/>
                <w:u w:val="none"/>
              </w:rPr>
              <w:t xml:space="preserve">    </w:t>
            </w:r>
            <w:r>
              <w:rPr>
                <w:rFonts w:hint="eastAsia" w:ascii="宋体" w:hAnsi="宋体" w:eastAsia="宋体" w:cs="宋体"/>
                <w:color w:val="auto"/>
                <w:szCs w:val="21"/>
                <w:highlight w:val="none"/>
                <w:u w:val="single"/>
              </w:rPr>
              <w:t>日历天，安装期</w:t>
            </w:r>
            <w:r>
              <w:rPr>
                <w:rFonts w:hint="eastAsia" w:ascii="宋体" w:hAnsi="宋体" w:eastAsia="宋体" w:cs="宋体"/>
                <w:color w:val="auto"/>
                <w:szCs w:val="21"/>
                <w:highlight w:val="none"/>
                <w:u w:val="none"/>
              </w:rPr>
              <w:t xml:space="preserve">    </w:t>
            </w:r>
            <w:r>
              <w:rPr>
                <w:rFonts w:hint="eastAsia" w:ascii="宋体" w:hAnsi="宋体" w:eastAsia="宋体" w:cs="宋体"/>
                <w:color w:val="auto"/>
                <w:szCs w:val="21"/>
                <w:highlight w:val="none"/>
                <w:u w:val="single"/>
              </w:rPr>
              <w:t>日历天（适用于供货及安装项目）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trPr>
        <w:tc>
          <w:tcPr>
            <w:tcW w:w="735" w:type="dxa"/>
            <w:vMerge w:val="restart"/>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p>
        </w:tc>
        <w:tc>
          <w:tcPr>
            <w:tcW w:w="2151" w:type="dxa"/>
            <w:vMerge w:val="restart"/>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投标人资格要求</w:t>
            </w: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735" w:type="dxa"/>
            <w:vMerge w:val="continue"/>
            <w:shd w:val="clear" w:color="auto" w:fill="auto"/>
            <w:vAlign w:val="center"/>
          </w:tcPr>
          <w:p>
            <w:pPr>
              <w:topLinePunct/>
              <w:adjustRightInd w:val="0"/>
              <w:snapToGrid w:val="0"/>
              <w:jc w:val="center"/>
              <w:rPr>
                <w:rFonts w:hint="eastAsia" w:ascii="宋体" w:hAnsi="宋体" w:eastAsia="宋体" w:cs="宋体"/>
                <w:color w:val="auto"/>
                <w:kern w:val="0"/>
                <w:szCs w:val="21"/>
                <w:highlight w:val="none"/>
              </w:rPr>
            </w:pPr>
          </w:p>
        </w:tc>
        <w:tc>
          <w:tcPr>
            <w:tcW w:w="2151" w:type="dxa"/>
            <w:vMerge w:val="continue"/>
            <w:shd w:val="clear" w:color="auto" w:fill="auto"/>
            <w:vAlign w:val="center"/>
          </w:tcPr>
          <w:p>
            <w:pPr>
              <w:topLinePunct/>
              <w:adjustRightInd w:val="0"/>
              <w:snapToGrid w:val="0"/>
              <w:jc w:val="center"/>
              <w:rPr>
                <w:rFonts w:hint="eastAsia" w:ascii="宋体" w:hAnsi="宋体" w:eastAsia="宋体" w:cs="宋体"/>
                <w:color w:val="auto"/>
                <w:kern w:val="0"/>
                <w:szCs w:val="21"/>
                <w:highlight w:val="none"/>
              </w:rPr>
            </w:pPr>
          </w:p>
        </w:tc>
        <w:tc>
          <w:tcPr>
            <w:tcW w:w="6624" w:type="dxa"/>
            <w:shd w:val="clear" w:color="auto" w:fill="auto"/>
            <w:vAlign w:val="center"/>
          </w:tcPr>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利害关系单位投标</w:t>
            </w:r>
            <w:r>
              <w:rPr>
                <w:rFonts w:hint="eastAsia" w:ascii="宋体" w:hAnsi="宋体" w:eastAsia="宋体" w:cs="宋体"/>
                <w:b w:val="0"/>
                <w:bCs w:val="0"/>
                <w:color w:val="auto"/>
                <w:kern w:val="0"/>
                <w:sz w:val="21"/>
                <w:szCs w:val="21"/>
                <w:highlight w:val="none"/>
                <w:vertAlign w:val="superscript"/>
                <w:lang w:val="en-US" w:eastAsia="zh-CN"/>
              </w:rPr>
              <w:t>[</w:t>
            </w:r>
            <w:r>
              <w:rPr>
                <w:rStyle w:val="138"/>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□接受    □不接受</w:t>
            </w:r>
          </w:p>
          <w:p>
            <w:pPr>
              <w:topLinePunct/>
              <w:adjustRightInd w:val="0"/>
              <w:snapToGrid w:val="0"/>
              <w:spacing w:line="360" w:lineRule="auto"/>
              <w:rPr>
                <w:rFonts w:hint="eastAsia" w:ascii="宋体" w:hAnsi="宋体" w:eastAsia="宋体" w:cs="宋体"/>
                <w:color w:val="auto"/>
                <w:kern w:val="0"/>
                <w:szCs w:val="21"/>
                <w:highlight w:val="none"/>
                <w:u w:val="single"/>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投标人业绩要求</w:t>
            </w: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资格审查方式</w:t>
            </w: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资格后审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□不接受   □接受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投标报价要求</w:t>
            </w: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投标报价上限为：</w:t>
            </w:r>
          </w:p>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□公示招标控制价净下浮</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7" w:hRule="atLeast"/>
        </w:trPr>
        <w:tc>
          <w:tcPr>
            <w:tcW w:w="735" w:type="dxa"/>
            <w:vMerge w:val="restart"/>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w:t>
            </w:r>
          </w:p>
        </w:tc>
        <w:tc>
          <w:tcPr>
            <w:tcW w:w="2151" w:type="dxa"/>
            <w:vMerge w:val="restart"/>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w:t>
            </w:r>
          </w:p>
        </w:tc>
        <w:tc>
          <w:tcPr>
            <w:tcW w:w="6624" w:type="dxa"/>
            <w:shd w:val="clear" w:color="auto" w:fill="auto"/>
            <w:vAlign w:val="center"/>
          </w:tcPr>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投标保证金额:</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万元</w:t>
            </w:r>
          </w:p>
          <w:p>
            <w:pPr>
              <w:adjustRightInd w:val="0"/>
              <w:snapToGrid w:val="0"/>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无需提供投标担保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35" w:type="dxa"/>
            <w:vMerge w:val="continue"/>
            <w:shd w:val="clear" w:color="auto" w:fill="auto"/>
            <w:vAlign w:val="center"/>
          </w:tcPr>
          <w:p>
            <w:pPr>
              <w:topLinePunct/>
              <w:adjustRightInd w:val="0"/>
              <w:snapToGrid w:val="0"/>
              <w:jc w:val="center"/>
              <w:rPr>
                <w:rFonts w:hint="eastAsia" w:ascii="宋体" w:hAnsi="宋体" w:eastAsia="宋体" w:cs="宋体"/>
                <w:color w:val="auto"/>
                <w:kern w:val="0"/>
                <w:szCs w:val="21"/>
                <w:highlight w:val="none"/>
              </w:rPr>
            </w:pPr>
          </w:p>
        </w:tc>
        <w:tc>
          <w:tcPr>
            <w:tcW w:w="2151" w:type="dxa"/>
            <w:vMerge w:val="continue"/>
            <w:shd w:val="clear" w:color="auto" w:fill="auto"/>
            <w:vAlign w:val="center"/>
          </w:tcPr>
          <w:p>
            <w:pPr>
              <w:topLinePunct/>
              <w:adjustRightInd w:val="0"/>
              <w:snapToGrid w:val="0"/>
              <w:jc w:val="center"/>
              <w:rPr>
                <w:rFonts w:hint="eastAsia" w:ascii="宋体" w:hAnsi="宋体" w:eastAsia="宋体" w:cs="宋体"/>
                <w:color w:val="auto"/>
                <w:kern w:val="0"/>
                <w:szCs w:val="21"/>
                <w:highlight w:val="none"/>
              </w:rPr>
            </w:pPr>
          </w:p>
        </w:tc>
        <w:tc>
          <w:tcPr>
            <w:tcW w:w="6624"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是否推行差异化缴纳投标保证金：</w:t>
            </w:r>
            <w:r>
              <w:rPr>
                <w:rFonts w:hint="eastAsia" w:ascii="宋体" w:hAnsi="宋体" w:eastAsia="宋体" w:cs="宋体"/>
                <w:color w:val="auto"/>
                <w:kern w:val="0"/>
                <w:szCs w:val="21"/>
                <w:highlight w:val="none"/>
              </w:rPr>
              <w:t>□是    □否</w:t>
            </w:r>
          </w:p>
          <w:p>
            <w:pPr>
              <w:adjustRightInd w:val="0"/>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推行差异化缴纳投标保证金的具体措施</w:t>
            </w:r>
            <w:r>
              <w:rPr>
                <w:rStyle w:val="138"/>
                <w:rFonts w:hint="eastAsia" w:ascii="宋体" w:hAnsi="宋体" w:eastAsia="宋体" w:cs="宋体"/>
                <w:color w:val="auto"/>
                <w:kern w:val="0"/>
                <w:szCs w:val="21"/>
                <w:highlight w:val="none"/>
                <w:lang w:val="en-US" w:eastAsia="zh-CN"/>
              </w:rPr>
              <w:t>[</w:t>
            </w:r>
            <w:r>
              <w:rPr>
                <w:rStyle w:val="138"/>
                <w:rFonts w:hint="eastAsia" w:ascii="宋体" w:hAnsi="宋体" w:eastAsia="宋体" w:cs="宋体"/>
                <w:color w:val="auto"/>
                <w:kern w:val="0"/>
                <w:szCs w:val="21"/>
                <w:highlight w:val="none"/>
                <w:lang w:val="en-US" w:eastAsia="zh-CN"/>
              </w:rPr>
              <w:footnoteReference w:id="1"/>
            </w:r>
            <w:r>
              <w:rPr>
                <w:rStyle w:val="138"/>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□投标截止日前，投标人为无失信记录中小微企业，采用投标保证金承诺函替代投标保证金。</w:t>
            </w:r>
          </w:p>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日前，投标人在深圳市建筑市场主体信用管理系统中信用等级为A时，采用投标保证金承诺函替代投标保证金；信用等级为B+时，减半缴纳投标保证金；采用联合体投标的，按联合体牵头单位在深圳市建筑市场主体信用管理系统中信用等级确定相应减免标准。</w:t>
            </w:r>
          </w:p>
          <w:p>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pPr>
              <w:adjustRightInd w:val="0"/>
              <w:snapToGrid w:val="0"/>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投标人采用投标保证金承诺函替代投标保证金的，承诺函应包括企业规模、信用状况等内容，并对真实性负责。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735" w:type="dxa"/>
            <w:vMerge w:val="continue"/>
            <w:shd w:val="clear" w:color="auto" w:fill="auto"/>
            <w:vAlign w:val="center"/>
          </w:tcPr>
          <w:p>
            <w:pPr>
              <w:topLinePunct/>
              <w:adjustRightInd w:val="0"/>
              <w:snapToGrid w:val="0"/>
              <w:jc w:val="center"/>
              <w:rPr>
                <w:rFonts w:ascii="宋体" w:hAnsi="宋体" w:eastAsia="宋体" w:cs="宋体"/>
                <w:color w:val="auto"/>
                <w:kern w:val="0"/>
                <w:szCs w:val="21"/>
                <w:highlight w:val="none"/>
              </w:rPr>
            </w:pPr>
          </w:p>
        </w:tc>
        <w:tc>
          <w:tcPr>
            <w:tcW w:w="2151" w:type="dxa"/>
            <w:vMerge w:val="continue"/>
            <w:shd w:val="clear" w:color="auto" w:fill="auto"/>
            <w:vAlign w:val="center"/>
          </w:tcPr>
          <w:p>
            <w:pPr>
              <w:topLinePunct/>
              <w:adjustRightInd w:val="0"/>
              <w:snapToGrid w:val="0"/>
              <w:jc w:val="center"/>
              <w:rPr>
                <w:rFonts w:ascii="宋体" w:hAnsi="宋体" w:eastAsia="宋体" w:cs="宋体"/>
                <w:color w:val="auto"/>
                <w:kern w:val="0"/>
                <w:szCs w:val="21"/>
                <w:highlight w:val="none"/>
              </w:rPr>
            </w:pPr>
          </w:p>
        </w:tc>
        <w:tc>
          <w:tcPr>
            <w:tcW w:w="6624"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pPr>
              <w:adjustRightInd w:val="0"/>
              <w:snapToGrid w:val="0"/>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2.鼓励投标人使用电子保函、保险。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0"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14</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投标文件组成</w:t>
            </w:r>
          </w:p>
        </w:tc>
        <w:tc>
          <w:tcPr>
            <w:tcW w:w="6624" w:type="dxa"/>
            <w:shd w:val="clear" w:color="auto" w:fill="auto"/>
            <w:vAlign w:val="center"/>
          </w:tcPr>
          <w:p>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以电子文件形式通过“电子招标投标交易平台”网上递交下列文件：</w:t>
            </w:r>
          </w:p>
          <w:p>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1、技术标（含资信标）电子标书1份</w:t>
            </w:r>
          </w:p>
          <w:p>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2、商务标电子标书1份</w:t>
            </w:r>
          </w:p>
          <w:p>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□3、资格审查文件电子标书1份</w:t>
            </w:r>
          </w:p>
          <w:p>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□4、业绩文件电子标书1份</w:t>
            </w:r>
          </w:p>
          <w:p>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（业绩文件包含:</w:t>
            </w: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 xml:space="preserve">招标公告中业绩要求所需提供的证明文件(若有)； </w:t>
            </w: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2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②</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招标文件中要求提供的所有业绩证明文件）</w:t>
            </w:r>
          </w:p>
          <w:p>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以实物形式递交下列文件至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□投标样品：</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踏勘现场</w:t>
            </w: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详细地点：</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公布招标控制价、投标报价上限地址</w:t>
            </w: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w:t>
            </w:r>
            <w:r>
              <w:rPr>
                <w:rFonts w:hint="eastAsia" w:ascii="宋体" w:hAnsi="宋体" w:eastAsia="宋体" w:cs="宋体"/>
                <w:color w:val="auto"/>
                <w:szCs w:val="21"/>
                <w:highlight w:val="none"/>
              </w:rPr>
              <w:t>深圳公共资源交易网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7"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投标文件递交</w:t>
            </w:r>
          </w:p>
        </w:tc>
        <w:tc>
          <w:tcPr>
            <w:tcW w:w="6624" w:type="dxa"/>
            <w:shd w:val="clear" w:color="auto" w:fill="auto"/>
            <w:vAlign w:val="center"/>
          </w:tcPr>
          <w:p>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截止时间：</w:t>
            </w:r>
            <w:r>
              <w:rPr>
                <w:rFonts w:hint="eastAsia" w:ascii="宋体" w:hAnsi="宋体" w:eastAsia="宋体" w:cs="宋体"/>
                <w:color w:val="auto"/>
                <w:kern w:val="0"/>
                <w:szCs w:val="21"/>
                <w:highlight w:val="none"/>
                <w:u w:val="single"/>
              </w:rPr>
              <w:t xml:space="preserve">      </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递交方式：</w:t>
            </w:r>
          </w:p>
          <w:p>
            <w:pPr>
              <w:adjustRightInd w:val="0"/>
              <w:snapToGrid w:val="0"/>
              <w:spacing w:line="36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电子招标投标交易平台，网址：</w:t>
            </w:r>
            <w:r>
              <w:rPr>
                <w:rFonts w:hint="eastAsia" w:ascii="宋体" w:hAnsi="宋体" w:eastAsia="宋体" w:cs="宋体"/>
                <w:i w:val="0"/>
                <w:iCs w:val="0"/>
                <w:color w:val="auto"/>
                <w:kern w:val="0"/>
                <w:szCs w:val="21"/>
                <w:highlight w:val="none"/>
                <w:u w:val="single"/>
              </w:rPr>
              <w:t xml:space="preserve">            </w:t>
            </w:r>
          </w:p>
          <w:p>
            <w:pPr>
              <w:topLinePunct w:val="0"/>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其他：</w:t>
            </w:r>
            <w:r>
              <w:rPr>
                <w:rFonts w:hint="eastAsia" w:ascii="宋体" w:hAnsi="宋体" w:eastAsia="宋体" w:cs="宋体"/>
                <w:i w:val="0"/>
                <w:iCs w:val="0"/>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18</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招标会议时间</w:t>
            </w: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资审会、开标会、评标会、定标会议时间及地点，在交易网进行查询。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6" w:hRule="atLeast"/>
        </w:trPr>
        <w:tc>
          <w:tcPr>
            <w:tcW w:w="735" w:type="dxa"/>
            <w:vMerge w:val="restart"/>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w:t>
            </w:r>
          </w:p>
        </w:tc>
        <w:tc>
          <w:tcPr>
            <w:tcW w:w="2151" w:type="dxa"/>
            <w:vMerge w:val="restart"/>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p>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环节（资格审查合格的投标人＞20名）</w:t>
            </w: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□由计算机随机产生</w:t>
            </w:r>
          </w:p>
          <w:p>
            <w:pPr>
              <w:topLinePunct/>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□招标人自行确定：</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6" w:hRule="atLeast"/>
        </w:trPr>
        <w:tc>
          <w:tcPr>
            <w:tcW w:w="735" w:type="dxa"/>
            <w:vMerge w:val="continue"/>
            <w:shd w:val="clear" w:color="auto" w:fill="auto"/>
            <w:vAlign w:val="center"/>
          </w:tcPr>
          <w:p>
            <w:pPr>
              <w:topLinePunct/>
              <w:adjustRightInd w:val="0"/>
              <w:snapToGrid w:val="0"/>
              <w:jc w:val="center"/>
              <w:rPr>
                <w:rFonts w:hint="eastAsia" w:ascii="宋体" w:hAnsi="宋体" w:eastAsia="宋体" w:cs="宋体"/>
                <w:color w:val="auto"/>
                <w:kern w:val="0"/>
                <w:szCs w:val="21"/>
                <w:highlight w:val="none"/>
              </w:rPr>
            </w:pPr>
          </w:p>
        </w:tc>
        <w:tc>
          <w:tcPr>
            <w:tcW w:w="2151" w:type="dxa"/>
            <w:vMerge w:val="continue"/>
            <w:shd w:val="clear" w:color="auto" w:fill="auto"/>
            <w:vAlign w:val="center"/>
          </w:tcPr>
          <w:p>
            <w:pPr>
              <w:topLinePunct/>
              <w:adjustRightInd w:val="0"/>
              <w:snapToGrid w:val="0"/>
              <w:jc w:val="center"/>
              <w:rPr>
                <w:rFonts w:hint="eastAsia" w:ascii="宋体" w:hAnsi="宋体" w:eastAsia="宋体" w:cs="宋体"/>
                <w:color w:val="auto"/>
                <w:kern w:val="0"/>
                <w:szCs w:val="21"/>
                <w:highlight w:val="none"/>
              </w:rPr>
            </w:pPr>
          </w:p>
        </w:tc>
        <w:tc>
          <w:tcPr>
            <w:tcW w:w="6624" w:type="dxa"/>
            <w:shd w:val="clear" w:color="auto" w:fill="auto"/>
            <w:vAlign w:val="center"/>
          </w:tcPr>
          <w:p>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138"/>
                <w:rFonts w:hint="eastAsia" w:ascii="宋体" w:hAnsi="宋体" w:eastAsia="宋体" w:cs="宋体"/>
                <w:color w:val="auto"/>
                <w:kern w:val="0"/>
                <w:szCs w:val="21"/>
                <w:highlight w:val="none"/>
                <w:lang w:val="en-US" w:eastAsia="zh-CN"/>
              </w:rPr>
              <w:t>[</w:t>
            </w:r>
            <w:r>
              <w:rPr>
                <w:rStyle w:val="138"/>
                <w:rFonts w:hint="eastAsia" w:ascii="宋体" w:hAnsi="宋体" w:eastAsia="宋体" w:cs="宋体"/>
                <w:color w:val="auto"/>
                <w:kern w:val="0"/>
                <w:szCs w:val="21"/>
                <w:highlight w:val="none"/>
                <w:lang w:val="en-US" w:eastAsia="zh-CN"/>
              </w:rPr>
              <w:footnoteReference w:id="2"/>
            </w:r>
            <w:r>
              <w:rPr>
                <w:rStyle w:val="138"/>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pPr>
              <w:widowControl/>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pPr>
              <w:topLinePunct/>
              <w:adjustRightInd w:val="0"/>
              <w:snapToGrid w:val="0"/>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拟派项目负责人及管理团队成员的资历、能力、信誉，企业资质、业绩、履约等，具体择优因素由招标人根据实际确定。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4" w:hRule="atLeast"/>
        </w:trPr>
        <w:tc>
          <w:tcPr>
            <w:tcW w:w="735" w:type="dxa"/>
            <w:vMerge w:val="continue"/>
            <w:shd w:val="clear" w:color="auto" w:fill="auto"/>
            <w:vAlign w:val="center"/>
          </w:tcPr>
          <w:p>
            <w:pPr>
              <w:topLinePunct/>
              <w:adjustRightInd w:val="0"/>
              <w:snapToGrid w:val="0"/>
              <w:jc w:val="center"/>
              <w:rPr>
                <w:rFonts w:ascii="宋体" w:hAnsi="宋体" w:eastAsia="宋体" w:cs="宋体"/>
                <w:color w:val="auto"/>
                <w:kern w:val="0"/>
                <w:szCs w:val="21"/>
                <w:highlight w:val="none"/>
              </w:rPr>
            </w:pPr>
          </w:p>
        </w:tc>
        <w:tc>
          <w:tcPr>
            <w:tcW w:w="2151" w:type="dxa"/>
            <w:vMerge w:val="continue"/>
            <w:shd w:val="clear" w:color="auto" w:fill="auto"/>
            <w:vAlign w:val="center"/>
          </w:tcPr>
          <w:p>
            <w:pPr>
              <w:topLinePunct/>
              <w:adjustRightInd w:val="0"/>
              <w:snapToGrid w:val="0"/>
              <w:jc w:val="center"/>
              <w:rPr>
                <w:rFonts w:ascii="宋体" w:hAnsi="宋体" w:eastAsia="宋体" w:cs="宋体"/>
                <w:color w:val="auto"/>
                <w:kern w:val="0"/>
                <w:szCs w:val="21"/>
                <w:highlight w:val="none"/>
              </w:rPr>
            </w:pPr>
          </w:p>
        </w:tc>
        <w:tc>
          <w:tcPr>
            <w:tcW w:w="6624" w:type="dxa"/>
            <w:shd w:val="clear" w:color="auto" w:fill="auto"/>
            <w:vAlign w:val="center"/>
          </w:tcPr>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过多投标人淘汰方式：</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  □逐轮票决 </w:t>
            </w:r>
          </w:p>
          <w:p>
            <w:pPr>
              <w:adjustRightInd w:val="0"/>
              <w:snapToGrid w:val="0"/>
              <w:spacing w:before="0" w:beforeLines="-2147483648"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计算规则（采用直接票决或逐轮票决的）：简单多数。当被淘汰最后一名有并列情况以至超过应淘汰投标人数时，对此并列的投标人采取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评标方法及标准</w:t>
            </w:r>
          </w:p>
        </w:tc>
        <w:tc>
          <w:tcPr>
            <w:tcW w:w="6624" w:type="dxa"/>
            <w:shd w:val="clear" w:color="auto" w:fill="auto"/>
            <w:vAlign w:val="center"/>
          </w:tcPr>
          <w:p>
            <w:pPr>
              <w:adjustRightInd w:val="0"/>
              <w:snapToGrid w:val="0"/>
              <w:spacing w:line="360" w:lineRule="auto"/>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szCs w:val="21"/>
                <w:highlight w:val="none"/>
              </w:rPr>
              <w:t>定性评审法</w:t>
            </w:r>
          </w:p>
          <w:p>
            <w:pPr>
              <w:adjustRightInd w:val="0"/>
              <w:snapToGrid w:val="0"/>
              <w:spacing w:line="360" w:lineRule="auto"/>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专家推荐原则</w:t>
            </w:r>
          </w:p>
        </w:tc>
        <w:tc>
          <w:tcPr>
            <w:tcW w:w="6624" w:type="dxa"/>
            <w:shd w:val="clear" w:color="auto" w:fill="auto"/>
            <w:vAlign w:val="center"/>
          </w:tcPr>
          <w:p>
            <w:pPr>
              <w:topLinePunct/>
              <w:adjustRightInd w:val="0"/>
              <w:snapToGrid w:val="0"/>
              <w:spacing w:line="36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招标人应根据项目实际合理设置评审要素，对专家评标质量提出要求，并明确专家推荐</w:t>
            </w:r>
            <w:r>
              <w:rPr>
                <w:rFonts w:hint="eastAsia" w:ascii="宋体" w:hAnsi="宋体" w:eastAsia="宋体" w:cs="宋体"/>
                <w:color w:val="auto"/>
                <w:kern w:val="0"/>
                <w:szCs w:val="21"/>
                <w:highlight w:val="none"/>
                <w:lang w:eastAsia="zh-CN"/>
              </w:rPr>
              <w:t>中标候选人</w:t>
            </w:r>
            <w:r>
              <w:rPr>
                <w:rFonts w:hint="eastAsia" w:ascii="宋体" w:hAnsi="宋体" w:eastAsia="宋体" w:cs="宋体"/>
                <w:color w:val="auto"/>
                <w:kern w:val="0"/>
                <w:szCs w:val="21"/>
                <w:highlight w:val="none"/>
              </w:rPr>
              <w:t>原则</w:t>
            </w:r>
            <w:r>
              <w:rPr>
                <w:rStyle w:val="138"/>
                <w:rFonts w:hint="eastAsia" w:ascii="宋体" w:hAnsi="宋体" w:eastAsia="宋体" w:cs="宋体"/>
                <w:color w:val="auto"/>
                <w:kern w:val="0"/>
                <w:szCs w:val="21"/>
                <w:highlight w:val="none"/>
              </w:rPr>
              <w:t>[</w:t>
            </w:r>
            <w:r>
              <w:rPr>
                <w:rStyle w:val="138"/>
                <w:rFonts w:hint="eastAsia" w:ascii="宋体" w:hAnsi="宋体" w:eastAsia="宋体" w:cs="宋体"/>
                <w:color w:val="auto"/>
                <w:kern w:val="0"/>
                <w:szCs w:val="21"/>
                <w:highlight w:val="none"/>
              </w:rPr>
              <w:footnoteReference w:id="3"/>
            </w:r>
            <w:r>
              <w:rPr>
                <w:rStyle w:val="138"/>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lang w:val="en-US" w:eastAsia="zh-CN"/>
              </w:rPr>
              <w:t>注</w:t>
            </w:r>
            <w:r>
              <w:rPr>
                <w:rFonts w:hint="eastAsia" w:ascii="宋体" w:hAnsi="宋体" w:eastAsia="宋体" w:cs="宋体"/>
                <w:color w:val="auto"/>
                <w:kern w:val="0"/>
                <w:szCs w:val="21"/>
                <w:highlight w:val="none"/>
                <w:u w:val="single"/>
                <w:lang w:val="en-US" w:eastAsia="zh-CN"/>
              </w:rPr>
              <w:t>：招标人应根据项目实际，设置规则清晰、可操作性强的推荐中标候选人原则，可以重点考虑性价比、技术指标及商务条款响应</w:t>
            </w:r>
            <w:r>
              <w:rPr>
                <w:rFonts w:hint="eastAsia" w:ascii="宋体" w:hAnsi="宋体" w:eastAsia="宋体" w:cs="宋体"/>
                <w:color w:val="auto"/>
                <w:kern w:val="0"/>
                <w:szCs w:val="21"/>
                <w:highlight w:val="none"/>
              </w:rPr>
              <w:t>等因素</w:t>
            </w:r>
            <w:r>
              <w:rPr>
                <w:rFonts w:hint="eastAsia" w:ascii="宋体" w:hAnsi="宋体" w:eastAsia="宋体" w:cs="宋体"/>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评标地点</w:t>
            </w: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□交易场所评标</w:t>
            </w:r>
          </w:p>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评标委员会的人员组成</w:t>
            </w: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由招标人依法组建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4"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6624"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项目定标方案：在报招标人内设（上级）的纪检监察机构（或督察机构）备案的基础上，于招标公告备案时上传至备案系统加密保存</w:t>
            </w:r>
            <w:r>
              <w:rPr>
                <w:rStyle w:val="138"/>
                <w:rFonts w:hint="eastAsia" w:ascii="宋体" w:hAnsi="宋体" w:eastAsia="宋体" w:cs="宋体"/>
                <w:color w:val="auto"/>
                <w:kern w:val="0"/>
                <w:szCs w:val="21"/>
                <w:highlight w:val="none"/>
              </w:rPr>
              <w:t>[</w:t>
            </w:r>
            <w:r>
              <w:rPr>
                <w:rStyle w:val="138"/>
                <w:rFonts w:hint="eastAsia" w:ascii="宋体" w:hAnsi="宋体" w:eastAsia="宋体" w:cs="宋体"/>
                <w:color w:val="auto"/>
                <w:kern w:val="0"/>
                <w:szCs w:val="21"/>
                <w:highlight w:val="none"/>
              </w:rPr>
              <w:footnoteReference w:id="4"/>
            </w:r>
            <w:r>
              <w:rPr>
                <w:rStyle w:val="138"/>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 ：1.招标人应事先制定定标工作规则，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pPr>
              <w:topLinePunct/>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1" w:hRule="atLeast"/>
        </w:trPr>
        <w:tc>
          <w:tcPr>
            <w:tcW w:w="735" w:type="dxa"/>
            <w:vMerge w:val="restart"/>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w:t>
            </w:r>
          </w:p>
        </w:tc>
        <w:tc>
          <w:tcPr>
            <w:tcW w:w="2151" w:type="dxa"/>
            <w:vMerge w:val="restart"/>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定标方法</w:t>
            </w:r>
          </w:p>
          <w:p>
            <w:pPr>
              <w:topLinePunct/>
              <w:adjustRightInd w:val="0"/>
              <w:snapToGrid w:val="0"/>
              <w:jc w:val="center"/>
              <w:rPr>
                <w:rFonts w:ascii="宋体" w:hAnsi="宋体" w:eastAsia="宋体" w:cs="宋体"/>
                <w:color w:val="auto"/>
                <w:kern w:val="0"/>
                <w:szCs w:val="21"/>
                <w:highlight w:val="none"/>
              </w:rPr>
            </w:pPr>
          </w:p>
        </w:tc>
        <w:tc>
          <w:tcPr>
            <w:tcW w:w="6624"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□直接票决定标法   </w:t>
            </w: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简单多数     □简单多数（且过半数）    □对比胜出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1" w:hRule="atLeast"/>
        </w:trPr>
        <w:tc>
          <w:tcPr>
            <w:tcW w:w="735" w:type="dxa"/>
            <w:vMerge w:val="continue"/>
            <w:shd w:val="clear" w:color="auto" w:fill="auto"/>
            <w:vAlign w:val="center"/>
          </w:tcPr>
          <w:p>
            <w:pPr>
              <w:topLinePunct/>
              <w:adjustRightInd w:val="0"/>
              <w:snapToGrid w:val="0"/>
              <w:spacing w:line="360" w:lineRule="auto"/>
              <w:rPr>
                <w:color w:val="auto"/>
                <w:highlight w:val="none"/>
              </w:rPr>
            </w:pPr>
          </w:p>
        </w:tc>
        <w:tc>
          <w:tcPr>
            <w:tcW w:w="2151" w:type="dxa"/>
            <w:vMerge w:val="continue"/>
            <w:shd w:val="clear" w:color="auto" w:fill="auto"/>
            <w:vAlign w:val="center"/>
          </w:tcPr>
          <w:p>
            <w:pPr>
              <w:topLinePunct/>
              <w:adjustRightInd w:val="0"/>
              <w:snapToGrid w:val="0"/>
              <w:spacing w:line="360" w:lineRule="auto"/>
              <w:rPr>
                <w:color w:val="auto"/>
                <w:highlight w:val="none"/>
              </w:rPr>
            </w:pPr>
          </w:p>
        </w:tc>
        <w:tc>
          <w:tcPr>
            <w:tcW w:w="6624"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逐轮票决定标法</w:t>
            </w: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7" w:hRule="atLeast"/>
        </w:trPr>
        <w:tc>
          <w:tcPr>
            <w:tcW w:w="735" w:type="dxa"/>
            <w:vMerge w:val="continue"/>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p>
        </w:tc>
        <w:tc>
          <w:tcPr>
            <w:tcW w:w="2151" w:type="dxa"/>
            <w:vMerge w:val="continue"/>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□二次竞价定标法（招标人可根据工程实际情况选择此种方式）</w:t>
            </w:r>
          </w:p>
          <w:p>
            <w:pPr>
              <w:topLinePunct/>
              <w:adjustRightInd w:val="0"/>
              <w:snapToGrid w:val="0"/>
              <w:spacing w:line="360" w:lineRule="auto"/>
              <w:ind w:firstLine="42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pPr>
              <w:topLinePunct/>
              <w:adjustRightInd w:val="0"/>
              <w:snapToGrid w:val="0"/>
              <w:spacing w:line="360" w:lineRule="auto"/>
              <w:ind w:firstLine="42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w:t>
            </w: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竞价方式：</w:t>
            </w: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由定标委员会票决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家投标单位进行二次报价（参与二次竞价的投标人不得少于3名）</w:t>
            </w:r>
          </w:p>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□综合考虑二次报价后,定标委员会通过票决方式确定中标候选人(招标人不承诺将合同授予报价最低的投标人)。</w:t>
            </w:r>
          </w:p>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□其它：</w:t>
            </w:r>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注：提交二次报价文件截止时间为定标会开始时间（详见“深圳公共资源交易网”中会议安排）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trPr>
        <w:tc>
          <w:tcPr>
            <w:tcW w:w="735" w:type="dxa"/>
            <w:vMerge w:val="continue"/>
            <w:shd w:val="clear" w:color="auto" w:fill="auto"/>
            <w:vAlign w:val="center"/>
          </w:tcPr>
          <w:p>
            <w:pPr>
              <w:topLinePunct/>
              <w:adjustRightInd w:val="0"/>
              <w:snapToGrid w:val="0"/>
              <w:spacing w:line="360" w:lineRule="auto"/>
              <w:rPr>
                <w:color w:val="auto"/>
                <w:highlight w:val="none"/>
              </w:rPr>
            </w:pPr>
          </w:p>
        </w:tc>
        <w:tc>
          <w:tcPr>
            <w:tcW w:w="2151" w:type="dxa"/>
            <w:vMerge w:val="continue"/>
            <w:shd w:val="clear" w:color="auto" w:fill="auto"/>
            <w:vAlign w:val="center"/>
          </w:tcPr>
          <w:p>
            <w:pPr>
              <w:topLinePunct/>
              <w:adjustRightInd w:val="0"/>
              <w:snapToGrid w:val="0"/>
              <w:spacing w:line="360" w:lineRule="auto"/>
              <w:rPr>
                <w:color w:val="auto"/>
                <w:highlight w:val="none"/>
              </w:rPr>
            </w:pPr>
          </w:p>
        </w:tc>
        <w:tc>
          <w:tcPr>
            <w:tcW w:w="6624" w:type="dxa"/>
            <w:shd w:val="clear" w:color="auto" w:fill="auto"/>
            <w:vAlign w:val="center"/>
          </w:tcPr>
          <w:p>
            <w:pP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□集体议事定标法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trPr>
        <w:tc>
          <w:tcPr>
            <w:tcW w:w="735" w:type="dxa"/>
            <w:vMerge w:val="continue"/>
            <w:shd w:val="clear" w:color="auto" w:fill="auto"/>
            <w:vAlign w:val="center"/>
          </w:tcPr>
          <w:p>
            <w:pPr>
              <w:topLinePunct/>
              <w:adjustRightInd w:val="0"/>
              <w:snapToGrid w:val="0"/>
              <w:spacing w:line="360" w:lineRule="auto"/>
              <w:rPr>
                <w:color w:val="auto"/>
                <w:highlight w:val="none"/>
              </w:rPr>
            </w:pPr>
          </w:p>
        </w:tc>
        <w:tc>
          <w:tcPr>
            <w:tcW w:w="2151" w:type="dxa"/>
            <w:vMerge w:val="continue"/>
            <w:shd w:val="clear" w:color="auto" w:fill="auto"/>
            <w:vAlign w:val="center"/>
          </w:tcPr>
          <w:p>
            <w:pPr>
              <w:topLinePunct/>
              <w:adjustRightInd w:val="0"/>
              <w:snapToGrid w:val="0"/>
              <w:spacing w:line="360" w:lineRule="auto"/>
              <w:rPr>
                <w:color w:val="auto"/>
                <w:highlight w:val="none"/>
              </w:rPr>
            </w:pP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□经建设、交通</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主管部门批准的其它方法：</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atLeast"/>
        </w:trPr>
        <w:tc>
          <w:tcPr>
            <w:tcW w:w="735" w:type="dxa"/>
            <w:vMerge w:val="restart"/>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w:t>
            </w:r>
          </w:p>
        </w:tc>
        <w:tc>
          <w:tcPr>
            <w:tcW w:w="2151" w:type="dxa"/>
            <w:vMerge w:val="restart"/>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履约担保</w:t>
            </w: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5" w:hRule="atLeast"/>
        </w:trPr>
        <w:tc>
          <w:tcPr>
            <w:tcW w:w="735" w:type="dxa"/>
            <w:vMerge w:val="continue"/>
            <w:shd w:val="clear" w:color="auto" w:fill="auto"/>
            <w:vAlign w:val="center"/>
          </w:tcPr>
          <w:p>
            <w:pPr>
              <w:topLinePunct/>
              <w:adjustRightInd w:val="0"/>
              <w:snapToGrid w:val="0"/>
              <w:jc w:val="center"/>
              <w:rPr>
                <w:rFonts w:ascii="宋体" w:hAnsi="宋体" w:eastAsia="宋体" w:cs="宋体"/>
                <w:color w:val="auto"/>
                <w:kern w:val="0"/>
                <w:szCs w:val="21"/>
                <w:highlight w:val="none"/>
              </w:rPr>
            </w:pPr>
          </w:p>
        </w:tc>
        <w:tc>
          <w:tcPr>
            <w:tcW w:w="2151" w:type="dxa"/>
            <w:vMerge w:val="continue"/>
            <w:shd w:val="clear" w:color="auto" w:fill="auto"/>
            <w:vAlign w:val="center"/>
          </w:tcPr>
          <w:p>
            <w:pPr>
              <w:topLinePunct/>
              <w:adjustRightInd w:val="0"/>
              <w:snapToGrid w:val="0"/>
              <w:jc w:val="center"/>
              <w:rPr>
                <w:rFonts w:ascii="宋体" w:hAnsi="宋体" w:eastAsia="宋体" w:cs="宋体"/>
                <w:color w:val="auto"/>
                <w:kern w:val="0"/>
                <w:szCs w:val="21"/>
                <w:highlight w:val="none"/>
              </w:rPr>
            </w:pP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□银行保函 □保证保险 □专业工程担保公司担保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4" w:hRule="atLeast"/>
        </w:trPr>
        <w:tc>
          <w:tcPr>
            <w:tcW w:w="735" w:type="dxa"/>
            <w:vMerge w:val="restart"/>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w:t>
            </w:r>
          </w:p>
        </w:tc>
        <w:tc>
          <w:tcPr>
            <w:tcW w:w="2151" w:type="dxa"/>
            <w:vMerge w:val="restart"/>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支付担保</w:t>
            </w: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735" w:type="dxa"/>
            <w:vMerge w:val="continue"/>
            <w:shd w:val="clear" w:color="auto" w:fill="auto"/>
            <w:vAlign w:val="center"/>
          </w:tcPr>
          <w:p>
            <w:pPr>
              <w:topLinePunct/>
              <w:adjustRightInd w:val="0"/>
              <w:snapToGrid w:val="0"/>
              <w:jc w:val="center"/>
              <w:rPr>
                <w:rFonts w:ascii="宋体" w:hAnsi="宋体" w:eastAsia="宋体" w:cs="宋体"/>
                <w:color w:val="auto"/>
                <w:kern w:val="0"/>
                <w:szCs w:val="21"/>
                <w:highlight w:val="none"/>
              </w:rPr>
            </w:pPr>
          </w:p>
        </w:tc>
        <w:tc>
          <w:tcPr>
            <w:tcW w:w="2151" w:type="dxa"/>
            <w:vMerge w:val="continue"/>
            <w:shd w:val="clear" w:color="auto" w:fill="auto"/>
            <w:vAlign w:val="center"/>
          </w:tcPr>
          <w:p>
            <w:pPr>
              <w:topLinePunct/>
              <w:adjustRightInd w:val="0"/>
              <w:snapToGrid w:val="0"/>
              <w:jc w:val="center"/>
              <w:rPr>
                <w:rFonts w:ascii="宋体" w:hAnsi="宋体" w:eastAsia="宋体" w:cs="宋体"/>
                <w:color w:val="auto"/>
                <w:kern w:val="0"/>
                <w:szCs w:val="21"/>
                <w:highlight w:val="none"/>
              </w:rPr>
            </w:pP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□银行保函 □保证保险 □专业工程担保公司担保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5" w:hRule="atLeast"/>
        </w:trPr>
        <w:tc>
          <w:tcPr>
            <w:tcW w:w="735"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w:t>
            </w:r>
          </w:p>
        </w:tc>
        <w:tc>
          <w:tcPr>
            <w:tcW w:w="2151" w:type="dxa"/>
            <w:shd w:val="clear" w:color="auto" w:fill="auto"/>
            <w:vAlign w:val="center"/>
          </w:tcPr>
          <w:p>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发出中标通知书及签订合同</w:t>
            </w:r>
          </w:p>
        </w:tc>
        <w:tc>
          <w:tcPr>
            <w:tcW w:w="662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招标人和中标人应当自中标通知书发出之日起三十日内，按照招标文件和中标人的投标文件签订合同（因投诉暂停的除外）</w:t>
            </w:r>
          </w:p>
        </w:tc>
      </w:tr>
    </w:tbl>
    <w:p>
      <w:pPr>
        <w:adjustRightInd w:val="0"/>
        <w:snapToGrid w:val="0"/>
        <w:spacing w:line="20" w:lineRule="exact"/>
        <w:rPr>
          <w:color w:val="auto"/>
          <w:highlight w:val="none"/>
        </w:rPr>
      </w:pPr>
      <w:r>
        <w:rPr>
          <w:color w:val="auto"/>
          <w:highlight w:val="none"/>
        </w:rPr>
        <w:br w:type="page"/>
      </w:r>
    </w:p>
    <w:p>
      <w:pPr>
        <w:topLinePunct/>
        <w:adjustRightInd w:val="0"/>
        <w:snapToGrid w:val="0"/>
        <w:spacing w:line="360" w:lineRule="auto"/>
        <w:jc w:val="center"/>
        <w:outlineLvl w:val="1"/>
        <w:rPr>
          <w:rFonts w:ascii="黑体" w:hAnsi="宋体" w:eastAsia="黑体"/>
          <w:b/>
          <w:color w:val="auto"/>
          <w:kern w:val="0"/>
          <w:sz w:val="32"/>
          <w:highlight w:val="none"/>
        </w:rPr>
      </w:pPr>
      <w:bookmarkStart w:id="6" w:name="_Toc23057"/>
      <w:bookmarkStart w:id="7" w:name="_Toc45702688"/>
      <w:r>
        <w:rPr>
          <w:rFonts w:hint="eastAsia" w:ascii="黑体" w:hAnsi="宋体" w:eastAsia="黑体"/>
          <w:b/>
          <w:color w:val="auto"/>
          <w:kern w:val="0"/>
          <w:sz w:val="32"/>
          <w:highlight w:val="none"/>
        </w:rPr>
        <w:t>（一）招标工程情况介绍</w:t>
      </w:r>
      <w:bookmarkEnd w:id="6"/>
      <w:bookmarkEnd w:id="7"/>
    </w:p>
    <w:p>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（提示招标人：本章节为必填内容，招标人应当如实详细填写，并作为投标、评标的重要参考。如因招标人未填写或未如实填写本章节内容，造成的不利后果应由招标人承担。）</w:t>
      </w:r>
    </w:p>
    <w:p>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1.工程概况、工程规模</w:t>
      </w:r>
    </w:p>
    <w:p>
      <w:pPr>
        <w:adjustRightInd w:val="0"/>
        <w:snapToGrid w:val="0"/>
        <w:spacing w:line="360" w:lineRule="auto"/>
        <w:ind w:firstLine="420" w:firstLineChars="200"/>
        <w:rPr>
          <w:rFonts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p>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2.工程主要特点</w:t>
      </w:r>
    </w:p>
    <w:p>
      <w:pPr>
        <w:adjustRightInd w:val="0"/>
        <w:snapToGrid w:val="0"/>
        <w:spacing w:line="360" w:lineRule="auto"/>
        <w:ind w:firstLine="420" w:firstLineChars="200"/>
        <w:rPr>
          <w:rFonts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p>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3.建议的评标要点</w:t>
      </w:r>
    </w:p>
    <w:p>
      <w:pPr>
        <w:adjustRightInd w:val="0"/>
        <w:snapToGrid w:val="0"/>
        <w:spacing w:line="360" w:lineRule="auto"/>
        <w:ind w:firstLine="420" w:firstLineChars="200"/>
        <w:rPr>
          <w:rFonts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p>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4.其它：</w:t>
      </w:r>
    </w:p>
    <w:p>
      <w:pPr>
        <w:adjustRightInd w:val="0"/>
        <w:snapToGrid w:val="0"/>
        <w:spacing w:line="360" w:lineRule="auto"/>
        <w:ind w:firstLine="420" w:firstLineChars="200"/>
        <w:rPr>
          <w:rFonts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p>
      <w:pPr>
        <w:adjustRightInd w:val="0"/>
        <w:snapToGrid w:val="0"/>
        <w:spacing w:line="360" w:lineRule="auto"/>
        <w:jc w:val="left"/>
        <w:rPr>
          <w:rFonts w:ascii="黑体" w:hAnsi="宋体" w:eastAsia="黑体"/>
          <w:b/>
          <w:color w:val="auto"/>
          <w:sz w:val="32"/>
          <w:highlight w:val="none"/>
        </w:rPr>
      </w:pPr>
    </w:p>
    <w:p>
      <w:pPr>
        <w:topLinePunct/>
        <w:adjustRightInd w:val="0"/>
        <w:snapToGrid w:val="0"/>
        <w:spacing w:line="360" w:lineRule="auto"/>
        <w:jc w:val="center"/>
        <w:outlineLvl w:val="1"/>
        <w:rPr>
          <w:rFonts w:ascii="黑体" w:hAnsi="宋体" w:eastAsia="黑体"/>
          <w:b/>
          <w:color w:val="auto"/>
          <w:kern w:val="0"/>
          <w:sz w:val="32"/>
          <w:highlight w:val="none"/>
        </w:rPr>
      </w:pPr>
      <w:bookmarkStart w:id="8" w:name="_Toc2465"/>
      <w:bookmarkStart w:id="9" w:name="_Toc20629"/>
      <w:bookmarkStart w:id="10" w:name="_Toc45702689"/>
      <w:bookmarkStart w:id="11" w:name="_Toc2815"/>
      <w:bookmarkStart w:id="12" w:name="_Toc5571"/>
      <w:r>
        <w:rPr>
          <w:rFonts w:hint="eastAsia" w:ascii="黑体" w:hAnsi="宋体" w:eastAsia="黑体"/>
          <w:b/>
          <w:color w:val="auto"/>
          <w:kern w:val="0"/>
          <w:sz w:val="32"/>
          <w:highlight w:val="none"/>
        </w:rPr>
        <w:t>（二）招标投标分段限时投诉的规定</w:t>
      </w:r>
      <w:bookmarkEnd w:id="8"/>
      <w:bookmarkEnd w:id="9"/>
      <w:bookmarkEnd w:id="10"/>
      <w:bookmarkEnd w:id="11"/>
      <w:bookmarkEnd w:id="12"/>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73号）、《深圳市工程建设项目招标投标活动异议和投诉处理办法》（深建规</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2020</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16号）的规定。</w:t>
      </w:r>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https://zjj.sz.gov.cn/xxgk/ztzl/jsjd/），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pPr>
        <w:spacing w:line="360" w:lineRule="auto"/>
        <w:ind w:firstLine="420" w:firstLineChars="200"/>
        <w:rPr>
          <w:rFonts w:ascii="宋体" w:hAnsi="宋体" w:eastAsia="宋体" w:cs="宋体"/>
          <w:color w:val="auto"/>
          <w:kern w:val="0"/>
          <w:szCs w:val="21"/>
          <w:highlight w:val="none"/>
        </w:rPr>
      </w:pPr>
    </w:p>
    <w:p>
      <w:pPr>
        <w:widowControl/>
        <w:jc w:val="left"/>
        <w:rPr>
          <w:rFonts w:ascii="宋体" w:hAnsi="宋体"/>
          <w:color w:val="auto"/>
          <w:kern w:val="0"/>
          <w:szCs w:val="21"/>
          <w:highlight w:val="none"/>
        </w:rPr>
      </w:pPr>
      <w:r>
        <w:rPr>
          <w:rFonts w:ascii="宋体" w:hAnsi="宋体"/>
          <w:color w:val="auto"/>
          <w:kern w:val="0"/>
          <w:szCs w:val="21"/>
          <w:highlight w:val="none"/>
        </w:rPr>
        <w:br w:type="page"/>
      </w:r>
    </w:p>
    <w:p>
      <w:pPr>
        <w:topLinePunct/>
        <w:adjustRightInd w:val="0"/>
        <w:snapToGrid w:val="0"/>
        <w:spacing w:line="360" w:lineRule="auto"/>
        <w:jc w:val="center"/>
        <w:outlineLvl w:val="1"/>
        <w:rPr>
          <w:rFonts w:ascii="黑体" w:hAnsi="宋体" w:eastAsia="黑体"/>
          <w:b/>
          <w:color w:val="auto"/>
          <w:kern w:val="0"/>
          <w:sz w:val="32"/>
          <w:highlight w:val="none"/>
        </w:rPr>
      </w:pPr>
      <w:bookmarkStart w:id="13" w:name="_Toc22827"/>
      <w:bookmarkStart w:id="14" w:name="_Toc45702690"/>
      <w:r>
        <w:rPr>
          <w:rFonts w:hint="eastAsia" w:ascii="黑体" w:hAnsi="宋体" w:eastAsia="黑体"/>
          <w:b/>
          <w:color w:val="auto"/>
          <w:kern w:val="0"/>
          <w:sz w:val="32"/>
          <w:highlight w:val="none"/>
        </w:rPr>
        <w:t>二、投标文件否决性条款</w:t>
      </w:r>
      <w:bookmarkEnd w:id="13"/>
      <w:bookmarkEnd w:id="14"/>
    </w:p>
    <w:p>
      <w:pPr>
        <w:topLinePunct/>
        <w:adjustRightInd w:val="0"/>
        <w:snapToGrid w:val="0"/>
        <w:spacing w:line="360" w:lineRule="auto"/>
        <w:jc w:val="left"/>
        <w:rPr>
          <w:rFonts w:ascii="黑体" w:eastAsia="黑体"/>
          <w:color w:val="auto"/>
          <w:kern w:val="0"/>
          <w:highlight w:val="none"/>
        </w:rPr>
      </w:pPr>
    </w:p>
    <w:p>
      <w:pPr>
        <w:adjustRightInd w:val="0"/>
        <w:snapToGrid w:val="0"/>
        <w:spacing w:line="360" w:lineRule="auto"/>
        <w:ind w:firstLine="420" w:firstLineChars="200"/>
        <w:rPr>
          <w:rFonts w:ascii="仿宋_GB2312" w:hAnsi="仿宋_GB2312" w:eastAsia="仿宋_GB2312" w:cs="仿宋_GB2312"/>
          <w:color w:val="auto"/>
          <w:kern w:val="0"/>
          <w:highlight w:val="none"/>
        </w:rPr>
      </w:pPr>
      <w:r>
        <w:rPr>
          <w:rFonts w:hint="eastAsia" w:ascii="仿宋_GB2312" w:hAnsi="仿宋_GB2312" w:eastAsia="仿宋_GB2312" w:cs="仿宋_GB2312"/>
          <w:color w:val="auto"/>
          <w:kern w:val="0"/>
          <w:highlight w:val="none"/>
        </w:rPr>
        <w:t>【提示招标人】如招标文件的澄清、答疑、补充文件中增加否决性条款的，招标人应当重新编写本章节内容，将新增否决性条款列入本章节，并发布新的完整的《投标文件否决性条款》。否则，增加的否决性条款无效。</w:t>
      </w:r>
    </w:p>
    <w:p>
      <w:pPr>
        <w:topLinePunct/>
        <w:adjustRightInd w:val="0"/>
        <w:snapToGrid w:val="0"/>
        <w:spacing w:line="360" w:lineRule="auto"/>
        <w:ind w:firstLine="420" w:firstLineChars="200"/>
        <w:jc w:val="left"/>
        <w:rPr>
          <w:rFonts w:ascii="仿宋_GB2312" w:hAnsi="仿宋_GB2312" w:eastAsia="仿宋_GB2312" w:cs="仿宋_GB2312"/>
          <w:color w:val="auto"/>
          <w:kern w:val="0"/>
          <w:highlight w:val="none"/>
        </w:rPr>
      </w:pPr>
      <w:r>
        <w:rPr>
          <w:rFonts w:hint="eastAsia" w:ascii="仿宋_GB2312" w:hAnsi="仿宋_GB2312" w:eastAsia="仿宋_GB2312" w:cs="仿宋_GB2312"/>
          <w:color w:val="auto"/>
          <w:kern w:val="0"/>
          <w:highlight w:val="none"/>
        </w:rPr>
        <w:t>【提示投标人和评标委员会】本章节：</w:t>
      </w:r>
    </w:p>
    <w:p>
      <w:pPr>
        <w:adjustRightInd w:val="0"/>
        <w:snapToGrid w:val="0"/>
        <w:spacing w:line="360" w:lineRule="auto"/>
        <w:ind w:firstLine="420" w:firstLineChars="200"/>
        <w:rPr>
          <w:rFonts w:ascii="仿宋_GB2312" w:hAnsi="仿宋_GB2312" w:eastAsia="仿宋_GB2312" w:cs="仿宋_GB2312"/>
          <w:color w:val="auto"/>
          <w:kern w:val="0"/>
          <w:highlight w:val="none"/>
        </w:rPr>
      </w:pPr>
      <w:r>
        <w:rPr>
          <w:rFonts w:hint="eastAsia" w:ascii="仿宋_GB2312" w:hAnsi="仿宋_GB2312" w:eastAsia="仿宋_GB2312" w:cs="仿宋_GB2312"/>
          <w:color w:val="auto"/>
          <w:kern w:val="0"/>
          <w:highlight w:val="none"/>
        </w:rPr>
        <w:t>是本工程招标文件（含招标文件的澄清、补充文件等）中涉及的所有否决性条款，否决性条款包括：招标文件不予受理（开标阶段）、无效标（初步评审）、废标（详细评审）条款。除出现以下情形外，投标文件的其他任何情形均不得作否决处理。招标文件中有关否决性条款的阐述与本章节不一致的，以本章节内容为准。</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（一）开标阶段不予受理的情形：（由招标人或其委派人员负责判定）</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highlight w:val="none"/>
        </w:rPr>
        <w:t>1</w:t>
      </w:r>
      <w:r>
        <w:rPr>
          <w:rFonts w:hint="eastAsia" w:ascii="宋体" w:hAnsi="宋体" w:eastAsia="宋体" w:cs="宋体"/>
          <w:color w:val="auto"/>
          <w:kern w:val="0"/>
          <w:szCs w:val="21"/>
          <w:highlight w:val="none"/>
        </w:rPr>
        <w:t>.逾期提交</w:t>
      </w:r>
      <w:r>
        <w:rPr>
          <w:rFonts w:hint="eastAsia" w:ascii="宋体" w:hAnsi="宋体" w:eastAsia="宋体" w:cs="宋体"/>
          <w:color w:val="auto"/>
          <w:kern w:val="0"/>
          <w:highlight w:val="none"/>
        </w:rPr>
        <w:t>投标</w:t>
      </w:r>
      <w:r>
        <w:rPr>
          <w:rFonts w:hint="eastAsia" w:ascii="宋体" w:hAnsi="宋体" w:eastAsia="宋体" w:cs="宋体"/>
          <w:color w:val="auto"/>
          <w:kern w:val="0"/>
          <w:szCs w:val="21"/>
          <w:highlight w:val="none"/>
        </w:rPr>
        <w:t>文件</w:t>
      </w:r>
      <w:r>
        <w:rPr>
          <w:rFonts w:hint="eastAsia" w:ascii="宋体" w:hAnsi="宋体" w:eastAsia="宋体" w:cs="宋体"/>
          <w:color w:val="auto"/>
          <w:kern w:val="0"/>
          <w:highlight w:val="none"/>
        </w:rPr>
        <w:t>的</w:t>
      </w:r>
      <w:r>
        <w:rPr>
          <w:rFonts w:hint="eastAsia" w:ascii="宋体" w:hAnsi="宋体" w:eastAsia="宋体" w:cs="宋体"/>
          <w:color w:val="auto"/>
          <w:kern w:val="0"/>
          <w:szCs w:val="21"/>
          <w:highlight w:val="none"/>
        </w:rPr>
        <w:t>；</w:t>
      </w:r>
    </w:p>
    <w:p>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2.资格审查不合格</w:t>
      </w:r>
      <w:r>
        <w:rPr>
          <w:rFonts w:hint="eastAsia" w:ascii="宋体" w:hAnsi="宋体" w:eastAsia="宋体" w:cs="宋体"/>
          <w:color w:val="auto"/>
          <w:kern w:val="0"/>
          <w:highlight w:val="none"/>
        </w:rPr>
        <w:t>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3.投标文件中各电子投标文件未加签有效数字证书或电子营业执照</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kern w:val="0"/>
          <w:szCs w:val="21"/>
          <w:highlight w:val="none"/>
        </w:rPr>
        <w:t>的；</w:t>
      </w:r>
    </w:p>
    <w:p>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highlight w:val="none"/>
        </w:rPr>
        <w:t>4</w:t>
      </w:r>
      <w:r>
        <w:rPr>
          <w:rFonts w:hint="eastAsia" w:ascii="宋体" w:hAnsi="宋体" w:eastAsia="宋体" w:cs="宋体"/>
          <w:color w:val="auto"/>
          <w:kern w:val="0"/>
          <w:szCs w:val="21"/>
          <w:highlight w:val="none"/>
        </w:rPr>
        <w:t>.</w:t>
      </w:r>
      <w:r>
        <w:rPr>
          <w:rFonts w:hint="eastAsia" w:ascii="宋体" w:hAnsi="宋体" w:eastAsia="宋体" w:cs="宋体"/>
          <w:color w:val="auto"/>
          <w:kern w:val="0"/>
          <w:highlight w:val="none"/>
        </w:rPr>
        <w:t>投标文件的投标报价高于公布招标控制价或投标报价上限的；</w:t>
      </w:r>
    </w:p>
    <w:p>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highlight w:val="none"/>
        </w:rPr>
        <w:t>5</w:t>
      </w:r>
      <w:r>
        <w:rPr>
          <w:rFonts w:hint="eastAsia" w:ascii="宋体" w:hAnsi="宋体" w:eastAsia="宋体" w:cs="宋体"/>
          <w:color w:val="auto"/>
          <w:kern w:val="0"/>
          <w:szCs w:val="21"/>
          <w:highlight w:val="none"/>
        </w:rPr>
        <w:t>.</w:t>
      </w:r>
      <w:r>
        <w:rPr>
          <w:rFonts w:hint="eastAsia" w:ascii="宋体" w:hAnsi="宋体" w:eastAsia="宋体" w:cs="宋体"/>
          <w:color w:val="auto"/>
          <w:kern w:val="0"/>
          <w:highlight w:val="none"/>
        </w:rPr>
        <w:t>投标文件承诺的供货期超过招标文件中供货期要求的；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6.投标人提交的电子标书格式不符合招标文件要求或开标后交易平台无法读取导入的；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highlight w:val="none"/>
        </w:rPr>
        <w:t>7</w:t>
      </w:r>
      <w:r>
        <w:rPr>
          <w:rFonts w:hint="eastAsia" w:ascii="宋体" w:hAnsi="宋体" w:eastAsia="宋体" w:cs="宋体"/>
          <w:color w:val="auto"/>
          <w:kern w:val="0"/>
          <w:szCs w:val="21"/>
          <w:highlight w:val="none"/>
        </w:rPr>
        <w:t>.组成联合体投标时，未提交联合体共同投标协议书的；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8.联合体各方在同一招标项目中以自己名义单独投标或者参加其他联合体投标的；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r>
        <w:rPr>
          <w:rFonts w:hint="eastAsia" w:ascii="宋体" w:hAnsi="宋体" w:eastAsia="宋体" w:cs="宋体"/>
          <w:color w:val="auto"/>
          <w:szCs w:val="21"/>
          <w:highlight w:val="none"/>
        </w:rPr>
        <w:t>单位负责人为同一人或者存在控股、管理关系的不同单位</w:t>
      </w:r>
      <w:r>
        <w:rPr>
          <w:rFonts w:hint="eastAsia" w:ascii="宋体" w:hAnsi="宋体" w:eastAsia="宋体" w:cs="宋体"/>
          <w:color w:val="auto"/>
          <w:kern w:val="0"/>
          <w:szCs w:val="21"/>
          <w:highlight w:val="none"/>
        </w:rPr>
        <w:t>提交投标文件的，在资格审查阶段，当部分相关单位自愿退出后仍有两家或两家以上要求继续进入后续招投标环节的；</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10.</w:t>
      </w:r>
      <w:r>
        <w:rPr>
          <w:rFonts w:hint="eastAsia" w:ascii="宋体" w:hAnsi="宋体" w:eastAsia="宋体" w:cs="宋体"/>
          <w:color w:val="auto"/>
          <w:highlight w:val="none"/>
        </w:rPr>
        <w:t>未按招标文件规定的形式和金额提交投标担保，或投标保函的内容不符合招标文件要求的；</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11.</w:t>
      </w:r>
      <w:r>
        <w:rPr>
          <w:rFonts w:hint="eastAsia" w:ascii="宋体" w:hAnsi="宋体" w:eastAsia="宋体" w:cs="宋体"/>
          <w:color w:val="auto"/>
          <w:highlight w:val="none"/>
        </w:rPr>
        <w:t>未按招标文件规定提交《投标函》的；</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12.</w:t>
      </w:r>
      <w:r>
        <w:rPr>
          <w:rFonts w:hint="eastAsia" w:ascii="宋体" w:hAnsi="宋体" w:eastAsia="宋体" w:cs="宋体"/>
          <w:color w:val="auto"/>
          <w:highlight w:val="none"/>
        </w:rPr>
        <w:t>投标人名称或组织结构与投标报名或者资格预审时不一致且未提供有效证明的。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13.投标人或相关人员具有下列情形之一的：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13.1近3年内（从招标公告发布之日起倒算）投标人或者其法定代表人有行贿犯罪记录的；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13.2近1年内（从截标之日起倒算）因串通投标、转包、以他人名义投标或者违法分包等违法行为受到建设、交通或者财政部门行政处罚的；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13.3因违反工程质量、安全生产管理规定等原因被建设部门给予红色警示且在警示期内的；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13.4拖欠工人工资被有关部门责令改正而未改正的；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13.5依法应当拒绝投标的其他情形；</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□本次招标下述13.6至13.9条款生效：</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13.6被建设或者交通部门信用评价为红色且正处在信用评价结果公示期内的；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13.7近3年内（从截标之日起倒算）曾被本项目招标人履约评价为不合格的；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13.8近2年内（从截标之日起倒算）曾有放弃中标资格、拒不签订合同、拒不提供履约担保情形的；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13.9因违反工程质量、安全生产管理规定，或者因串通投标、转包、以他人名义投标或者违法分包等违法行为，正在接受建设、交通或者财政部门立案调查的。</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（二）评标阶段有关无效标的情形：（由评标委员会负责判定）</w:t>
      </w:r>
    </w:p>
    <w:p>
      <w:pPr>
        <w:spacing w:line="360" w:lineRule="auto"/>
        <w:ind w:firstLine="420" w:firstLineChars="200"/>
        <w:jc w:val="left"/>
        <w:rPr>
          <w:rFonts w:ascii="宋体" w:hAnsi="宋体" w:eastAsia="宋体" w:cs="宋体"/>
          <w:b/>
          <w:color w:val="auto"/>
          <w:kern w:val="0"/>
          <w:highlight w:val="none"/>
        </w:rPr>
      </w:pPr>
      <w:r>
        <w:rPr>
          <w:rFonts w:hint="eastAsia" w:ascii="宋体" w:hAnsi="宋体" w:eastAsia="宋体" w:cs="宋体"/>
          <w:color w:val="auto"/>
          <w:highlight w:val="none"/>
        </w:rPr>
        <w:t>1</w:t>
      </w:r>
      <w:r>
        <w:rPr>
          <w:rFonts w:hint="eastAsia" w:ascii="宋体" w:hAnsi="宋体" w:eastAsia="宋体" w:cs="宋体"/>
          <w:color w:val="auto"/>
          <w:szCs w:val="21"/>
          <w:highlight w:val="none"/>
        </w:rPr>
        <w:t>.</w:t>
      </w:r>
      <w:r>
        <w:rPr>
          <w:rFonts w:hint="eastAsia" w:ascii="宋体" w:hAnsi="宋体" w:eastAsia="宋体" w:cs="宋体"/>
          <w:color w:val="auto"/>
          <w:highlight w:val="none"/>
        </w:rPr>
        <w:t>《投标函》未按招标文件规定填写、漏填或内容填写错误的；</w:t>
      </w:r>
    </w:p>
    <w:p>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投标人的投标报价是可变动价格的，或包含了价格调整要求的，或投标报价中提供两个（含两个）以上的报价且未声明哪个有效的（招标文件规定提交备选投标方案的除外）</w:t>
      </w:r>
      <w:r>
        <w:rPr>
          <w:rFonts w:hint="eastAsia" w:ascii="宋体" w:hAnsi="宋体" w:eastAsia="宋体" w:cs="宋体"/>
          <w:color w:val="auto"/>
          <w:kern w:val="0"/>
          <w:highlight w:val="none"/>
        </w:rPr>
        <w:t>；</w:t>
      </w:r>
    </w:p>
    <w:p>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highlight w:val="none"/>
        </w:rPr>
        <w:t>投标人资格条件不符合国家有关规定和招标文件要求的</w:t>
      </w:r>
      <w:r>
        <w:rPr>
          <w:rFonts w:hint="eastAsia" w:ascii="宋体" w:hAnsi="宋体" w:eastAsia="宋体" w:cs="宋体"/>
          <w:color w:val="auto"/>
          <w:kern w:val="0"/>
          <w:szCs w:val="21"/>
          <w:highlight w:val="none"/>
        </w:rPr>
        <w:t>；</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4.投标人以他人的名义投标或出现下列串通投标、弄虚作假投标嫌疑情形之一的：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4.1不同投标人的投标文件内容存在非正常一致的；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4.2不同投标人的投标文件错漏之处一致的；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4.3不同投标人的投标报价或者报价组成异常一致或者呈规律性变化的；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4.4不同投标人的投标文件由同一单位或者同一个人编制的；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4.5不同投标人的投标文件载明的项目负责人与主要技术人员出现同一人的；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4.6不同投标人的投标文件相互混装的；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4.7不同投标人的投标文件由同一台电脑编制的；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4.8不同投标人聘请同一人为其投标提供技术或者经济咨询服务的，但招标工程本身要求采用专有技术的除外；</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4.9投标人在投标文件商务标书上电子签名的造价工程师与其他投标人在投标文件商务标书上电子签名的造价工程师为同一人的；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4.10评标委员会认定的其他串通投标情形。</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（三）评标阶段有关废标的情形：（由评标委员会负责判定）</w:t>
      </w:r>
    </w:p>
    <w:p>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highlight w:val="none"/>
        </w:rPr>
        <w:t>投标文件不满足招标文件规定的任何一项实质性要求的；</w:t>
      </w:r>
    </w:p>
    <w:p>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highlight w:val="none"/>
        </w:rPr>
        <w:t>投标文件对招标文件规定的非实质性要求的偏离，超出允许偏离的最大范围或最高项数的；</w:t>
      </w:r>
    </w:p>
    <w:p>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highlight w:val="none"/>
        </w:rPr>
        <w:t>评标委员会根据招标文件的规定对投标文件的投标价格进行调整，投标人不接受调整方式、调整后价格，或调整后价格超出招标控制价的；</w:t>
      </w:r>
    </w:p>
    <w:p>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kern w:val="0"/>
          <w:highlight w:val="none"/>
        </w:rPr>
        <w:t>投标人拒不按照评标委员会要求对投标文件进行澄清、说明、补正的；</w:t>
      </w:r>
    </w:p>
    <w:p>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highlight w:val="none"/>
        </w:rPr>
        <w:t>5</w:t>
      </w:r>
      <w:r>
        <w:rPr>
          <w:rFonts w:hint="eastAsia" w:ascii="宋体" w:hAnsi="宋体" w:eastAsia="宋体" w:cs="宋体"/>
          <w:color w:val="auto"/>
          <w:kern w:val="0"/>
          <w:szCs w:val="21"/>
          <w:highlight w:val="none"/>
        </w:rPr>
        <w:t>.技术标经评标委员会评审</w:t>
      </w:r>
      <w:r>
        <w:rPr>
          <w:rFonts w:hint="eastAsia" w:ascii="宋体" w:hAnsi="宋体" w:eastAsia="宋体" w:cs="宋体"/>
          <w:color w:val="auto"/>
          <w:kern w:val="0"/>
          <w:highlight w:val="none"/>
        </w:rPr>
        <w:t>为不合格的；</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（招标人对上述内容有修改或补充的，以下述条款为准）</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（四）招标人补充的投标文件不予受理的情形：</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（五）招标人补充的无效标情形：</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（六）招标人补充的废标情形：</w:t>
      </w:r>
    </w:p>
    <w:p>
      <w:pPr>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highlight w:val="none"/>
        </w:rPr>
        <w:br w:type="page"/>
      </w:r>
    </w:p>
    <w:p>
      <w:pPr>
        <w:topLinePunct/>
        <w:adjustRightInd w:val="0"/>
        <w:snapToGrid w:val="0"/>
        <w:spacing w:line="360" w:lineRule="auto"/>
        <w:jc w:val="center"/>
        <w:outlineLvl w:val="1"/>
        <w:rPr>
          <w:rFonts w:ascii="黑体" w:hAnsi="宋体" w:eastAsia="黑体"/>
          <w:bCs/>
          <w:color w:val="auto"/>
          <w:kern w:val="0"/>
          <w:sz w:val="32"/>
          <w:highlight w:val="none"/>
        </w:rPr>
      </w:pPr>
      <w:bookmarkStart w:id="15" w:name="_Toc14440"/>
      <w:bookmarkStart w:id="16" w:name="_Toc45702691"/>
      <w:r>
        <w:rPr>
          <w:rFonts w:hint="eastAsia" w:ascii="黑体" w:hAnsi="宋体" w:eastAsia="黑体"/>
          <w:bCs/>
          <w:color w:val="auto"/>
          <w:kern w:val="0"/>
          <w:sz w:val="32"/>
          <w:highlight w:val="none"/>
        </w:rPr>
        <w:t>三、招投标须知正文</w:t>
      </w:r>
      <w:bookmarkEnd w:id="15"/>
      <w:bookmarkEnd w:id="16"/>
    </w:p>
    <w:p>
      <w:pPr>
        <w:spacing w:line="360" w:lineRule="auto"/>
        <w:jc w:val="center"/>
        <w:outlineLvl w:val="2"/>
        <w:rPr>
          <w:rFonts w:ascii="黑体" w:eastAsia="黑体"/>
          <w:bCs/>
          <w:color w:val="auto"/>
          <w:sz w:val="30"/>
          <w:highlight w:val="none"/>
        </w:rPr>
      </w:pPr>
      <w:bookmarkStart w:id="17" w:name="_Toc45702692"/>
      <w:bookmarkStart w:id="18" w:name="_Toc14211"/>
      <w:r>
        <w:rPr>
          <w:rFonts w:hint="eastAsia" w:ascii="黑体" w:eastAsia="黑体"/>
          <w:bCs/>
          <w:color w:val="auto"/>
          <w:sz w:val="30"/>
          <w:highlight w:val="none"/>
        </w:rPr>
        <w:t>（一）招标</w:t>
      </w:r>
      <w:bookmarkEnd w:id="17"/>
      <w:bookmarkEnd w:id="18"/>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1．项目概况</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根据《中华人民共和国招标投标法》等有关法律、法规、规章和规范性文件的规定，本招标项目已具备招标条件，现进行招标。</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1.1</w:t>
      </w:r>
      <w:r>
        <w:rPr>
          <w:rFonts w:hint="eastAsia" w:ascii="宋体" w:hAnsi="宋体" w:eastAsia="宋体" w:cs="宋体"/>
          <w:color w:val="auto"/>
          <w:szCs w:val="21"/>
          <w:highlight w:val="none"/>
        </w:rPr>
        <w:t>标段名称</w:t>
      </w:r>
      <w:r>
        <w:rPr>
          <w:rFonts w:hint="eastAsia" w:ascii="宋体" w:hAnsi="宋体" w:eastAsia="宋体" w:cs="宋体"/>
          <w:color w:val="auto"/>
          <w:highlight w:val="none"/>
        </w:rPr>
        <w:t>：见“投标须知前附表”。</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highlight w:val="none"/>
        </w:rPr>
        <w:t>1.2</w:t>
      </w:r>
      <w:r>
        <w:rPr>
          <w:rFonts w:hint="eastAsia" w:ascii="宋体" w:hAnsi="宋体" w:eastAsia="宋体" w:cs="宋体"/>
          <w:color w:val="auto"/>
          <w:szCs w:val="21"/>
          <w:highlight w:val="none"/>
        </w:rPr>
        <w:t>工程地点：见“投标须知前附表”。</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szCs w:val="21"/>
          <w:highlight w:val="none"/>
        </w:rPr>
        <w:t>.3</w:t>
      </w:r>
      <w:r>
        <w:rPr>
          <w:rFonts w:hint="eastAsia" w:ascii="宋体" w:hAnsi="宋体" w:eastAsia="宋体" w:cs="宋体"/>
          <w:color w:val="auto"/>
          <w:highlight w:val="none"/>
        </w:rPr>
        <w:t>招标范围</w:t>
      </w:r>
      <w:r>
        <w:rPr>
          <w:rFonts w:hint="eastAsia" w:ascii="宋体" w:hAnsi="宋体" w:eastAsia="宋体" w:cs="宋体"/>
          <w:color w:val="auto"/>
          <w:szCs w:val="21"/>
          <w:highlight w:val="none"/>
        </w:rPr>
        <w:t>：见“投标须知前附表”</w:t>
      </w:r>
      <w:r>
        <w:rPr>
          <w:rFonts w:hint="eastAsia" w:ascii="宋体" w:hAnsi="宋体" w:eastAsia="宋体" w:cs="宋体"/>
          <w:color w:val="auto"/>
          <w:highlight w:val="none"/>
        </w:rPr>
        <w:t>。</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szCs w:val="21"/>
          <w:highlight w:val="none"/>
        </w:rPr>
        <w:t>4供货期要求</w:t>
      </w:r>
      <w:r>
        <w:rPr>
          <w:rFonts w:hint="eastAsia" w:ascii="宋体" w:hAnsi="宋体" w:eastAsia="宋体" w:cs="宋体"/>
          <w:color w:val="auto"/>
          <w:highlight w:val="none"/>
        </w:rPr>
        <w:t>：见“投标须知前附表”。</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1.5</w:t>
      </w:r>
      <w:r>
        <w:rPr>
          <w:rFonts w:hint="eastAsia" w:ascii="宋体" w:hAnsi="宋体" w:eastAsia="宋体" w:cs="宋体"/>
          <w:color w:val="auto"/>
          <w:szCs w:val="21"/>
          <w:highlight w:val="none"/>
        </w:rPr>
        <w:t>投标人资格要求</w:t>
      </w:r>
      <w:r>
        <w:rPr>
          <w:rFonts w:hint="eastAsia" w:ascii="宋体" w:hAnsi="宋体" w:eastAsia="宋体" w:cs="宋体"/>
          <w:color w:val="auto"/>
          <w:highlight w:val="none"/>
        </w:rPr>
        <w:t>：见“投标须知前附表”。</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2．资金来源和落实情况</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2.1资金来源</w:t>
      </w:r>
      <w:r>
        <w:rPr>
          <w:rFonts w:hint="eastAsia" w:ascii="宋体" w:hAnsi="宋体" w:eastAsia="宋体" w:cs="宋体"/>
          <w:color w:val="auto"/>
          <w:szCs w:val="21"/>
          <w:highlight w:val="none"/>
        </w:rPr>
        <w:t>包括政府、国企、私企、集体、外资和其他资金</w:t>
      </w:r>
      <w:r>
        <w:rPr>
          <w:rFonts w:hint="eastAsia" w:ascii="宋体" w:hAnsi="宋体" w:eastAsia="宋体" w:cs="宋体"/>
          <w:color w:val="auto"/>
          <w:highlight w:val="none"/>
        </w:rPr>
        <w:t>。</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2.2本招标项目已取得项目审批部门的批准，资金已落实，且能保证其顺利实施。</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3．踏勘现场</w:t>
      </w:r>
    </w:p>
    <w:p>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highlight w:val="none"/>
        </w:rPr>
        <w:t>.1招标人</w:t>
      </w:r>
      <w:r>
        <w:rPr>
          <w:rFonts w:hint="eastAsia" w:ascii="宋体" w:hAnsi="宋体" w:eastAsia="宋体" w:cs="宋体"/>
          <w:color w:val="auto"/>
          <w:kern w:val="0"/>
          <w:szCs w:val="21"/>
          <w:highlight w:val="none"/>
        </w:rPr>
        <w:t>不集中</w:t>
      </w:r>
      <w:r>
        <w:rPr>
          <w:rFonts w:hint="eastAsia" w:ascii="宋体" w:hAnsi="宋体" w:eastAsia="宋体" w:cs="宋体"/>
          <w:color w:val="auto"/>
          <w:kern w:val="0"/>
          <w:highlight w:val="none"/>
        </w:rPr>
        <w:t>组织</w:t>
      </w:r>
      <w:r>
        <w:rPr>
          <w:rFonts w:hint="eastAsia" w:ascii="宋体" w:hAnsi="宋体" w:eastAsia="宋体" w:cs="宋体"/>
          <w:color w:val="auto"/>
          <w:kern w:val="0"/>
          <w:szCs w:val="21"/>
          <w:highlight w:val="none"/>
        </w:rPr>
        <w:t>投标现场踏勘，</w:t>
      </w:r>
      <w:r>
        <w:rPr>
          <w:rFonts w:hint="eastAsia" w:ascii="宋体" w:hAnsi="宋体" w:eastAsia="宋体" w:cs="宋体"/>
          <w:color w:val="auto"/>
          <w:kern w:val="0"/>
          <w:highlight w:val="none"/>
        </w:rPr>
        <w:t>投标人</w:t>
      </w:r>
      <w:r>
        <w:rPr>
          <w:rFonts w:hint="eastAsia" w:ascii="宋体" w:hAnsi="宋体" w:eastAsia="宋体" w:cs="宋体"/>
          <w:color w:val="auto"/>
          <w:kern w:val="0"/>
          <w:szCs w:val="21"/>
          <w:highlight w:val="none"/>
        </w:rPr>
        <w:t>需要了解</w:t>
      </w:r>
      <w:r>
        <w:rPr>
          <w:rFonts w:hint="eastAsia" w:ascii="宋体" w:hAnsi="宋体" w:eastAsia="宋体" w:cs="宋体"/>
          <w:color w:val="auto"/>
          <w:kern w:val="0"/>
          <w:highlight w:val="none"/>
        </w:rPr>
        <w:t>现场</w:t>
      </w:r>
      <w:r>
        <w:rPr>
          <w:rFonts w:hint="eastAsia" w:ascii="宋体" w:hAnsi="宋体" w:eastAsia="宋体" w:cs="宋体"/>
          <w:color w:val="auto"/>
          <w:kern w:val="0"/>
          <w:szCs w:val="21"/>
          <w:highlight w:val="none"/>
        </w:rPr>
        <w:t>情况的，可自行</w:t>
      </w:r>
      <w:r>
        <w:rPr>
          <w:rFonts w:hint="eastAsia" w:ascii="宋体" w:hAnsi="宋体" w:eastAsia="宋体" w:cs="宋体"/>
          <w:color w:val="auto"/>
          <w:kern w:val="0"/>
          <w:highlight w:val="none"/>
        </w:rPr>
        <w:t>进行</w:t>
      </w:r>
      <w:r>
        <w:rPr>
          <w:rFonts w:hint="eastAsia" w:ascii="宋体" w:hAnsi="宋体" w:eastAsia="宋体" w:cs="宋体"/>
          <w:color w:val="auto"/>
          <w:kern w:val="0"/>
          <w:szCs w:val="21"/>
          <w:highlight w:val="none"/>
        </w:rPr>
        <w:t>现场踏勘。</w:t>
      </w:r>
      <w:r>
        <w:rPr>
          <w:rFonts w:hint="eastAsia" w:ascii="宋体" w:hAnsi="宋体" w:eastAsia="宋体" w:cs="宋体"/>
          <w:color w:val="auto"/>
          <w:kern w:val="0"/>
          <w:highlight w:val="none"/>
        </w:rPr>
        <w:t>踏勘现场所发生的费用</w:t>
      </w:r>
      <w:r>
        <w:rPr>
          <w:rFonts w:hint="eastAsia" w:ascii="宋体" w:hAnsi="宋体" w:eastAsia="宋体" w:cs="宋体"/>
          <w:color w:val="auto"/>
          <w:kern w:val="0"/>
          <w:szCs w:val="21"/>
          <w:highlight w:val="none"/>
        </w:rPr>
        <w:t>由投标人自己承担</w:t>
      </w:r>
      <w:r>
        <w:rPr>
          <w:rFonts w:hint="eastAsia" w:ascii="宋体" w:hAnsi="宋体" w:eastAsia="宋体" w:cs="宋体"/>
          <w:color w:val="auto"/>
          <w:kern w:val="0"/>
          <w:highlight w:val="none"/>
        </w:rPr>
        <w:t>。</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4．招标控制价</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4</w:t>
      </w:r>
      <w:r>
        <w:rPr>
          <w:rFonts w:hint="eastAsia" w:ascii="宋体" w:hAnsi="宋体" w:eastAsia="宋体" w:cs="宋体"/>
          <w:color w:val="auto"/>
          <w:highlight w:val="none"/>
        </w:rPr>
        <w:t>.1招标人将在投标截止时间前5日，公示招标控制价。见“投标须知前附表”。</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5.招标文件的补充、修改或澄清</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5.1投标人对招标文件提出疑问，应在质疑期限前（截止时间见交易网）以不署名的形式在交易网提出。逾期不予受理。</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5.2招标人对招标文件进行补充、修改或澄清，应在答疑期限（截止时间见交易网）前，报</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主管部门备案后，通过交易网向所有投标人公示。投标人应随时查看交易网中有关该项目招标文件的信息。否则，由此导致的不利后果由投标人自负。</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5.2.1招标文件的补充、修改和澄清文件，都是招标文件的组成部分。当招标文件与招标文件的补充、修改或澄清文件内容不一致时，以发出日期最近开标日期的文件为准。</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5.2.2招标人为使投标人有充分时间对招标文件的修改、补充或澄清文件进行研究，可酌情延长投标截止时间。确定新的投标截止时间应在投标截止日期前5个日历天之前，以补充文件的形式告知所有的投标人。该补充文件的内容只限于对投标截止时间的修改。</w:t>
      </w:r>
    </w:p>
    <w:p>
      <w:pPr>
        <w:spacing w:line="360" w:lineRule="auto"/>
        <w:jc w:val="center"/>
        <w:outlineLvl w:val="2"/>
        <w:rPr>
          <w:rFonts w:ascii="黑体" w:eastAsia="黑体"/>
          <w:bCs/>
          <w:color w:val="auto"/>
          <w:sz w:val="30"/>
          <w:highlight w:val="none"/>
        </w:rPr>
      </w:pPr>
      <w:bookmarkStart w:id="19" w:name="_Toc26105"/>
      <w:bookmarkStart w:id="20" w:name="_Toc45702693"/>
      <w:bookmarkStart w:id="21" w:name="_Toc22570"/>
      <w:r>
        <w:rPr>
          <w:rFonts w:hint="eastAsia" w:ascii="黑体" w:eastAsia="黑体"/>
          <w:bCs/>
          <w:color w:val="auto"/>
          <w:sz w:val="30"/>
          <w:highlight w:val="none"/>
        </w:rPr>
        <w:t>（二）投标</w:t>
      </w:r>
      <w:bookmarkEnd w:id="19"/>
      <w:bookmarkEnd w:id="20"/>
      <w:bookmarkEnd w:id="21"/>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6.对招标文件的质疑</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6.1招标人不集中组织答疑，实行网上答疑。投标人若对招标文件有疑问，需要招标人予以澄清，应按法律法规规定时限以不署名的形式在交易网提出。</w:t>
      </w: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7.投标文件要求</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7.1投标人获取招标文件后，应仔细检查招标文件的所有内容。投标人同时应认真审阅招标文件中所有的事项、条款、格式和标准要求等，如果投标人的投标文件没有按照招标文件要求提交全部资料或者投标文件没有对招标文件做出实质性响应，其风险应由投标人自行承担，并且根据有关条款规定，其投标有可能被拒绝。</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8．投标费用</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8.1投标人应承担其编制投标文件与递交投标文件所涉及的一切费用。不论投标结果如何，招标人在任何情况下无义务也无责任承担这些费用。</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9．关于联合体投标</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9.1由两个或两个以上法人</w:t>
      </w:r>
      <w:r>
        <w:rPr>
          <w:rFonts w:hint="eastAsia" w:ascii="宋体" w:hAnsi="宋体" w:eastAsia="宋体" w:cs="宋体"/>
          <w:color w:val="auto"/>
          <w:szCs w:val="21"/>
          <w:highlight w:val="none"/>
        </w:rPr>
        <w:t>或者其他组织</w:t>
      </w:r>
      <w:r>
        <w:rPr>
          <w:rFonts w:hint="eastAsia" w:ascii="宋体" w:hAnsi="宋体" w:eastAsia="宋体" w:cs="宋体"/>
          <w:color w:val="auto"/>
          <w:kern w:val="0"/>
          <w:szCs w:val="21"/>
          <w:highlight w:val="none"/>
        </w:rPr>
        <w:t>组成一个联合体以一个投标人的身份共同投标时，应符合招标项目资格及其他相关要求；</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9.2投标人的投标文件及中标后签署的合同协议书对联合体每一成员均具</w:t>
      </w:r>
      <w:r>
        <w:rPr>
          <w:rFonts w:hint="eastAsia" w:ascii="宋体" w:hAnsi="宋体" w:eastAsia="宋体" w:cs="宋体"/>
          <w:color w:val="auto"/>
          <w:kern w:val="0"/>
          <w:szCs w:val="21"/>
          <w:highlight w:val="none"/>
          <w:lang w:val="en-US" w:eastAsia="zh-CN"/>
        </w:rPr>
        <w:t>有</w:t>
      </w:r>
      <w:r>
        <w:rPr>
          <w:rFonts w:hint="eastAsia" w:ascii="宋体" w:hAnsi="宋体" w:eastAsia="宋体" w:cs="宋体"/>
          <w:color w:val="auto"/>
          <w:kern w:val="0"/>
          <w:szCs w:val="21"/>
          <w:highlight w:val="none"/>
        </w:rPr>
        <w:t>法律约束力；</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9.3联合体的各成员应当签订共同投标协议，明确约定各方拟承担的工作和责任，并将该共同投标协议随投标文件一并递交给招标人；</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9.4联合体中标后，联合体各方应当共同与招标人签订合同，为履行合同向招标人承担连带责任；</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9.5由联合体的各成员提交一份授权书，证明联合体代表资格，该授权书作为投标文件的组成部分一并提交给招标人；</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9.6联合体代表应被授权作为联合体所有成员的代表承担责任和接受指令，并负责整个合同的全面履行；</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9.7参加联合体的各成员不得再以自己的名义单独投标，也不得同时参加两个或两个以上的联合体投标。出现上述情况者，其投标和与其有关的联合体的投标均做无效标处理；</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9.8除非另有规定或说明，本须知(本款)中“投标人”一词亦指联合体各成员。</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10．投标文件的语言及计量单位</w:t>
      </w:r>
    </w:p>
    <w:p>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highlight w:val="none"/>
        </w:rPr>
        <w:t>10.1投标人与招标人之间</w:t>
      </w:r>
      <w:r>
        <w:rPr>
          <w:rFonts w:hint="eastAsia" w:ascii="宋体" w:hAnsi="宋体" w:eastAsia="宋体" w:cs="宋体"/>
          <w:color w:val="auto"/>
          <w:kern w:val="0"/>
          <w:szCs w:val="21"/>
          <w:highlight w:val="none"/>
        </w:rPr>
        <w:t>与投标</w:t>
      </w:r>
      <w:r>
        <w:rPr>
          <w:rFonts w:hint="eastAsia" w:ascii="宋体" w:hAnsi="宋体" w:eastAsia="宋体" w:cs="宋体"/>
          <w:color w:val="auto"/>
          <w:kern w:val="0"/>
          <w:highlight w:val="none"/>
        </w:rPr>
        <w:t>有关的所有往来</w:t>
      </w:r>
      <w:r>
        <w:rPr>
          <w:rFonts w:hint="eastAsia" w:ascii="宋体" w:hAnsi="宋体" w:eastAsia="宋体" w:cs="宋体"/>
          <w:color w:val="auto"/>
          <w:kern w:val="0"/>
          <w:szCs w:val="21"/>
          <w:highlight w:val="none"/>
        </w:rPr>
        <w:t>文件和投标文件均应使用中文。投标人随投标文件提供的证明文件和资料可以为其它语言，但</w:t>
      </w:r>
      <w:r>
        <w:rPr>
          <w:rFonts w:hint="eastAsia" w:ascii="宋体" w:hAnsi="宋体" w:eastAsia="宋体" w:cs="宋体"/>
          <w:color w:val="auto"/>
          <w:kern w:val="0"/>
          <w:highlight w:val="none"/>
        </w:rPr>
        <w:t>必须</w:t>
      </w:r>
      <w:r>
        <w:rPr>
          <w:rFonts w:hint="eastAsia" w:ascii="宋体" w:hAnsi="宋体" w:eastAsia="宋体" w:cs="宋体"/>
          <w:color w:val="auto"/>
          <w:kern w:val="0"/>
          <w:szCs w:val="21"/>
          <w:highlight w:val="none"/>
        </w:rPr>
        <w:t>附中文译文，并且，为了解释投标文件，应以中文为准</w:t>
      </w:r>
      <w:r>
        <w:rPr>
          <w:rFonts w:hint="eastAsia" w:ascii="宋体" w:hAnsi="宋体" w:eastAsia="宋体" w:cs="宋体"/>
          <w:color w:val="auto"/>
          <w:kern w:val="0"/>
          <w:highlight w:val="none"/>
        </w:rPr>
        <w:t>。</w:t>
      </w:r>
    </w:p>
    <w:p>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highlight w:val="none"/>
        </w:rPr>
        <w:t>10.2除</w:t>
      </w:r>
      <w:r>
        <w:rPr>
          <w:rFonts w:hint="eastAsia" w:ascii="宋体" w:hAnsi="宋体" w:eastAsia="宋体" w:cs="宋体"/>
          <w:color w:val="auto"/>
          <w:kern w:val="0"/>
          <w:szCs w:val="21"/>
          <w:highlight w:val="none"/>
        </w:rPr>
        <w:t>工程建设标准及技术要求</w:t>
      </w:r>
      <w:r>
        <w:rPr>
          <w:rFonts w:hint="eastAsia" w:ascii="宋体" w:hAnsi="宋体" w:eastAsia="宋体" w:cs="宋体"/>
          <w:color w:val="auto"/>
          <w:kern w:val="0"/>
          <w:highlight w:val="none"/>
        </w:rPr>
        <w:t>另有规定外，</w:t>
      </w:r>
      <w:r>
        <w:rPr>
          <w:rFonts w:hint="eastAsia" w:ascii="宋体" w:hAnsi="宋体" w:eastAsia="宋体" w:cs="宋体"/>
          <w:color w:val="auto"/>
          <w:kern w:val="0"/>
          <w:szCs w:val="21"/>
          <w:highlight w:val="none"/>
        </w:rPr>
        <w:t>投标文件</w:t>
      </w:r>
      <w:r>
        <w:rPr>
          <w:rFonts w:hint="eastAsia" w:ascii="宋体" w:hAnsi="宋体" w:eastAsia="宋体" w:cs="宋体"/>
          <w:color w:val="auto"/>
          <w:kern w:val="0"/>
          <w:highlight w:val="none"/>
        </w:rPr>
        <w:t>使用</w:t>
      </w:r>
      <w:r>
        <w:rPr>
          <w:rFonts w:hint="eastAsia" w:ascii="宋体" w:hAnsi="宋体" w:eastAsia="宋体" w:cs="宋体"/>
          <w:color w:val="auto"/>
          <w:kern w:val="0"/>
          <w:szCs w:val="21"/>
          <w:highlight w:val="none"/>
        </w:rPr>
        <w:t>的度量单位，均采用</w:t>
      </w:r>
      <w:r>
        <w:rPr>
          <w:rFonts w:hint="eastAsia" w:ascii="宋体" w:hAnsi="宋体" w:eastAsia="宋体" w:cs="宋体"/>
          <w:color w:val="auto"/>
          <w:kern w:val="0"/>
          <w:highlight w:val="none"/>
        </w:rPr>
        <w:t>中华人民共和国法定计量单位。</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11．投标文件的构成</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11.1投标文件由□资格审查文件、技术标（含资信标）、商务标、业绩文件组成。</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11.2资信标书，包含但不限于以下内容：</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(1)资信标书封面；</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(2)法定代表人资格证明书原件扫描件；</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(3)投标函:</w:t>
      </w:r>
    </w:p>
    <w:p>
      <w:pPr>
        <w:topLinePunct/>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1）投标函；</w:t>
      </w:r>
    </w:p>
    <w:p>
      <w:pPr>
        <w:topLinePunct/>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2）投标保函或招标人出具的投标担保收讫的凭证原件扫描件；</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(4)资信条款响应表；</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(5)合同要求响应表；</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(6)联合体投标协议书原件扫描件；</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(7)招标人要求提交的投标资格证明文件；</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投标人基本情况表；</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经年检的营业执照副本扫描件；</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制造商的资格声明原件扫描件；</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经销商（作为代理）的资格声明；</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制造商出具的授权函原件扫描件；</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主要技术人员情况表；</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□(8)招标文件要求提交的其它资料：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11.3技术标书，包含但不限于以下内容：</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(1)技术标书封面</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(2)技术性能响应表</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(3)货物说明一览表</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(4)技术方案</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(5)售后服务和培训方案</w:t>
      </w:r>
    </w:p>
    <w:p>
      <w:pPr>
        <w:tabs>
          <w:tab w:val="left" w:pos="993"/>
        </w:tabs>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□(6)招标文件要求提交的其它资料：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11.4商务标书，包含但不限于以下内容：</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(1)商务标书封面</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(2)投标报价一览表</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(3)投标分项报价表</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(4)货物说明一览表</w:t>
      </w:r>
    </w:p>
    <w:p>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(5)合同条款响应表</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□(6)招标文件要求提交的其它资料：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11.5业绩文件，包含但不限于以下内容：</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(1)业绩一览表</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□(2)招标公告业绩要求证明材料</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□(3)招标文件业绩要求证明材料</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11.6资格审查文件，包含但不限于以下内容：</w:t>
      </w:r>
    </w:p>
    <w:p>
      <w:pPr>
        <w:topLinePunct/>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12．投标文件的格式和签署</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12.1投标人提交的投标文件应按本招标文件“投标文件格式”</w:t>
      </w:r>
      <w:r>
        <w:rPr>
          <w:rFonts w:hint="eastAsia" w:ascii="宋体" w:hAnsi="宋体" w:eastAsia="宋体" w:cs="宋体"/>
          <w:color w:val="auto"/>
          <w:szCs w:val="21"/>
          <w:highlight w:val="none"/>
        </w:rPr>
        <w:t>章节</w:t>
      </w:r>
      <w:r>
        <w:rPr>
          <w:rFonts w:hint="eastAsia" w:ascii="宋体" w:hAnsi="宋体" w:eastAsia="宋体" w:cs="宋体"/>
          <w:color w:val="auto"/>
          <w:highlight w:val="none"/>
        </w:rPr>
        <w:t>的顺序编排。本招标文件提供的投标文件格式可以按同样格式扩展。</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12.2投标文件须按投标文件格式要求加签有效的投标人机构数字证书或电子营业执照、法定代表人个人数字证书。</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13．投标报价</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1投标报价是投标人的投标文件中提出的各项支付费用的金额总和。包括货物的价格，以及为提供货物而产生的运费、保险费、安装调试费、培训费、后续服务等等的费用。投标人的投标报价应保证在投标有效期内有效，在合同执行期内是固定不变。</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.2投标人的投标报价应是</w:t>
      </w:r>
      <w:r>
        <w:rPr>
          <w:rFonts w:hint="eastAsia" w:ascii="宋体" w:hAnsi="宋体" w:eastAsia="宋体" w:cs="宋体"/>
          <w:color w:val="auto"/>
          <w:szCs w:val="21"/>
          <w:highlight w:val="none"/>
        </w:rPr>
        <w:t>本招标文件</w:t>
      </w:r>
      <w:r>
        <w:rPr>
          <w:rFonts w:hint="eastAsia" w:ascii="宋体" w:hAnsi="宋体" w:eastAsia="宋体" w:cs="宋体"/>
          <w:color w:val="auto"/>
          <w:highlight w:val="none"/>
        </w:rPr>
        <w:t>“货物需求书”</w:t>
      </w:r>
      <w:r>
        <w:rPr>
          <w:rFonts w:hint="eastAsia" w:ascii="宋体" w:hAnsi="宋体" w:eastAsia="宋体" w:cs="宋体"/>
          <w:color w:val="auto"/>
          <w:szCs w:val="21"/>
          <w:highlight w:val="none"/>
        </w:rPr>
        <w:t>章节中</w:t>
      </w:r>
      <w:r>
        <w:rPr>
          <w:rFonts w:hint="eastAsia" w:ascii="宋体" w:hAnsi="宋体" w:eastAsia="宋体" w:cs="宋体"/>
          <w:color w:val="auto"/>
          <w:highlight w:val="none"/>
        </w:rPr>
        <w:t>第一节“货物需求及数量一览表”（以下简称：“货物需求及数量一览表”）和通用合同、专用合同上所列的各项内容的全部。</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.3投标人应按“货物需求及数量一览表”中列出的货物填报单价和合价。每一个货物只允许有一个报价，任何有选择的报价将不予接受。</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.3.1投标报价中未填单价或合价的部分，将被视为该费用已包括在其他有价款的单价或合价内，招标人将不另行支付。</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.3.2投标人若是提供了可变动价格或包含价格调整要求投标，其投标将会被拒绝。</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.3.3投标人若是提供了两个（含两个）以上报价，且未明确哪个是有效报价，其投标将会被拒绝（除允许提供备选方案的）。</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.4招标人不接受任何免费赠送的货物或服务。如有，将按缺漏项处理。</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.5投标报价的招标控制价见“投标须知前附表”。</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.6最低投标报价不得低于成本。</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14．投标有效期</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14.1</w:t>
      </w:r>
      <w:r>
        <w:rPr>
          <w:rFonts w:hint="eastAsia" w:ascii="宋体" w:hAnsi="宋体" w:eastAsia="宋体" w:cs="宋体"/>
          <w:color w:val="auto"/>
          <w:kern w:val="0"/>
          <w:szCs w:val="21"/>
          <w:highlight w:val="none"/>
        </w:rPr>
        <w:t>投标有效期按法律法规规定期限内，所有投标文件均保持有效。</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14</w:t>
      </w:r>
      <w:r>
        <w:rPr>
          <w:rFonts w:hint="eastAsia" w:ascii="宋体" w:hAnsi="宋体" w:eastAsia="宋体" w:cs="宋体"/>
          <w:color w:val="auto"/>
          <w:highlight w:val="none"/>
        </w:rPr>
        <w:t>.2</w:t>
      </w:r>
      <w:r>
        <w:rPr>
          <w:rFonts w:hint="eastAsia" w:ascii="宋体" w:hAnsi="宋体" w:eastAsia="宋体" w:cs="宋体"/>
          <w:color w:val="auto"/>
          <w:szCs w:val="21"/>
          <w:highlight w:val="none"/>
        </w:rPr>
        <w:t>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的退还与没收的规定仍然适用。</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15．投标担保</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1投标人应在递交投标文件的同时提交一笔不少于法律法规规定数额的投标保证金（不得超过招标项目估算价的2%，最高不得超过50万元）、等同投标保证金的投标保函或保证保险，作为其投标的一部分。投标担保是为了避免招标人因投标人的行为而蒙受损失，招标人可根据本须知规定的条件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.2投标人应按前附表要求提交投标担保</w:t>
      </w:r>
      <w:r>
        <w:rPr>
          <w:rFonts w:hint="eastAsia" w:ascii="宋体" w:hAnsi="宋体" w:eastAsia="宋体" w:cs="宋体"/>
          <w:color w:val="auto"/>
          <w:szCs w:val="21"/>
          <w:highlight w:val="none"/>
          <w:lang w:eastAsia="zh-CN"/>
        </w:rPr>
        <w:t>。</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.3投标保函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w:t>
      </w: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对于未能按要求提交投标担保的，投标文件将按有关条款不予受理。</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出现下列情形之一时，招标人应当在7天内退还投标人的投标担保：</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.1中标通知书发出，中标人签订了工程承包合同；</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.2招标过程中招标活动因正当理由被招标人宣布终止；</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.3招标失败需重新组织招标；</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.4投标有效期满而投标人不同意作出延长。</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7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.1投标人有弄虚作假或串通投标等违法违规行为；</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.2投标人在投标有效期内撤回其投标文件；</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.3中标人无正当理由不与招标人订立合同，在签订合同时向招标人提出附加条件，或者不按照招标文件要求提交履约保证金的；</w:t>
      </w:r>
    </w:p>
    <w:p>
      <w:pPr>
        <w:adjustRightInd w:val="0"/>
        <w:snapToGrid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.4投标人资质证书或安全生产许可证被暂扣或吊销，但仍参与投标的。</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16.投标文件的编制</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16.1投标人应认真阅读招标文件的全部内容（包括招标文件的补充、修改及澄清文件），并严格履行招标文件的各项规定、要求。如果投标人不能履行招标文件的规定和要求，或者随投标文件提供的证明材料不能对招标文件的要求作出实质性响应，可能导致其投标被拒绝。</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16.2投标人应按照招标文件的要求编制投标文件。投标文件中所引用的顺序和编号应与招标文件一致，但可以增加说明或描述性文字。投标文件对招标文件未提出异议的条款，均被视为接受和同意。</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16.3投标人应按招标文件要求提供资料，投标文件均使用中文文本；对不同文字文本的资料解释发生异议的，以中文文本为准。</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16.4除商务标以外，在其他标书内不得包含任何有关投标价格信息的（适用于二阶段开标的）。否则，其投标将会被拒绝。</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17．投标文件的提交和截标时投标文件的数量要求</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17.1投标截止时间和地点。投标人应根据“投标须知前附表”的规定，在投标截止时间前将投标文件送达指定地点。</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17.2截标时递交标书的投标人数量不足3名的，招标人将按法律法规的规定暂停开标和评标程序。如导致招标失败，招标人将不负担因此给投标人造成的损失。</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17.3联合体投标的工程，联合体主体单位应在投标时录入已进行企业信息登记的联合体其他成员单位。</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18．投标文件的修改或撤回</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18.1投标人已提交投标文件，规定的投标截止时间还未到，投标人可对其投标文件修改或撤回。</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18.2投标截止时间之后至投标文件有效期终止之前，投标人不得要求撤回其投标。在此期间撤回投标的，其投标担保将会被没收。</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18.3评标结束后，不论中标与否，投标人均不得收回投标文件。</w:t>
      </w:r>
    </w:p>
    <w:p>
      <w:pPr>
        <w:spacing w:line="360" w:lineRule="auto"/>
        <w:jc w:val="center"/>
        <w:outlineLvl w:val="2"/>
        <w:rPr>
          <w:rFonts w:ascii="黑体" w:eastAsia="黑体"/>
          <w:bCs/>
          <w:color w:val="auto"/>
          <w:sz w:val="30"/>
          <w:highlight w:val="none"/>
        </w:rPr>
      </w:pPr>
      <w:bookmarkStart w:id="22" w:name="_Toc45702694"/>
      <w:bookmarkStart w:id="23" w:name="_Toc32508"/>
      <w:r>
        <w:rPr>
          <w:rFonts w:hint="eastAsia" w:ascii="黑体" w:eastAsia="黑体"/>
          <w:bCs/>
          <w:color w:val="auto"/>
          <w:sz w:val="30"/>
          <w:highlight w:val="none"/>
        </w:rPr>
        <w:t>（三）资格后审</w:t>
      </w:r>
      <w:bookmarkEnd w:id="22"/>
      <w:bookmarkEnd w:id="23"/>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19.资格后审：</w:t>
      </w:r>
    </w:p>
    <w:p>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19</w:t>
      </w:r>
      <w:r>
        <w:rPr>
          <w:rFonts w:hint="eastAsia" w:ascii="宋体" w:hAnsi="宋体" w:eastAsia="宋体" w:cs="宋体"/>
          <w:color w:val="auto"/>
          <w:highlight w:val="none"/>
        </w:rPr>
        <w:t>.1</w:t>
      </w:r>
      <w:r>
        <w:rPr>
          <w:rFonts w:hint="eastAsia" w:ascii="宋体" w:hAnsi="宋体" w:eastAsia="宋体" w:cs="宋体"/>
          <w:color w:val="auto"/>
          <w:kern w:val="0"/>
          <w:highlight w:val="none"/>
        </w:rPr>
        <w:t>资格审查由招标人组成的资格后审委员会负责，在截标后</w:t>
      </w:r>
      <w:r>
        <w:rPr>
          <w:rFonts w:hint="eastAsia" w:ascii="宋体" w:hAnsi="宋体" w:eastAsia="宋体" w:cs="宋体"/>
          <w:color w:val="auto"/>
          <w:kern w:val="0"/>
          <w:szCs w:val="21"/>
          <w:highlight w:val="none"/>
        </w:rPr>
        <w:t>招标人</w:t>
      </w:r>
      <w:bookmarkStart w:id="84" w:name="_GoBack"/>
      <w:bookmarkEnd w:id="84"/>
      <w:r>
        <w:rPr>
          <w:rFonts w:hint="eastAsia" w:ascii="宋体" w:hAnsi="宋体" w:eastAsia="宋体" w:cs="宋体"/>
          <w:color w:val="auto"/>
          <w:kern w:val="0"/>
          <w:szCs w:val="21"/>
          <w:highlight w:val="none"/>
          <w:lang w:eastAsia="zh-CN"/>
        </w:rPr>
        <w:t>登录</w:t>
      </w:r>
      <w:r>
        <w:rPr>
          <w:rFonts w:hint="eastAsia" w:ascii="宋体" w:hAnsi="宋体" w:eastAsia="宋体" w:cs="宋体"/>
          <w:color w:val="auto"/>
          <w:kern w:val="0"/>
          <w:szCs w:val="21"/>
          <w:highlight w:val="none"/>
        </w:rPr>
        <w:t>交易网</w:t>
      </w:r>
      <w:r>
        <w:rPr>
          <w:rFonts w:hint="eastAsia" w:ascii="宋体" w:hAnsi="宋体" w:eastAsia="宋体" w:cs="宋体"/>
          <w:color w:val="auto"/>
          <w:kern w:val="0"/>
          <w:highlight w:val="none"/>
        </w:rPr>
        <w:t>对各投标人资格进行审查。</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19.2资格后审委员会由3名以上单数的招标人代表组成，招标代理人员参与资格审查的，其人员不得超过总人数的1/3。</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19.3资格后审委员严格对照招标公告中要求的投标人资格条件，逐个审查投标人递交的资格审查文件，审核判断投标人是否满足该资格条件。</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19.4审查过程中如出现疑问，资格后审委员可要求投标人进行澄清说明，并根据招标公告设置的条件要求进行判断；如出现投标人资格不符合招标公告设置条件的，应当向投标人说明情况，并允许投标人答辩，记录有关情况。</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19.5拟进行资格后审澄清、答辩的代表由招标人核对身份。</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19.6资格后审委员会要求投标人进行澄清、答辩，但投标人在招标人规定时间内未派出人员及时作出澄清、答辩的，资格后审委员会将可能作出不利于投标人的判定。</w:t>
      </w:r>
    </w:p>
    <w:p>
      <w:pPr>
        <w:topLinePunct/>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19.7</w:t>
      </w:r>
      <w:r>
        <w:rPr>
          <w:rFonts w:hint="eastAsia" w:ascii="宋体" w:hAnsi="宋体" w:eastAsia="宋体" w:cs="宋体"/>
          <w:color w:val="auto"/>
          <w:szCs w:val="21"/>
          <w:highlight w:val="none"/>
        </w:rPr>
        <w:t>全部投标人的资格审查材料审查完毕后，资格后审委员会出具资格审查报告，并按规定将审查结果进行公示，同时由系统直接将所有投标人的</w:t>
      </w:r>
      <w:r>
        <w:rPr>
          <w:rFonts w:hint="eastAsia" w:ascii="仿宋_GB2312" w:hAnsi="仿宋_GB2312" w:eastAsia="仿宋_GB2312" w:cs="仿宋_GB2312"/>
          <w:color w:val="auto"/>
          <w:sz w:val="21"/>
          <w:szCs w:val="21"/>
          <w:highlight w:val="none"/>
          <w:lang w:val="en-US" w:eastAsia="zh-CN"/>
        </w:rPr>
        <w:t>业绩文件</w:t>
      </w:r>
      <w:r>
        <w:rPr>
          <w:rFonts w:hint="eastAsia" w:ascii="宋体" w:hAnsi="宋体" w:eastAsia="宋体" w:cs="宋体"/>
          <w:color w:val="auto"/>
          <w:szCs w:val="21"/>
          <w:highlight w:val="none"/>
        </w:rPr>
        <w:t>内容公示。资格审查合格投标人少于3家的，不再进行后续招标投标程序。资格审查结果应当在交易网公示不少于3个工作日。</w:t>
      </w:r>
    </w:p>
    <w:p>
      <w:pPr>
        <w:spacing w:line="360" w:lineRule="auto"/>
        <w:jc w:val="center"/>
        <w:outlineLvl w:val="2"/>
        <w:rPr>
          <w:rFonts w:ascii="黑体" w:eastAsia="黑体"/>
          <w:bCs/>
          <w:color w:val="auto"/>
          <w:sz w:val="30"/>
          <w:highlight w:val="none"/>
        </w:rPr>
      </w:pPr>
      <w:bookmarkStart w:id="24" w:name="_Toc45702695"/>
      <w:bookmarkStart w:id="25" w:name="_Toc2087"/>
      <w:r>
        <w:rPr>
          <w:rFonts w:hint="eastAsia" w:ascii="黑体" w:eastAsia="黑体"/>
          <w:bCs/>
          <w:color w:val="auto"/>
          <w:sz w:val="30"/>
          <w:highlight w:val="none"/>
        </w:rPr>
        <w:t>（四）开标</w:t>
      </w:r>
      <w:bookmarkEnd w:id="24"/>
      <w:bookmarkEnd w:id="25"/>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20．开标</w:t>
      </w:r>
    </w:p>
    <w:p>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20.1</w:t>
      </w:r>
      <w:r>
        <w:rPr>
          <w:rFonts w:hint="eastAsia" w:ascii="宋体" w:hAnsi="宋体" w:eastAsia="宋体" w:cs="宋体"/>
          <w:color w:val="auto"/>
          <w:kern w:val="0"/>
          <w:highlight w:val="none"/>
        </w:rPr>
        <w:t>开标会议</w:t>
      </w:r>
      <w:r>
        <w:rPr>
          <w:rFonts w:hint="eastAsia" w:ascii="宋体" w:hAnsi="宋体" w:eastAsia="宋体" w:cs="宋体"/>
          <w:color w:val="auto"/>
          <w:kern w:val="0"/>
          <w:szCs w:val="21"/>
          <w:highlight w:val="none"/>
        </w:rPr>
        <w:t>由招标人在交易网进行，</w:t>
      </w:r>
      <w:r>
        <w:rPr>
          <w:rFonts w:hint="eastAsia" w:ascii="宋体" w:hAnsi="宋体" w:eastAsia="宋体" w:cs="宋体"/>
          <w:color w:val="auto"/>
          <w:kern w:val="0"/>
          <w:highlight w:val="none"/>
        </w:rPr>
        <w:t>投标人</w:t>
      </w:r>
      <w:r>
        <w:rPr>
          <w:rFonts w:hint="eastAsia" w:ascii="宋体" w:hAnsi="宋体" w:eastAsia="宋体" w:cs="宋体"/>
          <w:color w:val="auto"/>
          <w:kern w:val="0"/>
          <w:szCs w:val="21"/>
          <w:highlight w:val="none"/>
        </w:rPr>
        <w:t>现场参加开标会的</w:t>
      </w:r>
      <w:r>
        <w:rPr>
          <w:rFonts w:hint="eastAsia" w:ascii="宋体" w:hAnsi="宋体" w:eastAsia="宋体" w:cs="宋体"/>
          <w:color w:val="auto"/>
          <w:kern w:val="0"/>
          <w:highlight w:val="none"/>
        </w:rPr>
        <w:t>必须是法定代表人或投标员</w:t>
      </w:r>
      <w:r>
        <w:rPr>
          <w:rFonts w:hint="eastAsia" w:ascii="宋体" w:hAnsi="宋体" w:eastAsia="宋体" w:cs="宋体"/>
          <w:color w:val="auto"/>
          <w:kern w:val="0"/>
          <w:szCs w:val="21"/>
          <w:highlight w:val="none"/>
        </w:rPr>
        <w:t>，并必须遵守办理程序及人员</w:t>
      </w:r>
      <w:r>
        <w:rPr>
          <w:rFonts w:hint="eastAsia" w:ascii="宋体" w:hAnsi="宋体" w:eastAsia="宋体" w:cs="宋体"/>
          <w:color w:val="auto"/>
          <w:kern w:val="0"/>
          <w:highlight w:val="none"/>
        </w:rPr>
        <w:t>身份</w:t>
      </w:r>
      <w:r>
        <w:rPr>
          <w:rFonts w:hint="eastAsia" w:ascii="宋体" w:hAnsi="宋体" w:eastAsia="宋体" w:cs="宋体"/>
          <w:color w:val="auto"/>
          <w:kern w:val="0"/>
          <w:szCs w:val="21"/>
          <w:highlight w:val="none"/>
        </w:rPr>
        <w:t>的相关规定</w:t>
      </w:r>
      <w:r>
        <w:rPr>
          <w:rFonts w:hint="eastAsia" w:ascii="宋体" w:hAnsi="宋体" w:eastAsia="宋体" w:cs="宋体"/>
          <w:color w:val="auto"/>
          <w:kern w:val="0"/>
          <w:highlight w:val="none"/>
        </w:rPr>
        <w:t>。</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20.2资格后审不合格的投标人的投标文件将不再进入下一步开标程序。</w:t>
      </w:r>
    </w:p>
    <w:p>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20.3开标</w:t>
      </w:r>
      <w:r>
        <w:rPr>
          <w:rFonts w:hint="eastAsia" w:ascii="宋体" w:hAnsi="宋体" w:eastAsia="宋体" w:cs="宋体"/>
          <w:color w:val="auto"/>
          <w:kern w:val="0"/>
          <w:highlight w:val="none"/>
        </w:rPr>
        <w:t>时</w:t>
      </w:r>
      <w:r>
        <w:rPr>
          <w:rFonts w:hint="eastAsia" w:ascii="宋体" w:hAnsi="宋体" w:eastAsia="宋体" w:cs="宋体"/>
          <w:color w:val="auto"/>
          <w:kern w:val="0"/>
          <w:szCs w:val="21"/>
          <w:highlight w:val="none"/>
        </w:rPr>
        <w:t>，招标人需按开标程序分步对电子投标文件各部分进行</w:t>
      </w:r>
      <w:r>
        <w:rPr>
          <w:rFonts w:hint="eastAsia" w:ascii="宋体" w:hAnsi="宋体" w:eastAsia="宋体" w:cs="宋体"/>
          <w:color w:val="auto"/>
          <w:kern w:val="0"/>
          <w:highlight w:val="none"/>
        </w:rPr>
        <w:t>导入</w:t>
      </w:r>
      <w:r>
        <w:rPr>
          <w:rFonts w:hint="eastAsia" w:ascii="宋体" w:hAnsi="宋体" w:eastAsia="宋体" w:cs="宋体"/>
          <w:color w:val="auto"/>
          <w:kern w:val="0"/>
          <w:szCs w:val="21"/>
          <w:highlight w:val="none"/>
        </w:rPr>
        <w:t>；</w:t>
      </w:r>
      <w:r>
        <w:rPr>
          <w:rFonts w:hint="eastAsia" w:ascii="宋体" w:hAnsi="宋体" w:eastAsia="宋体" w:cs="宋体"/>
          <w:color w:val="auto"/>
          <w:kern w:val="0"/>
          <w:highlight w:val="none"/>
        </w:rPr>
        <w:t>如电子投标文件已加密的，</w:t>
      </w:r>
      <w:r>
        <w:rPr>
          <w:rFonts w:hint="eastAsia" w:ascii="宋体" w:hAnsi="宋体" w:eastAsia="宋体" w:cs="宋体"/>
          <w:color w:val="auto"/>
          <w:kern w:val="0"/>
          <w:szCs w:val="21"/>
          <w:highlight w:val="none"/>
        </w:rPr>
        <w:t>也必须按开标程序分步对电子投标文件各部分</w:t>
      </w:r>
      <w:r>
        <w:rPr>
          <w:rFonts w:hint="eastAsia" w:ascii="宋体" w:hAnsi="宋体" w:eastAsia="宋体" w:cs="宋体"/>
          <w:color w:val="auto"/>
          <w:kern w:val="0"/>
          <w:highlight w:val="none"/>
        </w:rPr>
        <w:t>进行解密。</w:t>
      </w:r>
    </w:p>
    <w:p>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20.4按招标文件</w:t>
      </w:r>
      <w:r>
        <w:rPr>
          <w:rFonts w:hint="eastAsia" w:ascii="宋体" w:hAnsi="宋体" w:eastAsia="宋体" w:cs="宋体"/>
          <w:color w:val="auto"/>
          <w:kern w:val="0"/>
          <w:highlight w:val="none"/>
        </w:rPr>
        <w:t>规定宣布为不予受理情形的投标文件，不予送交评标委员会评审。</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20.5</w:t>
      </w:r>
      <w:r>
        <w:rPr>
          <w:rFonts w:hint="eastAsia" w:ascii="宋体" w:hAnsi="宋体" w:eastAsia="宋体" w:cs="宋体"/>
          <w:color w:val="auto"/>
          <w:kern w:val="0"/>
          <w:highlight w:val="none"/>
        </w:rPr>
        <w:t>招标人</w:t>
      </w:r>
      <w:r>
        <w:rPr>
          <w:rFonts w:hint="eastAsia" w:ascii="宋体" w:hAnsi="宋体" w:eastAsia="宋体" w:cs="宋体"/>
          <w:color w:val="auto"/>
          <w:kern w:val="0"/>
          <w:szCs w:val="21"/>
          <w:highlight w:val="none"/>
        </w:rPr>
        <w:t>应对开标过程进行记录，以存档备查。</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20.6对于开标</w:t>
      </w:r>
      <w:r>
        <w:rPr>
          <w:rFonts w:hint="eastAsia" w:ascii="宋体" w:hAnsi="宋体" w:eastAsia="宋体" w:cs="宋体"/>
          <w:color w:val="auto"/>
          <w:kern w:val="0"/>
          <w:highlight w:val="none"/>
        </w:rPr>
        <w:t>后</w:t>
      </w:r>
      <w:r>
        <w:rPr>
          <w:rFonts w:hint="eastAsia" w:ascii="宋体" w:hAnsi="宋体" w:eastAsia="宋体" w:cs="宋体"/>
          <w:color w:val="auto"/>
          <w:kern w:val="0"/>
          <w:szCs w:val="21"/>
          <w:highlight w:val="none"/>
        </w:rPr>
        <w:t>合格的</w:t>
      </w:r>
      <w:r>
        <w:rPr>
          <w:rFonts w:hint="eastAsia" w:ascii="宋体" w:hAnsi="宋体" w:eastAsia="宋体" w:cs="宋体"/>
          <w:color w:val="auto"/>
          <w:kern w:val="0"/>
          <w:highlight w:val="none"/>
        </w:rPr>
        <w:t>投标人</w:t>
      </w:r>
      <w:r>
        <w:rPr>
          <w:rFonts w:hint="eastAsia" w:ascii="宋体" w:hAnsi="宋体" w:eastAsia="宋体" w:cs="宋体"/>
          <w:color w:val="auto"/>
          <w:kern w:val="0"/>
          <w:szCs w:val="21"/>
          <w:highlight w:val="none"/>
        </w:rPr>
        <w:t>数量超过20名的，招标人可以按规定将进入评标环节的投标人数量淘汰至15至20名</w:t>
      </w:r>
      <w:r>
        <w:rPr>
          <w:rFonts w:hint="eastAsia" w:ascii="宋体" w:hAnsi="宋体" w:eastAsia="宋体" w:cs="宋体"/>
          <w:color w:val="auto"/>
          <w:kern w:val="0"/>
          <w:highlight w:val="none"/>
        </w:rPr>
        <w:t>。</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pPr>
        <w:adjustRightInd w:val="0"/>
        <w:snapToGrid w:val="0"/>
        <w:spacing w:line="360" w:lineRule="auto"/>
        <w:ind w:firstLine="420" w:firstLineChars="200"/>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20.7招标人在过多投标人淘汰环节应当采用票决法进行择优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w:t>
      </w:r>
      <w:r>
        <w:rPr>
          <w:rFonts w:hint="eastAsia" w:ascii="宋体" w:hAnsi="宋体" w:eastAsia="宋体" w:cs="宋体"/>
          <w:color w:val="auto"/>
          <w:szCs w:val="21"/>
          <w:highlight w:val="none"/>
          <w:lang w:val="en-US" w:eastAsia="zh-CN"/>
        </w:rPr>
        <w:t>负责人</w:t>
      </w:r>
      <w:r>
        <w:rPr>
          <w:rFonts w:hint="eastAsia" w:ascii="宋体" w:hAnsi="宋体" w:eastAsia="宋体" w:cs="宋体"/>
          <w:color w:val="auto"/>
          <w:szCs w:val="21"/>
          <w:highlight w:val="none"/>
        </w:rPr>
        <w:t>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strike w:val="0"/>
          <w:color w:val="auto"/>
          <w:kern w:val="0"/>
          <w:szCs w:val="21"/>
          <w:highlight w:val="none"/>
        </w:rPr>
        <w:t>招标人可以根据项目实际情况增加择优因素，也可以综合考虑择优因素或按择优因素的重要性，对投标人进行逐级淘汰。</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20.8招标人应对开标过程进行记录，以存档备查。开标及入围结果应当在交易网进行公示。</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20.9招标人在</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现场组织的开标会应遵循《会议管理规定》及《开标会程序》的相关规定。</w:t>
      </w:r>
    </w:p>
    <w:p>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21．投标文件</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不予受理的情形（详见投标文件否决性条款第一条）。</w:t>
      </w:r>
    </w:p>
    <w:p>
      <w:pPr>
        <w:spacing w:line="360" w:lineRule="auto"/>
        <w:jc w:val="center"/>
        <w:outlineLvl w:val="2"/>
        <w:rPr>
          <w:rFonts w:ascii="黑体" w:eastAsia="黑体"/>
          <w:bCs/>
          <w:color w:val="auto"/>
          <w:sz w:val="30"/>
          <w:highlight w:val="none"/>
        </w:rPr>
      </w:pPr>
      <w:bookmarkStart w:id="26" w:name="_Toc45702696"/>
      <w:bookmarkStart w:id="27" w:name="_Toc27635"/>
      <w:r>
        <w:rPr>
          <w:rFonts w:hint="eastAsia" w:ascii="黑体" w:eastAsia="黑体"/>
          <w:bCs/>
          <w:color w:val="auto"/>
          <w:sz w:val="30"/>
          <w:highlight w:val="none"/>
        </w:rPr>
        <w:t>（五）评标</w:t>
      </w:r>
      <w:bookmarkEnd w:id="26"/>
      <w:bookmarkEnd w:id="27"/>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评标委员会应当根据“投标须知前附表”规定的评标方法，对投标文件进行评审和比较，招标文件中没有规定的标准和方法不得作为评标的依据。</w:t>
      </w: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22. 评标委员会组建及职责</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22.1评标委员会组建方式：由招标人依法组建，负责评标活动。</w:t>
      </w:r>
      <w:r>
        <w:rPr>
          <w:rFonts w:hint="eastAsia" w:ascii="宋体" w:hAnsi="宋体" w:eastAsia="宋体" w:cs="宋体"/>
          <w:snapToGrid w:val="0"/>
          <w:color w:val="auto"/>
          <w:kern w:val="0"/>
          <w:szCs w:val="21"/>
          <w:highlight w:val="none"/>
        </w:rPr>
        <w:t>评标委员会的专家成员由招标人从评标专家库内按照专业随机抽取，评标委员会成员数量为5人以上单数，招标人可以委派一名代表。</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22.2</w:t>
      </w:r>
      <w:r>
        <w:rPr>
          <w:rFonts w:hint="eastAsia" w:ascii="宋体" w:hAnsi="宋体" w:eastAsia="宋体" w:cs="宋体"/>
          <w:color w:val="auto"/>
          <w:szCs w:val="21"/>
          <w:highlight w:val="none"/>
        </w:rPr>
        <w:t>评标委员会职责：评标委员会应根据招标文件规定的评标方法和标准，遵循公开、公正、公平、科学、择优的原则，对投标文件进行评审。评标委员会根据招标文件规定向招标人推荐合格投标人或中标候选人。</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rPr>
        <w:t>22.3</w:t>
      </w:r>
      <w:r>
        <w:rPr>
          <w:rFonts w:hint="eastAsia" w:ascii="宋体" w:hAnsi="宋体" w:eastAsia="宋体" w:cs="宋体"/>
          <w:color w:val="auto"/>
          <w:szCs w:val="21"/>
          <w:highlight w:val="none"/>
        </w:rPr>
        <w:t>评标委员会成员应认真、公正、诚实、廉洁、勤勉地履行专家职责，按时参加评标，严格遵守评标纪律，并对评标结果终身负责。</w:t>
      </w: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23. 投标文件的初步评审</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23.1计算机评标系统对投标文件进行自动清标分析，然后由评标委员会进行投标文件的初步评审。</w:t>
      </w:r>
    </w:p>
    <w:p>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23.2投标文件初步评审</w:t>
      </w:r>
      <w:r>
        <w:rPr>
          <w:rFonts w:hint="eastAsia" w:ascii="宋体" w:hAnsi="宋体" w:eastAsia="宋体" w:cs="宋体"/>
          <w:bCs/>
          <w:color w:val="auto"/>
          <w:kern w:val="0"/>
          <w:szCs w:val="21"/>
          <w:highlight w:val="none"/>
        </w:rPr>
        <w:t>不合格的</w:t>
      </w:r>
      <w:r>
        <w:rPr>
          <w:rFonts w:hint="eastAsia" w:ascii="宋体" w:hAnsi="宋体" w:eastAsia="宋体" w:cs="宋体"/>
          <w:color w:val="auto"/>
          <w:kern w:val="0"/>
          <w:szCs w:val="21"/>
          <w:highlight w:val="none"/>
        </w:rPr>
        <w:t>，应参照投标文件否决性条款作无效标处理。</w:t>
      </w: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24. 投标文件的详细评审</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评标委员会根据招标文件规定的评标方法和标准，对各投标人的投标文件分别进行详细评审。</w:t>
      </w:r>
    </w:p>
    <w:p>
      <w:pPr>
        <w:adjustRightInd w:val="0"/>
        <w:snapToGrid w:val="0"/>
        <w:spacing w:line="360" w:lineRule="auto"/>
        <w:ind w:firstLine="422" w:firstLineChars="200"/>
        <w:rPr>
          <w:rFonts w:ascii="宋体" w:hAnsi="宋体" w:eastAsia="宋体" w:cs="宋体"/>
          <w:color w:val="auto"/>
          <w:kern w:val="0"/>
          <w:szCs w:val="21"/>
          <w:highlight w:val="none"/>
        </w:rPr>
      </w:pPr>
      <w:r>
        <w:rPr>
          <w:rFonts w:hint="eastAsia" w:ascii="宋体" w:hAnsi="宋体" w:eastAsia="宋体" w:cs="宋体"/>
          <w:b/>
          <w:bCs/>
          <w:color w:val="auto"/>
          <w:kern w:val="0"/>
          <w:szCs w:val="21"/>
          <w:highlight w:val="none"/>
        </w:rPr>
        <w:t>25.投标文件的重大偏差</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投标文件存在的重大偏差情形的，评标委员会应根据相应的投标文件否决性条款作废标处理。</w:t>
      </w:r>
    </w:p>
    <w:p>
      <w:pPr>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26.投标文件的细微偏差</w:t>
      </w:r>
    </w:p>
    <w:p>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27. 投标文件的澄清答辩</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27.2采用评标区录音电话方式澄清答辩的答辩人，仅限该项目递交投标文件时确定的投标员，投标员的联系方式以截标信息为准。采用现场方式澄清答辩的答辩人应为该单位的授权委托人，授权委托人须本人携带有效的身份证明文件（包含身份证原件、法定代表人证明书、法人授权委托书等）。澄清答辩人员的身份由招标人核验。</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27.3评标委员会要求投标人进行答辩，但投标人在评标委员会规定的时间（不少于30分钟）内未派出代表及时作出答辩的，评标委员会将根据招标文件规定作出不利于投标人的判定，投标人不得因此提出任何异议。</w:t>
      </w: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28. 无效标和废标的处理</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28.1除法律、法规、规章、规范性文件规定以及本招标文件否决性条款单列的无效标或者废标情形外，评标委员会不得对投标文件作无效标或者废标处理。评标委员会对投标文件应坚持谨慎确定无效标和废标的原则。</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28.2评标委员会在作出任何一项无效标和废标决定前，都应当严格遵循以下程序：</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28.2.1向当事投标人作相应的澄清；</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28.2.2当事投标人应当在通知规定时间内，向评标委员会作出澄清和解释。未按时作出澄清和解释的，评标委员会可对相应投标文件按最不利情形认定;</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28.2.3在充分讨论的基础上集体表决；</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28.2.4若表决通过无效标或废标决定，应在评标报告中详细载明无效标或废标的理由、依据、答辩的情况和集体表决的情况（同意无效标或废标和不同意无效标或废标的评标委员会成员均应当注明）。</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28.2.5评标委员会在否决所有投标文件前，应当向招标人核实有关情况，听取招标人意见。</w:t>
      </w: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 xml:space="preserve">29 </w:t>
      </w:r>
      <w:r>
        <w:rPr>
          <w:rFonts w:hint="eastAsia" w:ascii="宋体" w:hAnsi="宋体" w:eastAsia="宋体" w:cs="宋体"/>
          <w:b/>
          <w:bCs/>
          <w:color w:val="auto"/>
          <w:kern w:val="0"/>
          <w:szCs w:val="21"/>
          <w:highlight w:val="none"/>
          <w:lang w:val="en-US" w:eastAsia="zh-CN"/>
        </w:rPr>
        <w:t>中标候选</w:t>
      </w:r>
      <w:r>
        <w:rPr>
          <w:rFonts w:hint="eastAsia" w:ascii="宋体" w:hAnsi="宋体" w:eastAsia="宋体" w:cs="宋体"/>
          <w:b/>
          <w:bCs/>
          <w:color w:val="auto"/>
          <w:kern w:val="0"/>
          <w:szCs w:val="21"/>
          <w:highlight w:val="none"/>
        </w:rPr>
        <w:t>人的推荐</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29.1评标委员会实行少数服从多数的原则，评标结果经评标委员会全体成员过半数通过有效。</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29.2</w:t>
      </w:r>
      <w:r>
        <w:rPr>
          <w:rFonts w:hint="eastAsia" w:ascii="宋体" w:hAnsi="宋体" w:eastAsia="宋体" w:cs="宋体"/>
          <w:strike w:val="0"/>
          <w:color w:val="auto"/>
          <w:kern w:val="0"/>
          <w:szCs w:val="21"/>
          <w:highlight w:val="none"/>
        </w:rPr>
        <w:t>评标委员会经过对投标文件进行评审和比较后</w:t>
      </w:r>
      <w:r>
        <w:rPr>
          <w:rFonts w:hint="eastAsia" w:ascii="宋体" w:hAnsi="宋体" w:eastAsia="宋体" w:cs="宋体"/>
          <w:strike w:val="0"/>
          <w:color w:val="auto"/>
          <w:kern w:val="0"/>
          <w:szCs w:val="21"/>
          <w:highlight w:val="none"/>
          <w:lang w:eastAsia="zh-CN"/>
        </w:rPr>
        <w:t>，</w:t>
      </w:r>
      <w:r>
        <w:rPr>
          <w:rFonts w:hint="eastAsia" w:ascii="宋体" w:hAnsi="宋体" w:eastAsia="宋体" w:cs="宋体"/>
          <w:strike w:val="0"/>
          <w:color w:val="auto"/>
          <w:szCs w:val="21"/>
          <w:highlight w:val="none"/>
          <w:u w:val="none"/>
        </w:rPr>
        <w:t>评审合格投标人数量超过5</w:t>
      </w:r>
      <w:r>
        <w:rPr>
          <w:rFonts w:hint="eastAsia" w:ascii="宋体" w:hAnsi="宋体" w:eastAsia="宋体" w:cs="宋体"/>
          <w:strike w:val="0"/>
          <w:color w:val="auto"/>
          <w:szCs w:val="21"/>
          <w:highlight w:val="none"/>
          <w:u w:val="none"/>
          <w:lang w:val="en-US" w:eastAsia="zh-CN"/>
        </w:rPr>
        <w:t>名的</w:t>
      </w:r>
      <w:r>
        <w:rPr>
          <w:rFonts w:hint="eastAsia" w:ascii="宋体" w:hAnsi="宋体" w:eastAsia="宋体" w:cs="宋体"/>
          <w:strike w:val="0"/>
          <w:color w:val="auto"/>
          <w:szCs w:val="21"/>
          <w:highlight w:val="none"/>
          <w:u w:val="none"/>
        </w:rPr>
        <w:t>，</w:t>
      </w:r>
      <w:r>
        <w:rPr>
          <w:rFonts w:hint="eastAsia" w:ascii="宋体" w:hAnsi="宋体" w:eastAsia="宋体" w:cs="宋体"/>
          <w:color w:val="auto"/>
          <w:szCs w:val="21"/>
          <w:highlight w:val="none"/>
        </w:rPr>
        <w:t>评标委员会应根据招标文件确定的规则，结合评审意见，</w:t>
      </w:r>
      <w:r>
        <w:rPr>
          <w:rFonts w:hint="eastAsia" w:ascii="宋体" w:hAnsi="宋体" w:eastAsia="宋体" w:cs="宋体"/>
          <w:strike w:val="0"/>
          <w:color w:val="auto"/>
          <w:szCs w:val="21"/>
          <w:highlight w:val="none"/>
        </w:rPr>
        <w:t>在合格投标人中</w:t>
      </w:r>
      <w:r>
        <w:rPr>
          <w:rFonts w:hint="eastAsia" w:ascii="宋体" w:hAnsi="宋体" w:eastAsia="宋体" w:cs="宋体"/>
          <w:strike w:val="0"/>
          <w:color w:val="auto"/>
          <w:szCs w:val="21"/>
          <w:highlight w:val="none"/>
          <w:lang w:val="en-US" w:eastAsia="zh-CN"/>
        </w:rPr>
        <w:t>择优推荐</w:t>
      </w:r>
      <w:r>
        <w:rPr>
          <w:rFonts w:hint="eastAsia" w:ascii="宋体" w:hAnsi="宋体" w:eastAsia="宋体" w:cs="宋体"/>
          <w:strike w:val="0"/>
          <w:color w:val="auto"/>
          <w:szCs w:val="21"/>
          <w:highlight w:val="none"/>
        </w:rPr>
        <w:t>50%的投标人作为</w:t>
      </w:r>
      <w:r>
        <w:rPr>
          <w:rFonts w:hint="eastAsia" w:ascii="宋体" w:hAnsi="宋体" w:eastAsia="宋体" w:cs="宋体"/>
          <w:strike w:val="0"/>
          <w:color w:val="auto"/>
          <w:szCs w:val="21"/>
          <w:highlight w:val="none"/>
          <w:lang w:val="en-US" w:eastAsia="zh-CN"/>
        </w:rPr>
        <w:t>中标</w:t>
      </w:r>
      <w:r>
        <w:rPr>
          <w:rFonts w:hint="eastAsia" w:ascii="宋体" w:hAnsi="宋体" w:eastAsia="宋体" w:cs="宋体"/>
          <w:strike w:val="0"/>
          <w:color w:val="auto"/>
          <w:szCs w:val="21"/>
          <w:highlight w:val="none"/>
        </w:rPr>
        <w:t>候选人（采用四舍五入取整），并详细说明推荐理由。</w:t>
      </w:r>
      <w:r>
        <w:rPr>
          <w:rFonts w:hint="eastAsia" w:ascii="宋体" w:hAnsi="宋体" w:eastAsia="宋体" w:cs="宋体"/>
          <w:strike w:val="0"/>
          <w:color w:val="auto"/>
          <w:szCs w:val="21"/>
          <w:highlight w:val="none"/>
          <w:u w:val="none"/>
        </w:rPr>
        <w:t>评审合格投标人数量</w:t>
      </w:r>
      <w:r>
        <w:rPr>
          <w:rFonts w:hint="eastAsia" w:ascii="宋体" w:hAnsi="宋体" w:eastAsia="宋体" w:cs="宋体"/>
          <w:strike w:val="0"/>
          <w:color w:val="auto"/>
          <w:szCs w:val="21"/>
          <w:highlight w:val="none"/>
          <w:u w:val="none"/>
          <w:lang w:val="en-US" w:eastAsia="zh-CN"/>
        </w:rPr>
        <w:t>为3-</w:t>
      </w:r>
      <w:r>
        <w:rPr>
          <w:rFonts w:hint="eastAsia" w:ascii="宋体" w:hAnsi="宋体" w:eastAsia="宋体" w:cs="宋体"/>
          <w:strike w:val="0"/>
          <w:color w:val="auto"/>
          <w:szCs w:val="21"/>
          <w:highlight w:val="none"/>
          <w:u w:val="none"/>
        </w:rPr>
        <w:t>5</w:t>
      </w:r>
      <w:r>
        <w:rPr>
          <w:rFonts w:hint="eastAsia" w:ascii="宋体" w:hAnsi="宋体" w:eastAsia="宋体" w:cs="宋体"/>
          <w:strike w:val="0"/>
          <w:color w:val="auto"/>
          <w:szCs w:val="21"/>
          <w:highlight w:val="none"/>
          <w:u w:val="none"/>
          <w:lang w:val="en-US" w:eastAsia="zh-CN"/>
        </w:rPr>
        <w:t>名的，所有合格投标人均为中标候选人</w:t>
      </w:r>
      <w:r>
        <w:rPr>
          <w:rStyle w:val="138"/>
          <w:rFonts w:hint="eastAsia" w:ascii="宋体" w:hAnsi="宋体" w:eastAsia="宋体" w:cs="宋体"/>
          <w:strike w:val="0"/>
          <w:color w:val="auto"/>
          <w:szCs w:val="21"/>
          <w:highlight w:val="none"/>
          <w:u w:val="none"/>
          <w:lang w:val="en-US" w:eastAsia="zh-CN"/>
        </w:rPr>
        <w:t>[</w:t>
      </w:r>
      <w:r>
        <w:rPr>
          <w:rStyle w:val="138"/>
          <w:rFonts w:hint="eastAsia" w:ascii="宋体" w:hAnsi="宋体" w:eastAsia="宋体" w:cs="宋体"/>
          <w:strike w:val="0"/>
          <w:color w:val="auto"/>
          <w:szCs w:val="21"/>
          <w:highlight w:val="none"/>
          <w:u w:val="none"/>
          <w:lang w:val="en-US" w:eastAsia="zh-CN"/>
        </w:rPr>
        <w:footnoteReference w:id="5"/>
      </w:r>
      <w:r>
        <w:rPr>
          <w:rStyle w:val="138"/>
          <w:rFonts w:hint="eastAsia" w:ascii="宋体" w:hAnsi="宋体" w:eastAsia="宋体" w:cs="宋体"/>
          <w:strike w:val="0"/>
          <w:color w:val="auto"/>
          <w:szCs w:val="21"/>
          <w:highlight w:val="none"/>
          <w:u w:val="none"/>
          <w:lang w:val="en-US" w:eastAsia="zh-CN"/>
        </w:rPr>
        <w:t>]</w:t>
      </w:r>
      <w:r>
        <w:rPr>
          <w:rFonts w:hint="eastAsia" w:ascii="宋体" w:hAnsi="宋体" w:eastAsia="宋体" w:cs="宋体"/>
          <w:strike w:val="0"/>
          <w:color w:val="auto"/>
          <w:szCs w:val="21"/>
          <w:highlight w:val="none"/>
          <w:u w:val="none"/>
          <w:lang w:val="en-US" w:eastAsia="zh-CN"/>
        </w:rPr>
        <w:t>。</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29.3评标委员会作出无效标或者废标处理后，合格投标人数量不足3名的，招标人应当宣布本次招标失败，重新招标。</w:t>
      </w:r>
    </w:p>
    <w:p>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采用批量招标方式的，评标委员会作出无效标或者废标处理后，合格投标人数量不足拟定中标人数量加上2名的，招标人不得再采用批量招标方式。</w:t>
      </w:r>
    </w:p>
    <w:p>
      <w:pPr>
        <w:adjustRightInd w:val="0"/>
        <w:snapToGrid w:val="0"/>
        <w:spacing w:line="360" w:lineRule="auto"/>
        <w:ind w:firstLine="48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的项目，评标委员会作出无效标或者废标处理后合格投标人数量仍不足3名的，评标委员会应当将对合格投标人的评审意见提交招标人，招标人可以按照原招标文件的定标程序和方法从合格投标人中确定中标人，或者将上述情况在</w:t>
      </w:r>
      <w:r>
        <w:rPr>
          <w:rFonts w:hint="eastAsia" w:ascii="宋体" w:hAnsi="宋体" w:eastAsia="宋体" w:cs="宋体"/>
          <w:color w:val="auto"/>
          <w:kern w:val="0"/>
          <w:highlight w:val="none"/>
        </w:rPr>
        <w:t>交易网公示</w:t>
      </w:r>
      <w:r>
        <w:rPr>
          <w:rFonts w:hint="eastAsia" w:ascii="宋体" w:hAnsi="宋体" w:eastAsia="宋体" w:cs="宋体"/>
          <w:color w:val="auto"/>
          <w:kern w:val="0"/>
          <w:szCs w:val="21"/>
          <w:highlight w:val="none"/>
        </w:rPr>
        <w:t>3个工作日后直接发包。</w:t>
      </w:r>
    </w:p>
    <w:p>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29.4评标过程中，若评标委员会认为本次招标缺乏竞争性，可以不推荐投标人，由招标人重新组织招标。</w:t>
      </w:r>
    </w:p>
    <w:p>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29.5如招投标过程中出现严重异常情况，经</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主管部门批准，招标人可以不接受本次招标结果，应当重新招标。</w:t>
      </w:r>
    </w:p>
    <w:p>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30. 评标报告</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30.1评标委员会收集并汇总全体评委评审意见后，由评标委员会主任委员填写《评标报告》。</w:t>
      </w:r>
      <w:r>
        <w:rPr>
          <w:rFonts w:hint="eastAsia" w:ascii="宋体" w:hAnsi="宋体" w:eastAsia="宋体" w:cs="宋体"/>
          <w:color w:val="auto"/>
          <w:szCs w:val="21"/>
          <w:highlight w:val="none"/>
        </w:rPr>
        <w:t>评标委员会应在评标报告中指出各投标文件的优点和存在的缺陷、签订合同前应注意和澄清的事项。评标过程中发现投标人报价存在异常低价的，应要求投标人作必要的澄清说明，提供相关材料，并在评标报告中提示该投标人在合同履行、工程质量安全等方面存在的风险。</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30.2评标报告应由评标委员会全体成员签字。</w:t>
      </w:r>
      <w:r>
        <w:rPr>
          <w:rFonts w:hint="eastAsia" w:ascii="宋体" w:hAnsi="宋体" w:eastAsia="宋体" w:cs="宋体"/>
          <w:color w:val="auto"/>
          <w:szCs w:val="21"/>
          <w:highlight w:val="none"/>
        </w:rPr>
        <w:t>评标委员会成员对评审意见和中标候选人名单存在分歧意见的，可采用书面方式阐述其不同意见和理由</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rPr>
        <w:t>在评标报告中客观记录</w:t>
      </w:r>
      <w:r>
        <w:rPr>
          <w:rFonts w:hint="eastAsia" w:ascii="宋体" w:hAnsi="宋体" w:eastAsia="宋体" w:cs="宋体"/>
          <w:color w:val="auto"/>
          <w:kern w:val="0"/>
          <w:szCs w:val="21"/>
          <w:highlight w:val="none"/>
        </w:rPr>
        <w:t>。评标委员会成员拒绝签字的，视为同意评标结论。评标委员会应对此做出书面记录。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30.3对发现的涉嫌违法、违规行为，应当在评标报告中做出详细说明，做好取证工作，并及时告知行政主管部门。</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30.4评标委员会向招标人提交评标报告后即解散。评标过程中使用的文件、资料等，都不得带离评标室。</w:t>
      </w:r>
    </w:p>
    <w:p>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31. 评标结果公示</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招标人应当将评标报告（含合格投标人名单）</w:t>
      </w:r>
      <w:r>
        <w:rPr>
          <w:rFonts w:hint="eastAsia" w:ascii="宋体" w:hAnsi="宋体" w:eastAsia="宋体" w:cs="宋体"/>
          <w:color w:val="auto"/>
          <w:kern w:val="0"/>
          <w:szCs w:val="21"/>
          <w:highlight w:val="none"/>
          <w:lang w:val="en-US" w:eastAsia="zh-CN"/>
        </w:rPr>
        <w:t>及</w:t>
      </w:r>
      <w:r>
        <w:rPr>
          <w:rFonts w:hint="eastAsia" w:ascii="宋体" w:hAnsi="宋体" w:eastAsia="宋体" w:cs="宋体"/>
          <w:color w:val="auto"/>
          <w:szCs w:val="21"/>
          <w:highlight w:val="none"/>
          <w:lang w:val="en-US" w:eastAsia="zh-CN"/>
        </w:rPr>
        <w:t>资信标内容</w:t>
      </w:r>
      <w:r>
        <w:rPr>
          <w:rFonts w:hint="eastAsia" w:ascii="宋体" w:hAnsi="宋体" w:eastAsia="宋体" w:cs="宋体"/>
          <w:color w:val="auto"/>
          <w:kern w:val="0"/>
          <w:szCs w:val="21"/>
          <w:highlight w:val="none"/>
        </w:rPr>
        <w:t>在交易网公示3个工作日。</w:t>
      </w: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32. 其它规定</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32.1若投标人的投标行为出现违反《深圳市建筑市场严重违法行为特别处理规定》等政策文件列明的各种情形的，招标人及评标委员会将提请</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主管部门对相应投标人作不良记录。</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32.2评标过程中，若评标委员依据招标文件的规定要求招标人重新招标，招标人不承担因招标失败给投标人造成的损失。</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32.3 投标报价的调整方法</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32.3.1投标人的投标报价中如出现算术错误，将按以下方法进行调整：</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32.3.1.1投标文件中大写金额与小写金额不一致的，以大写金额为准；</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32.3.1.2总价金额与按单价计算的总金额不一致的，以单价计算的总金额为准。除非评标委员会认为单价有明显的小数点错误，此时应以合价金额为准，调整单价；</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32.3.2投标人的投标报价如果出现缺项、漏项或是修改了本招标项目“货物需求及数量一览表”中列明项目的数量情况的，评标委员会应根据具体评标方法和评审标准，按照不利于该投标人的原则进行调整，且投标人不得因此提出任何异议。</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32.3.3按照本节第1条、第2条规定的调整方法确定的调整后报价，须取得投标人同意并确认。如果投标人拒不接受调整方法以及调整后的报价的，其投标将被拒绝。</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32.3.4如果出现多报或超出本招标项目“货物需求及数量一览表”中列明项目的数量情况的，评标委员会应根据具体评标方法和评审标准，按照不利于该投标人的原则进行调整，且投标人不得因此提出任何异议。</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32.3.5中标人的投标报价是按照本节第1条、第2条、第3条规定的进行了调整的，其中标价按就低不就高的原则确定。如果投标人拒不接受的，其投标将被拒绝。</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32.3.5.1投标人的投标报价的总价小于调整后的报价，中标价即为投标人的投标报价的总价；投标报价的总价大于调整后的报价，中标价即为调整后的报价。</w:t>
      </w:r>
    </w:p>
    <w:p>
      <w:pPr>
        <w:spacing w:line="360" w:lineRule="auto"/>
        <w:ind w:firstLine="422" w:firstLineChars="200"/>
        <w:jc w:val="left"/>
        <w:rPr>
          <w:rFonts w:ascii="宋体" w:hAnsi="宋体" w:eastAsia="宋体" w:cs="宋体"/>
          <w:color w:val="auto"/>
          <w:szCs w:val="21"/>
          <w:highlight w:val="none"/>
        </w:rPr>
      </w:pPr>
      <w:r>
        <w:rPr>
          <w:rFonts w:hint="eastAsia" w:ascii="宋体" w:hAnsi="宋体" w:eastAsia="宋体" w:cs="宋体"/>
          <w:b/>
          <w:bCs/>
          <w:color w:val="auto"/>
          <w:szCs w:val="21"/>
          <w:highlight w:val="none"/>
        </w:rPr>
        <w:t>33.评标表格</w:t>
      </w:r>
    </w:p>
    <w:p>
      <w:pPr>
        <w:spacing w:line="360" w:lineRule="auto"/>
        <w:jc w:val="center"/>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t>商务标定性评审表</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标段名称：_______      投标单位：_______</w:t>
      </w:r>
    </w:p>
    <w:tbl>
      <w:tblPr>
        <w:tblStyle w:val="8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985"/>
        <w:gridCol w:w="1701"/>
        <w:gridCol w:w="1842"/>
        <w:gridCol w:w="2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985" w:type="dxa"/>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701" w:type="dxa"/>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842" w:type="dxa"/>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2943" w:type="dxa"/>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line="360" w:lineRule="auto"/>
              <w:jc w:val="left"/>
              <w:rPr>
                <w:rFonts w:ascii="宋体" w:hAnsi="宋体" w:eastAsia="宋体" w:cs="宋体"/>
                <w:color w:val="auto"/>
                <w:kern w:val="0"/>
                <w:szCs w:val="21"/>
                <w:highlight w:val="none"/>
              </w:rPr>
            </w:pPr>
            <w:bookmarkStart w:id="28" w:name="商务标评审" w:colFirst="0" w:colLast="0"/>
          </w:p>
        </w:tc>
        <w:tc>
          <w:tcPr>
            <w:tcW w:w="1985" w:type="dxa"/>
          </w:tcPr>
          <w:p>
            <w:pPr>
              <w:spacing w:line="360" w:lineRule="auto"/>
              <w:jc w:val="left"/>
              <w:rPr>
                <w:rFonts w:ascii="宋体" w:hAnsi="宋体" w:eastAsia="宋体" w:cs="宋体"/>
                <w:color w:val="auto"/>
                <w:kern w:val="0"/>
                <w:szCs w:val="21"/>
                <w:highlight w:val="none"/>
              </w:rPr>
            </w:pPr>
          </w:p>
        </w:tc>
        <w:tc>
          <w:tcPr>
            <w:tcW w:w="1701" w:type="dxa"/>
          </w:tcPr>
          <w:p>
            <w:pPr>
              <w:spacing w:line="360" w:lineRule="auto"/>
              <w:jc w:val="left"/>
              <w:rPr>
                <w:rFonts w:ascii="宋体" w:hAnsi="宋体" w:eastAsia="宋体" w:cs="宋体"/>
                <w:color w:val="auto"/>
                <w:kern w:val="0"/>
                <w:szCs w:val="21"/>
                <w:highlight w:val="none"/>
              </w:rPr>
            </w:pPr>
          </w:p>
        </w:tc>
        <w:tc>
          <w:tcPr>
            <w:tcW w:w="1842" w:type="dxa"/>
          </w:tcPr>
          <w:p>
            <w:pPr>
              <w:spacing w:line="360" w:lineRule="auto"/>
              <w:jc w:val="left"/>
              <w:rPr>
                <w:rFonts w:ascii="宋体" w:hAnsi="宋体" w:eastAsia="宋体" w:cs="宋体"/>
                <w:color w:val="auto"/>
                <w:kern w:val="0"/>
                <w:szCs w:val="21"/>
                <w:highlight w:val="none"/>
              </w:rPr>
            </w:pPr>
          </w:p>
        </w:tc>
        <w:tc>
          <w:tcPr>
            <w:tcW w:w="2943" w:type="dxa"/>
          </w:tcPr>
          <w:p>
            <w:pPr>
              <w:spacing w:line="360" w:lineRule="auto"/>
              <w:jc w:val="left"/>
              <w:rPr>
                <w:rFonts w:ascii="宋体" w:hAnsi="宋体" w:eastAsia="宋体" w:cs="宋体"/>
                <w:color w:val="auto"/>
                <w:kern w:val="0"/>
                <w:szCs w:val="21"/>
                <w:highlight w:val="none"/>
              </w:rPr>
            </w:pPr>
          </w:p>
        </w:tc>
      </w:tr>
      <w:bookmarkEnd w:id="2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88" w:type="dxa"/>
            <w:gridSpan w:val="5"/>
          </w:tcPr>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pPr>
        <w:spacing w:line="360" w:lineRule="auto"/>
        <w:ind w:firstLine="420" w:firstLineChars="200"/>
        <w:jc w:val="left"/>
        <w:rPr>
          <w:rFonts w:ascii="宋体" w:hAnsi="宋体" w:eastAsia="宋体" w:cs="宋体"/>
          <w:color w:val="auto"/>
          <w:szCs w:val="21"/>
          <w:highlight w:val="none"/>
        </w:rPr>
      </w:pP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评标专家：_________     评标日期：___年___月___日</w:t>
      </w:r>
    </w:p>
    <w:p>
      <w:pPr>
        <w:spacing w:line="360" w:lineRule="auto"/>
        <w:jc w:val="left"/>
        <w:rPr>
          <w:rFonts w:ascii="宋体" w:hAnsi="宋体" w:eastAsia="宋体" w:cs="宋体"/>
          <w:color w:val="auto"/>
          <w:kern w:val="0"/>
          <w:szCs w:val="21"/>
          <w:highlight w:val="none"/>
        </w:rPr>
      </w:pPr>
    </w:p>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1、本表适用于专家独立评审使用；</w:t>
      </w:r>
    </w:p>
    <w:p>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3、综合评价等级仅分为合格或不合格两个等级，不合格仅限于符合招标文件废标、无效标情形以及投标文件违反国家强制性条文标准的情形。</w:t>
      </w:r>
    </w:p>
    <w:p>
      <w:pPr>
        <w:spacing w:line="360" w:lineRule="auto"/>
        <w:jc w:val="center"/>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t>技术标定性评审表</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标段名称：_______      投标单位：_______</w:t>
      </w:r>
    </w:p>
    <w:tbl>
      <w:tblPr>
        <w:tblStyle w:val="8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985"/>
        <w:gridCol w:w="1701"/>
        <w:gridCol w:w="1842"/>
        <w:gridCol w:w="2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985" w:type="dxa"/>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701" w:type="dxa"/>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842" w:type="dxa"/>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2943" w:type="dxa"/>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line="360" w:lineRule="auto"/>
              <w:jc w:val="left"/>
              <w:rPr>
                <w:rFonts w:ascii="宋体" w:hAnsi="宋体" w:eastAsia="宋体" w:cs="宋体"/>
                <w:color w:val="auto"/>
                <w:kern w:val="0"/>
                <w:szCs w:val="21"/>
                <w:highlight w:val="none"/>
              </w:rPr>
            </w:pPr>
            <w:bookmarkStart w:id="29" w:name="技术标评审" w:colFirst="0" w:colLast="0"/>
          </w:p>
        </w:tc>
        <w:tc>
          <w:tcPr>
            <w:tcW w:w="1985" w:type="dxa"/>
          </w:tcPr>
          <w:p>
            <w:pPr>
              <w:spacing w:line="360" w:lineRule="auto"/>
              <w:jc w:val="left"/>
              <w:rPr>
                <w:rFonts w:ascii="宋体" w:hAnsi="宋体" w:eastAsia="宋体" w:cs="宋体"/>
                <w:color w:val="auto"/>
                <w:kern w:val="0"/>
                <w:szCs w:val="21"/>
                <w:highlight w:val="none"/>
              </w:rPr>
            </w:pPr>
          </w:p>
        </w:tc>
        <w:tc>
          <w:tcPr>
            <w:tcW w:w="1701" w:type="dxa"/>
          </w:tcPr>
          <w:p>
            <w:pPr>
              <w:spacing w:line="360" w:lineRule="auto"/>
              <w:jc w:val="left"/>
              <w:rPr>
                <w:rFonts w:ascii="宋体" w:hAnsi="宋体" w:eastAsia="宋体" w:cs="宋体"/>
                <w:color w:val="auto"/>
                <w:kern w:val="0"/>
                <w:szCs w:val="21"/>
                <w:highlight w:val="none"/>
              </w:rPr>
            </w:pPr>
          </w:p>
        </w:tc>
        <w:tc>
          <w:tcPr>
            <w:tcW w:w="1842" w:type="dxa"/>
          </w:tcPr>
          <w:p>
            <w:pPr>
              <w:spacing w:line="360" w:lineRule="auto"/>
              <w:jc w:val="left"/>
              <w:rPr>
                <w:rFonts w:ascii="宋体" w:hAnsi="宋体" w:eastAsia="宋体" w:cs="宋体"/>
                <w:color w:val="auto"/>
                <w:kern w:val="0"/>
                <w:szCs w:val="21"/>
                <w:highlight w:val="none"/>
              </w:rPr>
            </w:pPr>
          </w:p>
        </w:tc>
        <w:tc>
          <w:tcPr>
            <w:tcW w:w="2943" w:type="dxa"/>
          </w:tcPr>
          <w:p>
            <w:pPr>
              <w:spacing w:line="360" w:lineRule="auto"/>
              <w:jc w:val="left"/>
              <w:rPr>
                <w:rFonts w:ascii="宋体" w:hAnsi="宋体" w:eastAsia="宋体" w:cs="宋体"/>
                <w:color w:val="auto"/>
                <w:kern w:val="0"/>
                <w:szCs w:val="21"/>
                <w:highlight w:val="none"/>
              </w:rPr>
            </w:pPr>
          </w:p>
        </w:tc>
      </w:tr>
      <w:bookmarkEnd w:id="2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88" w:type="dxa"/>
            <w:gridSpan w:val="5"/>
          </w:tcPr>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pPr>
        <w:spacing w:line="360" w:lineRule="auto"/>
        <w:ind w:firstLine="420" w:firstLineChars="200"/>
        <w:jc w:val="left"/>
        <w:rPr>
          <w:rFonts w:ascii="宋体" w:hAnsi="宋体" w:eastAsia="宋体" w:cs="宋体"/>
          <w:color w:val="auto"/>
          <w:szCs w:val="21"/>
          <w:highlight w:val="none"/>
        </w:rPr>
      </w:pP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评标专家：_________     评标日期：___年___月___日</w:t>
      </w:r>
    </w:p>
    <w:p>
      <w:pPr>
        <w:spacing w:line="360" w:lineRule="auto"/>
        <w:jc w:val="left"/>
        <w:rPr>
          <w:rFonts w:ascii="宋体" w:hAnsi="宋体" w:eastAsia="宋体" w:cs="宋体"/>
          <w:color w:val="auto"/>
          <w:szCs w:val="21"/>
          <w:highlight w:val="none"/>
        </w:rPr>
      </w:pPr>
      <w:r>
        <w:rPr>
          <w:rFonts w:hint="eastAsia" w:ascii="宋体" w:hAnsi="宋体" w:eastAsia="宋体" w:cs="宋体"/>
          <w:color w:val="auto"/>
          <w:szCs w:val="21"/>
          <w:highlight w:val="none"/>
        </w:rPr>
        <w:t>备注：</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1、本表适用于专家独立评审使用；</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2、指出各评审项的优点、存在缺陷或签订合同前应注意和澄清事项；</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3、综合评价等级仅分为合格或不合格两个等级，不合格仅限于符合招标文件废标、无效标情形以及投标文件违反国家强制性条文标准的情形。</w:t>
      </w:r>
    </w:p>
    <w:p>
      <w:pPr>
        <w:spacing w:line="360" w:lineRule="auto"/>
        <w:ind w:firstLine="420" w:firstLineChars="200"/>
        <w:jc w:val="left"/>
        <w:rPr>
          <w:rFonts w:ascii="宋体" w:hAnsi="宋体" w:eastAsia="宋体" w:cs="宋体"/>
          <w:color w:val="auto"/>
          <w:szCs w:val="21"/>
          <w:highlight w:val="none"/>
        </w:rPr>
      </w:pPr>
    </w:p>
    <w:p>
      <w:pPr>
        <w:spacing w:line="360" w:lineRule="auto"/>
        <w:jc w:val="center"/>
        <w:outlineLvl w:val="2"/>
        <w:rPr>
          <w:rFonts w:ascii="黑体" w:eastAsia="黑体"/>
          <w:bCs/>
          <w:color w:val="auto"/>
          <w:sz w:val="30"/>
          <w:highlight w:val="none"/>
        </w:rPr>
      </w:pPr>
      <w:bookmarkStart w:id="30" w:name="_Toc45702697"/>
      <w:bookmarkStart w:id="31" w:name="_Toc6676"/>
      <w:r>
        <w:rPr>
          <w:rFonts w:hint="eastAsia" w:ascii="黑体" w:eastAsia="黑体"/>
          <w:bCs/>
          <w:color w:val="auto"/>
          <w:sz w:val="30"/>
          <w:highlight w:val="none"/>
        </w:rPr>
        <w:t>（六）定标</w:t>
      </w:r>
      <w:bookmarkEnd w:id="30"/>
      <w:bookmarkEnd w:id="31"/>
    </w:p>
    <w:p>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34.清标</w:t>
      </w:r>
    </w:p>
    <w:p>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34.1 在开展定标前，招标人可以自行或委托专业机构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34.2 </w:t>
      </w: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34.3 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pPr>
        <w:adjustRightInd w:val="0"/>
        <w:snapToGrid w:val="0"/>
        <w:spacing w:line="360" w:lineRule="auto"/>
        <w:ind w:firstLine="422" w:firstLineChars="200"/>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35.定标方法</w:t>
      </w:r>
    </w:p>
    <w:p>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招标人在定标过程中，应当坚持择优与竞价相结合，择优为主。限制采用直接抽签方式进行定标。</w:t>
      </w:r>
      <w:r>
        <w:rPr>
          <w:rFonts w:hint="eastAsia" w:ascii="宋体" w:hAnsi="宋体" w:eastAsia="宋体" w:cs="宋体"/>
          <w:bCs/>
          <w:color w:val="auto"/>
          <w:kern w:val="0"/>
          <w:szCs w:val="21"/>
          <w:highlight w:val="none"/>
        </w:rPr>
        <w:t>招标人应采用下列方法在评标委员会推荐的合格投标人中确定中标人：</w:t>
      </w:r>
    </w:p>
    <w:p>
      <w:pPr>
        <w:spacing w:line="360" w:lineRule="auto"/>
        <w:ind w:firstLine="422" w:firstLineChars="20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35.1</w:t>
      </w:r>
      <w:r>
        <w:rPr>
          <w:rFonts w:hint="eastAsia" w:ascii="宋体" w:hAnsi="宋体" w:eastAsia="宋体" w:cs="宋体"/>
          <w:b/>
          <w:color w:val="auto"/>
          <w:kern w:val="0"/>
          <w:szCs w:val="21"/>
          <w:highlight w:val="none"/>
        </w:rPr>
        <w:t>直接</w:t>
      </w:r>
      <w:r>
        <w:rPr>
          <w:rFonts w:hint="eastAsia" w:ascii="宋体" w:hAnsi="宋体" w:eastAsia="宋体" w:cs="宋体"/>
          <w:b/>
          <w:snapToGrid w:val="0"/>
          <w:color w:val="auto"/>
          <w:kern w:val="0"/>
          <w:szCs w:val="21"/>
          <w:highlight w:val="none"/>
        </w:rPr>
        <w:t>票决定标法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招标人组建定标委员会，定标委员会成员对所有进入定标程序的投标人根据前附表确定的方式进行投票，根据得票数确定中标人。</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②简单多数法（且过半数）</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a.投票规则：定标委员会在进入投票范围的投标人中，以每人投票支持一个投标人的方式，得票最多且过半数的投标人为中标人。</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③对比胜出法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pPr>
        <w:adjustRightInd w:val="0"/>
        <w:snapToGrid w:val="0"/>
        <w:spacing w:line="360" w:lineRule="auto"/>
        <w:ind w:firstLine="411" w:firstLineChars="196"/>
        <w:jc w:val="left"/>
        <w:rPr>
          <w:rFonts w:ascii="宋体" w:hAnsi="宋体" w:eastAsia="宋体" w:cs="宋体"/>
          <w:color w:val="auto"/>
          <w:kern w:val="0"/>
          <w:szCs w:val="21"/>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pPr>
        <w:adjustRightInd w:val="0"/>
        <w:snapToGrid w:val="0"/>
        <w:spacing w:line="360" w:lineRule="auto"/>
        <w:ind w:firstLine="413" w:firstLineChars="196"/>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35.2逐轮票决定标法</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招标人组建定标委员会，定标委员会成员对所有进入定标程序的投标人根据前附表确定的方式进行逐轮投票，每轮以得票数确定进入下一轮投票的投标人直至确定中标人。</w:t>
      </w:r>
    </w:p>
    <w:p>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（1）票决方式：</w:t>
      </w:r>
    </w:p>
    <w:p>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①简单多数法</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a.投票规则：定标委员会成员按照招标文件规定的推荐人数，在各自的选票上填写相同数量的投标人名称或序号。</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②对比胜出法</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a.投票规则：每一张选票，都是所有进入定标程序的投标人的一个排列，该排列明确先后顺序，即第一名、第二名，...，排列最后的为最后一名。</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根据前述规则，直至剩余1名投标人为中标人。</w:t>
      </w:r>
    </w:p>
    <w:p>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kern w:val="0"/>
          <w:szCs w:val="21"/>
          <w:highlight w:val="none"/>
        </w:rPr>
        <w:t>35.3二次竞价定标法</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采用二次竞价方式的，定标会开始时间为二次报价文件递交截止时间，所有进入定标环节的投标单位需在二次报价文件递交截止时间前在</w:t>
      </w:r>
      <w:r>
        <w:rPr>
          <w:rFonts w:hint="eastAsia" w:ascii="宋体" w:hAnsi="宋体" w:eastAsia="宋体" w:cs="宋体"/>
          <w:color w:val="auto"/>
          <w:kern w:val="0"/>
          <w:szCs w:val="21"/>
          <w:highlight w:val="none"/>
        </w:rPr>
        <w:t>交易网</w:t>
      </w:r>
      <w:r>
        <w:rPr>
          <w:rFonts w:hint="eastAsia" w:ascii="宋体" w:hAnsi="宋体" w:eastAsia="宋体" w:cs="宋体"/>
          <w:color w:val="auto"/>
          <w:szCs w:val="21"/>
          <w:highlight w:val="none"/>
        </w:rPr>
        <w:t>提交本工程的二次报价文件。此报价作为投标人的最终投标报价，且不得低于成本。二次投标报价以该单位一次投标报价为上限，二次报价比一次投标报价总体下浮比例超过10%以上的，该投标人需提交报价下浮内容明细及保证供货质量说明承诺书。未提交二次报价文件或二次报价文件未进行有效的电子签名的，默认该投标单位的第二次投标报价与其第一次投标报价相同。投标单位一旦中标，以该单位的二次报价为本工程的中标价。</w:t>
      </w:r>
      <w:r>
        <w:rPr>
          <w:rFonts w:hint="eastAsia" w:ascii="宋体" w:hAnsi="宋体" w:eastAsia="宋体" w:cs="宋体"/>
          <w:b/>
          <w:color w:val="auto"/>
          <w:szCs w:val="21"/>
          <w:highlight w:val="none"/>
        </w:rPr>
        <w:t>招标人不承诺</w:t>
      </w:r>
      <w:r>
        <w:rPr>
          <w:rFonts w:hint="eastAsia" w:ascii="宋体" w:hAnsi="宋体" w:eastAsia="宋体" w:cs="宋体"/>
          <w:b/>
          <w:color w:val="auto"/>
          <w:kern w:val="0"/>
          <w:szCs w:val="21"/>
          <w:highlight w:val="none"/>
        </w:rPr>
        <w:t>将合同授予报价最低的投标人。</w:t>
      </w:r>
    </w:p>
    <w:p>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定标委员会根据前附表确定的定标方式先对所有投标单位进行排名并以这些排名为基础，在得票最多的投标人中选取 “投标须知前附表”规定数量的投标人，由招标人将选中的投标人的二次报价文件导入系统，定标委员会根据入围单位二次报价的情况及“投标须知前附表”的规定，最终确定一名中标人。</w:t>
      </w:r>
    </w:p>
    <w:p>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（1）票决方式：</w:t>
      </w:r>
    </w:p>
    <w:p>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①简单多数法</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a.投票规则：定标委员会成员按照招标文件规定的推荐人数，在各自的选票上填写相同数量的投标人名称或序号。</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②对比胜出法</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a.投票规则：每一张选票，都是所有进入定标程序的投标人的一个排列，该排列明确先后顺序，即第一名、第二名，...，排列最后的为最后一名。</w:t>
      </w:r>
    </w:p>
    <w:p>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kern w:val="0"/>
          <w:szCs w:val="21"/>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pPr>
        <w:spacing w:line="360" w:lineRule="auto"/>
        <w:ind w:firstLine="426" w:firstLineChars="202"/>
        <w:rPr>
          <w:rFonts w:ascii="宋体" w:hAnsi="宋体" w:eastAsia="宋体" w:cs="宋体"/>
          <w:b/>
          <w:color w:val="auto"/>
          <w:szCs w:val="21"/>
          <w:highlight w:val="none"/>
        </w:rPr>
      </w:pPr>
      <w:r>
        <w:rPr>
          <w:rFonts w:hint="eastAsia" w:ascii="宋体" w:hAnsi="宋体" w:eastAsia="宋体" w:cs="宋体"/>
          <w:b/>
          <w:color w:val="auto"/>
          <w:szCs w:val="21"/>
          <w:highlight w:val="none"/>
        </w:rPr>
        <w:t>35.</w:t>
      </w:r>
      <w:r>
        <w:rPr>
          <w:rFonts w:hint="eastAsia" w:ascii="宋体" w:hAnsi="宋体" w:eastAsia="宋体" w:cs="宋体"/>
          <w:b/>
          <w:color w:val="auto"/>
          <w:szCs w:val="21"/>
          <w:highlight w:val="none"/>
          <w:lang w:val="en-US" w:eastAsia="zh-CN"/>
        </w:rPr>
        <w:t>4</w:t>
      </w:r>
      <w:r>
        <w:rPr>
          <w:rFonts w:hint="eastAsia" w:ascii="宋体" w:hAnsi="宋体" w:eastAsia="宋体" w:cs="宋体"/>
          <w:b/>
          <w:color w:val="auto"/>
          <w:szCs w:val="21"/>
          <w:highlight w:val="none"/>
        </w:rPr>
        <w:t>集体议事定标法</w:t>
      </w:r>
    </w:p>
    <w:p>
      <w:pPr>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p>
    <w:p>
      <w:pPr>
        <w:spacing w:line="360" w:lineRule="auto"/>
        <w:ind w:firstLine="42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36.定标程序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36.1</w:t>
      </w:r>
      <w:r>
        <w:rPr>
          <w:rFonts w:hint="eastAsia" w:ascii="宋体" w:hAnsi="宋体" w:eastAsia="宋体" w:cs="宋体"/>
          <w:color w:val="auto"/>
          <w:kern w:val="0"/>
          <w:szCs w:val="21"/>
          <w:highlight w:val="none"/>
        </w:rPr>
        <w:t>招标人应当事先制定定标工作规则，对不同类别项目择优竞价结合方式、竞价方法、择优要素予以明确，并报招标人内设（或上级）的纪检监察机构（或督查机构）备案。</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highlight w:val="none"/>
        </w:rPr>
        <w:t>36.2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138"/>
          <w:rFonts w:hint="eastAsia" w:ascii="宋体" w:hAnsi="宋体" w:eastAsia="宋体" w:cs="宋体"/>
          <w:color w:val="auto"/>
          <w:kern w:val="0"/>
          <w:szCs w:val="21"/>
          <w:highlight w:val="none"/>
          <w:lang w:val="en-US" w:eastAsia="zh-CN"/>
        </w:rPr>
        <w:t>[</w:t>
      </w:r>
      <w:r>
        <w:rPr>
          <w:rStyle w:val="138"/>
          <w:rFonts w:hint="eastAsia" w:ascii="宋体" w:hAnsi="宋体" w:eastAsia="宋体" w:cs="宋体"/>
          <w:color w:val="auto"/>
          <w:kern w:val="0"/>
          <w:szCs w:val="21"/>
          <w:highlight w:val="none"/>
          <w:lang w:val="en-US" w:eastAsia="zh-CN"/>
        </w:rPr>
        <w:footnoteReference w:id="6"/>
      </w:r>
      <w:r>
        <w:rPr>
          <w:rStyle w:val="138"/>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36.3在定标环节，招标人应当遵循如下原则：先择优后竞价。</w:t>
      </w:r>
    </w:p>
    <w:p>
      <w:pPr>
        <w:adjustRightInd w:val="0"/>
        <w:snapToGrid w:val="0"/>
        <w:spacing w:line="360" w:lineRule="auto"/>
        <w:ind w:firstLine="42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36.4定标环节的择优因素主要考虑企业资质、科技创新能力、项目管理人员经验与水平、同类工程经验（业绩）及履约评价、企业及其人员的廉政记录、信用等因素。此外，货物招标重点考虑性价比、技术指标及商务条款响应等因素。同等条件下，招标人可以优先</w:t>
      </w:r>
      <w:r>
        <w:rPr>
          <w:rFonts w:hint="eastAsia" w:ascii="宋体" w:hAnsi="宋体" w:eastAsia="宋体" w:cs="宋体"/>
          <w:color w:val="auto"/>
          <w:szCs w:val="21"/>
          <w:highlight w:val="none"/>
          <w:lang w:val="en-US" w:eastAsia="zh-CN"/>
        </w:rPr>
        <w:t>选择</w:t>
      </w:r>
      <w:r>
        <w:rPr>
          <w:rFonts w:hint="eastAsia" w:ascii="宋体" w:hAnsi="宋体" w:eastAsia="宋体" w:cs="宋体"/>
          <w:i w:val="0"/>
          <w:iCs w:val="0"/>
          <w:caps w:val="0"/>
          <w:color w:val="auto"/>
          <w:spacing w:val="0"/>
          <w:kern w:val="0"/>
          <w:sz w:val="21"/>
          <w:szCs w:val="21"/>
          <w:highlight w:val="none"/>
          <w:shd w:val="clear" w:fill="auto"/>
        </w:rPr>
        <w:t>首台（套）重大技术装备</w:t>
      </w:r>
      <w:r>
        <w:rPr>
          <w:rFonts w:hint="eastAsia" w:ascii="宋体" w:hAnsi="宋体" w:eastAsia="宋体" w:cs="宋体"/>
          <w:i w:val="0"/>
          <w:iCs w:val="0"/>
          <w:caps w:val="0"/>
          <w:color w:val="auto"/>
          <w:spacing w:val="0"/>
          <w:kern w:val="0"/>
          <w:sz w:val="21"/>
          <w:szCs w:val="21"/>
          <w:highlight w:val="none"/>
          <w:shd w:val="clear"/>
          <w:lang w:eastAsia="zh-CN"/>
        </w:rPr>
        <w:t>、</w:t>
      </w:r>
      <w:r>
        <w:rPr>
          <w:rFonts w:hint="eastAsia" w:ascii="宋体" w:hAnsi="宋体" w:eastAsia="宋体" w:cs="宋体"/>
          <w:i w:val="0"/>
          <w:iCs w:val="0"/>
          <w:caps w:val="0"/>
          <w:color w:val="auto"/>
          <w:spacing w:val="0"/>
          <w:kern w:val="0"/>
          <w:sz w:val="21"/>
          <w:szCs w:val="21"/>
          <w:highlight w:val="none"/>
          <w:shd w:val="clear"/>
          <w:lang w:val="en-US" w:eastAsia="zh-CN"/>
        </w:rPr>
        <w:t>节能环保产品。</w:t>
      </w:r>
      <w:r>
        <w:rPr>
          <w:rFonts w:hint="eastAsia" w:ascii="宋体" w:hAnsi="宋体" w:eastAsia="宋体" w:cs="宋体"/>
          <w:color w:val="auto"/>
          <w:szCs w:val="21"/>
          <w:highlight w:val="none"/>
        </w:rPr>
        <w:t>鼓励招标人将</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参与“百千万工程”</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相关业绩、奖项等</w:t>
      </w:r>
      <w:r>
        <w:rPr>
          <w:rFonts w:hint="eastAsia" w:ascii="宋体" w:hAnsi="宋体" w:eastAsia="宋体" w:cs="宋体"/>
          <w:color w:val="auto"/>
          <w:szCs w:val="21"/>
          <w:highlight w:val="none"/>
          <w:lang w:val="en-US" w:eastAsia="zh-CN"/>
        </w:rPr>
        <w:t>情况</w:t>
      </w:r>
      <w:r>
        <w:rPr>
          <w:rFonts w:hint="eastAsia" w:ascii="宋体" w:hAnsi="宋体" w:eastAsia="宋体" w:cs="宋体"/>
          <w:color w:val="auto"/>
          <w:szCs w:val="21"/>
          <w:highlight w:val="none"/>
        </w:rPr>
        <w:t>作为定标择优因素</w:t>
      </w:r>
      <w:r>
        <w:rPr>
          <w:rFonts w:hint="eastAsia" w:ascii="宋体" w:hAnsi="宋体" w:eastAsia="宋体" w:cs="宋体"/>
          <w:color w:val="auto"/>
          <w:kern w:val="0"/>
          <w:szCs w:val="21"/>
          <w:highlight w:val="none"/>
        </w:rPr>
        <w:t>。</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招标人可以根据项目实际情况增加择优</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素，也可以综合考虑择优因素或按择优因素的重要性，对投标人进行逐级淘汰。</w:t>
      </w:r>
    </w:p>
    <w:p>
      <w:pPr>
        <w:adjustRightInd w:val="0"/>
        <w:snapToGrid w:val="0"/>
        <w:spacing w:line="360" w:lineRule="auto"/>
        <w:ind w:firstLine="420" w:firstLineChars="200"/>
        <w:rPr>
          <w:rFonts w:hint="eastAsia" w:ascii="宋体" w:hAnsi="宋体" w:eastAsia="宋体" w:cs="宋体"/>
          <w:strike w:val="0"/>
          <w:color w:val="auto"/>
          <w:szCs w:val="21"/>
          <w:highlight w:val="none"/>
        </w:rPr>
      </w:pPr>
      <w:r>
        <w:rPr>
          <w:rFonts w:hint="eastAsia" w:ascii="宋体" w:hAnsi="宋体" w:eastAsia="宋体" w:cs="宋体"/>
          <w:color w:val="auto"/>
          <w:szCs w:val="21"/>
          <w:highlight w:val="none"/>
          <w:lang w:val="en-US" w:eastAsia="zh-CN"/>
        </w:rPr>
        <w:t>36.5</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招标人应在评标委员会推荐的中标候选人中确定中标人。招标人应认真审查评标委员会提交的评标报告，发现评标委员会未按招标文件规定进行评审、推荐中标候选人等异常情形的，经招</w:t>
      </w:r>
    </w:p>
    <w:p>
      <w:pPr>
        <w:adjustRightInd w:val="0"/>
        <w:snapToGrid w:val="0"/>
        <w:spacing w:line="360" w:lineRule="auto"/>
        <w:ind w:firstLine="0" w:firstLineChars="0"/>
        <w:rPr>
          <w:rFonts w:hint="eastAsia" w:ascii="宋体" w:hAnsi="宋体" w:eastAsia="宋体" w:cs="宋体"/>
          <w:strike w:val="0"/>
          <w:color w:val="auto"/>
          <w:szCs w:val="21"/>
          <w:highlight w:val="none"/>
          <w:lang w:eastAsia="zh-CN"/>
        </w:rPr>
      </w:pPr>
      <w:r>
        <w:rPr>
          <w:rFonts w:hint="eastAsia" w:ascii="宋体" w:hAnsi="宋体" w:eastAsia="宋体" w:cs="宋体"/>
          <w:strike w:val="0"/>
          <w:color w:val="auto"/>
          <w:szCs w:val="21"/>
          <w:highlight w:val="none"/>
        </w:rPr>
        <w:t>标投标行政监督部门批准后由评标委员会复核纠正</w:t>
      </w:r>
      <w:r>
        <w:rPr>
          <w:rStyle w:val="138"/>
          <w:rFonts w:hint="eastAsia" w:ascii="宋体" w:hAnsi="宋体" w:eastAsia="宋体" w:cs="宋体"/>
          <w:strike w:val="0"/>
          <w:color w:val="auto"/>
          <w:szCs w:val="21"/>
          <w:highlight w:val="none"/>
        </w:rPr>
        <w:t>[</w:t>
      </w:r>
      <w:r>
        <w:rPr>
          <w:rStyle w:val="138"/>
          <w:rFonts w:hint="eastAsia" w:ascii="宋体" w:hAnsi="宋体" w:eastAsia="宋体" w:cs="宋体"/>
          <w:strike w:val="0"/>
          <w:color w:val="auto"/>
          <w:szCs w:val="21"/>
          <w:highlight w:val="none"/>
        </w:rPr>
        <w:footnoteReference w:id="7"/>
      </w:r>
      <w:r>
        <w:rPr>
          <w:rStyle w:val="138"/>
          <w:rFonts w:hint="eastAsia" w:ascii="宋体" w:hAnsi="宋体" w:eastAsia="宋体" w:cs="宋体"/>
          <w:strike w:val="0"/>
          <w:color w:val="auto"/>
          <w:szCs w:val="21"/>
          <w:highlight w:val="none"/>
        </w:rPr>
        <w:t>]</w:t>
      </w:r>
      <w:r>
        <w:rPr>
          <w:rFonts w:hint="eastAsia" w:ascii="宋体" w:hAnsi="宋体" w:eastAsia="宋体" w:cs="宋体"/>
          <w:strike w:val="0"/>
          <w:color w:val="auto"/>
          <w:szCs w:val="21"/>
          <w:highlight w:val="none"/>
          <w:lang w:eastAsia="zh-CN"/>
        </w:rPr>
        <w:t>。</w:t>
      </w:r>
    </w:p>
    <w:p>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定标委员会由招标人的法定代表人或者主要负责人组建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可以按以下方式组建，具体组建方式由招标人在项目定标方案中予以明确</w:t>
      </w:r>
      <w:r>
        <w:rPr>
          <w:rStyle w:val="138"/>
          <w:rFonts w:hint="eastAsia" w:ascii="宋体" w:hAnsi="宋体" w:eastAsia="宋体" w:cs="宋体"/>
          <w:color w:val="auto"/>
          <w:szCs w:val="21"/>
          <w:highlight w:val="none"/>
          <w:lang w:val="en-US" w:eastAsia="zh-CN"/>
        </w:rPr>
        <w:t>[</w:t>
      </w:r>
      <w:r>
        <w:rPr>
          <w:rStyle w:val="138"/>
          <w:rFonts w:hint="eastAsia" w:ascii="宋体" w:hAnsi="宋体" w:eastAsia="宋体" w:cs="宋体"/>
          <w:color w:val="auto"/>
          <w:szCs w:val="21"/>
          <w:highlight w:val="none"/>
          <w:lang w:val="en-US" w:eastAsia="zh-CN"/>
        </w:rPr>
        <w:footnoteReference w:id="8"/>
      </w:r>
      <w:r>
        <w:rPr>
          <w:rStyle w:val="138"/>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lang w:val="en-US" w:eastAsia="zh-CN"/>
        </w:rPr>
        <w:t>：</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p>
    <w:p>
      <w:pPr>
        <w:adjustRightInd w:val="0"/>
        <w:snapToGrid w:val="0"/>
        <w:spacing w:line="360" w:lineRule="auto"/>
        <w:ind w:firstLine="411" w:firstLineChars="196"/>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val="en-US" w:eastAsia="zh-CN"/>
        </w:rPr>
        <w:t>36.7</w:t>
      </w:r>
      <w:r>
        <w:rPr>
          <w:rFonts w:hint="eastAsia" w:ascii="宋体" w:hAnsi="宋体" w:eastAsia="宋体" w:cs="宋体"/>
          <w:color w:val="auto"/>
          <w:szCs w:val="21"/>
          <w:highlight w:val="none"/>
        </w:rPr>
        <w:t>定标委员会应当在定标会上推荐定标组长，招标人的法定代表人或者主要负责人参加定标委员会的，由其直接担任定标委员会组长。招标人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r>
        <w:rPr>
          <w:rStyle w:val="138"/>
          <w:rFonts w:hint="eastAsia" w:ascii="宋体" w:hAnsi="宋体" w:eastAsia="宋体" w:cs="宋体"/>
          <w:color w:val="auto"/>
          <w:szCs w:val="21"/>
          <w:highlight w:val="none"/>
          <w:lang w:val="en-US" w:eastAsia="zh-CN"/>
        </w:rPr>
        <w:t>[</w:t>
      </w:r>
      <w:r>
        <w:rPr>
          <w:rStyle w:val="138"/>
          <w:rFonts w:hint="eastAsia" w:ascii="宋体" w:hAnsi="宋体" w:eastAsia="宋体" w:cs="宋体"/>
          <w:color w:val="auto"/>
          <w:szCs w:val="21"/>
          <w:highlight w:val="none"/>
          <w:lang w:val="en-US" w:eastAsia="zh-CN"/>
        </w:rPr>
        <w:footnoteReference w:id="9"/>
      </w:r>
      <w:r>
        <w:rPr>
          <w:rStyle w:val="138"/>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lang w:val="en-US" w:eastAsia="zh-CN"/>
        </w:rPr>
        <w:t>。</w:t>
      </w:r>
    </w:p>
    <w:p>
      <w:pPr>
        <w:adjustRightInd w:val="0"/>
        <w:snapToGrid w:val="0"/>
        <w:spacing w:line="360" w:lineRule="auto"/>
        <w:ind w:firstLine="411" w:firstLineChars="196"/>
        <w:jc w:val="left"/>
        <w:rPr>
          <w:rFonts w:ascii="宋体" w:hAnsi="宋体" w:eastAsia="宋体" w:cs="宋体"/>
          <w:color w:val="auto"/>
          <w:szCs w:val="21"/>
          <w:highlight w:val="none"/>
        </w:rPr>
      </w:pPr>
      <w:r>
        <w:rPr>
          <w:rFonts w:hint="eastAsia" w:ascii="宋体" w:hAnsi="宋体" w:eastAsia="宋体" w:cs="宋体"/>
          <w:color w:val="auto"/>
          <w:szCs w:val="21"/>
          <w:highlight w:val="none"/>
        </w:rPr>
        <w:t>36.</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招标人应当自评标结束后10个工作日内进入深圳交易集团有限公司（深圳公共资源交易中心）进行定标。不能按时定标的，应当通过交易网公示延期原因和最终定标时间。</w:t>
      </w:r>
    </w:p>
    <w:p>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36.</w:t>
      </w:r>
      <w:r>
        <w:rPr>
          <w:rFonts w:hint="eastAsia" w:ascii="宋体" w:hAnsi="宋体" w:eastAsia="宋体" w:cs="宋体"/>
          <w:color w:val="auto"/>
          <w:kern w:val="0"/>
          <w:szCs w:val="21"/>
          <w:highlight w:val="none"/>
          <w:lang w:val="en-US" w:eastAsia="zh-CN"/>
        </w:rPr>
        <w:t>9</w:t>
      </w:r>
      <w:r>
        <w:rPr>
          <w:rFonts w:hint="eastAsia" w:ascii="宋体" w:hAnsi="宋体" w:eastAsia="宋体" w:cs="宋体"/>
          <w:color w:val="auto"/>
          <w:kern w:val="0"/>
          <w:szCs w:val="21"/>
          <w:highlight w:val="none"/>
        </w:rPr>
        <w:t>定标委员会成员在定标系统中提交选票（须说明推荐理由），并打印选票签名确认，定标过程公开、公平、公正。定标委员会按有关规定及招标文件约定的定标方法确定中标人。</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36.</w:t>
      </w: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招标人应在定标结束后将定标记录、定标报告交由深圳交易集团有限公司（深圳公共资源交易中心）归档并同时公示定标结果和中标结果。定标记录应包括定标委员会会议过程、正式成员名单</w:t>
      </w:r>
      <w:r>
        <w:rPr>
          <w:rFonts w:hint="eastAsia" w:ascii="宋体" w:hAnsi="宋体" w:eastAsia="宋体" w:cs="宋体"/>
          <w:color w:val="auto"/>
          <w:szCs w:val="21"/>
          <w:highlight w:val="none"/>
          <w:lang w:eastAsia="zh-CN"/>
        </w:rPr>
        <w:t>、监督小组名单</w:t>
      </w:r>
      <w:r>
        <w:rPr>
          <w:rFonts w:hint="eastAsia" w:ascii="宋体" w:hAnsi="宋体" w:eastAsia="宋体" w:cs="宋体"/>
          <w:color w:val="auto"/>
          <w:szCs w:val="21"/>
          <w:highlight w:val="none"/>
        </w:rPr>
        <w:t>。定标报告应包括定标委员会的产生过程、定标程序及定标结果等内容。招标人提交中标信息确认时，应认真核对中标公示信息，无误后再签名确认。</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36.1</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招标人应当向定标委员会提供定标方案、清标报告作为定标辅助材料。定标结束后，定标方案、清标报告及定标委员投票结果等定标过程资料应当留存备查。</w:t>
      </w:r>
    </w:p>
    <w:p>
      <w:pPr>
        <w:adjustRightInd/>
        <w:snapToGrid/>
        <w:spacing w:line="360" w:lineRule="auto"/>
        <w:ind w:firstLine="422" w:firstLineChars="200"/>
        <w:jc w:val="left"/>
        <w:rPr>
          <w:rFonts w:hint="eastAsia" w:ascii="宋体" w:hAnsi="宋体" w:eastAsia="宋体" w:cs="宋体"/>
          <w:b/>
          <w:color w:val="auto"/>
          <w:szCs w:val="21"/>
          <w:highlight w:val="none"/>
          <w:lang w:val="en-US" w:eastAsia="zh-CN"/>
        </w:rPr>
      </w:pPr>
      <w:r>
        <w:rPr>
          <w:rFonts w:hint="eastAsia" w:ascii="宋体" w:hAnsi="宋体" w:eastAsia="宋体" w:cs="宋体"/>
          <w:b/>
          <w:strike w:val="0"/>
          <w:color w:val="auto"/>
          <w:szCs w:val="21"/>
          <w:highlight w:val="none"/>
        </w:rPr>
        <w:t>37. 定标其它规定</w:t>
      </w:r>
    </w:p>
    <w:p>
      <w:pPr>
        <w:spacing w:line="360" w:lineRule="auto"/>
        <w:ind w:firstLine="422" w:firstLineChars="200"/>
        <w:rPr>
          <w:rFonts w:hint="eastAsia" w:ascii="宋体" w:hAnsi="宋体" w:eastAsia="宋体" w:cs="宋体"/>
          <w:color w:val="auto"/>
          <w:szCs w:val="21"/>
          <w:highlight w:val="none"/>
          <w:lang w:val="en-US" w:eastAsia="zh-CN"/>
        </w:rPr>
      </w:pPr>
      <w:r>
        <w:rPr>
          <w:rFonts w:hint="eastAsia" w:ascii="宋体" w:hAnsi="宋体" w:eastAsia="宋体" w:cs="宋体"/>
          <w:b/>
          <w:bCs/>
          <w:color w:val="auto"/>
          <w:szCs w:val="21"/>
          <w:highlight w:val="none"/>
        </w:rPr>
        <w:t>定标后有下列情形之一的，招标人可以从评审合格的其他投标人中采用原招标文件规定的定标方法，由原定标委员会确定中标人。</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37</w:t>
      </w:r>
      <w:r>
        <w:rPr>
          <w:rFonts w:hint="eastAsia" w:ascii="宋体" w:hAnsi="宋体" w:eastAsia="宋体" w:cs="宋体"/>
          <w:color w:val="auto"/>
          <w:szCs w:val="21"/>
          <w:highlight w:val="none"/>
        </w:rPr>
        <w:t>.1中标人放弃中标资格或者拒不签订合同的；</w:t>
      </w:r>
    </w:p>
    <w:p>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37</w:t>
      </w:r>
      <w:r>
        <w:rPr>
          <w:rFonts w:hint="eastAsia" w:ascii="宋体" w:hAnsi="宋体" w:eastAsia="宋体" w:cs="宋体"/>
          <w:color w:val="auto"/>
          <w:szCs w:val="21"/>
          <w:highlight w:val="none"/>
        </w:rPr>
        <w:t>.2中标人不按照招标文件要求提交履约担保的；</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37</w:t>
      </w:r>
      <w:r>
        <w:rPr>
          <w:rFonts w:hint="eastAsia" w:ascii="宋体" w:hAnsi="宋体" w:eastAsia="宋体" w:cs="宋体"/>
          <w:color w:val="auto"/>
          <w:szCs w:val="21"/>
          <w:highlight w:val="none"/>
        </w:rPr>
        <w:t>.3被查实存在影响中标结果违法行为的。</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38. 资信标表格</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38.1招标人可以结合项目实际要求投标人提供资信标作为定标参考因素之一。</w:t>
      </w:r>
    </w:p>
    <w:p>
      <w:pPr>
        <w:spacing w:line="360" w:lineRule="auto"/>
        <w:ind w:firstLine="562" w:firstLineChars="200"/>
        <w:jc w:val="center"/>
        <w:rPr>
          <w:rFonts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资信标要求一览表（如有）</w:t>
      </w:r>
    </w:p>
    <w:tbl>
      <w:tblPr>
        <w:tblStyle w:val="8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3544"/>
        <w:gridCol w:w="4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3544" w:type="dxa"/>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资信要素名称</w:t>
            </w:r>
          </w:p>
        </w:tc>
        <w:tc>
          <w:tcPr>
            <w:tcW w:w="4360" w:type="dxa"/>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有关要求或说明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Align w:val="center"/>
          </w:tcPr>
          <w:p>
            <w:pPr>
              <w:spacing w:line="360" w:lineRule="auto"/>
              <w:jc w:val="center"/>
              <w:rPr>
                <w:rFonts w:ascii="宋体" w:hAnsi="宋体" w:eastAsia="宋体" w:cs="宋体"/>
                <w:color w:val="auto"/>
                <w:kern w:val="0"/>
                <w:szCs w:val="21"/>
                <w:highlight w:val="none"/>
              </w:rPr>
            </w:pPr>
            <w:bookmarkStart w:id="32" w:name="资信标要求一览表" w:colFirst="0" w:colLast="0"/>
          </w:p>
        </w:tc>
        <w:tc>
          <w:tcPr>
            <w:tcW w:w="3544" w:type="dxa"/>
            <w:vAlign w:val="center"/>
          </w:tcPr>
          <w:p>
            <w:pPr>
              <w:spacing w:line="360" w:lineRule="auto"/>
              <w:jc w:val="center"/>
              <w:rPr>
                <w:rFonts w:ascii="宋体" w:hAnsi="宋体" w:eastAsia="宋体" w:cs="宋体"/>
                <w:color w:val="auto"/>
                <w:kern w:val="0"/>
                <w:szCs w:val="21"/>
                <w:highlight w:val="none"/>
              </w:rPr>
            </w:pPr>
          </w:p>
        </w:tc>
        <w:tc>
          <w:tcPr>
            <w:tcW w:w="4360" w:type="dxa"/>
            <w:vAlign w:val="center"/>
          </w:tcPr>
          <w:p>
            <w:pPr>
              <w:spacing w:line="360" w:lineRule="auto"/>
              <w:jc w:val="center"/>
              <w:rPr>
                <w:rFonts w:ascii="宋体" w:hAnsi="宋体" w:eastAsia="宋体" w:cs="宋体"/>
                <w:color w:val="auto"/>
                <w:kern w:val="0"/>
                <w:szCs w:val="21"/>
                <w:highlight w:val="none"/>
              </w:rPr>
            </w:pPr>
          </w:p>
        </w:tc>
      </w:tr>
      <w:bookmarkEnd w:id="32"/>
    </w:tbl>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备注：资信要素不进行评审，真实性通过公示予以监督。</w:t>
      </w:r>
    </w:p>
    <w:p>
      <w:pPr>
        <w:spacing w:line="360" w:lineRule="auto"/>
        <w:jc w:val="center"/>
        <w:outlineLvl w:val="2"/>
        <w:rPr>
          <w:rFonts w:ascii="黑体" w:hAnsi="黑体" w:eastAsia="黑体" w:cs="黑体"/>
          <w:bCs/>
          <w:color w:val="auto"/>
          <w:sz w:val="30"/>
          <w:highlight w:val="none"/>
        </w:rPr>
      </w:pPr>
      <w:bookmarkStart w:id="33" w:name="_Toc15577"/>
      <w:bookmarkStart w:id="34" w:name="_Toc45702698"/>
      <w:r>
        <w:rPr>
          <w:rFonts w:hint="eastAsia" w:ascii="黑体" w:hAnsi="黑体" w:eastAsia="黑体" w:cs="黑体"/>
          <w:bCs/>
          <w:color w:val="auto"/>
          <w:sz w:val="30"/>
          <w:highlight w:val="none"/>
        </w:rPr>
        <w:t>（七）中标通知书</w:t>
      </w:r>
      <w:bookmarkEnd w:id="33"/>
      <w:bookmarkEnd w:id="34"/>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39．中标通知书</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39.1招标人应在确定中标人后，将中标结果在</w:t>
      </w:r>
      <w:r>
        <w:rPr>
          <w:rFonts w:hint="eastAsia" w:ascii="宋体" w:hAnsi="宋体" w:eastAsia="宋体" w:cs="宋体"/>
          <w:color w:val="auto"/>
          <w:kern w:val="0"/>
          <w:szCs w:val="21"/>
          <w:highlight w:val="none"/>
        </w:rPr>
        <w:t>交易网</w:t>
      </w:r>
      <w:r>
        <w:rPr>
          <w:rFonts w:hint="eastAsia" w:ascii="宋体" w:hAnsi="宋体" w:eastAsia="宋体" w:cs="宋体"/>
          <w:color w:val="auto"/>
          <w:szCs w:val="21"/>
          <w:highlight w:val="none"/>
        </w:rPr>
        <w:t>公示。</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39.2公示期内对中标结果若无质疑，公示期结束后该中标结果自动生效。招标人将发出中标通知书。中标通知书是本招标项目合同的组成部分。如接到有关投诉的，招标人将可能暂停发出中标通知书。</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40．招标人的权利</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40.1招标人在发出中标通知书之前因正当理由，经行政监督部门批准并经</w:t>
      </w:r>
      <w:r>
        <w:rPr>
          <w:rFonts w:hint="eastAsia" w:ascii="宋体" w:hAnsi="宋体" w:eastAsia="宋体" w:cs="宋体"/>
          <w:color w:val="auto"/>
          <w:highlight w:val="none"/>
        </w:rPr>
        <w:t>交易网公示3个工作日后，招标人</w:t>
      </w:r>
      <w:r>
        <w:rPr>
          <w:rFonts w:hint="eastAsia" w:ascii="宋体" w:hAnsi="宋体" w:eastAsia="宋体" w:cs="宋体"/>
          <w:color w:val="auto"/>
          <w:szCs w:val="21"/>
          <w:highlight w:val="none"/>
        </w:rPr>
        <w:t>有权接受或拒绝投标、宣布投标程序无效或拒绝所有投标。对受影响的投标人不承担任何责任。</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40.2招标人在授予合同或实际供货时，有权对“货物需求书”章节中第一节“货物需求及数量一览表”中规定的货物数量或服务在合理幅度范围内予以增加或减少，但中标人不得对单价或其他条件做任何改变。</w:t>
      </w:r>
    </w:p>
    <w:p>
      <w:pPr>
        <w:spacing w:line="360" w:lineRule="auto"/>
        <w:jc w:val="center"/>
        <w:outlineLvl w:val="2"/>
        <w:rPr>
          <w:rFonts w:ascii="黑体" w:eastAsia="黑体"/>
          <w:bCs/>
          <w:color w:val="auto"/>
          <w:sz w:val="30"/>
          <w:highlight w:val="none"/>
        </w:rPr>
      </w:pPr>
      <w:bookmarkStart w:id="35" w:name="_Toc24577"/>
      <w:bookmarkStart w:id="36" w:name="_Toc45702699"/>
      <w:r>
        <w:rPr>
          <w:rFonts w:hint="eastAsia" w:ascii="黑体" w:eastAsia="黑体"/>
          <w:bCs/>
          <w:color w:val="auto"/>
          <w:sz w:val="30"/>
          <w:highlight w:val="none"/>
        </w:rPr>
        <w:t>（八）合同的授予</w:t>
      </w:r>
      <w:bookmarkEnd w:id="35"/>
      <w:bookmarkEnd w:id="36"/>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41．履约担保</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41.1本招标项目履约担保的金额和方式：见“投标须知前附表”。</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41.2中标人应在签订合同时，按招标文件规定的时间、出具单位及规定的金额向招标人提交履约担保。履约担保为中标价与招标控制价或投标报价上限（无招标控制价招标的）的差额，且不高于中标价的10%。</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41.3联合体中标的，其履约担保由联合体牵头人提交，并应符合本节相关规定。</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41.4如果中标人拒不提交本节要求的履约担保的，招标人可取消其中标资格，并没收其投标担保。</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42. 支付担保</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42.1本招标项目支付担保的金额和方式：见“投标须知前附表”。</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42.2招标人应在中标人提交履约担保的同时，向中标人提供与履约担保数额等额的支付担保。</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42.3中标人的履约担保和招标人的支付担保都必须采用经对方认可的银行保函、保证保险、专业工程担保公司担保等。双方均不得在工程担保有效期内解除担保。</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43．签订合同</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43.1招标人和中标人应当按“投标须知前附表”的规定，依据招标文件和中标人的投标文件订立书面合同。</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43.2中标人无正当理由拒签合同的，或者在签订合同时向招标人提出附加条件或者更改合同实质性内容的，招标人经请示</w:t>
      </w:r>
      <w:r>
        <w:rPr>
          <w:rFonts w:hint="eastAsia" w:ascii="宋体" w:hAnsi="宋体" w:eastAsia="宋体" w:cs="宋体"/>
          <w:color w:val="auto"/>
          <w:szCs w:val="21"/>
          <w:highlight w:val="none"/>
          <w:lang w:val="en-US" w:eastAsia="zh-CN"/>
        </w:rPr>
        <w:t>行政</w:t>
      </w:r>
      <w:r>
        <w:rPr>
          <w:rFonts w:hint="eastAsia" w:ascii="宋体" w:hAnsi="宋体" w:eastAsia="宋体" w:cs="宋体"/>
          <w:color w:val="auto"/>
          <w:szCs w:val="21"/>
          <w:highlight w:val="none"/>
        </w:rPr>
        <w:t>主管部门批准后可取消其中标资格，并没收其投标担保；给招标人的损失超过其投标担保数额的，中标人应当对超过部分予以赔偿；没有提交投标担保的，应当对招标人的损失承担赔偿责任。</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43.3招标人无正当理由拒签合同的，或者在签订合同时向中标人提出附加条件或者更改合同实质性内容的，有关行政监督部门将给予警告，责令改正；给中标人造成损失的，还应当赔偿损失。</w:t>
      </w:r>
    </w:p>
    <w:p>
      <w:pPr>
        <w:adjustRightInd w:val="0"/>
        <w:snapToGrid w:val="0"/>
        <w:spacing w:line="360" w:lineRule="auto"/>
        <w:jc w:val="center"/>
        <w:outlineLvl w:val="0"/>
        <w:rPr>
          <w:rFonts w:ascii="黑体" w:eastAsia="黑体"/>
          <w:b/>
          <w:color w:val="auto"/>
          <w:kern w:val="0"/>
          <w:sz w:val="36"/>
          <w:highlight w:val="none"/>
        </w:rPr>
      </w:pPr>
      <w:r>
        <w:rPr>
          <w:color w:val="auto"/>
          <w:highlight w:val="none"/>
        </w:rPr>
        <w:br w:type="page"/>
      </w:r>
      <w:bookmarkStart w:id="37" w:name="_Toc9044"/>
      <w:bookmarkStart w:id="38" w:name="_Toc14347"/>
      <w:bookmarkStart w:id="39" w:name="_Toc45702700"/>
      <w:bookmarkStart w:id="40" w:name="_Toc23378"/>
      <w:bookmarkStart w:id="41" w:name="定标方法"/>
      <w:r>
        <w:rPr>
          <w:rFonts w:hint="eastAsia" w:ascii="黑体" w:eastAsia="黑体"/>
          <w:bCs/>
          <w:color w:val="auto"/>
          <w:kern w:val="0"/>
          <w:sz w:val="32"/>
          <w:szCs w:val="32"/>
          <w:highlight w:val="none"/>
        </w:rPr>
        <w:t>第三章</w:t>
      </w:r>
      <w:r>
        <w:rPr>
          <w:rFonts w:ascii="黑体" w:eastAsia="黑体"/>
          <w:bCs/>
          <w:color w:val="auto"/>
          <w:kern w:val="0"/>
          <w:sz w:val="32"/>
          <w:szCs w:val="32"/>
          <w:highlight w:val="none"/>
        </w:rPr>
        <w:t xml:space="preserve">  </w:t>
      </w:r>
      <w:r>
        <w:rPr>
          <w:rFonts w:hint="eastAsia" w:ascii="黑体" w:eastAsia="黑体"/>
          <w:bCs/>
          <w:color w:val="auto"/>
          <w:kern w:val="0"/>
          <w:sz w:val="32"/>
          <w:szCs w:val="32"/>
          <w:highlight w:val="none"/>
        </w:rPr>
        <w:t>招标人对招标文件及合同范本的补充/修改</w:t>
      </w:r>
      <w:bookmarkEnd w:id="37"/>
      <w:bookmarkEnd w:id="38"/>
      <w:bookmarkEnd w:id="39"/>
      <w:bookmarkEnd w:id="40"/>
    </w:p>
    <w:p>
      <w:pPr>
        <w:topLinePunct/>
        <w:adjustRightInd w:val="0"/>
        <w:snapToGrid w:val="0"/>
        <w:spacing w:line="360" w:lineRule="auto"/>
        <w:ind w:firstLine="440" w:firstLineChars="200"/>
        <w:rPr>
          <w:rFonts w:ascii="宋体" w:hAnsi="宋体"/>
          <w:color w:val="auto"/>
          <w:kern w:val="0"/>
          <w:sz w:val="22"/>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招标人可根据工程实际情况，对本范本进行补充或修改，但有关补充或修改内容不得违法违规，且必须逐一列举在以下栏目中。请投标人认真阅读并遵照执行：</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补充修改</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以下空白。</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编制日期：</w:t>
      </w:r>
      <w:r>
        <w:rPr>
          <w:rFonts w:hint="eastAsia" w:ascii="宋体" w:hAnsi="宋体" w:eastAsia="宋体" w:cs="宋体"/>
          <w:color w:val="auto"/>
          <w:kern w:val="0"/>
          <w:szCs w:val="21"/>
          <w:highlight w:val="none"/>
          <w:u w:val="single"/>
        </w:rPr>
        <w:t xml:space="preserve">      </w:t>
      </w:r>
    </w:p>
    <w:p>
      <w:pPr>
        <w:widowControl/>
        <w:jc w:val="left"/>
        <w:rPr>
          <w:color w:val="auto"/>
          <w:kern w:val="0"/>
          <w:highlight w:val="none"/>
        </w:rPr>
      </w:pPr>
    </w:p>
    <w:p>
      <w:pPr>
        <w:widowControl/>
        <w:jc w:val="left"/>
        <w:rPr>
          <w:color w:val="auto"/>
          <w:kern w:val="0"/>
          <w:highlight w:val="none"/>
        </w:rPr>
      </w:pPr>
    </w:p>
    <w:p>
      <w:pPr>
        <w:widowControl/>
        <w:jc w:val="left"/>
        <w:rPr>
          <w:color w:val="auto"/>
          <w:kern w:val="0"/>
          <w:highlight w:val="none"/>
        </w:rPr>
      </w:pPr>
    </w:p>
    <w:p>
      <w:pPr>
        <w:widowControl/>
        <w:jc w:val="left"/>
        <w:rPr>
          <w:color w:val="auto"/>
          <w:kern w:val="0"/>
          <w:highlight w:val="none"/>
        </w:rPr>
      </w:pPr>
    </w:p>
    <w:p>
      <w:pPr>
        <w:widowControl/>
        <w:jc w:val="left"/>
        <w:rPr>
          <w:color w:val="auto"/>
          <w:kern w:val="0"/>
          <w:highlight w:val="none"/>
        </w:rPr>
      </w:pPr>
    </w:p>
    <w:bookmarkEnd w:id="41"/>
    <w:p>
      <w:pPr>
        <w:rPr>
          <w:rFonts w:ascii="黑体" w:eastAsia="黑体"/>
          <w:b/>
          <w:color w:val="auto"/>
          <w:kern w:val="0"/>
          <w:sz w:val="36"/>
          <w:highlight w:val="none"/>
        </w:rPr>
      </w:pPr>
      <w:bookmarkStart w:id="42" w:name="_Toc25974"/>
      <w:bookmarkStart w:id="43" w:name="_Toc45702701"/>
      <w:r>
        <w:rPr>
          <w:rFonts w:hint="eastAsia" w:ascii="黑体" w:eastAsia="黑体"/>
          <w:b/>
          <w:color w:val="auto"/>
          <w:kern w:val="0"/>
          <w:sz w:val="36"/>
          <w:highlight w:val="none"/>
        </w:rPr>
        <w:br w:type="page"/>
      </w:r>
    </w:p>
    <w:p>
      <w:pPr>
        <w:adjustRightInd w:val="0"/>
        <w:snapToGrid w:val="0"/>
        <w:spacing w:line="360" w:lineRule="auto"/>
        <w:jc w:val="center"/>
        <w:outlineLvl w:val="0"/>
        <w:rPr>
          <w:rFonts w:ascii="黑体" w:eastAsia="黑体"/>
          <w:bCs/>
          <w:color w:val="auto"/>
          <w:kern w:val="0"/>
          <w:sz w:val="32"/>
          <w:szCs w:val="32"/>
          <w:highlight w:val="none"/>
        </w:rPr>
      </w:pPr>
      <w:r>
        <w:rPr>
          <w:rFonts w:hint="eastAsia" w:ascii="黑体" w:eastAsia="黑体"/>
          <w:bCs/>
          <w:color w:val="auto"/>
          <w:kern w:val="0"/>
          <w:sz w:val="32"/>
          <w:szCs w:val="32"/>
          <w:highlight w:val="none"/>
        </w:rPr>
        <w:t>第四章  投标文件格式</w:t>
      </w:r>
      <w:bookmarkEnd w:id="42"/>
      <w:bookmarkEnd w:id="43"/>
    </w:p>
    <w:p>
      <w:pPr>
        <w:adjustRightInd w:val="0"/>
        <w:snapToGrid w:val="0"/>
        <w:spacing w:line="360" w:lineRule="auto"/>
        <w:rPr>
          <w:color w:val="auto"/>
          <w:highlight w:val="none"/>
        </w:rPr>
      </w:pPr>
      <w:r>
        <w:rPr>
          <w:color w:val="auto"/>
          <w:highlight w:val="none"/>
        </w:rPr>
        <w:br w:type="page"/>
      </w:r>
    </w:p>
    <w:p>
      <w:pPr>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A.资格审查标书封面</w:t>
      </w: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rPr>
        <w:t>________________________工程</w:t>
      </w: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52"/>
          <w:szCs w:val="52"/>
          <w:highlight w:val="none"/>
        </w:rPr>
      </w:pPr>
      <w:r>
        <w:rPr>
          <w:rFonts w:hint="eastAsia" w:ascii="宋体" w:hAnsi="宋体" w:eastAsia="宋体" w:cs="宋体"/>
          <w:color w:val="auto"/>
          <w:kern w:val="0"/>
          <w:sz w:val="52"/>
          <w:szCs w:val="52"/>
          <w:highlight w:val="none"/>
        </w:rPr>
        <w:t>投标文件</w:t>
      </w:r>
    </w:p>
    <w:p>
      <w:pPr>
        <w:topLinePunct/>
        <w:adjustRightInd w:val="0"/>
        <w:snapToGrid w:val="0"/>
        <w:spacing w:line="360" w:lineRule="auto"/>
        <w:jc w:val="center"/>
        <w:rPr>
          <w:rFonts w:ascii="宋体" w:hAnsi="宋体" w:eastAsia="宋体" w:cs="宋体"/>
          <w:color w:val="auto"/>
          <w:kern w:val="0"/>
          <w:sz w:val="52"/>
          <w:szCs w:val="52"/>
          <w:highlight w:val="none"/>
        </w:rPr>
      </w:pPr>
    </w:p>
    <w:p>
      <w:pPr>
        <w:topLinePunct/>
        <w:adjustRightInd w:val="0"/>
        <w:snapToGrid w:val="0"/>
        <w:spacing w:line="360" w:lineRule="auto"/>
        <w:jc w:val="center"/>
        <w:outlineLvl w:val="1"/>
        <w:rPr>
          <w:rFonts w:ascii="宋体" w:hAnsi="宋体" w:eastAsia="宋体" w:cs="宋体"/>
          <w:color w:val="auto"/>
          <w:kern w:val="0"/>
          <w:sz w:val="44"/>
          <w:szCs w:val="44"/>
          <w:highlight w:val="none"/>
        </w:rPr>
      </w:pPr>
      <w:bookmarkStart w:id="44" w:name="_Toc45702702"/>
      <w:bookmarkStart w:id="45" w:name="_Toc4977"/>
      <w:r>
        <w:rPr>
          <w:rFonts w:hint="eastAsia" w:ascii="宋体" w:hAnsi="宋体" w:eastAsia="宋体" w:cs="宋体"/>
          <w:color w:val="auto"/>
          <w:kern w:val="0"/>
          <w:sz w:val="44"/>
          <w:szCs w:val="44"/>
          <w:highlight w:val="none"/>
        </w:rPr>
        <w:t>资格审查标书</w:t>
      </w:r>
      <w:bookmarkEnd w:id="44"/>
      <w:bookmarkEnd w:id="45"/>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项目编号：_____________________________</w:t>
      </w:r>
    </w:p>
    <w:p>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投标人名称：___________________________</w:t>
      </w:r>
    </w:p>
    <w:p>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投标人代表：___________________________</w:t>
      </w:r>
    </w:p>
    <w:p>
      <w:pPr>
        <w:topLinePunct/>
        <w:adjustRightInd w:val="0"/>
        <w:snapToGrid w:val="0"/>
        <w:spacing w:line="360" w:lineRule="auto"/>
        <w:ind w:firstLine="1400" w:firstLineChars="500"/>
        <w:jc w:val="left"/>
        <w:rPr>
          <w:rFonts w:ascii="宋体" w:hAnsi="宋体" w:eastAsia="宋体" w:cs="宋体"/>
          <w:color w:val="auto"/>
          <w:highlight w:val="none"/>
        </w:rPr>
      </w:pPr>
      <w:r>
        <w:rPr>
          <w:rFonts w:hint="eastAsia" w:ascii="宋体" w:hAnsi="宋体" w:eastAsia="宋体" w:cs="宋体"/>
          <w:color w:val="auto"/>
          <w:kern w:val="0"/>
          <w:sz w:val="28"/>
          <w:szCs w:val="28"/>
          <w:highlight w:val="none"/>
        </w:rPr>
        <w:t>投标日期：___________年______月______日</w:t>
      </w:r>
      <w:r>
        <w:rPr>
          <w:rFonts w:hint="eastAsia" w:ascii="宋体" w:hAnsi="宋体" w:eastAsia="宋体" w:cs="宋体"/>
          <w:color w:val="auto"/>
          <w:highlight w:val="none"/>
        </w:rPr>
        <w:br w:type="page"/>
      </w:r>
    </w:p>
    <w:p>
      <w:pPr>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B.资信标书封面</w:t>
      </w: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rPr>
        <w:t>________________________工程</w:t>
      </w: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52"/>
          <w:szCs w:val="52"/>
          <w:highlight w:val="none"/>
        </w:rPr>
      </w:pPr>
      <w:r>
        <w:rPr>
          <w:rFonts w:hint="eastAsia" w:ascii="宋体" w:hAnsi="宋体" w:eastAsia="宋体" w:cs="宋体"/>
          <w:color w:val="auto"/>
          <w:kern w:val="0"/>
          <w:sz w:val="52"/>
          <w:szCs w:val="52"/>
          <w:highlight w:val="none"/>
        </w:rPr>
        <w:t>投标文件</w:t>
      </w:r>
    </w:p>
    <w:p>
      <w:pPr>
        <w:topLinePunct/>
        <w:adjustRightInd w:val="0"/>
        <w:snapToGrid w:val="0"/>
        <w:spacing w:line="360" w:lineRule="auto"/>
        <w:jc w:val="center"/>
        <w:rPr>
          <w:rFonts w:ascii="宋体" w:hAnsi="宋体" w:eastAsia="宋体" w:cs="宋体"/>
          <w:color w:val="auto"/>
          <w:kern w:val="0"/>
          <w:sz w:val="52"/>
          <w:szCs w:val="52"/>
          <w:highlight w:val="none"/>
        </w:rPr>
      </w:pPr>
    </w:p>
    <w:p>
      <w:pPr>
        <w:topLinePunct/>
        <w:adjustRightInd w:val="0"/>
        <w:snapToGrid w:val="0"/>
        <w:spacing w:line="360" w:lineRule="auto"/>
        <w:jc w:val="center"/>
        <w:outlineLvl w:val="1"/>
        <w:rPr>
          <w:rFonts w:ascii="宋体" w:hAnsi="宋体" w:eastAsia="宋体" w:cs="宋体"/>
          <w:color w:val="auto"/>
          <w:kern w:val="0"/>
          <w:sz w:val="44"/>
          <w:szCs w:val="44"/>
          <w:highlight w:val="none"/>
        </w:rPr>
      </w:pPr>
      <w:bookmarkStart w:id="46" w:name="_Toc45702703"/>
      <w:bookmarkStart w:id="47" w:name="_Toc8765"/>
      <w:r>
        <w:rPr>
          <w:rFonts w:hint="eastAsia" w:ascii="宋体" w:hAnsi="宋体" w:eastAsia="宋体" w:cs="宋体"/>
          <w:color w:val="auto"/>
          <w:kern w:val="0"/>
          <w:sz w:val="44"/>
          <w:szCs w:val="44"/>
          <w:highlight w:val="none"/>
        </w:rPr>
        <w:t>资信标书</w:t>
      </w:r>
      <w:bookmarkEnd w:id="46"/>
      <w:bookmarkEnd w:id="47"/>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项目编号：_____________________________</w:t>
      </w:r>
    </w:p>
    <w:p>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投标人名称：___________________________</w:t>
      </w:r>
    </w:p>
    <w:p>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投标人代表：___________________________</w:t>
      </w:r>
    </w:p>
    <w:p>
      <w:pPr>
        <w:topLinePunct/>
        <w:adjustRightInd w:val="0"/>
        <w:snapToGrid w:val="0"/>
        <w:spacing w:line="360" w:lineRule="auto"/>
        <w:ind w:firstLine="1400" w:firstLineChars="500"/>
        <w:jc w:val="left"/>
        <w:rPr>
          <w:color w:val="auto"/>
          <w:highlight w:val="none"/>
        </w:rPr>
      </w:pPr>
      <w:r>
        <w:rPr>
          <w:rFonts w:hint="eastAsia" w:ascii="宋体" w:hAnsi="宋体" w:eastAsia="宋体" w:cs="宋体"/>
          <w:color w:val="auto"/>
          <w:kern w:val="0"/>
          <w:sz w:val="28"/>
          <w:szCs w:val="28"/>
          <w:highlight w:val="none"/>
        </w:rPr>
        <w:t>投标日期：____________年_____月______日</w:t>
      </w:r>
      <w:r>
        <w:rPr>
          <w:color w:val="auto"/>
          <w:highlight w:val="none"/>
        </w:rPr>
        <w:br w:type="page"/>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投标函</w:t>
      </w:r>
    </w:p>
    <w:p>
      <w:pPr>
        <w:topLinePunct/>
        <w:adjustRightInd w:val="0"/>
        <w:snapToGrid w:val="0"/>
        <w:spacing w:line="360" w:lineRule="auto"/>
        <w:jc w:val="left"/>
        <w:rPr>
          <w:rFonts w:ascii="宋体" w:hAnsi="宋体"/>
          <w:color w:val="auto"/>
          <w:kern w:val="0"/>
          <w:highlight w:val="none"/>
        </w:rPr>
      </w:pPr>
    </w:p>
    <w:p>
      <w:pPr>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致：________________________</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根据贵方的项目编号为_____________的___________________项目的招标文件及本次招标的补遗文件，我方已详细审核了全部招标文件及有关附件。我方完全理解并同意放弃对这方面有不明及误解的权力。</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1．我方保证遵守中华人民共和国、深圳市有关招标投标的法律、法规和与招标投标有关的规定；保证遵从</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highlight w:val="none"/>
        </w:rPr>
        <w:t>各项管理制度，自觉维护</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highlight w:val="none"/>
        </w:rPr>
        <w:t>正常秩序；保证服从招标有关议程事项安排，服从招标有关会议现场纪律。若有违反，同意被废除投标资料并接受处罚。</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2.我方已按招标文件规定的形式和金额提交投标担保，并且保证所提交的保证金是从我方基本账户汇出，银行保函是由我方基本账户开户银行所在网点或其上级银行机构出具，</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color w:val="auto"/>
          <w:kern w:val="0"/>
          <w:highlight w:val="none"/>
        </w:rPr>
        <w:t>保证保险的保费通过我方基本账户支付。如不按上述原则提交投标担保，贵方有权取消我方的中标资格或单方面终止合同，因此造成的责任由我方承担。</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我方同意所递交的投标文件在招标文件规定的投标有效期内有效，在此期间内我方的投标有可能中标，我方将受此约束。如果在投标有效期内撤回投标或放弃中标资格，我方的投标担保将全部被没收，给贵方造成的损失超过我方投标担保金额的，贵方还有权要求我方对超过部分进行赔偿。</w:t>
      </w:r>
    </w:p>
    <w:p>
      <w:pPr>
        <w:topLinePunct/>
        <w:adjustRightInd w:val="0"/>
        <w:snapToGrid w:val="0"/>
        <w:spacing w:line="360" w:lineRule="auto"/>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4.如果我方中标，我方保证在_____天内完成供货</w:t>
      </w:r>
      <w:r>
        <w:rPr>
          <w:rFonts w:hint="eastAsia" w:ascii="宋体" w:hAnsi="宋体" w:eastAsia="宋体" w:cs="宋体"/>
          <w:color w:val="auto"/>
          <w:kern w:val="0"/>
          <w:highlight w:val="none"/>
          <w:lang w:eastAsia="zh-CN"/>
        </w:rPr>
        <w:t>（或者</w:t>
      </w:r>
      <w:r>
        <w:rPr>
          <w:rFonts w:hint="eastAsia" w:ascii="宋体" w:hAnsi="宋体" w:eastAsia="宋体" w:cs="宋体"/>
          <w:color w:val="auto"/>
          <w:kern w:val="0"/>
          <w:highlight w:val="none"/>
        </w:rPr>
        <w:t>我方保证在_____天内完成供货及安装，其中：供货期    日历天，安装期    日历天</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rPr>
        <w:t>，并将按招标文件的规定履行合同责任和义务。</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5．如果我方中标，我方将按照规定提交由招标人认可的，并在招标文件中规定金额的履约保函。</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6．我方同意提供按照贵方可能要求的与其投标有关的一切数据或资料，完全理解贵方不一定接受最低价的投标或收到的任何投标。</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7．我方保证投标文件内容无任何虚假。若评标过程中查有虚假，同意作无效或废标处理，并被没收投标担保；若中标之后查有虚假，同意被废除授标并被没收投标担保。</w:t>
      </w:r>
    </w:p>
    <w:p>
      <w:pPr>
        <w:topLinePunct/>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本投标函同时作为法定代表人证明书和法人授权委托书。</w:t>
      </w:r>
    </w:p>
    <w:p>
      <w:pPr>
        <w:topLinePunct/>
        <w:adjustRightInd w:val="0"/>
        <w:snapToGrid w:val="0"/>
        <w:spacing w:line="360" w:lineRule="auto"/>
        <w:ind w:firstLine="420" w:firstLineChars="200"/>
        <w:jc w:val="left"/>
        <w:rPr>
          <w:rFonts w:ascii="宋体" w:hAnsi="宋体" w:eastAsia="宋体" w:cs="宋体"/>
          <w:color w:val="auto"/>
          <w:kern w:val="0"/>
          <w:highlight w:val="none"/>
        </w:rPr>
      </w:pP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投标人名称：______________________________________________</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投标人代表：______________________________________________</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联系地址：________________________________________________</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联系电话：________________________________________________</w:t>
      </w:r>
    </w:p>
    <w:p>
      <w:pPr>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szCs w:val="21"/>
          <w:highlight w:val="none"/>
        </w:rPr>
        <w:t>日期：________________________________________________</w:t>
      </w:r>
      <w:r>
        <w:rPr>
          <w:color w:val="auto"/>
          <w:highlight w:val="none"/>
        </w:rPr>
        <w:br w:type="page"/>
      </w:r>
    </w:p>
    <w:p>
      <w:pPr>
        <w:topLinePunct/>
        <w:adjustRightInd w:val="0"/>
        <w:snapToGrid w:val="0"/>
        <w:spacing w:line="360" w:lineRule="auto"/>
        <w:ind w:firstLine="420" w:firstLineChars="200"/>
        <w:jc w:val="left"/>
        <w:rPr>
          <w:color w:val="auto"/>
          <w:highlight w:val="none"/>
        </w:rPr>
      </w:pP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资信条款响应表</w:t>
      </w:r>
    </w:p>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w:t>
      </w:r>
    </w:p>
    <w:tbl>
      <w:tblPr>
        <w:tblStyle w:val="81"/>
        <w:tblW w:w="92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1202"/>
        <w:gridCol w:w="2902"/>
        <w:gridCol w:w="2829"/>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1" w:type="dxa"/>
            <w:shd w:val="clear" w:color="auto" w:fill="auto"/>
            <w:vAlign w:val="center"/>
          </w:tcPr>
          <w:p>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1202" w:type="dxa"/>
            <w:shd w:val="clear" w:color="auto" w:fill="auto"/>
            <w:vAlign w:val="center"/>
          </w:tcPr>
          <w:p>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条款号</w:t>
            </w:r>
          </w:p>
        </w:tc>
        <w:tc>
          <w:tcPr>
            <w:tcW w:w="2902" w:type="dxa"/>
            <w:shd w:val="clear" w:color="auto" w:fill="auto"/>
            <w:vAlign w:val="center"/>
          </w:tcPr>
          <w:p>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招标需求</w:t>
            </w:r>
          </w:p>
        </w:tc>
        <w:tc>
          <w:tcPr>
            <w:tcW w:w="2829" w:type="dxa"/>
            <w:shd w:val="clear" w:color="auto" w:fill="auto"/>
            <w:vAlign w:val="center"/>
          </w:tcPr>
          <w:p>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投标内容</w:t>
            </w:r>
          </w:p>
        </w:tc>
        <w:tc>
          <w:tcPr>
            <w:tcW w:w="1585" w:type="dxa"/>
            <w:shd w:val="clear" w:color="auto" w:fill="auto"/>
            <w:vAlign w:val="center"/>
          </w:tcPr>
          <w:p>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bookmarkStart w:id="48" w:name="资信条款响应表" w:colFirst="0" w:colLast="0"/>
          </w:p>
        </w:tc>
        <w:tc>
          <w:tcPr>
            <w:tcW w:w="1202"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2902"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p>
        </w:tc>
        <w:tc>
          <w:tcPr>
            <w:tcW w:w="2829"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p>
        </w:tc>
        <w:tc>
          <w:tcPr>
            <w:tcW w:w="1585"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p>
        </w:tc>
      </w:tr>
      <w:bookmarkEnd w:id="48"/>
    </w:tbl>
    <w:p>
      <w:pPr>
        <w:topLinePunct/>
        <w:adjustRightInd w:val="0"/>
        <w:snapToGrid w:val="0"/>
        <w:spacing w:line="360" w:lineRule="auto"/>
        <w:jc w:val="left"/>
        <w:rPr>
          <w:rFonts w:ascii="宋体" w:hAnsi="宋体" w:eastAsia="宋体" w:cs="宋体"/>
          <w:color w:val="auto"/>
          <w:kern w:val="0"/>
          <w:szCs w:val="21"/>
          <w:highlight w:val="none"/>
        </w:rPr>
      </w:pPr>
    </w:p>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重要提示：</w:t>
      </w:r>
    </w:p>
    <w:p>
      <w:pPr>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szCs w:val="21"/>
          <w:highlight w:val="none"/>
        </w:rPr>
        <w:t>只列出发生偏离的项目，没有列出的将被视为完全响应。</w:t>
      </w:r>
      <w:r>
        <w:rPr>
          <w:color w:val="auto"/>
          <w:highlight w:val="none"/>
        </w:rPr>
        <w:br w:type="page"/>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联合体共同投标协议</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致_____________</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我方决定组成联合体共同参加该项目的投标，若中标，联合体各成员向招标人承担连带责任。我方授权委托本协议牵头人，代表所有联合体成员参加投标、提交投标文件，以及与招标人签订合同，负责整个合同实施阶段的协调工作。</w:t>
      </w:r>
    </w:p>
    <w:p>
      <w:pPr>
        <w:topLinePunct/>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本投标协议同时作为法定代表人证明书和法人授权委托书。</w:t>
      </w:r>
    </w:p>
    <w:p>
      <w:pPr>
        <w:topLinePunct/>
        <w:adjustRightInd w:val="0"/>
        <w:snapToGrid w:val="0"/>
        <w:spacing w:line="360" w:lineRule="auto"/>
        <w:ind w:firstLine="422" w:firstLineChars="200"/>
        <w:jc w:val="left"/>
        <w:rPr>
          <w:rFonts w:ascii="宋体" w:hAnsi="宋体" w:eastAsia="宋体" w:cs="宋体"/>
          <w:b/>
          <w:color w:val="auto"/>
          <w:kern w:val="0"/>
          <w:highlight w:val="none"/>
        </w:rPr>
      </w:pPr>
    </w:p>
    <w:p>
      <w:pPr>
        <w:topLinePunct/>
        <w:adjustRightInd w:val="0"/>
        <w:snapToGrid w:val="0"/>
        <w:spacing w:line="360" w:lineRule="auto"/>
        <w:ind w:firstLine="420" w:firstLineChars="200"/>
        <w:jc w:val="left"/>
        <w:rPr>
          <w:rFonts w:ascii="宋体" w:hAnsi="宋体" w:eastAsia="宋体" w:cs="宋体"/>
          <w:color w:val="auto"/>
          <w:kern w:val="0"/>
          <w:highlight w:val="none"/>
        </w:rPr>
      </w:pP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投标牵头人（盖章）：__________________________________</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单位地址：____________________________邮编：_________</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联系电话：____________________________传真：_________</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分工内容：___________________________________________</w:t>
      </w:r>
    </w:p>
    <w:p>
      <w:pPr>
        <w:topLinePunct/>
        <w:adjustRightInd w:val="0"/>
        <w:snapToGrid w:val="0"/>
        <w:spacing w:line="360" w:lineRule="auto"/>
        <w:ind w:firstLine="420" w:firstLineChars="200"/>
        <w:jc w:val="left"/>
        <w:rPr>
          <w:rFonts w:ascii="宋体" w:hAnsi="宋体" w:eastAsia="宋体" w:cs="宋体"/>
          <w:color w:val="auto"/>
          <w:kern w:val="0"/>
          <w:highlight w:val="none"/>
        </w:rPr>
      </w:pP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联合体成员（盖章）：__________________________________</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单位地址：____________________________邮编：_________</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联系电话：____________________________传真：_________</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分工内容：___________________________________________</w:t>
      </w:r>
    </w:p>
    <w:p>
      <w:pPr>
        <w:topLinePunct/>
        <w:adjustRightInd w:val="0"/>
        <w:snapToGrid w:val="0"/>
        <w:spacing w:line="360" w:lineRule="auto"/>
        <w:ind w:firstLine="420" w:firstLineChars="200"/>
        <w:jc w:val="left"/>
        <w:rPr>
          <w:rFonts w:ascii="宋体" w:hAnsi="宋体" w:eastAsia="宋体" w:cs="宋体"/>
          <w:color w:val="auto"/>
          <w:kern w:val="0"/>
          <w:highlight w:val="none"/>
        </w:rPr>
      </w:pP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联合体成员（盖章）：__________________________________</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单位地址：____________________________邮编：_________</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联系电话：____________________________传真：_________</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分工内容：___________________________________________</w:t>
      </w:r>
    </w:p>
    <w:p>
      <w:pPr>
        <w:topLinePunct/>
        <w:adjustRightInd w:val="0"/>
        <w:snapToGrid w:val="0"/>
        <w:spacing w:line="360" w:lineRule="auto"/>
        <w:ind w:firstLine="420" w:firstLineChars="200"/>
        <w:jc w:val="left"/>
        <w:rPr>
          <w:rFonts w:ascii="宋体" w:hAnsi="宋体" w:eastAsia="宋体" w:cs="宋体"/>
          <w:color w:val="auto"/>
          <w:kern w:val="0"/>
          <w:highlight w:val="none"/>
        </w:rPr>
      </w:pPr>
    </w:p>
    <w:p>
      <w:pPr>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签订日期：    年 月 日</w:t>
      </w:r>
      <w:r>
        <w:rPr>
          <w:color w:val="auto"/>
          <w:highlight w:val="none"/>
        </w:rPr>
        <w:br w:type="page"/>
      </w:r>
    </w:p>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A5投标保函</w:t>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投标保函</w:t>
      </w:r>
    </w:p>
    <w:p>
      <w:pPr>
        <w:topLinePunct/>
        <w:adjustRightInd w:val="0"/>
        <w:snapToGrid w:val="0"/>
        <w:spacing w:line="360" w:lineRule="auto"/>
        <w:ind w:firstLine="6300" w:firstLineChars="30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保函编号：________________</w:t>
      </w:r>
    </w:p>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致________________________（下称受益人）：</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鉴于______________________（下称被保证人）将参加贵方标段编号为__________________的______________________项目的投标，我方接受被保证人的委托，在此向受益人提供不可撤销的投标保证：</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一、本保证担保的担保金额为</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币种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元</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小写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大写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二、本保证担保的保证期间为该项目的投标有效期或延长的投标有效期后28日（含28日），延长投标有效期无须通知我方。</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三、在本保证担保的保证期间内，如果被保证人出现下列情形之一，受益人可以向我方提起索赔：</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1.被保证人在招标文件规定的投标有效期内撤回其投标；</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2.被保证人在投标有效期内收到受益人发出的中标通知书后，不能或拒绝按招标文件的要求签署合同；</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3.被保证人在投标有效期内收到受益人发出的中标通知书后，不能或拒绝按招标文件的规定提交履约担保。</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五、受益人的索赔通知应当说明索赔理由，并必须在本保证担保的保证期间内以专人送达或邮寄送达的方式送达我方。</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六、本保证担保项下的权利不得转让。</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七、本保证担保的保证期间届满，或我方已向受益人支付本保证担保的担保金额，我方的保证责任免除。</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八、本保证担保适用中华人民共和国法律。</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九、本保证担保以中文文本为准，涂改无效。</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保证人（盖章）：________________________________________</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法定代表人或其授权委托代理人（签字或盖章）：__________________________</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单位地址：________________________________________</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邮政编码：_______________电话：___________</w:t>
      </w:r>
      <w:r>
        <w:rPr>
          <w:rFonts w:hint="eastAsia" w:ascii="宋体" w:hAnsi="宋体" w:eastAsia="宋体" w:cs="宋体"/>
          <w:color w:val="auto"/>
          <w:kern w:val="0"/>
          <w:szCs w:val="21"/>
          <w:highlight w:val="none"/>
        </w:rPr>
        <w:t>传真：</w:t>
      </w:r>
      <w:r>
        <w:rPr>
          <w:rFonts w:hint="eastAsia" w:ascii="宋体" w:hAnsi="宋体" w:eastAsia="宋体" w:cs="宋体"/>
          <w:color w:val="auto"/>
          <w:kern w:val="0"/>
          <w:szCs w:val="21"/>
          <w:highlight w:val="none"/>
          <w:u w:val="single"/>
        </w:rPr>
        <w:t>________________</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__________</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日</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（本保函失效后，请将原件退回我方注销）</w:t>
      </w:r>
    </w:p>
    <w:p>
      <w:pPr>
        <w:topLinePunct/>
        <w:adjustRightInd w:val="0"/>
        <w:snapToGrid w:val="0"/>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注：如果投标人不采用以上投标保函格式，拟采用的投标保函格式须经招标人确认。</w:t>
      </w:r>
    </w:p>
    <w:p>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投标保证保险保险凭证</w:t>
      </w:r>
    </w:p>
    <w:p>
      <w:pPr>
        <w:spacing w:line="360" w:lineRule="auto"/>
        <w:jc w:val="cente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 xml:space="preserve">                </w:t>
      </w:r>
      <w:r>
        <w:rPr>
          <w:rFonts w:hint="eastAsia" w:ascii="宋体" w:hAnsi="宋体" w:eastAsia="宋体" w:cs="宋体"/>
          <w:color w:val="auto"/>
          <w:szCs w:val="21"/>
          <w:highlight w:val="none"/>
        </w:rPr>
        <w:t>编号：</w:t>
      </w:r>
    </w:p>
    <w:p>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pPr>
        <w:pStyle w:val="231"/>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2.投标人中标后因自身原因未在招标文件规定的时间内与贵方签订合同；</w:t>
      </w:r>
    </w:p>
    <w:p>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pPr>
        <w:pStyle w:val="231"/>
        <w:spacing w:before="0" w:beforeAutospacing="0" w:after="0" w:afterAutospacing="0" w:line="360" w:lineRule="auto"/>
        <w:rPr>
          <w:color w:val="auto"/>
          <w:kern w:val="2"/>
          <w:sz w:val="21"/>
          <w:szCs w:val="21"/>
          <w:highlight w:val="none"/>
        </w:rPr>
      </w:pPr>
    </w:p>
    <w:p>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pPr>
        <w:pStyle w:val="231"/>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pPr>
        <w:pStyle w:val="231"/>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年   月   日</w:t>
      </w:r>
    </w:p>
    <w:p>
      <w:pPr>
        <w:topLinePunct/>
        <w:adjustRightInd w:val="0"/>
        <w:snapToGrid w:val="0"/>
        <w:spacing w:line="360" w:lineRule="auto"/>
        <w:ind w:firstLine="420" w:firstLineChars="200"/>
        <w:jc w:val="left"/>
        <w:rPr>
          <w:color w:val="auto"/>
          <w:highlight w:val="none"/>
        </w:rPr>
      </w:pPr>
    </w:p>
    <w:p>
      <w:pPr>
        <w:topLinePunct/>
        <w:adjustRightInd w:val="0"/>
        <w:snapToGrid w:val="0"/>
        <w:spacing w:line="360" w:lineRule="auto"/>
        <w:ind w:firstLine="420" w:firstLineChars="200"/>
        <w:jc w:val="left"/>
        <w:rPr>
          <w:color w:val="auto"/>
          <w:highlight w:val="none"/>
        </w:rPr>
      </w:pPr>
    </w:p>
    <w:p>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建设工程合同履约保证保险保险凭证</w:t>
      </w:r>
    </w:p>
    <w:p>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。我方已接受被保证人的请求，并出具《建设工程合同履约保证保险》保险单。   </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）履行相关义务，导致工期延误或服务质量不符合建设工程合同要求，给被保险人造成损失的，被保险人可向保险人提出索赔，保险人按照保险合同的约定承担损失赔偿责任。</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pPr>
        <w:numPr>
          <w:ilvl w:val="0"/>
          <w:numId w:val="1"/>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pPr>
        <w:widowControl/>
        <w:spacing w:line="360" w:lineRule="auto"/>
        <w:ind w:firstLine="420" w:firstLineChars="200"/>
        <w:jc w:val="left"/>
        <w:rPr>
          <w:rFonts w:ascii="宋体" w:hAnsi="宋体" w:eastAsia="宋体" w:cs="宋体"/>
          <w:color w:val="auto"/>
          <w:kern w:val="0"/>
          <w:szCs w:val="21"/>
          <w:highlight w:val="none"/>
        </w:rPr>
      </w:pPr>
    </w:p>
    <w:p>
      <w:pPr>
        <w:adjustRightInd w:val="0"/>
        <w:snapToGrid w:val="0"/>
        <w:spacing w:after="156"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XXX保险有限公司建设工程合同履约保证保险（X款）条款》及保单</w:t>
      </w:r>
    </w:p>
    <w:p>
      <w:pPr>
        <w:widowControl/>
        <w:spacing w:line="360" w:lineRule="auto"/>
        <w:ind w:firstLine="420" w:firstLineChars="200"/>
        <w:jc w:val="left"/>
        <w:rPr>
          <w:rFonts w:ascii="宋体" w:hAnsi="宋体" w:eastAsia="宋体" w:cs="宋体"/>
          <w:color w:val="auto"/>
          <w:kern w:val="0"/>
          <w:szCs w:val="21"/>
          <w:highlight w:val="none"/>
        </w:rPr>
      </w:pPr>
    </w:p>
    <w:p>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pPr>
        <w:widowControl/>
        <w:spacing w:line="360" w:lineRule="auto"/>
        <w:ind w:firstLine="5250" w:firstLineChars="25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pPr>
        <w:pStyle w:val="231"/>
        <w:spacing w:before="0" w:beforeAutospacing="0" w:after="0" w:afterAutospacing="0" w:line="360" w:lineRule="auto"/>
        <w:ind w:firstLine="2640" w:firstLineChars="600"/>
        <w:rPr>
          <w:rFonts w:hint="default" w:ascii="宋体" w:hAnsi="宋体" w:eastAsia="宋体" w:cs="宋体"/>
          <w:color w:val="auto"/>
          <w:kern w:val="2"/>
          <w:sz w:val="21"/>
          <w:szCs w:val="21"/>
          <w:highlight w:val="none"/>
          <w:u w:val="none"/>
          <w:lang w:val="en-US" w:eastAsia="zh-CN"/>
        </w:rPr>
      </w:pPr>
      <w:r>
        <w:rPr>
          <w:rFonts w:hint="eastAsia" w:cs="宋体"/>
          <w:color w:val="auto"/>
          <w:kern w:val="2"/>
          <w:sz w:val="44"/>
          <w:szCs w:val="22"/>
          <w:highlight w:val="none"/>
          <w:lang w:val="en-US" w:eastAsia="zh-CN"/>
        </w:rPr>
        <w:t>投标保证金承诺函</w:t>
      </w:r>
    </w:p>
    <w:p>
      <w:pPr>
        <w:keepNext w:val="0"/>
        <w:keepLines w:val="0"/>
        <w:pageBreakBefore w:val="0"/>
        <w:widowControl/>
        <w:numPr>
          <w:ilvl w:val="-1"/>
          <w:numId w:val="0"/>
        </w:numPr>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outlineLvl w:val="9"/>
        <w:rPr>
          <w:rFonts w:hint="default" w:ascii="宋体" w:hAnsi="宋体" w:eastAsia="宋体" w:cs="宋体"/>
          <w:b w:val="0"/>
          <w:bCs w:val="0"/>
          <w:color w:val="auto"/>
          <w:spacing w:val="0"/>
          <w:sz w:val="21"/>
          <w:szCs w:val="21"/>
          <w:highlight w:val="none"/>
          <w:lang w:eastAsia="zh-CN"/>
        </w:rPr>
      </w:pPr>
      <w:r>
        <w:rPr>
          <w:rFonts w:hint="default" w:ascii="宋体" w:hAnsi="宋体" w:eastAsia="宋体" w:cs="宋体"/>
          <w:b w:val="0"/>
          <w:bCs w:val="0"/>
          <w:color w:val="auto"/>
          <w:spacing w:val="0"/>
          <w:sz w:val="21"/>
          <w:szCs w:val="21"/>
          <w:highlight w:val="none"/>
          <w:lang w:eastAsia="zh-CN"/>
        </w:rPr>
        <w:t>（招标单位名称）：</w:t>
      </w:r>
    </w:p>
    <w:p>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单位名称</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eastAsia"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none"/>
          <w:lang w:eastAsia="zh-CN"/>
        </w:rPr>
        <w:t xml:space="preserve">        </w:t>
      </w:r>
      <w:r>
        <w:rPr>
          <w:rFonts w:hint="default" w:ascii="宋体" w:hAnsi="宋体" w:eastAsia="宋体" w:cs="宋体"/>
          <w:b w:val="0"/>
          <w:bCs w:val="0"/>
          <w:color w:val="auto"/>
          <w:spacing w:val="0"/>
          <w:kern w:val="2"/>
          <w:sz w:val="21"/>
          <w:szCs w:val="21"/>
          <w:highlight w:val="none"/>
          <w:lang w:eastAsia="zh-CN"/>
        </w:rPr>
        <w:t xml:space="preserve">                       </w:t>
      </w:r>
    </w:p>
    <w:p>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统一社会信用代码：</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eastAsia"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default" w:ascii="宋体" w:hAnsi="宋体" w:eastAsia="宋体" w:cs="宋体"/>
          <w:b w:val="0"/>
          <w:bCs w:val="0"/>
          <w:color w:val="auto"/>
          <w:spacing w:val="0"/>
          <w:kern w:val="2"/>
          <w:sz w:val="21"/>
          <w:szCs w:val="21"/>
          <w:highlight w:val="none"/>
          <w:lang w:eastAsia="zh-CN"/>
        </w:rPr>
        <w:t xml:space="preserve">                   </w:t>
      </w:r>
    </w:p>
    <w:p>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法定代表人</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eastAsia"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default" w:ascii="宋体" w:hAnsi="宋体" w:eastAsia="宋体" w:cs="宋体"/>
          <w:b w:val="0"/>
          <w:bCs w:val="0"/>
          <w:color w:val="auto"/>
          <w:spacing w:val="0"/>
          <w:kern w:val="2"/>
          <w:sz w:val="21"/>
          <w:szCs w:val="21"/>
          <w:highlight w:val="none"/>
          <w:u w:val="none"/>
          <w:lang w:eastAsia="zh-CN"/>
        </w:rPr>
        <w:t xml:space="preserve">            </w:t>
      </w:r>
      <w:r>
        <w:rPr>
          <w:rFonts w:hint="default" w:ascii="宋体" w:hAnsi="宋体" w:eastAsia="宋体" w:cs="宋体"/>
          <w:b w:val="0"/>
          <w:bCs w:val="0"/>
          <w:color w:val="auto"/>
          <w:spacing w:val="0"/>
          <w:kern w:val="2"/>
          <w:sz w:val="21"/>
          <w:szCs w:val="21"/>
          <w:highlight w:val="none"/>
          <w:lang w:eastAsia="zh-CN"/>
        </w:rPr>
        <w:t xml:space="preserve">   </w:t>
      </w:r>
    </w:p>
    <w:p>
      <w:pPr>
        <w:pStyle w:val="231"/>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为维护公平、公正、公开的</w:t>
      </w:r>
      <w:r>
        <w:rPr>
          <w:rFonts w:hint="default" w:ascii="宋体" w:hAnsi="宋体" w:eastAsia="宋体" w:cs="宋体"/>
          <w:b w:val="0"/>
          <w:bCs w:val="0"/>
          <w:color w:val="auto"/>
          <w:spacing w:val="0"/>
          <w:kern w:val="2"/>
          <w:sz w:val="21"/>
          <w:szCs w:val="21"/>
          <w:highlight w:val="none"/>
          <w:lang w:val="en-US" w:eastAsia="zh-CN"/>
        </w:rPr>
        <w:t>招标投标</w:t>
      </w:r>
      <w:r>
        <w:rPr>
          <w:rFonts w:hint="default" w:ascii="宋体" w:hAnsi="宋体" w:eastAsia="宋体" w:cs="宋体"/>
          <w:b w:val="0"/>
          <w:bCs w:val="0"/>
          <w:color w:val="auto"/>
          <w:spacing w:val="0"/>
          <w:kern w:val="2"/>
          <w:sz w:val="21"/>
          <w:szCs w:val="21"/>
          <w:highlight w:val="none"/>
          <w:lang w:eastAsia="zh-CN"/>
        </w:rPr>
        <w:t xml:space="preserve">市场秩序，树立诚实守信的投标人形象，在投标有效期内我单位自愿作出以下承诺： </w:t>
      </w:r>
    </w:p>
    <w:p>
      <w:pPr>
        <w:pStyle w:val="231"/>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一、我</w:t>
      </w:r>
      <w:r>
        <w:rPr>
          <w:rFonts w:hint="default" w:ascii="宋体" w:hAnsi="宋体" w:eastAsia="宋体" w:cs="宋体"/>
          <w:b w:val="0"/>
          <w:bCs w:val="0"/>
          <w:color w:val="auto"/>
          <w:spacing w:val="0"/>
          <w:kern w:val="2"/>
          <w:sz w:val="21"/>
          <w:szCs w:val="21"/>
          <w:highlight w:val="none"/>
          <w:lang w:val="en-US" w:eastAsia="zh-CN"/>
        </w:rPr>
        <w:t>公司</w:t>
      </w:r>
      <w:r>
        <w:rPr>
          <w:rFonts w:hint="default" w:ascii="宋体" w:hAnsi="宋体" w:eastAsia="宋体" w:cs="宋体"/>
          <w:b w:val="0"/>
          <w:bCs w:val="0"/>
          <w:color w:val="auto"/>
          <w:spacing w:val="0"/>
          <w:kern w:val="2"/>
          <w:sz w:val="21"/>
          <w:szCs w:val="21"/>
          <w:highlight w:val="none"/>
          <w:lang w:eastAsia="zh-CN"/>
        </w:rPr>
        <w:t>具备承担</w:t>
      </w:r>
      <w:r>
        <w:rPr>
          <w:rFonts w:hint="default" w:ascii="宋体" w:hAnsi="宋体" w:eastAsia="宋体" w:cs="宋体"/>
          <w:b w:val="0"/>
          <w:bCs w:val="0"/>
          <w:color w:val="auto"/>
          <w:spacing w:val="0"/>
          <w:kern w:val="2"/>
          <w:sz w:val="21"/>
          <w:szCs w:val="21"/>
          <w:highlight w:val="none"/>
          <w:lang w:val="en-US" w:eastAsia="zh-CN"/>
        </w:rPr>
        <w:t xml:space="preserve"> </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single"/>
          <w:lang w:eastAsia="zh-CN"/>
        </w:rPr>
        <w:t>（招标工程项目名称）</w:t>
      </w:r>
      <w:r>
        <w:rPr>
          <w:rFonts w:hint="default" w:ascii="宋体" w:hAnsi="宋体" w:eastAsia="宋体" w:cs="宋体"/>
          <w:b w:val="0"/>
          <w:bCs w:val="0"/>
          <w:color w:val="auto"/>
          <w:spacing w:val="0"/>
          <w:kern w:val="2"/>
          <w:sz w:val="21"/>
          <w:szCs w:val="21"/>
          <w:highlight w:val="none"/>
          <w:lang w:eastAsia="zh-CN"/>
        </w:rPr>
        <w:t>的能力，自愿参加该项目投标活动，严格遵守《招标投标法》及相关法律法规、</w:t>
      </w:r>
      <w:r>
        <w:rPr>
          <w:rFonts w:hint="default" w:ascii="宋体" w:hAnsi="宋体" w:eastAsia="宋体" w:cs="宋体"/>
          <w:b w:val="0"/>
          <w:bCs w:val="0"/>
          <w:color w:val="auto"/>
          <w:spacing w:val="0"/>
          <w:kern w:val="2"/>
          <w:sz w:val="21"/>
          <w:szCs w:val="21"/>
          <w:highlight w:val="none"/>
          <w:lang w:val="en-US" w:eastAsia="zh-CN"/>
        </w:rPr>
        <w:t>招标文件的规定</w:t>
      </w:r>
      <w:r>
        <w:rPr>
          <w:rFonts w:hint="default" w:ascii="宋体" w:hAnsi="宋体" w:eastAsia="宋体" w:cs="宋体"/>
          <w:b w:val="0"/>
          <w:bCs w:val="0"/>
          <w:color w:val="auto"/>
          <w:spacing w:val="0"/>
          <w:kern w:val="2"/>
          <w:sz w:val="21"/>
          <w:szCs w:val="21"/>
          <w:highlight w:val="none"/>
          <w:lang w:eastAsia="zh-CN"/>
        </w:rPr>
        <w:t>。</w:t>
      </w:r>
    </w:p>
    <w:p>
      <w:pPr>
        <w:pStyle w:val="231"/>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二、我</w:t>
      </w:r>
      <w:r>
        <w:rPr>
          <w:rFonts w:hint="default" w:ascii="宋体" w:hAnsi="宋体" w:eastAsia="宋体" w:cs="宋体"/>
          <w:b w:val="0"/>
          <w:bCs w:val="0"/>
          <w:color w:val="auto"/>
          <w:spacing w:val="0"/>
          <w:kern w:val="2"/>
          <w:sz w:val="21"/>
          <w:szCs w:val="21"/>
          <w:highlight w:val="none"/>
          <w:lang w:val="en-US" w:eastAsia="zh-CN"/>
        </w:rPr>
        <w:t>公司</w:t>
      </w:r>
      <w:r>
        <w:rPr>
          <w:rFonts w:hint="default" w:ascii="宋体" w:hAnsi="宋体" w:eastAsia="宋体" w:cs="宋体"/>
          <w:b w:val="0"/>
          <w:bCs w:val="0"/>
          <w:color w:val="auto"/>
          <w:spacing w:val="0"/>
          <w:kern w:val="2"/>
          <w:sz w:val="21"/>
          <w:szCs w:val="21"/>
          <w:highlight w:val="none"/>
          <w:lang w:eastAsia="zh-CN"/>
        </w:rPr>
        <w:t>在“信用中国”中未被列入“严重失信主体名单”、没有因招标投标违法行为被行政处罚的记录，在“中国执行信息公开网”中企业及法定代表人没有被列入“失信被执行人”，</w:t>
      </w:r>
      <w:r>
        <w:rPr>
          <w:rFonts w:hint="default" w:ascii="宋体" w:hAnsi="宋体" w:eastAsia="宋体" w:cs="宋体"/>
          <w:b w:val="0"/>
          <w:bCs w:val="0"/>
          <w:color w:val="auto"/>
          <w:spacing w:val="0"/>
          <w:kern w:val="2"/>
          <w:sz w:val="21"/>
          <w:szCs w:val="21"/>
          <w:highlight w:val="none"/>
          <w:lang w:val="en-US" w:eastAsia="zh-CN"/>
        </w:rPr>
        <w:t>在</w:t>
      </w:r>
      <w:r>
        <w:rPr>
          <w:rFonts w:hint="default" w:ascii="宋体" w:hAnsi="宋体" w:eastAsia="宋体" w:cs="宋体"/>
          <w:b w:val="0"/>
          <w:bCs w:val="0"/>
          <w:color w:val="auto"/>
          <w:spacing w:val="0"/>
          <w:kern w:val="2"/>
          <w:sz w:val="21"/>
          <w:szCs w:val="21"/>
          <w:highlight w:val="none"/>
          <w:lang w:eastAsia="zh-CN"/>
        </w:rPr>
        <w:t>深圳公共资源交易公共服务平台</w:t>
      </w:r>
      <w:r>
        <w:rPr>
          <w:rFonts w:hint="default" w:ascii="宋体" w:hAnsi="宋体" w:eastAsia="宋体" w:cs="宋体"/>
          <w:b w:val="0"/>
          <w:bCs w:val="0"/>
          <w:color w:val="auto"/>
          <w:spacing w:val="0"/>
          <w:kern w:val="2"/>
          <w:sz w:val="21"/>
          <w:szCs w:val="21"/>
          <w:highlight w:val="none"/>
          <w:lang w:val="en-US" w:eastAsia="zh-CN"/>
        </w:rPr>
        <w:t>上没有因违反招标投标有关规定被通报、处罚等</w:t>
      </w:r>
      <w:r>
        <w:rPr>
          <w:rFonts w:hint="default" w:ascii="宋体" w:hAnsi="宋体" w:eastAsia="宋体" w:cs="宋体"/>
          <w:b w:val="0"/>
          <w:bCs w:val="0"/>
          <w:color w:val="auto"/>
          <w:spacing w:val="0"/>
          <w:kern w:val="2"/>
          <w:sz w:val="21"/>
          <w:szCs w:val="21"/>
          <w:highlight w:val="none"/>
          <w:lang w:eastAsia="zh-CN"/>
        </w:rPr>
        <w:t>不良信用记录。</w:t>
      </w:r>
    </w:p>
    <w:p>
      <w:pPr>
        <w:pStyle w:val="231"/>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u w:val="none"/>
          <w:lang w:val="en-US" w:eastAsia="zh-CN"/>
        </w:rPr>
      </w:pPr>
      <w:r>
        <w:rPr>
          <w:rFonts w:hint="eastAsia"/>
          <w:color w:val="auto"/>
          <w:kern w:val="2"/>
          <w:sz w:val="21"/>
          <w:szCs w:val="21"/>
          <w:highlight w:val="none"/>
          <w:lang w:val="en-US" w:eastAsia="zh-CN"/>
        </w:rPr>
        <w:t>□</w:t>
      </w:r>
      <w:r>
        <w:rPr>
          <w:rFonts w:hint="default" w:ascii="宋体" w:hAnsi="宋体" w:eastAsia="宋体" w:cs="宋体"/>
          <w:b w:val="0"/>
          <w:bCs w:val="0"/>
          <w:color w:val="auto"/>
          <w:spacing w:val="0"/>
          <w:kern w:val="2"/>
          <w:sz w:val="21"/>
          <w:szCs w:val="21"/>
          <w:highlight w:val="none"/>
          <w:lang w:val="en-US" w:eastAsia="zh-CN"/>
        </w:rPr>
        <w:t>我公司从业人员</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人，营业收入为</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万元，资产总额为</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万元，根据《关于印发中小企业划型标准规定的通知》（工信部联企业〔2011〕300号）的划分标准，属于</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eastAsia" w:cs="宋体"/>
          <w:color w:val="auto"/>
          <w:kern w:val="2"/>
          <w:sz w:val="21"/>
          <w:szCs w:val="21"/>
          <w:highlight w:val="none"/>
          <w:u w:val="single"/>
          <w:lang w:val="en-US" w:eastAsia="zh-CN"/>
        </w:rPr>
        <w:t>（本招标项目所属行业）</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non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 xml:space="preserve">行业的 </w:t>
      </w:r>
      <w:r>
        <w:rPr>
          <w:rFonts w:hint="default" w:ascii="宋体" w:hAnsi="宋体" w:eastAsia="宋体" w:cs="宋体"/>
          <w:b w:val="0"/>
          <w:bCs w:val="0"/>
          <w:color w:val="auto"/>
          <w:spacing w:val="0"/>
          <w:kern w:val="2"/>
          <w:sz w:val="21"/>
          <w:szCs w:val="21"/>
          <w:highlight w:val="none"/>
          <w:u w:val="single"/>
          <w:lang w:val="en-US" w:eastAsia="zh-CN"/>
        </w:rPr>
        <w:t xml:space="preserve">    （中型企业、小型企业、微型企业） </w:t>
      </w:r>
      <w:r>
        <w:rPr>
          <w:rFonts w:hint="default" w:ascii="宋体" w:hAnsi="宋体" w:eastAsia="宋体" w:cs="宋体"/>
          <w:b w:val="0"/>
          <w:bCs w:val="0"/>
          <w:color w:val="auto"/>
          <w:spacing w:val="0"/>
          <w:kern w:val="2"/>
          <w:sz w:val="21"/>
          <w:szCs w:val="21"/>
          <w:highlight w:val="none"/>
          <w:u w:val="none"/>
          <w:lang w:val="en-US" w:eastAsia="zh-CN"/>
        </w:rPr>
        <w:t>，自愿使用承诺函替代投标保证金。</w:t>
      </w:r>
    </w:p>
    <w:p>
      <w:pPr>
        <w:pStyle w:val="231"/>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u w:val="none"/>
          <w:lang w:val="en-US" w:eastAsia="zh-CN"/>
        </w:rPr>
      </w:pPr>
      <w:r>
        <w:rPr>
          <w:rFonts w:hint="eastAsia"/>
          <w:color w:val="auto"/>
          <w:kern w:val="2"/>
          <w:sz w:val="21"/>
          <w:szCs w:val="21"/>
          <w:highlight w:val="none"/>
          <w:lang w:val="en-US" w:eastAsia="zh-CN"/>
        </w:rPr>
        <w:t>□</w:t>
      </w:r>
      <w:r>
        <w:rPr>
          <w:rFonts w:hint="default"/>
          <w:color w:val="auto"/>
          <w:kern w:val="2"/>
          <w:sz w:val="21"/>
          <w:szCs w:val="21"/>
          <w:highlight w:val="none"/>
          <w:lang w:val="en-US" w:eastAsia="zh-CN"/>
        </w:rPr>
        <w:t>我公司</w:t>
      </w:r>
      <w:r>
        <w:rPr>
          <w:rFonts w:hint="default" w:ascii="宋体" w:hAnsi="宋体" w:eastAsia="宋体" w:cs="宋体"/>
          <w:b w:val="0"/>
          <w:bCs w:val="0"/>
          <w:color w:val="auto"/>
          <w:spacing w:val="0"/>
          <w:kern w:val="2"/>
          <w:sz w:val="21"/>
          <w:szCs w:val="21"/>
          <w:highlight w:val="none"/>
          <w:u w:val="none"/>
          <w:lang w:val="en-US" w:eastAsia="zh-CN"/>
        </w:rPr>
        <w:t>在本项目投标截止日，在深圳市建筑市场主体信用管理系统中信用等级为A，自愿使用承诺函替代投标保证金。</w:t>
      </w:r>
    </w:p>
    <w:p>
      <w:pPr>
        <w:pStyle w:val="231"/>
        <w:spacing w:before="0" w:beforeAutospacing="0" w:after="0" w:afterAutospacing="0" w:line="240" w:lineRule="auto"/>
        <w:ind w:firstLine="420" w:firstLineChars="200"/>
        <w:rPr>
          <w:rFonts w:hint="default"/>
          <w:color w:val="auto"/>
          <w:kern w:val="2"/>
          <w:sz w:val="21"/>
          <w:szCs w:val="21"/>
          <w:highlight w:val="none"/>
          <w:lang w:val="en-US" w:eastAsia="zh-CN"/>
        </w:rPr>
      </w:pPr>
      <w:r>
        <w:rPr>
          <w:rFonts w:hint="eastAsia" w:cs="宋体"/>
          <w:color w:val="auto"/>
          <w:spacing w:val="0"/>
          <w:kern w:val="2"/>
          <w:sz w:val="21"/>
          <w:szCs w:val="21"/>
          <w:highlight w:val="none"/>
          <w:lang w:val="en-US" w:eastAsia="zh-CN"/>
        </w:rPr>
        <w:t>□</w:t>
      </w:r>
      <w:r>
        <w:rPr>
          <w:rFonts w:hint="default" w:ascii="宋体" w:hAnsi="宋体" w:eastAsia="宋体" w:cs="宋体"/>
          <w:color w:val="auto"/>
          <w:spacing w:val="0"/>
          <w:kern w:val="2"/>
          <w:sz w:val="21"/>
          <w:szCs w:val="21"/>
          <w:highlight w:val="none"/>
          <w:lang w:val="en-US" w:eastAsia="zh-CN"/>
        </w:rPr>
        <w:t>我公司</w:t>
      </w:r>
      <w:r>
        <w:rPr>
          <w:rFonts w:hint="default" w:ascii="宋体" w:hAnsi="宋体" w:eastAsia="宋体" w:cs="宋体"/>
          <w:b w:val="0"/>
          <w:bCs w:val="0"/>
          <w:color w:val="auto"/>
          <w:spacing w:val="0"/>
          <w:kern w:val="2"/>
          <w:sz w:val="21"/>
          <w:szCs w:val="21"/>
          <w:highlight w:val="none"/>
          <w:u w:val="none"/>
          <w:lang w:val="en-US" w:eastAsia="zh-CN"/>
        </w:rPr>
        <w:t>在本项目投标截止日，</w:t>
      </w:r>
      <w:r>
        <w:rPr>
          <w:rFonts w:hint="default"/>
          <w:color w:val="auto"/>
          <w:kern w:val="2"/>
          <w:sz w:val="21"/>
          <w:szCs w:val="21"/>
          <w:highlight w:val="none"/>
          <w:lang w:val="en-US" w:eastAsia="zh-CN"/>
        </w:rPr>
        <w:t>信用等级为B+，</w:t>
      </w:r>
      <w:r>
        <w:rPr>
          <w:rFonts w:hint="default" w:ascii="宋体" w:hAnsi="宋体" w:eastAsia="宋体" w:cs="宋体"/>
          <w:b w:val="0"/>
          <w:bCs w:val="0"/>
          <w:color w:val="auto"/>
          <w:spacing w:val="0"/>
          <w:kern w:val="2"/>
          <w:sz w:val="21"/>
          <w:szCs w:val="21"/>
          <w:highlight w:val="none"/>
          <w:u w:val="none"/>
          <w:lang w:val="en-US" w:eastAsia="zh-CN"/>
        </w:rPr>
        <w:t>自愿使用承诺函，并</w:t>
      </w:r>
      <w:r>
        <w:rPr>
          <w:rFonts w:hint="default"/>
          <w:color w:val="auto"/>
          <w:kern w:val="2"/>
          <w:sz w:val="21"/>
          <w:szCs w:val="21"/>
          <w:highlight w:val="none"/>
          <w:lang w:val="en-US" w:eastAsia="zh-CN"/>
        </w:rPr>
        <w:t>减半缴纳投标保证金</w:t>
      </w:r>
      <w:r>
        <w:rPr>
          <w:rFonts w:hint="default" w:ascii="宋体" w:hAnsi="宋体" w:eastAsia="宋体" w:cs="宋体"/>
          <w:color w:val="auto"/>
          <w:spacing w:val="0"/>
          <w:kern w:val="2"/>
          <w:sz w:val="21"/>
          <w:szCs w:val="21"/>
          <w:highlight w:val="none"/>
          <w:u w:val="none"/>
          <w:lang w:val="en-US" w:eastAsia="zh-CN"/>
        </w:rPr>
        <w:t>。</w:t>
      </w:r>
    </w:p>
    <w:p>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eastAsia="宋体" w:cs="宋体"/>
          <w:color w:val="auto"/>
          <w:spacing w:val="0"/>
          <w:kern w:val="2"/>
          <w:sz w:val="21"/>
          <w:szCs w:val="21"/>
          <w:highlight w:val="none"/>
          <w:u w:val="none"/>
          <w:lang w:val="en-US" w:eastAsia="zh-CN"/>
        </w:rPr>
      </w:pPr>
      <w:bookmarkStart w:id="49" w:name="_Toc10704"/>
      <w:r>
        <w:rPr>
          <w:rFonts w:hint="eastAsia" w:cs="宋体"/>
          <w:color w:val="auto"/>
          <w:spacing w:val="0"/>
          <w:kern w:val="2"/>
          <w:sz w:val="21"/>
          <w:szCs w:val="21"/>
          <w:highlight w:val="none"/>
          <w:lang w:val="en-US" w:eastAsia="zh-CN"/>
        </w:rPr>
        <w:t>□</w:t>
      </w:r>
      <w:r>
        <w:rPr>
          <w:rFonts w:hint="default" w:eastAsia="宋体" w:cs="宋体"/>
          <w:color w:val="auto"/>
          <w:spacing w:val="0"/>
          <w:kern w:val="2"/>
          <w:sz w:val="21"/>
          <w:szCs w:val="21"/>
          <w:highlight w:val="none"/>
          <w:lang w:val="en-US" w:eastAsia="zh-CN"/>
        </w:rPr>
        <w:t xml:space="preserve"> </w:t>
      </w:r>
      <w:r>
        <w:rPr>
          <w:rFonts w:hint="default" w:eastAsia="宋体" w:cs="宋体"/>
          <w:color w:val="auto"/>
          <w:spacing w:val="0"/>
          <w:kern w:val="2"/>
          <w:sz w:val="21"/>
          <w:szCs w:val="21"/>
          <w:highlight w:val="none"/>
          <w:u w:val="single"/>
          <w:lang w:val="en-US" w:eastAsia="zh-CN"/>
        </w:rPr>
        <w:t xml:space="preserve">                       （招标文件规定的其他情形）</w:t>
      </w:r>
      <w:bookmarkEnd w:id="49"/>
    </w:p>
    <w:p>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0" w:name="_Toc20330"/>
      <w:r>
        <w:rPr>
          <w:rFonts w:hint="eastAsia" w:ascii="宋体" w:hAnsi="宋体" w:eastAsia="宋体" w:cs="宋体"/>
          <w:b w:val="0"/>
          <w:bCs w:val="0"/>
          <w:color w:val="auto"/>
          <w:spacing w:val="0"/>
          <w:kern w:val="2"/>
          <w:sz w:val="21"/>
          <w:szCs w:val="21"/>
          <w:highlight w:val="none"/>
          <w:lang w:val="en-US" w:eastAsia="zh-CN"/>
        </w:rPr>
        <w:t>三、</w:t>
      </w:r>
      <w:r>
        <w:rPr>
          <w:rFonts w:hint="eastAsia" w:ascii="宋体" w:hAnsi="宋体" w:eastAsia="宋体" w:cs="宋体"/>
          <w:b w:val="0"/>
          <w:bCs w:val="0"/>
          <w:color w:val="auto"/>
          <w:spacing w:val="0"/>
          <w:kern w:val="2"/>
          <w:sz w:val="21"/>
          <w:szCs w:val="21"/>
          <w:highlight w:val="none"/>
          <w:lang w:eastAsia="zh-CN"/>
        </w:rPr>
        <w:t>如有发生下述任何一种违约行为，自愿承担相关法律责任，</w:t>
      </w:r>
      <w:r>
        <w:rPr>
          <w:rFonts w:hint="eastAsia" w:ascii="宋体" w:hAnsi="宋体" w:eastAsia="宋体" w:cs="宋体"/>
          <w:b w:val="0"/>
          <w:bCs w:val="0"/>
          <w:color w:val="auto"/>
          <w:spacing w:val="0"/>
          <w:kern w:val="2"/>
          <w:sz w:val="21"/>
          <w:szCs w:val="21"/>
          <w:highlight w:val="none"/>
          <w:lang w:val="en-US" w:eastAsia="zh-CN"/>
        </w:rPr>
        <w:t>并愿意</w:t>
      </w:r>
      <w:r>
        <w:rPr>
          <w:rFonts w:hint="eastAsia" w:ascii="宋体" w:hAnsi="宋体" w:eastAsia="宋体" w:cs="宋体"/>
          <w:b w:val="0"/>
          <w:bCs w:val="0"/>
          <w:color w:val="auto"/>
          <w:spacing w:val="0"/>
          <w:kern w:val="2"/>
          <w:sz w:val="21"/>
          <w:szCs w:val="21"/>
          <w:highlight w:val="none"/>
          <w:lang w:eastAsia="zh-CN"/>
        </w:rPr>
        <w:t>按所投项目招标文件约定的投标保证金金额以现金方式兑付。如不按时补缴，愿意接受行政监督部门实施的信用联合惩戒。</w:t>
      </w:r>
      <w:bookmarkEnd w:id="50"/>
    </w:p>
    <w:p>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1" w:name="_Toc4073"/>
      <w:r>
        <w:rPr>
          <w:rFonts w:hint="eastAsia" w:ascii="宋体" w:hAnsi="宋体" w:eastAsia="宋体" w:cs="宋体"/>
          <w:b w:val="0"/>
          <w:bCs w:val="0"/>
          <w:color w:val="auto"/>
          <w:spacing w:val="0"/>
          <w:kern w:val="2"/>
          <w:sz w:val="21"/>
          <w:szCs w:val="21"/>
          <w:highlight w:val="none"/>
          <w:lang w:eastAsia="zh-CN"/>
        </w:rPr>
        <w:t>1.在招标文件中规定的投标有效期内撤销投标文件；</w:t>
      </w:r>
      <w:bookmarkEnd w:id="51"/>
    </w:p>
    <w:p>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2" w:name="_Toc19954"/>
      <w:r>
        <w:rPr>
          <w:rFonts w:hint="eastAsia" w:ascii="宋体" w:hAnsi="宋体" w:eastAsia="宋体" w:cs="宋体"/>
          <w:b w:val="0"/>
          <w:bCs w:val="0"/>
          <w:color w:val="auto"/>
          <w:spacing w:val="0"/>
          <w:kern w:val="2"/>
          <w:sz w:val="21"/>
          <w:szCs w:val="21"/>
          <w:highlight w:val="none"/>
          <w:lang w:eastAsia="zh-CN"/>
        </w:rPr>
        <w:t>2.中标后在规定期限内无正当理由不与招标人签订合同或在签订合同时向招标人提出附加条件或未按招标文件规定提交履约保证金；</w:t>
      </w:r>
      <w:bookmarkEnd w:id="52"/>
    </w:p>
    <w:p>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3" w:name="_Toc6903"/>
      <w:r>
        <w:rPr>
          <w:rFonts w:hint="eastAsia" w:ascii="宋体" w:hAnsi="宋体" w:eastAsia="宋体" w:cs="宋体"/>
          <w:b w:val="0"/>
          <w:bCs w:val="0"/>
          <w:color w:val="auto"/>
          <w:spacing w:val="0"/>
          <w:kern w:val="2"/>
          <w:sz w:val="21"/>
          <w:szCs w:val="21"/>
          <w:highlight w:val="none"/>
          <w:lang w:eastAsia="zh-CN"/>
        </w:rPr>
        <w:t>3.法律、法规规定不予退还投标保证金的其他情形。</w:t>
      </w:r>
      <w:bookmarkEnd w:id="53"/>
    </w:p>
    <w:p>
      <w:pPr>
        <w:pStyle w:val="231"/>
        <w:spacing w:before="0" w:beforeAutospacing="0" w:after="0" w:afterAutospacing="0" w:line="240" w:lineRule="auto"/>
        <w:ind w:firstLine="420" w:firstLineChars="200"/>
        <w:rPr>
          <w:rFonts w:hint="default"/>
          <w:color w:val="auto"/>
          <w:kern w:val="2"/>
          <w:sz w:val="21"/>
          <w:szCs w:val="21"/>
          <w:highlight w:val="none"/>
          <w:lang w:val="en-US" w:eastAsia="zh-CN"/>
        </w:rPr>
      </w:pPr>
    </w:p>
    <w:p>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r>
        <w:rPr>
          <w:rFonts w:hint="default" w:cs="宋体"/>
          <w:b w:val="0"/>
          <w:bCs w:val="0"/>
          <w:color w:val="auto"/>
          <w:spacing w:val="0"/>
          <w:kern w:val="2"/>
          <w:sz w:val="21"/>
          <w:szCs w:val="21"/>
          <w:highlight w:val="none"/>
          <w:lang w:val="en-US" w:eastAsia="zh-CN"/>
        </w:rPr>
        <w:t xml:space="preserve">                                  </w:t>
      </w:r>
      <w:r>
        <w:rPr>
          <w:rFonts w:hint="eastAsia" w:cs="宋体"/>
          <w:b w:val="0"/>
          <w:bCs w:val="0"/>
          <w:color w:val="auto"/>
          <w:spacing w:val="0"/>
          <w:kern w:val="2"/>
          <w:sz w:val="21"/>
          <w:szCs w:val="21"/>
          <w:highlight w:val="none"/>
          <w:lang w:val="en-US" w:eastAsia="zh-CN"/>
        </w:rPr>
        <w:t xml:space="preserve">            </w:t>
      </w:r>
      <w:r>
        <w:rPr>
          <w:rFonts w:hint="default" w:cs="宋体"/>
          <w:b w:val="0"/>
          <w:bCs w:val="0"/>
          <w:color w:val="auto"/>
          <w:spacing w:val="0"/>
          <w:kern w:val="2"/>
          <w:sz w:val="21"/>
          <w:szCs w:val="21"/>
          <w:highlight w:val="none"/>
          <w:lang w:val="en-US" w:eastAsia="zh-CN"/>
        </w:rPr>
        <w:t xml:space="preserve">  </w:t>
      </w:r>
      <w:r>
        <w:rPr>
          <w:rFonts w:hint="eastAsia" w:ascii="宋体" w:hAnsi="宋体" w:eastAsia="宋体" w:cs="宋体"/>
          <w:b w:val="0"/>
          <w:bCs w:val="0"/>
          <w:color w:val="auto"/>
          <w:spacing w:val="0"/>
          <w:kern w:val="2"/>
          <w:sz w:val="21"/>
          <w:szCs w:val="21"/>
          <w:highlight w:val="none"/>
          <w:lang w:eastAsia="zh-CN"/>
        </w:rPr>
        <w:t>承诺人（盖公章）：</w:t>
      </w:r>
    </w:p>
    <w:p>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r>
        <w:rPr>
          <w:rFonts w:hint="default" w:cs="宋体"/>
          <w:b w:val="0"/>
          <w:bCs w:val="0"/>
          <w:color w:val="auto"/>
          <w:spacing w:val="0"/>
          <w:kern w:val="2"/>
          <w:sz w:val="21"/>
          <w:szCs w:val="21"/>
          <w:highlight w:val="none"/>
          <w:lang w:val="en-US" w:eastAsia="zh-CN"/>
        </w:rPr>
        <w:t xml:space="preserve">                                             </w:t>
      </w:r>
      <w:r>
        <w:rPr>
          <w:rFonts w:hint="eastAsia" w:ascii="宋体" w:hAnsi="宋体" w:eastAsia="宋体" w:cs="宋体"/>
          <w:b w:val="0"/>
          <w:bCs w:val="0"/>
          <w:color w:val="auto"/>
          <w:spacing w:val="0"/>
          <w:kern w:val="2"/>
          <w:sz w:val="21"/>
          <w:szCs w:val="21"/>
          <w:highlight w:val="none"/>
          <w:lang w:eastAsia="zh-CN"/>
        </w:rPr>
        <w:t>法定代表人（印章或签字）：</w:t>
      </w:r>
    </w:p>
    <w:p>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r>
        <w:rPr>
          <w:rFonts w:hint="default" w:cs="宋体"/>
          <w:b w:val="0"/>
          <w:bCs w:val="0"/>
          <w:color w:val="auto"/>
          <w:spacing w:val="0"/>
          <w:kern w:val="2"/>
          <w:sz w:val="21"/>
          <w:szCs w:val="21"/>
          <w:highlight w:val="none"/>
          <w:lang w:val="en-US" w:eastAsia="zh-CN"/>
        </w:rPr>
        <w:t xml:space="preserve">                          </w:t>
      </w:r>
      <w:r>
        <w:rPr>
          <w:rFonts w:hint="eastAsia" w:cs="宋体"/>
          <w:b w:val="0"/>
          <w:bCs w:val="0"/>
          <w:color w:val="auto"/>
          <w:spacing w:val="0"/>
          <w:kern w:val="2"/>
          <w:sz w:val="21"/>
          <w:szCs w:val="21"/>
          <w:highlight w:val="none"/>
          <w:lang w:val="en-US" w:eastAsia="zh-CN"/>
        </w:rPr>
        <w:t xml:space="preserve">                     </w:t>
      </w:r>
      <w:r>
        <w:rPr>
          <w:rFonts w:hint="eastAsia" w:ascii="宋体" w:hAnsi="宋体" w:eastAsia="宋体" w:cs="宋体"/>
          <w:b w:val="0"/>
          <w:bCs w:val="0"/>
          <w:color w:val="auto"/>
          <w:spacing w:val="0"/>
          <w:kern w:val="2"/>
          <w:sz w:val="21"/>
          <w:szCs w:val="21"/>
          <w:highlight w:val="none"/>
          <w:lang w:eastAsia="zh-CN"/>
        </w:rPr>
        <w:t>日期：</w:t>
      </w:r>
    </w:p>
    <w:p>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pPr>
        <w:pStyle w:val="23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pPr>
        <w:pStyle w:val="23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u w:val="none"/>
        </w:rPr>
        <w:t>本</w:t>
      </w:r>
      <w:r>
        <w:rPr>
          <w:rFonts w:hint="eastAsia" w:cs="宋体"/>
          <w:color w:val="auto"/>
          <w:kern w:val="2"/>
          <w:sz w:val="21"/>
          <w:szCs w:val="21"/>
          <w:highlight w:val="none"/>
          <w:u w:val="none"/>
          <w:lang w:val="en-US" w:eastAsia="zh-CN"/>
        </w:rPr>
        <w:t>企业</w:t>
      </w:r>
      <w:r>
        <w:rPr>
          <w:rFonts w:hint="eastAsia" w:ascii="宋体" w:hAnsi="宋体" w:eastAsia="宋体" w:cs="宋体"/>
          <w:color w:val="auto"/>
          <w:kern w:val="2"/>
          <w:sz w:val="21"/>
          <w:szCs w:val="21"/>
          <w:highlight w:val="none"/>
          <w:u w:val="none"/>
        </w:rPr>
        <w:t>（联合体）参加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活动，提供的货物全部由符合政策要求的中小企业制造。相关企业的具体情况如下：</w:t>
      </w:r>
    </w:p>
    <w:p>
      <w:pPr>
        <w:pStyle w:val="231"/>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货物名称</w:t>
      </w:r>
      <w:r>
        <w:rPr>
          <w:rFonts w:hint="eastAsia" w:ascii="宋体" w:hAnsi="宋体" w:eastAsia="宋体" w:cs="宋体"/>
          <w:color w:val="auto"/>
          <w:kern w:val="2"/>
          <w:sz w:val="21"/>
          <w:szCs w:val="21"/>
          <w:highlight w:val="none"/>
          <w:u w:val="none"/>
        </w:rPr>
        <w:t>；制造商为</w:t>
      </w:r>
      <w:r>
        <w:rPr>
          <w:rFonts w:hint="eastAsia" w:ascii="宋体" w:hAnsi="宋体" w:eastAsia="宋体" w:cs="宋体"/>
          <w:color w:val="auto"/>
          <w:kern w:val="2"/>
          <w:sz w:val="21"/>
          <w:szCs w:val="21"/>
          <w:highlight w:val="none"/>
          <w:u w:val="single"/>
        </w:rPr>
        <w:t>（企业名称）</w:t>
      </w:r>
      <w:r>
        <w:rPr>
          <w:rFonts w:hint="eastAsia" w:ascii="宋体" w:hAnsi="宋体" w:eastAsia="宋体" w:cs="宋体"/>
          <w:color w:val="auto"/>
          <w:kern w:val="2"/>
          <w:sz w:val="21"/>
          <w:szCs w:val="21"/>
          <w:highlight w:val="none"/>
          <w:u w:val="none"/>
        </w:rPr>
        <w:t>，</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pPr>
        <w:pStyle w:val="231"/>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eastAsia="zh-CN"/>
        </w:rPr>
        <w:t>……</w:t>
      </w:r>
    </w:p>
    <w:p>
      <w:pPr>
        <w:pStyle w:val="23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u w:val="none"/>
          <w:lang w:val="en-US" w:eastAsia="zh-CN"/>
        </w:rPr>
        <w:t>以</w:t>
      </w:r>
      <w:r>
        <w:rPr>
          <w:rFonts w:hint="eastAsia" w:cs="宋体"/>
          <w:color w:val="auto"/>
          <w:kern w:val="2"/>
          <w:sz w:val="21"/>
          <w:szCs w:val="21"/>
          <w:highlight w:val="none"/>
          <w:u w:val="single"/>
          <w:lang w:val="en-US" w:eastAsia="zh-CN"/>
        </w:rPr>
        <w:t>上</w:t>
      </w:r>
      <w:r>
        <w:rPr>
          <w:rFonts w:hint="eastAsia" w:cs="宋体"/>
          <w:color w:val="auto"/>
          <w:kern w:val="2"/>
          <w:sz w:val="21"/>
          <w:szCs w:val="21"/>
          <w:highlight w:val="none"/>
          <w:u w:val="none"/>
          <w:lang w:val="en-US" w:eastAsia="zh-CN"/>
        </w:rPr>
        <w:t>企业</w:t>
      </w:r>
      <w:r>
        <w:rPr>
          <w:rFonts w:hint="eastAsia" w:ascii="宋体" w:hAnsi="宋体" w:eastAsia="宋体" w:cs="宋体"/>
          <w:color w:val="auto"/>
          <w:kern w:val="2"/>
          <w:sz w:val="21"/>
          <w:szCs w:val="21"/>
          <w:highlight w:val="none"/>
        </w:rPr>
        <w:t xml:space="preserve">不属于大企业的分支机构，不存在控股股东为大企业的情形，也不存在与大企业的负责人为同一人的情形。 </w:t>
      </w:r>
    </w:p>
    <w:p>
      <w:pPr>
        <w:pStyle w:val="23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pPr>
        <w:pStyle w:val="23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pPr>
        <w:pStyle w:val="23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日期：</w:t>
      </w:r>
    </w:p>
    <w:p>
      <w:pPr>
        <w:pStyle w:val="231"/>
        <w:spacing w:before="0" w:beforeAutospacing="0" w:after="0" w:afterAutospacing="0" w:line="360" w:lineRule="auto"/>
        <w:ind w:firstLine="420" w:firstLineChars="200"/>
        <w:rPr>
          <w:rFonts w:hint="eastAsia" w:cs="宋体"/>
          <w:color w:val="auto"/>
          <w:kern w:val="2"/>
          <w:sz w:val="21"/>
          <w:szCs w:val="21"/>
          <w:highlight w:val="none"/>
          <w:lang w:val="en-US" w:eastAsia="zh-CN"/>
        </w:rPr>
      </w:pPr>
    </w:p>
    <w:p>
      <w:pPr>
        <w:pStyle w:val="231"/>
        <w:spacing w:before="0" w:beforeAutospacing="0" w:after="0" w:afterAutospacing="0" w:line="360" w:lineRule="auto"/>
        <w:ind w:firstLine="420" w:firstLineChars="200"/>
        <w:rPr>
          <w:rFonts w:hint="eastAsia" w:eastAsia="宋体"/>
          <w:color w:val="auto"/>
          <w:kern w:val="2"/>
          <w:sz w:val="21"/>
          <w:szCs w:val="21"/>
          <w:highlight w:val="none"/>
          <w:lang w:eastAsia="zh-CN"/>
        </w:rPr>
      </w:pPr>
      <w:r>
        <w:rPr>
          <w:rFonts w:hint="eastAsia" w:cs="宋体"/>
          <w:color w:val="auto"/>
          <w:kern w:val="2"/>
          <w:sz w:val="21"/>
          <w:szCs w:val="21"/>
          <w:highlight w:val="none"/>
          <w:lang w:val="en-US" w:eastAsia="zh-CN"/>
        </w:rPr>
        <w:t>备注：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招标人在</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的，投标人属于中小企业且提供声明函后，方可适用该条款。</w:t>
      </w:r>
    </w:p>
    <w:p>
      <w:pPr>
        <w:rPr>
          <w:rFonts w:ascii="宋体" w:hAnsi="宋体" w:eastAsia="宋体" w:cs="宋体"/>
          <w:color w:val="auto"/>
          <w:szCs w:val="21"/>
          <w:highlight w:val="none"/>
        </w:rPr>
      </w:pPr>
    </w:p>
    <w:p>
      <w:pPr>
        <w:topLinePunct/>
        <w:adjustRightInd w:val="0"/>
        <w:snapToGrid w:val="0"/>
        <w:spacing w:line="360" w:lineRule="auto"/>
        <w:ind w:firstLine="420" w:firstLineChars="200"/>
        <w:jc w:val="left"/>
        <w:rPr>
          <w:color w:val="auto"/>
          <w:highlight w:val="none"/>
        </w:rPr>
      </w:pPr>
      <w:r>
        <w:rPr>
          <w:color w:val="auto"/>
          <w:highlight w:val="none"/>
        </w:rPr>
        <w:br w:type="page"/>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投标资格证明文件</w:t>
      </w:r>
    </w:p>
    <w:p>
      <w:pPr>
        <w:topLinePunct/>
        <w:adjustRightInd w:val="0"/>
        <w:snapToGrid w:val="0"/>
        <w:spacing w:line="360" w:lineRule="auto"/>
        <w:ind w:firstLine="420" w:firstLineChars="200"/>
        <w:jc w:val="left"/>
        <w:rPr>
          <w:rFonts w:ascii="宋体" w:hAnsi="宋体"/>
          <w:color w:val="auto"/>
          <w:kern w:val="0"/>
          <w:szCs w:val="24"/>
          <w:highlight w:val="none"/>
        </w:rPr>
      </w:pPr>
    </w:p>
    <w:p>
      <w:pPr>
        <w:topLinePunct/>
        <w:adjustRightInd w:val="0"/>
        <w:snapToGrid w:val="0"/>
        <w:spacing w:line="360" w:lineRule="auto"/>
        <w:ind w:firstLine="420" w:firstLineChars="200"/>
        <w:jc w:val="left"/>
        <w:rPr>
          <w:rFonts w:ascii="宋体" w:hAnsi="宋体" w:eastAsia="宋体" w:cs="宋体"/>
          <w:color w:val="auto"/>
          <w:kern w:val="0"/>
          <w:szCs w:val="24"/>
          <w:highlight w:val="none"/>
        </w:rPr>
      </w:pPr>
      <w:r>
        <w:rPr>
          <w:rFonts w:hint="eastAsia" w:ascii="宋体" w:hAnsi="宋体" w:eastAsia="宋体" w:cs="宋体"/>
          <w:color w:val="auto"/>
          <w:kern w:val="0"/>
          <w:szCs w:val="24"/>
          <w:highlight w:val="none"/>
        </w:rPr>
        <w:t>投标人名称：_________________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1、投标人基本情况</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2、经年检的营业执照副本</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3、制造商的资格声明</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4、经销商（作为代理）的资格声明</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5、制造商出具的授权函</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6、主要技术人员情况表</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7、相关项目的业绩表</w:t>
      </w:r>
    </w:p>
    <w:p>
      <w:pPr>
        <w:topLinePunct/>
        <w:adjustRightInd w:val="0"/>
        <w:snapToGrid w:val="0"/>
        <w:spacing w:line="360" w:lineRule="auto"/>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8、中小企业声明函扫描件；</w:t>
      </w:r>
    </w:p>
    <w:p>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lang w:val="en-US" w:eastAsia="zh-CN"/>
        </w:rPr>
        <w:t>9、</w:t>
      </w:r>
      <w:r>
        <w:rPr>
          <w:rFonts w:hint="eastAsia" w:ascii="宋体" w:hAnsi="宋体" w:eastAsia="宋体" w:cs="宋体"/>
          <w:color w:val="auto"/>
          <w:kern w:val="0"/>
          <w:highlight w:val="none"/>
        </w:rPr>
        <w:t>其他：</w:t>
      </w:r>
    </w:p>
    <w:p>
      <w:pPr>
        <w:tabs>
          <w:tab w:val="left" w:pos="5580"/>
        </w:tabs>
        <w:topLinePunct/>
        <w:adjustRightInd w:val="0"/>
        <w:snapToGrid w:val="0"/>
        <w:spacing w:line="360" w:lineRule="auto"/>
        <w:ind w:firstLine="422" w:firstLineChars="200"/>
        <w:jc w:val="left"/>
        <w:rPr>
          <w:rFonts w:ascii="宋体" w:hAnsi="宋体" w:eastAsia="宋体" w:cs="宋体"/>
          <w:b/>
          <w:color w:val="auto"/>
          <w:kern w:val="0"/>
          <w:highlight w:val="none"/>
        </w:rPr>
      </w:pPr>
    </w:p>
    <w:p>
      <w:pPr>
        <w:tabs>
          <w:tab w:val="left" w:pos="5580"/>
        </w:tabs>
        <w:topLinePunct/>
        <w:adjustRightInd w:val="0"/>
        <w:snapToGrid w:val="0"/>
        <w:spacing w:line="360" w:lineRule="auto"/>
        <w:ind w:firstLine="422" w:firstLineChars="200"/>
        <w:jc w:val="left"/>
        <w:rPr>
          <w:rFonts w:ascii="宋体" w:hAnsi="宋体" w:eastAsia="宋体" w:cs="宋体"/>
          <w:b/>
          <w:color w:val="auto"/>
          <w:kern w:val="0"/>
          <w:highlight w:val="none"/>
        </w:rPr>
      </w:pPr>
    </w:p>
    <w:p>
      <w:pPr>
        <w:tabs>
          <w:tab w:val="left" w:pos="5580"/>
        </w:tabs>
        <w:topLinePunct/>
        <w:adjustRightInd w:val="0"/>
        <w:snapToGrid w:val="0"/>
        <w:spacing w:line="360" w:lineRule="auto"/>
        <w:ind w:firstLine="422" w:firstLineChars="200"/>
        <w:jc w:val="left"/>
        <w:rPr>
          <w:rFonts w:ascii="宋体" w:hAnsi="宋体" w:eastAsia="宋体" w:cs="宋体"/>
          <w:b/>
          <w:color w:val="auto"/>
          <w:kern w:val="0"/>
          <w:highlight w:val="none"/>
        </w:rPr>
      </w:pPr>
    </w:p>
    <w:p>
      <w:pPr>
        <w:tabs>
          <w:tab w:val="left" w:pos="5580"/>
        </w:tabs>
        <w:topLinePunct/>
        <w:adjustRightInd w:val="0"/>
        <w:snapToGrid w:val="0"/>
        <w:spacing w:line="360" w:lineRule="auto"/>
        <w:ind w:firstLine="422" w:firstLineChars="200"/>
        <w:jc w:val="left"/>
        <w:rPr>
          <w:rFonts w:ascii="宋体" w:hAnsi="宋体" w:eastAsia="宋体" w:cs="宋体"/>
          <w:b/>
          <w:color w:val="auto"/>
          <w:kern w:val="0"/>
          <w:highlight w:val="none"/>
        </w:rPr>
      </w:pPr>
    </w:p>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重要提示：</w:t>
      </w:r>
    </w:p>
    <w:p>
      <w:pPr>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szCs w:val="21"/>
          <w:highlight w:val="none"/>
        </w:rPr>
        <w:t>上述证明文件是投标中非常重要的文件，投标人必须全面、准确地提供，并保证其真实性，否则将对投标人产生非常不利的影响，甚至将直接导致废标。</w:t>
      </w:r>
      <w:r>
        <w:rPr>
          <w:color w:val="auto"/>
          <w:highlight w:val="none"/>
        </w:rPr>
        <w:br w:type="page"/>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投标人基本情况表</w:t>
      </w:r>
    </w:p>
    <w:p>
      <w:pPr>
        <w:tabs>
          <w:tab w:val="left" w:pos="1050"/>
        </w:tabs>
        <w:topLinePunct/>
        <w:adjustRightInd w:val="0"/>
        <w:snapToGrid w:val="0"/>
        <w:spacing w:line="360" w:lineRule="auto"/>
        <w:jc w:val="left"/>
        <w:rPr>
          <w:rFonts w:ascii="宋体" w:hAnsi="宋体"/>
          <w:color w:val="auto"/>
          <w:kern w:val="0"/>
          <w:sz w:val="28"/>
          <w:highlight w:val="none"/>
        </w:rPr>
      </w:pPr>
    </w:p>
    <w:p>
      <w:pPr>
        <w:tabs>
          <w:tab w:val="left" w:pos="1050"/>
        </w:tabs>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投标人：____________________</w:t>
      </w:r>
    </w:p>
    <w:tbl>
      <w:tblPr>
        <w:tblStyle w:val="81"/>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605"/>
        <w:gridCol w:w="412"/>
        <w:gridCol w:w="923"/>
        <w:gridCol w:w="1470"/>
        <w:gridCol w:w="442"/>
        <w:gridCol w:w="1431"/>
        <w:gridCol w:w="1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7"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企业名称</w:t>
            </w:r>
          </w:p>
        </w:tc>
        <w:tc>
          <w:tcPr>
            <w:tcW w:w="2940" w:type="dxa"/>
            <w:gridSpan w:val="3"/>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470"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主管部门</w:t>
            </w:r>
          </w:p>
        </w:tc>
        <w:tc>
          <w:tcPr>
            <w:tcW w:w="3441" w:type="dxa"/>
            <w:gridSpan w:val="3"/>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7"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经济类型</w:t>
            </w:r>
          </w:p>
        </w:tc>
        <w:tc>
          <w:tcPr>
            <w:tcW w:w="2940" w:type="dxa"/>
            <w:gridSpan w:val="3"/>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470"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资质等级</w:t>
            </w:r>
          </w:p>
        </w:tc>
        <w:tc>
          <w:tcPr>
            <w:tcW w:w="3441" w:type="dxa"/>
            <w:gridSpan w:val="3"/>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7"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w:t>
            </w:r>
          </w:p>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简介</w:t>
            </w:r>
          </w:p>
        </w:tc>
        <w:tc>
          <w:tcPr>
            <w:tcW w:w="7851" w:type="dxa"/>
            <w:gridSpan w:val="7"/>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7" w:type="dxa"/>
            <w:vMerge w:val="restart"/>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w:t>
            </w:r>
          </w:p>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概况</w:t>
            </w:r>
          </w:p>
        </w:tc>
        <w:tc>
          <w:tcPr>
            <w:tcW w:w="1605"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职工总人数</w:t>
            </w:r>
          </w:p>
        </w:tc>
        <w:tc>
          <w:tcPr>
            <w:tcW w:w="2805" w:type="dxa"/>
            <w:gridSpan w:val="3"/>
            <w:shd w:val="clear" w:color="auto" w:fill="auto"/>
            <w:vAlign w:val="center"/>
          </w:tcPr>
          <w:p>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人</w:t>
            </w:r>
          </w:p>
        </w:tc>
        <w:tc>
          <w:tcPr>
            <w:tcW w:w="1873" w:type="dxa"/>
            <w:gridSpan w:val="2"/>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工程技术人员</w:t>
            </w:r>
          </w:p>
        </w:tc>
        <w:tc>
          <w:tcPr>
            <w:tcW w:w="1568" w:type="dxa"/>
            <w:shd w:val="clear" w:color="auto" w:fill="auto"/>
            <w:vAlign w:val="center"/>
          </w:tcPr>
          <w:p>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605"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生产工人</w:t>
            </w:r>
          </w:p>
        </w:tc>
        <w:tc>
          <w:tcPr>
            <w:tcW w:w="2805" w:type="dxa"/>
            <w:gridSpan w:val="3"/>
            <w:shd w:val="clear" w:color="auto" w:fill="auto"/>
            <w:vAlign w:val="center"/>
          </w:tcPr>
          <w:p>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人</w:t>
            </w:r>
          </w:p>
        </w:tc>
        <w:tc>
          <w:tcPr>
            <w:tcW w:w="1873" w:type="dxa"/>
            <w:gridSpan w:val="2"/>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 营 人 员</w:t>
            </w:r>
          </w:p>
        </w:tc>
        <w:tc>
          <w:tcPr>
            <w:tcW w:w="1568" w:type="dxa"/>
            <w:shd w:val="clear" w:color="auto" w:fill="auto"/>
            <w:vAlign w:val="center"/>
          </w:tcPr>
          <w:p>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605" w:type="dxa"/>
            <w:vMerge w:val="restart"/>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w:t>
            </w:r>
          </w:p>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资产</w:t>
            </w:r>
          </w:p>
        </w:tc>
        <w:tc>
          <w:tcPr>
            <w:tcW w:w="1335" w:type="dxa"/>
            <w:gridSpan w:val="2"/>
            <w:vMerge w:val="restart"/>
            <w:shd w:val="clear" w:color="auto" w:fill="auto"/>
            <w:vAlign w:val="center"/>
          </w:tcPr>
          <w:p>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c>
          <w:tcPr>
            <w:tcW w:w="1470" w:type="dxa"/>
            <w:vMerge w:val="restart"/>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w:t>
            </w:r>
          </w:p>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性质</w:t>
            </w:r>
          </w:p>
        </w:tc>
        <w:tc>
          <w:tcPr>
            <w:tcW w:w="1873" w:type="dxa"/>
            <w:gridSpan w:val="2"/>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生产性</w:t>
            </w:r>
          </w:p>
        </w:tc>
        <w:tc>
          <w:tcPr>
            <w:tcW w:w="1568" w:type="dxa"/>
            <w:shd w:val="clear" w:color="auto" w:fill="auto"/>
            <w:vAlign w:val="center"/>
          </w:tcPr>
          <w:p>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605" w:type="dxa"/>
            <w:vMerge w:val="continue"/>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335" w:type="dxa"/>
            <w:gridSpan w:val="2"/>
            <w:vMerge w:val="continue"/>
            <w:shd w:val="clear" w:color="auto" w:fill="auto"/>
            <w:vAlign w:val="center"/>
          </w:tcPr>
          <w:p>
            <w:pPr>
              <w:topLinePunct/>
              <w:adjustRightInd w:val="0"/>
              <w:snapToGrid w:val="0"/>
              <w:spacing w:line="360" w:lineRule="auto"/>
              <w:jc w:val="right"/>
              <w:rPr>
                <w:rFonts w:ascii="宋体" w:hAnsi="宋体" w:eastAsia="宋体" w:cs="宋体"/>
                <w:color w:val="auto"/>
                <w:kern w:val="0"/>
                <w:szCs w:val="21"/>
                <w:highlight w:val="none"/>
              </w:rPr>
            </w:pPr>
          </w:p>
        </w:tc>
        <w:tc>
          <w:tcPr>
            <w:tcW w:w="1470" w:type="dxa"/>
            <w:vMerge w:val="continue"/>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873" w:type="dxa"/>
            <w:gridSpan w:val="2"/>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非生产性</w:t>
            </w:r>
          </w:p>
        </w:tc>
        <w:tc>
          <w:tcPr>
            <w:tcW w:w="1568" w:type="dxa"/>
            <w:shd w:val="clear" w:color="auto" w:fill="auto"/>
            <w:vAlign w:val="center"/>
          </w:tcPr>
          <w:p>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605" w:type="dxa"/>
            <w:vMerge w:val="restart"/>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流动</w:t>
            </w:r>
          </w:p>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w:t>
            </w:r>
          </w:p>
        </w:tc>
        <w:tc>
          <w:tcPr>
            <w:tcW w:w="1335" w:type="dxa"/>
            <w:gridSpan w:val="2"/>
            <w:vMerge w:val="restart"/>
            <w:shd w:val="clear" w:color="auto" w:fill="auto"/>
            <w:vAlign w:val="center"/>
          </w:tcPr>
          <w:p>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c>
          <w:tcPr>
            <w:tcW w:w="1470" w:type="dxa"/>
            <w:vMerge w:val="restart"/>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w:t>
            </w:r>
          </w:p>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来源</w:t>
            </w:r>
          </w:p>
        </w:tc>
        <w:tc>
          <w:tcPr>
            <w:tcW w:w="1873" w:type="dxa"/>
            <w:gridSpan w:val="2"/>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自有资金</w:t>
            </w:r>
          </w:p>
        </w:tc>
        <w:tc>
          <w:tcPr>
            <w:tcW w:w="1568" w:type="dxa"/>
            <w:shd w:val="clear" w:color="auto" w:fill="auto"/>
            <w:vAlign w:val="center"/>
          </w:tcPr>
          <w:p>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605" w:type="dxa"/>
            <w:vMerge w:val="continue"/>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335" w:type="dxa"/>
            <w:gridSpan w:val="2"/>
            <w:vMerge w:val="continue"/>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470" w:type="dxa"/>
            <w:vMerge w:val="continue"/>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873" w:type="dxa"/>
            <w:gridSpan w:val="2"/>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银行贷款</w:t>
            </w:r>
          </w:p>
        </w:tc>
        <w:tc>
          <w:tcPr>
            <w:tcW w:w="1568" w:type="dxa"/>
            <w:shd w:val="clear" w:color="auto" w:fill="auto"/>
            <w:vAlign w:val="center"/>
          </w:tcPr>
          <w:p>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7"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主要资质</w:t>
            </w:r>
          </w:p>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证书</w:t>
            </w:r>
          </w:p>
        </w:tc>
        <w:tc>
          <w:tcPr>
            <w:tcW w:w="7851" w:type="dxa"/>
            <w:gridSpan w:val="7"/>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7"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质量保证</w:t>
            </w:r>
          </w:p>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体系</w:t>
            </w:r>
          </w:p>
        </w:tc>
        <w:tc>
          <w:tcPr>
            <w:tcW w:w="7851" w:type="dxa"/>
            <w:gridSpan w:val="7"/>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7" w:type="dxa"/>
            <w:vMerge w:val="restart"/>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经济指标</w:t>
            </w:r>
          </w:p>
        </w:tc>
        <w:tc>
          <w:tcPr>
            <w:tcW w:w="2017" w:type="dxa"/>
            <w:gridSpan w:val="2"/>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份</w:t>
            </w:r>
          </w:p>
        </w:tc>
        <w:tc>
          <w:tcPr>
            <w:tcW w:w="2835" w:type="dxa"/>
            <w:gridSpan w:val="3"/>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销售收入（万元）</w:t>
            </w:r>
          </w:p>
        </w:tc>
        <w:tc>
          <w:tcPr>
            <w:tcW w:w="2999" w:type="dxa"/>
            <w:gridSpan w:val="2"/>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利润（万元）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2017" w:type="dxa"/>
            <w:gridSpan w:val="2"/>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_____年</w:t>
            </w:r>
          </w:p>
        </w:tc>
        <w:tc>
          <w:tcPr>
            <w:tcW w:w="2835" w:type="dxa"/>
            <w:gridSpan w:val="3"/>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2999" w:type="dxa"/>
            <w:gridSpan w:val="2"/>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2017" w:type="dxa"/>
            <w:gridSpan w:val="2"/>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_____年</w:t>
            </w:r>
          </w:p>
        </w:tc>
        <w:tc>
          <w:tcPr>
            <w:tcW w:w="2835" w:type="dxa"/>
            <w:gridSpan w:val="3"/>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2999" w:type="dxa"/>
            <w:gridSpan w:val="2"/>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r>
    </w:tbl>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p>
    <w:p>
      <w:pPr>
        <w:topLinePunct/>
        <w:adjustRightInd w:val="0"/>
        <w:snapToGrid w:val="0"/>
        <w:spacing w:line="360" w:lineRule="auto"/>
        <w:ind w:firstLine="420" w:firstLineChars="200"/>
        <w:jc w:val="left"/>
        <w:rPr>
          <w:color w:val="auto"/>
          <w:highlight w:val="none"/>
        </w:rPr>
      </w:pPr>
      <w:r>
        <w:rPr>
          <w:rFonts w:hint="eastAsia" w:ascii="宋体" w:hAnsi="宋体" w:eastAsia="宋体" w:cs="宋体"/>
          <w:bCs/>
          <w:color w:val="auto"/>
          <w:kern w:val="0"/>
          <w:szCs w:val="21"/>
          <w:highlight w:val="none"/>
        </w:rPr>
        <w:t>注：表格不够可另附说明。</w:t>
      </w:r>
      <w:r>
        <w:rPr>
          <w:color w:val="auto"/>
          <w:highlight w:val="none"/>
        </w:rPr>
        <w:br w:type="page"/>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经年检的营业执照副本</w:t>
      </w:r>
    </w:p>
    <w:p>
      <w:pPr>
        <w:tabs>
          <w:tab w:val="left" w:pos="5580"/>
        </w:tabs>
        <w:topLinePunct/>
        <w:adjustRightInd w:val="0"/>
        <w:snapToGrid w:val="0"/>
        <w:spacing w:line="360" w:lineRule="auto"/>
        <w:jc w:val="center"/>
        <w:rPr>
          <w:rFonts w:ascii="仿宋_GB2312" w:hAnsi="宋体" w:eastAsia="仿宋_GB2312"/>
          <w:color w:val="auto"/>
          <w:kern w:val="0"/>
          <w:sz w:val="24"/>
          <w:highlight w:val="none"/>
        </w:rPr>
      </w:pPr>
    </w:p>
    <w:p>
      <w:pPr>
        <w:tabs>
          <w:tab w:val="left" w:pos="5580"/>
        </w:tabs>
        <w:topLinePunct/>
        <w:adjustRightInd w:val="0"/>
        <w:snapToGrid w:val="0"/>
        <w:spacing w:line="360" w:lineRule="auto"/>
        <w:jc w:val="center"/>
        <w:rPr>
          <w:rFonts w:ascii="仿宋_GB2312" w:hAnsi="宋体" w:eastAsia="仿宋_GB2312"/>
          <w:color w:val="auto"/>
          <w:kern w:val="0"/>
          <w:sz w:val="24"/>
          <w:highlight w:val="none"/>
        </w:rPr>
      </w:pPr>
    </w:p>
    <w:p>
      <w:pPr>
        <w:tabs>
          <w:tab w:val="left" w:pos="5580"/>
        </w:tabs>
        <w:topLinePunct/>
        <w:adjustRightInd w:val="0"/>
        <w:snapToGrid w:val="0"/>
        <w:spacing w:line="360" w:lineRule="auto"/>
        <w:jc w:val="center"/>
        <w:rPr>
          <w:rFonts w:ascii="仿宋_GB2312" w:hAnsi="宋体" w:eastAsia="仿宋_GB2312"/>
          <w:color w:val="auto"/>
          <w:kern w:val="0"/>
          <w:sz w:val="24"/>
          <w:highlight w:val="none"/>
        </w:rPr>
      </w:pPr>
    </w:p>
    <w:p>
      <w:pPr>
        <w:tabs>
          <w:tab w:val="left" w:pos="5580"/>
        </w:tabs>
        <w:topLinePunct/>
        <w:adjustRightInd w:val="0"/>
        <w:snapToGrid w:val="0"/>
        <w:spacing w:line="360" w:lineRule="auto"/>
        <w:jc w:val="center"/>
        <w:rPr>
          <w:color w:val="auto"/>
          <w:highlight w:val="none"/>
        </w:rPr>
      </w:pPr>
      <w:r>
        <w:rPr>
          <w:rFonts w:hint="eastAsia" w:ascii="仿宋_GB2312" w:hAnsi="宋体" w:eastAsia="仿宋_GB2312"/>
          <w:color w:val="auto"/>
          <w:kern w:val="0"/>
          <w:sz w:val="24"/>
          <w:highlight w:val="none"/>
        </w:rPr>
        <w:t>（扫描件）</w:t>
      </w:r>
      <w:r>
        <w:rPr>
          <w:color w:val="auto"/>
          <w:highlight w:val="none"/>
        </w:rPr>
        <w:br w:type="page"/>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制造商的资格声明</w:t>
      </w:r>
    </w:p>
    <w:p>
      <w:pPr>
        <w:topLinePunct/>
        <w:adjustRightInd w:val="0"/>
        <w:snapToGrid w:val="0"/>
        <w:spacing w:line="360" w:lineRule="auto"/>
        <w:jc w:val="left"/>
        <w:rPr>
          <w:rFonts w:ascii="宋体" w:hAnsi="宋体"/>
          <w:color w:val="auto"/>
          <w:kern w:val="0"/>
          <w:szCs w:val="21"/>
          <w:highlight w:val="none"/>
        </w:rPr>
      </w:pPr>
    </w:p>
    <w:p>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1、名称及概况：</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(1)制造厂家名称：</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(2)地址及邮编：</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(3)成立和注册日期：</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(4)主管部门：</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(5)企业性质：</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(6)法人代表：</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(7)职员人数：</w:t>
      </w:r>
    </w:p>
    <w:p>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一般工人：_________________ 技术人员：_____________________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(8)近期资产负债表（到_____________年____月_____日止）</w:t>
      </w:r>
    </w:p>
    <w:p>
      <w:pPr>
        <w:tabs>
          <w:tab w:val="left" w:pos="582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(1)固定资产：</w:t>
      </w:r>
    </w:p>
    <w:p>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原值：____________________净值：_________________________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(2)流动资金：</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(3)长期负债：</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(4)短期负债：</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(5)资金来源</w:t>
      </w:r>
    </w:p>
    <w:p>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自有资金：________________银行贷款：_____________________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(6)资金类型：</w:t>
      </w:r>
    </w:p>
    <w:p>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生产资金：________________非生产资金：___________________</w:t>
      </w:r>
    </w:p>
    <w:p>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2、(1)关于制造投标货物的设施及其他情况：</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工厂名称地址      生产的项目      年生产能力         职工人数</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(2)本制造厂不生产，而须从其他制造厂购买的主要零部件</w:t>
      </w:r>
    </w:p>
    <w:p>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制造厂家名称和地址</w:t>
      </w:r>
    </w:p>
    <w:p>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主要零部件名称________________________________________</w:t>
      </w:r>
    </w:p>
    <w:p>
      <w:pPr>
        <w:tabs>
          <w:tab w:val="left" w:pos="5580"/>
        </w:tabs>
        <w:topLinePunct/>
        <w:adjustRightInd w:val="0"/>
        <w:snapToGrid w:val="0"/>
        <w:spacing w:line="360" w:lineRule="auto"/>
        <w:ind w:firstLine="2310" w:firstLineChars="11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w:t>
      </w:r>
    </w:p>
    <w:p>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3、制造厂家生产此投标货物的历史（年数）：</w:t>
      </w:r>
    </w:p>
    <w:p>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4、近三年该货物主要销售给国内、外主要客户的名称地址：</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名称和地址                              销售项目和数量</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出口销售额：_______________________</w:t>
      </w:r>
    </w:p>
    <w:p>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5、近三年的年营业额：</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年份            国内            出口            总额</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w:t>
      </w:r>
    </w:p>
    <w:p>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6、易损件制造商的名称和地址：</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部件名称                          制造商</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w:t>
      </w:r>
    </w:p>
    <w:p>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7、有关开户银行的名称和地址：</w:t>
      </w:r>
    </w:p>
    <w:p>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8、其他情况：</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兹证明上述声明是真实、正确的，并提供了全部能提供的资料和数据，我们同意遵照贵方要求出示有关证明文件。</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制造商：______________________________________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投标人授权代表：______________________________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投标人授权代表的职务：________________________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电话号：________________  传真号：____________</w:t>
      </w:r>
    </w:p>
    <w:p>
      <w:pPr>
        <w:tabs>
          <w:tab w:val="left" w:pos="5580"/>
        </w:tabs>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日期：______________________________________</w:t>
      </w:r>
      <w:r>
        <w:rPr>
          <w:color w:val="auto"/>
          <w:highlight w:val="none"/>
        </w:rPr>
        <w:br w:type="page"/>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经销商（作为代理）的资格声明</w:t>
      </w:r>
    </w:p>
    <w:p>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1、名称及概况：</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(1)投标人名称：</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(2)地址及邮编：</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(3)成立和注册日期：</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(4)主管部门：</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(5)公司性质：</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(6)法人代表：</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(7)职员人数：</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(8)近期资产负债表（到________年____月_____日止）</w:t>
      </w:r>
    </w:p>
    <w:p>
      <w:pPr>
        <w:tabs>
          <w:tab w:val="left" w:pos="582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(1)固定资产：</w:t>
      </w:r>
    </w:p>
    <w:p>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原值：____________________净值：_________________________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(2)流动资金：</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(3)长期负债：</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(4)短期负债：</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(5)资金来源</w:t>
      </w:r>
    </w:p>
    <w:p>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自有资金：________________银行贷款：_____________________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(6)资金类型：</w:t>
      </w:r>
    </w:p>
    <w:p>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商业性：________________非商业性：___________________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2、最近三年的年度总营业额：</w:t>
      </w:r>
    </w:p>
    <w:p>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年份          国内           出口           总额</w:t>
      </w:r>
    </w:p>
    <w:p>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w:t>
      </w:r>
    </w:p>
    <w:p>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w:t>
      </w:r>
    </w:p>
    <w:p>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3、最近三年投标货物主要销售给国内及国外用户名称及地址：</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名称和地址                销售的项目和数量</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 出口销售：</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 国内销售：</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w:t>
      </w:r>
    </w:p>
    <w:p>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4、同意为投标人制造投标货物的制造厂并附有制造厂的资格声明：</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制造厂名称和地址          制造项目和数量</w:t>
      </w:r>
    </w:p>
    <w:p>
      <w:pPr>
        <w:tabs>
          <w:tab w:val="left" w:pos="360"/>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__________________________________________________</w:t>
      </w:r>
    </w:p>
    <w:p>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5、须由其他制造厂家供应和制造的部件（如果有的话）：</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制造厂名称和地址            制造项目</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w:t>
      </w:r>
    </w:p>
    <w:p>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6、最近三年中与各经销商成交的此种投标货物（如果有的话）：</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合同号：</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签字日期：</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产品名称：</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数量：</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合同金额：</w:t>
      </w:r>
    </w:p>
    <w:p>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7、有关开户银行的名称和地址：</w:t>
      </w:r>
    </w:p>
    <w:p>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8、投标人认为需要声明的其他情况</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兹证明上述声明是真实、正确的，并提供了全部能提供的资料和数据，我们同意遵照贵方要求出示有关证明文件。</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投标人名称：___________________________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投标人授权代表：________________________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投标人授权代表的职务：________________________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电话号：________________  传真号：____________</w:t>
      </w:r>
    </w:p>
    <w:p>
      <w:pPr>
        <w:tabs>
          <w:tab w:val="left" w:pos="5580"/>
        </w:tabs>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日期：__________________________________</w:t>
      </w:r>
      <w:r>
        <w:rPr>
          <w:color w:val="auto"/>
          <w:highlight w:val="none"/>
        </w:rPr>
        <w:br w:type="page"/>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制造商出具的授权函</w:t>
      </w:r>
    </w:p>
    <w:p>
      <w:pPr>
        <w:tabs>
          <w:tab w:val="left" w:pos="5580"/>
        </w:tabs>
        <w:topLinePunct/>
        <w:adjustRightInd w:val="0"/>
        <w:snapToGrid w:val="0"/>
        <w:spacing w:line="360" w:lineRule="auto"/>
        <w:jc w:val="left"/>
        <w:rPr>
          <w:rFonts w:ascii="宋体" w:hAnsi="宋体"/>
          <w:color w:val="auto"/>
          <w:kern w:val="0"/>
          <w:highlight w:val="none"/>
        </w:rPr>
      </w:pPr>
    </w:p>
    <w:p>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致：_____________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我们_____________________是按___________________法律成立的一家制造商，主要营业地点设在________________________。兹指派按___________________的法律正式成立的，主要营业地点设在_________________的_________________作为我方真正的合法的代理人进行下列有效的活动：</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(1)代表我方办理贵方_______________项目的投标要求提供的由我方制造的货物的有关事宜，并对我方具有约束力。</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(2)作为制造商，我方保证以投标合作者来约束自己，并对该投标共同和分别承担招标文件中所规定的义务。</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(3)我方兹授予_______________全权办理和履行上述我方为完成上述各点所必须的事宜，具有替换或撤销的全权。兹确认_________________或其正式授权代表依此合法地办理一切事宜。</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(4)我方于__________年____月____日签署本文件，____________________于______年____月____日接受此件，以此为证。</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制造商名称（公章）_________________   代理商名称（公章）____________________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签字人职务和部门：_________________   签字人职务和部门：____________________</w:t>
      </w:r>
    </w:p>
    <w:p>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签字人姓名：_______________________   签字人姓名：__________________________</w:t>
      </w:r>
    </w:p>
    <w:p>
      <w:pPr>
        <w:tabs>
          <w:tab w:val="left" w:pos="5580"/>
        </w:tabs>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签字人签名：_______________________   签字人签名：__________________________</w:t>
      </w:r>
      <w:r>
        <w:rPr>
          <w:color w:val="auto"/>
          <w:highlight w:val="none"/>
        </w:rPr>
        <w:br w:type="page"/>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主要技术人员情况表</w:t>
      </w:r>
    </w:p>
    <w:p>
      <w:pPr>
        <w:tabs>
          <w:tab w:val="left" w:pos="1050"/>
        </w:tabs>
        <w:topLinePunct/>
        <w:adjustRightInd w:val="0"/>
        <w:snapToGrid w:val="0"/>
        <w:spacing w:line="360" w:lineRule="auto"/>
        <w:jc w:val="left"/>
        <w:rPr>
          <w:rFonts w:ascii="宋体" w:hAnsi="宋体"/>
          <w:color w:val="auto"/>
          <w:kern w:val="0"/>
          <w:szCs w:val="21"/>
          <w:highlight w:val="none"/>
        </w:rPr>
      </w:pPr>
    </w:p>
    <w:p>
      <w:pPr>
        <w:tabs>
          <w:tab w:val="left" w:pos="1050"/>
        </w:tabs>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投标人：____________________</w:t>
      </w:r>
    </w:p>
    <w:tbl>
      <w:tblPr>
        <w:tblStyle w:val="81"/>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1114"/>
        <w:gridCol w:w="1486"/>
        <w:gridCol w:w="1301"/>
        <w:gridCol w:w="3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86"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名称</w:t>
            </w:r>
          </w:p>
        </w:tc>
        <w:tc>
          <w:tcPr>
            <w:tcW w:w="1114"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姓名</w:t>
            </w:r>
          </w:p>
        </w:tc>
        <w:tc>
          <w:tcPr>
            <w:tcW w:w="1486"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职务</w:t>
            </w:r>
          </w:p>
        </w:tc>
        <w:tc>
          <w:tcPr>
            <w:tcW w:w="1301"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职称</w:t>
            </w:r>
          </w:p>
        </w:tc>
        <w:tc>
          <w:tcPr>
            <w:tcW w:w="3901"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主要简历、经验及承担过的项目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项目负责人</w:t>
            </w:r>
          </w:p>
        </w:tc>
        <w:tc>
          <w:tcPr>
            <w:tcW w:w="1114"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技术负责人</w:t>
            </w:r>
          </w:p>
        </w:tc>
        <w:tc>
          <w:tcPr>
            <w:tcW w:w="1114"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114"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r>
    </w:tbl>
    <w:p>
      <w:pPr>
        <w:topLinePunct/>
        <w:adjustRightInd w:val="0"/>
        <w:snapToGrid w:val="0"/>
        <w:spacing w:line="360" w:lineRule="auto"/>
        <w:ind w:firstLine="420" w:firstLineChars="200"/>
        <w:jc w:val="left"/>
        <w:rPr>
          <w:rFonts w:ascii="宋体" w:hAnsi="宋体" w:eastAsia="宋体" w:cs="宋体"/>
          <w:color w:val="auto"/>
          <w:kern w:val="0"/>
          <w:szCs w:val="24"/>
          <w:highlight w:val="none"/>
        </w:rPr>
      </w:pPr>
    </w:p>
    <w:p>
      <w:pPr>
        <w:topLinePunct/>
        <w:adjustRightInd w:val="0"/>
        <w:snapToGrid w:val="0"/>
        <w:spacing w:line="360" w:lineRule="auto"/>
        <w:ind w:firstLine="420" w:firstLineChars="200"/>
        <w:jc w:val="left"/>
        <w:rPr>
          <w:color w:val="auto"/>
          <w:highlight w:val="none"/>
        </w:rPr>
      </w:pPr>
      <w:r>
        <w:rPr>
          <w:rFonts w:hint="eastAsia" w:ascii="楷体_GB2312" w:hAnsi="楷体_GB2312" w:eastAsia="楷体_GB2312" w:cs="楷体_GB2312"/>
          <w:color w:val="auto"/>
          <w:kern w:val="0"/>
          <w:szCs w:val="21"/>
          <w:highlight w:val="none"/>
        </w:rPr>
        <w:t>提示：项目主要参与人员主要指：项目负责人，项目技术负责人，项目主要设计生产技术人员、项目计划负责人和项目质量负责人、安装督导负责人等。</w:t>
      </w:r>
      <w:r>
        <w:rPr>
          <w:color w:val="auto"/>
          <w:highlight w:val="none"/>
        </w:rPr>
        <w:br w:type="page"/>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相关项目的业绩表</w:t>
      </w:r>
    </w:p>
    <w:p>
      <w:pPr>
        <w:topLinePunct/>
        <w:adjustRightInd w:val="0"/>
        <w:snapToGrid w:val="0"/>
        <w:spacing w:line="360" w:lineRule="auto"/>
        <w:jc w:val="left"/>
        <w:rPr>
          <w:rFonts w:ascii="宋体" w:hAnsi="宋体"/>
          <w:color w:val="auto"/>
          <w:kern w:val="0"/>
          <w:highlight w:val="none"/>
        </w:rPr>
      </w:pPr>
    </w:p>
    <w:p>
      <w:pPr>
        <w:tabs>
          <w:tab w:val="left" w:pos="1050"/>
        </w:tabs>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投标人：____________________</w:t>
      </w:r>
    </w:p>
    <w:tbl>
      <w:tblPr>
        <w:tblStyle w:val="81"/>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3"/>
        <w:gridCol w:w="1962"/>
        <w:gridCol w:w="983"/>
        <w:gridCol w:w="983"/>
        <w:gridCol w:w="1372"/>
        <w:gridCol w:w="1372"/>
        <w:gridCol w:w="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83"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建设单位</w:t>
            </w:r>
          </w:p>
        </w:tc>
        <w:tc>
          <w:tcPr>
            <w:tcW w:w="1962"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项目名称</w:t>
            </w:r>
          </w:p>
        </w:tc>
        <w:tc>
          <w:tcPr>
            <w:tcW w:w="983"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建设</w:t>
            </w:r>
          </w:p>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地点</w:t>
            </w:r>
          </w:p>
        </w:tc>
        <w:tc>
          <w:tcPr>
            <w:tcW w:w="983"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建设</w:t>
            </w:r>
          </w:p>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规模</w:t>
            </w:r>
          </w:p>
        </w:tc>
        <w:tc>
          <w:tcPr>
            <w:tcW w:w="1372"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开竣工日期</w:t>
            </w:r>
          </w:p>
        </w:tc>
        <w:tc>
          <w:tcPr>
            <w:tcW w:w="1372"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合同价格（万元）</w:t>
            </w:r>
          </w:p>
        </w:tc>
        <w:tc>
          <w:tcPr>
            <w:tcW w:w="933"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6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bl>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p>
    <w:p>
      <w:pPr>
        <w:topLinePunct/>
        <w:adjustRightInd w:val="0"/>
        <w:snapToGrid w:val="0"/>
        <w:spacing w:line="360" w:lineRule="auto"/>
        <w:ind w:firstLine="420" w:firstLineChars="200"/>
        <w:jc w:val="left"/>
        <w:rPr>
          <w:color w:val="auto"/>
          <w:highlight w:val="none"/>
        </w:rPr>
      </w:pPr>
      <w:r>
        <w:rPr>
          <w:rFonts w:hint="eastAsia" w:ascii="楷体_GB2312" w:hAnsi="楷体_GB2312" w:eastAsia="楷体_GB2312" w:cs="楷体_GB2312"/>
          <w:color w:val="auto"/>
          <w:kern w:val="0"/>
          <w:szCs w:val="21"/>
          <w:highlight w:val="none"/>
        </w:rPr>
        <w:t>提示：要求附项目证明材料扫描件（如合同扫描件、用户证明等）。</w:t>
      </w:r>
      <w:r>
        <w:rPr>
          <w:color w:val="auto"/>
          <w:highlight w:val="none"/>
        </w:rPr>
        <w:br w:type="page"/>
      </w:r>
    </w:p>
    <w:p>
      <w:pPr>
        <w:topLinePunct/>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其他</w:t>
      </w:r>
    </w:p>
    <w:p>
      <w:pPr>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其他1</w:t>
      </w:r>
    </w:p>
    <w:p>
      <w:pPr>
        <w:topLinePunct/>
        <w:adjustRightInd w:val="0"/>
        <w:snapToGrid w:val="0"/>
        <w:spacing w:line="360" w:lineRule="auto"/>
        <w:jc w:val="left"/>
        <w:rPr>
          <w:color w:val="auto"/>
          <w:highlight w:val="none"/>
        </w:rPr>
      </w:pPr>
      <w:r>
        <w:rPr>
          <w:rFonts w:hint="eastAsia" w:ascii="宋体" w:hAnsi="宋体" w:eastAsia="宋体" w:cs="宋体"/>
          <w:color w:val="auto"/>
          <w:kern w:val="0"/>
          <w:highlight w:val="none"/>
        </w:rPr>
        <w:t>（投标人认为应补充提供的其他文件资料或说明）</w:t>
      </w:r>
      <w:r>
        <w:rPr>
          <w:color w:val="auto"/>
          <w:highlight w:val="none"/>
        </w:rPr>
        <w:br w:type="page"/>
      </w:r>
    </w:p>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C．技术标书封面</w:t>
      </w: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rPr>
        <w:t>_______________________工程</w:t>
      </w: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52"/>
          <w:szCs w:val="52"/>
          <w:highlight w:val="none"/>
        </w:rPr>
      </w:pPr>
      <w:r>
        <w:rPr>
          <w:rFonts w:hint="eastAsia" w:ascii="宋体" w:hAnsi="宋体" w:eastAsia="宋体" w:cs="宋体"/>
          <w:color w:val="auto"/>
          <w:kern w:val="0"/>
          <w:sz w:val="52"/>
          <w:szCs w:val="52"/>
          <w:highlight w:val="none"/>
        </w:rPr>
        <w:t>投标文件</w:t>
      </w:r>
    </w:p>
    <w:p>
      <w:pPr>
        <w:topLinePunct/>
        <w:adjustRightInd w:val="0"/>
        <w:snapToGrid w:val="0"/>
        <w:spacing w:line="360" w:lineRule="auto"/>
        <w:jc w:val="center"/>
        <w:rPr>
          <w:rFonts w:ascii="宋体" w:hAnsi="宋体" w:eastAsia="宋体" w:cs="宋体"/>
          <w:color w:val="auto"/>
          <w:kern w:val="0"/>
          <w:sz w:val="52"/>
          <w:szCs w:val="52"/>
          <w:highlight w:val="none"/>
        </w:rPr>
      </w:pPr>
    </w:p>
    <w:p>
      <w:pPr>
        <w:topLinePunct/>
        <w:adjustRightInd w:val="0"/>
        <w:snapToGrid w:val="0"/>
        <w:spacing w:line="360" w:lineRule="auto"/>
        <w:jc w:val="center"/>
        <w:outlineLvl w:val="1"/>
        <w:rPr>
          <w:rFonts w:ascii="宋体" w:hAnsi="宋体" w:eastAsia="宋体" w:cs="宋体"/>
          <w:color w:val="auto"/>
          <w:kern w:val="0"/>
          <w:sz w:val="44"/>
          <w:szCs w:val="44"/>
          <w:highlight w:val="none"/>
        </w:rPr>
      </w:pPr>
      <w:bookmarkStart w:id="54" w:name="_Toc45702704"/>
      <w:bookmarkStart w:id="55" w:name="_Toc29141"/>
      <w:r>
        <w:rPr>
          <w:rFonts w:hint="eastAsia" w:ascii="宋体" w:hAnsi="宋体" w:eastAsia="宋体" w:cs="宋体"/>
          <w:color w:val="auto"/>
          <w:kern w:val="0"/>
          <w:sz w:val="44"/>
          <w:szCs w:val="44"/>
          <w:highlight w:val="none"/>
        </w:rPr>
        <w:t>技术标书</w:t>
      </w:r>
      <w:bookmarkEnd w:id="54"/>
      <w:bookmarkEnd w:id="55"/>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项目编号：______________________________</w:t>
      </w:r>
    </w:p>
    <w:p>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投标人名称：____________________________</w:t>
      </w:r>
    </w:p>
    <w:p>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投标人代表：____________________________</w:t>
      </w:r>
    </w:p>
    <w:p>
      <w:pPr>
        <w:topLinePunct/>
        <w:adjustRightInd w:val="0"/>
        <w:snapToGrid w:val="0"/>
        <w:spacing w:line="360" w:lineRule="auto"/>
        <w:ind w:firstLine="1400" w:firstLineChars="500"/>
        <w:jc w:val="left"/>
        <w:rPr>
          <w:color w:val="auto"/>
          <w:highlight w:val="none"/>
        </w:rPr>
      </w:pPr>
      <w:r>
        <w:rPr>
          <w:rFonts w:hint="eastAsia" w:ascii="宋体" w:hAnsi="宋体" w:eastAsia="宋体" w:cs="宋体"/>
          <w:color w:val="auto"/>
          <w:kern w:val="0"/>
          <w:sz w:val="28"/>
          <w:szCs w:val="28"/>
          <w:highlight w:val="none"/>
        </w:rPr>
        <w:t>日期：________年_____月_____日</w:t>
      </w:r>
      <w:r>
        <w:rPr>
          <w:color w:val="auto"/>
          <w:highlight w:val="none"/>
        </w:rPr>
        <w:br w:type="page"/>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技术性能响应表</w:t>
      </w:r>
    </w:p>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w:t>
      </w:r>
    </w:p>
    <w:tbl>
      <w:tblPr>
        <w:tblStyle w:val="81"/>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1413"/>
        <w:gridCol w:w="2008"/>
        <w:gridCol w:w="2008"/>
        <w:gridCol w:w="1839"/>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6" w:type="dxa"/>
            <w:shd w:val="clear" w:color="auto" w:fill="auto"/>
            <w:vAlign w:val="center"/>
          </w:tcPr>
          <w:p>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1413" w:type="dxa"/>
            <w:shd w:val="clear" w:color="auto" w:fill="auto"/>
            <w:vAlign w:val="center"/>
          </w:tcPr>
          <w:p>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项目编号</w:t>
            </w:r>
          </w:p>
        </w:tc>
        <w:tc>
          <w:tcPr>
            <w:tcW w:w="2008" w:type="dxa"/>
            <w:shd w:val="clear" w:color="auto" w:fill="auto"/>
            <w:vAlign w:val="center"/>
          </w:tcPr>
          <w:p>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品名</w:t>
            </w:r>
          </w:p>
        </w:tc>
        <w:tc>
          <w:tcPr>
            <w:tcW w:w="2008" w:type="dxa"/>
            <w:shd w:val="clear" w:color="auto" w:fill="auto"/>
            <w:vAlign w:val="center"/>
          </w:tcPr>
          <w:p>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招标规格</w:t>
            </w:r>
          </w:p>
        </w:tc>
        <w:tc>
          <w:tcPr>
            <w:tcW w:w="1839" w:type="dxa"/>
            <w:shd w:val="clear" w:color="auto" w:fill="auto"/>
            <w:vAlign w:val="center"/>
          </w:tcPr>
          <w:p>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投标规格</w:t>
            </w:r>
          </w:p>
        </w:tc>
        <w:tc>
          <w:tcPr>
            <w:tcW w:w="1244" w:type="dxa"/>
            <w:shd w:val="clear" w:color="auto" w:fill="auto"/>
            <w:vAlign w:val="center"/>
          </w:tcPr>
          <w:p>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6" w:type="dxa"/>
            <w:shd w:val="clear" w:color="auto" w:fill="auto"/>
            <w:vAlign w:val="center"/>
          </w:tcPr>
          <w:p>
            <w:pPr>
              <w:topLinePunct/>
              <w:adjustRightInd w:val="0"/>
              <w:snapToGrid w:val="0"/>
              <w:spacing w:line="360" w:lineRule="auto"/>
              <w:ind w:firstLine="57"/>
              <w:jc w:val="center"/>
              <w:rPr>
                <w:rFonts w:ascii="宋体" w:hAnsi="宋体" w:eastAsia="宋体" w:cs="宋体"/>
                <w:color w:val="auto"/>
                <w:kern w:val="0"/>
                <w:szCs w:val="21"/>
                <w:highlight w:val="none"/>
              </w:rPr>
            </w:pPr>
            <w:bookmarkStart w:id="56" w:name="技术性能响应表" w:colFirst="0" w:colLast="0"/>
          </w:p>
        </w:tc>
        <w:tc>
          <w:tcPr>
            <w:tcW w:w="1413"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2008"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p>
        </w:tc>
        <w:tc>
          <w:tcPr>
            <w:tcW w:w="2008"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p>
        </w:tc>
        <w:tc>
          <w:tcPr>
            <w:tcW w:w="1839"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p>
        </w:tc>
        <w:tc>
          <w:tcPr>
            <w:tcW w:w="1244"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rPr>
            </w:pPr>
          </w:p>
        </w:tc>
      </w:tr>
      <w:bookmarkEnd w:id="56"/>
    </w:tbl>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p>
    <w:p>
      <w:pPr>
        <w:topLinePunct/>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重要提示：</w:t>
      </w:r>
    </w:p>
    <w:p>
      <w:pPr>
        <w:topLinePunct/>
        <w:adjustRightInd w:val="0"/>
        <w:snapToGrid w:val="0"/>
        <w:spacing w:line="360" w:lineRule="auto"/>
        <w:ind w:firstLine="420" w:firstLineChars="200"/>
        <w:jc w:val="left"/>
        <w:rPr>
          <w:color w:val="auto"/>
          <w:highlight w:val="none"/>
        </w:rPr>
      </w:pPr>
      <w:r>
        <w:rPr>
          <w:rFonts w:hint="eastAsia" w:ascii="楷体_GB2312" w:hAnsi="楷体_GB2312" w:eastAsia="楷体_GB2312" w:cs="楷体_GB2312"/>
          <w:color w:val="auto"/>
          <w:kern w:val="0"/>
          <w:szCs w:val="21"/>
          <w:highlight w:val="none"/>
        </w:rPr>
        <w:t>只列出发生偏离的项目，没有列出的将被视为完全响应。</w:t>
      </w:r>
      <w:r>
        <w:rPr>
          <w:color w:val="auto"/>
          <w:highlight w:val="none"/>
        </w:rPr>
        <w:br w:type="page"/>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货物说明一览表</w:t>
      </w:r>
    </w:p>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w:t>
      </w:r>
    </w:p>
    <w:tbl>
      <w:tblPr>
        <w:tblStyle w:val="81"/>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197"/>
        <w:gridCol w:w="1991"/>
        <w:gridCol w:w="797"/>
        <w:gridCol w:w="997"/>
        <w:gridCol w:w="1196"/>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5"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197"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名称</w:t>
            </w:r>
          </w:p>
        </w:tc>
        <w:tc>
          <w:tcPr>
            <w:tcW w:w="1991"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规格和型号</w:t>
            </w:r>
          </w:p>
        </w:tc>
        <w:tc>
          <w:tcPr>
            <w:tcW w:w="797"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单位</w:t>
            </w:r>
          </w:p>
        </w:tc>
        <w:tc>
          <w:tcPr>
            <w:tcW w:w="997"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数量</w:t>
            </w:r>
          </w:p>
        </w:tc>
        <w:tc>
          <w:tcPr>
            <w:tcW w:w="1196"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尺寸</w:t>
            </w:r>
          </w:p>
        </w:tc>
        <w:tc>
          <w:tcPr>
            <w:tcW w:w="1393"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5"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21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pPr>
              <w:topLinePunct/>
              <w:adjustRightInd w:val="0"/>
              <w:snapToGrid w:val="0"/>
              <w:spacing w:line="360" w:lineRule="auto"/>
              <w:jc w:val="left"/>
              <w:rPr>
                <w:rFonts w:ascii="宋体" w:hAnsi="宋体" w:eastAsia="宋体" w:cs="宋体"/>
                <w:b/>
                <w:color w:val="auto"/>
                <w:kern w:val="0"/>
                <w:szCs w:val="21"/>
                <w:highlight w:val="none"/>
              </w:rPr>
            </w:pPr>
          </w:p>
        </w:tc>
        <w:tc>
          <w:tcPr>
            <w:tcW w:w="7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5"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21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5"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21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5"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21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5"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21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5"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p>
        </w:tc>
        <w:tc>
          <w:tcPr>
            <w:tcW w:w="21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5"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21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5"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21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5"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21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15"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21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bl>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p>
    <w:p>
      <w:pPr>
        <w:topLinePunct/>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重要提示：</w:t>
      </w:r>
    </w:p>
    <w:p>
      <w:pPr>
        <w:topLinePunct/>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1.投标人应根据本招标文件“货物需求书”的供货范围要求，填制本表。</w:t>
      </w:r>
    </w:p>
    <w:p>
      <w:pPr>
        <w:topLinePunct/>
        <w:adjustRightInd w:val="0"/>
        <w:snapToGrid w:val="0"/>
        <w:spacing w:line="360" w:lineRule="auto"/>
        <w:ind w:firstLine="420" w:firstLineChars="200"/>
        <w:jc w:val="left"/>
        <w:rPr>
          <w:color w:val="auto"/>
          <w:highlight w:val="none"/>
        </w:rPr>
      </w:pPr>
      <w:r>
        <w:rPr>
          <w:rFonts w:hint="eastAsia" w:ascii="楷体_GB2312" w:hAnsi="楷体_GB2312" w:eastAsia="楷体_GB2312" w:cs="楷体_GB2312"/>
          <w:color w:val="auto"/>
          <w:kern w:val="0"/>
          <w:szCs w:val="21"/>
          <w:highlight w:val="none"/>
        </w:rPr>
        <w:t>2.各项货物详细应另页描述。</w:t>
      </w:r>
      <w:r>
        <w:rPr>
          <w:rFonts w:hint="eastAsia" w:ascii="宋体" w:hAnsi="宋体" w:eastAsia="宋体" w:cs="宋体"/>
          <w:color w:val="auto"/>
          <w:szCs w:val="21"/>
          <w:highlight w:val="none"/>
        </w:rPr>
        <w:br w:type="page"/>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技术方案</w:t>
      </w:r>
    </w:p>
    <w:p>
      <w:pPr>
        <w:topLinePunct/>
        <w:adjustRightInd w:val="0"/>
        <w:snapToGrid w:val="0"/>
        <w:spacing w:line="360" w:lineRule="auto"/>
        <w:jc w:val="center"/>
        <w:rPr>
          <w:color w:val="auto"/>
          <w:highlight w:val="none"/>
        </w:rPr>
      </w:pPr>
      <w:r>
        <w:rPr>
          <w:rFonts w:hint="eastAsia" w:ascii="宋体" w:hAnsi="宋体" w:eastAsia="宋体" w:cs="宋体"/>
          <w:color w:val="auto"/>
          <w:kern w:val="0"/>
          <w:highlight w:val="none"/>
        </w:rPr>
        <w:t>（投标人应根据招标文件要求做出项目的技术方案。）</w:t>
      </w:r>
      <w:r>
        <w:rPr>
          <w:color w:val="auto"/>
          <w:highlight w:val="none"/>
        </w:rPr>
        <w:br w:type="page"/>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售后服务和培训方案</w:t>
      </w:r>
    </w:p>
    <w:p>
      <w:pPr>
        <w:topLinePunct/>
        <w:adjustRightInd w:val="0"/>
        <w:snapToGrid w:val="0"/>
        <w:spacing w:line="360" w:lineRule="auto"/>
        <w:ind w:firstLine="420" w:firstLineChars="200"/>
        <w:jc w:val="left"/>
        <w:rPr>
          <w:rFonts w:ascii="宋体" w:hAnsi="宋体" w:eastAsia="宋体" w:cs="宋体"/>
          <w:color w:val="auto"/>
          <w:kern w:val="0"/>
          <w:szCs w:val="24"/>
          <w:highlight w:val="none"/>
        </w:rPr>
      </w:pPr>
    </w:p>
    <w:p>
      <w:pPr>
        <w:topLinePunct/>
        <w:adjustRightInd w:val="0"/>
        <w:snapToGrid w:val="0"/>
        <w:spacing w:line="360" w:lineRule="auto"/>
        <w:ind w:firstLine="420" w:firstLineChars="200"/>
        <w:jc w:val="left"/>
        <w:rPr>
          <w:rFonts w:ascii="宋体" w:hAnsi="宋体" w:cs="宋体"/>
          <w:color w:val="auto"/>
          <w:kern w:val="0"/>
          <w:sz w:val="24"/>
          <w:szCs w:val="24"/>
          <w:highlight w:val="none"/>
        </w:rPr>
      </w:pPr>
      <w:r>
        <w:rPr>
          <w:rFonts w:hint="eastAsia" w:ascii="宋体" w:hAnsi="宋体" w:eastAsia="宋体" w:cs="宋体"/>
          <w:bCs/>
          <w:color w:val="auto"/>
          <w:kern w:val="0"/>
          <w:szCs w:val="24"/>
          <w:highlight w:val="none"/>
        </w:rPr>
        <w:t>（售后服务方案、计划及措施等。应包括安装工程维修、保修年限，服务响应时间培训计划等内容）</w:t>
      </w:r>
      <w:r>
        <w:rPr>
          <w:color w:val="auto"/>
          <w:highlight w:val="none"/>
        </w:rPr>
        <w:br w:type="page"/>
      </w:r>
    </w:p>
    <w:p>
      <w:pPr>
        <w:pStyle w:val="214"/>
        <w:widowControl w:val="0"/>
        <w:topLinePunct/>
        <w:adjustRightInd w:val="0"/>
        <w:snapToGrid w:val="0"/>
        <w:spacing w:before="0" w:beforeAutospacing="0" w:after="0" w:afterAutospacing="0" w:line="360" w:lineRule="auto"/>
        <w:jc w:val="center"/>
        <w:rPr>
          <w:b/>
          <w:color w:val="auto"/>
          <w:sz w:val="32"/>
          <w:szCs w:val="32"/>
          <w:highlight w:val="none"/>
        </w:rPr>
      </w:pPr>
      <w:r>
        <w:rPr>
          <w:rFonts w:hint="eastAsia"/>
          <w:b/>
          <w:color w:val="auto"/>
          <w:sz w:val="32"/>
          <w:szCs w:val="32"/>
          <w:highlight w:val="none"/>
        </w:rPr>
        <w:t>其他</w:t>
      </w:r>
    </w:p>
    <w:p>
      <w:pPr>
        <w:pStyle w:val="214"/>
        <w:widowControl w:val="0"/>
        <w:topLinePunct/>
        <w:adjustRightInd w:val="0"/>
        <w:snapToGrid w:val="0"/>
        <w:spacing w:before="0" w:beforeAutospacing="0" w:after="0" w:afterAutospacing="0" w:line="360" w:lineRule="auto"/>
        <w:rPr>
          <w:color w:val="auto"/>
          <w:sz w:val="21"/>
          <w:szCs w:val="21"/>
          <w:highlight w:val="none"/>
        </w:rPr>
      </w:pPr>
      <w:r>
        <w:rPr>
          <w:rFonts w:hint="eastAsia"/>
          <w:color w:val="auto"/>
          <w:sz w:val="21"/>
          <w:szCs w:val="21"/>
          <w:highlight w:val="none"/>
        </w:rPr>
        <w:t>其他2</w:t>
      </w:r>
    </w:p>
    <w:p>
      <w:pPr>
        <w:pStyle w:val="214"/>
        <w:widowControl w:val="0"/>
        <w:topLinePunct/>
        <w:adjustRightInd w:val="0"/>
        <w:snapToGrid w:val="0"/>
        <w:spacing w:before="0" w:beforeAutospacing="0" w:after="0" w:afterAutospacing="0" w:line="360" w:lineRule="auto"/>
        <w:rPr>
          <w:color w:val="auto"/>
          <w:highlight w:val="none"/>
        </w:rPr>
      </w:pPr>
      <w:r>
        <w:rPr>
          <w:rFonts w:hint="eastAsia"/>
          <w:color w:val="auto"/>
          <w:sz w:val="21"/>
          <w:szCs w:val="21"/>
          <w:highlight w:val="none"/>
        </w:rPr>
        <w:t>（投标人认为应补充提供的其他文件资料或说明）</w:t>
      </w:r>
      <w:r>
        <w:rPr>
          <w:color w:val="auto"/>
          <w:highlight w:val="none"/>
        </w:rPr>
        <w:br w:type="page"/>
      </w:r>
    </w:p>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D．商务标书封面</w:t>
      </w: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rPr>
        <w:t>_______________________工程</w:t>
      </w: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52"/>
          <w:szCs w:val="52"/>
          <w:highlight w:val="none"/>
        </w:rPr>
      </w:pPr>
      <w:r>
        <w:rPr>
          <w:rFonts w:hint="eastAsia" w:ascii="宋体" w:hAnsi="宋体" w:eastAsia="宋体" w:cs="宋体"/>
          <w:color w:val="auto"/>
          <w:kern w:val="0"/>
          <w:sz w:val="52"/>
          <w:szCs w:val="52"/>
          <w:highlight w:val="none"/>
        </w:rPr>
        <w:t>投标文件</w:t>
      </w:r>
    </w:p>
    <w:p>
      <w:pPr>
        <w:topLinePunct/>
        <w:adjustRightInd w:val="0"/>
        <w:snapToGrid w:val="0"/>
        <w:spacing w:line="360" w:lineRule="auto"/>
        <w:jc w:val="center"/>
        <w:rPr>
          <w:rFonts w:ascii="宋体" w:hAnsi="宋体" w:eastAsia="宋体" w:cs="宋体"/>
          <w:color w:val="auto"/>
          <w:kern w:val="0"/>
          <w:sz w:val="52"/>
          <w:szCs w:val="52"/>
          <w:highlight w:val="none"/>
        </w:rPr>
      </w:pPr>
    </w:p>
    <w:p>
      <w:pPr>
        <w:topLinePunct/>
        <w:adjustRightInd w:val="0"/>
        <w:snapToGrid w:val="0"/>
        <w:spacing w:line="360" w:lineRule="auto"/>
        <w:jc w:val="center"/>
        <w:outlineLvl w:val="1"/>
        <w:rPr>
          <w:rFonts w:ascii="宋体" w:hAnsi="宋体" w:eastAsia="宋体" w:cs="宋体"/>
          <w:color w:val="auto"/>
          <w:kern w:val="0"/>
          <w:sz w:val="44"/>
          <w:szCs w:val="44"/>
          <w:highlight w:val="none"/>
        </w:rPr>
      </w:pPr>
      <w:bookmarkStart w:id="57" w:name="_Toc45702705"/>
      <w:bookmarkStart w:id="58" w:name="_Toc31879"/>
      <w:r>
        <w:rPr>
          <w:rFonts w:hint="eastAsia" w:ascii="宋体" w:hAnsi="宋体" w:eastAsia="宋体" w:cs="宋体"/>
          <w:color w:val="auto"/>
          <w:kern w:val="0"/>
          <w:sz w:val="44"/>
          <w:szCs w:val="44"/>
          <w:highlight w:val="none"/>
        </w:rPr>
        <w:t>商务标书</w:t>
      </w:r>
      <w:bookmarkEnd w:id="57"/>
      <w:bookmarkEnd w:id="58"/>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jc w:val="center"/>
        <w:rPr>
          <w:rFonts w:ascii="宋体" w:hAnsi="宋体" w:eastAsia="宋体" w:cs="宋体"/>
          <w:color w:val="auto"/>
          <w:kern w:val="0"/>
          <w:sz w:val="44"/>
          <w:szCs w:val="44"/>
          <w:highlight w:val="none"/>
        </w:rPr>
      </w:pPr>
    </w:p>
    <w:p>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项目编号：______________________________</w:t>
      </w:r>
    </w:p>
    <w:p>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投标人名称：____________________________</w:t>
      </w:r>
    </w:p>
    <w:p>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投标人代表：____________________________</w:t>
      </w:r>
    </w:p>
    <w:p>
      <w:pPr>
        <w:topLinePunct/>
        <w:adjustRightInd w:val="0"/>
        <w:snapToGrid w:val="0"/>
        <w:spacing w:line="360" w:lineRule="auto"/>
        <w:ind w:firstLine="1400" w:firstLineChars="500"/>
        <w:jc w:val="left"/>
        <w:rPr>
          <w:color w:val="auto"/>
          <w:highlight w:val="none"/>
        </w:rPr>
      </w:pPr>
      <w:r>
        <w:rPr>
          <w:rFonts w:hint="eastAsia" w:ascii="宋体" w:hAnsi="宋体" w:eastAsia="宋体" w:cs="宋体"/>
          <w:color w:val="auto"/>
          <w:kern w:val="0"/>
          <w:sz w:val="28"/>
          <w:szCs w:val="28"/>
          <w:highlight w:val="none"/>
        </w:rPr>
        <w:t>日期：__________年_____月_____日</w:t>
      </w:r>
      <w:r>
        <w:rPr>
          <w:rFonts w:hint="eastAsia"/>
          <w:color w:val="auto"/>
          <w:highlight w:val="none"/>
        </w:rPr>
        <w:br w:type="page"/>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投标报价一览表</w:t>
      </w:r>
    </w:p>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259"/>
        <w:gridCol w:w="3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60"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5259"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内  容</w:t>
            </w:r>
          </w:p>
        </w:tc>
        <w:tc>
          <w:tcPr>
            <w:tcW w:w="3169"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投标价格</w:t>
            </w:r>
          </w:p>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60"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525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货物</w:t>
            </w:r>
          </w:p>
        </w:tc>
        <w:tc>
          <w:tcPr>
            <w:tcW w:w="31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60"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525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备品备件</w:t>
            </w:r>
          </w:p>
        </w:tc>
        <w:tc>
          <w:tcPr>
            <w:tcW w:w="31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60"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525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1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60"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525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1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60"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525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1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60"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525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合计</w:t>
            </w:r>
          </w:p>
        </w:tc>
        <w:tc>
          <w:tcPr>
            <w:tcW w:w="31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bl>
    <w:p>
      <w:pPr>
        <w:adjustRightInd w:val="0"/>
        <w:snapToGrid w:val="0"/>
        <w:spacing w:line="20" w:lineRule="exact"/>
        <w:rPr>
          <w:color w:val="auto"/>
          <w:highlight w:val="none"/>
        </w:rPr>
      </w:pPr>
      <w:r>
        <w:rPr>
          <w:color w:val="auto"/>
          <w:highlight w:val="none"/>
        </w:rPr>
        <w:br w:type="page"/>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投标分项报价表</w:t>
      </w:r>
    </w:p>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2434"/>
        <w:gridCol w:w="1805"/>
        <w:gridCol w:w="899"/>
        <w:gridCol w:w="1072"/>
        <w:gridCol w:w="1070"/>
        <w:gridCol w:w="1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jc w:val="center"/>
        </w:trPr>
        <w:tc>
          <w:tcPr>
            <w:tcW w:w="844" w:type="dxa"/>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2434" w:type="dxa"/>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名 称</w:t>
            </w:r>
          </w:p>
        </w:tc>
        <w:tc>
          <w:tcPr>
            <w:tcW w:w="1805" w:type="dxa"/>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899" w:type="dxa"/>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单位</w:t>
            </w:r>
          </w:p>
        </w:tc>
        <w:tc>
          <w:tcPr>
            <w:tcW w:w="1072" w:type="dxa"/>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070" w:type="dxa"/>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单价</w:t>
            </w:r>
          </w:p>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(元)</w:t>
            </w:r>
          </w:p>
        </w:tc>
        <w:tc>
          <w:tcPr>
            <w:tcW w:w="1730" w:type="dxa"/>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总价（元）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44" w:type="dxa"/>
            <w:vAlign w:val="center"/>
          </w:tcPr>
          <w:p>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2434" w:type="dxa"/>
            <w:vAlign w:val="center"/>
          </w:tcPr>
          <w:p>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主机和标准附件</w:t>
            </w:r>
          </w:p>
        </w:tc>
        <w:tc>
          <w:tcPr>
            <w:tcW w:w="1805" w:type="dxa"/>
            <w:vAlign w:val="center"/>
          </w:tcPr>
          <w:p>
            <w:pPr>
              <w:jc w:val="center"/>
              <w:rPr>
                <w:rFonts w:ascii="宋体" w:hAnsi="宋体" w:eastAsia="宋体" w:cs="宋体"/>
                <w:color w:val="auto"/>
                <w:szCs w:val="21"/>
                <w:highlight w:val="none"/>
              </w:rPr>
            </w:pPr>
          </w:p>
        </w:tc>
        <w:tc>
          <w:tcPr>
            <w:tcW w:w="899" w:type="dxa"/>
            <w:vAlign w:val="center"/>
          </w:tcPr>
          <w:p>
            <w:pPr>
              <w:jc w:val="center"/>
              <w:rPr>
                <w:rFonts w:ascii="宋体" w:hAnsi="宋体" w:eastAsia="宋体" w:cs="宋体"/>
                <w:color w:val="auto"/>
                <w:szCs w:val="21"/>
                <w:highlight w:val="none"/>
              </w:rPr>
            </w:pPr>
          </w:p>
        </w:tc>
        <w:tc>
          <w:tcPr>
            <w:tcW w:w="1072" w:type="dxa"/>
            <w:vAlign w:val="center"/>
          </w:tcPr>
          <w:p>
            <w:pPr>
              <w:jc w:val="center"/>
              <w:rPr>
                <w:rFonts w:ascii="宋体" w:hAnsi="宋体" w:eastAsia="宋体" w:cs="宋体"/>
                <w:color w:val="auto"/>
                <w:szCs w:val="21"/>
                <w:highlight w:val="none"/>
              </w:rPr>
            </w:pPr>
          </w:p>
        </w:tc>
        <w:tc>
          <w:tcPr>
            <w:tcW w:w="1070" w:type="dxa"/>
            <w:vAlign w:val="center"/>
          </w:tcPr>
          <w:p>
            <w:pPr>
              <w:jc w:val="center"/>
              <w:rPr>
                <w:rFonts w:ascii="宋体" w:hAnsi="宋体" w:eastAsia="宋体" w:cs="宋体"/>
                <w:color w:val="auto"/>
                <w:szCs w:val="21"/>
                <w:highlight w:val="none"/>
              </w:rPr>
            </w:pPr>
          </w:p>
        </w:tc>
        <w:tc>
          <w:tcPr>
            <w:tcW w:w="1730" w:type="dxa"/>
            <w:vAlign w:val="center"/>
          </w:tcPr>
          <w:p>
            <w:pPr>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44" w:type="dxa"/>
            <w:vAlign w:val="center"/>
          </w:tcPr>
          <w:p>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2434" w:type="dxa"/>
            <w:vAlign w:val="center"/>
          </w:tcPr>
          <w:p>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备品备件</w:t>
            </w:r>
          </w:p>
        </w:tc>
        <w:tc>
          <w:tcPr>
            <w:tcW w:w="1805" w:type="dxa"/>
            <w:vAlign w:val="center"/>
          </w:tcPr>
          <w:p>
            <w:pPr>
              <w:jc w:val="center"/>
              <w:rPr>
                <w:rFonts w:ascii="宋体" w:hAnsi="宋体" w:eastAsia="宋体" w:cs="宋体"/>
                <w:color w:val="auto"/>
                <w:szCs w:val="21"/>
                <w:highlight w:val="none"/>
              </w:rPr>
            </w:pPr>
          </w:p>
        </w:tc>
        <w:tc>
          <w:tcPr>
            <w:tcW w:w="899" w:type="dxa"/>
            <w:vAlign w:val="center"/>
          </w:tcPr>
          <w:p>
            <w:pPr>
              <w:jc w:val="center"/>
              <w:rPr>
                <w:rFonts w:ascii="宋体" w:hAnsi="宋体" w:eastAsia="宋体" w:cs="宋体"/>
                <w:color w:val="auto"/>
                <w:szCs w:val="21"/>
                <w:highlight w:val="none"/>
              </w:rPr>
            </w:pPr>
          </w:p>
        </w:tc>
        <w:tc>
          <w:tcPr>
            <w:tcW w:w="1072" w:type="dxa"/>
            <w:vAlign w:val="center"/>
          </w:tcPr>
          <w:p>
            <w:pPr>
              <w:jc w:val="center"/>
              <w:rPr>
                <w:rFonts w:ascii="宋体" w:hAnsi="宋体" w:eastAsia="宋体" w:cs="宋体"/>
                <w:color w:val="auto"/>
                <w:szCs w:val="21"/>
                <w:highlight w:val="none"/>
              </w:rPr>
            </w:pPr>
          </w:p>
        </w:tc>
        <w:tc>
          <w:tcPr>
            <w:tcW w:w="1070" w:type="dxa"/>
            <w:vAlign w:val="center"/>
          </w:tcPr>
          <w:p>
            <w:pPr>
              <w:jc w:val="center"/>
              <w:rPr>
                <w:rFonts w:ascii="宋体" w:hAnsi="宋体" w:eastAsia="宋体" w:cs="宋体"/>
                <w:color w:val="auto"/>
                <w:szCs w:val="21"/>
                <w:highlight w:val="none"/>
              </w:rPr>
            </w:pPr>
          </w:p>
        </w:tc>
        <w:tc>
          <w:tcPr>
            <w:tcW w:w="1730" w:type="dxa"/>
            <w:vAlign w:val="center"/>
          </w:tcPr>
          <w:p>
            <w:pPr>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44" w:type="dxa"/>
            <w:vAlign w:val="center"/>
          </w:tcPr>
          <w:p>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３</w:t>
            </w:r>
          </w:p>
        </w:tc>
        <w:tc>
          <w:tcPr>
            <w:tcW w:w="2434" w:type="dxa"/>
            <w:vAlign w:val="center"/>
          </w:tcPr>
          <w:p>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专用工具</w:t>
            </w:r>
          </w:p>
        </w:tc>
        <w:tc>
          <w:tcPr>
            <w:tcW w:w="1805" w:type="dxa"/>
            <w:vAlign w:val="center"/>
          </w:tcPr>
          <w:p>
            <w:pPr>
              <w:jc w:val="center"/>
              <w:rPr>
                <w:rFonts w:ascii="宋体" w:hAnsi="宋体" w:eastAsia="宋体" w:cs="宋体"/>
                <w:color w:val="auto"/>
                <w:szCs w:val="21"/>
                <w:highlight w:val="none"/>
              </w:rPr>
            </w:pPr>
          </w:p>
        </w:tc>
        <w:tc>
          <w:tcPr>
            <w:tcW w:w="899" w:type="dxa"/>
            <w:vAlign w:val="center"/>
          </w:tcPr>
          <w:p>
            <w:pPr>
              <w:jc w:val="center"/>
              <w:rPr>
                <w:rFonts w:ascii="宋体" w:hAnsi="宋体" w:eastAsia="宋体" w:cs="宋体"/>
                <w:color w:val="auto"/>
                <w:szCs w:val="21"/>
                <w:highlight w:val="none"/>
              </w:rPr>
            </w:pPr>
          </w:p>
        </w:tc>
        <w:tc>
          <w:tcPr>
            <w:tcW w:w="1072" w:type="dxa"/>
            <w:vAlign w:val="center"/>
          </w:tcPr>
          <w:p>
            <w:pPr>
              <w:jc w:val="center"/>
              <w:rPr>
                <w:rFonts w:ascii="宋体" w:hAnsi="宋体" w:eastAsia="宋体" w:cs="宋体"/>
                <w:color w:val="auto"/>
                <w:szCs w:val="21"/>
                <w:highlight w:val="none"/>
              </w:rPr>
            </w:pPr>
          </w:p>
        </w:tc>
        <w:tc>
          <w:tcPr>
            <w:tcW w:w="1070" w:type="dxa"/>
            <w:vAlign w:val="center"/>
          </w:tcPr>
          <w:p>
            <w:pPr>
              <w:jc w:val="center"/>
              <w:rPr>
                <w:rFonts w:ascii="宋体" w:hAnsi="宋体" w:eastAsia="宋体" w:cs="宋体"/>
                <w:color w:val="auto"/>
                <w:szCs w:val="21"/>
                <w:highlight w:val="none"/>
              </w:rPr>
            </w:pPr>
          </w:p>
        </w:tc>
        <w:tc>
          <w:tcPr>
            <w:tcW w:w="1730" w:type="dxa"/>
            <w:vAlign w:val="center"/>
          </w:tcPr>
          <w:p>
            <w:pPr>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44" w:type="dxa"/>
            <w:vAlign w:val="center"/>
          </w:tcPr>
          <w:p>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４</w:t>
            </w:r>
          </w:p>
        </w:tc>
        <w:tc>
          <w:tcPr>
            <w:tcW w:w="2434" w:type="dxa"/>
            <w:vAlign w:val="center"/>
          </w:tcPr>
          <w:p>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安装、调试、检验</w:t>
            </w:r>
          </w:p>
        </w:tc>
        <w:tc>
          <w:tcPr>
            <w:tcW w:w="1805" w:type="dxa"/>
            <w:vAlign w:val="center"/>
          </w:tcPr>
          <w:p>
            <w:pPr>
              <w:jc w:val="center"/>
              <w:rPr>
                <w:rFonts w:ascii="宋体" w:hAnsi="宋体" w:eastAsia="宋体" w:cs="宋体"/>
                <w:color w:val="auto"/>
                <w:szCs w:val="21"/>
                <w:highlight w:val="none"/>
              </w:rPr>
            </w:pPr>
          </w:p>
        </w:tc>
        <w:tc>
          <w:tcPr>
            <w:tcW w:w="899" w:type="dxa"/>
            <w:vAlign w:val="center"/>
          </w:tcPr>
          <w:p>
            <w:pPr>
              <w:jc w:val="center"/>
              <w:rPr>
                <w:rFonts w:ascii="宋体" w:hAnsi="宋体" w:eastAsia="宋体" w:cs="宋体"/>
                <w:color w:val="auto"/>
                <w:szCs w:val="21"/>
                <w:highlight w:val="none"/>
              </w:rPr>
            </w:pPr>
          </w:p>
        </w:tc>
        <w:tc>
          <w:tcPr>
            <w:tcW w:w="1072" w:type="dxa"/>
            <w:vAlign w:val="center"/>
          </w:tcPr>
          <w:p>
            <w:pPr>
              <w:jc w:val="center"/>
              <w:rPr>
                <w:rFonts w:ascii="宋体" w:hAnsi="宋体" w:eastAsia="宋体" w:cs="宋体"/>
                <w:color w:val="auto"/>
                <w:szCs w:val="21"/>
                <w:highlight w:val="none"/>
              </w:rPr>
            </w:pPr>
          </w:p>
        </w:tc>
        <w:tc>
          <w:tcPr>
            <w:tcW w:w="1070" w:type="dxa"/>
            <w:vAlign w:val="center"/>
          </w:tcPr>
          <w:p>
            <w:pPr>
              <w:jc w:val="center"/>
              <w:rPr>
                <w:rFonts w:ascii="宋体" w:hAnsi="宋体" w:eastAsia="宋体" w:cs="宋体"/>
                <w:color w:val="auto"/>
                <w:szCs w:val="21"/>
                <w:highlight w:val="none"/>
              </w:rPr>
            </w:pPr>
          </w:p>
        </w:tc>
        <w:tc>
          <w:tcPr>
            <w:tcW w:w="1730" w:type="dxa"/>
            <w:vAlign w:val="center"/>
          </w:tcPr>
          <w:p>
            <w:pPr>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44" w:type="dxa"/>
            <w:vAlign w:val="center"/>
          </w:tcPr>
          <w:p>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５</w:t>
            </w:r>
          </w:p>
        </w:tc>
        <w:tc>
          <w:tcPr>
            <w:tcW w:w="2434" w:type="dxa"/>
            <w:vAlign w:val="center"/>
          </w:tcPr>
          <w:p>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805" w:type="dxa"/>
            <w:vAlign w:val="center"/>
          </w:tcPr>
          <w:p>
            <w:pPr>
              <w:jc w:val="center"/>
              <w:rPr>
                <w:rFonts w:ascii="宋体" w:hAnsi="宋体" w:eastAsia="宋体" w:cs="宋体"/>
                <w:color w:val="auto"/>
                <w:szCs w:val="21"/>
                <w:highlight w:val="none"/>
              </w:rPr>
            </w:pPr>
          </w:p>
        </w:tc>
        <w:tc>
          <w:tcPr>
            <w:tcW w:w="899" w:type="dxa"/>
            <w:vAlign w:val="center"/>
          </w:tcPr>
          <w:p>
            <w:pPr>
              <w:jc w:val="center"/>
              <w:rPr>
                <w:rFonts w:ascii="宋体" w:hAnsi="宋体" w:eastAsia="宋体" w:cs="宋体"/>
                <w:color w:val="auto"/>
                <w:szCs w:val="21"/>
                <w:highlight w:val="none"/>
              </w:rPr>
            </w:pPr>
          </w:p>
        </w:tc>
        <w:tc>
          <w:tcPr>
            <w:tcW w:w="1072" w:type="dxa"/>
            <w:vAlign w:val="center"/>
          </w:tcPr>
          <w:p>
            <w:pPr>
              <w:jc w:val="center"/>
              <w:rPr>
                <w:rFonts w:ascii="宋体" w:hAnsi="宋体" w:eastAsia="宋体" w:cs="宋体"/>
                <w:color w:val="auto"/>
                <w:szCs w:val="21"/>
                <w:highlight w:val="none"/>
              </w:rPr>
            </w:pPr>
          </w:p>
        </w:tc>
        <w:tc>
          <w:tcPr>
            <w:tcW w:w="1070" w:type="dxa"/>
            <w:vAlign w:val="center"/>
          </w:tcPr>
          <w:p>
            <w:pPr>
              <w:jc w:val="center"/>
              <w:rPr>
                <w:rFonts w:ascii="宋体" w:hAnsi="宋体" w:eastAsia="宋体" w:cs="宋体"/>
                <w:color w:val="auto"/>
                <w:szCs w:val="21"/>
                <w:highlight w:val="none"/>
              </w:rPr>
            </w:pPr>
          </w:p>
        </w:tc>
        <w:tc>
          <w:tcPr>
            <w:tcW w:w="1730" w:type="dxa"/>
            <w:vAlign w:val="center"/>
          </w:tcPr>
          <w:p>
            <w:pPr>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44" w:type="dxa"/>
            <w:vAlign w:val="center"/>
          </w:tcPr>
          <w:p>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６</w:t>
            </w:r>
          </w:p>
        </w:tc>
        <w:tc>
          <w:tcPr>
            <w:tcW w:w="2434" w:type="dxa"/>
            <w:vAlign w:val="center"/>
          </w:tcPr>
          <w:p>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805" w:type="dxa"/>
            <w:vAlign w:val="center"/>
          </w:tcPr>
          <w:p>
            <w:pPr>
              <w:jc w:val="center"/>
              <w:rPr>
                <w:rFonts w:ascii="宋体" w:hAnsi="宋体" w:eastAsia="宋体" w:cs="宋体"/>
                <w:color w:val="auto"/>
                <w:szCs w:val="21"/>
                <w:highlight w:val="none"/>
              </w:rPr>
            </w:pPr>
          </w:p>
        </w:tc>
        <w:tc>
          <w:tcPr>
            <w:tcW w:w="899" w:type="dxa"/>
            <w:vAlign w:val="center"/>
          </w:tcPr>
          <w:p>
            <w:pPr>
              <w:jc w:val="center"/>
              <w:rPr>
                <w:rFonts w:ascii="宋体" w:hAnsi="宋体" w:eastAsia="宋体" w:cs="宋体"/>
                <w:color w:val="auto"/>
                <w:szCs w:val="21"/>
                <w:highlight w:val="none"/>
              </w:rPr>
            </w:pPr>
          </w:p>
        </w:tc>
        <w:tc>
          <w:tcPr>
            <w:tcW w:w="1072" w:type="dxa"/>
            <w:vAlign w:val="center"/>
          </w:tcPr>
          <w:p>
            <w:pPr>
              <w:jc w:val="center"/>
              <w:rPr>
                <w:rFonts w:ascii="宋体" w:hAnsi="宋体" w:eastAsia="宋体" w:cs="宋体"/>
                <w:color w:val="auto"/>
                <w:szCs w:val="21"/>
                <w:highlight w:val="none"/>
              </w:rPr>
            </w:pPr>
          </w:p>
        </w:tc>
        <w:tc>
          <w:tcPr>
            <w:tcW w:w="1070" w:type="dxa"/>
            <w:vAlign w:val="center"/>
          </w:tcPr>
          <w:p>
            <w:pPr>
              <w:jc w:val="center"/>
              <w:rPr>
                <w:rFonts w:ascii="宋体" w:hAnsi="宋体" w:eastAsia="宋体" w:cs="宋体"/>
                <w:color w:val="auto"/>
                <w:szCs w:val="21"/>
                <w:highlight w:val="none"/>
              </w:rPr>
            </w:pPr>
          </w:p>
        </w:tc>
        <w:tc>
          <w:tcPr>
            <w:tcW w:w="1730" w:type="dxa"/>
            <w:vAlign w:val="center"/>
          </w:tcPr>
          <w:p>
            <w:pPr>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44" w:type="dxa"/>
            <w:vAlign w:val="center"/>
          </w:tcPr>
          <w:p>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7</w:t>
            </w:r>
          </w:p>
        </w:tc>
        <w:tc>
          <w:tcPr>
            <w:tcW w:w="7280" w:type="dxa"/>
            <w:gridSpan w:val="5"/>
            <w:vAlign w:val="center"/>
          </w:tcPr>
          <w:p>
            <w:pPr>
              <w:jc w:val="left"/>
              <w:rPr>
                <w:rFonts w:ascii="宋体" w:hAnsi="宋体" w:eastAsia="宋体" w:cs="宋体"/>
                <w:color w:val="auto"/>
                <w:szCs w:val="21"/>
                <w:highlight w:val="none"/>
              </w:rPr>
            </w:pPr>
          </w:p>
        </w:tc>
        <w:tc>
          <w:tcPr>
            <w:tcW w:w="1730" w:type="dxa"/>
            <w:vAlign w:val="center"/>
          </w:tcPr>
          <w:p>
            <w:pPr>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jc w:val="center"/>
        </w:trPr>
        <w:tc>
          <w:tcPr>
            <w:tcW w:w="8124" w:type="dxa"/>
            <w:gridSpan w:val="6"/>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总    计</w:t>
            </w:r>
          </w:p>
        </w:tc>
        <w:tc>
          <w:tcPr>
            <w:tcW w:w="1730" w:type="dxa"/>
            <w:vAlign w:val="center"/>
          </w:tcPr>
          <w:p>
            <w:pPr>
              <w:jc w:val="center"/>
              <w:rPr>
                <w:rFonts w:ascii="宋体" w:hAnsi="宋体" w:eastAsia="宋体" w:cs="宋体"/>
                <w:color w:val="auto"/>
                <w:szCs w:val="21"/>
                <w:highlight w:val="none"/>
              </w:rPr>
            </w:pPr>
          </w:p>
        </w:tc>
      </w:tr>
    </w:tbl>
    <w:p>
      <w:pPr>
        <w:topLinePunct/>
        <w:adjustRightInd w:val="0"/>
        <w:snapToGrid w:val="0"/>
        <w:spacing w:line="360" w:lineRule="auto"/>
        <w:jc w:val="left"/>
        <w:rPr>
          <w:rFonts w:ascii="楷体_GB2312" w:hAnsi="楷体_GB2312" w:eastAsia="楷体_GB2312" w:cs="楷体_GB2312"/>
          <w:color w:val="auto"/>
          <w:kern w:val="0"/>
          <w:szCs w:val="21"/>
          <w:highlight w:val="none"/>
        </w:rPr>
      </w:pPr>
    </w:p>
    <w:p>
      <w:pPr>
        <w:topLinePunct/>
        <w:adjustRightInd w:val="0"/>
        <w:snapToGrid w:val="0"/>
        <w:spacing w:line="360" w:lineRule="auto"/>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重要提示：</w:t>
      </w:r>
    </w:p>
    <w:p>
      <w:pPr>
        <w:topLinePunct/>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1、报价采用人民币报价。如果总价与单价不符，以单价为准，调整总价；表中的同种货物数量应与“技术规格及要求”中对应货物清单一致。</w:t>
      </w:r>
    </w:p>
    <w:p>
      <w:pPr>
        <w:topLinePunct/>
        <w:adjustRightInd w:val="0"/>
        <w:snapToGrid w:val="0"/>
        <w:spacing w:line="360" w:lineRule="auto"/>
        <w:ind w:firstLine="420" w:firstLineChars="200"/>
        <w:jc w:val="left"/>
        <w:rPr>
          <w:color w:val="auto"/>
          <w:highlight w:val="none"/>
        </w:rPr>
      </w:pPr>
      <w:r>
        <w:rPr>
          <w:rFonts w:hint="eastAsia" w:ascii="楷体_GB2312" w:hAnsi="楷体_GB2312" w:eastAsia="楷体_GB2312" w:cs="楷体_GB2312"/>
          <w:color w:val="auto"/>
          <w:kern w:val="0"/>
          <w:szCs w:val="21"/>
          <w:highlight w:val="none"/>
        </w:rPr>
        <w:t>2、投标单价均为综合单价，应包括机组货物制造、检验、验收等等，以及运至合同指定地点的运输、装卸、利润、风险和保险等一切费、税。</w:t>
      </w:r>
      <w:r>
        <w:rPr>
          <w:color w:val="auto"/>
          <w:highlight w:val="none"/>
        </w:rPr>
        <w:br w:type="page"/>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货物说明一览表</w:t>
      </w:r>
    </w:p>
    <w:p>
      <w:pPr>
        <w:topLinePunct/>
        <w:adjustRightInd w:val="0"/>
        <w:snapToGrid w:val="0"/>
        <w:spacing w:line="360" w:lineRule="auto"/>
        <w:jc w:val="left"/>
        <w:rPr>
          <w:rFonts w:ascii="宋体" w:hAnsi="宋体"/>
          <w:color w:val="auto"/>
          <w:kern w:val="0"/>
          <w:highlight w:val="none"/>
        </w:rPr>
      </w:pPr>
    </w:p>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2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1669"/>
        <w:gridCol w:w="1669"/>
        <w:gridCol w:w="986"/>
        <w:gridCol w:w="1326"/>
        <w:gridCol w:w="1669"/>
        <w:gridCol w:w="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5"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1669"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货物名称</w:t>
            </w:r>
          </w:p>
        </w:tc>
        <w:tc>
          <w:tcPr>
            <w:tcW w:w="1669"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主要规格</w:t>
            </w:r>
          </w:p>
        </w:tc>
        <w:tc>
          <w:tcPr>
            <w:tcW w:w="986"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数量</w:t>
            </w:r>
          </w:p>
        </w:tc>
        <w:tc>
          <w:tcPr>
            <w:tcW w:w="1326"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交货期</w:t>
            </w:r>
          </w:p>
        </w:tc>
        <w:tc>
          <w:tcPr>
            <w:tcW w:w="1669"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交货地点</w:t>
            </w:r>
          </w:p>
        </w:tc>
        <w:tc>
          <w:tcPr>
            <w:tcW w:w="985" w:type="dxa"/>
            <w:shd w:val="clear" w:color="auto" w:fill="auto"/>
            <w:vAlign w:val="center"/>
          </w:tcPr>
          <w:p>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5"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5"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5"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5"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5"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5"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pPr>
              <w:topLinePunct/>
              <w:adjustRightInd w:val="0"/>
              <w:snapToGrid w:val="0"/>
              <w:spacing w:line="360" w:lineRule="auto"/>
              <w:jc w:val="left"/>
              <w:rPr>
                <w:rFonts w:ascii="宋体" w:hAnsi="宋体" w:eastAsia="宋体" w:cs="宋体"/>
                <w:color w:val="auto"/>
                <w:kern w:val="0"/>
                <w:szCs w:val="21"/>
                <w:highlight w:val="none"/>
              </w:rPr>
            </w:pPr>
          </w:p>
        </w:tc>
      </w:tr>
    </w:tbl>
    <w:p>
      <w:pPr>
        <w:topLinePunct/>
        <w:adjustRightInd w:val="0"/>
        <w:snapToGrid w:val="0"/>
        <w:spacing w:line="360" w:lineRule="auto"/>
        <w:jc w:val="left"/>
        <w:rPr>
          <w:rFonts w:ascii="宋体" w:hAnsi="宋体" w:eastAsia="宋体" w:cs="宋体"/>
          <w:color w:val="auto"/>
          <w:kern w:val="0"/>
          <w:szCs w:val="21"/>
          <w:highlight w:val="none"/>
        </w:rPr>
      </w:pPr>
    </w:p>
    <w:p>
      <w:pPr>
        <w:topLinePunct/>
        <w:adjustRightInd w:val="0"/>
        <w:snapToGrid w:val="0"/>
        <w:spacing w:line="360" w:lineRule="auto"/>
        <w:jc w:val="left"/>
        <w:rPr>
          <w:color w:val="auto"/>
          <w:highlight w:val="none"/>
        </w:rPr>
      </w:pPr>
      <w:r>
        <w:rPr>
          <w:rFonts w:hint="eastAsia" w:ascii="楷体_GB2312" w:hAnsi="楷体_GB2312" w:eastAsia="楷体_GB2312" w:cs="楷体_GB2312"/>
          <w:color w:val="auto"/>
          <w:kern w:val="0"/>
          <w:szCs w:val="21"/>
          <w:highlight w:val="none"/>
        </w:rPr>
        <w:t>重要提示：各项货物详细应另页描述。</w:t>
      </w:r>
      <w:r>
        <w:rPr>
          <w:color w:val="auto"/>
          <w:highlight w:val="none"/>
        </w:rPr>
        <w:br w:type="page"/>
      </w:r>
    </w:p>
    <w:p>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合同条款响应表</w:t>
      </w:r>
    </w:p>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w:t>
      </w:r>
    </w:p>
    <w:tbl>
      <w:tblPr>
        <w:tblStyle w:val="81"/>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2305"/>
        <w:gridCol w:w="2396"/>
        <w:gridCol w:w="2244"/>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2" w:type="dxa"/>
            <w:shd w:val="clear" w:color="auto" w:fill="auto"/>
            <w:vAlign w:val="center"/>
          </w:tcPr>
          <w:p>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305" w:type="dxa"/>
            <w:shd w:val="clear" w:color="auto" w:fill="auto"/>
            <w:vAlign w:val="center"/>
          </w:tcPr>
          <w:p>
            <w:pPr>
              <w:topLinePunct/>
              <w:adjustRightInd w:val="0"/>
              <w:snapToGrid w:val="0"/>
              <w:ind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招标文件条目号</w:t>
            </w:r>
          </w:p>
        </w:tc>
        <w:tc>
          <w:tcPr>
            <w:tcW w:w="2396" w:type="dxa"/>
            <w:shd w:val="clear" w:color="auto" w:fill="auto"/>
            <w:vAlign w:val="center"/>
          </w:tcPr>
          <w:p>
            <w:pPr>
              <w:topLinePunct/>
              <w:adjustRightInd w:val="0"/>
              <w:snapToGrid w:val="0"/>
              <w:ind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招标文件合同条款</w:t>
            </w:r>
          </w:p>
        </w:tc>
        <w:tc>
          <w:tcPr>
            <w:tcW w:w="2244" w:type="dxa"/>
            <w:shd w:val="clear" w:color="auto" w:fill="auto"/>
            <w:vAlign w:val="center"/>
          </w:tcPr>
          <w:p>
            <w:pPr>
              <w:topLinePunct/>
              <w:adjustRightInd w:val="0"/>
              <w:snapToGrid w:val="0"/>
              <w:ind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投标文件合同条款</w:t>
            </w:r>
          </w:p>
        </w:tc>
        <w:tc>
          <w:tcPr>
            <w:tcW w:w="1571" w:type="dxa"/>
            <w:shd w:val="clear" w:color="auto" w:fill="auto"/>
            <w:vAlign w:val="center"/>
          </w:tcPr>
          <w:p>
            <w:pPr>
              <w:topLinePunct/>
              <w:adjustRightInd w:val="0"/>
              <w:snapToGrid w:val="0"/>
              <w:ind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2"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bookmarkStart w:id="59" w:name="合同条款响应表" w:colFirst="0" w:colLast="0"/>
          </w:p>
        </w:tc>
        <w:tc>
          <w:tcPr>
            <w:tcW w:w="2305"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2396"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2244"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c>
          <w:tcPr>
            <w:tcW w:w="1571" w:type="dxa"/>
            <w:shd w:val="clear" w:color="auto" w:fill="auto"/>
            <w:vAlign w:val="center"/>
          </w:tcPr>
          <w:p>
            <w:pPr>
              <w:topLinePunct/>
              <w:adjustRightInd w:val="0"/>
              <w:snapToGrid w:val="0"/>
              <w:spacing w:line="360" w:lineRule="auto"/>
              <w:jc w:val="center"/>
              <w:rPr>
                <w:rFonts w:ascii="宋体" w:hAnsi="宋体" w:eastAsia="宋体" w:cs="宋体"/>
                <w:color w:val="auto"/>
                <w:kern w:val="0"/>
                <w:szCs w:val="21"/>
                <w:highlight w:val="none"/>
              </w:rPr>
            </w:pPr>
          </w:p>
        </w:tc>
      </w:tr>
      <w:bookmarkEnd w:id="59"/>
    </w:tbl>
    <w:p>
      <w:pPr>
        <w:topLinePunct/>
        <w:adjustRightInd w:val="0"/>
        <w:snapToGrid w:val="0"/>
        <w:spacing w:line="360" w:lineRule="auto"/>
        <w:jc w:val="left"/>
        <w:rPr>
          <w:rFonts w:ascii="楷体_GB2312" w:hAnsi="楷体_GB2312" w:eastAsia="楷体_GB2312" w:cs="楷体_GB2312"/>
          <w:color w:val="auto"/>
          <w:kern w:val="0"/>
          <w:szCs w:val="21"/>
          <w:highlight w:val="none"/>
        </w:rPr>
      </w:pPr>
    </w:p>
    <w:p>
      <w:pPr>
        <w:topLinePunct/>
        <w:adjustRightInd w:val="0"/>
        <w:snapToGrid w:val="0"/>
        <w:spacing w:line="360" w:lineRule="auto"/>
        <w:jc w:val="left"/>
        <w:rPr>
          <w:rFonts w:ascii="宋体" w:hAnsi="宋体"/>
          <w:color w:val="auto"/>
          <w:kern w:val="0"/>
          <w:szCs w:val="21"/>
          <w:highlight w:val="none"/>
        </w:rPr>
      </w:pPr>
      <w:r>
        <w:rPr>
          <w:rFonts w:hint="eastAsia" w:ascii="楷体_GB2312" w:hAnsi="楷体_GB2312" w:eastAsia="楷体_GB2312" w:cs="楷体_GB2312"/>
          <w:color w:val="auto"/>
          <w:kern w:val="0"/>
          <w:szCs w:val="21"/>
          <w:highlight w:val="none"/>
        </w:rPr>
        <w:t>重要提示：只列出发生偏离的项目，没有列出的将被视为完全响应。</w:t>
      </w:r>
      <w:r>
        <w:rPr>
          <w:rFonts w:ascii="宋体" w:hAnsi="宋体"/>
          <w:color w:val="auto"/>
          <w:kern w:val="0"/>
          <w:szCs w:val="21"/>
          <w:highlight w:val="none"/>
        </w:rPr>
        <w:br w:type="page"/>
      </w:r>
    </w:p>
    <w:p>
      <w:pPr>
        <w:pStyle w:val="214"/>
        <w:widowControl w:val="0"/>
        <w:topLinePunct/>
        <w:adjustRightInd w:val="0"/>
        <w:snapToGrid w:val="0"/>
        <w:spacing w:before="0" w:beforeAutospacing="0" w:after="0" w:afterAutospacing="0" w:line="360" w:lineRule="auto"/>
        <w:jc w:val="center"/>
        <w:rPr>
          <w:b/>
          <w:color w:val="auto"/>
          <w:sz w:val="32"/>
          <w:szCs w:val="32"/>
          <w:highlight w:val="none"/>
        </w:rPr>
      </w:pPr>
      <w:r>
        <w:rPr>
          <w:rFonts w:hint="eastAsia"/>
          <w:b/>
          <w:color w:val="auto"/>
          <w:sz w:val="32"/>
          <w:szCs w:val="32"/>
          <w:highlight w:val="none"/>
        </w:rPr>
        <w:t>其他</w:t>
      </w:r>
    </w:p>
    <w:p>
      <w:pPr>
        <w:pStyle w:val="214"/>
        <w:widowControl w:val="0"/>
        <w:topLinePunct/>
        <w:adjustRightInd w:val="0"/>
        <w:snapToGrid w:val="0"/>
        <w:spacing w:before="0" w:beforeAutospacing="0" w:after="0" w:afterAutospacing="0" w:line="360" w:lineRule="auto"/>
        <w:rPr>
          <w:color w:val="auto"/>
          <w:sz w:val="21"/>
          <w:szCs w:val="21"/>
          <w:highlight w:val="none"/>
        </w:rPr>
      </w:pPr>
      <w:r>
        <w:rPr>
          <w:rFonts w:hint="eastAsia"/>
          <w:color w:val="auto"/>
          <w:sz w:val="21"/>
          <w:szCs w:val="21"/>
          <w:highlight w:val="none"/>
        </w:rPr>
        <w:t>其他3</w:t>
      </w:r>
    </w:p>
    <w:p>
      <w:pPr>
        <w:widowControl/>
        <w:jc w:val="left"/>
        <w:rPr>
          <w:rFonts w:ascii="宋体" w:hAnsi="宋体" w:cs="宋体"/>
          <w:color w:val="auto"/>
          <w:kern w:val="0"/>
          <w:sz w:val="24"/>
          <w:szCs w:val="24"/>
          <w:highlight w:val="none"/>
        </w:rPr>
      </w:pPr>
      <w:r>
        <w:rPr>
          <w:rFonts w:hint="eastAsia" w:ascii="宋体" w:hAnsi="宋体" w:eastAsia="宋体" w:cs="宋体"/>
          <w:color w:val="auto"/>
          <w:szCs w:val="21"/>
          <w:highlight w:val="none"/>
        </w:rPr>
        <w:t>（投标人认为应补充提供的其他文件资料或说明）</w:t>
      </w:r>
      <w:r>
        <w:rPr>
          <w:color w:val="auto"/>
          <w:highlight w:val="none"/>
        </w:rPr>
        <w:br w:type="page"/>
      </w:r>
    </w:p>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E ．业绩文件封面</w:t>
      </w:r>
    </w:p>
    <w:p>
      <w:pPr>
        <w:jc w:val="center"/>
        <w:rPr>
          <w:rFonts w:ascii="宋体" w:hAnsi="宋体" w:eastAsia="宋体" w:cs="宋体"/>
          <w:color w:val="auto"/>
          <w:kern w:val="0"/>
          <w:sz w:val="44"/>
          <w:szCs w:val="44"/>
          <w:highlight w:val="none"/>
        </w:rPr>
      </w:pPr>
    </w:p>
    <w:p>
      <w:pPr>
        <w:jc w:val="center"/>
        <w:rPr>
          <w:rFonts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u w:val="single"/>
        </w:rPr>
        <w:t>________________________</w:t>
      </w:r>
      <w:r>
        <w:rPr>
          <w:rFonts w:hint="eastAsia" w:ascii="宋体" w:hAnsi="宋体" w:eastAsia="宋体" w:cs="宋体"/>
          <w:color w:val="auto"/>
          <w:kern w:val="0"/>
          <w:sz w:val="44"/>
          <w:szCs w:val="44"/>
          <w:highlight w:val="none"/>
        </w:rPr>
        <w:t>工程</w:t>
      </w:r>
    </w:p>
    <w:p>
      <w:pPr>
        <w:jc w:val="center"/>
        <w:rPr>
          <w:rFonts w:ascii="宋体" w:hAnsi="宋体" w:eastAsia="宋体" w:cs="宋体"/>
          <w:color w:val="auto"/>
          <w:kern w:val="0"/>
          <w:sz w:val="44"/>
          <w:szCs w:val="44"/>
          <w:highlight w:val="none"/>
        </w:rPr>
      </w:pPr>
    </w:p>
    <w:p>
      <w:pPr>
        <w:jc w:val="center"/>
        <w:rPr>
          <w:rFonts w:ascii="宋体" w:hAnsi="宋体" w:eastAsia="宋体" w:cs="宋体"/>
          <w:color w:val="auto"/>
          <w:kern w:val="0"/>
          <w:sz w:val="52"/>
          <w:szCs w:val="52"/>
          <w:highlight w:val="none"/>
        </w:rPr>
      </w:pPr>
      <w:r>
        <w:rPr>
          <w:rFonts w:hint="eastAsia" w:ascii="宋体" w:hAnsi="宋体" w:eastAsia="宋体" w:cs="宋体"/>
          <w:color w:val="auto"/>
          <w:kern w:val="0"/>
          <w:sz w:val="52"/>
          <w:szCs w:val="52"/>
          <w:highlight w:val="none"/>
        </w:rPr>
        <w:t>投标文件</w:t>
      </w:r>
    </w:p>
    <w:p>
      <w:pPr>
        <w:jc w:val="center"/>
        <w:rPr>
          <w:rFonts w:ascii="宋体" w:hAnsi="宋体" w:eastAsia="宋体" w:cs="宋体"/>
          <w:color w:val="auto"/>
          <w:kern w:val="0"/>
          <w:sz w:val="52"/>
          <w:szCs w:val="52"/>
          <w:highlight w:val="none"/>
        </w:rPr>
      </w:pPr>
    </w:p>
    <w:p>
      <w:pPr>
        <w:jc w:val="center"/>
        <w:rPr>
          <w:rFonts w:ascii="宋体" w:hAnsi="宋体" w:eastAsia="宋体" w:cs="宋体"/>
          <w:color w:val="auto"/>
          <w:kern w:val="0"/>
          <w:sz w:val="44"/>
          <w:szCs w:val="44"/>
          <w:highlight w:val="none"/>
        </w:rPr>
      </w:pPr>
    </w:p>
    <w:p>
      <w:pPr>
        <w:jc w:val="center"/>
        <w:outlineLvl w:val="1"/>
        <w:rPr>
          <w:rFonts w:ascii="宋体" w:hAnsi="宋体" w:eastAsia="宋体" w:cs="宋体"/>
          <w:color w:val="auto"/>
          <w:kern w:val="0"/>
          <w:sz w:val="44"/>
          <w:szCs w:val="44"/>
          <w:highlight w:val="none"/>
        </w:rPr>
      </w:pPr>
      <w:bookmarkStart w:id="60" w:name="_Toc45702706"/>
      <w:bookmarkStart w:id="61" w:name="_Toc26545"/>
      <w:r>
        <w:rPr>
          <w:rFonts w:hint="eastAsia" w:ascii="宋体" w:hAnsi="宋体" w:eastAsia="宋体" w:cs="宋体"/>
          <w:color w:val="auto"/>
          <w:kern w:val="0"/>
          <w:sz w:val="44"/>
          <w:szCs w:val="44"/>
          <w:highlight w:val="none"/>
        </w:rPr>
        <w:t>业绩文件</w:t>
      </w:r>
      <w:bookmarkEnd w:id="60"/>
      <w:bookmarkEnd w:id="61"/>
    </w:p>
    <w:p>
      <w:pPr>
        <w:jc w:val="center"/>
        <w:rPr>
          <w:rFonts w:ascii="宋体" w:hAnsi="宋体" w:eastAsia="宋体" w:cs="宋体"/>
          <w:color w:val="auto"/>
          <w:kern w:val="0"/>
          <w:sz w:val="44"/>
          <w:szCs w:val="44"/>
          <w:highlight w:val="none"/>
        </w:rPr>
      </w:pPr>
    </w:p>
    <w:p>
      <w:pPr>
        <w:jc w:val="center"/>
        <w:rPr>
          <w:rFonts w:ascii="宋体" w:hAnsi="宋体" w:eastAsia="宋体" w:cs="宋体"/>
          <w:color w:val="auto"/>
          <w:kern w:val="0"/>
          <w:sz w:val="44"/>
          <w:szCs w:val="44"/>
          <w:highlight w:val="none"/>
        </w:rPr>
      </w:pPr>
    </w:p>
    <w:p>
      <w:pPr>
        <w:jc w:val="center"/>
        <w:rPr>
          <w:rFonts w:ascii="宋体" w:hAnsi="宋体" w:eastAsia="宋体" w:cs="宋体"/>
          <w:color w:val="auto"/>
          <w:kern w:val="0"/>
          <w:sz w:val="44"/>
          <w:szCs w:val="44"/>
          <w:highlight w:val="none"/>
        </w:rPr>
      </w:pPr>
    </w:p>
    <w:p>
      <w:pPr>
        <w:jc w:val="center"/>
        <w:rPr>
          <w:rFonts w:ascii="宋体" w:hAnsi="宋体" w:eastAsia="宋体" w:cs="宋体"/>
          <w:color w:val="auto"/>
          <w:kern w:val="0"/>
          <w:sz w:val="44"/>
          <w:szCs w:val="44"/>
          <w:highlight w:val="none"/>
        </w:rPr>
      </w:pPr>
    </w:p>
    <w:p>
      <w:pPr>
        <w:jc w:val="center"/>
        <w:rPr>
          <w:rFonts w:ascii="宋体" w:hAnsi="宋体" w:eastAsia="宋体" w:cs="宋体"/>
          <w:color w:val="auto"/>
          <w:kern w:val="0"/>
          <w:sz w:val="44"/>
          <w:szCs w:val="44"/>
          <w:highlight w:val="none"/>
        </w:rPr>
      </w:pPr>
    </w:p>
    <w:p>
      <w:pPr>
        <w:jc w:val="center"/>
        <w:rPr>
          <w:rFonts w:ascii="宋体" w:hAnsi="宋体" w:eastAsia="宋体" w:cs="宋体"/>
          <w:color w:val="auto"/>
          <w:kern w:val="0"/>
          <w:sz w:val="44"/>
          <w:szCs w:val="44"/>
          <w:highlight w:val="none"/>
        </w:rPr>
      </w:pPr>
    </w:p>
    <w:p>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项目编号：_____________________________</w:t>
      </w:r>
    </w:p>
    <w:p>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投标人名称：___________________________</w:t>
      </w:r>
    </w:p>
    <w:p>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投标人代表：___________________________</w:t>
      </w:r>
    </w:p>
    <w:p>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投标日期：____________年_____月______日</w:t>
      </w:r>
    </w:p>
    <w:p>
      <w:pPr>
        <w:widowControl/>
        <w:jc w:val="left"/>
        <w:rPr>
          <w:rFonts w:eastAsia="黑体"/>
          <w:color w:val="auto"/>
          <w:kern w:val="0"/>
          <w:sz w:val="28"/>
          <w:szCs w:val="28"/>
          <w:highlight w:val="none"/>
        </w:rPr>
      </w:pPr>
      <w:r>
        <w:rPr>
          <w:rFonts w:eastAsia="黑体"/>
          <w:color w:val="auto"/>
          <w:kern w:val="0"/>
          <w:sz w:val="28"/>
          <w:szCs w:val="28"/>
          <w:highlight w:val="none"/>
        </w:rPr>
        <w:br w:type="page"/>
      </w:r>
    </w:p>
    <w:p>
      <w:pPr>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业绩清单一览表</w:t>
      </w:r>
    </w:p>
    <w:p>
      <w:pPr>
        <w:spacing w:after="156" w:afterLines="50" w:line="50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4105"/>
        <w:gridCol w:w="936"/>
        <w:gridCol w:w="1250"/>
        <w:gridCol w:w="1406"/>
        <w:gridCol w:w="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7" w:type="dxa"/>
            <w:shd w:val="clear" w:color="auto" w:fill="auto"/>
            <w:vAlign w:val="center"/>
          </w:tcPr>
          <w:p>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4105" w:type="dxa"/>
            <w:shd w:val="clear" w:color="auto" w:fill="auto"/>
            <w:vAlign w:val="center"/>
          </w:tcPr>
          <w:p>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工程名称</w:t>
            </w:r>
          </w:p>
        </w:tc>
        <w:tc>
          <w:tcPr>
            <w:tcW w:w="936" w:type="dxa"/>
            <w:shd w:val="clear" w:color="auto" w:fill="auto"/>
            <w:vAlign w:val="center"/>
          </w:tcPr>
          <w:p>
            <w:pPr>
              <w:spacing w:before="156" w:beforeLines="50"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建设地点</w:t>
            </w:r>
          </w:p>
        </w:tc>
        <w:tc>
          <w:tcPr>
            <w:tcW w:w="1250" w:type="dxa"/>
            <w:shd w:val="clear" w:color="auto" w:fill="auto"/>
            <w:vAlign w:val="center"/>
          </w:tcPr>
          <w:p>
            <w:pPr>
              <w:spacing w:before="156" w:beforeLines="50"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供货时间</w:t>
            </w:r>
          </w:p>
        </w:tc>
        <w:tc>
          <w:tcPr>
            <w:tcW w:w="1406" w:type="dxa"/>
            <w:shd w:val="clear" w:color="auto" w:fill="auto"/>
            <w:vAlign w:val="center"/>
          </w:tcPr>
          <w:p>
            <w:pPr>
              <w:spacing w:before="156" w:beforeLines="50"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合同价格</w:t>
            </w:r>
          </w:p>
          <w:p>
            <w:pPr>
              <w:spacing w:before="156" w:beforeLines="50"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（万元）</w:t>
            </w:r>
          </w:p>
        </w:tc>
        <w:tc>
          <w:tcPr>
            <w:tcW w:w="894" w:type="dxa"/>
            <w:shd w:val="clear" w:color="auto" w:fill="auto"/>
            <w:vAlign w:val="center"/>
          </w:tcPr>
          <w:p>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7" w:type="dxa"/>
            <w:shd w:val="clear" w:color="auto" w:fill="auto"/>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4105"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93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250"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40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894" w:type="dxa"/>
            <w:shd w:val="clear" w:color="auto" w:fill="auto"/>
            <w:vAlign w:val="center"/>
          </w:tcPr>
          <w:p>
            <w:pPr>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7" w:type="dxa"/>
            <w:shd w:val="clear" w:color="auto" w:fill="auto"/>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4105"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93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250"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40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894" w:type="dxa"/>
            <w:shd w:val="clear" w:color="auto" w:fill="auto"/>
            <w:vAlign w:val="center"/>
          </w:tcPr>
          <w:p>
            <w:pPr>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7" w:type="dxa"/>
            <w:shd w:val="clear" w:color="auto" w:fill="auto"/>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4105"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93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250"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40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894" w:type="dxa"/>
            <w:shd w:val="clear" w:color="auto" w:fill="auto"/>
            <w:vAlign w:val="center"/>
          </w:tcPr>
          <w:p>
            <w:pPr>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7" w:type="dxa"/>
            <w:shd w:val="clear" w:color="auto" w:fill="auto"/>
            <w:vAlign w:val="center"/>
          </w:tcPr>
          <w:p>
            <w:pPr>
              <w:spacing w:line="360" w:lineRule="auto"/>
              <w:jc w:val="center"/>
              <w:rPr>
                <w:rFonts w:ascii="宋体" w:hAnsi="宋体" w:eastAsia="宋体" w:cs="宋体"/>
                <w:color w:val="auto"/>
                <w:kern w:val="0"/>
                <w:szCs w:val="21"/>
                <w:highlight w:val="none"/>
              </w:rPr>
            </w:pPr>
          </w:p>
        </w:tc>
        <w:tc>
          <w:tcPr>
            <w:tcW w:w="4105"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93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250"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40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894" w:type="dxa"/>
            <w:shd w:val="clear" w:color="auto" w:fill="auto"/>
            <w:vAlign w:val="center"/>
          </w:tcPr>
          <w:p>
            <w:pPr>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7" w:type="dxa"/>
            <w:shd w:val="clear" w:color="auto" w:fill="auto"/>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4105"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93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250"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40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894" w:type="dxa"/>
            <w:shd w:val="clear" w:color="auto" w:fill="auto"/>
            <w:vAlign w:val="center"/>
          </w:tcPr>
          <w:p>
            <w:pPr>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97" w:type="dxa"/>
            <w:shd w:val="clear" w:color="auto" w:fill="auto"/>
            <w:vAlign w:val="center"/>
          </w:tcPr>
          <w:p>
            <w:pPr>
              <w:spacing w:line="360" w:lineRule="auto"/>
              <w:jc w:val="center"/>
              <w:rPr>
                <w:rFonts w:ascii="宋体" w:hAnsi="宋体" w:eastAsia="宋体" w:cs="宋体"/>
                <w:color w:val="auto"/>
                <w:kern w:val="0"/>
                <w:szCs w:val="21"/>
                <w:highlight w:val="none"/>
              </w:rPr>
            </w:pPr>
          </w:p>
        </w:tc>
        <w:tc>
          <w:tcPr>
            <w:tcW w:w="4105"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93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250"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40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894" w:type="dxa"/>
            <w:shd w:val="clear" w:color="auto" w:fill="auto"/>
            <w:vAlign w:val="center"/>
          </w:tcPr>
          <w:p>
            <w:pPr>
              <w:spacing w:line="360" w:lineRule="auto"/>
              <w:jc w:val="left"/>
              <w:rPr>
                <w:rFonts w:ascii="宋体" w:hAnsi="宋体" w:eastAsia="宋体" w:cs="宋体"/>
                <w:color w:val="auto"/>
                <w:kern w:val="0"/>
                <w:szCs w:val="21"/>
                <w:highlight w:val="none"/>
              </w:rPr>
            </w:pPr>
          </w:p>
        </w:tc>
      </w:tr>
    </w:tbl>
    <w:p>
      <w:pPr>
        <w:widowControl/>
        <w:jc w:val="left"/>
        <w:rPr>
          <w:color w:val="auto"/>
          <w:highlight w:val="none"/>
        </w:rPr>
      </w:pPr>
      <w:r>
        <w:rPr>
          <w:color w:val="auto"/>
          <w:highlight w:val="none"/>
        </w:rPr>
        <w:br w:type="page"/>
      </w:r>
    </w:p>
    <w:p>
      <w:pPr>
        <w:spacing w:line="480" w:lineRule="auto"/>
        <w:jc w:val="left"/>
        <w:rPr>
          <w:rFonts w:ascii="仿宋_GB2312" w:eastAsia="仿宋_GB2312"/>
          <w:color w:val="auto"/>
          <w:kern w:val="0"/>
          <w:sz w:val="24"/>
          <w:szCs w:val="24"/>
          <w:highlight w:val="none"/>
        </w:rPr>
      </w:pPr>
      <w:r>
        <w:rPr>
          <w:rFonts w:hint="eastAsia" w:ascii="仿宋_GB2312" w:eastAsia="仿宋_GB2312"/>
          <w:color w:val="auto"/>
          <w:kern w:val="0"/>
          <w:sz w:val="24"/>
          <w:szCs w:val="24"/>
          <w:highlight w:val="none"/>
        </w:rPr>
        <w:t>业绩证明文件</w:t>
      </w:r>
    </w:p>
    <w:p>
      <w:pPr>
        <w:widowControl/>
        <w:jc w:val="left"/>
        <w:rPr>
          <w:rFonts w:ascii="仿宋_GB2312" w:eastAsia="仿宋_GB2312"/>
          <w:color w:val="auto"/>
          <w:kern w:val="0"/>
          <w:sz w:val="24"/>
          <w:szCs w:val="24"/>
          <w:highlight w:val="none"/>
        </w:rPr>
      </w:pPr>
      <w:r>
        <w:rPr>
          <w:rFonts w:ascii="仿宋_GB2312" w:eastAsia="仿宋_GB2312"/>
          <w:color w:val="auto"/>
          <w:kern w:val="0"/>
          <w:sz w:val="24"/>
          <w:szCs w:val="24"/>
          <w:highlight w:val="none"/>
        </w:rPr>
        <w:br w:type="page"/>
      </w:r>
    </w:p>
    <w:p>
      <w:pPr>
        <w:jc w:val="left"/>
        <w:rPr>
          <w:rFonts w:ascii="宋体" w:hAnsi="宋体" w:eastAsia="宋体" w:cs="宋体"/>
          <w:color w:val="auto"/>
          <w:kern w:val="0"/>
          <w:sz w:val="44"/>
          <w:szCs w:val="44"/>
          <w:highlight w:val="none"/>
        </w:rPr>
      </w:pPr>
      <w:r>
        <w:rPr>
          <w:rFonts w:hint="eastAsia" w:ascii="宋体" w:hAnsi="宋体" w:eastAsia="宋体" w:cs="宋体"/>
          <w:color w:val="auto"/>
          <w:kern w:val="0"/>
          <w:sz w:val="24"/>
          <w:szCs w:val="24"/>
          <w:highlight w:val="none"/>
        </w:rPr>
        <w:t>F</w:t>
      </w:r>
      <w:r>
        <w:rPr>
          <w:rFonts w:hint="eastAsia" w:ascii="宋体" w:hAnsi="宋体" w:eastAsia="宋体" w:cs="宋体"/>
          <w:color w:val="auto"/>
          <w:kern w:val="0"/>
          <w:szCs w:val="21"/>
          <w:highlight w:val="none"/>
        </w:rPr>
        <w:t xml:space="preserve"> ．二次报价文件封面</w:t>
      </w:r>
    </w:p>
    <w:p>
      <w:pPr>
        <w:jc w:val="center"/>
        <w:rPr>
          <w:rFonts w:ascii="宋体" w:hAnsi="宋体" w:eastAsia="宋体" w:cs="宋体"/>
          <w:color w:val="auto"/>
          <w:kern w:val="0"/>
          <w:sz w:val="44"/>
          <w:szCs w:val="44"/>
          <w:highlight w:val="none"/>
        </w:rPr>
      </w:pPr>
    </w:p>
    <w:p>
      <w:pPr>
        <w:jc w:val="center"/>
        <w:rPr>
          <w:rFonts w:ascii="宋体" w:hAnsi="宋体" w:eastAsia="宋体" w:cs="宋体"/>
          <w:color w:val="auto"/>
          <w:kern w:val="0"/>
          <w:sz w:val="44"/>
          <w:szCs w:val="44"/>
          <w:highlight w:val="none"/>
        </w:rPr>
      </w:pPr>
    </w:p>
    <w:p>
      <w:pPr>
        <w:jc w:val="center"/>
        <w:rPr>
          <w:rFonts w:ascii="宋体" w:hAnsi="宋体" w:eastAsia="宋体" w:cs="宋体"/>
          <w:color w:val="auto"/>
          <w:kern w:val="0"/>
          <w:sz w:val="44"/>
          <w:szCs w:val="44"/>
          <w:highlight w:val="none"/>
        </w:rPr>
      </w:pPr>
    </w:p>
    <w:p>
      <w:pPr>
        <w:jc w:val="center"/>
        <w:rPr>
          <w:rFonts w:ascii="宋体" w:hAnsi="宋体" w:eastAsia="宋体" w:cs="宋体"/>
          <w:color w:val="auto"/>
          <w:kern w:val="0"/>
          <w:sz w:val="44"/>
          <w:szCs w:val="44"/>
          <w:highlight w:val="none"/>
        </w:rPr>
      </w:pPr>
    </w:p>
    <w:p>
      <w:pPr>
        <w:jc w:val="center"/>
        <w:rPr>
          <w:rFonts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u w:val="single"/>
        </w:rPr>
        <w:t>_______________________</w:t>
      </w:r>
      <w:r>
        <w:rPr>
          <w:rFonts w:hint="eastAsia" w:ascii="宋体" w:hAnsi="宋体" w:eastAsia="宋体" w:cs="宋体"/>
          <w:color w:val="auto"/>
          <w:kern w:val="0"/>
          <w:sz w:val="44"/>
          <w:szCs w:val="44"/>
          <w:highlight w:val="none"/>
        </w:rPr>
        <w:t>工程</w:t>
      </w:r>
    </w:p>
    <w:p>
      <w:pPr>
        <w:jc w:val="center"/>
        <w:rPr>
          <w:rFonts w:ascii="宋体" w:hAnsi="宋体" w:eastAsia="宋体" w:cs="宋体"/>
          <w:color w:val="auto"/>
          <w:kern w:val="0"/>
          <w:sz w:val="44"/>
          <w:szCs w:val="44"/>
          <w:highlight w:val="none"/>
        </w:rPr>
      </w:pPr>
    </w:p>
    <w:p>
      <w:pPr>
        <w:jc w:val="center"/>
        <w:rPr>
          <w:rFonts w:ascii="宋体" w:hAnsi="宋体" w:eastAsia="宋体" w:cs="宋体"/>
          <w:color w:val="auto"/>
          <w:kern w:val="0"/>
          <w:sz w:val="52"/>
          <w:szCs w:val="52"/>
          <w:highlight w:val="none"/>
        </w:rPr>
      </w:pPr>
      <w:r>
        <w:rPr>
          <w:rFonts w:hint="eastAsia" w:ascii="宋体" w:hAnsi="宋体" w:eastAsia="宋体" w:cs="宋体"/>
          <w:color w:val="auto"/>
          <w:kern w:val="0"/>
          <w:sz w:val="52"/>
          <w:szCs w:val="52"/>
          <w:highlight w:val="none"/>
        </w:rPr>
        <w:t>投标文件</w:t>
      </w:r>
    </w:p>
    <w:p>
      <w:pPr>
        <w:jc w:val="center"/>
        <w:rPr>
          <w:rFonts w:ascii="宋体" w:hAnsi="宋体" w:eastAsia="宋体" w:cs="宋体"/>
          <w:color w:val="auto"/>
          <w:kern w:val="0"/>
          <w:sz w:val="52"/>
          <w:szCs w:val="52"/>
          <w:highlight w:val="none"/>
        </w:rPr>
      </w:pPr>
    </w:p>
    <w:p>
      <w:pPr>
        <w:jc w:val="center"/>
        <w:rPr>
          <w:rFonts w:ascii="宋体" w:hAnsi="宋体" w:eastAsia="宋体" w:cs="宋体"/>
          <w:color w:val="auto"/>
          <w:kern w:val="0"/>
          <w:sz w:val="44"/>
          <w:szCs w:val="44"/>
          <w:highlight w:val="none"/>
        </w:rPr>
      </w:pPr>
    </w:p>
    <w:p>
      <w:pPr>
        <w:jc w:val="center"/>
        <w:outlineLvl w:val="1"/>
        <w:rPr>
          <w:rFonts w:ascii="宋体" w:hAnsi="宋体" w:eastAsia="宋体" w:cs="宋体"/>
          <w:color w:val="auto"/>
          <w:kern w:val="0"/>
          <w:sz w:val="44"/>
          <w:szCs w:val="44"/>
          <w:highlight w:val="none"/>
        </w:rPr>
      </w:pPr>
      <w:bookmarkStart w:id="62" w:name="_Toc45702707"/>
      <w:bookmarkStart w:id="63" w:name="_Toc23903"/>
      <w:r>
        <w:rPr>
          <w:rFonts w:hint="eastAsia" w:ascii="宋体" w:hAnsi="宋体" w:eastAsia="宋体" w:cs="宋体"/>
          <w:color w:val="auto"/>
          <w:kern w:val="0"/>
          <w:sz w:val="44"/>
          <w:szCs w:val="44"/>
          <w:highlight w:val="none"/>
        </w:rPr>
        <w:t>二次报价文件</w:t>
      </w:r>
      <w:bookmarkEnd w:id="62"/>
      <w:bookmarkEnd w:id="63"/>
    </w:p>
    <w:p>
      <w:pPr>
        <w:jc w:val="center"/>
        <w:rPr>
          <w:rFonts w:ascii="宋体" w:hAnsi="宋体" w:eastAsia="宋体" w:cs="宋体"/>
          <w:color w:val="auto"/>
          <w:kern w:val="0"/>
          <w:sz w:val="44"/>
          <w:szCs w:val="44"/>
          <w:highlight w:val="none"/>
        </w:rPr>
      </w:pPr>
    </w:p>
    <w:p>
      <w:pPr>
        <w:jc w:val="center"/>
        <w:rPr>
          <w:rFonts w:ascii="宋体" w:hAnsi="宋体" w:eastAsia="宋体" w:cs="宋体"/>
          <w:color w:val="auto"/>
          <w:kern w:val="0"/>
          <w:sz w:val="44"/>
          <w:szCs w:val="44"/>
          <w:highlight w:val="none"/>
        </w:rPr>
      </w:pPr>
    </w:p>
    <w:p>
      <w:pPr>
        <w:jc w:val="center"/>
        <w:rPr>
          <w:rFonts w:ascii="宋体" w:hAnsi="宋体" w:eastAsia="宋体" w:cs="宋体"/>
          <w:color w:val="auto"/>
          <w:kern w:val="0"/>
          <w:sz w:val="44"/>
          <w:szCs w:val="44"/>
          <w:highlight w:val="none"/>
        </w:rPr>
      </w:pPr>
    </w:p>
    <w:p>
      <w:pPr>
        <w:jc w:val="center"/>
        <w:rPr>
          <w:rFonts w:ascii="宋体" w:hAnsi="宋体" w:eastAsia="宋体" w:cs="宋体"/>
          <w:color w:val="auto"/>
          <w:kern w:val="0"/>
          <w:sz w:val="44"/>
          <w:szCs w:val="44"/>
          <w:highlight w:val="none"/>
        </w:rPr>
      </w:pPr>
    </w:p>
    <w:p>
      <w:pPr>
        <w:jc w:val="center"/>
        <w:rPr>
          <w:rFonts w:ascii="宋体" w:hAnsi="宋体" w:eastAsia="宋体" w:cs="宋体"/>
          <w:color w:val="auto"/>
          <w:kern w:val="0"/>
          <w:sz w:val="44"/>
          <w:szCs w:val="44"/>
          <w:highlight w:val="none"/>
        </w:rPr>
      </w:pPr>
    </w:p>
    <w:p>
      <w:pPr>
        <w:jc w:val="center"/>
        <w:rPr>
          <w:rFonts w:ascii="宋体" w:hAnsi="宋体" w:eastAsia="宋体" w:cs="宋体"/>
          <w:color w:val="auto"/>
          <w:kern w:val="0"/>
          <w:sz w:val="44"/>
          <w:szCs w:val="44"/>
          <w:highlight w:val="none"/>
        </w:rPr>
      </w:pPr>
    </w:p>
    <w:p>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项目编号：______________________________</w:t>
      </w:r>
    </w:p>
    <w:p>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投标人名称：____________________________</w:t>
      </w:r>
    </w:p>
    <w:p>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投标人代表：____________________________</w:t>
      </w:r>
    </w:p>
    <w:p>
      <w:pPr>
        <w:spacing w:line="480" w:lineRule="auto"/>
        <w:ind w:firstLine="1400" w:firstLineChars="500"/>
        <w:jc w:val="left"/>
        <w:rPr>
          <w:rFonts w:eastAsia="黑体"/>
          <w:color w:val="auto"/>
          <w:kern w:val="0"/>
          <w:sz w:val="28"/>
          <w:szCs w:val="28"/>
          <w:highlight w:val="none"/>
        </w:rPr>
      </w:pPr>
      <w:r>
        <w:rPr>
          <w:rFonts w:hint="eastAsia" w:ascii="宋体" w:hAnsi="宋体" w:eastAsia="宋体" w:cs="宋体"/>
          <w:color w:val="auto"/>
          <w:kern w:val="0"/>
          <w:sz w:val="28"/>
          <w:szCs w:val="28"/>
          <w:highlight w:val="none"/>
        </w:rPr>
        <w:t>日期：______________年_____月_____日</w:t>
      </w:r>
    </w:p>
    <w:p>
      <w:pPr>
        <w:rPr>
          <w:color w:val="auto"/>
          <w:highlight w:val="none"/>
        </w:rPr>
      </w:pPr>
      <w:r>
        <w:rPr>
          <w:rFonts w:hint="eastAsia"/>
          <w:color w:val="auto"/>
          <w:highlight w:val="none"/>
        </w:rPr>
        <w:br w:type="page"/>
      </w:r>
    </w:p>
    <w:p>
      <w:pPr>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投标报价一览表</w:t>
      </w:r>
    </w:p>
    <w:p>
      <w:pPr>
        <w:spacing w:after="156" w:afterLines="50" w:line="50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259"/>
        <w:gridCol w:w="3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60" w:type="dxa"/>
            <w:shd w:val="clear" w:color="auto" w:fill="auto"/>
            <w:vAlign w:val="center"/>
          </w:tcPr>
          <w:p>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5259" w:type="dxa"/>
            <w:shd w:val="clear" w:color="auto" w:fill="auto"/>
            <w:vAlign w:val="center"/>
          </w:tcPr>
          <w:p>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内  容</w:t>
            </w:r>
          </w:p>
        </w:tc>
        <w:tc>
          <w:tcPr>
            <w:tcW w:w="3169" w:type="dxa"/>
            <w:shd w:val="clear" w:color="auto" w:fill="auto"/>
            <w:vAlign w:val="center"/>
          </w:tcPr>
          <w:p>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投标价格</w:t>
            </w:r>
          </w:p>
          <w:p>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60" w:type="dxa"/>
            <w:shd w:val="clear" w:color="auto" w:fill="auto"/>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5259" w:type="dxa"/>
            <w:shd w:val="clear" w:color="auto" w:fill="auto"/>
            <w:vAlign w:val="center"/>
          </w:tcPr>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货物</w:t>
            </w:r>
          </w:p>
        </w:tc>
        <w:tc>
          <w:tcPr>
            <w:tcW w:w="3169" w:type="dxa"/>
            <w:shd w:val="clear" w:color="auto" w:fill="auto"/>
            <w:vAlign w:val="center"/>
          </w:tcPr>
          <w:p>
            <w:pPr>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60" w:type="dxa"/>
            <w:shd w:val="clear" w:color="auto" w:fill="auto"/>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5259" w:type="dxa"/>
            <w:shd w:val="clear" w:color="auto" w:fill="auto"/>
            <w:vAlign w:val="center"/>
          </w:tcPr>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备品备件</w:t>
            </w:r>
          </w:p>
        </w:tc>
        <w:tc>
          <w:tcPr>
            <w:tcW w:w="3169" w:type="dxa"/>
            <w:shd w:val="clear" w:color="auto" w:fill="auto"/>
            <w:vAlign w:val="center"/>
          </w:tcPr>
          <w:p>
            <w:pPr>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60" w:type="dxa"/>
            <w:shd w:val="clear" w:color="auto" w:fill="auto"/>
            <w:vAlign w:val="center"/>
          </w:tcPr>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5259" w:type="dxa"/>
            <w:shd w:val="clear" w:color="auto" w:fill="auto"/>
            <w:vAlign w:val="center"/>
          </w:tcPr>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169" w:type="dxa"/>
            <w:shd w:val="clear" w:color="auto" w:fill="auto"/>
            <w:vAlign w:val="center"/>
          </w:tcPr>
          <w:p>
            <w:pPr>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60" w:type="dxa"/>
            <w:shd w:val="clear" w:color="auto" w:fill="auto"/>
            <w:vAlign w:val="center"/>
          </w:tcPr>
          <w:p>
            <w:pPr>
              <w:spacing w:line="360" w:lineRule="auto"/>
              <w:jc w:val="center"/>
              <w:rPr>
                <w:rFonts w:ascii="宋体" w:hAnsi="宋体" w:eastAsia="宋体" w:cs="宋体"/>
                <w:color w:val="auto"/>
                <w:kern w:val="0"/>
                <w:szCs w:val="21"/>
                <w:highlight w:val="none"/>
              </w:rPr>
            </w:pPr>
          </w:p>
        </w:tc>
        <w:tc>
          <w:tcPr>
            <w:tcW w:w="5259" w:type="dxa"/>
            <w:shd w:val="clear" w:color="auto" w:fill="auto"/>
            <w:vAlign w:val="center"/>
          </w:tcPr>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169" w:type="dxa"/>
            <w:shd w:val="clear" w:color="auto" w:fill="auto"/>
            <w:vAlign w:val="center"/>
          </w:tcPr>
          <w:p>
            <w:pPr>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60" w:type="dxa"/>
            <w:shd w:val="clear" w:color="auto" w:fill="auto"/>
            <w:vAlign w:val="center"/>
          </w:tcPr>
          <w:p>
            <w:pPr>
              <w:spacing w:line="360" w:lineRule="auto"/>
              <w:jc w:val="center"/>
              <w:rPr>
                <w:rFonts w:ascii="宋体" w:hAnsi="宋体" w:eastAsia="宋体" w:cs="宋体"/>
                <w:color w:val="auto"/>
                <w:kern w:val="0"/>
                <w:szCs w:val="21"/>
                <w:highlight w:val="none"/>
              </w:rPr>
            </w:pPr>
          </w:p>
        </w:tc>
        <w:tc>
          <w:tcPr>
            <w:tcW w:w="5259" w:type="dxa"/>
            <w:shd w:val="clear" w:color="auto" w:fill="auto"/>
            <w:vAlign w:val="center"/>
          </w:tcPr>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169" w:type="dxa"/>
            <w:shd w:val="clear" w:color="auto" w:fill="auto"/>
            <w:vAlign w:val="center"/>
          </w:tcPr>
          <w:p>
            <w:pPr>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60" w:type="dxa"/>
            <w:shd w:val="clear" w:color="auto" w:fill="auto"/>
            <w:vAlign w:val="center"/>
          </w:tcPr>
          <w:p>
            <w:pPr>
              <w:spacing w:line="360" w:lineRule="auto"/>
              <w:jc w:val="center"/>
              <w:rPr>
                <w:rFonts w:ascii="宋体" w:hAnsi="宋体" w:eastAsia="宋体" w:cs="宋体"/>
                <w:color w:val="auto"/>
                <w:kern w:val="0"/>
                <w:szCs w:val="21"/>
                <w:highlight w:val="none"/>
              </w:rPr>
            </w:pPr>
          </w:p>
        </w:tc>
        <w:tc>
          <w:tcPr>
            <w:tcW w:w="5259" w:type="dxa"/>
            <w:shd w:val="clear" w:color="auto" w:fill="auto"/>
            <w:vAlign w:val="center"/>
          </w:tcPr>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合计</w:t>
            </w:r>
          </w:p>
        </w:tc>
        <w:tc>
          <w:tcPr>
            <w:tcW w:w="3169" w:type="dxa"/>
            <w:shd w:val="clear" w:color="auto" w:fill="auto"/>
            <w:vAlign w:val="center"/>
          </w:tcPr>
          <w:p>
            <w:pPr>
              <w:spacing w:line="360" w:lineRule="auto"/>
              <w:jc w:val="left"/>
              <w:rPr>
                <w:rFonts w:ascii="宋体" w:hAnsi="宋体" w:eastAsia="宋体" w:cs="宋体"/>
                <w:color w:val="auto"/>
                <w:kern w:val="0"/>
                <w:szCs w:val="21"/>
                <w:highlight w:val="none"/>
              </w:rPr>
            </w:pPr>
          </w:p>
        </w:tc>
      </w:tr>
    </w:tbl>
    <w:p>
      <w:pPr>
        <w:rPr>
          <w:color w:val="auto"/>
          <w:highlight w:val="none"/>
        </w:rPr>
      </w:pPr>
      <w:r>
        <w:rPr>
          <w:color w:val="auto"/>
          <w:highlight w:val="none"/>
        </w:rPr>
        <w:br w:type="page"/>
      </w:r>
    </w:p>
    <w:p>
      <w:pPr>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投标分项报价表</w:t>
      </w:r>
    </w:p>
    <w:p>
      <w:pPr>
        <w:spacing w:after="156" w:afterLines="50" w:line="50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2434"/>
        <w:gridCol w:w="1805"/>
        <w:gridCol w:w="899"/>
        <w:gridCol w:w="1072"/>
        <w:gridCol w:w="1070"/>
        <w:gridCol w:w="1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jc w:val="center"/>
        </w:trPr>
        <w:tc>
          <w:tcPr>
            <w:tcW w:w="844" w:type="dxa"/>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2434" w:type="dxa"/>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名 称</w:t>
            </w:r>
          </w:p>
        </w:tc>
        <w:tc>
          <w:tcPr>
            <w:tcW w:w="1805" w:type="dxa"/>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899" w:type="dxa"/>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单位</w:t>
            </w:r>
          </w:p>
        </w:tc>
        <w:tc>
          <w:tcPr>
            <w:tcW w:w="1072" w:type="dxa"/>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070" w:type="dxa"/>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单价</w:t>
            </w:r>
          </w:p>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(元)</w:t>
            </w:r>
          </w:p>
        </w:tc>
        <w:tc>
          <w:tcPr>
            <w:tcW w:w="1730" w:type="dxa"/>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总价（元）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44" w:type="dxa"/>
            <w:vAlign w:val="center"/>
          </w:tcPr>
          <w:p>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2434" w:type="dxa"/>
            <w:vAlign w:val="center"/>
          </w:tcPr>
          <w:p>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主机和标准附件</w:t>
            </w:r>
          </w:p>
        </w:tc>
        <w:tc>
          <w:tcPr>
            <w:tcW w:w="1805" w:type="dxa"/>
            <w:vAlign w:val="center"/>
          </w:tcPr>
          <w:p>
            <w:pPr>
              <w:jc w:val="center"/>
              <w:rPr>
                <w:rFonts w:ascii="宋体" w:hAnsi="宋体" w:eastAsia="宋体" w:cs="宋体"/>
                <w:color w:val="auto"/>
                <w:szCs w:val="21"/>
                <w:highlight w:val="none"/>
              </w:rPr>
            </w:pPr>
          </w:p>
        </w:tc>
        <w:tc>
          <w:tcPr>
            <w:tcW w:w="899" w:type="dxa"/>
            <w:vAlign w:val="center"/>
          </w:tcPr>
          <w:p>
            <w:pPr>
              <w:jc w:val="center"/>
              <w:rPr>
                <w:rFonts w:ascii="宋体" w:hAnsi="宋体" w:eastAsia="宋体" w:cs="宋体"/>
                <w:color w:val="auto"/>
                <w:szCs w:val="21"/>
                <w:highlight w:val="none"/>
              </w:rPr>
            </w:pPr>
          </w:p>
        </w:tc>
        <w:tc>
          <w:tcPr>
            <w:tcW w:w="1072" w:type="dxa"/>
            <w:vAlign w:val="center"/>
          </w:tcPr>
          <w:p>
            <w:pPr>
              <w:jc w:val="center"/>
              <w:rPr>
                <w:rFonts w:ascii="宋体" w:hAnsi="宋体" w:eastAsia="宋体" w:cs="宋体"/>
                <w:color w:val="auto"/>
                <w:szCs w:val="21"/>
                <w:highlight w:val="none"/>
              </w:rPr>
            </w:pPr>
          </w:p>
        </w:tc>
        <w:tc>
          <w:tcPr>
            <w:tcW w:w="1070" w:type="dxa"/>
            <w:vAlign w:val="center"/>
          </w:tcPr>
          <w:p>
            <w:pPr>
              <w:jc w:val="center"/>
              <w:rPr>
                <w:rFonts w:ascii="宋体" w:hAnsi="宋体" w:eastAsia="宋体" w:cs="宋体"/>
                <w:color w:val="auto"/>
                <w:szCs w:val="21"/>
                <w:highlight w:val="none"/>
              </w:rPr>
            </w:pPr>
          </w:p>
        </w:tc>
        <w:tc>
          <w:tcPr>
            <w:tcW w:w="1730" w:type="dxa"/>
            <w:vAlign w:val="center"/>
          </w:tcPr>
          <w:p>
            <w:pPr>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44" w:type="dxa"/>
            <w:vAlign w:val="center"/>
          </w:tcPr>
          <w:p>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2434" w:type="dxa"/>
            <w:vAlign w:val="center"/>
          </w:tcPr>
          <w:p>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备品备件</w:t>
            </w:r>
          </w:p>
        </w:tc>
        <w:tc>
          <w:tcPr>
            <w:tcW w:w="1805" w:type="dxa"/>
            <w:vAlign w:val="center"/>
          </w:tcPr>
          <w:p>
            <w:pPr>
              <w:jc w:val="center"/>
              <w:rPr>
                <w:rFonts w:ascii="宋体" w:hAnsi="宋体" w:eastAsia="宋体" w:cs="宋体"/>
                <w:color w:val="auto"/>
                <w:szCs w:val="21"/>
                <w:highlight w:val="none"/>
              </w:rPr>
            </w:pPr>
          </w:p>
        </w:tc>
        <w:tc>
          <w:tcPr>
            <w:tcW w:w="899" w:type="dxa"/>
            <w:vAlign w:val="center"/>
          </w:tcPr>
          <w:p>
            <w:pPr>
              <w:jc w:val="center"/>
              <w:rPr>
                <w:rFonts w:ascii="宋体" w:hAnsi="宋体" w:eastAsia="宋体" w:cs="宋体"/>
                <w:color w:val="auto"/>
                <w:szCs w:val="21"/>
                <w:highlight w:val="none"/>
              </w:rPr>
            </w:pPr>
          </w:p>
        </w:tc>
        <w:tc>
          <w:tcPr>
            <w:tcW w:w="1072" w:type="dxa"/>
            <w:vAlign w:val="center"/>
          </w:tcPr>
          <w:p>
            <w:pPr>
              <w:jc w:val="center"/>
              <w:rPr>
                <w:rFonts w:ascii="宋体" w:hAnsi="宋体" w:eastAsia="宋体" w:cs="宋体"/>
                <w:color w:val="auto"/>
                <w:szCs w:val="21"/>
                <w:highlight w:val="none"/>
              </w:rPr>
            </w:pPr>
          </w:p>
        </w:tc>
        <w:tc>
          <w:tcPr>
            <w:tcW w:w="1070" w:type="dxa"/>
            <w:vAlign w:val="center"/>
          </w:tcPr>
          <w:p>
            <w:pPr>
              <w:jc w:val="center"/>
              <w:rPr>
                <w:rFonts w:ascii="宋体" w:hAnsi="宋体" w:eastAsia="宋体" w:cs="宋体"/>
                <w:color w:val="auto"/>
                <w:szCs w:val="21"/>
                <w:highlight w:val="none"/>
              </w:rPr>
            </w:pPr>
          </w:p>
        </w:tc>
        <w:tc>
          <w:tcPr>
            <w:tcW w:w="1730" w:type="dxa"/>
            <w:vAlign w:val="center"/>
          </w:tcPr>
          <w:p>
            <w:pPr>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44" w:type="dxa"/>
            <w:vAlign w:val="center"/>
          </w:tcPr>
          <w:p>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３</w:t>
            </w:r>
          </w:p>
        </w:tc>
        <w:tc>
          <w:tcPr>
            <w:tcW w:w="2434" w:type="dxa"/>
            <w:vAlign w:val="center"/>
          </w:tcPr>
          <w:p>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专用工具</w:t>
            </w:r>
          </w:p>
        </w:tc>
        <w:tc>
          <w:tcPr>
            <w:tcW w:w="1805" w:type="dxa"/>
            <w:vAlign w:val="center"/>
          </w:tcPr>
          <w:p>
            <w:pPr>
              <w:jc w:val="center"/>
              <w:rPr>
                <w:rFonts w:ascii="宋体" w:hAnsi="宋体" w:eastAsia="宋体" w:cs="宋体"/>
                <w:color w:val="auto"/>
                <w:szCs w:val="21"/>
                <w:highlight w:val="none"/>
              </w:rPr>
            </w:pPr>
          </w:p>
        </w:tc>
        <w:tc>
          <w:tcPr>
            <w:tcW w:w="899" w:type="dxa"/>
            <w:vAlign w:val="center"/>
          </w:tcPr>
          <w:p>
            <w:pPr>
              <w:jc w:val="center"/>
              <w:rPr>
                <w:rFonts w:ascii="宋体" w:hAnsi="宋体" w:eastAsia="宋体" w:cs="宋体"/>
                <w:color w:val="auto"/>
                <w:szCs w:val="21"/>
                <w:highlight w:val="none"/>
              </w:rPr>
            </w:pPr>
          </w:p>
        </w:tc>
        <w:tc>
          <w:tcPr>
            <w:tcW w:w="1072" w:type="dxa"/>
            <w:vAlign w:val="center"/>
          </w:tcPr>
          <w:p>
            <w:pPr>
              <w:jc w:val="center"/>
              <w:rPr>
                <w:rFonts w:ascii="宋体" w:hAnsi="宋体" w:eastAsia="宋体" w:cs="宋体"/>
                <w:color w:val="auto"/>
                <w:szCs w:val="21"/>
                <w:highlight w:val="none"/>
              </w:rPr>
            </w:pPr>
          </w:p>
        </w:tc>
        <w:tc>
          <w:tcPr>
            <w:tcW w:w="1070" w:type="dxa"/>
            <w:vAlign w:val="center"/>
          </w:tcPr>
          <w:p>
            <w:pPr>
              <w:jc w:val="center"/>
              <w:rPr>
                <w:rFonts w:ascii="宋体" w:hAnsi="宋体" w:eastAsia="宋体" w:cs="宋体"/>
                <w:color w:val="auto"/>
                <w:szCs w:val="21"/>
                <w:highlight w:val="none"/>
              </w:rPr>
            </w:pPr>
          </w:p>
        </w:tc>
        <w:tc>
          <w:tcPr>
            <w:tcW w:w="1730" w:type="dxa"/>
            <w:vAlign w:val="center"/>
          </w:tcPr>
          <w:p>
            <w:pPr>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44" w:type="dxa"/>
            <w:vAlign w:val="center"/>
          </w:tcPr>
          <w:p>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４</w:t>
            </w:r>
          </w:p>
        </w:tc>
        <w:tc>
          <w:tcPr>
            <w:tcW w:w="2434" w:type="dxa"/>
            <w:vAlign w:val="center"/>
          </w:tcPr>
          <w:p>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安装、调试、检验</w:t>
            </w:r>
          </w:p>
        </w:tc>
        <w:tc>
          <w:tcPr>
            <w:tcW w:w="1805" w:type="dxa"/>
            <w:vAlign w:val="center"/>
          </w:tcPr>
          <w:p>
            <w:pPr>
              <w:jc w:val="center"/>
              <w:rPr>
                <w:rFonts w:ascii="宋体" w:hAnsi="宋体" w:eastAsia="宋体" w:cs="宋体"/>
                <w:color w:val="auto"/>
                <w:szCs w:val="21"/>
                <w:highlight w:val="none"/>
              </w:rPr>
            </w:pPr>
          </w:p>
        </w:tc>
        <w:tc>
          <w:tcPr>
            <w:tcW w:w="899" w:type="dxa"/>
            <w:vAlign w:val="center"/>
          </w:tcPr>
          <w:p>
            <w:pPr>
              <w:jc w:val="center"/>
              <w:rPr>
                <w:rFonts w:ascii="宋体" w:hAnsi="宋体" w:eastAsia="宋体" w:cs="宋体"/>
                <w:color w:val="auto"/>
                <w:szCs w:val="21"/>
                <w:highlight w:val="none"/>
              </w:rPr>
            </w:pPr>
          </w:p>
        </w:tc>
        <w:tc>
          <w:tcPr>
            <w:tcW w:w="1072" w:type="dxa"/>
            <w:vAlign w:val="center"/>
          </w:tcPr>
          <w:p>
            <w:pPr>
              <w:jc w:val="center"/>
              <w:rPr>
                <w:rFonts w:ascii="宋体" w:hAnsi="宋体" w:eastAsia="宋体" w:cs="宋体"/>
                <w:color w:val="auto"/>
                <w:szCs w:val="21"/>
                <w:highlight w:val="none"/>
              </w:rPr>
            </w:pPr>
          </w:p>
        </w:tc>
        <w:tc>
          <w:tcPr>
            <w:tcW w:w="1070" w:type="dxa"/>
            <w:vAlign w:val="center"/>
          </w:tcPr>
          <w:p>
            <w:pPr>
              <w:jc w:val="center"/>
              <w:rPr>
                <w:rFonts w:ascii="宋体" w:hAnsi="宋体" w:eastAsia="宋体" w:cs="宋体"/>
                <w:color w:val="auto"/>
                <w:szCs w:val="21"/>
                <w:highlight w:val="none"/>
              </w:rPr>
            </w:pPr>
          </w:p>
        </w:tc>
        <w:tc>
          <w:tcPr>
            <w:tcW w:w="1730" w:type="dxa"/>
            <w:vAlign w:val="center"/>
          </w:tcPr>
          <w:p>
            <w:pPr>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44" w:type="dxa"/>
            <w:vAlign w:val="center"/>
          </w:tcPr>
          <w:p>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５</w:t>
            </w:r>
          </w:p>
        </w:tc>
        <w:tc>
          <w:tcPr>
            <w:tcW w:w="2434" w:type="dxa"/>
            <w:vAlign w:val="center"/>
          </w:tcPr>
          <w:p>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805" w:type="dxa"/>
            <w:vAlign w:val="center"/>
          </w:tcPr>
          <w:p>
            <w:pPr>
              <w:jc w:val="center"/>
              <w:rPr>
                <w:rFonts w:ascii="宋体" w:hAnsi="宋体" w:eastAsia="宋体" w:cs="宋体"/>
                <w:color w:val="auto"/>
                <w:szCs w:val="21"/>
                <w:highlight w:val="none"/>
              </w:rPr>
            </w:pPr>
          </w:p>
        </w:tc>
        <w:tc>
          <w:tcPr>
            <w:tcW w:w="899" w:type="dxa"/>
            <w:vAlign w:val="center"/>
          </w:tcPr>
          <w:p>
            <w:pPr>
              <w:jc w:val="center"/>
              <w:rPr>
                <w:rFonts w:ascii="宋体" w:hAnsi="宋体" w:eastAsia="宋体" w:cs="宋体"/>
                <w:color w:val="auto"/>
                <w:szCs w:val="21"/>
                <w:highlight w:val="none"/>
              </w:rPr>
            </w:pPr>
          </w:p>
        </w:tc>
        <w:tc>
          <w:tcPr>
            <w:tcW w:w="1072" w:type="dxa"/>
            <w:vAlign w:val="center"/>
          </w:tcPr>
          <w:p>
            <w:pPr>
              <w:jc w:val="center"/>
              <w:rPr>
                <w:rFonts w:ascii="宋体" w:hAnsi="宋体" w:eastAsia="宋体" w:cs="宋体"/>
                <w:color w:val="auto"/>
                <w:szCs w:val="21"/>
                <w:highlight w:val="none"/>
              </w:rPr>
            </w:pPr>
          </w:p>
        </w:tc>
        <w:tc>
          <w:tcPr>
            <w:tcW w:w="1070" w:type="dxa"/>
            <w:vAlign w:val="center"/>
          </w:tcPr>
          <w:p>
            <w:pPr>
              <w:jc w:val="center"/>
              <w:rPr>
                <w:rFonts w:ascii="宋体" w:hAnsi="宋体" w:eastAsia="宋体" w:cs="宋体"/>
                <w:color w:val="auto"/>
                <w:szCs w:val="21"/>
                <w:highlight w:val="none"/>
              </w:rPr>
            </w:pPr>
          </w:p>
        </w:tc>
        <w:tc>
          <w:tcPr>
            <w:tcW w:w="1730" w:type="dxa"/>
            <w:vAlign w:val="center"/>
          </w:tcPr>
          <w:p>
            <w:pPr>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44" w:type="dxa"/>
            <w:vAlign w:val="center"/>
          </w:tcPr>
          <w:p>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６</w:t>
            </w:r>
          </w:p>
        </w:tc>
        <w:tc>
          <w:tcPr>
            <w:tcW w:w="2434" w:type="dxa"/>
            <w:vAlign w:val="center"/>
          </w:tcPr>
          <w:p>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805" w:type="dxa"/>
            <w:vAlign w:val="center"/>
          </w:tcPr>
          <w:p>
            <w:pPr>
              <w:jc w:val="center"/>
              <w:rPr>
                <w:rFonts w:ascii="宋体" w:hAnsi="宋体" w:eastAsia="宋体" w:cs="宋体"/>
                <w:color w:val="auto"/>
                <w:szCs w:val="21"/>
                <w:highlight w:val="none"/>
              </w:rPr>
            </w:pPr>
          </w:p>
        </w:tc>
        <w:tc>
          <w:tcPr>
            <w:tcW w:w="899" w:type="dxa"/>
            <w:vAlign w:val="center"/>
          </w:tcPr>
          <w:p>
            <w:pPr>
              <w:jc w:val="center"/>
              <w:rPr>
                <w:rFonts w:ascii="宋体" w:hAnsi="宋体" w:eastAsia="宋体" w:cs="宋体"/>
                <w:color w:val="auto"/>
                <w:szCs w:val="21"/>
                <w:highlight w:val="none"/>
              </w:rPr>
            </w:pPr>
          </w:p>
        </w:tc>
        <w:tc>
          <w:tcPr>
            <w:tcW w:w="1072" w:type="dxa"/>
            <w:vAlign w:val="center"/>
          </w:tcPr>
          <w:p>
            <w:pPr>
              <w:jc w:val="center"/>
              <w:rPr>
                <w:rFonts w:ascii="宋体" w:hAnsi="宋体" w:eastAsia="宋体" w:cs="宋体"/>
                <w:color w:val="auto"/>
                <w:szCs w:val="21"/>
                <w:highlight w:val="none"/>
              </w:rPr>
            </w:pPr>
          </w:p>
        </w:tc>
        <w:tc>
          <w:tcPr>
            <w:tcW w:w="1070" w:type="dxa"/>
            <w:vAlign w:val="center"/>
          </w:tcPr>
          <w:p>
            <w:pPr>
              <w:jc w:val="center"/>
              <w:rPr>
                <w:rFonts w:ascii="宋体" w:hAnsi="宋体" w:eastAsia="宋体" w:cs="宋体"/>
                <w:color w:val="auto"/>
                <w:szCs w:val="21"/>
                <w:highlight w:val="none"/>
              </w:rPr>
            </w:pPr>
          </w:p>
        </w:tc>
        <w:tc>
          <w:tcPr>
            <w:tcW w:w="1730" w:type="dxa"/>
            <w:vAlign w:val="center"/>
          </w:tcPr>
          <w:p>
            <w:pPr>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44" w:type="dxa"/>
            <w:vAlign w:val="center"/>
          </w:tcPr>
          <w:p>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7</w:t>
            </w:r>
          </w:p>
        </w:tc>
        <w:tc>
          <w:tcPr>
            <w:tcW w:w="7280" w:type="dxa"/>
            <w:gridSpan w:val="5"/>
            <w:vAlign w:val="center"/>
          </w:tcPr>
          <w:p>
            <w:pPr>
              <w:jc w:val="left"/>
              <w:rPr>
                <w:rFonts w:ascii="宋体" w:hAnsi="宋体" w:eastAsia="宋体" w:cs="宋体"/>
                <w:color w:val="auto"/>
                <w:szCs w:val="21"/>
                <w:highlight w:val="none"/>
              </w:rPr>
            </w:pPr>
          </w:p>
        </w:tc>
        <w:tc>
          <w:tcPr>
            <w:tcW w:w="1730" w:type="dxa"/>
            <w:vAlign w:val="center"/>
          </w:tcPr>
          <w:p>
            <w:pPr>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jc w:val="center"/>
        </w:trPr>
        <w:tc>
          <w:tcPr>
            <w:tcW w:w="8124" w:type="dxa"/>
            <w:gridSpan w:val="6"/>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总    计</w:t>
            </w:r>
          </w:p>
        </w:tc>
        <w:tc>
          <w:tcPr>
            <w:tcW w:w="1730" w:type="dxa"/>
            <w:vAlign w:val="center"/>
          </w:tcPr>
          <w:p>
            <w:pPr>
              <w:jc w:val="center"/>
              <w:rPr>
                <w:rFonts w:ascii="宋体" w:hAnsi="宋体" w:eastAsia="宋体" w:cs="宋体"/>
                <w:color w:val="auto"/>
                <w:szCs w:val="21"/>
                <w:highlight w:val="none"/>
              </w:rPr>
            </w:pPr>
          </w:p>
        </w:tc>
      </w:tr>
    </w:tbl>
    <w:p>
      <w:pPr>
        <w:jc w:val="left"/>
        <w:rPr>
          <w:rFonts w:ascii="宋体" w:hAnsi="宋体" w:eastAsia="宋体" w:cs="宋体"/>
          <w:color w:val="auto"/>
          <w:kern w:val="0"/>
          <w:szCs w:val="21"/>
          <w:highlight w:val="none"/>
        </w:rPr>
      </w:pPr>
    </w:p>
    <w:p>
      <w:pPr>
        <w:jc w:val="left"/>
        <w:rPr>
          <w:rFonts w:ascii="宋体" w:hAnsi="宋体" w:eastAsia="宋体" w:cs="宋体"/>
          <w:color w:val="auto"/>
          <w:kern w:val="0"/>
          <w:szCs w:val="21"/>
          <w:highlight w:val="none"/>
        </w:rPr>
      </w:pPr>
    </w:p>
    <w:p>
      <w:pPr>
        <w:spacing w:line="300" w:lineRule="auto"/>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重要提示：</w:t>
      </w:r>
    </w:p>
    <w:p>
      <w:pPr>
        <w:spacing w:line="30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1、报价采用人民币报价。如果总价与单价不符，以单价为准，调整总价；表中的同种货物数量应与“技术规格及要求”中对应货物清单一致。</w:t>
      </w:r>
    </w:p>
    <w:p>
      <w:pPr>
        <w:spacing w:line="30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2、投标单价均为综合单价，应包括机组货物制造、检验、验收等等，以及运至合同指定地点的运输、装卸、利润、风险和保险等一切费、税。</w:t>
      </w:r>
    </w:p>
    <w:p>
      <w:pPr>
        <w:rPr>
          <w:rFonts w:ascii="楷体_GB2312" w:hAnsi="楷体_GB2312" w:eastAsia="楷体_GB2312" w:cs="楷体_GB2312"/>
          <w:color w:val="auto"/>
          <w:highlight w:val="none"/>
        </w:rPr>
      </w:pPr>
      <w:r>
        <w:rPr>
          <w:rFonts w:hint="eastAsia" w:ascii="楷体_GB2312" w:hAnsi="楷体_GB2312" w:eastAsia="楷体_GB2312" w:cs="楷体_GB2312"/>
          <w:color w:val="auto"/>
          <w:highlight w:val="none"/>
        </w:rPr>
        <w:br w:type="page"/>
      </w:r>
    </w:p>
    <w:p>
      <w:pPr>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货物说明一览表</w:t>
      </w:r>
    </w:p>
    <w:p>
      <w:pPr>
        <w:jc w:val="left"/>
        <w:rPr>
          <w:rFonts w:ascii="仿宋_GB2312" w:eastAsia="仿宋_GB2312"/>
          <w:color w:val="auto"/>
          <w:kern w:val="0"/>
          <w:sz w:val="24"/>
          <w:highlight w:val="none"/>
        </w:rPr>
      </w:pPr>
    </w:p>
    <w:p>
      <w:pPr>
        <w:spacing w:after="156" w:afterLines="50" w:line="50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2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1669"/>
        <w:gridCol w:w="1669"/>
        <w:gridCol w:w="986"/>
        <w:gridCol w:w="1326"/>
        <w:gridCol w:w="1669"/>
        <w:gridCol w:w="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5" w:type="dxa"/>
            <w:shd w:val="clear" w:color="auto" w:fill="auto"/>
            <w:vAlign w:val="center"/>
          </w:tcPr>
          <w:p>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1669" w:type="dxa"/>
            <w:shd w:val="clear" w:color="auto" w:fill="auto"/>
            <w:vAlign w:val="center"/>
          </w:tcPr>
          <w:p>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货物名称</w:t>
            </w:r>
          </w:p>
        </w:tc>
        <w:tc>
          <w:tcPr>
            <w:tcW w:w="1669" w:type="dxa"/>
            <w:shd w:val="clear" w:color="auto" w:fill="auto"/>
            <w:vAlign w:val="center"/>
          </w:tcPr>
          <w:p>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主要规格</w:t>
            </w:r>
          </w:p>
        </w:tc>
        <w:tc>
          <w:tcPr>
            <w:tcW w:w="986" w:type="dxa"/>
            <w:shd w:val="clear" w:color="auto" w:fill="auto"/>
            <w:vAlign w:val="center"/>
          </w:tcPr>
          <w:p>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数量</w:t>
            </w:r>
          </w:p>
        </w:tc>
        <w:tc>
          <w:tcPr>
            <w:tcW w:w="1326" w:type="dxa"/>
            <w:shd w:val="clear" w:color="auto" w:fill="auto"/>
            <w:vAlign w:val="center"/>
          </w:tcPr>
          <w:p>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交货期</w:t>
            </w:r>
          </w:p>
        </w:tc>
        <w:tc>
          <w:tcPr>
            <w:tcW w:w="1669" w:type="dxa"/>
            <w:shd w:val="clear" w:color="auto" w:fill="auto"/>
            <w:vAlign w:val="center"/>
          </w:tcPr>
          <w:p>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交货地点</w:t>
            </w:r>
          </w:p>
        </w:tc>
        <w:tc>
          <w:tcPr>
            <w:tcW w:w="985" w:type="dxa"/>
            <w:shd w:val="clear" w:color="auto" w:fill="auto"/>
            <w:vAlign w:val="center"/>
          </w:tcPr>
          <w:p>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5"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pPr>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5"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pPr>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5"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pPr>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5"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pPr>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5"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pPr>
              <w:spacing w:line="360" w:lineRule="auto"/>
              <w:jc w:val="left"/>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5"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pPr>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pPr>
              <w:spacing w:line="360" w:lineRule="auto"/>
              <w:jc w:val="left"/>
              <w:rPr>
                <w:rFonts w:ascii="宋体" w:hAnsi="宋体" w:eastAsia="宋体" w:cs="宋体"/>
                <w:color w:val="auto"/>
                <w:kern w:val="0"/>
                <w:szCs w:val="21"/>
                <w:highlight w:val="none"/>
              </w:rPr>
            </w:pPr>
          </w:p>
        </w:tc>
      </w:tr>
    </w:tbl>
    <w:p>
      <w:pPr>
        <w:jc w:val="left"/>
        <w:rPr>
          <w:rFonts w:ascii="宋体" w:hAnsi="宋体" w:eastAsia="宋体" w:cs="宋体"/>
          <w:color w:val="auto"/>
          <w:kern w:val="0"/>
          <w:szCs w:val="21"/>
          <w:highlight w:val="none"/>
        </w:rPr>
      </w:pPr>
    </w:p>
    <w:p>
      <w:pPr>
        <w:jc w:val="left"/>
        <w:rPr>
          <w:rFonts w:ascii="宋体" w:hAnsi="宋体" w:eastAsia="宋体" w:cs="宋体"/>
          <w:color w:val="auto"/>
          <w:kern w:val="0"/>
          <w:szCs w:val="21"/>
          <w:highlight w:val="none"/>
        </w:rPr>
      </w:pPr>
    </w:p>
    <w:p>
      <w:pPr>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重要提示：各项货物详细应另页描述。</w:t>
      </w:r>
    </w:p>
    <w:p>
      <w:pPr>
        <w:rPr>
          <w:color w:val="auto"/>
          <w:highlight w:val="none"/>
        </w:rPr>
      </w:pPr>
      <w:r>
        <w:rPr>
          <w:color w:val="auto"/>
          <w:highlight w:val="none"/>
        </w:rPr>
        <w:br w:type="page"/>
      </w:r>
    </w:p>
    <w:p>
      <w:pPr>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合同条款响应表</w:t>
      </w:r>
    </w:p>
    <w:p>
      <w:pPr>
        <w:spacing w:after="156" w:afterLines="50" w:line="500" w:lineRule="exact"/>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w:t>
      </w:r>
    </w:p>
    <w:tbl>
      <w:tblPr>
        <w:tblStyle w:val="81"/>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2305"/>
        <w:gridCol w:w="2396"/>
        <w:gridCol w:w="2244"/>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2" w:type="dxa"/>
            <w:shd w:val="clear" w:color="auto" w:fill="auto"/>
            <w:vAlign w:val="center"/>
          </w:tcPr>
          <w:p>
            <w:pPr>
              <w:adjustRightIn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305" w:type="dxa"/>
            <w:shd w:val="clear" w:color="auto" w:fill="auto"/>
            <w:vAlign w:val="center"/>
          </w:tcPr>
          <w:p>
            <w:pPr>
              <w:spacing w:line="360" w:lineRule="auto"/>
              <w:ind w:left="57" w:right="57"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招标文件条目号</w:t>
            </w:r>
          </w:p>
        </w:tc>
        <w:tc>
          <w:tcPr>
            <w:tcW w:w="2396" w:type="dxa"/>
            <w:shd w:val="clear" w:color="auto" w:fill="auto"/>
            <w:vAlign w:val="center"/>
          </w:tcPr>
          <w:p>
            <w:pPr>
              <w:spacing w:line="360" w:lineRule="auto"/>
              <w:ind w:left="57" w:right="57"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招标文件合同条款</w:t>
            </w:r>
          </w:p>
        </w:tc>
        <w:tc>
          <w:tcPr>
            <w:tcW w:w="2244" w:type="dxa"/>
            <w:shd w:val="clear" w:color="auto" w:fill="auto"/>
            <w:vAlign w:val="center"/>
          </w:tcPr>
          <w:p>
            <w:pPr>
              <w:spacing w:line="360" w:lineRule="auto"/>
              <w:ind w:left="57" w:right="57"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投标文件合同条款</w:t>
            </w:r>
          </w:p>
        </w:tc>
        <w:tc>
          <w:tcPr>
            <w:tcW w:w="1571" w:type="dxa"/>
            <w:shd w:val="clear" w:color="auto" w:fill="auto"/>
            <w:vAlign w:val="center"/>
          </w:tcPr>
          <w:p>
            <w:pPr>
              <w:spacing w:line="360" w:lineRule="auto"/>
              <w:ind w:left="57" w:right="57"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72" w:type="dxa"/>
            <w:shd w:val="clear" w:color="auto" w:fill="auto"/>
            <w:vAlign w:val="center"/>
          </w:tcPr>
          <w:p>
            <w:pPr>
              <w:adjustRightInd w:val="0"/>
              <w:spacing w:line="360" w:lineRule="auto"/>
              <w:jc w:val="center"/>
              <w:rPr>
                <w:rFonts w:ascii="宋体" w:hAnsi="宋体" w:eastAsia="宋体" w:cs="宋体"/>
                <w:color w:val="auto"/>
                <w:kern w:val="0"/>
                <w:szCs w:val="21"/>
                <w:highlight w:val="none"/>
              </w:rPr>
            </w:pPr>
          </w:p>
        </w:tc>
        <w:tc>
          <w:tcPr>
            <w:tcW w:w="2305" w:type="dxa"/>
            <w:shd w:val="clear" w:color="auto" w:fill="auto"/>
            <w:vAlign w:val="center"/>
          </w:tcPr>
          <w:p>
            <w:pPr>
              <w:adjustRightInd w:val="0"/>
              <w:spacing w:line="360" w:lineRule="auto"/>
              <w:jc w:val="center"/>
              <w:rPr>
                <w:rFonts w:ascii="宋体" w:hAnsi="宋体" w:eastAsia="宋体" w:cs="宋体"/>
                <w:color w:val="auto"/>
                <w:kern w:val="0"/>
                <w:szCs w:val="21"/>
                <w:highlight w:val="none"/>
              </w:rPr>
            </w:pPr>
          </w:p>
        </w:tc>
        <w:tc>
          <w:tcPr>
            <w:tcW w:w="2396" w:type="dxa"/>
            <w:shd w:val="clear" w:color="auto" w:fill="auto"/>
            <w:vAlign w:val="center"/>
          </w:tcPr>
          <w:p>
            <w:pPr>
              <w:adjustRightInd w:val="0"/>
              <w:spacing w:line="360" w:lineRule="auto"/>
              <w:jc w:val="center"/>
              <w:rPr>
                <w:rFonts w:ascii="宋体" w:hAnsi="宋体" w:eastAsia="宋体" w:cs="宋体"/>
                <w:color w:val="auto"/>
                <w:kern w:val="0"/>
                <w:szCs w:val="21"/>
                <w:highlight w:val="none"/>
              </w:rPr>
            </w:pPr>
          </w:p>
        </w:tc>
        <w:tc>
          <w:tcPr>
            <w:tcW w:w="2244" w:type="dxa"/>
            <w:shd w:val="clear" w:color="auto" w:fill="auto"/>
            <w:vAlign w:val="center"/>
          </w:tcPr>
          <w:p>
            <w:pPr>
              <w:adjustRightInd w:val="0"/>
              <w:spacing w:line="360" w:lineRule="auto"/>
              <w:jc w:val="center"/>
              <w:rPr>
                <w:rFonts w:ascii="宋体" w:hAnsi="宋体" w:eastAsia="宋体" w:cs="宋体"/>
                <w:color w:val="auto"/>
                <w:kern w:val="0"/>
                <w:szCs w:val="21"/>
                <w:highlight w:val="none"/>
              </w:rPr>
            </w:pPr>
          </w:p>
        </w:tc>
        <w:tc>
          <w:tcPr>
            <w:tcW w:w="1571" w:type="dxa"/>
            <w:shd w:val="clear" w:color="auto" w:fill="auto"/>
            <w:vAlign w:val="center"/>
          </w:tcPr>
          <w:p>
            <w:pPr>
              <w:adjustRightInd w:val="0"/>
              <w:spacing w:line="360" w:lineRule="auto"/>
              <w:jc w:val="center"/>
              <w:rPr>
                <w:rFonts w:ascii="宋体" w:hAnsi="宋体" w:eastAsia="宋体" w:cs="宋体"/>
                <w:color w:val="auto"/>
                <w:kern w:val="0"/>
                <w:szCs w:val="21"/>
                <w:highlight w:val="none"/>
              </w:rPr>
            </w:pPr>
          </w:p>
        </w:tc>
      </w:tr>
    </w:tbl>
    <w:p>
      <w:pPr>
        <w:autoSpaceDE w:val="0"/>
        <w:autoSpaceDN w:val="0"/>
        <w:adjustRightInd w:val="0"/>
        <w:snapToGrid w:val="0"/>
        <w:spacing w:line="360" w:lineRule="auto"/>
        <w:jc w:val="left"/>
        <w:rPr>
          <w:rFonts w:ascii="宋体" w:hAnsi="宋体" w:eastAsia="宋体" w:cs="宋体"/>
          <w:color w:val="auto"/>
          <w:kern w:val="0"/>
          <w:szCs w:val="21"/>
          <w:highlight w:val="none"/>
        </w:rPr>
      </w:pPr>
    </w:p>
    <w:p>
      <w:pPr>
        <w:ind w:right="57"/>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重要提示：只列出发生偏离的项目，没有列出的将被视为完全响应。</w:t>
      </w:r>
    </w:p>
    <w:p>
      <w:pPr>
        <w:widowControl/>
        <w:jc w:val="left"/>
        <w:rPr>
          <w:rFonts w:ascii="黑体" w:eastAsia="黑体"/>
          <w:color w:val="auto"/>
          <w:kern w:val="0"/>
          <w:szCs w:val="21"/>
          <w:highlight w:val="none"/>
        </w:rPr>
      </w:pPr>
      <w:r>
        <w:rPr>
          <w:rFonts w:ascii="黑体" w:eastAsia="黑体"/>
          <w:color w:val="auto"/>
          <w:kern w:val="0"/>
          <w:szCs w:val="21"/>
          <w:highlight w:val="none"/>
        </w:rPr>
        <w:br w:type="page"/>
      </w:r>
    </w:p>
    <w:p>
      <w:pPr>
        <w:spacing w:line="360" w:lineRule="auto"/>
        <w:jc w:val="center"/>
        <w:rPr>
          <w:rFonts w:ascii="宋体" w:hAnsi="宋体" w:eastAsia="宋体" w:cs="宋体"/>
          <w:b/>
          <w:color w:val="auto"/>
          <w:sz w:val="32"/>
          <w:highlight w:val="none"/>
        </w:rPr>
      </w:pPr>
      <w:r>
        <w:rPr>
          <w:rFonts w:hint="eastAsia" w:ascii="宋体" w:hAnsi="宋体" w:eastAsia="宋体" w:cs="宋体"/>
          <w:b/>
          <w:color w:val="auto"/>
          <w:sz w:val="32"/>
          <w:highlight w:val="none"/>
        </w:rPr>
        <w:t>其他</w:t>
      </w: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eastAsia="宋体" w:cs="宋体"/>
          <w:color w:val="auto"/>
          <w:highlight w:val="none"/>
        </w:rPr>
      </w:pPr>
      <w:r>
        <w:rPr>
          <w:rFonts w:hint="eastAsia" w:ascii="宋体" w:hAnsi="宋体" w:eastAsia="宋体" w:cs="宋体"/>
          <w:color w:val="auto"/>
          <w:highlight w:val="none"/>
        </w:rPr>
        <w:t>（投标人认为应补充提供的其他文件资料或说明）</w:t>
      </w:r>
    </w:p>
    <w:p>
      <w:pPr>
        <w:widowControl/>
        <w:jc w:val="left"/>
        <w:rPr>
          <w:rFonts w:ascii="宋体" w:hAnsi="宋体" w:cs="宋体"/>
          <w:color w:val="auto"/>
          <w:kern w:val="0"/>
          <w:sz w:val="24"/>
          <w:szCs w:val="24"/>
          <w:highlight w:val="none"/>
        </w:rPr>
      </w:pPr>
      <w:r>
        <w:rPr>
          <w:color w:val="auto"/>
          <w:highlight w:val="none"/>
        </w:rPr>
        <w:br w:type="page"/>
      </w:r>
    </w:p>
    <w:p>
      <w:pPr>
        <w:adjustRightInd w:val="0"/>
        <w:snapToGrid w:val="0"/>
        <w:spacing w:line="360" w:lineRule="auto"/>
        <w:jc w:val="center"/>
        <w:outlineLvl w:val="0"/>
        <w:rPr>
          <w:rFonts w:ascii="黑体" w:eastAsia="黑体"/>
          <w:bCs/>
          <w:color w:val="auto"/>
          <w:kern w:val="0"/>
          <w:sz w:val="32"/>
          <w:szCs w:val="32"/>
          <w:highlight w:val="none"/>
        </w:rPr>
      </w:pPr>
      <w:bookmarkStart w:id="64" w:name="_Toc3075"/>
      <w:bookmarkStart w:id="65" w:name="_Toc45702708"/>
      <w:r>
        <w:rPr>
          <w:rFonts w:hint="eastAsia" w:ascii="黑体" w:eastAsia="黑体"/>
          <w:bCs/>
          <w:color w:val="auto"/>
          <w:kern w:val="0"/>
          <w:sz w:val="32"/>
          <w:szCs w:val="32"/>
          <w:highlight w:val="none"/>
        </w:rPr>
        <w:t>第五章  货物需求书</w:t>
      </w:r>
      <w:bookmarkEnd w:id="64"/>
      <w:bookmarkEnd w:id="65"/>
    </w:p>
    <w:p>
      <w:pPr>
        <w:topLinePunct/>
        <w:adjustRightInd w:val="0"/>
        <w:snapToGrid w:val="0"/>
        <w:spacing w:line="360" w:lineRule="auto"/>
        <w:jc w:val="center"/>
        <w:outlineLvl w:val="1"/>
        <w:rPr>
          <w:rFonts w:ascii="黑体" w:hAnsi="宋体" w:eastAsia="黑体"/>
          <w:bCs/>
          <w:color w:val="auto"/>
          <w:kern w:val="0"/>
          <w:sz w:val="32"/>
          <w:szCs w:val="32"/>
          <w:highlight w:val="none"/>
        </w:rPr>
      </w:pPr>
      <w:bookmarkStart w:id="66" w:name="_Toc29056"/>
      <w:bookmarkStart w:id="67" w:name="_Toc45702709"/>
      <w:r>
        <w:rPr>
          <w:rFonts w:hint="eastAsia" w:ascii="黑体" w:hAnsi="宋体" w:eastAsia="黑体"/>
          <w:bCs/>
          <w:color w:val="auto"/>
          <w:kern w:val="0"/>
          <w:sz w:val="32"/>
          <w:szCs w:val="32"/>
          <w:highlight w:val="none"/>
        </w:rPr>
        <w:t>第一节  货物需求及数量一览表</w:t>
      </w:r>
      <w:bookmarkEnd w:id="66"/>
      <w:bookmarkEnd w:id="67"/>
    </w:p>
    <w:tbl>
      <w:tblPr>
        <w:tblStyle w:val="8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59"/>
        <w:gridCol w:w="1843"/>
        <w:gridCol w:w="1985"/>
        <w:gridCol w:w="708"/>
        <w:gridCol w:w="993"/>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序号</w:t>
            </w:r>
          </w:p>
        </w:tc>
        <w:tc>
          <w:tcPr>
            <w:tcW w:w="1559" w:type="dxa"/>
            <w:vAlign w:val="center"/>
          </w:tcPr>
          <w:p>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货物编码</w:t>
            </w:r>
          </w:p>
        </w:tc>
        <w:tc>
          <w:tcPr>
            <w:tcW w:w="1843" w:type="dxa"/>
            <w:vAlign w:val="center"/>
          </w:tcPr>
          <w:p>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货物名称</w:t>
            </w:r>
          </w:p>
        </w:tc>
        <w:tc>
          <w:tcPr>
            <w:tcW w:w="1985" w:type="dxa"/>
            <w:vAlign w:val="center"/>
          </w:tcPr>
          <w:p>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规格型号</w:t>
            </w:r>
          </w:p>
        </w:tc>
        <w:tc>
          <w:tcPr>
            <w:tcW w:w="708" w:type="dxa"/>
            <w:vAlign w:val="center"/>
          </w:tcPr>
          <w:p>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单位</w:t>
            </w:r>
          </w:p>
        </w:tc>
        <w:tc>
          <w:tcPr>
            <w:tcW w:w="993" w:type="dxa"/>
            <w:vAlign w:val="center"/>
          </w:tcPr>
          <w:p>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数量</w:t>
            </w:r>
          </w:p>
        </w:tc>
        <w:tc>
          <w:tcPr>
            <w:tcW w:w="1383" w:type="dxa"/>
            <w:vAlign w:val="center"/>
          </w:tcPr>
          <w:p>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adjustRightInd w:val="0"/>
              <w:snapToGrid w:val="0"/>
              <w:spacing w:line="360" w:lineRule="auto"/>
              <w:jc w:val="center"/>
              <w:rPr>
                <w:rFonts w:ascii="宋体" w:hAnsi="宋体" w:eastAsia="宋体" w:cs="Times New Roman"/>
                <w:bCs/>
                <w:color w:val="auto"/>
                <w:kern w:val="0"/>
                <w:szCs w:val="21"/>
                <w:highlight w:val="none"/>
              </w:rPr>
            </w:pPr>
            <w:bookmarkStart w:id="68" w:name="货物需求及数量一览表" w:colFirst="0" w:colLast="0"/>
          </w:p>
        </w:tc>
        <w:tc>
          <w:tcPr>
            <w:tcW w:w="1559" w:type="dxa"/>
            <w:vAlign w:val="center"/>
          </w:tcPr>
          <w:p>
            <w:pPr>
              <w:adjustRightInd w:val="0"/>
              <w:snapToGrid w:val="0"/>
              <w:spacing w:line="360" w:lineRule="auto"/>
              <w:rPr>
                <w:rFonts w:ascii="宋体" w:hAnsi="宋体" w:eastAsia="宋体" w:cs="Times New Roman"/>
                <w:bCs/>
                <w:color w:val="auto"/>
                <w:kern w:val="0"/>
                <w:szCs w:val="21"/>
                <w:highlight w:val="none"/>
              </w:rPr>
            </w:pPr>
          </w:p>
        </w:tc>
        <w:tc>
          <w:tcPr>
            <w:tcW w:w="1843" w:type="dxa"/>
            <w:vAlign w:val="center"/>
          </w:tcPr>
          <w:p>
            <w:pPr>
              <w:adjustRightInd w:val="0"/>
              <w:snapToGrid w:val="0"/>
              <w:spacing w:line="360" w:lineRule="auto"/>
              <w:rPr>
                <w:rFonts w:ascii="宋体" w:hAnsi="宋体" w:eastAsia="宋体" w:cs="Times New Roman"/>
                <w:bCs/>
                <w:color w:val="auto"/>
                <w:kern w:val="0"/>
                <w:szCs w:val="21"/>
                <w:highlight w:val="none"/>
              </w:rPr>
            </w:pPr>
          </w:p>
        </w:tc>
        <w:tc>
          <w:tcPr>
            <w:tcW w:w="1985" w:type="dxa"/>
            <w:vAlign w:val="center"/>
          </w:tcPr>
          <w:p>
            <w:pPr>
              <w:adjustRightInd w:val="0"/>
              <w:snapToGrid w:val="0"/>
              <w:spacing w:line="360" w:lineRule="auto"/>
              <w:rPr>
                <w:rFonts w:ascii="宋体" w:hAnsi="宋体" w:eastAsia="宋体" w:cs="Times New Roman"/>
                <w:bCs/>
                <w:color w:val="auto"/>
                <w:kern w:val="0"/>
                <w:szCs w:val="21"/>
                <w:highlight w:val="none"/>
              </w:rPr>
            </w:pPr>
          </w:p>
        </w:tc>
        <w:tc>
          <w:tcPr>
            <w:tcW w:w="708" w:type="dxa"/>
            <w:vAlign w:val="center"/>
          </w:tcPr>
          <w:p>
            <w:pPr>
              <w:adjustRightInd w:val="0"/>
              <w:snapToGrid w:val="0"/>
              <w:spacing w:line="360" w:lineRule="auto"/>
              <w:jc w:val="center"/>
              <w:rPr>
                <w:rFonts w:ascii="宋体" w:hAnsi="宋体" w:eastAsia="宋体" w:cs="Times New Roman"/>
                <w:bCs/>
                <w:color w:val="auto"/>
                <w:kern w:val="0"/>
                <w:szCs w:val="21"/>
                <w:highlight w:val="none"/>
              </w:rPr>
            </w:pPr>
          </w:p>
        </w:tc>
        <w:tc>
          <w:tcPr>
            <w:tcW w:w="993" w:type="dxa"/>
            <w:vAlign w:val="center"/>
          </w:tcPr>
          <w:p>
            <w:pPr>
              <w:adjustRightInd w:val="0"/>
              <w:snapToGrid w:val="0"/>
              <w:spacing w:line="360" w:lineRule="auto"/>
              <w:rPr>
                <w:rFonts w:ascii="宋体" w:hAnsi="宋体" w:eastAsia="宋体" w:cs="Times New Roman"/>
                <w:bCs/>
                <w:color w:val="auto"/>
                <w:kern w:val="0"/>
                <w:szCs w:val="21"/>
                <w:highlight w:val="none"/>
              </w:rPr>
            </w:pPr>
          </w:p>
        </w:tc>
        <w:tc>
          <w:tcPr>
            <w:tcW w:w="1383" w:type="dxa"/>
            <w:vAlign w:val="center"/>
          </w:tcPr>
          <w:p>
            <w:pPr>
              <w:adjustRightInd w:val="0"/>
              <w:snapToGrid w:val="0"/>
              <w:spacing w:line="360" w:lineRule="auto"/>
              <w:rPr>
                <w:rFonts w:ascii="宋体" w:hAnsi="宋体" w:eastAsia="宋体" w:cs="Times New Roman"/>
                <w:bCs/>
                <w:color w:val="auto"/>
                <w:kern w:val="0"/>
                <w:szCs w:val="21"/>
                <w:highlight w:val="none"/>
              </w:rPr>
            </w:pPr>
          </w:p>
        </w:tc>
      </w:tr>
      <w:bookmarkEnd w:id="68"/>
    </w:tbl>
    <w:p>
      <w:pPr>
        <w:adjustRightInd w:val="0"/>
        <w:snapToGrid w:val="0"/>
        <w:spacing w:line="360" w:lineRule="auto"/>
        <w:rPr>
          <w:color w:val="auto"/>
          <w:highlight w:val="none"/>
        </w:rPr>
      </w:pPr>
      <w:r>
        <w:rPr>
          <w:color w:val="auto"/>
          <w:highlight w:val="none"/>
        </w:rPr>
        <w:br w:type="page"/>
      </w:r>
    </w:p>
    <w:p>
      <w:pPr>
        <w:topLinePunct/>
        <w:adjustRightInd w:val="0"/>
        <w:snapToGrid w:val="0"/>
        <w:spacing w:line="360" w:lineRule="auto"/>
        <w:jc w:val="center"/>
        <w:outlineLvl w:val="1"/>
        <w:rPr>
          <w:rFonts w:ascii="黑体" w:hAnsi="宋体" w:eastAsia="黑体"/>
          <w:bCs/>
          <w:color w:val="auto"/>
          <w:kern w:val="0"/>
          <w:sz w:val="32"/>
          <w:highlight w:val="none"/>
        </w:rPr>
      </w:pPr>
      <w:bookmarkStart w:id="69" w:name="_Toc45702710"/>
      <w:bookmarkStart w:id="70" w:name="_Toc19328"/>
      <w:r>
        <w:rPr>
          <w:rFonts w:hint="eastAsia" w:ascii="黑体" w:hAnsi="宋体" w:eastAsia="黑体"/>
          <w:bCs/>
          <w:color w:val="auto"/>
          <w:kern w:val="0"/>
          <w:sz w:val="32"/>
          <w:highlight w:val="none"/>
        </w:rPr>
        <w:t>第二节  项目实质性要求和条件</w:t>
      </w:r>
      <w:bookmarkEnd w:id="69"/>
      <w:bookmarkEnd w:id="70"/>
    </w:p>
    <w:p>
      <w:pPr>
        <w:topLinePunct/>
        <w:adjustRightInd w:val="0"/>
        <w:snapToGrid w:val="0"/>
        <w:spacing w:line="360" w:lineRule="auto"/>
        <w:jc w:val="left"/>
        <w:rPr>
          <w:rFonts w:ascii="黑体" w:eastAsia="黑体"/>
          <w:color w:val="auto"/>
          <w:kern w:val="0"/>
          <w:szCs w:val="21"/>
          <w:highlight w:val="none"/>
        </w:rPr>
      </w:pPr>
    </w:p>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重要提示：</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1、招标文件中规定的实质性要求和条件，对这些要求和条件的任何偏离或不满足，其投标将被拒绝；</w:t>
      </w:r>
    </w:p>
    <w:p>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2、招标文件中非实质性要求和条件，允许偏离的最大范围是______（最高项数_______项），若超出上述规定，其投标将被拒绝。</w:t>
      </w:r>
    </w:p>
    <w:p>
      <w:pPr>
        <w:topLinePunct/>
        <w:adjustRightInd w:val="0"/>
        <w:snapToGrid w:val="0"/>
        <w:spacing w:line="360" w:lineRule="auto"/>
        <w:jc w:val="left"/>
        <w:rPr>
          <w:rFonts w:ascii="宋体" w:hAnsi="宋体"/>
          <w:color w:val="auto"/>
          <w:kern w:val="0"/>
          <w:sz w:val="24"/>
          <w:szCs w:val="24"/>
          <w:highlight w:val="none"/>
        </w:rPr>
      </w:pPr>
    </w:p>
    <w:p>
      <w:pPr>
        <w:topLinePunct/>
        <w:adjustRightInd w:val="0"/>
        <w:snapToGrid w:val="0"/>
        <w:spacing w:line="360" w:lineRule="auto"/>
        <w:jc w:val="center"/>
        <w:outlineLvl w:val="2"/>
        <w:rPr>
          <w:rFonts w:ascii="黑体" w:hAnsi="宋体" w:eastAsia="黑体"/>
          <w:bCs/>
          <w:color w:val="auto"/>
          <w:kern w:val="0"/>
          <w:sz w:val="30"/>
          <w:szCs w:val="30"/>
          <w:highlight w:val="none"/>
        </w:rPr>
      </w:pPr>
      <w:bookmarkStart w:id="71" w:name="_Toc45702711"/>
      <w:bookmarkStart w:id="72" w:name="_Toc16903"/>
      <w:r>
        <w:rPr>
          <w:rFonts w:hint="eastAsia" w:ascii="黑体" w:hAnsi="宋体" w:eastAsia="黑体"/>
          <w:bCs/>
          <w:color w:val="auto"/>
          <w:kern w:val="0"/>
          <w:sz w:val="30"/>
          <w:szCs w:val="30"/>
          <w:highlight w:val="none"/>
        </w:rPr>
        <w:t>一、资信条款不可偏离表</w:t>
      </w:r>
      <w:bookmarkEnd w:id="71"/>
      <w:bookmarkEnd w:id="72"/>
    </w:p>
    <w:tbl>
      <w:tblPr>
        <w:tblStyle w:val="81"/>
        <w:tblW w:w="92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2154"/>
        <w:gridCol w:w="3531"/>
        <w:gridCol w:w="2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08" w:type="dxa"/>
            <w:shd w:val="clear" w:color="auto" w:fill="auto"/>
            <w:vAlign w:val="center"/>
          </w:tcPr>
          <w:p>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序号</w:t>
            </w:r>
          </w:p>
        </w:tc>
        <w:tc>
          <w:tcPr>
            <w:tcW w:w="2154" w:type="dxa"/>
            <w:shd w:val="clear" w:color="auto" w:fill="auto"/>
            <w:vAlign w:val="center"/>
          </w:tcPr>
          <w:p>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名 称</w:t>
            </w:r>
          </w:p>
        </w:tc>
        <w:tc>
          <w:tcPr>
            <w:tcW w:w="3531" w:type="dxa"/>
            <w:shd w:val="clear" w:color="auto" w:fill="auto"/>
            <w:vAlign w:val="center"/>
          </w:tcPr>
          <w:p>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需求说明</w:t>
            </w:r>
          </w:p>
        </w:tc>
        <w:tc>
          <w:tcPr>
            <w:tcW w:w="2894" w:type="dxa"/>
            <w:shd w:val="clear" w:color="auto" w:fill="auto"/>
            <w:vAlign w:val="center"/>
          </w:tcPr>
          <w:p>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08" w:type="dxa"/>
            <w:shd w:val="clear" w:color="auto" w:fill="auto"/>
            <w:vAlign w:val="center"/>
          </w:tcPr>
          <w:p>
            <w:pPr>
              <w:topLinePunct/>
              <w:adjustRightInd w:val="0"/>
              <w:snapToGrid w:val="0"/>
              <w:spacing w:line="360" w:lineRule="auto"/>
              <w:jc w:val="center"/>
              <w:rPr>
                <w:rFonts w:ascii="宋体" w:hAnsi="宋体" w:eastAsia="宋体" w:cs="宋体"/>
                <w:bCs/>
                <w:color w:val="auto"/>
                <w:kern w:val="0"/>
                <w:szCs w:val="21"/>
                <w:highlight w:val="none"/>
              </w:rPr>
            </w:pPr>
            <w:bookmarkStart w:id="73" w:name="资信条款不可偏离表" w:colFirst="0" w:colLast="0"/>
          </w:p>
        </w:tc>
        <w:tc>
          <w:tcPr>
            <w:tcW w:w="2154" w:type="dxa"/>
            <w:shd w:val="clear" w:color="auto" w:fill="auto"/>
            <w:vAlign w:val="center"/>
          </w:tcPr>
          <w:p>
            <w:pPr>
              <w:topLinePunct/>
              <w:adjustRightInd w:val="0"/>
              <w:snapToGrid w:val="0"/>
              <w:spacing w:line="360" w:lineRule="auto"/>
              <w:rPr>
                <w:rFonts w:ascii="宋体" w:hAnsi="宋体" w:eastAsia="宋体" w:cs="宋体"/>
                <w:bCs/>
                <w:color w:val="auto"/>
                <w:kern w:val="0"/>
                <w:szCs w:val="21"/>
                <w:highlight w:val="none"/>
              </w:rPr>
            </w:pPr>
          </w:p>
        </w:tc>
        <w:tc>
          <w:tcPr>
            <w:tcW w:w="3531" w:type="dxa"/>
            <w:shd w:val="clear" w:color="auto" w:fill="auto"/>
            <w:vAlign w:val="center"/>
          </w:tcPr>
          <w:p>
            <w:pPr>
              <w:topLinePunct/>
              <w:adjustRightInd w:val="0"/>
              <w:snapToGrid w:val="0"/>
              <w:spacing w:line="360" w:lineRule="auto"/>
              <w:rPr>
                <w:rFonts w:ascii="宋体" w:hAnsi="宋体" w:eastAsia="宋体" w:cs="宋体"/>
                <w:bCs/>
                <w:color w:val="auto"/>
                <w:kern w:val="0"/>
                <w:szCs w:val="21"/>
                <w:highlight w:val="none"/>
              </w:rPr>
            </w:pPr>
          </w:p>
        </w:tc>
        <w:tc>
          <w:tcPr>
            <w:tcW w:w="2894" w:type="dxa"/>
            <w:shd w:val="clear" w:color="auto" w:fill="auto"/>
            <w:vAlign w:val="center"/>
          </w:tcPr>
          <w:p>
            <w:pPr>
              <w:topLinePunct/>
              <w:adjustRightInd w:val="0"/>
              <w:snapToGrid w:val="0"/>
              <w:spacing w:line="360" w:lineRule="auto"/>
              <w:rPr>
                <w:rFonts w:ascii="宋体" w:hAnsi="宋体" w:eastAsia="宋体" w:cs="宋体"/>
                <w:bCs/>
                <w:color w:val="auto"/>
                <w:kern w:val="0"/>
                <w:szCs w:val="21"/>
                <w:highlight w:val="none"/>
              </w:rPr>
            </w:pPr>
          </w:p>
        </w:tc>
      </w:tr>
      <w:bookmarkEnd w:id="73"/>
    </w:tbl>
    <w:p>
      <w:pPr>
        <w:adjustRightInd w:val="0"/>
        <w:snapToGrid w:val="0"/>
        <w:spacing w:line="20" w:lineRule="exact"/>
        <w:rPr>
          <w:color w:val="auto"/>
          <w:highlight w:val="none"/>
        </w:rPr>
      </w:pPr>
      <w:r>
        <w:rPr>
          <w:color w:val="auto"/>
          <w:highlight w:val="none"/>
        </w:rPr>
        <w:br w:type="page"/>
      </w:r>
    </w:p>
    <w:p>
      <w:pPr>
        <w:topLinePunct/>
        <w:adjustRightInd w:val="0"/>
        <w:snapToGrid w:val="0"/>
        <w:spacing w:line="360" w:lineRule="auto"/>
        <w:jc w:val="center"/>
        <w:outlineLvl w:val="2"/>
        <w:rPr>
          <w:rFonts w:ascii="黑体" w:hAnsi="宋体" w:eastAsia="黑体"/>
          <w:bCs/>
          <w:color w:val="auto"/>
          <w:kern w:val="0"/>
          <w:sz w:val="30"/>
          <w:szCs w:val="30"/>
          <w:highlight w:val="none"/>
        </w:rPr>
      </w:pPr>
      <w:bookmarkStart w:id="74" w:name="_Toc45702712"/>
      <w:bookmarkStart w:id="75" w:name="_Toc9484"/>
      <w:r>
        <w:rPr>
          <w:rFonts w:hint="eastAsia" w:ascii="黑体" w:hAnsi="宋体" w:eastAsia="黑体"/>
          <w:bCs/>
          <w:color w:val="auto"/>
          <w:kern w:val="0"/>
          <w:sz w:val="30"/>
          <w:szCs w:val="30"/>
          <w:highlight w:val="none"/>
        </w:rPr>
        <w:t>二、技术性能不可偏离表</w:t>
      </w:r>
      <w:bookmarkEnd w:id="74"/>
      <w:bookmarkEnd w:id="75"/>
    </w:p>
    <w:tbl>
      <w:tblPr>
        <w:tblStyle w:val="81"/>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
        <w:gridCol w:w="2136"/>
        <w:gridCol w:w="3471"/>
        <w:gridCol w:w="2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3" w:type="dxa"/>
            <w:shd w:val="clear" w:color="auto" w:fill="auto"/>
            <w:vAlign w:val="center"/>
          </w:tcPr>
          <w:p>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序号</w:t>
            </w:r>
          </w:p>
        </w:tc>
        <w:tc>
          <w:tcPr>
            <w:tcW w:w="2136" w:type="dxa"/>
            <w:shd w:val="clear" w:color="auto" w:fill="auto"/>
            <w:vAlign w:val="center"/>
          </w:tcPr>
          <w:p>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名称</w:t>
            </w:r>
          </w:p>
        </w:tc>
        <w:tc>
          <w:tcPr>
            <w:tcW w:w="3471" w:type="dxa"/>
            <w:shd w:val="clear" w:color="auto" w:fill="auto"/>
            <w:vAlign w:val="center"/>
          </w:tcPr>
          <w:p>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需求说明</w:t>
            </w:r>
          </w:p>
        </w:tc>
        <w:tc>
          <w:tcPr>
            <w:tcW w:w="2898" w:type="dxa"/>
            <w:shd w:val="clear" w:color="auto" w:fill="auto"/>
            <w:vAlign w:val="center"/>
          </w:tcPr>
          <w:p>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3" w:type="dxa"/>
            <w:shd w:val="clear" w:color="auto" w:fill="auto"/>
            <w:vAlign w:val="center"/>
          </w:tcPr>
          <w:p>
            <w:pPr>
              <w:topLinePunct/>
              <w:adjustRightInd w:val="0"/>
              <w:snapToGrid w:val="0"/>
              <w:spacing w:line="360" w:lineRule="auto"/>
              <w:jc w:val="center"/>
              <w:rPr>
                <w:rFonts w:ascii="宋体" w:hAnsi="宋体" w:eastAsia="宋体" w:cs="宋体"/>
                <w:bCs/>
                <w:color w:val="auto"/>
                <w:kern w:val="0"/>
                <w:szCs w:val="21"/>
                <w:highlight w:val="none"/>
              </w:rPr>
            </w:pPr>
            <w:bookmarkStart w:id="76" w:name="技术性能不可偏离表" w:colFirst="0" w:colLast="0"/>
          </w:p>
        </w:tc>
        <w:tc>
          <w:tcPr>
            <w:tcW w:w="2136" w:type="dxa"/>
            <w:shd w:val="clear" w:color="auto" w:fill="auto"/>
            <w:vAlign w:val="center"/>
          </w:tcPr>
          <w:p>
            <w:pPr>
              <w:topLinePunct/>
              <w:adjustRightInd w:val="0"/>
              <w:snapToGrid w:val="0"/>
              <w:spacing w:line="360" w:lineRule="auto"/>
              <w:jc w:val="left"/>
              <w:rPr>
                <w:rFonts w:ascii="宋体" w:hAnsi="宋体" w:eastAsia="宋体" w:cs="宋体"/>
                <w:bCs/>
                <w:color w:val="auto"/>
                <w:kern w:val="0"/>
                <w:szCs w:val="21"/>
                <w:highlight w:val="none"/>
              </w:rPr>
            </w:pPr>
          </w:p>
        </w:tc>
        <w:tc>
          <w:tcPr>
            <w:tcW w:w="3471" w:type="dxa"/>
            <w:shd w:val="clear" w:color="auto" w:fill="auto"/>
            <w:vAlign w:val="center"/>
          </w:tcPr>
          <w:p>
            <w:pPr>
              <w:topLinePunct/>
              <w:adjustRightInd w:val="0"/>
              <w:snapToGrid w:val="0"/>
              <w:spacing w:line="360" w:lineRule="auto"/>
              <w:jc w:val="left"/>
              <w:rPr>
                <w:rFonts w:ascii="宋体" w:hAnsi="宋体" w:eastAsia="宋体" w:cs="宋体"/>
                <w:bCs/>
                <w:color w:val="auto"/>
                <w:kern w:val="0"/>
                <w:szCs w:val="21"/>
                <w:highlight w:val="none"/>
              </w:rPr>
            </w:pPr>
          </w:p>
        </w:tc>
        <w:tc>
          <w:tcPr>
            <w:tcW w:w="2898" w:type="dxa"/>
            <w:shd w:val="clear" w:color="auto" w:fill="auto"/>
            <w:vAlign w:val="center"/>
          </w:tcPr>
          <w:p>
            <w:pPr>
              <w:topLinePunct/>
              <w:adjustRightInd w:val="0"/>
              <w:snapToGrid w:val="0"/>
              <w:spacing w:line="360" w:lineRule="auto"/>
              <w:jc w:val="left"/>
              <w:rPr>
                <w:rFonts w:ascii="宋体" w:hAnsi="宋体" w:eastAsia="宋体" w:cs="宋体"/>
                <w:bCs/>
                <w:color w:val="auto"/>
                <w:kern w:val="0"/>
                <w:szCs w:val="21"/>
                <w:highlight w:val="none"/>
              </w:rPr>
            </w:pPr>
          </w:p>
        </w:tc>
      </w:tr>
      <w:bookmarkEnd w:id="76"/>
    </w:tbl>
    <w:p>
      <w:pPr>
        <w:adjustRightInd w:val="0"/>
        <w:snapToGrid w:val="0"/>
        <w:spacing w:line="20" w:lineRule="exact"/>
        <w:rPr>
          <w:color w:val="auto"/>
          <w:highlight w:val="none"/>
        </w:rPr>
      </w:pPr>
      <w:r>
        <w:rPr>
          <w:color w:val="auto"/>
          <w:highlight w:val="none"/>
        </w:rPr>
        <w:br w:type="page"/>
      </w:r>
    </w:p>
    <w:p>
      <w:pPr>
        <w:topLinePunct/>
        <w:adjustRightInd w:val="0"/>
        <w:snapToGrid w:val="0"/>
        <w:spacing w:line="360" w:lineRule="auto"/>
        <w:jc w:val="center"/>
        <w:outlineLvl w:val="2"/>
        <w:rPr>
          <w:rFonts w:ascii="黑体" w:hAnsi="宋体" w:eastAsia="黑体"/>
          <w:bCs/>
          <w:color w:val="auto"/>
          <w:kern w:val="0"/>
          <w:sz w:val="30"/>
          <w:szCs w:val="30"/>
          <w:highlight w:val="none"/>
        </w:rPr>
      </w:pPr>
      <w:bookmarkStart w:id="77" w:name="_Toc45702713"/>
      <w:bookmarkStart w:id="78" w:name="_Toc27552"/>
      <w:r>
        <w:rPr>
          <w:rFonts w:hint="eastAsia" w:ascii="黑体" w:hAnsi="宋体" w:eastAsia="黑体"/>
          <w:bCs/>
          <w:color w:val="auto"/>
          <w:kern w:val="0"/>
          <w:sz w:val="30"/>
          <w:szCs w:val="30"/>
          <w:highlight w:val="none"/>
        </w:rPr>
        <w:t>三、商务条款不可偏离表</w:t>
      </w:r>
      <w:bookmarkEnd w:id="77"/>
      <w:bookmarkEnd w:id="78"/>
    </w:p>
    <w:tbl>
      <w:tblPr>
        <w:tblStyle w:val="81"/>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
        <w:gridCol w:w="2136"/>
        <w:gridCol w:w="3471"/>
        <w:gridCol w:w="2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3" w:type="dxa"/>
            <w:shd w:val="clear" w:color="auto" w:fill="auto"/>
            <w:vAlign w:val="center"/>
          </w:tcPr>
          <w:p>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序号</w:t>
            </w:r>
          </w:p>
        </w:tc>
        <w:tc>
          <w:tcPr>
            <w:tcW w:w="2136" w:type="dxa"/>
            <w:shd w:val="clear" w:color="auto" w:fill="auto"/>
            <w:vAlign w:val="center"/>
          </w:tcPr>
          <w:p>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名称</w:t>
            </w:r>
          </w:p>
        </w:tc>
        <w:tc>
          <w:tcPr>
            <w:tcW w:w="3471" w:type="dxa"/>
            <w:shd w:val="clear" w:color="auto" w:fill="auto"/>
            <w:vAlign w:val="center"/>
          </w:tcPr>
          <w:p>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需求说明</w:t>
            </w:r>
          </w:p>
        </w:tc>
        <w:tc>
          <w:tcPr>
            <w:tcW w:w="2898" w:type="dxa"/>
            <w:shd w:val="clear" w:color="auto" w:fill="auto"/>
            <w:vAlign w:val="center"/>
          </w:tcPr>
          <w:p>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3" w:type="dxa"/>
            <w:shd w:val="clear" w:color="auto" w:fill="auto"/>
            <w:vAlign w:val="center"/>
          </w:tcPr>
          <w:p>
            <w:pPr>
              <w:topLinePunct/>
              <w:adjustRightInd w:val="0"/>
              <w:snapToGrid w:val="0"/>
              <w:spacing w:line="360" w:lineRule="auto"/>
              <w:jc w:val="center"/>
              <w:rPr>
                <w:rFonts w:ascii="宋体" w:hAnsi="宋体" w:eastAsia="宋体" w:cs="宋体"/>
                <w:bCs/>
                <w:color w:val="auto"/>
                <w:kern w:val="0"/>
                <w:szCs w:val="21"/>
                <w:highlight w:val="none"/>
              </w:rPr>
            </w:pPr>
            <w:bookmarkStart w:id="79" w:name="商务条款不可偏离表" w:colFirst="0" w:colLast="0"/>
          </w:p>
        </w:tc>
        <w:tc>
          <w:tcPr>
            <w:tcW w:w="2136" w:type="dxa"/>
            <w:shd w:val="clear" w:color="auto" w:fill="auto"/>
            <w:vAlign w:val="center"/>
          </w:tcPr>
          <w:p>
            <w:pPr>
              <w:topLinePunct/>
              <w:adjustRightInd w:val="0"/>
              <w:snapToGrid w:val="0"/>
              <w:spacing w:line="360" w:lineRule="auto"/>
              <w:jc w:val="left"/>
              <w:rPr>
                <w:rFonts w:ascii="宋体" w:hAnsi="宋体" w:eastAsia="宋体" w:cs="宋体"/>
                <w:bCs/>
                <w:color w:val="auto"/>
                <w:kern w:val="0"/>
                <w:szCs w:val="21"/>
                <w:highlight w:val="none"/>
              </w:rPr>
            </w:pPr>
          </w:p>
        </w:tc>
        <w:tc>
          <w:tcPr>
            <w:tcW w:w="3471" w:type="dxa"/>
            <w:shd w:val="clear" w:color="auto" w:fill="auto"/>
            <w:vAlign w:val="center"/>
          </w:tcPr>
          <w:p>
            <w:pPr>
              <w:topLinePunct/>
              <w:adjustRightInd w:val="0"/>
              <w:snapToGrid w:val="0"/>
              <w:spacing w:line="360" w:lineRule="auto"/>
              <w:jc w:val="left"/>
              <w:rPr>
                <w:rFonts w:ascii="宋体" w:hAnsi="宋体" w:eastAsia="宋体" w:cs="宋体"/>
                <w:bCs/>
                <w:color w:val="auto"/>
                <w:kern w:val="0"/>
                <w:szCs w:val="21"/>
                <w:highlight w:val="none"/>
              </w:rPr>
            </w:pPr>
          </w:p>
        </w:tc>
        <w:tc>
          <w:tcPr>
            <w:tcW w:w="2898" w:type="dxa"/>
            <w:shd w:val="clear" w:color="auto" w:fill="auto"/>
            <w:vAlign w:val="center"/>
          </w:tcPr>
          <w:p>
            <w:pPr>
              <w:topLinePunct/>
              <w:adjustRightInd w:val="0"/>
              <w:snapToGrid w:val="0"/>
              <w:spacing w:line="360" w:lineRule="auto"/>
              <w:jc w:val="left"/>
              <w:rPr>
                <w:rFonts w:ascii="宋体" w:hAnsi="宋体" w:eastAsia="宋体" w:cs="宋体"/>
                <w:bCs/>
                <w:color w:val="auto"/>
                <w:kern w:val="0"/>
                <w:szCs w:val="21"/>
                <w:highlight w:val="none"/>
              </w:rPr>
            </w:pPr>
          </w:p>
        </w:tc>
      </w:tr>
      <w:bookmarkEnd w:id="79"/>
    </w:tbl>
    <w:p>
      <w:pPr>
        <w:adjustRightInd w:val="0"/>
        <w:snapToGrid w:val="0"/>
        <w:spacing w:line="20" w:lineRule="exact"/>
        <w:rPr>
          <w:color w:val="auto"/>
          <w:highlight w:val="none"/>
        </w:rPr>
      </w:pPr>
      <w:r>
        <w:rPr>
          <w:color w:val="auto"/>
          <w:highlight w:val="none"/>
        </w:rPr>
        <w:br w:type="page"/>
      </w:r>
    </w:p>
    <w:p>
      <w:pPr>
        <w:adjustRightInd w:val="0"/>
        <w:snapToGrid w:val="0"/>
        <w:spacing w:line="360" w:lineRule="auto"/>
        <w:jc w:val="center"/>
        <w:outlineLvl w:val="0"/>
        <w:rPr>
          <w:rFonts w:ascii="宋体" w:hAnsi="宋体"/>
          <w:bCs/>
          <w:color w:val="auto"/>
          <w:kern w:val="0"/>
          <w:sz w:val="32"/>
          <w:szCs w:val="32"/>
          <w:highlight w:val="none"/>
        </w:rPr>
      </w:pPr>
      <w:bookmarkStart w:id="80" w:name="_Toc45702714"/>
      <w:bookmarkStart w:id="81" w:name="_Toc16045"/>
      <w:r>
        <w:rPr>
          <w:rFonts w:hint="eastAsia" w:ascii="黑体" w:eastAsia="黑体"/>
          <w:bCs/>
          <w:color w:val="auto"/>
          <w:kern w:val="0"/>
          <w:sz w:val="32"/>
          <w:szCs w:val="32"/>
          <w:highlight w:val="none"/>
        </w:rPr>
        <w:t>第六章  合同条款及格式</w:t>
      </w:r>
      <w:bookmarkEnd w:id="80"/>
      <w:bookmarkEnd w:id="81"/>
    </w:p>
    <w:p>
      <w:pPr>
        <w:topLinePunct/>
        <w:adjustRightInd w:val="0"/>
        <w:snapToGrid w:val="0"/>
        <w:spacing w:line="360" w:lineRule="auto"/>
        <w:jc w:val="left"/>
        <w:rPr>
          <w:color w:val="auto"/>
          <w:highlight w:val="none"/>
        </w:rPr>
      </w:pPr>
      <w:r>
        <w:rPr>
          <w:rFonts w:hint="eastAsia" w:ascii="宋体" w:hAnsi="宋体" w:eastAsia="宋体" w:cs="宋体"/>
          <w:color w:val="auto"/>
          <w:kern w:val="0"/>
          <w:szCs w:val="21"/>
          <w:highlight w:val="none"/>
        </w:rPr>
        <w:t>合同条款及格式</w:t>
      </w:r>
      <w:r>
        <w:rPr>
          <w:color w:val="auto"/>
          <w:highlight w:val="none"/>
        </w:rPr>
        <w:br w:type="page"/>
      </w:r>
    </w:p>
    <w:p>
      <w:pPr>
        <w:adjustRightInd w:val="0"/>
        <w:snapToGrid w:val="0"/>
        <w:spacing w:line="360" w:lineRule="auto"/>
        <w:jc w:val="center"/>
        <w:outlineLvl w:val="0"/>
        <w:rPr>
          <w:rFonts w:ascii="宋体" w:hAnsi="宋体" w:eastAsia="宋体" w:cs="宋体"/>
          <w:bCs/>
          <w:color w:val="auto"/>
          <w:kern w:val="0"/>
          <w:sz w:val="32"/>
          <w:szCs w:val="32"/>
          <w:highlight w:val="none"/>
        </w:rPr>
      </w:pPr>
      <w:bookmarkStart w:id="82" w:name="_Toc12311"/>
      <w:bookmarkStart w:id="83" w:name="_Toc45702715"/>
      <w:r>
        <w:rPr>
          <w:rFonts w:hint="eastAsia" w:ascii="宋体" w:hAnsi="宋体" w:eastAsia="宋体" w:cs="宋体"/>
          <w:bCs/>
          <w:color w:val="auto"/>
          <w:kern w:val="0"/>
          <w:sz w:val="32"/>
          <w:szCs w:val="32"/>
          <w:highlight w:val="none"/>
        </w:rPr>
        <w:t>第七章  技术要求</w:t>
      </w:r>
      <w:bookmarkEnd w:id="82"/>
      <w:bookmarkEnd w:id="83"/>
    </w:p>
    <w:p>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技术要求</w:t>
      </w:r>
    </w:p>
    <w:p>
      <w:pPr>
        <w:rPr>
          <w:color w:val="auto"/>
          <w:highlight w:val="none"/>
        </w:rPr>
      </w:pPr>
    </w:p>
    <w:sectPr>
      <w:footerReference r:id="rId4"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ˎ̥">
    <w:altName w:val="CESI仿宋-GB2312"/>
    <w:panose1 w:val="00000000000000000000"/>
    <w:charset w:val="00"/>
    <w:family w:val="roman"/>
    <w:pitch w:val="default"/>
    <w:sig w:usb0="00000000" w:usb1="00000000" w:usb2="00000000" w:usb3="00000000" w:csb0="00040001" w:csb1="00000000"/>
  </w:font>
  <w:font w:name="Microsoft YaHei UI">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楷体_GB2312">
    <w:panose1 w:val="02010609030101010101"/>
    <w:charset w:val="86"/>
    <w:family w:val="modern"/>
    <w:pitch w:val="default"/>
    <w:sig w:usb0="00000001" w:usb1="080E0000" w:usb2="00000000" w:usb3="00000000" w:csb0="0004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jc w:val="center"/>
    </w:pPr>
    <w:r>
      <w:fldChar w:fldCharType="begin"/>
    </w:r>
    <w:r>
      <w:rPr>
        <w:rFonts w:hint="eastAsia"/>
      </w:rPr>
      <w:instrText xml:space="preserve">page</w:instrText>
    </w:r>
    <w:r>
      <w:fldChar w:fldCharType="separate"/>
    </w:r>
    <w:r>
      <w:t>49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pPr>
        <w:adjustRightInd w:val="0"/>
        <w:snapToGrid w:val="0"/>
        <w:ind w:firstLine="420" w:firstLineChars="200"/>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[2]的具体要求源自《深圳市住房和建设局关于推行差异化缴纳投标保证金进一步降低招标投标交易成本的通知》（深建市场〔2023〕2号）第一条。</w:t>
      </w:r>
    </w:p>
    <w:p>
      <w:pPr>
        <w:pStyle w:val="63"/>
        <w:snapToGrid w:val="0"/>
      </w:pPr>
    </w:p>
  </w:footnote>
  <w:footnote w:id="2">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[3]的具体要求源自《深圳市人民政府关于进一步规范建设工程招标投标活动的通知》(深府规〔2024〕8号)第三条。</w:t>
      </w:r>
    </w:p>
  </w:footnote>
  <w:footnote w:id="3">
    <w:p>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[4]、[5]的具体要求源自《深圳市人民政府关于进一步规范建设工程招标投标活动的通知》(深府规〔2024〕8号)第四、七条。</w:t>
      </w:r>
    </w:p>
    <w:p>
      <w:pPr>
        <w:pStyle w:val="63"/>
        <w:snapToGrid w:val="0"/>
      </w:pPr>
    </w:p>
  </w:footnote>
  <w:footnote w:id="4">
    <w:p>
      <w:pPr>
        <w:pStyle w:val="63"/>
        <w:snapToGrid w:val="0"/>
      </w:pPr>
    </w:p>
  </w:footnote>
  <w:footnote w:id="5">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[6]的具体要求源自《深圳市住房和建设局关于进一步规范招标投标有关事宜的通知》（深建市场〔2022〕4号）第三条。</w:t>
      </w:r>
    </w:p>
    <w:p>
      <w:pPr>
        <w:pStyle w:val="63"/>
        <w:snapToGrid w:val="0"/>
      </w:pPr>
    </w:p>
  </w:footnote>
  <w:footnote w:id="6">
    <w:p>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[7]的具体要求源自《深圳市人民政府关于进一步规范建设工程招标投标活动的通知》(深府规〔2024〕8号)第九条。</w:t>
      </w:r>
    </w:p>
    <w:p>
      <w:pPr>
        <w:pStyle w:val="63"/>
        <w:snapToGrid w:val="0"/>
      </w:pPr>
    </w:p>
  </w:footnote>
  <w:footnote w:id="7">
    <w:p>
      <w:pPr>
        <w:adjustRightInd w:val="0"/>
        <w:snapToGrid w:val="0"/>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[8]-[10]的具体要求源自《深圳市人民政府关于进一步规范建设工程招标投标活动的通知》(深府规</w:t>
      </w:r>
    </w:p>
  </w:footnote>
  <w:footnote w:id="8">
    <w:p>
      <w:pPr>
        <w:adjustRightInd w:val="0"/>
        <w:snapToGrid w:val="0"/>
      </w:pPr>
      <w:r>
        <w:rPr>
          <w:rFonts w:hint="eastAsia" w:ascii="宋体" w:hAnsi="宋体" w:eastAsia="宋体" w:cs="宋体"/>
          <w:color w:val="000000" w:themeColor="text1"/>
          <w:szCs w:val="21"/>
          <w:lang w:val="en-US" w:eastAsia="zh-CN"/>
          <w14:textFill>
            <w14:solidFill>
              <w14:schemeClr w14:val="tx1"/>
            </w14:solidFill>
          </w14:textFill>
        </w:rPr>
        <w:t>〔2024〕8号)第五、七、九条，以及《深圳市人民政府印发关于建设工程招标投标改革若干规定的</w:t>
      </w:r>
    </w:p>
  </w:footnote>
  <w:footnote w:id="9">
    <w:p>
      <w:pPr>
        <w:pStyle w:val="63"/>
        <w:snapToGrid w:val="0"/>
      </w:pPr>
      <w:r>
        <w:rPr>
          <w:rFonts w:hint="eastAsia" w:ascii="宋体" w:hAnsi="宋体" w:eastAsia="宋体" w:cs="宋体"/>
          <w:color w:val="000000" w:themeColor="text1"/>
          <w:szCs w:val="21"/>
          <w:lang w:val="en-US" w:eastAsia="zh-CN"/>
          <w14:textFill>
            <w14:solidFill>
              <w14:schemeClr w14:val="tx1"/>
            </w14:solidFill>
          </w14:textFill>
        </w:rPr>
        <w:t>通知》（深府〔2015〕73号）第四十七条。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2DB9B4"/>
    <w:multiLevelType w:val="singleLevel"/>
    <w:tmpl w:val="EE2DB9B4"/>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b127900b-9ce2-445c-a198-09cef9b5c409"/>
  </w:docVars>
  <w:rsids>
    <w:rsidRoot w:val="00D3358D"/>
    <w:rsid w:val="00005A05"/>
    <w:rsid w:val="000764DF"/>
    <w:rsid w:val="00093270"/>
    <w:rsid w:val="000C2473"/>
    <w:rsid w:val="0022259C"/>
    <w:rsid w:val="002D0A40"/>
    <w:rsid w:val="00442543"/>
    <w:rsid w:val="00515BC7"/>
    <w:rsid w:val="005651E2"/>
    <w:rsid w:val="00572956"/>
    <w:rsid w:val="00685915"/>
    <w:rsid w:val="006A6953"/>
    <w:rsid w:val="007B7288"/>
    <w:rsid w:val="007C158B"/>
    <w:rsid w:val="007F2B09"/>
    <w:rsid w:val="00837B43"/>
    <w:rsid w:val="009E4D48"/>
    <w:rsid w:val="00A51EB6"/>
    <w:rsid w:val="00B677EA"/>
    <w:rsid w:val="00B80F13"/>
    <w:rsid w:val="00BB4731"/>
    <w:rsid w:val="00C55466"/>
    <w:rsid w:val="00C6526C"/>
    <w:rsid w:val="00CB368E"/>
    <w:rsid w:val="00CB77BE"/>
    <w:rsid w:val="00D3358D"/>
    <w:rsid w:val="00D909A6"/>
    <w:rsid w:val="00DF73EB"/>
    <w:rsid w:val="00E1509A"/>
    <w:rsid w:val="00EA7BE2"/>
    <w:rsid w:val="00F72D30"/>
    <w:rsid w:val="00FF2678"/>
    <w:rsid w:val="010940DB"/>
    <w:rsid w:val="022362FA"/>
    <w:rsid w:val="027A25D7"/>
    <w:rsid w:val="02991A59"/>
    <w:rsid w:val="02CD5A6F"/>
    <w:rsid w:val="03CD15BB"/>
    <w:rsid w:val="03FD7222"/>
    <w:rsid w:val="040B160A"/>
    <w:rsid w:val="04466CB4"/>
    <w:rsid w:val="045F4463"/>
    <w:rsid w:val="055949BA"/>
    <w:rsid w:val="0571302A"/>
    <w:rsid w:val="06180304"/>
    <w:rsid w:val="06407525"/>
    <w:rsid w:val="072F431B"/>
    <w:rsid w:val="076F5347"/>
    <w:rsid w:val="083B733F"/>
    <w:rsid w:val="08593893"/>
    <w:rsid w:val="08981389"/>
    <w:rsid w:val="094D790A"/>
    <w:rsid w:val="095C18FB"/>
    <w:rsid w:val="09731896"/>
    <w:rsid w:val="099611BA"/>
    <w:rsid w:val="0B034690"/>
    <w:rsid w:val="0B1C57E6"/>
    <w:rsid w:val="0BC6728D"/>
    <w:rsid w:val="0CF63D95"/>
    <w:rsid w:val="0D55110B"/>
    <w:rsid w:val="0D755681"/>
    <w:rsid w:val="0DB735A4"/>
    <w:rsid w:val="0E0D6CF0"/>
    <w:rsid w:val="0E607836"/>
    <w:rsid w:val="0E9D6A9D"/>
    <w:rsid w:val="0FC041EE"/>
    <w:rsid w:val="0FC65D20"/>
    <w:rsid w:val="115234C1"/>
    <w:rsid w:val="11F16015"/>
    <w:rsid w:val="130F0FEE"/>
    <w:rsid w:val="13C16B62"/>
    <w:rsid w:val="142100EB"/>
    <w:rsid w:val="14400213"/>
    <w:rsid w:val="1477435C"/>
    <w:rsid w:val="14EA3CCC"/>
    <w:rsid w:val="16710681"/>
    <w:rsid w:val="170471D7"/>
    <w:rsid w:val="17240631"/>
    <w:rsid w:val="17A972BD"/>
    <w:rsid w:val="17AF0B16"/>
    <w:rsid w:val="17D15BAA"/>
    <w:rsid w:val="17D47BFA"/>
    <w:rsid w:val="18F020FD"/>
    <w:rsid w:val="1B2522DF"/>
    <w:rsid w:val="1B681900"/>
    <w:rsid w:val="1CA8714F"/>
    <w:rsid w:val="1CDD3A8E"/>
    <w:rsid w:val="1CEE2D5A"/>
    <w:rsid w:val="1D6466A8"/>
    <w:rsid w:val="1DA430F0"/>
    <w:rsid w:val="1E9B20DE"/>
    <w:rsid w:val="1F392FCA"/>
    <w:rsid w:val="1F7563EC"/>
    <w:rsid w:val="20146619"/>
    <w:rsid w:val="21DB501C"/>
    <w:rsid w:val="21FC7711"/>
    <w:rsid w:val="231A3551"/>
    <w:rsid w:val="24BB3FD5"/>
    <w:rsid w:val="24CE594B"/>
    <w:rsid w:val="2501161D"/>
    <w:rsid w:val="27BE275B"/>
    <w:rsid w:val="287A7A86"/>
    <w:rsid w:val="29934A6D"/>
    <w:rsid w:val="29BC3CB9"/>
    <w:rsid w:val="29F411F6"/>
    <w:rsid w:val="2AFE4D20"/>
    <w:rsid w:val="2B012975"/>
    <w:rsid w:val="2D1A4D16"/>
    <w:rsid w:val="2D6C0415"/>
    <w:rsid w:val="2D833B8E"/>
    <w:rsid w:val="2D8A7145"/>
    <w:rsid w:val="2E1909BB"/>
    <w:rsid w:val="2E204C18"/>
    <w:rsid w:val="2E864BA1"/>
    <w:rsid w:val="2EC87D46"/>
    <w:rsid w:val="2F7F22F8"/>
    <w:rsid w:val="2F950E14"/>
    <w:rsid w:val="303D2227"/>
    <w:rsid w:val="31CF4924"/>
    <w:rsid w:val="31DE0257"/>
    <w:rsid w:val="32034776"/>
    <w:rsid w:val="33226E62"/>
    <w:rsid w:val="33A332E6"/>
    <w:rsid w:val="343C28B0"/>
    <w:rsid w:val="34945B3E"/>
    <w:rsid w:val="34EC7728"/>
    <w:rsid w:val="357117FD"/>
    <w:rsid w:val="35AE2C2F"/>
    <w:rsid w:val="35B64A1B"/>
    <w:rsid w:val="35C13B6C"/>
    <w:rsid w:val="35D867C1"/>
    <w:rsid w:val="36B7356E"/>
    <w:rsid w:val="36F732B3"/>
    <w:rsid w:val="37054AD1"/>
    <w:rsid w:val="372459E5"/>
    <w:rsid w:val="38954D5F"/>
    <w:rsid w:val="391060DB"/>
    <w:rsid w:val="39987F48"/>
    <w:rsid w:val="39AB1D97"/>
    <w:rsid w:val="39E65102"/>
    <w:rsid w:val="3A3D7EAF"/>
    <w:rsid w:val="3A8723CC"/>
    <w:rsid w:val="3AD575A2"/>
    <w:rsid w:val="3AF219DF"/>
    <w:rsid w:val="3B675874"/>
    <w:rsid w:val="3BD25D0B"/>
    <w:rsid w:val="3BF156CE"/>
    <w:rsid w:val="3D450F68"/>
    <w:rsid w:val="3D5955A0"/>
    <w:rsid w:val="3E3A270A"/>
    <w:rsid w:val="3E8372F5"/>
    <w:rsid w:val="3EC62950"/>
    <w:rsid w:val="3EE42AB6"/>
    <w:rsid w:val="40552625"/>
    <w:rsid w:val="40AE0143"/>
    <w:rsid w:val="41645256"/>
    <w:rsid w:val="433B213D"/>
    <w:rsid w:val="437A2709"/>
    <w:rsid w:val="44AC700A"/>
    <w:rsid w:val="45B44069"/>
    <w:rsid w:val="46562D22"/>
    <w:rsid w:val="469025C9"/>
    <w:rsid w:val="46CB3641"/>
    <w:rsid w:val="484C07B1"/>
    <w:rsid w:val="49F87635"/>
    <w:rsid w:val="4AFC42D7"/>
    <w:rsid w:val="4B0C2332"/>
    <w:rsid w:val="4B392A26"/>
    <w:rsid w:val="4B3F1BD8"/>
    <w:rsid w:val="4BA16241"/>
    <w:rsid w:val="4CA275C9"/>
    <w:rsid w:val="4D760982"/>
    <w:rsid w:val="4E455733"/>
    <w:rsid w:val="4E4E58B7"/>
    <w:rsid w:val="4FA83CC1"/>
    <w:rsid w:val="51202098"/>
    <w:rsid w:val="513A473F"/>
    <w:rsid w:val="531070D0"/>
    <w:rsid w:val="53214343"/>
    <w:rsid w:val="536410A5"/>
    <w:rsid w:val="53D26E67"/>
    <w:rsid w:val="54282715"/>
    <w:rsid w:val="54D16C78"/>
    <w:rsid w:val="564E7DEA"/>
    <w:rsid w:val="56E36517"/>
    <w:rsid w:val="583A0626"/>
    <w:rsid w:val="58445001"/>
    <w:rsid w:val="587A4EC7"/>
    <w:rsid w:val="58ED38EB"/>
    <w:rsid w:val="5A6866CC"/>
    <w:rsid w:val="5A7A5B66"/>
    <w:rsid w:val="5A9B2ED2"/>
    <w:rsid w:val="5A9B776B"/>
    <w:rsid w:val="5B244AA2"/>
    <w:rsid w:val="5BAC183B"/>
    <w:rsid w:val="5C4E787D"/>
    <w:rsid w:val="5D0C00B7"/>
    <w:rsid w:val="5E6C6E8B"/>
    <w:rsid w:val="5EAB402C"/>
    <w:rsid w:val="5EEF73DD"/>
    <w:rsid w:val="604E4786"/>
    <w:rsid w:val="605733AF"/>
    <w:rsid w:val="60B66094"/>
    <w:rsid w:val="60E41A32"/>
    <w:rsid w:val="61133E1C"/>
    <w:rsid w:val="615D3C30"/>
    <w:rsid w:val="61895B63"/>
    <w:rsid w:val="618F60F1"/>
    <w:rsid w:val="62943029"/>
    <w:rsid w:val="62AD6EC5"/>
    <w:rsid w:val="62FF75EB"/>
    <w:rsid w:val="6330404F"/>
    <w:rsid w:val="63E67515"/>
    <w:rsid w:val="64AB4BCB"/>
    <w:rsid w:val="64B828A1"/>
    <w:rsid w:val="6645639C"/>
    <w:rsid w:val="67760690"/>
    <w:rsid w:val="67E42C0C"/>
    <w:rsid w:val="67FF0F45"/>
    <w:rsid w:val="6861350C"/>
    <w:rsid w:val="688431F8"/>
    <w:rsid w:val="69755D9C"/>
    <w:rsid w:val="69AE0120"/>
    <w:rsid w:val="6B795723"/>
    <w:rsid w:val="6B817F03"/>
    <w:rsid w:val="6B871B85"/>
    <w:rsid w:val="6BAA11C7"/>
    <w:rsid w:val="6C0B12BC"/>
    <w:rsid w:val="6C3949E6"/>
    <w:rsid w:val="6C5749C1"/>
    <w:rsid w:val="6C890F9B"/>
    <w:rsid w:val="6CAD0305"/>
    <w:rsid w:val="6D216C01"/>
    <w:rsid w:val="6DF07FA4"/>
    <w:rsid w:val="6E6704D6"/>
    <w:rsid w:val="702141A6"/>
    <w:rsid w:val="70503617"/>
    <w:rsid w:val="70524BBC"/>
    <w:rsid w:val="710D1317"/>
    <w:rsid w:val="71ED5389"/>
    <w:rsid w:val="720E7291"/>
    <w:rsid w:val="7339530E"/>
    <w:rsid w:val="73BF4DEE"/>
    <w:rsid w:val="757B4A50"/>
    <w:rsid w:val="76767E52"/>
    <w:rsid w:val="7832337F"/>
    <w:rsid w:val="78862240"/>
    <w:rsid w:val="78F00FCF"/>
    <w:rsid w:val="791A0E1C"/>
    <w:rsid w:val="792B7203"/>
    <w:rsid w:val="79507852"/>
    <w:rsid w:val="7AAC7F07"/>
    <w:rsid w:val="7B2A58C1"/>
    <w:rsid w:val="7C6B0D72"/>
    <w:rsid w:val="7C7F2BC5"/>
    <w:rsid w:val="7C9440C7"/>
    <w:rsid w:val="7DE33922"/>
    <w:rsid w:val="7EA37E2C"/>
    <w:rsid w:val="7EB660FC"/>
    <w:rsid w:val="7F0B7D77"/>
    <w:rsid w:val="7F5636E6"/>
    <w:rsid w:val="7FBF77BF"/>
    <w:rsid w:val="7FD61105"/>
    <w:rsid w:val="9FEFE3B1"/>
    <w:rsid w:val="AFFBFB16"/>
    <w:rsid w:val="EFFBED00"/>
    <w:rsid w:val="F7FC9EA2"/>
    <w:rsid w:val="FBDE8990"/>
    <w:rsid w:val="FEFFE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iPriority="0" w:semiHidden="0" w:name="annotation text"/>
    <w:lsdException w:qFormat="1" w:uiPriority="0" w:semiHidden="0" w:name="header"/>
    <w:lsdException w:qFormat="1" w:uiPriority="0" w:semiHidden="0" w:name="footer"/>
    <w:lsdException w:qFormat="1" w:unhideWhenUsed="0" w:uiPriority="0" w:name="index heading"/>
    <w:lsdException w:qFormat="1" w:uiPriority="35" w:name="caption"/>
    <w:lsdException w:qFormat="1" w:unhideWhenUsed="0" w:uiPriority="0" w:name="table of figures"/>
    <w:lsdException w:qFormat="1" w:unhideWhenUsed="0" w:uiPriority="0" w:name="envelope address"/>
    <w:lsdException w:qFormat="1" w:unhideWhenUsed="0" w:uiPriority="0" w:name="envelope return"/>
    <w:lsdException w:qFormat="1" w:unhideWhenUsed="0" w:uiPriority="0" w:name="footnote reference"/>
    <w:lsdException w:qFormat="1" w:unhideWhenUsed="0" w:uiPriority="0" w:name="annotation reference"/>
    <w:lsdException w:qFormat="1" w:unhideWhenUsed="0" w:uiPriority="0" w:name="line number"/>
    <w:lsdException w:uiPriority="99" w:name="page number"/>
    <w:lsdException w:qFormat="1" w:unhideWhenUsed="0" w:uiPriority="0" w:name="endnote reference"/>
    <w:lsdException w:qFormat="1" w:unhideWhenUsed="0" w:uiPriority="0" w:name="endnote text"/>
    <w:lsdException w:qFormat="1" w:uiPriority="99" w:semiHidden="0" w:name="table of authorities"/>
    <w:lsdException w:uiPriority="99" w:name="macro"/>
    <w:lsdException w:qFormat="1" w:unhideWhenUsed="0" w:uiPriority="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10" w:semiHidden="0" w:name="Title"/>
    <w:lsdException w:qFormat="1" w:unhideWhenUsed="0" w:uiPriority="0" w:name="Closing"/>
    <w:lsdException w:qFormat="1" w:unhideWhenUsed="0" w:uiPriority="0" w:name="Signature"/>
    <w:lsdException w:qFormat="1" w:uiPriority="1" w:name="Default Paragraph Font"/>
    <w:lsdException w:qFormat="1" w:uiPriority="99" w:name="Body Text"/>
    <w:lsdException w:qFormat="1" w:uiPriority="99"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11" w:semiHidden="0" w:name="Subtitle"/>
    <w:lsdException w:qFormat="1" w:unhideWhenUsed="0" w:uiPriority="0" w:name="Salutation"/>
    <w:lsdException w:qFormat="1" w:uiPriority="0" w:name="Date"/>
    <w:lsdException w:qFormat="1" w:unhideWhenUsed="0" w:uiPriority="0" w:name="Body Text First Indent"/>
    <w:lsdException w:qFormat="1" w:unhideWhenUsed="0" w:uiPriority="0" w:name="Body Text First Indent 2"/>
    <w:lsdException w:qFormat="1" w:unhideWhenUsed="0" w:uiPriority="0" w:name="Note Heading"/>
    <w:lsdException w:uiPriority="99" w:name="Body Text 2"/>
    <w:lsdException w:qFormat="1" w:unhideWhenUsed="0" w:uiPriority="0" w:name="Body Text 3"/>
    <w:lsdException w:qFormat="1" w:unhideWhenUsed="0" w:uiPriority="0" w:name="Body Text Indent 2"/>
    <w:lsdException w:uiPriority="99" w:name="Body Text Indent 3"/>
    <w:lsdException w:qFormat="1" w:unhideWhenUsed="0"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iPriority="0" w:semiHidden="0" w:name="Plain Text"/>
    <w:lsdException w:qFormat="1" w:unhideWhenUsed="0" w:uiPriority="0"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nhideWhenUsed="0" w:uiPriority="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name="Balloon Text"/>
    <w:lsdException w:qFormat="1" w:unhideWhenUsed="0" w:uiPriority="0" w:semiHidden="0" w:name="Table Grid"/>
    <w:lsdException w:qFormat="1"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42"/>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5"/>
    <w:next w:val="5"/>
    <w:link w:val="143"/>
    <w:qFormat/>
    <w:uiPriority w:val="0"/>
    <w:pPr>
      <w:keepNext/>
      <w:keepLines/>
      <w:spacing w:before="260" w:after="260" w:line="416" w:lineRule="auto"/>
      <w:ind w:left="720" w:hanging="432"/>
      <w:outlineLvl w:val="2"/>
    </w:pPr>
    <w:rPr>
      <w:b/>
      <w:bCs/>
      <w:sz w:val="32"/>
      <w:szCs w:val="32"/>
    </w:rPr>
  </w:style>
  <w:style w:type="paragraph" w:styleId="6">
    <w:name w:val="heading 4"/>
    <w:basedOn w:val="1"/>
    <w:next w:val="1"/>
    <w:link w:val="144"/>
    <w:qFormat/>
    <w:uiPriority w:val="0"/>
    <w:pPr>
      <w:keepNext/>
      <w:keepLines/>
      <w:spacing w:before="280" w:after="290" w:line="376" w:lineRule="auto"/>
      <w:ind w:left="864" w:hanging="144"/>
      <w:outlineLvl w:val="3"/>
    </w:pPr>
    <w:rPr>
      <w:rFonts w:asciiTheme="majorHAnsi" w:hAnsiTheme="majorHAnsi" w:eastAsiaTheme="majorEastAsia" w:cstheme="majorBidi"/>
      <w:b/>
      <w:bCs/>
      <w:sz w:val="28"/>
      <w:szCs w:val="28"/>
    </w:rPr>
  </w:style>
  <w:style w:type="paragraph" w:styleId="7">
    <w:name w:val="heading 5"/>
    <w:basedOn w:val="1"/>
    <w:next w:val="1"/>
    <w:link w:val="145"/>
    <w:qFormat/>
    <w:uiPriority w:val="0"/>
    <w:pPr>
      <w:keepNext/>
      <w:keepLines/>
      <w:spacing w:before="280" w:after="290" w:line="376" w:lineRule="auto"/>
      <w:ind w:left="1008" w:hanging="432"/>
      <w:outlineLvl w:val="4"/>
    </w:pPr>
    <w:rPr>
      <w:b/>
      <w:bCs/>
      <w:sz w:val="28"/>
      <w:szCs w:val="28"/>
    </w:rPr>
  </w:style>
  <w:style w:type="paragraph" w:styleId="8">
    <w:name w:val="heading 6"/>
    <w:basedOn w:val="1"/>
    <w:next w:val="1"/>
    <w:link w:val="146"/>
    <w:qFormat/>
    <w:uiPriority w:val="0"/>
    <w:pPr>
      <w:keepNext/>
      <w:keepLines/>
      <w:spacing w:before="240" w:after="64" w:line="320" w:lineRule="auto"/>
      <w:ind w:left="1152" w:hanging="432"/>
      <w:outlineLvl w:val="5"/>
    </w:pPr>
    <w:rPr>
      <w:rFonts w:asciiTheme="majorHAnsi" w:hAnsiTheme="majorHAnsi" w:eastAsiaTheme="majorEastAsia" w:cstheme="majorBidi"/>
      <w:b/>
      <w:bCs/>
      <w:sz w:val="24"/>
      <w:szCs w:val="24"/>
    </w:rPr>
  </w:style>
  <w:style w:type="paragraph" w:styleId="9">
    <w:name w:val="heading 7"/>
    <w:basedOn w:val="1"/>
    <w:next w:val="1"/>
    <w:link w:val="147"/>
    <w:qFormat/>
    <w:uiPriority w:val="0"/>
    <w:pPr>
      <w:keepNext/>
      <w:keepLines/>
      <w:spacing w:before="240" w:after="64" w:line="320" w:lineRule="auto"/>
      <w:ind w:left="1296" w:hanging="288"/>
      <w:outlineLvl w:val="6"/>
    </w:pPr>
    <w:rPr>
      <w:b/>
      <w:bCs/>
      <w:sz w:val="24"/>
      <w:szCs w:val="24"/>
    </w:rPr>
  </w:style>
  <w:style w:type="paragraph" w:styleId="10">
    <w:name w:val="heading 8"/>
    <w:basedOn w:val="1"/>
    <w:next w:val="1"/>
    <w:link w:val="148"/>
    <w:qFormat/>
    <w:uiPriority w:val="0"/>
    <w:pPr>
      <w:keepNext/>
      <w:keepLines/>
      <w:spacing w:before="240" w:after="64" w:line="320" w:lineRule="auto"/>
      <w:ind w:left="1440" w:hanging="432"/>
      <w:outlineLvl w:val="7"/>
    </w:pPr>
    <w:rPr>
      <w:rFonts w:asciiTheme="majorHAnsi" w:hAnsiTheme="majorHAnsi" w:eastAsiaTheme="majorEastAsia" w:cstheme="majorBidi"/>
      <w:sz w:val="24"/>
      <w:szCs w:val="24"/>
    </w:rPr>
  </w:style>
  <w:style w:type="paragraph" w:styleId="11">
    <w:name w:val="heading 9"/>
    <w:basedOn w:val="1"/>
    <w:next w:val="1"/>
    <w:link w:val="149"/>
    <w:qFormat/>
    <w:uiPriority w:val="0"/>
    <w:pPr>
      <w:keepNext/>
      <w:keepLines/>
      <w:spacing w:before="240" w:after="64" w:line="320" w:lineRule="auto"/>
      <w:ind w:left="1584" w:hanging="144"/>
      <w:outlineLvl w:val="8"/>
    </w:pPr>
    <w:rPr>
      <w:rFonts w:asciiTheme="majorHAnsi" w:hAnsiTheme="majorHAnsi" w:eastAsiaTheme="majorEastAsia" w:cstheme="majorBidi"/>
      <w:szCs w:val="21"/>
    </w:rPr>
  </w:style>
  <w:style w:type="character" w:default="1" w:styleId="126">
    <w:name w:val="Default Paragraph Font"/>
    <w:semiHidden/>
    <w:unhideWhenUsed/>
    <w:qFormat/>
    <w:uiPriority w:val="1"/>
  </w:style>
  <w:style w:type="table" w:default="1" w:styleId="81">
    <w:name w:val="Normal Table"/>
    <w:semiHidden/>
    <w:unhideWhenUsed/>
    <w:qFormat/>
    <w:uiPriority w:val="99"/>
    <w:tblPr>
      <w:tblLayout w:type="fixed"/>
      <w:tblCellMar>
        <w:top w:w="0" w:type="dxa"/>
        <w:left w:w="108" w:type="dxa"/>
        <w:bottom w:w="0" w:type="dxa"/>
        <w:right w:w="108" w:type="dxa"/>
      </w:tblCellMar>
    </w:tblPr>
  </w:style>
  <w:style w:type="paragraph" w:styleId="5">
    <w:name w:val="table of authorities"/>
    <w:basedOn w:val="1"/>
    <w:next w:val="1"/>
    <w:unhideWhenUsed/>
    <w:qFormat/>
    <w:uiPriority w:val="99"/>
    <w:pPr>
      <w:ind w:left="200" w:leftChars="200"/>
    </w:pPr>
  </w:style>
  <w:style w:type="paragraph" w:styleId="12">
    <w:name w:val="List 3"/>
    <w:basedOn w:val="1"/>
    <w:semiHidden/>
    <w:qFormat/>
    <w:uiPriority w:val="0"/>
    <w:pPr>
      <w:ind w:left="100" w:leftChars="400" w:hanging="200" w:hangingChars="200"/>
    </w:pPr>
    <w:rPr>
      <w:rFonts w:ascii="Times New Roman" w:hAnsi="Times New Roman" w:eastAsia="宋体" w:cs="Times New Roman"/>
      <w:szCs w:val="24"/>
    </w:rPr>
  </w:style>
  <w:style w:type="paragraph" w:styleId="13">
    <w:name w:val="toc 7"/>
    <w:basedOn w:val="1"/>
    <w:next w:val="1"/>
    <w:semiHidden/>
    <w:qFormat/>
    <w:uiPriority w:val="0"/>
    <w:pPr>
      <w:ind w:left="1260"/>
      <w:jc w:val="left"/>
    </w:pPr>
    <w:rPr>
      <w:rFonts w:eastAsia="宋体" w:cstheme="minorHAnsi"/>
      <w:sz w:val="18"/>
      <w:szCs w:val="18"/>
    </w:rPr>
  </w:style>
  <w:style w:type="paragraph" w:styleId="14">
    <w:name w:val="List Number 2"/>
    <w:basedOn w:val="1"/>
    <w:semiHidden/>
    <w:qFormat/>
    <w:uiPriority w:val="0"/>
    <w:pPr>
      <w:tabs>
        <w:tab w:val="left" w:pos="780"/>
      </w:tabs>
      <w:ind w:left="780" w:hanging="360"/>
    </w:pPr>
    <w:rPr>
      <w:rFonts w:ascii="Times New Roman" w:hAnsi="Times New Roman" w:eastAsia="宋体" w:cs="Times New Roman"/>
      <w:szCs w:val="24"/>
    </w:rPr>
  </w:style>
  <w:style w:type="paragraph" w:styleId="15">
    <w:name w:val="Note Heading"/>
    <w:basedOn w:val="1"/>
    <w:next w:val="1"/>
    <w:link w:val="153"/>
    <w:semiHidden/>
    <w:qFormat/>
    <w:uiPriority w:val="0"/>
    <w:pPr>
      <w:jc w:val="center"/>
    </w:pPr>
    <w:rPr>
      <w:rFonts w:ascii="Times New Roman" w:hAnsi="Times New Roman" w:eastAsia="宋体" w:cs="Times New Roman"/>
      <w:szCs w:val="24"/>
    </w:rPr>
  </w:style>
  <w:style w:type="paragraph" w:styleId="16">
    <w:name w:val="List Bullet 4"/>
    <w:basedOn w:val="1"/>
    <w:semiHidden/>
    <w:qFormat/>
    <w:uiPriority w:val="0"/>
    <w:pPr>
      <w:tabs>
        <w:tab w:val="left" w:pos="1620"/>
      </w:tabs>
      <w:ind w:left="1620" w:hanging="360"/>
    </w:pPr>
    <w:rPr>
      <w:rFonts w:ascii="Times New Roman" w:hAnsi="Times New Roman" w:eastAsia="宋体" w:cs="Times New Roman"/>
      <w:szCs w:val="24"/>
    </w:rPr>
  </w:style>
  <w:style w:type="paragraph" w:styleId="17">
    <w:name w:val="index 8"/>
    <w:basedOn w:val="1"/>
    <w:next w:val="1"/>
    <w:semiHidden/>
    <w:qFormat/>
    <w:uiPriority w:val="0"/>
    <w:pPr>
      <w:ind w:left="1680" w:hanging="210"/>
      <w:jc w:val="left"/>
    </w:pPr>
    <w:rPr>
      <w:rFonts w:ascii="Times New Roman" w:hAnsi="Times New Roman" w:eastAsia="宋体" w:cs="Times New Roman"/>
      <w:sz w:val="20"/>
      <w:szCs w:val="20"/>
    </w:rPr>
  </w:style>
  <w:style w:type="paragraph" w:styleId="18">
    <w:name w:val="E-mail Signature"/>
    <w:basedOn w:val="1"/>
    <w:link w:val="155"/>
    <w:semiHidden/>
    <w:qFormat/>
    <w:uiPriority w:val="0"/>
    <w:rPr>
      <w:rFonts w:ascii="Times New Roman" w:hAnsi="Times New Roman" w:eastAsia="宋体" w:cs="Times New Roman"/>
      <w:szCs w:val="24"/>
    </w:rPr>
  </w:style>
  <w:style w:type="paragraph" w:styleId="19">
    <w:name w:val="List Number"/>
    <w:basedOn w:val="1"/>
    <w:semiHidden/>
    <w:qFormat/>
    <w:uiPriority w:val="0"/>
    <w:pPr>
      <w:tabs>
        <w:tab w:val="left" w:pos="360"/>
      </w:tabs>
      <w:ind w:left="360" w:hanging="360"/>
    </w:pPr>
    <w:rPr>
      <w:rFonts w:ascii="Times New Roman" w:hAnsi="Times New Roman" w:eastAsia="宋体" w:cs="Times New Roman"/>
      <w:szCs w:val="24"/>
    </w:rPr>
  </w:style>
  <w:style w:type="paragraph" w:styleId="20">
    <w:name w:val="index 5"/>
    <w:basedOn w:val="1"/>
    <w:next w:val="1"/>
    <w:semiHidden/>
    <w:qFormat/>
    <w:uiPriority w:val="0"/>
    <w:pPr>
      <w:ind w:left="1050" w:hanging="210"/>
      <w:jc w:val="left"/>
    </w:pPr>
    <w:rPr>
      <w:rFonts w:ascii="Times New Roman" w:hAnsi="Times New Roman" w:eastAsia="宋体" w:cs="Times New Roman"/>
      <w:sz w:val="20"/>
      <w:szCs w:val="20"/>
    </w:rPr>
  </w:style>
  <w:style w:type="paragraph" w:styleId="21">
    <w:name w:val="List Bullet"/>
    <w:basedOn w:val="1"/>
    <w:semiHidden/>
    <w:qFormat/>
    <w:uiPriority w:val="0"/>
    <w:pPr>
      <w:tabs>
        <w:tab w:val="left" w:pos="360"/>
      </w:tabs>
      <w:ind w:left="360" w:hanging="360"/>
    </w:pPr>
    <w:rPr>
      <w:rFonts w:ascii="Times New Roman" w:hAnsi="Times New Roman" w:eastAsia="宋体" w:cs="Times New Roman"/>
      <w:szCs w:val="24"/>
    </w:rPr>
  </w:style>
  <w:style w:type="paragraph" w:styleId="22">
    <w:name w:val="envelope address"/>
    <w:basedOn w:val="1"/>
    <w:semiHidden/>
    <w:qFormat/>
    <w:uiPriority w:val="0"/>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23">
    <w:name w:val="Document Map"/>
    <w:basedOn w:val="1"/>
    <w:link w:val="158"/>
    <w:qFormat/>
    <w:uiPriority w:val="0"/>
    <w:pPr>
      <w:shd w:val="clear" w:color="auto" w:fill="000080"/>
    </w:pPr>
    <w:rPr>
      <w:rFonts w:ascii="Times New Roman" w:hAnsi="Times New Roman" w:eastAsia="宋体" w:cs="Times New Roman"/>
      <w:szCs w:val="20"/>
    </w:rPr>
  </w:style>
  <w:style w:type="paragraph" w:styleId="24">
    <w:name w:val="toa heading"/>
    <w:basedOn w:val="1"/>
    <w:next w:val="1"/>
    <w:semiHidden/>
    <w:qFormat/>
    <w:uiPriority w:val="0"/>
    <w:pPr>
      <w:autoSpaceDE w:val="0"/>
      <w:autoSpaceDN w:val="0"/>
      <w:adjustRightInd w:val="0"/>
      <w:spacing w:before="120" w:after="60" w:line="360" w:lineRule="auto"/>
      <w:ind w:right="-425"/>
    </w:pPr>
    <w:rPr>
      <w:rFonts w:ascii="Arial" w:hAnsi="Arial" w:eastAsia="宋体" w:cs="Times New Roman"/>
      <w:color w:val="000000"/>
      <w:sz w:val="24"/>
      <w:szCs w:val="20"/>
    </w:rPr>
  </w:style>
  <w:style w:type="paragraph" w:styleId="25">
    <w:name w:val="annotation text"/>
    <w:basedOn w:val="1"/>
    <w:link w:val="178"/>
    <w:unhideWhenUsed/>
    <w:qFormat/>
    <w:uiPriority w:val="0"/>
    <w:pPr>
      <w:jc w:val="left"/>
    </w:pPr>
    <w:rPr>
      <w:rFonts w:ascii="Times New Roman" w:hAnsi="Times New Roman" w:eastAsia="宋体" w:cs="Times New Roman"/>
      <w:szCs w:val="20"/>
    </w:rPr>
  </w:style>
  <w:style w:type="paragraph" w:styleId="26">
    <w:name w:val="index 6"/>
    <w:basedOn w:val="1"/>
    <w:next w:val="1"/>
    <w:semiHidden/>
    <w:qFormat/>
    <w:uiPriority w:val="0"/>
    <w:pPr>
      <w:ind w:left="1260" w:hanging="210"/>
      <w:jc w:val="left"/>
    </w:pPr>
    <w:rPr>
      <w:rFonts w:ascii="Times New Roman" w:hAnsi="Times New Roman" w:eastAsia="宋体" w:cs="Times New Roman"/>
      <w:sz w:val="20"/>
      <w:szCs w:val="20"/>
    </w:rPr>
  </w:style>
  <w:style w:type="paragraph" w:styleId="27">
    <w:name w:val="Salutation"/>
    <w:basedOn w:val="1"/>
    <w:next w:val="1"/>
    <w:link w:val="169"/>
    <w:semiHidden/>
    <w:qFormat/>
    <w:uiPriority w:val="0"/>
    <w:rPr>
      <w:rFonts w:ascii="Times New Roman" w:hAnsi="Times New Roman" w:eastAsia="宋体" w:cs="Times New Roman"/>
      <w:szCs w:val="24"/>
    </w:rPr>
  </w:style>
  <w:style w:type="paragraph" w:styleId="28">
    <w:name w:val="Body Text 3"/>
    <w:basedOn w:val="1"/>
    <w:link w:val="160"/>
    <w:semiHidden/>
    <w:qFormat/>
    <w:uiPriority w:val="0"/>
    <w:pPr>
      <w:spacing w:after="120"/>
    </w:pPr>
    <w:rPr>
      <w:rFonts w:ascii="Times New Roman" w:hAnsi="Times New Roman" w:eastAsia="宋体" w:cs="Times New Roman"/>
      <w:sz w:val="16"/>
      <w:szCs w:val="16"/>
    </w:rPr>
  </w:style>
  <w:style w:type="paragraph" w:styleId="29">
    <w:name w:val="Closing"/>
    <w:basedOn w:val="1"/>
    <w:link w:val="170"/>
    <w:semiHidden/>
    <w:qFormat/>
    <w:uiPriority w:val="0"/>
    <w:pPr>
      <w:ind w:left="100" w:leftChars="2100"/>
    </w:pPr>
    <w:rPr>
      <w:rFonts w:ascii="Times New Roman" w:hAnsi="Times New Roman" w:eastAsia="宋体" w:cs="Times New Roman"/>
      <w:szCs w:val="24"/>
    </w:rPr>
  </w:style>
  <w:style w:type="paragraph" w:styleId="30">
    <w:name w:val="List Bullet 3"/>
    <w:basedOn w:val="1"/>
    <w:semiHidden/>
    <w:qFormat/>
    <w:uiPriority w:val="0"/>
    <w:pPr>
      <w:tabs>
        <w:tab w:val="left" w:pos="1200"/>
      </w:tabs>
      <w:ind w:left="1200" w:hanging="360"/>
    </w:pPr>
    <w:rPr>
      <w:rFonts w:ascii="Times New Roman" w:hAnsi="Times New Roman" w:eastAsia="宋体" w:cs="Times New Roman"/>
      <w:szCs w:val="24"/>
    </w:rPr>
  </w:style>
  <w:style w:type="paragraph" w:styleId="31">
    <w:name w:val="Body Text"/>
    <w:basedOn w:val="1"/>
    <w:link w:val="181"/>
    <w:semiHidden/>
    <w:unhideWhenUsed/>
    <w:qFormat/>
    <w:uiPriority w:val="99"/>
    <w:pPr>
      <w:spacing w:after="120"/>
    </w:pPr>
    <w:rPr>
      <w:rFonts w:ascii="Times New Roman" w:hAnsi="Times New Roman" w:eastAsia="宋体" w:cs="Times New Roman"/>
      <w:szCs w:val="20"/>
    </w:rPr>
  </w:style>
  <w:style w:type="paragraph" w:styleId="32">
    <w:name w:val="Body Text Indent"/>
    <w:basedOn w:val="1"/>
    <w:link w:val="202"/>
    <w:semiHidden/>
    <w:unhideWhenUsed/>
    <w:qFormat/>
    <w:uiPriority w:val="99"/>
    <w:pPr>
      <w:spacing w:after="120"/>
      <w:ind w:left="420" w:leftChars="200"/>
    </w:pPr>
    <w:rPr>
      <w:rFonts w:ascii="Times New Roman" w:hAnsi="Times New Roman" w:eastAsia="宋体" w:cs="Times New Roman"/>
      <w:szCs w:val="20"/>
    </w:rPr>
  </w:style>
  <w:style w:type="paragraph" w:styleId="33">
    <w:name w:val="List Number 3"/>
    <w:basedOn w:val="1"/>
    <w:semiHidden/>
    <w:qFormat/>
    <w:uiPriority w:val="0"/>
    <w:pPr>
      <w:tabs>
        <w:tab w:val="left" w:pos="1200"/>
      </w:tabs>
      <w:ind w:left="1200" w:hanging="360"/>
    </w:pPr>
    <w:rPr>
      <w:rFonts w:ascii="Times New Roman" w:hAnsi="Times New Roman" w:eastAsia="宋体" w:cs="Times New Roman"/>
      <w:szCs w:val="24"/>
    </w:rPr>
  </w:style>
  <w:style w:type="paragraph" w:styleId="34">
    <w:name w:val="List 2"/>
    <w:basedOn w:val="1"/>
    <w:semiHidden/>
    <w:qFormat/>
    <w:uiPriority w:val="0"/>
    <w:pPr>
      <w:ind w:left="100" w:leftChars="200" w:hanging="200" w:hangingChars="200"/>
    </w:pPr>
    <w:rPr>
      <w:rFonts w:ascii="Times New Roman" w:hAnsi="Times New Roman" w:eastAsia="宋体" w:cs="Times New Roman"/>
      <w:szCs w:val="24"/>
    </w:rPr>
  </w:style>
  <w:style w:type="paragraph" w:styleId="35">
    <w:name w:val="List Continue"/>
    <w:basedOn w:val="1"/>
    <w:semiHidden/>
    <w:qFormat/>
    <w:uiPriority w:val="0"/>
    <w:pPr>
      <w:spacing w:after="120"/>
      <w:ind w:left="420" w:leftChars="200"/>
    </w:pPr>
    <w:rPr>
      <w:rFonts w:ascii="Times New Roman" w:hAnsi="Times New Roman" w:eastAsia="宋体" w:cs="Times New Roman"/>
      <w:szCs w:val="24"/>
    </w:rPr>
  </w:style>
  <w:style w:type="paragraph" w:styleId="36">
    <w:name w:val="Block Text"/>
    <w:basedOn w:val="1"/>
    <w:semiHidden/>
    <w:qFormat/>
    <w:uiPriority w:val="0"/>
    <w:pPr>
      <w:spacing w:after="120"/>
      <w:ind w:left="1440" w:leftChars="700" w:right="1440" w:rightChars="700"/>
    </w:pPr>
    <w:rPr>
      <w:rFonts w:ascii="Times New Roman" w:hAnsi="Times New Roman" w:eastAsia="宋体" w:cs="Times New Roman"/>
      <w:szCs w:val="24"/>
    </w:rPr>
  </w:style>
  <w:style w:type="paragraph" w:styleId="37">
    <w:name w:val="List Bullet 2"/>
    <w:basedOn w:val="1"/>
    <w:semiHidden/>
    <w:qFormat/>
    <w:uiPriority w:val="0"/>
    <w:pPr>
      <w:tabs>
        <w:tab w:val="left" w:pos="780"/>
      </w:tabs>
      <w:ind w:left="780" w:hanging="360"/>
    </w:pPr>
    <w:rPr>
      <w:rFonts w:ascii="Times New Roman" w:hAnsi="Times New Roman" w:eastAsia="宋体" w:cs="Times New Roman"/>
      <w:szCs w:val="24"/>
    </w:rPr>
  </w:style>
  <w:style w:type="paragraph" w:styleId="38">
    <w:name w:val="HTML Address"/>
    <w:basedOn w:val="1"/>
    <w:link w:val="168"/>
    <w:semiHidden/>
    <w:qFormat/>
    <w:uiPriority w:val="0"/>
    <w:rPr>
      <w:rFonts w:ascii="Times New Roman" w:hAnsi="Times New Roman" w:eastAsia="宋体" w:cs="Times New Roman"/>
      <w:i/>
      <w:iCs/>
      <w:szCs w:val="24"/>
    </w:rPr>
  </w:style>
  <w:style w:type="paragraph" w:styleId="39">
    <w:name w:val="index 4"/>
    <w:basedOn w:val="1"/>
    <w:next w:val="1"/>
    <w:semiHidden/>
    <w:qFormat/>
    <w:uiPriority w:val="0"/>
    <w:pPr>
      <w:ind w:left="840" w:hanging="210"/>
      <w:jc w:val="left"/>
    </w:pPr>
    <w:rPr>
      <w:rFonts w:ascii="Times New Roman" w:hAnsi="Times New Roman" w:eastAsia="宋体" w:cs="Times New Roman"/>
      <w:sz w:val="20"/>
      <w:szCs w:val="20"/>
    </w:rPr>
  </w:style>
  <w:style w:type="paragraph" w:styleId="40">
    <w:name w:val="toc 5"/>
    <w:basedOn w:val="1"/>
    <w:next w:val="1"/>
    <w:semiHidden/>
    <w:qFormat/>
    <w:uiPriority w:val="0"/>
    <w:pPr>
      <w:ind w:left="840"/>
      <w:jc w:val="left"/>
    </w:pPr>
    <w:rPr>
      <w:rFonts w:eastAsia="宋体" w:cstheme="minorHAnsi"/>
      <w:sz w:val="18"/>
      <w:szCs w:val="18"/>
    </w:rPr>
  </w:style>
  <w:style w:type="paragraph" w:styleId="41">
    <w:name w:val="toc 3"/>
    <w:basedOn w:val="1"/>
    <w:next w:val="1"/>
    <w:qFormat/>
    <w:uiPriority w:val="39"/>
    <w:pPr>
      <w:ind w:left="420"/>
      <w:jc w:val="left"/>
    </w:pPr>
    <w:rPr>
      <w:rFonts w:eastAsia="宋体" w:cstheme="minorHAnsi"/>
      <w:i/>
      <w:iCs/>
      <w:sz w:val="20"/>
      <w:szCs w:val="20"/>
    </w:rPr>
  </w:style>
  <w:style w:type="paragraph" w:styleId="42">
    <w:name w:val="Plain Text"/>
    <w:basedOn w:val="1"/>
    <w:link w:val="205"/>
    <w:unhideWhenUsed/>
    <w:qFormat/>
    <w:uiPriority w:val="0"/>
    <w:rPr>
      <w:rFonts w:ascii="宋体" w:hAnsi="Courier New" w:eastAsia="宋体" w:cs="Times New Roman"/>
      <w:kern w:val="0"/>
      <w:sz w:val="20"/>
      <w:szCs w:val="21"/>
    </w:rPr>
  </w:style>
  <w:style w:type="paragraph" w:styleId="43">
    <w:name w:val="List Bullet 5"/>
    <w:basedOn w:val="1"/>
    <w:semiHidden/>
    <w:qFormat/>
    <w:uiPriority w:val="0"/>
    <w:pPr>
      <w:tabs>
        <w:tab w:val="left" w:pos="2040"/>
      </w:tabs>
      <w:ind w:left="2040" w:hanging="360"/>
    </w:pPr>
    <w:rPr>
      <w:rFonts w:ascii="Times New Roman" w:hAnsi="Times New Roman" w:eastAsia="宋体" w:cs="Times New Roman"/>
      <w:szCs w:val="24"/>
    </w:rPr>
  </w:style>
  <w:style w:type="paragraph" w:styleId="44">
    <w:name w:val="List Number 4"/>
    <w:basedOn w:val="1"/>
    <w:semiHidden/>
    <w:qFormat/>
    <w:uiPriority w:val="0"/>
    <w:pPr>
      <w:tabs>
        <w:tab w:val="left" w:pos="1620"/>
      </w:tabs>
      <w:ind w:left="1620" w:hanging="360"/>
    </w:pPr>
    <w:rPr>
      <w:rFonts w:ascii="Times New Roman" w:hAnsi="Times New Roman" w:eastAsia="宋体" w:cs="Times New Roman"/>
      <w:szCs w:val="24"/>
    </w:rPr>
  </w:style>
  <w:style w:type="paragraph" w:styleId="45">
    <w:name w:val="toc 8"/>
    <w:basedOn w:val="1"/>
    <w:next w:val="1"/>
    <w:semiHidden/>
    <w:qFormat/>
    <w:uiPriority w:val="0"/>
    <w:pPr>
      <w:ind w:left="1470"/>
      <w:jc w:val="left"/>
    </w:pPr>
    <w:rPr>
      <w:rFonts w:eastAsia="宋体" w:cstheme="minorHAnsi"/>
      <w:sz w:val="18"/>
      <w:szCs w:val="18"/>
    </w:rPr>
  </w:style>
  <w:style w:type="paragraph" w:styleId="46">
    <w:name w:val="index 3"/>
    <w:basedOn w:val="1"/>
    <w:next w:val="1"/>
    <w:semiHidden/>
    <w:qFormat/>
    <w:uiPriority w:val="0"/>
    <w:pPr>
      <w:ind w:left="630" w:hanging="210"/>
      <w:jc w:val="left"/>
    </w:pPr>
    <w:rPr>
      <w:rFonts w:ascii="Times New Roman" w:hAnsi="Times New Roman" w:eastAsia="宋体" w:cs="Times New Roman"/>
      <w:sz w:val="20"/>
      <w:szCs w:val="20"/>
    </w:rPr>
  </w:style>
  <w:style w:type="paragraph" w:styleId="47">
    <w:name w:val="Date"/>
    <w:basedOn w:val="1"/>
    <w:next w:val="1"/>
    <w:link w:val="227"/>
    <w:semiHidden/>
    <w:unhideWhenUsed/>
    <w:qFormat/>
    <w:uiPriority w:val="0"/>
    <w:pPr>
      <w:ind w:left="100" w:leftChars="2500"/>
    </w:pPr>
    <w:rPr>
      <w:rFonts w:ascii="Times New Roman" w:hAnsi="Times New Roman" w:eastAsia="宋体" w:cs="Times New Roman"/>
      <w:szCs w:val="20"/>
    </w:rPr>
  </w:style>
  <w:style w:type="paragraph" w:styleId="48">
    <w:name w:val="Body Text Indent 2"/>
    <w:basedOn w:val="1"/>
    <w:link w:val="164"/>
    <w:semiHidden/>
    <w:qFormat/>
    <w:uiPriority w:val="0"/>
    <w:pPr>
      <w:spacing w:after="120" w:line="480" w:lineRule="auto"/>
      <w:ind w:left="420" w:leftChars="200"/>
    </w:pPr>
    <w:rPr>
      <w:rFonts w:ascii="Times New Roman" w:hAnsi="Times New Roman" w:eastAsia="宋体" w:cs="Times New Roman"/>
      <w:szCs w:val="24"/>
    </w:rPr>
  </w:style>
  <w:style w:type="paragraph" w:styleId="49">
    <w:name w:val="endnote text"/>
    <w:basedOn w:val="1"/>
    <w:link w:val="217"/>
    <w:semiHidden/>
    <w:qFormat/>
    <w:uiPriority w:val="0"/>
    <w:pPr>
      <w:snapToGrid w:val="0"/>
      <w:jc w:val="left"/>
    </w:pPr>
    <w:rPr>
      <w:rFonts w:ascii="Times New Roman" w:hAnsi="Times New Roman" w:eastAsia="宋体" w:cs="Times New Roman"/>
      <w:szCs w:val="24"/>
    </w:rPr>
  </w:style>
  <w:style w:type="paragraph" w:styleId="50">
    <w:name w:val="List Continue 5"/>
    <w:basedOn w:val="1"/>
    <w:semiHidden/>
    <w:qFormat/>
    <w:uiPriority w:val="0"/>
    <w:pPr>
      <w:spacing w:after="120"/>
      <w:ind w:left="2100" w:leftChars="1000"/>
    </w:pPr>
    <w:rPr>
      <w:rFonts w:ascii="Times New Roman" w:hAnsi="Times New Roman" w:eastAsia="宋体" w:cs="Times New Roman"/>
      <w:szCs w:val="24"/>
    </w:rPr>
  </w:style>
  <w:style w:type="paragraph" w:styleId="51">
    <w:name w:val="Balloon Text"/>
    <w:basedOn w:val="1"/>
    <w:link w:val="161"/>
    <w:semiHidden/>
    <w:qFormat/>
    <w:uiPriority w:val="0"/>
    <w:rPr>
      <w:rFonts w:ascii="Times New Roman" w:hAnsi="Times New Roman" w:eastAsia="宋体" w:cs="Times New Roman"/>
      <w:sz w:val="18"/>
      <w:szCs w:val="18"/>
    </w:rPr>
  </w:style>
  <w:style w:type="paragraph" w:styleId="52">
    <w:name w:val="footer"/>
    <w:basedOn w:val="1"/>
    <w:link w:val="157"/>
    <w:unhideWhenUsed/>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3">
    <w:name w:val="envelope return"/>
    <w:basedOn w:val="1"/>
    <w:semiHidden/>
    <w:qFormat/>
    <w:uiPriority w:val="0"/>
    <w:pPr>
      <w:snapToGrid w:val="0"/>
    </w:pPr>
    <w:rPr>
      <w:rFonts w:ascii="Arial" w:hAnsi="Arial" w:eastAsia="宋体" w:cs="Arial"/>
      <w:szCs w:val="24"/>
    </w:rPr>
  </w:style>
  <w:style w:type="paragraph" w:styleId="54">
    <w:name w:val="header"/>
    <w:basedOn w:val="1"/>
    <w:link w:val="172"/>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5">
    <w:name w:val="Signature"/>
    <w:basedOn w:val="1"/>
    <w:link w:val="151"/>
    <w:semiHidden/>
    <w:qFormat/>
    <w:uiPriority w:val="0"/>
    <w:pPr>
      <w:ind w:left="100" w:leftChars="2100"/>
    </w:pPr>
    <w:rPr>
      <w:rFonts w:ascii="Times New Roman" w:hAnsi="Times New Roman" w:eastAsia="宋体" w:cs="Times New Roman"/>
      <w:szCs w:val="24"/>
    </w:rPr>
  </w:style>
  <w:style w:type="paragraph" w:styleId="56">
    <w:name w:val="toc 1"/>
    <w:basedOn w:val="1"/>
    <w:next w:val="1"/>
    <w:qFormat/>
    <w:uiPriority w:val="39"/>
    <w:pPr>
      <w:spacing w:before="120" w:after="120"/>
      <w:jc w:val="left"/>
    </w:pPr>
    <w:rPr>
      <w:rFonts w:eastAsia="宋体" w:cstheme="minorHAnsi"/>
      <w:b/>
      <w:bCs/>
      <w:caps/>
      <w:sz w:val="20"/>
      <w:szCs w:val="20"/>
    </w:rPr>
  </w:style>
  <w:style w:type="paragraph" w:styleId="57">
    <w:name w:val="List Continue 4"/>
    <w:basedOn w:val="1"/>
    <w:semiHidden/>
    <w:qFormat/>
    <w:uiPriority w:val="0"/>
    <w:pPr>
      <w:spacing w:after="120"/>
      <w:ind w:left="1680" w:leftChars="800"/>
    </w:pPr>
    <w:rPr>
      <w:rFonts w:ascii="Times New Roman" w:hAnsi="Times New Roman" w:eastAsia="宋体" w:cs="Times New Roman"/>
      <w:szCs w:val="24"/>
    </w:rPr>
  </w:style>
  <w:style w:type="paragraph" w:styleId="58">
    <w:name w:val="toc 4"/>
    <w:basedOn w:val="1"/>
    <w:next w:val="1"/>
    <w:qFormat/>
    <w:uiPriority w:val="0"/>
    <w:pPr>
      <w:ind w:left="630"/>
      <w:jc w:val="left"/>
    </w:pPr>
    <w:rPr>
      <w:rFonts w:eastAsia="宋体" w:cstheme="minorHAnsi"/>
      <w:sz w:val="18"/>
      <w:szCs w:val="18"/>
    </w:rPr>
  </w:style>
  <w:style w:type="paragraph" w:styleId="59">
    <w:name w:val="index heading"/>
    <w:basedOn w:val="1"/>
    <w:next w:val="60"/>
    <w:semiHidden/>
    <w:qFormat/>
    <w:uiPriority w:val="0"/>
    <w:pPr>
      <w:spacing w:before="120" w:after="120"/>
      <w:jc w:val="left"/>
    </w:pPr>
    <w:rPr>
      <w:rFonts w:ascii="Times New Roman" w:hAnsi="Times New Roman" w:eastAsia="宋体" w:cs="Times New Roman"/>
      <w:b/>
      <w:bCs/>
      <w:i/>
      <w:iCs/>
      <w:sz w:val="20"/>
      <w:szCs w:val="20"/>
    </w:rPr>
  </w:style>
  <w:style w:type="paragraph" w:styleId="60">
    <w:name w:val="index 1"/>
    <w:basedOn w:val="1"/>
    <w:next w:val="1"/>
    <w:semiHidden/>
    <w:unhideWhenUsed/>
    <w:qFormat/>
    <w:uiPriority w:val="0"/>
    <w:rPr>
      <w:rFonts w:ascii="Times New Roman" w:hAnsi="Times New Roman" w:eastAsia="宋体" w:cs="Times New Roman"/>
      <w:szCs w:val="20"/>
    </w:rPr>
  </w:style>
  <w:style w:type="paragraph" w:styleId="61">
    <w:name w:val="List Number 5"/>
    <w:basedOn w:val="1"/>
    <w:semiHidden/>
    <w:qFormat/>
    <w:uiPriority w:val="0"/>
    <w:pPr>
      <w:tabs>
        <w:tab w:val="left" w:pos="2040"/>
      </w:tabs>
      <w:ind w:left="2040" w:hanging="360"/>
    </w:pPr>
    <w:rPr>
      <w:rFonts w:ascii="Times New Roman" w:hAnsi="Times New Roman" w:eastAsia="宋体" w:cs="Times New Roman"/>
      <w:szCs w:val="24"/>
    </w:rPr>
  </w:style>
  <w:style w:type="paragraph" w:styleId="62">
    <w:name w:val="List"/>
    <w:basedOn w:val="1"/>
    <w:semiHidden/>
    <w:qFormat/>
    <w:uiPriority w:val="0"/>
    <w:pPr>
      <w:ind w:left="200" w:hanging="200" w:hangingChars="200"/>
    </w:pPr>
    <w:rPr>
      <w:rFonts w:ascii="Times New Roman" w:hAnsi="Times New Roman" w:eastAsia="宋体" w:cs="Times New Roman"/>
      <w:szCs w:val="24"/>
    </w:rPr>
  </w:style>
  <w:style w:type="paragraph" w:styleId="63">
    <w:name w:val="footnote text"/>
    <w:basedOn w:val="1"/>
    <w:link w:val="218"/>
    <w:semiHidden/>
    <w:qFormat/>
    <w:uiPriority w:val="0"/>
    <w:pPr>
      <w:snapToGrid w:val="0"/>
      <w:jc w:val="left"/>
    </w:pPr>
    <w:rPr>
      <w:rFonts w:ascii="Times New Roman" w:hAnsi="Times New Roman" w:eastAsia="宋体" w:cs="Times New Roman"/>
      <w:sz w:val="18"/>
      <w:szCs w:val="20"/>
    </w:rPr>
  </w:style>
  <w:style w:type="paragraph" w:styleId="64">
    <w:name w:val="toc 6"/>
    <w:basedOn w:val="1"/>
    <w:next w:val="1"/>
    <w:semiHidden/>
    <w:qFormat/>
    <w:uiPriority w:val="0"/>
    <w:pPr>
      <w:ind w:left="1050"/>
      <w:jc w:val="left"/>
    </w:pPr>
    <w:rPr>
      <w:rFonts w:eastAsia="宋体" w:cstheme="minorHAnsi"/>
      <w:sz w:val="18"/>
      <w:szCs w:val="18"/>
    </w:rPr>
  </w:style>
  <w:style w:type="paragraph" w:styleId="65">
    <w:name w:val="List 5"/>
    <w:basedOn w:val="1"/>
    <w:semiHidden/>
    <w:qFormat/>
    <w:uiPriority w:val="0"/>
    <w:pPr>
      <w:ind w:left="100" w:leftChars="800" w:hanging="200" w:hangingChars="200"/>
    </w:pPr>
    <w:rPr>
      <w:rFonts w:ascii="Times New Roman" w:hAnsi="Times New Roman" w:eastAsia="宋体" w:cs="Times New Roman"/>
      <w:szCs w:val="24"/>
    </w:rPr>
  </w:style>
  <w:style w:type="paragraph" w:styleId="66">
    <w:name w:val="index 7"/>
    <w:basedOn w:val="1"/>
    <w:next w:val="1"/>
    <w:semiHidden/>
    <w:qFormat/>
    <w:uiPriority w:val="0"/>
    <w:pPr>
      <w:ind w:left="1470" w:hanging="210"/>
      <w:jc w:val="left"/>
    </w:pPr>
    <w:rPr>
      <w:rFonts w:ascii="Times New Roman" w:hAnsi="Times New Roman" w:eastAsia="宋体" w:cs="Times New Roman"/>
      <w:sz w:val="20"/>
      <w:szCs w:val="20"/>
    </w:rPr>
  </w:style>
  <w:style w:type="paragraph" w:styleId="67">
    <w:name w:val="index 9"/>
    <w:basedOn w:val="1"/>
    <w:next w:val="1"/>
    <w:semiHidden/>
    <w:qFormat/>
    <w:uiPriority w:val="0"/>
    <w:pPr>
      <w:ind w:left="1890" w:hanging="210"/>
      <w:jc w:val="left"/>
    </w:pPr>
    <w:rPr>
      <w:rFonts w:ascii="Times New Roman" w:hAnsi="Times New Roman" w:eastAsia="宋体" w:cs="Times New Roman"/>
      <w:sz w:val="20"/>
      <w:szCs w:val="20"/>
    </w:rPr>
  </w:style>
  <w:style w:type="paragraph" w:styleId="68">
    <w:name w:val="table of figures"/>
    <w:basedOn w:val="1"/>
    <w:next w:val="1"/>
    <w:semiHidden/>
    <w:qFormat/>
    <w:uiPriority w:val="0"/>
    <w:pPr>
      <w:ind w:left="200" w:leftChars="200" w:hanging="200" w:hangingChars="200"/>
    </w:pPr>
    <w:rPr>
      <w:rFonts w:ascii="Times New Roman" w:hAnsi="Times New Roman" w:eastAsia="宋体" w:cs="Times New Roman"/>
      <w:sz w:val="24"/>
      <w:szCs w:val="24"/>
    </w:rPr>
  </w:style>
  <w:style w:type="paragraph" w:styleId="69">
    <w:name w:val="toc 2"/>
    <w:basedOn w:val="1"/>
    <w:next w:val="1"/>
    <w:qFormat/>
    <w:uiPriority w:val="39"/>
    <w:pPr>
      <w:ind w:left="210"/>
      <w:jc w:val="left"/>
    </w:pPr>
    <w:rPr>
      <w:rFonts w:eastAsia="宋体" w:cstheme="minorHAnsi"/>
      <w:smallCaps/>
      <w:sz w:val="20"/>
      <w:szCs w:val="20"/>
    </w:rPr>
  </w:style>
  <w:style w:type="paragraph" w:styleId="70">
    <w:name w:val="toc 9"/>
    <w:basedOn w:val="1"/>
    <w:next w:val="1"/>
    <w:semiHidden/>
    <w:qFormat/>
    <w:uiPriority w:val="0"/>
    <w:pPr>
      <w:ind w:left="1680"/>
      <w:jc w:val="left"/>
    </w:pPr>
    <w:rPr>
      <w:rFonts w:eastAsia="宋体" w:cstheme="minorHAnsi"/>
      <w:sz w:val="18"/>
      <w:szCs w:val="18"/>
    </w:rPr>
  </w:style>
  <w:style w:type="paragraph" w:styleId="71">
    <w:name w:val="List 4"/>
    <w:basedOn w:val="1"/>
    <w:semiHidden/>
    <w:qFormat/>
    <w:uiPriority w:val="0"/>
    <w:pPr>
      <w:ind w:left="100" w:leftChars="600" w:hanging="200" w:hangingChars="200"/>
    </w:pPr>
    <w:rPr>
      <w:rFonts w:ascii="Times New Roman" w:hAnsi="Times New Roman" w:eastAsia="宋体" w:cs="Times New Roman"/>
      <w:szCs w:val="24"/>
    </w:rPr>
  </w:style>
  <w:style w:type="paragraph" w:styleId="72">
    <w:name w:val="List Continue 2"/>
    <w:basedOn w:val="1"/>
    <w:semiHidden/>
    <w:qFormat/>
    <w:uiPriority w:val="0"/>
    <w:pPr>
      <w:spacing w:after="120"/>
      <w:ind w:left="840" w:leftChars="400"/>
    </w:pPr>
    <w:rPr>
      <w:rFonts w:ascii="Times New Roman" w:hAnsi="Times New Roman" w:eastAsia="宋体" w:cs="Times New Roman"/>
      <w:szCs w:val="24"/>
    </w:rPr>
  </w:style>
  <w:style w:type="paragraph" w:styleId="73">
    <w:name w:val="Message Header"/>
    <w:basedOn w:val="1"/>
    <w:link w:val="159"/>
    <w:semiHidden/>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74">
    <w:name w:val="HTML Preformatted"/>
    <w:basedOn w:val="1"/>
    <w:link w:val="150"/>
    <w:semiHidden/>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kern w:val="0"/>
      <w:sz w:val="24"/>
      <w:szCs w:val="24"/>
    </w:rPr>
  </w:style>
  <w:style w:type="paragraph" w:styleId="7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76">
    <w:name w:val="List Continue 3"/>
    <w:basedOn w:val="1"/>
    <w:semiHidden/>
    <w:qFormat/>
    <w:uiPriority w:val="0"/>
    <w:pPr>
      <w:spacing w:after="120"/>
      <w:ind w:left="1260" w:leftChars="600"/>
    </w:pPr>
    <w:rPr>
      <w:rFonts w:ascii="Times New Roman" w:hAnsi="Times New Roman" w:eastAsia="宋体" w:cs="Times New Roman"/>
      <w:szCs w:val="24"/>
    </w:rPr>
  </w:style>
  <w:style w:type="paragraph" w:styleId="77">
    <w:name w:val="index 2"/>
    <w:basedOn w:val="1"/>
    <w:next w:val="1"/>
    <w:semiHidden/>
    <w:qFormat/>
    <w:uiPriority w:val="0"/>
    <w:pPr>
      <w:ind w:left="420" w:hanging="210"/>
      <w:jc w:val="left"/>
    </w:pPr>
    <w:rPr>
      <w:rFonts w:ascii="Times New Roman" w:hAnsi="Times New Roman" w:eastAsia="宋体" w:cs="Times New Roman"/>
      <w:sz w:val="20"/>
      <w:szCs w:val="20"/>
    </w:rPr>
  </w:style>
  <w:style w:type="paragraph" w:styleId="78">
    <w:name w:val="annotation subject"/>
    <w:basedOn w:val="25"/>
    <w:next w:val="25"/>
    <w:link w:val="162"/>
    <w:semiHidden/>
    <w:qFormat/>
    <w:uiPriority w:val="0"/>
    <w:rPr>
      <w:b/>
      <w:bCs/>
      <w:szCs w:val="24"/>
    </w:rPr>
  </w:style>
  <w:style w:type="paragraph" w:styleId="79">
    <w:name w:val="Body Text First Indent"/>
    <w:basedOn w:val="1"/>
    <w:link w:val="171"/>
    <w:semiHidden/>
    <w:qFormat/>
    <w:uiPriority w:val="0"/>
    <w:pPr>
      <w:spacing w:after="120"/>
      <w:ind w:firstLine="420" w:firstLineChars="100"/>
    </w:pPr>
    <w:rPr>
      <w:rFonts w:ascii="Times New Roman"/>
      <w:szCs w:val="24"/>
    </w:rPr>
  </w:style>
  <w:style w:type="paragraph" w:styleId="80">
    <w:name w:val="Body Text First Indent 2"/>
    <w:basedOn w:val="1"/>
    <w:link w:val="152"/>
    <w:semiHidden/>
    <w:qFormat/>
    <w:uiPriority w:val="0"/>
    <w:pPr>
      <w:spacing w:after="120"/>
      <w:ind w:left="420" w:leftChars="200" w:firstLine="420"/>
    </w:pPr>
    <w:rPr>
      <w:rFonts w:ascii="Times New Roman" w:hAnsi="Times New Roman"/>
      <w:szCs w:val="24"/>
    </w:rPr>
  </w:style>
  <w:style w:type="table" w:styleId="82">
    <w:name w:val="Table Grid"/>
    <w:basedOn w:val="81"/>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83">
    <w:name w:val="Table Theme"/>
    <w:basedOn w:val="81"/>
    <w:semiHidden/>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84">
    <w:name w:val="Table Colorful 1"/>
    <w:basedOn w:val="81"/>
    <w:semiHidden/>
    <w:qFormat/>
    <w:uiPriority w:val="0"/>
    <w:pPr>
      <w:widowControl w:val="0"/>
      <w:jc w:val="both"/>
    </w:pPr>
    <w:rPr>
      <w:rFonts w:ascii="Times New Roman" w:hAnsi="Times New Roman"/>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Layout w:type="fixed"/>
    </w:tblPr>
    <w:tcPr>
      <w:shd w:val="solid" w:color="008080" w:fill="FFFFFF"/>
    </w:tcPr>
    <w:tblStylePr w:type="firstRow">
      <w:rPr>
        <w:b/>
        <w:bCs/>
        <w:i/>
        <w:iCs/>
      </w:rPr>
      <w:tblPr>
        <w:tblLayout w:type="fixed"/>
      </w:tblPr>
      <w:tcPr>
        <w:tcBorders>
          <w:tl2br w:val="nil"/>
          <w:tr2bl w:val="nil"/>
        </w:tcBorders>
        <w:shd w:val="solid" w:color="000000" w:fill="FFFFFF"/>
      </w:tcPr>
    </w:tblStylePr>
    <w:tblStylePr w:type="firstCol">
      <w:rPr>
        <w:b/>
        <w:bCs/>
        <w:i/>
        <w:iCs/>
      </w:rPr>
      <w:tblPr>
        <w:tblLayout w:type="fixed"/>
      </w:tblPr>
      <w:tcPr>
        <w:tcBorders>
          <w:tl2br w:val="nil"/>
          <w:tr2bl w:val="nil"/>
        </w:tcBorders>
        <w:shd w:val="solid" w:color="000080" w:fill="FFFFFF"/>
      </w:tcPr>
    </w:tblStylePr>
    <w:tblStylePr w:type="nwCell">
      <w:tblPr>
        <w:tblLayout w:type="fixed"/>
      </w:tblPr>
      <w:tcPr>
        <w:tcBorders>
          <w:tl2br w:val="nil"/>
          <w:tr2bl w:val="nil"/>
        </w:tcBorders>
        <w:shd w:val="solid" w:color="000000" w:fill="FFFFFF"/>
      </w:tcPr>
    </w:tblStylePr>
    <w:tblStylePr w:type="swCell">
      <w:rPr>
        <w:b/>
        <w:bCs/>
        <w:i w:val="0"/>
        <w:iCs w:val="0"/>
      </w:rPr>
      <w:tblPr>
        <w:tblLayout w:type="fixed"/>
      </w:tblPr>
      <w:tcPr>
        <w:tcBorders>
          <w:tl2br w:val="nil"/>
          <w:tr2bl w:val="nil"/>
        </w:tcBorders>
      </w:tcPr>
    </w:tblStylePr>
  </w:style>
  <w:style w:type="table" w:styleId="85">
    <w:name w:val="Table Colorful 2"/>
    <w:basedOn w:val="81"/>
    <w:semiHidden/>
    <w:qFormat/>
    <w:uiPriority w:val="0"/>
    <w:pPr>
      <w:widowControl w:val="0"/>
      <w:jc w:val="both"/>
    </w:pPr>
    <w:rPr>
      <w:rFonts w:ascii="Times New Roman" w:hAnsi="Times New Roman"/>
    </w:rPr>
    <w:tblPr>
      <w:tblBorders>
        <w:bottom w:val="single" w:color="000000" w:sz="12" w:space="0"/>
      </w:tblBorders>
      <w:tblLayout w:type="fixed"/>
    </w:tblPr>
    <w:tcPr>
      <w:shd w:val="pct20" w:color="FFFF00" w:fill="FFFFFF"/>
    </w:tcPr>
    <w:tblStylePr w:type="firstRow">
      <w:rPr>
        <w:b/>
        <w:bCs/>
        <w:i/>
        <w:iCs/>
        <w:color w:val="FFFFFF"/>
      </w:rPr>
      <w:tblPr>
        <w:tblLayout w:type="fixed"/>
      </w:tblPr>
      <w:tcPr>
        <w:tcBorders>
          <w:bottom w:val="single" w:color="000000" w:sz="12" w:space="0"/>
          <w:tl2br w:val="nil"/>
          <w:tr2bl w:val="nil"/>
        </w:tcBorders>
        <w:shd w:val="solid" w:color="800000" w:fill="FFFFFF"/>
      </w:tcPr>
    </w:tblStylePr>
    <w:tblStylePr w:type="firstCol">
      <w:rPr>
        <w:b/>
        <w:bCs/>
        <w:i/>
        <w:iCs/>
      </w:rPr>
      <w:tblPr>
        <w:tblLayout w:type="fixed"/>
      </w:tblPr>
      <w:tcPr>
        <w:tcBorders>
          <w:tl2br w:val="nil"/>
          <w:tr2bl w:val="nil"/>
        </w:tcBorders>
      </w:tcPr>
    </w:tblStylePr>
    <w:tblStylePr w:type="lastCol">
      <w:tblPr>
        <w:tblLayout w:type="fixed"/>
      </w:tblPr>
      <w:tcPr>
        <w:tcBorders>
          <w:tl2br w:val="nil"/>
          <w:tr2bl w:val="nil"/>
        </w:tcBorders>
        <w:shd w:val="solid" w:color="C0C0C0" w:fill="FFFFFF"/>
      </w:tcPr>
    </w:tblStylePr>
    <w:tblStylePr w:type="swCell">
      <w:rPr>
        <w:b/>
        <w:bCs/>
        <w:i w:val="0"/>
        <w:iCs w:val="0"/>
      </w:rPr>
      <w:tblPr>
        <w:tblLayout w:type="fixed"/>
      </w:tblPr>
      <w:tcPr>
        <w:tcBorders>
          <w:tl2br w:val="nil"/>
          <w:tr2bl w:val="nil"/>
        </w:tcBorders>
      </w:tcPr>
    </w:tblStylePr>
  </w:style>
  <w:style w:type="table" w:styleId="86">
    <w:name w:val="Table Colorful 3"/>
    <w:basedOn w:val="81"/>
    <w:semiHidden/>
    <w:qFormat/>
    <w:uiPriority w:val="0"/>
    <w:pPr>
      <w:widowControl w:val="0"/>
      <w:jc w:val="both"/>
    </w:pPr>
    <w:rPr>
      <w:rFonts w:ascii="Times New Roman" w:hAnsi="Times New Roman"/>
    </w:rPr>
    <w:tblPr>
      <w:tblBorders>
        <w:top w:val="single" w:color="000000" w:sz="18" w:space="0"/>
        <w:left w:val="single" w:color="000000" w:sz="18" w:space="0"/>
        <w:bottom w:val="single" w:color="000000" w:sz="18" w:space="0"/>
        <w:right w:val="single" w:color="000000" w:sz="18" w:space="0"/>
        <w:insideH w:val="single" w:color="C0C0C0" w:sz="6" w:space="0"/>
      </w:tblBorders>
      <w:tblLayout w:type="fixed"/>
    </w:tblPr>
    <w:tcPr>
      <w:shd w:val="pct25" w:color="008080" w:fill="FFFFFF"/>
    </w:tcPr>
    <w:tblStylePr w:type="firstRow">
      <w:tblPr>
        <w:tblLayout w:type="fixed"/>
      </w:tblPr>
      <w:tcPr>
        <w:tcBorders>
          <w:bottom w:val="single" w:color="000000" w:sz="6" w:space="0"/>
          <w:tl2br w:val="nil"/>
          <w:tr2bl w:val="nil"/>
        </w:tcBorders>
        <w:shd w:val="solid" w:color="008080" w:fill="FFFFFF"/>
      </w:tcPr>
    </w:tblStylePr>
    <w:tblStylePr w:type="firstCol">
      <w:tblPr>
        <w:tblLayout w:type="fixed"/>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blLayout w:type="fixed"/>
      </w:tblPr>
      <w:tcPr>
        <w:tcBorders>
          <w:tl2br w:val="nil"/>
          <w:tr2bl w:val="nil"/>
        </w:tcBorders>
        <w:shd w:val="solid" w:color="000000" w:fill="FFFFFF"/>
      </w:tcPr>
    </w:tblStylePr>
  </w:style>
  <w:style w:type="table" w:styleId="87">
    <w:name w:val="Table Elegant"/>
    <w:basedOn w:val="81"/>
    <w:semiHidden/>
    <w:qFormat/>
    <w:uiPriority w:val="0"/>
    <w:pPr>
      <w:widowControl w:val="0"/>
      <w:jc w:val="both"/>
    </w:pPr>
    <w:rPr>
      <w:rFonts w:ascii="Times New Roman" w:hAnsi="Times New Roman"/>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Pr>
    <w:tcPr>
      <w:shd w:val="clear" w:color="auto" w:fill="auto"/>
    </w:tcPr>
    <w:tblStylePr w:type="firstRow">
      <w:rPr>
        <w:caps/>
        <w:color w:val="auto"/>
      </w:rPr>
      <w:tblPr>
        <w:tblLayout w:type="fixed"/>
      </w:tblPr>
      <w:tcPr>
        <w:tcBorders>
          <w:tl2br w:val="nil"/>
          <w:tr2bl w:val="nil"/>
        </w:tcBorders>
      </w:tcPr>
    </w:tblStylePr>
  </w:style>
  <w:style w:type="table" w:styleId="88">
    <w:name w:val="Table Classic 1"/>
    <w:basedOn w:val="81"/>
    <w:semiHidden/>
    <w:qFormat/>
    <w:uiPriority w:val="0"/>
    <w:pPr>
      <w:widowControl w:val="0"/>
      <w:jc w:val="both"/>
    </w:pPr>
    <w:rPr>
      <w:rFonts w:ascii="Times New Roman" w:hAnsi="Times New Roman"/>
    </w:rPr>
    <w:tblPr>
      <w:tblBorders>
        <w:top w:val="single" w:color="000000" w:sz="12" w:space="0"/>
        <w:bottom w:val="single" w:color="000000" w:sz="12" w:space="0"/>
      </w:tblBorders>
      <w:tblLayout w:type="fixed"/>
    </w:tblPr>
    <w:tcPr>
      <w:shd w:val="clear" w:color="auto" w:fill="auto"/>
    </w:tcPr>
    <w:tblStylePr w:type="firstRow">
      <w:rPr>
        <w:i/>
        <w:iCs/>
      </w:rPr>
      <w:tblPr>
        <w:tblLayout w:type="fixed"/>
      </w:tblPr>
      <w:tcPr>
        <w:tcBorders>
          <w:bottom w:val="single" w:color="000000" w:sz="6" w:space="0"/>
          <w:tl2br w:val="nil"/>
          <w:tr2bl w:val="nil"/>
        </w:tcBorders>
      </w:tcPr>
    </w:tblStylePr>
    <w:tblStylePr w:type="lastRow">
      <w:rPr>
        <w:color w:val="auto"/>
      </w:rPr>
      <w:tblPr>
        <w:tblLayout w:type="fixed"/>
      </w:tblPr>
      <w:tcPr>
        <w:tcBorders>
          <w:top w:val="single" w:color="000000" w:sz="6" w:space="0"/>
          <w:tl2br w:val="nil"/>
          <w:tr2bl w:val="nil"/>
        </w:tcBorders>
      </w:tcPr>
    </w:tblStylePr>
    <w:tblStylePr w:type="firstCol">
      <w:tblPr>
        <w:tblLayout w:type="fixed"/>
      </w:tblPr>
      <w:tcPr>
        <w:tcBorders>
          <w:right w:val="single" w:color="000000" w:sz="6" w:space="0"/>
          <w:tl2br w:val="nil"/>
          <w:tr2bl w:val="nil"/>
        </w:tcBorders>
      </w:tcPr>
    </w:tblStylePr>
    <w:tblStylePr w:type="neCell">
      <w:rPr>
        <w:b/>
        <w:bCs/>
        <w:i w:val="0"/>
        <w:iCs w:val="0"/>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89">
    <w:name w:val="Table Classic 2"/>
    <w:basedOn w:val="81"/>
    <w:semiHidden/>
    <w:qFormat/>
    <w:uiPriority w:val="0"/>
    <w:pPr>
      <w:widowControl w:val="0"/>
      <w:jc w:val="both"/>
    </w:pPr>
    <w:rPr>
      <w:rFonts w:ascii="Times New Roman" w:hAnsi="Times New Roman"/>
    </w:rPr>
    <w:tblPr>
      <w:tblBorders>
        <w:top w:val="single" w:color="000000" w:sz="12" w:space="0"/>
        <w:bottom w:val="single" w:color="000000" w:sz="12" w:space="0"/>
      </w:tblBorders>
      <w:tblLayout w:type="fixed"/>
    </w:tblPr>
    <w:tcPr>
      <w:shd w:val="clear" w:color="auto" w:fill="auto"/>
    </w:tcPr>
    <w:tblStylePr w:type="firstRow">
      <w:rPr>
        <w:color w:val="FFFFFF"/>
      </w:rPr>
      <w:tblPr>
        <w:tblLayout w:type="fixed"/>
      </w:tblPr>
      <w:tcPr>
        <w:tcBorders>
          <w:bottom w:val="single" w:color="000000" w:sz="6" w:space="0"/>
          <w:tl2br w:val="nil"/>
          <w:tr2bl w:val="nil"/>
        </w:tcBorders>
        <w:shd w:val="solid" w:color="800080" w:fill="FFFFFF"/>
      </w:tcPr>
    </w:tblStylePr>
    <w:tblStylePr w:type="lastRow">
      <w:tblPr>
        <w:tblLayout w:type="fixed"/>
      </w:tblPr>
      <w:tcPr>
        <w:tcBorders>
          <w:top w:val="single" w:color="000000" w:sz="6" w:space="0"/>
          <w:tl2br w:val="nil"/>
          <w:tr2bl w:val="nil"/>
        </w:tcBorders>
      </w:tcPr>
    </w:tblStylePr>
    <w:tblStylePr w:type="firstCol">
      <w:rPr>
        <w:b/>
        <w:bCs/>
      </w:rPr>
      <w:tblPr>
        <w:tblLayout w:type="fixed"/>
      </w:tblPr>
      <w:tcPr>
        <w:tcBorders>
          <w:tl2br w:val="nil"/>
          <w:tr2bl w:val="nil"/>
        </w:tcBorders>
        <w:shd w:val="solid" w:color="C0C0C0" w:fill="FFFFFF"/>
      </w:tcPr>
    </w:tblStylePr>
    <w:tblStylePr w:type="neCell">
      <w:rPr>
        <w:b/>
        <w:bCs/>
      </w:rPr>
      <w:tblPr>
        <w:tblLayout w:type="fixed"/>
      </w:tblPr>
      <w:tcPr>
        <w:tcBorders>
          <w:tl2br w:val="nil"/>
          <w:tr2bl w:val="nil"/>
        </w:tcBorders>
      </w:tcPr>
    </w:tblStylePr>
    <w:tblStylePr w:type="nwCell">
      <w:tblPr>
        <w:tblLayout w:type="fixed"/>
      </w:tblPr>
      <w:tcPr>
        <w:tcBorders>
          <w:tl2br w:val="nil"/>
          <w:tr2bl w:val="nil"/>
        </w:tcBorders>
        <w:shd w:val="solid" w:color="800080" w:fill="FFFFFF"/>
      </w:tcPr>
    </w:tblStylePr>
    <w:tblStylePr w:type="swCell">
      <w:rPr>
        <w:color w:val="000080"/>
      </w:rPr>
      <w:tblPr>
        <w:tblLayout w:type="fixed"/>
      </w:tblPr>
      <w:tcPr>
        <w:tcBorders>
          <w:tl2br w:val="nil"/>
          <w:tr2bl w:val="nil"/>
        </w:tcBorders>
      </w:tcPr>
    </w:tblStylePr>
  </w:style>
  <w:style w:type="table" w:styleId="90">
    <w:name w:val="Table Classic 3"/>
    <w:basedOn w:val="81"/>
    <w:semiHidden/>
    <w:qFormat/>
    <w:uiPriority w:val="0"/>
    <w:pPr>
      <w:widowControl w:val="0"/>
      <w:jc w:val="both"/>
    </w:pPr>
    <w:rPr>
      <w:rFonts w:ascii="Times New Roman" w:hAnsi="Times New Roman"/>
      <w:color w:val="000080"/>
    </w:rPr>
    <w:tblPr>
      <w:tblBorders>
        <w:top w:val="single" w:color="000000" w:sz="12" w:space="0"/>
        <w:left w:val="single" w:color="000000" w:sz="12" w:space="0"/>
        <w:bottom w:val="single" w:color="000000" w:sz="12" w:space="0"/>
        <w:right w:val="single" w:color="000000" w:sz="12" w:space="0"/>
      </w:tblBorders>
      <w:tblLayout w:type="fixed"/>
    </w:tblPr>
    <w:tcPr>
      <w:shd w:val="solid" w:color="C0C0C0" w:fill="FFFFFF"/>
    </w:tcPr>
    <w:tblStylePr w:type="firstRow">
      <w:rPr>
        <w:b/>
        <w:bCs/>
        <w:i/>
        <w:iCs/>
        <w:color w:val="FFFFFF"/>
      </w:rPr>
      <w:tblPr>
        <w:tblLayout w:type="fixed"/>
      </w:tblPr>
      <w:tcPr>
        <w:tcBorders>
          <w:bottom w:val="single" w:color="000000" w:sz="6" w:space="0"/>
          <w:tl2br w:val="nil"/>
          <w:tr2bl w:val="nil"/>
        </w:tcBorders>
        <w:shd w:val="solid" w:color="000080" w:fill="FFFFFF"/>
      </w:tcPr>
    </w:tblStylePr>
    <w:tblStylePr w:type="lastRow">
      <w:rPr>
        <w:color w:val="000080"/>
      </w:rPr>
      <w:tblPr>
        <w:tblLayout w:type="fixed"/>
      </w:tblPr>
      <w:tcPr>
        <w:tcBorders>
          <w:top w:val="single" w:color="000000" w:sz="12" w:space="0"/>
          <w:tl2br w:val="nil"/>
          <w:tr2bl w:val="nil"/>
        </w:tcBorders>
        <w:shd w:val="solid" w:color="FFFFFF" w:fill="FFFFFF"/>
      </w:tcPr>
    </w:tblStylePr>
    <w:tblStylePr w:type="firstCol">
      <w:rPr>
        <w:b/>
        <w:bCs/>
        <w:color w:val="000000"/>
      </w:rPr>
      <w:tblPr>
        <w:tblLayout w:type="fixed"/>
      </w:tblPr>
      <w:tcPr>
        <w:tcBorders>
          <w:tl2br w:val="nil"/>
          <w:tr2bl w:val="nil"/>
        </w:tcBorders>
      </w:tcPr>
    </w:tblStylePr>
  </w:style>
  <w:style w:type="table" w:styleId="91">
    <w:name w:val="Table Classic 4"/>
    <w:basedOn w:val="81"/>
    <w:semiHidden/>
    <w:qFormat/>
    <w:uiPriority w:val="0"/>
    <w:pPr>
      <w:widowControl w:val="0"/>
      <w:jc w:val="both"/>
    </w:pPr>
    <w:rPr>
      <w:rFonts w:ascii="Times New Roman" w:hAnsi="Times New Roman"/>
    </w:rPr>
    <w:tblPr>
      <w:tblBorders>
        <w:top w:val="single" w:color="000000" w:sz="12" w:space="0"/>
        <w:left w:val="single" w:color="000000" w:sz="6" w:space="0"/>
        <w:bottom w:val="single" w:color="000000" w:sz="12" w:space="0"/>
        <w:right w:val="single" w:color="000000" w:sz="6" w:space="0"/>
      </w:tblBorders>
      <w:tblLayout w:type="fixed"/>
    </w:tblPr>
    <w:tcPr>
      <w:shd w:val="clear" w:color="auto" w:fill="auto"/>
    </w:tcPr>
    <w:tblStylePr w:type="firstRow">
      <w:rPr>
        <w:b/>
        <w:bCs/>
        <w:i/>
        <w:iCs/>
        <w:color w:val="FFFFFF"/>
      </w:rPr>
      <w:tblPr>
        <w:tblLayout w:type="fixed"/>
      </w:tblPr>
      <w:tcPr>
        <w:tcBorders>
          <w:bottom w:val="single" w:color="000000" w:sz="6" w:space="0"/>
          <w:tl2br w:val="nil"/>
          <w:tr2bl w:val="nil"/>
        </w:tcBorders>
        <w:shd w:val="pct50" w:color="000080" w:fill="FFFFFF"/>
      </w:tcPr>
    </w:tblStylePr>
    <w:tblStylePr w:type="lastRow">
      <w:rPr>
        <w:color w:val="000080"/>
      </w:rPr>
      <w:tblPr>
        <w:tblLayout w:type="fixed"/>
      </w:tblPr>
      <w:tcPr>
        <w:tcBorders>
          <w:bottom w:val="single" w:color="000000" w:sz="6" w:space="0"/>
          <w:tl2br w:val="nil"/>
          <w:tr2bl w:val="nil"/>
        </w:tcBorders>
        <w:shd w:val="pct50" w:color="000000" w:fill="FFFFFF"/>
      </w:tcPr>
    </w:tblStylePr>
    <w:tblStylePr w:type="firstCol">
      <w:rPr>
        <w:b/>
        <w:bCs/>
      </w:rPr>
      <w:tblPr>
        <w:tblLayout w:type="fixed"/>
      </w:tblPr>
      <w:tcPr>
        <w:tcBorders>
          <w:tl2br w:val="nil"/>
          <w:tr2bl w:val="nil"/>
        </w:tcBorders>
      </w:tcPr>
    </w:tblStylePr>
    <w:tblStylePr w:type="nwCell">
      <w:rPr>
        <w:b/>
        <w:bCs/>
      </w:rPr>
      <w:tblPr>
        <w:tblLayout w:type="fixed"/>
      </w:tblPr>
      <w:tcPr>
        <w:tcBorders>
          <w:tl2br w:val="nil"/>
          <w:tr2bl w:val="nil"/>
        </w:tcBorders>
      </w:tcPr>
    </w:tblStylePr>
    <w:tblStylePr w:type="swCell">
      <w:rPr>
        <w:color w:val="000080"/>
      </w:rPr>
      <w:tblPr>
        <w:tblLayout w:type="fixed"/>
      </w:tblPr>
      <w:tcPr>
        <w:tcBorders>
          <w:tl2br w:val="nil"/>
          <w:tr2bl w:val="nil"/>
        </w:tcBorders>
      </w:tcPr>
    </w:tblStylePr>
  </w:style>
  <w:style w:type="table" w:styleId="92">
    <w:name w:val="Table Simple 1"/>
    <w:basedOn w:val="81"/>
    <w:semiHidden/>
    <w:qFormat/>
    <w:uiPriority w:val="0"/>
    <w:pPr>
      <w:widowControl w:val="0"/>
      <w:jc w:val="both"/>
    </w:pPr>
    <w:rPr>
      <w:rFonts w:ascii="Times New Roman" w:hAnsi="Times New Roman"/>
    </w:rPr>
    <w:tblPr>
      <w:tblBorders>
        <w:top w:val="single" w:color="008000" w:sz="12" w:space="0"/>
        <w:bottom w:val="single" w:color="008000" w:sz="12" w:space="0"/>
      </w:tblBorders>
      <w:tblLayout w:type="fixed"/>
    </w:tblPr>
    <w:tcPr>
      <w:shd w:val="clear" w:color="auto" w:fill="auto"/>
    </w:tcPr>
    <w:tblStylePr w:type="firstRow">
      <w:tblPr>
        <w:tblLayout w:type="fixed"/>
      </w:tblPr>
      <w:tcPr>
        <w:tcBorders>
          <w:bottom w:val="single" w:color="008000" w:sz="6" w:space="0"/>
          <w:tl2br w:val="nil"/>
          <w:tr2bl w:val="nil"/>
        </w:tcBorders>
      </w:tcPr>
    </w:tblStylePr>
    <w:tblStylePr w:type="lastRow">
      <w:tblPr>
        <w:tblLayout w:type="fixed"/>
      </w:tblPr>
      <w:tcPr>
        <w:tcBorders>
          <w:top w:val="single" w:color="008000" w:sz="6" w:space="0"/>
          <w:tl2br w:val="nil"/>
          <w:tr2bl w:val="nil"/>
        </w:tcBorders>
      </w:tcPr>
    </w:tblStylePr>
  </w:style>
  <w:style w:type="table" w:styleId="93">
    <w:name w:val="Table Simple 2"/>
    <w:basedOn w:val="81"/>
    <w:semiHidden/>
    <w:qFormat/>
    <w:uiPriority w:val="0"/>
    <w:pPr>
      <w:widowControl w:val="0"/>
      <w:jc w:val="both"/>
    </w:pPr>
    <w:rPr>
      <w:rFonts w:ascii="Times New Roman" w:hAnsi="Times New Roman"/>
    </w:rPr>
    <w:tblPr>
      <w:tblLayout w:type="fixed"/>
    </w:tblPr>
    <w:tblStylePr w:type="firstRow">
      <w:rPr>
        <w:b/>
        <w:bCs/>
      </w:rPr>
      <w:tblPr>
        <w:tblLayout w:type="fixed"/>
      </w:tblPr>
      <w:tcPr>
        <w:tcBorders>
          <w:bottom w:val="single" w:color="000000" w:sz="12" w:space="0"/>
          <w:tl2br w:val="nil"/>
          <w:tr2bl w:val="nil"/>
        </w:tcBorders>
      </w:tcPr>
    </w:tblStylePr>
    <w:tblStylePr w:type="lastRow">
      <w:rPr>
        <w:b/>
        <w:bCs/>
        <w:color w:val="auto"/>
      </w:rPr>
      <w:tblPr>
        <w:tblLayout w:type="fixed"/>
      </w:tblPr>
      <w:tcPr>
        <w:tcBorders>
          <w:top w:val="single" w:color="000000" w:sz="6" w:space="0"/>
          <w:tl2br w:val="nil"/>
          <w:tr2bl w:val="nil"/>
        </w:tcBorders>
      </w:tcPr>
    </w:tblStylePr>
    <w:tblStylePr w:type="firstCol">
      <w:rPr>
        <w:b/>
        <w:bCs/>
      </w:rPr>
      <w:tblPr>
        <w:tblLayout w:type="fixed"/>
      </w:tblPr>
      <w:tcPr>
        <w:tcBorders>
          <w:right w:val="single" w:color="000000" w:sz="12" w:space="0"/>
          <w:tl2br w:val="nil"/>
          <w:tr2bl w:val="nil"/>
        </w:tcBorders>
      </w:tcPr>
    </w:tblStylePr>
    <w:tblStylePr w:type="lastCol">
      <w:rPr>
        <w:b/>
        <w:bCs/>
      </w:rPr>
      <w:tblPr>
        <w:tblLayout w:type="fixed"/>
      </w:tblPr>
      <w:tcPr>
        <w:tcBorders>
          <w:left w:val="single" w:color="000000" w:sz="6" w:space="0"/>
          <w:tl2br w:val="nil"/>
          <w:tr2bl w:val="nil"/>
        </w:tcBorders>
      </w:tcPr>
    </w:tblStylePr>
    <w:tblStylePr w:type="neCell">
      <w:rPr>
        <w:b/>
        <w:bCs/>
      </w:rPr>
      <w:tblPr>
        <w:tblLayout w:type="fixed"/>
      </w:tblPr>
      <w:tcPr>
        <w:tcBorders>
          <w:left w:val="nil"/>
          <w:tl2br w:val="nil"/>
          <w:tr2bl w:val="nil"/>
        </w:tcBorders>
      </w:tcPr>
    </w:tblStylePr>
    <w:tblStylePr w:type="swCell">
      <w:rPr>
        <w:b/>
        <w:bCs/>
      </w:rPr>
      <w:tblPr>
        <w:tblLayout w:type="fixed"/>
      </w:tblPr>
      <w:tcPr>
        <w:tcBorders>
          <w:top w:val="nil"/>
          <w:tl2br w:val="nil"/>
          <w:tr2bl w:val="nil"/>
        </w:tcBorders>
      </w:tcPr>
    </w:tblStylePr>
  </w:style>
  <w:style w:type="table" w:styleId="94">
    <w:name w:val="Table Simple 3"/>
    <w:basedOn w:val="81"/>
    <w:semiHidden/>
    <w:qFormat/>
    <w:uiPriority w:val="0"/>
    <w:pPr>
      <w:widowControl w:val="0"/>
      <w:jc w:val="both"/>
    </w:pPr>
    <w:rPr>
      <w:rFonts w:ascii="Times New Roman" w:hAnsi="Times New Roman"/>
    </w:rPr>
    <w:tblPr>
      <w:tblBorders>
        <w:top w:val="single" w:color="000000" w:sz="12" w:space="0"/>
        <w:left w:val="single" w:color="000000" w:sz="12" w:space="0"/>
        <w:bottom w:val="single" w:color="000000" w:sz="12" w:space="0"/>
        <w:right w:val="single" w:color="000000" w:sz="12" w:space="0"/>
      </w:tblBorders>
      <w:tblLayout w:type="fixed"/>
    </w:tblPr>
    <w:tcPr>
      <w:shd w:val="clear" w:color="auto" w:fill="auto"/>
    </w:tcPr>
    <w:tblStylePr w:type="firstRow">
      <w:rPr>
        <w:b/>
        <w:bCs/>
        <w:color w:val="FFFFFF"/>
      </w:rPr>
      <w:tblPr>
        <w:tblLayout w:type="fixed"/>
      </w:tblPr>
      <w:tcPr>
        <w:tcBorders>
          <w:tl2br w:val="nil"/>
          <w:tr2bl w:val="nil"/>
        </w:tcBorders>
        <w:shd w:val="solid" w:color="000000" w:fill="FFFFFF"/>
      </w:tcPr>
    </w:tblStylePr>
  </w:style>
  <w:style w:type="table" w:styleId="95">
    <w:name w:val="Table Subtle 1"/>
    <w:basedOn w:val="81"/>
    <w:semiHidden/>
    <w:qFormat/>
    <w:uiPriority w:val="0"/>
    <w:pPr>
      <w:widowControl w:val="0"/>
      <w:jc w:val="both"/>
    </w:pPr>
    <w:rPr>
      <w:rFonts w:ascii="Times New Roman" w:hAnsi="Times New Roman"/>
    </w:rPr>
    <w:tblPr>
      <w:tblStyleRowBandSize w:val="1"/>
      <w:tblLayout w:type="fixed"/>
    </w:tblPr>
    <w:tblStylePr w:type="firstRow">
      <w:tblPr>
        <w:tblLayout w:type="fixed"/>
      </w:tblPr>
      <w:tcPr>
        <w:tcBorders>
          <w:top w:val="single" w:color="000000" w:sz="6" w:space="0"/>
          <w:bottom w:val="single" w:color="000000" w:sz="12" w:space="0"/>
          <w:tl2br w:val="nil"/>
          <w:tr2bl w:val="nil"/>
        </w:tcBorders>
      </w:tcPr>
    </w:tblStylePr>
    <w:tblStylePr w:type="lastRow">
      <w:tblPr>
        <w:tblLayout w:type="fixed"/>
      </w:tblPr>
      <w:tcPr>
        <w:tcBorders>
          <w:top w:val="single" w:color="000000" w:sz="12" w:space="0"/>
          <w:tl2br w:val="nil"/>
          <w:tr2bl w:val="nil"/>
        </w:tcBorders>
        <w:shd w:val="pct25" w:color="800080" w:fill="FFFFFF"/>
      </w:tcPr>
    </w:tblStylePr>
    <w:tblStylePr w:type="firstCol">
      <w:tblPr>
        <w:tblLayout w:type="fixed"/>
      </w:tblPr>
      <w:tcPr>
        <w:tcBorders>
          <w:right w:val="single" w:color="000000" w:sz="12" w:space="0"/>
          <w:tl2br w:val="nil"/>
          <w:tr2bl w:val="nil"/>
        </w:tcBorders>
      </w:tcPr>
    </w:tblStylePr>
    <w:tblStylePr w:type="lastCol">
      <w:tblPr>
        <w:tblLayout w:type="fixed"/>
      </w:tblPr>
      <w:tcPr>
        <w:tcBorders>
          <w:left w:val="single" w:color="000000" w:sz="12" w:space="0"/>
          <w:tl2br w:val="nil"/>
          <w:tr2bl w:val="nil"/>
        </w:tcBorders>
      </w:tcPr>
    </w:tblStylePr>
    <w:tblStylePr w:type="band1Horz">
      <w:tblPr>
        <w:tblLayout w:type="fixed"/>
      </w:tblPr>
      <w:tcPr>
        <w:tcBorders>
          <w:bottom w:val="single" w:color="000000" w:sz="6" w:space="0"/>
          <w:tl2br w:val="nil"/>
          <w:tr2bl w:val="nil"/>
        </w:tcBorders>
        <w:shd w:val="pct25" w:color="808000" w:fill="FFFFFF"/>
      </w:tcPr>
    </w:tblStylePr>
    <w:tblStylePr w:type="neCell">
      <w:rPr>
        <w:b/>
        <w:bCs/>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96">
    <w:name w:val="Table Subtle 2"/>
    <w:basedOn w:val="81"/>
    <w:semiHidden/>
    <w:qFormat/>
    <w:uiPriority w:val="0"/>
    <w:pPr>
      <w:widowControl w:val="0"/>
      <w:jc w:val="both"/>
    </w:pPr>
    <w:rPr>
      <w:rFonts w:ascii="Times New Roman" w:hAnsi="Times New Roman"/>
    </w:rPr>
    <w:tblPr>
      <w:tblBorders>
        <w:left w:val="single" w:color="000000" w:sz="6" w:space="0"/>
        <w:right w:val="single" w:color="000000" w:sz="6" w:space="0"/>
      </w:tblBorders>
      <w:tblLayout w:type="fixed"/>
    </w:tblPr>
    <w:tblStylePr w:type="firstRow">
      <w:tblPr>
        <w:tblLayout w:type="fixed"/>
      </w:tblPr>
      <w:tcPr>
        <w:tcBorders>
          <w:bottom w:val="single" w:color="000000" w:sz="12" w:space="0"/>
          <w:tl2br w:val="nil"/>
          <w:tr2bl w:val="nil"/>
        </w:tcBorders>
      </w:tcPr>
    </w:tblStylePr>
    <w:tblStylePr w:type="lastRow">
      <w:tblPr>
        <w:tblLayout w:type="fixed"/>
      </w:tblPr>
      <w:tcPr>
        <w:tcBorders>
          <w:top w:val="single" w:color="000000" w:sz="12" w:space="0"/>
          <w:tl2br w:val="nil"/>
          <w:tr2bl w:val="nil"/>
        </w:tcBorders>
      </w:tcPr>
    </w:tblStylePr>
    <w:tblStylePr w:type="firstCol">
      <w:tblPr>
        <w:tblLayout w:type="fixed"/>
      </w:tblPr>
      <w:tcPr>
        <w:tcBorders>
          <w:right w:val="single" w:color="000000" w:sz="12" w:space="0"/>
          <w:tl2br w:val="nil"/>
          <w:tr2bl w:val="nil"/>
        </w:tcBorders>
        <w:shd w:val="pct25" w:color="008000" w:fill="FFFFFF"/>
      </w:tcPr>
    </w:tblStylePr>
    <w:tblStylePr w:type="lastCol">
      <w:tblPr>
        <w:tblLayout w:type="fixed"/>
      </w:tblPr>
      <w:tcPr>
        <w:tcBorders>
          <w:left w:val="single" w:color="000000" w:sz="12" w:space="0"/>
          <w:tl2br w:val="nil"/>
          <w:tr2bl w:val="nil"/>
        </w:tcBorders>
        <w:shd w:val="pct25" w:color="808000" w:fill="FFFFFF"/>
      </w:tcPr>
    </w:tblStylePr>
    <w:tblStylePr w:type="neCell">
      <w:rPr>
        <w:b/>
        <w:bCs/>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97">
    <w:name w:val="Table 3D effects 1"/>
    <w:basedOn w:val="81"/>
    <w:semiHidden/>
    <w:qFormat/>
    <w:uiPriority w:val="0"/>
    <w:pPr>
      <w:widowControl w:val="0"/>
      <w:jc w:val="both"/>
    </w:pPr>
    <w:rPr>
      <w:rFonts w:ascii="Times New Roman" w:hAnsi="Times New Roman"/>
    </w:rPr>
    <w:tblPr>
      <w:tblLayout w:type="fixed"/>
    </w:tblPr>
    <w:tcPr>
      <w:shd w:val="solid" w:color="C0C0C0" w:fill="FFFFFF"/>
    </w:tcPr>
    <w:tblStylePr w:type="firstRow">
      <w:rPr>
        <w:b/>
        <w:bCs/>
        <w:color w:val="800080"/>
      </w:rPr>
      <w:tblPr>
        <w:tblLayout w:type="fixed"/>
      </w:tblPr>
      <w:tcPr>
        <w:tcBorders>
          <w:bottom w:val="single" w:color="808080" w:sz="6" w:space="0"/>
          <w:tl2br w:val="nil"/>
          <w:tr2bl w:val="nil"/>
        </w:tcBorders>
      </w:tcPr>
    </w:tblStylePr>
    <w:tblStylePr w:type="lastRow">
      <w:tblPr>
        <w:tblLayout w:type="fixed"/>
      </w:tblPr>
      <w:tcPr>
        <w:tcBorders>
          <w:top w:val="single" w:color="FFFFFF" w:sz="6" w:space="0"/>
          <w:tl2br w:val="nil"/>
          <w:tr2bl w:val="nil"/>
        </w:tcBorders>
      </w:tcPr>
    </w:tblStylePr>
    <w:tblStylePr w:type="firstCol">
      <w:rPr>
        <w:b/>
        <w:bCs/>
      </w:rPr>
      <w:tblPr>
        <w:tblLayout w:type="fixed"/>
      </w:tblPr>
      <w:tcPr>
        <w:tcBorders>
          <w:right w:val="single" w:color="808080" w:sz="6" w:space="0"/>
          <w:tl2br w:val="nil"/>
          <w:tr2bl w:val="nil"/>
        </w:tcBorders>
      </w:tcPr>
    </w:tblStylePr>
    <w:tblStylePr w:type="lastCol">
      <w:tblPr>
        <w:tblLayout w:type="fixed"/>
      </w:tblPr>
      <w:tcPr>
        <w:tcBorders>
          <w:left w:val="single" w:color="FFFFFF" w:sz="6" w:space="0"/>
          <w:tl2br w:val="nil"/>
          <w:tr2bl w:val="nil"/>
        </w:tcBorders>
      </w:tcPr>
    </w:tblStylePr>
    <w:tblStylePr w:type="neCell">
      <w:tblPr>
        <w:tblLayout w:type="fixed"/>
      </w:tblPr>
      <w:tcPr>
        <w:tcBorders>
          <w:left w:val="nil"/>
          <w:bottom w:val="nil"/>
          <w:tl2br w:val="nil"/>
          <w:tr2bl w:val="nil"/>
        </w:tcBorders>
      </w:tcPr>
    </w:tblStylePr>
    <w:tblStylePr w:type="nwCell">
      <w:tblPr>
        <w:tblLayout w:type="fixed"/>
      </w:tblPr>
      <w:tcPr>
        <w:tcBorders>
          <w:bottom w:val="nil"/>
          <w:right w:val="nil"/>
          <w:tl2br w:val="nil"/>
          <w:tr2bl w:val="nil"/>
        </w:tcBorders>
      </w:tcPr>
    </w:tblStylePr>
    <w:tblStylePr w:type="seCell">
      <w:tblPr>
        <w:tblLayout w:type="fixed"/>
      </w:tblPr>
      <w:tcPr>
        <w:tcBorders>
          <w:top w:val="nil"/>
          <w:left w:val="nil"/>
          <w:tl2br w:val="nil"/>
          <w:tr2bl w:val="nil"/>
        </w:tcBorders>
      </w:tcPr>
    </w:tblStylePr>
    <w:tblStylePr w:type="swCell">
      <w:rPr>
        <w:color w:val="000080"/>
      </w:rPr>
      <w:tblPr>
        <w:tblLayout w:type="fixed"/>
      </w:tblPr>
      <w:tcPr>
        <w:tcBorders>
          <w:top w:val="nil"/>
          <w:right w:val="nil"/>
          <w:tl2br w:val="nil"/>
          <w:tr2bl w:val="nil"/>
        </w:tcBorders>
      </w:tcPr>
    </w:tblStylePr>
  </w:style>
  <w:style w:type="table" w:styleId="98">
    <w:name w:val="Table 3D effects 2"/>
    <w:basedOn w:val="81"/>
    <w:semiHidden/>
    <w:qFormat/>
    <w:uiPriority w:val="0"/>
    <w:pPr>
      <w:widowControl w:val="0"/>
      <w:jc w:val="both"/>
    </w:pPr>
    <w:rPr>
      <w:rFonts w:ascii="Times New Roman" w:hAnsi="Times New Roman"/>
    </w:rPr>
    <w:tblPr>
      <w:tblStyleRowBandSize w:val="1"/>
      <w:tblLayout w:type="fixed"/>
    </w:tblPr>
    <w:tcPr>
      <w:shd w:val="solid" w:color="C0C0C0" w:fill="FFFFFF"/>
    </w:tcPr>
    <w:tblStylePr w:type="firstRow">
      <w:rPr>
        <w:b/>
        <w:bCs/>
      </w:rPr>
      <w:tblPr>
        <w:tblLayout w:type="fixed"/>
      </w:tblPr>
      <w:tcPr>
        <w:tcBorders>
          <w:tl2br w:val="nil"/>
          <w:tr2bl w:val="nil"/>
        </w:tcBorders>
      </w:tcPr>
    </w:tblStylePr>
    <w:tblStylePr w:type="firstCol">
      <w:tblPr>
        <w:tblLayout w:type="fixed"/>
      </w:tblPr>
      <w:tcPr>
        <w:tcBorders>
          <w:top w:val="nil"/>
          <w:bottom w:val="nil"/>
          <w:right w:val="single" w:color="808080" w:sz="6" w:space="0"/>
          <w:tl2br w:val="nil"/>
          <w:tr2bl w:val="nil"/>
        </w:tcBorders>
      </w:tcPr>
    </w:tblStylePr>
    <w:tblStylePr w:type="lastCol">
      <w:tblPr>
        <w:tblLayout w:type="fixed"/>
      </w:tblPr>
      <w:tcPr>
        <w:tcBorders>
          <w:right w:val="single" w:color="FFFFFF" w:sz="6" w:space="0"/>
          <w:tl2br w:val="nil"/>
          <w:tr2bl w:val="nil"/>
        </w:tcBorders>
      </w:tcPr>
    </w:tblStylePr>
    <w:tblStylePr w:type="band1Horz">
      <w:tblPr>
        <w:tblLayout w:type="fixed"/>
      </w:tblPr>
      <w:tcPr>
        <w:tcBorders>
          <w:top w:val="single" w:color="808080" w:sz="6" w:space="0"/>
          <w:bottom w:val="single" w:color="FFFFFF" w:sz="6" w:space="0"/>
          <w:tl2br w:val="nil"/>
          <w:tr2bl w:val="nil"/>
        </w:tcBorders>
      </w:tcPr>
    </w:tblStylePr>
    <w:tblStylePr w:type="swCell">
      <w:rPr>
        <w:b/>
        <w:bCs/>
      </w:rPr>
      <w:tblPr>
        <w:tblLayout w:type="fixed"/>
      </w:tblPr>
      <w:tcPr>
        <w:tcBorders>
          <w:tl2br w:val="nil"/>
          <w:tr2bl w:val="nil"/>
        </w:tcBorders>
      </w:tcPr>
    </w:tblStylePr>
  </w:style>
  <w:style w:type="table" w:styleId="99">
    <w:name w:val="Table 3D effects 3"/>
    <w:basedOn w:val="81"/>
    <w:semiHidden/>
    <w:qFormat/>
    <w:uiPriority w:val="0"/>
    <w:pPr>
      <w:widowControl w:val="0"/>
      <w:jc w:val="both"/>
    </w:pPr>
    <w:rPr>
      <w:rFonts w:ascii="Times New Roman" w:hAnsi="Times New Roman"/>
    </w:rPr>
    <w:tblPr>
      <w:tblStyleRowBandSize w:val="1"/>
      <w:tblStyleColBandSize w:val="1"/>
      <w:tblLayout w:type="fixed"/>
    </w:tblPr>
    <w:tblStylePr w:type="firstRow">
      <w:rPr>
        <w:b/>
        <w:bCs/>
      </w:rPr>
      <w:tblPr>
        <w:tblLayout w:type="fixed"/>
      </w:tblPr>
      <w:tcPr>
        <w:tcBorders>
          <w:tl2br w:val="nil"/>
          <w:tr2bl w:val="nil"/>
        </w:tcBorders>
      </w:tcPr>
    </w:tblStylePr>
    <w:tblStylePr w:type="firstCol">
      <w:tblPr>
        <w:tblLayout w:type="fixed"/>
      </w:tblPr>
      <w:tcPr>
        <w:tcBorders>
          <w:top w:val="nil"/>
          <w:bottom w:val="nil"/>
          <w:right w:val="single" w:color="808080" w:sz="6" w:space="0"/>
          <w:tl2br w:val="nil"/>
          <w:tr2bl w:val="nil"/>
        </w:tcBorders>
      </w:tcPr>
    </w:tblStylePr>
    <w:tblStylePr w:type="lastCol">
      <w:tblPr>
        <w:tblLayout w:type="fixed"/>
      </w:tblPr>
      <w:tcPr>
        <w:tcBorders>
          <w:right w:val="single" w:color="FFFFFF" w:sz="6" w:space="0"/>
          <w:tl2br w:val="nil"/>
          <w:tr2bl w:val="nil"/>
        </w:tcBorders>
      </w:tcPr>
    </w:tblStylePr>
    <w:tblStylePr w:type="band1Vert">
      <w:rPr>
        <w:color w:val="auto"/>
      </w:rPr>
      <w:tblPr>
        <w:tblLayout w:type="fixed"/>
      </w:tblPr>
      <w:tcPr>
        <w:shd w:val="solid" w:color="C0C0C0" w:fill="FFFFFF"/>
      </w:tcPr>
    </w:tblStylePr>
    <w:tblStylePr w:type="band2Vert">
      <w:rPr>
        <w:color w:val="auto"/>
      </w:rPr>
      <w:tblPr>
        <w:tblLayout w:type="fixed"/>
      </w:tblPr>
      <w:tcPr>
        <w:shd w:val="pct50" w:color="C0C0C0" w:fill="FFFFFF"/>
      </w:tcPr>
    </w:tblStylePr>
    <w:tblStylePr w:type="band1Horz">
      <w:tblPr>
        <w:tblLayout w:type="fixed"/>
      </w:tblPr>
      <w:tcPr>
        <w:tcBorders>
          <w:top w:val="single" w:color="808080" w:sz="6" w:space="0"/>
          <w:bottom w:val="single" w:color="FFFFFF" w:sz="6" w:space="0"/>
          <w:tl2br w:val="nil"/>
          <w:tr2bl w:val="nil"/>
        </w:tcBorders>
      </w:tcPr>
    </w:tblStylePr>
    <w:tblStylePr w:type="swCell">
      <w:rPr>
        <w:b/>
        <w:bCs/>
      </w:rPr>
      <w:tblPr>
        <w:tblLayout w:type="fixed"/>
      </w:tblPr>
      <w:tcPr>
        <w:tcBorders>
          <w:tl2br w:val="nil"/>
          <w:tr2bl w:val="nil"/>
        </w:tcBorders>
      </w:tcPr>
    </w:tblStylePr>
  </w:style>
  <w:style w:type="table" w:styleId="100">
    <w:name w:val="Table List 1"/>
    <w:basedOn w:val="81"/>
    <w:semiHidden/>
    <w:qFormat/>
    <w:uiPriority w:val="0"/>
    <w:pPr>
      <w:widowControl w:val="0"/>
      <w:jc w:val="both"/>
    </w:pPr>
    <w:rPr>
      <w:rFonts w:ascii="Times New Roman" w:hAnsi="Times New Roman"/>
    </w:rPr>
    <w:tblPr>
      <w:tblBorders>
        <w:top w:val="single" w:color="008080" w:sz="12" w:space="0"/>
        <w:left w:val="single" w:color="008080" w:sz="6" w:space="0"/>
        <w:bottom w:val="single" w:color="008080" w:sz="12" w:space="0"/>
        <w:right w:val="single" w:color="008080" w:sz="6" w:space="0"/>
      </w:tblBorders>
      <w:tblLayout w:type="fixed"/>
    </w:tblPr>
    <w:tblStylePr w:type="firstRow">
      <w:rPr>
        <w:b/>
        <w:bCs/>
        <w:i/>
        <w:iCs/>
        <w:color w:val="800000"/>
      </w:rPr>
      <w:tblPr>
        <w:tblLayout w:type="fixed"/>
      </w:tblPr>
      <w:tcPr>
        <w:tcBorders>
          <w:bottom w:val="single" w:color="000000" w:sz="6" w:space="0"/>
          <w:tl2br w:val="nil"/>
          <w:tr2bl w:val="nil"/>
        </w:tcBorders>
        <w:shd w:val="solid" w:color="C0C0C0" w:fill="FFFFFF"/>
      </w:tcPr>
    </w:tblStylePr>
    <w:tblStylePr w:type="lastRow">
      <w:tblPr>
        <w:tblLayout w:type="fixed"/>
      </w:tblPr>
      <w:tcPr>
        <w:tcBorders>
          <w:top w:val="single" w:color="000000" w:sz="6" w:space="0"/>
          <w:tl2br w:val="nil"/>
          <w:tr2bl w:val="nil"/>
        </w:tcBorders>
      </w:tcPr>
    </w:tblStylePr>
    <w:tblStylePr w:type="band1Horz">
      <w:rPr>
        <w:color w:val="auto"/>
      </w:rPr>
      <w:tblPr>
        <w:tblLayout w:type="fixed"/>
      </w:tblPr>
      <w:tcPr>
        <w:tcBorders>
          <w:tl2br w:val="nil"/>
          <w:tr2bl w:val="nil"/>
        </w:tcBorders>
        <w:shd w:val="solid" w:color="C0C0C0" w:fill="FFFFFF"/>
      </w:tcPr>
    </w:tblStylePr>
    <w:tblStylePr w:type="band2Horz">
      <w:rPr>
        <w:color w:val="auto"/>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101">
    <w:name w:val="Table List 2"/>
    <w:basedOn w:val="81"/>
    <w:semiHidden/>
    <w:qFormat/>
    <w:uiPriority w:val="0"/>
    <w:pPr>
      <w:widowControl w:val="0"/>
      <w:jc w:val="both"/>
    </w:pPr>
    <w:rPr>
      <w:rFonts w:ascii="Times New Roman" w:hAnsi="Times New Roman"/>
    </w:rPr>
    <w:tblPr>
      <w:tblBorders>
        <w:bottom w:val="single" w:color="808080" w:sz="12" w:space="0"/>
      </w:tblBorders>
      <w:tblLayout w:type="fixed"/>
    </w:tblPr>
    <w:tblStylePr w:type="firstRow">
      <w:rPr>
        <w:b/>
        <w:bCs/>
        <w:color w:val="FFFFFF"/>
      </w:rPr>
      <w:tblPr>
        <w:tblLayout w:type="fixed"/>
      </w:tblPr>
      <w:tcPr>
        <w:tcBorders>
          <w:bottom w:val="single" w:color="000000" w:sz="6" w:space="0"/>
          <w:tl2br w:val="nil"/>
          <w:tr2bl w:val="nil"/>
        </w:tcBorders>
        <w:shd w:val="pct75" w:color="008080" w:fill="008000"/>
      </w:tcPr>
    </w:tblStylePr>
    <w:tblStylePr w:type="lastRow">
      <w:tblPr>
        <w:tblLayout w:type="fixed"/>
      </w:tblPr>
      <w:tcPr>
        <w:tcBorders>
          <w:top w:val="single" w:color="000000" w:sz="6" w:space="0"/>
          <w:tl2br w:val="nil"/>
          <w:tr2bl w:val="nil"/>
        </w:tcBorders>
      </w:tcPr>
    </w:tblStylePr>
    <w:tblStylePr w:type="band1Horz">
      <w:rPr>
        <w:color w:val="auto"/>
      </w:rPr>
      <w:tblPr>
        <w:tblLayout w:type="fixed"/>
      </w:tblPr>
      <w:tcPr>
        <w:tcBorders>
          <w:tl2br w:val="nil"/>
          <w:tr2bl w:val="nil"/>
        </w:tcBorders>
        <w:shd w:val="pct20" w:color="00FF00" w:fill="FFFFFF"/>
      </w:tcPr>
    </w:tblStylePr>
    <w:tblStylePr w:type="band2Horz">
      <w:rPr>
        <w:color w:val="auto"/>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102">
    <w:name w:val="Table List 3"/>
    <w:basedOn w:val="81"/>
    <w:semiHidden/>
    <w:qFormat/>
    <w:uiPriority w:val="0"/>
    <w:pPr>
      <w:widowControl w:val="0"/>
      <w:jc w:val="both"/>
    </w:pPr>
    <w:rPr>
      <w:rFonts w:ascii="Times New Roman" w:hAnsi="Times New Roman"/>
    </w:rPr>
    <w:tblPr>
      <w:tblBorders>
        <w:top w:val="single" w:color="000000" w:sz="12" w:space="0"/>
        <w:bottom w:val="single" w:color="000000" w:sz="12" w:space="0"/>
        <w:insideH w:val="single" w:color="000000" w:sz="6" w:space="0"/>
      </w:tblBorders>
      <w:tblLayout w:type="fixed"/>
    </w:tblPr>
    <w:tcPr>
      <w:shd w:val="clear" w:color="auto" w:fill="auto"/>
    </w:tcPr>
    <w:tblStylePr w:type="firstRow">
      <w:rPr>
        <w:b/>
        <w:bCs/>
        <w:color w:val="000080"/>
      </w:rPr>
      <w:tblPr>
        <w:tblLayout w:type="fixed"/>
      </w:tblPr>
      <w:tcPr>
        <w:tcBorders>
          <w:bottom w:val="single" w:color="000000" w:sz="12" w:space="0"/>
          <w:tl2br w:val="nil"/>
          <w:tr2bl w:val="nil"/>
        </w:tcBorders>
      </w:tcPr>
    </w:tblStylePr>
    <w:tblStylePr w:type="lastRow">
      <w:tblPr>
        <w:tblLayout w:type="fixed"/>
      </w:tblPr>
      <w:tcPr>
        <w:tcBorders>
          <w:top w:val="single" w:color="000000" w:sz="12" w:space="0"/>
          <w:tl2br w:val="nil"/>
          <w:tr2bl w:val="nil"/>
        </w:tcBorders>
      </w:tcPr>
    </w:tblStylePr>
    <w:tblStylePr w:type="swCell">
      <w:rPr>
        <w:i/>
        <w:iCs/>
        <w:color w:val="000080"/>
      </w:rPr>
      <w:tblPr>
        <w:tblLayout w:type="fixed"/>
      </w:tblPr>
      <w:tcPr>
        <w:tcBorders>
          <w:tl2br w:val="nil"/>
          <w:tr2bl w:val="nil"/>
        </w:tcBorders>
      </w:tcPr>
    </w:tblStylePr>
  </w:style>
  <w:style w:type="table" w:styleId="103">
    <w:name w:val="Table List 4"/>
    <w:basedOn w:val="81"/>
    <w:semiHidden/>
    <w:qFormat/>
    <w:uiPriority w:val="0"/>
    <w:pPr>
      <w:widowControl w:val="0"/>
      <w:jc w:val="both"/>
    </w:pPr>
    <w:rPr>
      <w:rFonts w:ascii="Times New Roman" w:hAnsi="Times New Roman"/>
    </w:rPr>
    <w:tblPr>
      <w:tblBorders>
        <w:top w:val="single" w:color="000000" w:sz="12" w:space="0"/>
        <w:left w:val="single" w:color="000000" w:sz="12" w:space="0"/>
        <w:bottom w:val="single" w:color="000000" w:sz="12" w:space="0"/>
        <w:right w:val="single" w:color="000000" w:sz="12" w:space="0"/>
        <w:insideH w:val="single" w:color="000000" w:sz="6" w:space="0"/>
      </w:tblBorders>
      <w:tblLayout w:type="fixed"/>
    </w:tblPr>
    <w:tcPr>
      <w:shd w:val="clear" w:color="auto" w:fill="auto"/>
    </w:tcPr>
    <w:tblStylePr w:type="firstRow">
      <w:rPr>
        <w:b/>
        <w:bCs/>
        <w:color w:val="FFFFFF"/>
      </w:rPr>
      <w:tblPr>
        <w:tblLayout w:type="fixed"/>
      </w:tblPr>
      <w:tcPr>
        <w:tcBorders>
          <w:bottom w:val="single" w:color="000000" w:sz="12" w:space="0"/>
          <w:tl2br w:val="nil"/>
          <w:tr2bl w:val="nil"/>
        </w:tcBorders>
        <w:shd w:val="solid" w:color="808080" w:fill="FFFFFF"/>
      </w:tcPr>
    </w:tblStylePr>
  </w:style>
  <w:style w:type="table" w:styleId="104">
    <w:name w:val="Table List 5"/>
    <w:basedOn w:val="81"/>
    <w:semiHidden/>
    <w:qFormat/>
    <w:uiPriority w:val="0"/>
    <w:pPr>
      <w:widowControl w:val="0"/>
      <w:jc w:val="both"/>
    </w:pPr>
    <w:rPr>
      <w:rFonts w:ascii="Times New Roman" w:hAnsi="Times New Roman"/>
    </w:rPr>
    <w:tblPr>
      <w:tblBorders>
        <w:top w:val="single" w:color="000000" w:sz="6" w:space="0"/>
        <w:left w:val="single" w:color="000000" w:sz="6" w:space="0"/>
        <w:bottom w:val="single" w:color="000000" w:sz="6" w:space="0"/>
        <w:right w:val="single" w:color="000000" w:sz="6" w:space="0"/>
        <w:insideH w:val="single" w:color="000000" w:sz="6" w:space="0"/>
      </w:tblBorders>
      <w:tblLayout w:type="fixed"/>
    </w:tblPr>
    <w:tcPr>
      <w:shd w:val="clear" w:color="auto" w:fill="auto"/>
    </w:tcPr>
    <w:tblStylePr w:type="firstRow">
      <w:rPr>
        <w:b/>
        <w:bCs/>
      </w:rPr>
      <w:tblPr>
        <w:tblLayout w:type="fixed"/>
      </w:tblPr>
      <w:tcPr>
        <w:tcBorders>
          <w:bottom w:val="single" w:color="000000" w:sz="12" w:space="0"/>
          <w:tl2br w:val="nil"/>
          <w:tr2bl w:val="nil"/>
        </w:tcBorders>
      </w:tcPr>
    </w:tblStylePr>
    <w:tblStylePr w:type="firstCol">
      <w:rPr>
        <w:b/>
        <w:bCs/>
      </w:rPr>
      <w:tblPr>
        <w:tblLayout w:type="fixed"/>
      </w:tblPr>
      <w:tcPr>
        <w:tcBorders>
          <w:tl2br w:val="nil"/>
          <w:tr2bl w:val="nil"/>
        </w:tcBorders>
      </w:tcPr>
    </w:tblStylePr>
  </w:style>
  <w:style w:type="table" w:styleId="105">
    <w:name w:val="Table List 6"/>
    <w:basedOn w:val="81"/>
    <w:semiHidden/>
    <w:qFormat/>
    <w:uiPriority w:val="0"/>
    <w:pPr>
      <w:widowControl w:val="0"/>
      <w:jc w:val="both"/>
    </w:pPr>
    <w:rPr>
      <w:rFonts w:ascii="Times New Roman" w:hAnsi="Times New Roman"/>
    </w:rPr>
    <w:tblPr>
      <w:tblBorders>
        <w:top w:val="single" w:color="000000" w:sz="6" w:space="0"/>
        <w:left w:val="single" w:color="000000" w:sz="6" w:space="0"/>
        <w:bottom w:val="single" w:color="000000" w:sz="6" w:space="0"/>
        <w:right w:val="single" w:color="000000" w:sz="6" w:space="0"/>
      </w:tblBorders>
      <w:tblLayout w:type="fixed"/>
    </w:tblPr>
    <w:tcPr>
      <w:shd w:val="pct50" w:color="000000" w:fill="FFFFFF"/>
    </w:tcPr>
    <w:tblStylePr w:type="firstRow">
      <w:rPr>
        <w:b/>
        <w:bCs/>
      </w:rPr>
      <w:tblPr>
        <w:tblLayout w:type="fixed"/>
      </w:tblPr>
      <w:tcPr>
        <w:tcBorders>
          <w:bottom w:val="single" w:color="000000" w:sz="12" w:space="0"/>
          <w:tl2br w:val="nil"/>
          <w:tr2bl w:val="nil"/>
        </w:tcBorders>
      </w:tcPr>
    </w:tblStylePr>
    <w:tblStylePr w:type="firstCol">
      <w:rPr>
        <w:b/>
        <w:bCs/>
      </w:rPr>
      <w:tblPr>
        <w:tblLayout w:type="fixed"/>
      </w:tblPr>
      <w:tcPr>
        <w:tcBorders>
          <w:right w:val="single" w:color="000000" w:sz="12" w:space="0"/>
          <w:tl2br w:val="nil"/>
          <w:tr2bl w:val="nil"/>
        </w:tcBorders>
      </w:tcPr>
    </w:tblStylePr>
    <w:tblStylePr w:type="band1Horz">
      <w:tblPr>
        <w:tblLayout w:type="fixed"/>
      </w:tblPr>
      <w:tcPr>
        <w:tcBorders>
          <w:tl2br w:val="nil"/>
          <w:tr2bl w:val="nil"/>
        </w:tcBorders>
        <w:shd w:val="pct25" w:color="000000" w:fill="FFFFFF"/>
      </w:tcPr>
    </w:tblStylePr>
    <w:tblStylePr w:type="nwCell">
      <w:tblPr>
        <w:tblLayout w:type="fixed"/>
      </w:tblPr>
      <w:tcPr>
        <w:tcBorders>
          <w:tl2br w:val="single" w:color="000000" w:sz="6" w:space="0"/>
          <w:tr2bl w:val="nil"/>
        </w:tcBorders>
      </w:tcPr>
    </w:tblStylePr>
  </w:style>
  <w:style w:type="table" w:styleId="106">
    <w:name w:val="Table List 7"/>
    <w:basedOn w:val="81"/>
    <w:semiHidden/>
    <w:qFormat/>
    <w:uiPriority w:val="0"/>
    <w:pPr>
      <w:widowControl w:val="0"/>
      <w:jc w:val="both"/>
    </w:pPr>
    <w:rPr>
      <w:rFonts w:ascii="Times New Roman" w:hAnsi="Times New Roman"/>
    </w:rPr>
    <w:tblPr>
      <w:tblBorders>
        <w:top w:val="single" w:color="008000" w:sz="12" w:space="0"/>
        <w:left w:val="single" w:color="008000" w:sz="6" w:space="0"/>
        <w:bottom w:val="single" w:color="008000" w:sz="12" w:space="0"/>
        <w:right w:val="single" w:color="008000" w:sz="6" w:space="0"/>
        <w:insideH w:val="single" w:color="000000" w:sz="6" w:space="0"/>
      </w:tblBorders>
      <w:tblLayout w:type="fixed"/>
    </w:tblPr>
    <w:tblStylePr w:type="firstRow">
      <w:rPr>
        <w:b/>
        <w:bCs/>
      </w:rPr>
      <w:tblPr>
        <w:tblLayout w:type="fixed"/>
      </w:tblPr>
      <w:tcPr>
        <w:tcBorders>
          <w:bottom w:val="single" w:color="008000" w:sz="12" w:space="0"/>
          <w:tl2br w:val="nil"/>
          <w:tr2bl w:val="nil"/>
        </w:tcBorders>
        <w:shd w:val="solid" w:color="C0C0C0" w:fill="FFFFFF"/>
      </w:tcPr>
    </w:tblStylePr>
    <w:tblStylePr w:type="lastRow">
      <w:rPr>
        <w:b/>
        <w:bCs/>
      </w:rPr>
      <w:tblPr>
        <w:tblLayout w:type="fixed"/>
      </w:tblPr>
      <w:tcPr>
        <w:tcBorders>
          <w:top w:val="single" w:color="008000" w:sz="12" w:space="0"/>
          <w:tl2br w:val="nil"/>
          <w:tr2bl w:val="nil"/>
        </w:tcBorders>
      </w:tcPr>
    </w:tblStylePr>
    <w:tblStylePr w:type="firstCol">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band1Horz">
      <w:rPr>
        <w:color w:val="auto"/>
      </w:rPr>
      <w:tblPr>
        <w:tblLayout w:type="fixed"/>
      </w:tblPr>
      <w:tcPr>
        <w:tcBorders>
          <w:tl2br w:val="nil"/>
          <w:tr2bl w:val="nil"/>
        </w:tcBorders>
        <w:shd w:val="pct20" w:color="000000" w:fill="FFFFFF"/>
      </w:tcPr>
    </w:tblStylePr>
    <w:tblStylePr w:type="band2Horz">
      <w:tblPr>
        <w:tblLayout w:type="fixed"/>
      </w:tblPr>
      <w:tcPr>
        <w:tcBorders>
          <w:tl2br w:val="nil"/>
          <w:tr2bl w:val="nil"/>
        </w:tcBorders>
        <w:shd w:val="pct25" w:color="FFFF00" w:fill="FFFFFF"/>
      </w:tcPr>
    </w:tblStylePr>
  </w:style>
  <w:style w:type="table" w:styleId="107">
    <w:name w:val="Table List 8"/>
    <w:basedOn w:val="81"/>
    <w:semiHidden/>
    <w:qFormat/>
    <w:uiPriority w:val="0"/>
    <w:pPr>
      <w:widowControl w:val="0"/>
      <w:jc w:val="both"/>
    </w:pPr>
    <w:rPr>
      <w:rFonts w:ascii="Times New Roman" w:hAnsi="Times New Roman"/>
    </w:rPr>
    <w:tblPr>
      <w:tblBorders>
        <w:top w:val="single" w:color="000000" w:sz="6" w:space="0"/>
        <w:left w:val="single" w:color="000000" w:sz="6" w:space="0"/>
        <w:bottom w:val="single" w:color="000000" w:sz="6" w:space="0"/>
        <w:right w:val="single" w:color="000000" w:sz="6" w:space="0"/>
        <w:insideV w:val="single" w:color="000000" w:sz="6" w:space="0"/>
      </w:tblBorders>
      <w:tblLayout w:type="fixed"/>
    </w:tblPr>
    <w:tblStylePr w:type="firstRow">
      <w:rPr>
        <w:b/>
        <w:bCs/>
        <w:i/>
        <w:iCs/>
      </w:rPr>
      <w:tblPr>
        <w:tblLayout w:type="fixed"/>
      </w:tblPr>
      <w:tcPr>
        <w:tcBorders>
          <w:bottom w:val="single" w:color="000000" w:sz="6" w:space="0"/>
          <w:tl2br w:val="nil"/>
          <w:tr2bl w:val="nil"/>
        </w:tcBorders>
        <w:shd w:val="solid" w:color="FFFF00" w:fill="FFFFFF"/>
      </w:tcPr>
    </w:tblStylePr>
    <w:tblStylePr w:type="lastRow">
      <w:rPr>
        <w:b/>
        <w:bCs/>
      </w:rPr>
      <w:tblPr>
        <w:tblLayout w:type="fixed"/>
      </w:tblPr>
      <w:tcPr>
        <w:tcBorders>
          <w:top w:val="single" w:color="000000" w:sz="6" w:space="0"/>
          <w:tl2br w:val="nil"/>
          <w:tr2bl w:val="nil"/>
        </w:tcBorders>
      </w:tcPr>
    </w:tblStylePr>
    <w:tblStylePr w:type="firstCol">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band1Horz">
      <w:rPr>
        <w:color w:val="auto"/>
      </w:rPr>
      <w:tblPr>
        <w:tblLayout w:type="fixed"/>
      </w:tblPr>
      <w:tcPr>
        <w:tcBorders>
          <w:tl2br w:val="nil"/>
          <w:tr2bl w:val="nil"/>
        </w:tcBorders>
        <w:shd w:val="pct25" w:color="FFFF00" w:fill="FFFFFF"/>
      </w:tcPr>
    </w:tblStylePr>
    <w:tblStylePr w:type="band2Horz">
      <w:tblPr>
        <w:tblLayout w:type="fixed"/>
      </w:tblPr>
      <w:tcPr>
        <w:tcBorders>
          <w:tl2br w:val="nil"/>
          <w:tr2bl w:val="nil"/>
        </w:tcBorders>
        <w:shd w:val="pct50" w:color="FF0000" w:fill="FFFFFF"/>
      </w:tcPr>
    </w:tblStylePr>
    <w:tblStylePr w:type="nwCell">
      <w:tblPr>
        <w:tblLayout w:type="fixed"/>
      </w:tblPr>
      <w:tcPr>
        <w:tcBorders>
          <w:tl2br w:val="single" w:color="auto" w:sz="6" w:space="0"/>
          <w:tr2bl w:val="nil"/>
        </w:tcBorders>
      </w:tcPr>
    </w:tblStylePr>
  </w:style>
  <w:style w:type="table" w:styleId="108">
    <w:name w:val="Table Contemporary"/>
    <w:basedOn w:val="81"/>
    <w:semiHidden/>
    <w:qFormat/>
    <w:uiPriority w:val="0"/>
    <w:pPr>
      <w:widowControl w:val="0"/>
      <w:jc w:val="both"/>
    </w:pPr>
    <w:rPr>
      <w:rFonts w:ascii="Times New Roman" w:hAnsi="Times New Roman"/>
    </w:rPr>
    <w:tblPr>
      <w:tblBorders>
        <w:insideH w:val="single" w:color="FFFFFF" w:sz="18" w:space="0"/>
        <w:insideV w:val="single" w:color="FFFFFF" w:sz="18" w:space="0"/>
      </w:tblBorders>
      <w:tblLayout w:type="fixed"/>
    </w:tblPr>
    <w:tblStylePr w:type="firstRow">
      <w:rPr>
        <w:b/>
        <w:bCs/>
        <w:color w:val="auto"/>
      </w:rPr>
      <w:tblPr>
        <w:tblLayout w:type="fixed"/>
      </w:tblPr>
      <w:tcPr>
        <w:tcBorders>
          <w:tl2br w:val="nil"/>
          <w:tr2bl w:val="nil"/>
        </w:tcBorders>
        <w:shd w:val="pct20" w:color="000000" w:fill="FFFFFF"/>
      </w:tcPr>
    </w:tblStylePr>
    <w:tblStylePr w:type="band1Horz">
      <w:rPr>
        <w:color w:val="auto"/>
      </w:rPr>
      <w:tblPr>
        <w:tblLayout w:type="fixed"/>
      </w:tblPr>
      <w:tcPr>
        <w:tcBorders>
          <w:tl2br w:val="nil"/>
          <w:tr2bl w:val="nil"/>
        </w:tcBorders>
        <w:shd w:val="pct5" w:color="000000" w:fill="FFFFFF"/>
      </w:tcPr>
    </w:tblStylePr>
    <w:tblStylePr w:type="band2Horz">
      <w:rPr>
        <w:color w:val="auto"/>
      </w:rPr>
      <w:tblPr>
        <w:tblLayout w:type="fixed"/>
      </w:tblPr>
      <w:tcPr>
        <w:tcBorders>
          <w:tl2br w:val="nil"/>
          <w:tr2bl w:val="nil"/>
        </w:tcBorders>
        <w:shd w:val="pct20" w:color="000000" w:fill="FFFFFF"/>
      </w:tcPr>
    </w:tblStylePr>
  </w:style>
  <w:style w:type="table" w:styleId="109">
    <w:name w:val="Table Columns 1"/>
    <w:basedOn w:val="81"/>
    <w:semiHidden/>
    <w:qFormat/>
    <w:uiPriority w:val="0"/>
    <w:pPr>
      <w:widowControl w:val="0"/>
      <w:jc w:val="both"/>
    </w:pPr>
    <w:rPr>
      <w:rFonts w:ascii="Times New Roman" w:hAnsi="Times New Roman"/>
      <w:b/>
      <w:bCs/>
    </w:rPr>
    <w:tblPr>
      <w:tblBorders>
        <w:top w:val="single" w:color="000000" w:sz="12" w:space="0"/>
        <w:left w:val="single" w:color="000000" w:sz="12" w:space="0"/>
        <w:bottom w:val="single" w:color="000000" w:sz="12" w:space="0"/>
        <w:right w:val="single" w:color="000000" w:sz="12" w:space="0"/>
      </w:tblBorders>
      <w:tblLayout w:type="fixed"/>
    </w:tblPr>
    <w:tblStylePr w:type="firstRow">
      <w:rPr>
        <w:b w:val="0"/>
        <w:bCs w:val="0"/>
      </w:rPr>
      <w:tblPr>
        <w:tblLayout w:type="fixed"/>
      </w:tblPr>
      <w:tcPr>
        <w:tcBorders>
          <w:bottom w:val="double" w:color="000000" w:sz="6" w:space="0"/>
          <w:tl2br w:val="nil"/>
          <w:tr2bl w:val="nil"/>
        </w:tcBorders>
      </w:tcPr>
    </w:tblStylePr>
    <w:tblStylePr w:type="lastRow">
      <w:rPr>
        <w:b w:val="0"/>
        <w:bCs w:val="0"/>
      </w:rPr>
      <w:tblPr>
        <w:tblLayout w:type="fixed"/>
      </w:tblPr>
      <w:tcPr>
        <w:tcBorders>
          <w:tl2br w:val="nil"/>
          <w:tr2bl w:val="nil"/>
        </w:tcBorders>
      </w:tcPr>
    </w:tblStylePr>
    <w:tblStylePr w:type="firstCol">
      <w:rPr>
        <w:b w:val="0"/>
        <w:bCs w:val="0"/>
      </w:rPr>
      <w:tblPr>
        <w:tblLayout w:type="fixed"/>
      </w:tblPr>
      <w:tcPr>
        <w:tcBorders>
          <w:tl2br w:val="nil"/>
          <w:tr2bl w:val="nil"/>
        </w:tcBorders>
      </w:tcPr>
    </w:tblStylePr>
    <w:tblStylePr w:type="lastCol">
      <w:rPr>
        <w:b w:val="0"/>
        <w:bCs w:val="0"/>
      </w:rPr>
      <w:tblPr>
        <w:tblLayout w:type="fixed"/>
      </w:tblPr>
      <w:tcPr>
        <w:tcBorders>
          <w:tl2br w:val="nil"/>
          <w:tr2bl w:val="nil"/>
        </w:tcBorders>
      </w:tcPr>
    </w:tblStylePr>
    <w:tblStylePr w:type="band1Vert">
      <w:rPr>
        <w:color w:val="auto"/>
      </w:rPr>
      <w:tblPr>
        <w:tblLayout w:type="fixed"/>
      </w:tblPr>
      <w:tcPr>
        <w:shd w:val="pct25" w:color="000000" w:fill="FFFFFF"/>
      </w:tcPr>
    </w:tblStylePr>
    <w:tblStylePr w:type="band2Vert">
      <w:rPr>
        <w:color w:val="auto"/>
      </w:rPr>
      <w:tblPr>
        <w:tblLayout w:type="fixed"/>
      </w:tblPr>
      <w:tcPr>
        <w:shd w:val="pct25" w:color="FFFF00" w:fill="FFFFFF"/>
      </w:tcPr>
    </w:tblStylePr>
    <w:tblStylePr w:type="neCell">
      <w:rPr>
        <w:b/>
        <w:bCs/>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110">
    <w:name w:val="Table Columns 2"/>
    <w:basedOn w:val="81"/>
    <w:semiHidden/>
    <w:qFormat/>
    <w:uiPriority w:val="0"/>
    <w:pPr>
      <w:widowControl w:val="0"/>
      <w:jc w:val="both"/>
    </w:pPr>
    <w:rPr>
      <w:rFonts w:ascii="Times New Roman" w:hAnsi="Times New Roman"/>
      <w:b/>
      <w:bCs/>
    </w:rPr>
    <w:tblPr>
      <w:tblStyleColBandSize w:val="1"/>
      <w:tblLayout w:type="fixed"/>
    </w:tblPr>
    <w:tblStylePr w:type="firstRow">
      <w:rPr>
        <w:color w:val="FFFFFF"/>
      </w:rPr>
      <w:tblPr>
        <w:tblLayout w:type="fixed"/>
      </w:tblPr>
      <w:tcPr>
        <w:tcBorders>
          <w:tl2br w:val="nil"/>
          <w:tr2bl w:val="nil"/>
        </w:tcBorders>
        <w:shd w:val="solid" w:color="000080" w:fill="FFFFFF"/>
      </w:tcPr>
    </w:tblStylePr>
    <w:tblStylePr w:type="lastRow">
      <w:rPr>
        <w:b w:val="0"/>
        <w:bCs w:val="0"/>
      </w:rPr>
      <w:tblPr>
        <w:tblLayout w:type="fixed"/>
      </w:tblPr>
      <w:tcPr>
        <w:tcBorders>
          <w:tl2br w:val="nil"/>
          <w:tr2bl w:val="nil"/>
        </w:tcBorders>
      </w:tcPr>
    </w:tblStylePr>
    <w:tblStylePr w:type="firstCol">
      <w:rPr>
        <w:b w:val="0"/>
        <w:bCs w:val="0"/>
        <w:color w:val="000000"/>
      </w:rPr>
      <w:tblPr>
        <w:tblLayout w:type="fixed"/>
      </w:tblPr>
      <w:tcPr>
        <w:tcBorders>
          <w:tl2br w:val="nil"/>
          <w:tr2bl w:val="nil"/>
        </w:tcBorders>
      </w:tcPr>
    </w:tblStylePr>
    <w:tblStylePr w:type="lastCol">
      <w:rPr>
        <w:b w:val="0"/>
        <w:bCs w:val="0"/>
      </w:rPr>
      <w:tblPr>
        <w:tblLayout w:type="fixed"/>
      </w:tblPr>
      <w:tcPr>
        <w:tcBorders>
          <w:tl2br w:val="nil"/>
          <w:tr2bl w:val="nil"/>
        </w:tcBorders>
      </w:tcPr>
    </w:tblStylePr>
    <w:tblStylePr w:type="band1Vert">
      <w:rPr>
        <w:color w:val="auto"/>
      </w:rPr>
      <w:tblPr>
        <w:tblLayout w:type="fixed"/>
      </w:tblPr>
      <w:tcPr>
        <w:shd w:val="pct30" w:color="000000" w:fill="FFFFFF"/>
      </w:tcPr>
    </w:tblStylePr>
    <w:tblStylePr w:type="band2Vert">
      <w:rPr>
        <w:color w:val="auto"/>
      </w:rPr>
      <w:tblPr>
        <w:tblLayout w:type="fixed"/>
      </w:tblPr>
      <w:tcPr>
        <w:shd w:val="pct25" w:color="00FF00" w:fill="FFFFFF"/>
      </w:tcPr>
    </w:tblStylePr>
    <w:tblStylePr w:type="neCell">
      <w:rPr>
        <w:b/>
        <w:bCs/>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111">
    <w:name w:val="Table Columns 3"/>
    <w:basedOn w:val="81"/>
    <w:semiHidden/>
    <w:qFormat/>
    <w:uiPriority w:val="0"/>
    <w:pPr>
      <w:widowControl w:val="0"/>
      <w:jc w:val="both"/>
    </w:pPr>
    <w:rPr>
      <w:rFonts w:ascii="Times New Roman" w:hAnsi="Times New Roman"/>
      <w:b/>
      <w:bCs/>
    </w:rPr>
    <w:tblPr>
      <w:tblBorders>
        <w:top w:val="single" w:color="000080" w:sz="6" w:space="0"/>
        <w:left w:val="single" w:color="000080" w:sz="6" w:space="0"/>
        <w:bottom w:val="single" w:color="000080" w:sz="6" w:space="0"/>
        <w:right w:val="single" w:color="000080" w:sz="6" w:space="0"/>
        <w:insideV w:val="single" w:color="000080" w:sz="6" w:space="0"/>
      </w:tblBorders>
      <w:tblLayout w:type="fixed"/>
    </w:tblPr>
    <w:tblStylePr w:type="firstRow">
      <w:rPr>
        <w:color w:val="FFFFFF"/>
      </w:rPr>
      <w:tblPr>
        <w:tblLayout w:type="fixed"/>
      </w:tblPr>
      <w:tcPr>
        <w:tcBorders>
          <w:tl2br w:val="nil"/>
          <w:tr2bl w:val="nil"/>
        </w:tcBorders>
        <w:shd w:val="solid" w:color="000080" w:fill="FFFFFF"/>
      </w:tcPr>
    </w:tblStylePr>
    <w:tblStylePr w:type="lastRow">
      <w:rPr>
        <w:b w:val="0"/>
        <w:bCs w:val="0"/>
      </w:rPr>
      <w:tblPr>
        <w:tblLayout w:type="fixed"/>
      </w:tblPr>
      <w:tcPr>
        <w:tcBorders>
          <w:top w:val="single" w:color="000080" w:sz="6" w:space="0"/>
          <w:tl2br w:val="nil"/>
          <w:tr2bl w:val="nil"/>
        </w:tcBorders>
      </w:tcPr>
    </w:tblStylePr>
    <w:tblStylePr w:type="firstCol">
      <w:rPr>
        <w:b w:val="0"/>
        <w:bCs w:val="0"/>
      </w:rPr>
      <w:tblPr>
        <w:tblLayout w:type="fixed"/>
      </w:tblPr>
      <w:tcPr>
        <w:tcBorders>
          <w:tl2br w:val="nil"/>
          <w:tr2bl w:val="nil"/>
        </w:tcBorders>
      </w:tcPr>
    </w:tblStylePr>
    <w:tblStylePr w:type="lastCol">
      <w:rPr>
        <w:b w:val="0"/>
        <w:bCs w:val="0"/>
      </w:rPr>
      <w:tblPr>
        <w:tblLayout w:type="fixed"/>
      </w:tblPr>
      <w:tcPr>
        <w:tcBorders>
          <w:tl2br w:val="nil"/>
          <w:tr2bl w:val="nil"/>
        </w:tcBorders>
      </w:tcPr>
    </w:tblStylePr>
    <w:tblStylePr w:type="band1Vert">
      <w:rPr>
        <w:color w:val="auto"/>
      </w:rPr>
      <w:tblPr>
        <w:tblLayout w:type="fixed"/>
      </w:tblPr>
      <w:tcPr>
        <w:shd w:val="solid" w:color="C0C0C0" w:fill="FFFFFF"/>
      </w:tcPr>
    </w:tblStylePr>
    <w:tblStylePr w:type="band2Vert">
      <w:rPr>
        <w:color w:val="auto"/>
      </w:rPr>
      <w:tblPr>
        <w:tblLayout w:type="fixed"/>
      </w:tblPr>
      <w:tcPr>
        <w:shd w:val="pct10" w:color="000000" w:fill="FFFFFF"/>
      </w:tcPr>
    </w:tblStylePr>
    <w:tblStylePr w:type="neCell">
      <w:rPr>
        <w:b/>
        <w:bCs/>
      </w:rPr>
      <w:tblPr>
        <w:tblLayout w:type="fixed"/>
      </w:tblPr>
      <w:tcPr>
        <w:tcBorders>
          <w:tl2br w:val="nil"/>
          <w:tr2bl w:val="nil"/>
        </w:tcBorders>
      </w:tcPr>
    </w:tblStylePr>
  </w:style>
  <w:style w:type="table" w:styleId="112">
    <w:name w:val="Table Columns 4"/>
    <w:basedOn w:val="81"/>
    <w:semiHidden/>
    <w:qFormat/>
    <w:uiPriority w:val="0"/>
    <w:pPr>
      <w:widowControl w:val="0"/>
      <w:jc w:val="both"/>
    </w:pPr>
    <w:rPr>
      <w:rFonts w:ascii="Times New Roman" w:hAnsi="Times New Roman"/>
    </w:rPr>
    <w:tblPr>
      <w:tblStyleColBandSize w:val="1"/>
      <w:tblLayout w:type="fixed"/>
    </w:tblPr>
    <w:tblStylePr w:type="firstRow">
      <w:rPr>
        <w:color w:val="FFFFFF"/>
      </w:rPr>
      <w:tblPr>
        <w:tblLayout w:type="fixed"/>
      </w:tblPr>
      <w:tcPr>
        <w:tcBorders>
          <w:tl2br w:val="nil"/>
          <w:tr2bl w:val="nil"/>
        </w:tcBorders>
        <w:shd w:val="solid" w:color="000000" w:fill="FFFFFF"/>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band1Vert">
      <w:rPr>
        <w:color w:val="auto"/>
      </w:rPr>
      <w:tblPr>
        <w:tblLayout w:type="fixed"/>
      </w:tblPr>
      <w:tcPr>
        <w:shd w:val="pct50" w:color="008080" w:fill="FFFFFF"/>
      </w:tcPr>
    </w:tblStylePr>
    <w:tblStylePr w:type="band2Vert">
      <w:rPr>
        <w:color w:val="auto"/>
      </w:rPr>
      <w:tblPr>
        <w:tblLayout w:type="fixed"/>
      </w:tblPr>
      <w:tcPr>
        <w:shd w:val="pct10" w:color="000000" w:fill="FFFFFF"/>
      </w:tcPr>
    </w:tblStylePr>
  </w:style>
  <w:style w:type="table" w:styleId="113">
    <w:name w:val="Table Columns 5"/>
    <w:basedOn w:val="81"/>
    <w:semiHidden/>
    <w:qFormat/>
    <w:uiPriority w:val="0"/>
    <w:pPr>
      <w:widowControl w:val="0"/>
      <w:jc w:val="both"/>
    </w:pPr>
    <w:rPr>
      <w:rFonts w:ascii="Times New Roman" w:hAnsi="Times New Roman"/>
    </w:rPr>
    <w:tblPr>
      <w:tblBorders>
        <w:top w:val="single" w:color="808080" w:sz="12" w:space="0"/>
        <w:left w:val="single" w:color="808080" w:sz="12" w:space="0"/>
        <w:bottom w:val="single" w:color="808080" w:sz="12" w:space="0"/>
        <w:right w:val="single" w:color="808080" w:sz="12" w:space="0"/>
        <w:insideV w:val="single" w:color="C0C0C0" w:sz="6" w:space="0"/>
      </w:tblBorders>
      <w:tblLayout w:type="fixed"/>
    </w:tblPr>
    <w:tblStylePr w:type="firstRow">
      <w:rPr>
        <w:b/>
        <w:bCs/>
        <w:i/>
        <w:iCs/>
      </w:rPr>
      <w:tblPr>
        <w:tblLayout w:type="fixed"/>
      </w:tblPr>
      <w:tcPr>
        <w:tcBorders>
          <w:bottom w:val="single" w:color="808080" w:sz="6" w:space="0"/>
          <w:tl2br w:val="nil"/>
          <w:tr2bl w:val="nil"/>
        </w:tcBorders>
      </w:tcPr>
    </w:tblStylePr>
    <w:tblStylePr w:type="lastRow">
      <w:rPr>
        <w:b/>
        <w:bCs/>
      </w:rPr>
      <w:tblPr>
        <w:tblLayout w:type="fixed"/>
      </w:tblPr>
      <w:tcPr>
        <w:tcBorders>
          <w:top w:val="single" w:color="808080" w:sz="6" w:space="0"/>
          <w:tl2br w:val="nil"/>
          <w:tr2bl w:val="nil"/>
        </w:tcBorders>
      </w:tcPr>
    </w:tblStylePr>
    <w:tblStylePr w:type="firstCol">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band1Vert">
      <w:rPr>
        <w:color w:val="auto"/>
      </w:rPr>
      <w:tblPr>
        <w:tblLayout w:type="fixed"/>
      </w:tblPr>
      <w:tcPr>
        <w:shd w:val="solid" w:color="C0C0C0" w:fill="FFFFFF"/>
      </w:tcPr>
    </w:tblStylePr>
    <w:tblStylePr w:type="band2Vert">
      <w:rPr>
        <w:color w:val="auto"/>
      </w:rPr>
    </w:tblStylePr>
  </w:style>
  <w:style w:type="table" w:styleId="114">
    <w:name w:val="Table Grid 1"/>
    <w:basedOn w:val="81"/>
    <w:semiHidden/>
    <w:qFormat/>
    <w:uiPriority w:val="0"/>
    <w:pPr>
      <w:widowControl w:val="0"/>
      <w:jc w:val="both"/>
    </w:pPr>
    <w:rPr>
      <w:rFonts w:ascii="Times New Roman" w:hAnsi="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cPr>
      <w:shd w:val="clear" w:color="auto" w:fill="auto"/>
    </w:tcPr>
    <w:tblStylePr w:type="lastRow">
      <w:rPr>
        <w:i/>
        <w:iCs/>
      </w:rPr>
      <w:tblPr>
        <w:tblLayout w:type="fixed"/>
      </w:tblPr>
      <w:tcPr>
        <w:tcBorders>
          <w:tl2br w:val="nil"/>
          <w:tr2bl w:val="nil"/>
        </w:tcBorders>
      </w:tcPr>
    </w:tblStylePr>
    <w:tblStylePr w:type="lastCol">
      <w:rPr>
        <w:i/>
        <w:i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15">
    <w:name w:val="Table Grid 2"/>
    <w:basedOn w:val="81"/>
    <w:semiHidden/>
    <w:qFormat/>
    <w:uiPriority w:val="0"/>
    <w:pPr>
      <w:widowControl w:val="0"/>
      <w:jc w:val="both"/>
    </w:pPr>
    <w:rPr>
      <w:rFonts w:ascii="Times New Roman" w:hAnsi="Times New Roman"/>
    </w:rPr>
    <w:tblPr>
      <w:tblBorders>
        <w:insideH w:val="single" w:color="000000" w:sz="6" w:space="0"/>
        <w:insideV w:val="single" w:color="000000" w:sz="6" w:space="0"/>
      </w:tblBorders>
      <w:tblLayout w:type="fixed"/>
    </w:tblPr>
    <w:tcPr>
      <w:shd w:val="clear" w:color="auto" w:fill="auto"/>
    </w:tcPr>
    <w:tblStylePr w:type="firstRow">
      <w:rPr>
        <w:b/>
        <w:bCs/>
      </w:rPr>
      <w:tblPr>
        <w:tblLayout w:type="fixed"/>
      </w:tblPr>
      <w:tcPr>
        <w:tcBorders>
          <w:tl2br w:val="nil"/>
          <w:tr2bl w:val="nil"/>
        </w:tcBorders>
      </w:tcPr>
    </w:tblStylePr>
    <w:tblStylePr w:type="lastRow">
      <w:rPr>
        <w:b/>
        <w:bCs/>
      </w:rPr>
      <w:tblPr>
        <w:tblLayout w:type="fixed"/>
      </w:tblPr>
      <w:tcPr>
        <w:tcBorders>
          <w:top w:val="single" w:color="000000" w:sz="6" w:space="0"/>
          <w:tl2br w:val="nil"/>
          <w:tr2bl w:val="nil"/>
        </w:tcBorders>
      </w:tcPr>
    </w:tblStylePr>
    <w:tblStylePr w:type="firstCol">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style>
  <w:style w:type="table" w:styleId="116">
    <w:name w:val="Table Grid 3"/>
    <w:basedOn w:val="81"/>
    <w:semiHidden/>
    <w:qFormat/>
    <w:uiPriority w:val="0"/>
    <w:pPr>
      <w:widowControl w:val="0"/>
      <w:jc w:val="both"/>
    </w:pPr>
    <w:rPr>
      <w:rFonts w:ascii="Times New Roman" w:hAnsi="Times New Roman"/>
    </w:rPr>
    <w:tblPr>
      <w:tblBorders>
        <w:top w:val="single" w:color="000000" w:sz="6" w:space="0"/>
        <w:left w:val="single" w:color="000000" w:sz="12" w:space="0"/>
        <w:bottom w:val="single" w:color="000000" w:sz="6" w:space="0"/>
        <w:right w:val="single" w:color="000000" w:sz="12" w:space="0"/>
        <w:insideV w:val="single" w:color="000000" w:sz="6" w:space="0"/>
      </w:tblBorders>
      <w:tblLayout w:type="fixed"/>
    </w:tblPr>
    <w:tcPr>
      <w:shd w:val="clear" w:color="auto" w:fill="auto"/>
    </w:tcPr>
    <w:tblStylePr w:type="firstRow">
      <w:tblPr>
        <w:tblLayout w:type="fixed"/>
      </w:tblPr>
      <w:tcPr>
        <w:tcBorders>
          <w:bottom w:val="single" w:color="000000" w:sz="6" w:space="0"/>
          <w:tl2br w:val="nil"/>
          <w:tr2bl w:val="nil"/>
        </w:tcBorders>
        <w:shd w:val="pct30" w:color="FFFF00" w:fill="FFFFFF"/>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17">
    <w:name w:val="Table Grid 4"/>
    <w:basedOn w:val="81"/>
    <w:semiHidden/>
    <w:qFormat/>
    <w:uiPriority w:val="0"/>
    <w:pPr>
      <w:widowControl w:val="0"/>
      <w:jc w:val="both"/>
    </w:pPr>
    <w:rPr>
      <w:rFonts w:ascii="Times New Roman" w:hAnsi="Times New Roman"/>
    </w:rPr>
    <w:tblPr>
      <w:tblBorders>
        <w:left w:val="single" w:color="000000" w:sz="12" w:space="0"/>
        <w:right w:val="single" w:color="000000" w:sz="12" w:space="0"/>
        <w:insideH w:val="single" w:color="000000" w:sz="6" w:space="0"/>
        <w:insideV w:val="single" w:color="000000" w:sz="6" w:space="0"/>
      </w:tblBorders>
      <w:tblLayout w:type="fixed"/>
    </w:tblPr>
    <w:tcPr>
      <w:shd w:val="clear" w:color="auto" w:fill="auto"/>
    </w:tcPr>
    <w:tblStylePr w:type="firstRow">
      <w:rPr>
        <w:color w:val="auto"/>
      </w:rPr>
      <w:tblPr>
        <w:tblLayout w:type="fixed"/>
      </w:tblPr>
      <w:tcPr>
        <w:tcBorders>
          <w:bottom w:val="single" w:color="000000" w:sz="6" w:space="0"/>
          <w:tl2br w:val="nil"/>
          <w:tr2bl w:val="nil"/>
        </w:tcBorders>
        <w:shd w:val="pct30" w:color="FFFF00" w:fill="FFFFFF"/>
      </w:tcPr>
    </w:tblStylePr>
    <w:tblStylePr w:type="lastRow">
      <w:rPr>
        <w:b/>
        <w:bCs/>
        <w:color w:val="auto"/>
      </w:rPr>
      <w:tblPr>
        <w:tblLayout w:type="fixed"/>
      </w:tblPr>
      <w:tcPr>
        <w:tcBorders>
          <w:top w:val="single" w:color="000000" w:sz="6" w:space="0"/>
          <w:tl2br w:val="nil"/>
          <w:tr2bl w:val="nil"/>
        </w:tcBorders>
        <w:shd w:val="pct30" w:color="FFFF00" w:fill="FFFFFF"/>
      </w:tcPr>
    </w:tblStylePr>
    <w:tblStylePr w:type="lastCol">
      <w:rPr>
        <w:b/>
        <w:bCs/>
        <w:color w:val="auto"/>
      </w:rPr>
      <w:tblPr>
        <w:tblLayout w:type="fixed"/>
      </w:tblPr>
      <w:tcPr>
        <w:tcBorders>
          <w:tl2br w:val="nil"/>
          <w:tr2bl w:val="nil"/>
        </w:tcBorders>
      </w:tcPr>
    </w:tblStylePr>
  </w:style>
  <w:style w:type="table" w:styleId="118">
    <w:name w:val="Table Grid 5"/>
    <w:basedOn w:val="81"/>
    <w:semiHidden/>
    <w:qFormat/>
    <w:uiPriority w:val="0"/>
    <w:pPr>
      <w:widowControl w:val="0"/>
      <w:jc w:val="both"/>
    </w:pPr>
    <w:rPr>
      <w:rFonts w:ascii="Times New Roman" w:hAnsi="Times New Roman"/>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
    <w:tcPr>
      <w:shd w:val="clear" w:color="auto" w:fill="auto"/>
    </w:tcPr>
    <w:tblStylePr w:type="firstRow">
      <w:tblPr>
        <w:tblLayout w:type="fixed"/>
      </w:tblPr>
      <w:tcPr>
        <w:tcBorders>
          <w:bottom w:val="single" w:color="000000" w:sz="12" w:space="0"/>
          <w:tl2br w:val="nil"/>
          <w:tr2bl w:val="nil"/>
        </w:tcBorders>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19">
    <w:name w:val="Table Grid 6"/>
    <w:basedOn w:val="81"/>
    <w:semiHidden/>
    <w:qFormat/>
    <w:uiPriority w:val="0"/>
    <w:pPr>
      <w:widowControl w:val="0"/>
      <w:jc w:val="both"/>
    </w:pPr>
    <w:rPr>
      <w:rFonts w:ascii="Times New Roman" w:hAnsi="Times New Roman"/>
    </w:rPr>
    <w:tblPr>
      <w:tblBorders>
        <w:top w:val="single" w:color="000000" w:sz="12" w:space="0"/>
        <w:left w:val="single" w:color="000000" w:sz="12" w:space="0"/>
        <w:bottom w:val="single" w:color="000000" w:sz="12" w:space="0"/>
        <w:right w:val="single" w:color="000000" w:sz="12" w:space="0"/>
        <w:insideV w:val="single" w:color="000000" w:sz="6" w:space="0"/>
      </w:tblBorders>
      <w:tblLayout w:type="fixed"/>
    </w:tblPr>
    <w:tcPr>
      <w:shd w:val="clear" w:color="auto" w:fill="auto"/>
    </w:tcPr>
    <w:tblStylePr w:type="firstRow">
      <w:rPr>
        <w:b/>
        <w:bCs/>
      </w:rPr>
      <w:tblPr>
        <w:tblLayout w:type="fixed"/>
      </w:tblPr>
      <w:tcPr>
        <w:tcBorders>
          <w:bottom w:val="single" w:color="000000" w:sz="6" w:space="0"/>
          <w:tl2br w:val="nil"/>
          <w:tr2bl w:val="nil"/>
        </w:tcBorders>
      </w:tcPr>
    </w:tblStylePr>
    <w:tblStylePr w:type="lastRow">
      <w:rPr>
        <w:color w:val="auto"/>
      </w:rPr>
      <w:tblPr>
        <w:tblLayout w:type="fixed"/>
      </w:tblPr>
      <w:tcPr>
        <w:tcBorders>
          <w:top w:val="single" w:color="000000" w:sz="6" w:space="0"/>
          <w:tl2br w:val="nil"/>
          <w:tr2bl w:val="nil"/>
        </w:tcBorders>
      </w:tcPr>
    </w:tblStylePr>
    <w:tblStylePr w:type="fir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20">
    <w:name w:val="Table Grid 7"/>
    <w:basedOn w:val="81"/>
    <w:semiHidden/>
    <w:qFormat/>
    <w:uiPriority w:val="0"/>
    <w:pPr>
      <w:widowControl w:val="0"/>
      <w:jc w:val="both"/>
    </w:pPr>
    <w:rPr>
      <w:rFonts w:ascii="Times New Roman" w:hAnsi="Times New Roman"/>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
    <w:tcPr>
      <w:shd w:val="clear" w:color="auto" w:fill="auto"/>
    </w:tcPr>
    <w:tblStylePr w:type="firstRow">
      <w:rPr>
        <w:b w:val="0"/>
        <w:bCs w:val="0"/>
      </w:rPr>
      <w:tblPr>
        <w:tblLayout w:type="fixed"/>
      </w:tblPr>
      <w:tcPr>
        <w:tcBorders>
          <w:bottom w:val="single" w:color="000000" w:sz="12" w:space="0"/>
          <w:tl2br w:val="nil"/>
          <w:tr2bl w:val="nil"/>
        </w:tcBorders>
      </w:tcPr>
    </w:tblStylePr>
    <w:tblStylePr w:type="lastRow">
      <w:rPr>
        <w:b w:val="0"/>
        <w:bCs w:val="0"/>
      </w:rPr>
      <w:tblPr>
        <w:tblLayout w:type="fixed"/>
      </w:tblPr>
      <w:tcPr>
        <w:tcBorders>
          <w:top w:val="single" w:color="000000" w:sz="6" w:space="0"/>
          <w:tl2br w:val="nil"/>
          <w:tr2bl w:val="nil"/>
        </w:tcBorders>
      </w:tcPr>
    </w:tblStylePr>
    <w:tblStylePr w:type="firstCol">
      <w:rPr>
        <w:b w:val="0"/>
        <w:bCs w:val="0"/>
      </w:rPr>
      <w:tblPr>
        <w:tblLayout w:type="fixed"/>
      </w:tblPr>
      <w:tcPr>
        <w:tcBorders>
          <w:tl2br w:val="nil"/>
          <w:tr2bl w:val="nil"/>
        </w:tcBorders>
      </w:tcPr>
    </w:tblStylePr>
    <w:tblStylePr w:type="lastCol">
      <w:rPr>
        <w:b w:val="0"/>
        <w:bCs w:val="0"/>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21">
    <w:name w:val="Table Grid 8"/>
    <w:basedOn w:val="81"/>
    <w:semiHidden/>
    <w:qFormat/>
    <w:uiPriority w:val="0"/>
    <w:pPr>
      <w:widowControl w:val="0"/>
      <w:jc w:val="both"/>
    </w:pPr>
    <w:rPr>
      <w:rFonts w:ascii="Times New Roman" w:hAnsi="Times New Roman"/>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Layout w:type="fixed"/>
    </w:tblPr>
    <w:tcPr>
      <w:shd w:val="clear" w:color="auto" w:fill="auto"/>
    </w:tcPr>
    <w:tblStylePr w:type="firstRow">
      <w:rPr>
        <w:b/>
        <w:bCs/>
        <w:color w:val="FFFFFF"/>
      </w:rPr>
      <w:tblPr>
        <w:tblLayout w:type="fixed"/>
      </w:tblPr>
      <w:tcPr>
        <w:tcBorders>
          <w:tl2br w:val="nil"/>
          <w:tr2bl w:val="nil"/>
        </w:tcBorders>
        <w:shd w:val="solid" w:color="000080" w:fill="FFFFFF"/>
      </w:tcPr>
    </w:tblStylePr>
    <w:tblStylePr w:type="lastRow">
      <w:rPr>
        <w:b/>
        <w:bCs/>
        <w:color w:val="auto"/>
      </w:rPr>
      <w:tblPr>
        <w:tblLayout w:type="fixed"/>
      </w:tblPr>
      <w:tcPr>
        <w:tcBorders>
          <w:tl2br w:val="nil"/>
          <w:tr2bl w:val="nil"/>
        </w:tcBorders>
      </w:tcPr>
    </w:tblStylePr>
    <w:tblStylePr w:type="lastCol">
      <w:rPr>
        <w:b/>
        <w:bCs/>
        <w:color w:val="auto"/>
      </w:rPr>
      <w:tblPr>
        <w:tblLayout w:type="fixed"/>
      </w:tblPr>
      <w:tcPr>
        <w:tcBorders>
          <w:tl2br w:val="nil"/>
          <w:tr2bl w:val="nil"/>
        </w:tcBorders>
      </w:tcPr>
    </w:tblStylePr>
  </w:style>
  <w:style w:type="table" w:styleId="122">
    <w:name w:val="Table Web 1"/>
    <w:basedOn w:val="81"/>
    <w:semiHidden/>
    <w:qFormat/>
    <w:uiPriority w:val="0"/>
    <w:pPr>
      <w:widowControl w:val="0"/>
      <w:jc w:val="both"/>
    </w:pPr>
    <w:rPr>
      <w:rFonts w:ascii="Times New Roman" w:hAnsi="Times New Roman"/>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Pr>
    <w:trPr>
      <w:tblCellSpacing w:w="20" w:type="dxa"/>
    </w:trPr>
    <w:tcPr>
      <w:shd w:val="clear" w:color="auto" w:fill="auto"/>
    </w:tcPr>
    <w:tblStylePr w:type="firstRow">
      <w:rPr>
        <w:color w:val="auto"/>
      </w:rPr>
      <w:tblPr>
        <w:tblLayout w:type="fixed"/>
      </w:tblPr>
      <w:tcPr>
        <w:tcBorders>
          <w:tl2br w:val="nil"/>
          <w:tr2bl w:val="nil"/>
        </w:tcBorders>
      </w:tcPr>
    </w:tblStylePr>
  </w:style>
  <w:style w:type="table" w:styleId="123">
    <w:name w:val="Table Web 2"/>
    <w:basedOn w:val="81"/>
    <w:semiHidden/>
    <w:qFormat/>
    <w:uiPriority w:val="0"/>
    <w:pPr>
      <w:widowControl w:val="0"/>
      <w:jc w:val="both"/>
    </w:pPr>
    <w:rPr>
      <w:rFonts w:ascii="Times New Roman" w:hAnsi="Times New Roman"/>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Layout w:type="fixed"/>
    </w:tblPr>
    <w:trPr>
      <w:tblCellSpacing w:w="20" w:type="dxa"/>
    </w:trPr>
    <w:tcPr>
      <w:shd w:val="clear" w:color="auto" w:fill="auto"/>
    </w:tcPr>
    <w:tblStylePr w:type="firstRow">
      <w:rPr>
        <w:color w:val="auto"/>
      </w:rPr>
      <w:tblPr>
        <w:tblLayout w:type="fixed"/>
      </w:tblPr>
      <w:tcPr>
        <w:tcBorders>
          <w:tl2br w:val="nil"/>
          <w:tr2bl w:val="nil"/>
        </w:tcBorders>
      </w:tcPr>
    </w:tblStylePr>
  </w:style>
  <w:style w:type="table" w:styleId="124">
    <w:name w:val="Table Web 3"/>
    <w:basedOn w:val="81"/>
    <w:semiHidden/>
    <w:qFormat/>
    <w:uiPriority w:val="0"/>
    <w:pPr>
      <w:widowControl w:val="0"/>
      <w:jc w:val="both"/>
    </w:pPr>
    <w:rPr>
      <w:rFonts w:ascii="Times New Roman" w:hAnsi="Times New Roman"/>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Layout w:type="fixed"/>
    </w:tblPr>
    <w:trPr>
      <w:tblCellSpacing w:w="20" w:type="dxa"/>
    </w:trPr>
    <w:tcPr>
      <w:shd w:val="clear" w:color="auto" w:fill="auto"/>
    </w:tcPr>
    <w:tblStylePr w:type="firstRow">
      <w:rPr>
        <w:color w:val="auto"/>
      </w:rPr>
      <w:tblPr>
        <w:tblLayout w:type="fixed"/>
      </w:tblPr>
      <w:tcPr>
        <w:tcBorders>
          <w:tl2br w:val="nil"/>
          <w:tr2bl w:val="nil"/>
        </w:tcBorders>
      </w:tcPr>
    </w:tblStylePr>
  </w:style>
  <w:style w:type="table" w:styleId="125">
    <w:name w:val="Table Professional"/>
    <w:basedOn w:val="81"/>
    <w:semiHidden/>
    <w:qFormat/>
    <w:uiPriority w:val="0"/>
    <w:pPr>
      <w:widowControl w:val="0"/>
      <w:jc w:val="both"/>
    </w:pPr>
    <w:rPr>
      <w:rFonts w:ascii="Times New Roman" w:hAnsi="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cPr>
      <w:shd w:val="clear" w:color="auto" w:fill="auto"/>
    </w:tcPr>
    <w:tblStylePr w:type="firstRow">
      <w:rPr>
        <w:b/>
        <w:bCs/>
        <w:color w:val="auto"/>
      </w:rPr>
      <w:tblPr>
        <w:tblLayout w:type="fixed"/>
      </w:tblPr>
      <w:tcPr>
        <w:tcBorders>
          <w:tl2br w:val="nil"/>
          <w:tr2bl w:val="nil"/>
        </w:tcBorders>
        <w:shd w:val="solid" w:color="000000" w:fill="FFFFFF"/>
      </w:tcPr>
    </w:tblStylePr>
  </w:style>
  <w:style w:type="character" w:styleId="127">
    <w:name w:val="endnote reference"/>
    <w:semiHidden/>
    <w:qFormat/>
    <w:uiPriority w:val="0"/>
    <w:rPr>
      <w:vertAlign w:val="superscript"/>
    </w:rPr>
  </w:style>
  <w:style w:type="character" w:styleId="128">
    <w:name w:val="FollowedHyperlink"/>
    <w:unhideWhenUsed/>
    <w:qFormat/>
    <w:uiPriority w:val="99"/>
    <w:rPr>
      <w:color w:val="800080"/>
      <w:u w:val="single"/>
    </w:rPr>
  </w:style>
  <w:style w:type="character" w:styleId="129">
    <w:name w:val="line number"/>
    <w:basedOn w:val="126"/>
    <w:semiHidden/>
    <w:qFormat/>
    <w:uiPriority w:val="0"/>
  </w:style>
  <w:style w:type="character" w:styleId="130">
    <w:name w:val="HTML Definition"/>
    <w:semiHidden/>
    <w:qFormat/>
    <w:uiPriority w:val="0"/>
    <w:rPr>
      <w:i/>
      <w:iCs/>
    </w:rPr>
  </w:style>
  <w:style w:type="character" w:styleId="131">
    <w:name w:val="HTML Typewriter"/>
    <w:semiHidden/>
    <w:qFormat/>
    <w:uiPriority w:val="0"/>
    <w:rPr>
      <w:rFonts w:ascii="Courier New" w:hAnsi="Courier New" w:cs="Courier New"/>
      <w:sz w:val="20"/>
      <w:szCs w:val="20"/>
    </w:rPr>
  </w:style>
  <w:style w:type="character" w:styleId="132">
    <w:name w:val="HTML Acronym"/>
    <w:basedOn w:val="126"/>
    <w:semiHidden/>
    <w:qFormat/>
    <w:uiPriority w:val="0"/>
  </w:style>
  <w:style w:type="character" w:styleId="133">
    <w:name w:val="HTML Variable"/>
    <w:semiHidden/>
    <w:qFormat/>
    <w:uiPriority w:val="0"/>
    <w:rPr>
      <w:i/>
      <w:iCs/>
    </w:rPr>
  </w:style>
  <w:style w:type="character" w:styleId="134">
    <w:name w:val="Hyperlink"/>
    <w:basedOn w:val="126"/>
    <w:unhideWhenUsed/>
    <w:qFormat/>
    <w:uiPriority w:val="99"/>
    <w:rPr>
      <w:color w:val="0000FF"/>
      <w:u w:val="single"/>
    </w:rPr>
  </w:style>
  <w:style w:type="character" w:styleId="135">
    <w:name w:val="HTML Code"/>
    <w:semiHidden/>
    <w:qFormat/>
    <w:uiPriority w:val="0"/>
    <w:rPr>
      <w:rFonts w:ascii="Courier New" w:hAnsi="Courier New" w:cs="Courier New"/>
      <w:sz w:val="20"/>
      <w:szCs w:val="20"/>
    </w:rPr>
  </w:style>
  <w:style w:type="character" w:styleId="136">
    <w:name w:val="annotation reference"/>
    <w:semiHidden/>
    <w:qFormat/>
    <w:uiPriority w:val="0"/>
    <w:rPr>
      <w:sz w:val="21"/>
      <w:szCs w:val="21"/>
    </w:rPr>
  </w:style>
  <w:style w:type="character" w:styleId="137">
    <w:name w:val="HTML Cite"/>
    <w:semiHidden/>
    <w:qFormat/>
    <w:uiPriority w:val="0"/>
    <w:rPr>
      <w:i/>
      <w:iCs/>
    </w:rPr>
  </w:style>
  <w:style w:type="character" w:styleId="138">
    <w:name w:val="footnote reference"/>
    <w:semiHidden/>
    <w:qFormat/>
    <w:uiPriority w:val="0"/>
    <w:rPr>
      <w:vertAlign w:val="superscript"/>
    </w:rPr>
  </w:style>
  <w:style w:type="character" w:styleId="139">
    <w:name w:val="HTML Keyboard"/>
    <w:semiHidden/>
    <w:qFormat/>
    <w:uiPriority w:val="0"/>
    <w:rPr>
      <w:rFonts w:ascii="Courier New" w:hAnsi="Courier New" w:cs="Courier New"/>
      <w:sz w:val="20"/>
      <w:szCs w:val="20"/>
    </w:rPr>
  </w:style>
  <w:style w:type="character" w:styleId="140">
    <w:name w:val="HTML Sample"/>
    <w:semiHidden/>
    <w:qFormat/>
    <w:uiPriority w:val="0"/>
    <w:rPr>
      <w:rFonts w:ascii="Courier New" w:hAnsi="Courier New" w:cs="Courier New"/>
    </w:rPr>
  </w:style>
  <w:style w:type="character" w:customStyle="1" w:styleId="141">
    <w:name w:val="标题 1 字符"/>
    <w:basedOn w:val="126"/>
    <w:link w:val="2"/>
    <w:qFormat/>
    <w:uiPriority w:val="0"/>
    <w:rPr>
      <w:b/>
      <w:bCs/>
      <w:kern w:val="44"/>
      <w:sz w:val="44"/>
      <w:szCs w:val="44"/>
    </w:rPr>
  </w:style>
  <w:style w:type="character" w:customStyle="1" w:styleId="142">
    <w:name w:val="标题 2 字符"/>
    <w:basedOn w:val="126"/>
    <w:link w:val="3"/>
    <w:qFormat/>
    <w:uiPriority w:val="0"/>
    <w:rPr>
      <w:rFonts w:asciiTheme="majorHAnsi" w:hAnsiTheme="majorHAnsi" w:eastAsiaTheme="majorEastAsia" w:cstheme="majorBidi"/>
      <w:b/>
      <w:bCs/>
      <w:sz w:val="32"/>
      <w:szCs w:val="32"/>
    </w:rPr>
  </w:style>
  <w:style w:type="character" w:customStyle="1" w:styleId="143">
    <w:name w:val="标题 3 字符"/>
    <w:basedOn w:val="126"/>
    <w:link w:val="4"/>
    <w:qFormat/>
    <w:uiPriority w:val="0"/>
    <w:rPr>
      <w:b/>
      <w:bCs/>
      <w:sz w:val="32"/>
      <w:szCs w:val="32"/>
    </w:rPr>
  </w:style>
  <w:style w:type="character" w:customStyle="1" w:styleId="144">
    <w:name w:val="标题 4 字符"/>
    <w:basedOn w:val="126"/>
    <w:link w:val="6"/>
    <w:qFormat/>
    <w:uiPriority w:val="0"/>
    <w:rPr>
      <w:rFonts w:asciiTheme="majorHAnsi" w:hAnsiTheme="majorHAnsi" w:eastAsiaTheme="majorEastAsia" w:cstheme="majorBidi"/>
      <w:b/>
      <w:bCs/>
      <w:sz w:val="28"/>
      <w:szCs w:val="28"/>
    </w:rPr>
  </w:style>
  <w:style w:type="character" w:customStyle="1" w:styleId="145">
    <w:name w:val="标题 5 字符"/>
    <w:basedOn w:val="126"/>
    <w:link w:val="7"/>
    <w:qFormat/>
    <w:uiPriority w:val="0"/>
    <w:rPr>
      <w:b/>
      <w:bCs/>
      <w:sz w:val="28"/>
      <w:szCs w:val="28"/>
    </w:rPr>
  </w:style>
  <w:style w:type="character" w:customStyle="1" w:styleId="146">
    <w:name w:val="标题 6 字符"/>
    <w:basedOn w:val="126"/>
    <w:link w:val="8"/>
    <w:qFormat/>
    <w:uiPriority w:val="0"/>
    <w:rPr>
      <w:rFonts w:asciiTheme="majorHAnsi" w:hAnsiTheme="majorHAnsi" w:eastAsiaTheme="majorEastAsia" w:cstheme="majorBidi"/>
      <w:b/>
      <w:bCs/>
      <w:sz w:val="24"/>
      <w:szCs w:val="24"/>
    </w:rPr>
  </w:style>
  <w:style w:type="character" w:customStyle="1" w:styleId="147">
    <w:name w:val="标题 7 字符"/>
    <w:basedOn w:val="126"/>
    <w:link w:val="9"/>
    <w:qFormat/>
    <w:uiPriority w:val="0"/>
    <w:rPr>
      <w:b/>
      <w:bCs/>
      <w:sz w:val="24"/>
      <w:szCs w:val="24"/>
    </w:rPr>
  </w:style>
  <w:style w:type="character" w:customStyle="1" w:styleId="148">
    <w:name w:val="标题 8 字符"/>
    <w:basedOn w:val="126"/>
    <w:link w:val="10"/>
    <w:qFormat/>
    <w:uiPriority w:val="0"/>
    <w:rPr>
      <w:rFonts w:asciiTheme="majorHAnsi" w:hAnsiTheme="majorHAnsi" w:eastAsiaTheme="majorEastAsia" w:cstheme="majorBidi"/>
      <w:sz w:val="24"/>
      <w:szCs w:val="24"/>
    </w:rPr>
  </w:style>
  <w:style w:type="character" w:customStyle="1" w:styleId="149">
    <w:name w:val="标题 9 字符"/>
    <w:basedOn w:val="126"/>
    <w:link w:val="11"/>
    <w:qFormat/>
    <w:uiPriority w:val="0"/>
    <w:rPr>
      <w:rFonts w:asciiTheme="majorHAnsi" w:hAnsiTheme="majorHAnsi" w:eastAsiaTheme="majorEastAsia" w:cstheme="majorBidi"/>
      <w:szCs w:val="21"/>
    </w:rPr>
  </w:style>
  <w:style w:type="character" w:customStyle="1" w:styleId="150">
    <w:name w:val="HTML 预设格式 字符"/>
    <w:link w:val="74"/>
    <w:semiHidden/>
    <w:qFormat/>
    <w:uiPriority w:val="0"/>
    <w:rPr>
      <w:rFonts w:ascii="宋体" w:hAnsi="宋体" w:eastAsia="宋体" w:cs="宋体"/>
      <w:color w:val="000000"/>
      <w:kern w:val="0"/>
      <w:sz w:val="24"/>
      <w:szCs w:val="24"/>
    </w:rPr>
  </w:style>
  <w:style w:type="character" w:customStyle="1" w:styleId="151">
    <w:name w:val="签名 字符"/>
    <w:link w:val="55"/>
    <w:semiHidden/>
    <w:qFormat/>
    <w:uiPriority w:val="0"/>
    <w:rPr>
      <w:rFonts w:ascii="Times New Roman" w:hAnsi="Times New Roman" w:eastAsia="宋体" w:cs="Times New Roman"/>
      <w:szCs w:val="24"/>
    </w:rPr>
  </w:style>
  <w:style w:type="character" w:customStyle="1" w:styleId="152">
    <w:name w:val="正文首行缩进 2 字符"/>
    <w:link w:val="80"/>
    <w:semiHidden/>
    <w:qFormat/>
    <w:uiPriority w:val="0"/>
    <w:rPr>
      <w:rFonts w:ascii="Times New Roman" w:hAnsi="Times New Roman"/>
      <w:szCs w:val="24"/>
    </w:rPr>
  </w:style>
  <w:style w:type="character" w:customStyle="1" w:styleId="153">
    <w:name w:val="注释标题 字符"/>
    <w:link w:val="15"/>
    <w:semiHidden/>
    <w:qFormat/>
    <w:uiPriority w:val="0"/>
    <w:rPr>
      <w:rFonts w:ascii="Times New Roman" w:hAnsi="Times New Roman" w:eastAsia="宋体" w:cs="Times New Roman"/>
      <w:szCs w:val="24"/>
    </w:rPr>
  </w:style>
  <w:style w:type="character" w:customStyle="1" w:styleId="154">
    <w:name w:val="unnamed211"/>
    <w:semiHidden/>
    <w:qFormat/>
    <w:uiPriority w:val="0"/>
    <w:rPr>
      <w:sz w:val="23"/>
      <w:szCs w:val="23"/>
    </w:rPr>
  </w:style>
  <w:style w:type="character" w:customStyle="1" w:styleId="155">
    <w:name w:val="电子邮件签名 字符"/>
    <w:link w:val="18"/>
    <w:semiHidden/>
    <w:qFormat/>
    <w:uiPriority w:val="0"/>
    <w:rPr>
      <w:rFonts w:ascii="Times New Roman" w:hAnsi="Times New Roman" w:eastAsia="宋体" w:cs="Times New Roman"/>
      <w:szCs w:val="24"/>
    </w:rPr>
  </w:style>
  <w:style w:type="character" w:customStyle="1" w:styleId="156">
    <w:name w:val="批注文字 Char"/>
    <w:semiHidden/>
    <w:qFormat/>
    <w:uiPriority w:val="0"/>
    <w:rPr>
      <w:rFonts w:ascii="Times New Roman" w:hAnsi="Times New Roman" w:eastAsia="宋体" w:cs="Times New Roman"/>
      <w:szCs w:val="20"/>
    </w:rPr>
  </w:style>
  <w:style w:type="character" w:customStyle="1" w:styleId="157">
    <w:name w:val="页脚 字符"/>
    <w:link w:val="52"/>
    <w:qFormat/>
    <w:uiPriority w:val="0"/>
    <w:rPr>
      <w:rFonts w:ascii="Times New Roman" w:hAnsi="Times New Roman" w:eastAsia="宋体" w:cs="Times New Roman"/>
      <w:sz w:val="18"/>
      <w:szCs w:val="18"/>
    </w:rPr>
  </w:style>
  <w:style w:type="character" w:customStyle="1" w:styleId="158">
    <w:name w:val="文档结构图 字符"/>
    <w:link w:val="23"/>
    <w:qFormat/>
    <w:uiPriority w:val="0"/>
    <w:rPr>
      <w:rFonts w:ascii="Times New Roman" w:hAnsi="Times New Roman" w:eastAsia="宋体" w:cs="Times New Roman"/>
      <w:szCs w:val="20"/>
      <w:shd w:val="clear" w:color="auto" w:fill="000080"/>
    </w:rPr>
  </w:style>
  <w:style w:type="character" w:customStyle="1" w:styleId="159">
    <w:name w:val="信息标题 字符"/>
    <w:link w:val="73"/>
    <w:semiHidden/>
    <w:qFormat/>
    <w:uiPriority w:val="0"/>
    <w:rPr>
      <w:rFonts w:ascii="Arial" w:hAnsi="Arial" w:eastAsia="宋体" w:cs="Arial"/>
      <w:sz w:val="24"/>
      <w:szCs w:val="24"/>
      <w:shd w:val="pct20" w:color="auto" w:fill="auto"/>
    </w:rPr>
  </w:style>
  <w:style w:type="character" w:customStyle="1" w:styleId="160">
    <w:name w:val="正文文本 3 字符"/>
    <w:link w:val="28"/>
    <w:semiHidden/>
    <w:qFormat/>
    <w:uiPriority w:val="0"/>
    <w:rPr>
      <w:rFonts w:ascii="Times New Roman" w:hAnsi="Times New Roman" w:eastAsia="宋体" w:cs="Times New Roman"/>
      <w:sz w:val="16"/>
      <w:szCs w:val="16"/>
    </w:rPr>
  </w:style>
  <w:style w:type="character" w:customStyle="1" w:styleId="161">
    <w:name w:val="批注框文本 字符"/>
    <w:link w:val="51"/>
    <w:semiHidden/>
    <w:qFormat/>
    <w:uiPriority w:val="0"/>
    <w:rPr>
      <w:rFonts w:ascii="Times New Roman" w:hAnsi="Times New Roman" w:eastAsia="宋体" w:cs="Times New Roman"/>
      <w:sz w:val="18"/>
      <w:szCs w:val="18"/>
    </w:rPr>
  </w:style>
  <w:style w:type="character" w:customStyle="1" w:styleId="162">
    <w:name w:val="批注主题 字符"/>
    <w:link w:val="78"/>
    <w:semiHidden/>
    <w:qFormat/>
    <w:uiPriority w:val="0"/>
    <w:rPr>
      <w:rFonts w:ascii="Times New Roman" w:hAnsi="Times New Roman" w:eastAsia="宋体" w:cs="Times New Roman"/>
      <w:b/>
      <w:bCs/>
      <w:szCs w:val="24"/>
    </w:rPr>
  </w:style>
  <w:style w:type="character" w:customStyle="1" w:styleId="163">
    <w:name w:val="ss1"/>
    <w:semiHidden/>
    <w:qFormat/>
    <w:uiPriority w:val="0"/>
    <w:rPr>
      <w:rFonts w:hint="default" w:ascii="ˎ̥" w:hAnsi="ˎ̥"/>
      <w:color w:val="000000"/>
      <w:sz w:val="18"/>
      <w:szCs w:val="18"/>
      <w:u w:val="none"/>
    </w:rPr>
  </w:style>
  <w:style w:type="character" w:customStyle="1" w:styleId="164">
    <w:name w:val="正文文本缩进 2 字符"/>
    <w:link w:val="48"/>
    <w:semiHidden/>
    <w:qFormat/>
    <w:uiPriority w:val="0"/>
    <w:rPr>
      <w:rFonts w:ascii="Times New Roman" w:hAnsi="Times New Roman" w:eastAsia="宋体" w:cs="Times New Roman"/>
      <w:szCs w:val="24"/>
    </w:rPr>
  </w:style>
  <w:style w:type="character" w:customStyle="1" w:styleId="165">
    <w:name w:val="f142"/>
    <w:semiHidden/>
    <w:qFormat/>
    <w:uiPriority w:val="0"/>
    <w:rPr>
      <w:sz w:val="21"/>
      <w:szCs w:val="21"/>
    </w:rPr>
  </w:style>
  <w:style w:type="character" w:customStyle="1" w:styleId="166">
    <w:name w:val="f14b1"/>
    <w:semiHidden/>
    <w:qFormat/>
    <w:uiPriority w:val="0"/>
    <w:rPr>
      <w:b/>
      <w:bCs/>
      <w:sz w:val="21"/>
      <w:szCs w:val="21"/>
    </w:rPr>
  </w:style>
  <w:style w:type="character" w:customStyle="1" w:styleId="167">
    <w:name w:val="ggwenhao"/>
    <w:basedOn w:val="126"/>
    <w:semiHidden/>
    <w:qFormat/>
    <w:uiPriority w:val="0"/>
  </w:style>
  <w:style w:type="character" w:customStyle="1" w:styleId="168">
    <w:name w:val="HTML 地址 字符"/>
    <w:link w:val="38"/>
    <w:semiHidden/>
    <w:qFormat/>
    <w:uiPriority w:val="0"/>
    <w:rPr>
      <w:rFonts w:ascii="Times New Roman" w:hAnsi="Times New Roman" w:eastAsia="宋体" w:cs="Times New Roman"/>
      <w:i/>
      <w:iCs/>
      <w:szCs w:val="24"/>
    </w:rPr>
  </w:style>
  <w:style w:type="character" w:customStyle="1" w:styleId="169">
    <w:name w:val="称呼 字符"/>
    <w:link w:val="27"/>
    <w:semiHidden/>
    <w:qFormat/>
    <w:uiPriority w:val="0"/>
    <w:rPr>
      <w:rFonts w:ascii="Times New Roman" w:hAnsi="Times New Roman" w:eastAsia="宋体" w:cs="Times New Roman"/>
      <w:szCs w:val="24"/>
    </w:rPr>
  </w:style>
  <w:style w:type="character" w:customStyle="1" w:styleId="170">
    <w:name w:val="结束语 字符"/>
    <w:link w:val="29"/>
    <w:semiHidden/>
    <w:qFormat/>
    <w:uiPriority w:val="0"/>
    <w:rPr>
      <w:rFonts w:ascii="Times New Roman" w:hAnsi="Times New Roman" w:eastAsia="宋体" w:cs="Times New Roman"/>
      <w:szCs w:val="24"/>
    </w:rPr>
  </w:style>
  <w:style w:type="character" w:customStyle="1" w:styleId="171">
    <w:name w:val="正文首行缩进 字符"/>
    <w:link w:val="79"/>
    <w:semiHidden/>
    <w:qFormat/>
    <w:uiPriority w:val="0"/>
    <w:rPr>
      <w:rFonts w:ascii="Times New Roman"/>
      <w:szCs w:val="24"/>
    </w:rPr>
  </w:style>
  <w:style w:type="character" w:customStyle="1" w:styleId="172">
    <w:name w:val="页眉 字符"/>
    <w:link w:val="54"/>
    <w:qFormat/>
    <w:uiPriority w:val="0"/>
    <w:rPr>
      <w:rFonts w:ascii="Times New Roman" w:hAnsi="Times New Roman" w:eastAsia="宋体" w:cs="Times New Roman"/>
      <w:sz w:val="18"/>
      <w:szCs w:val="18"/>
    </w:rPr>
  </w:style>
  <w:style w:type="character" w:customStyle="1" w:styleId="173">
    <w:name w:val="ca-41"/>
    <w:qFormat/>
    <w:uiPriority w:val="0"/>
    <w:rPr>
      <w:rFonts w:hint="eastAsia" w:ascii="黑体" w:eastAsia="黑体"/>
      <w:b/>
      <w:bCs/>
      <w:spacing w:val="-20"/>
      <w:sz w:val="30"/>
      <w:szCs w:val="30"/>
    </w:rPr>
  </w:style>
  <w:style w:type="character" w:customStyle="1" w:styleId="174">
    <w:name w:val="注释标题 字符1"/>
    <w:basedOn w:val="126"/>
    <w:semiHidden/>
    <w:qFormat/>
    <w:uiPriority w:val="99"/>
  </w:style>
  <w:style w:type="character" w:customStyle="1" w:styleId="175">
    <w:name w:val="注释标题 Char1"/>
    <w:basedOn w:val="126"/>
    <w:semiHidden/>
    <w:qFormat/>
    <w:uiPriority w:val="99"/>
    <w:rPr>
      <w:rFonts w:ascii="Times New Roman" w:hAnsi="Times New Roman" w:eastAsia="宋体" w:cs="Times New Roman"/>
      <w:szCs w:val="20"/>
    </w:rPr>
  </w:style>
  <w:style w:type="character" w:customStyle="1" w:styleId="176">
    <w:name w:val="正文文本 3 字符1"/>
    <w:basedOn w:val="126"/>
    <w:semiHidden/>
    <w:qFormat/>
    <w:uiPriority w:val="99"/>
    <w:rPr>
      <w:sz w:val="16"/>
      <w:szCs w:val="16"/>
    </w:rPr>
  </w:style>
  <w:style w:type="character" w:customStyle="1" w:styleId="177">
    <w:name w:val="正文文本 3 Char1"/>
    <w:basedOn w:val="126"/>
    <w:semiHidden/>
    <w:qFormat/>
    <w:uiPriority w:val="99"/>
    <w:rPr>
      <w:rFonts w:ascii="Times New Roman" w:hAnsi="Times New Roman" w:eastAsia="宋体" w:cs="Times New Roman"/>
      <w:sz w:val="16"/>
      <w:szCs w:val="16"/>
    </w:rPr>
  </w:style>
  <w:style w:type="character" w:customStyle="1" w:styleId="178">
    <w:name w:val="批注文字 字符"/>
    <w:basedOn w:val="126"/>
    <w:link w:val="25"/>
    <w:qFormat/>
    <w:uiPriority w:val="0"/>
    <w:rPr>
      <w:rFonts w:ascii="Times New Roman" w:hAnsi="Times New Roman" w:eastAsia="宋体" w:cs="Times New Roman"/>
      <w:szCs w:val="20"/>
    </w:rPr>
  </w:style>
  <w:style w:type="character" w:customStyle="1" w:styleId="179">
    <w:name w:val="批注主题 字符1"/>
    <w:basedOn w:val="178"/>
    <w:semiHidden/>
    <w:qFormat/>
    <w:uiPriority w:val="99"/>
    <w:rPr>
      <w:rFonts w:ascii="Times New Roman" w:hAnsi="Times New Roman" w:eastAsia="宋体" w:cs="Times New Roman"/>
      <w:b/>
      <w:bCs/>
      <w:szCs w:val="20"/>
    </w:rPr>
  </w:style>
  <w:style w:type="character" w:customStyle="1" w:styleId="180">
    <w:name w:val="批注主题 Char1"/>
    <w:basedOn w:val="178"/>
    <w:semiHidden/>
    <w:qFormat/>
    <w:uiPriority w:val="99"/>
    <w:rPr>
      <w:rFonts w:ascii="Times New Roman" w:hAnsi="Times New Roman" w:eastAsia="宋体" w:cs="Times New Roman"/>
      <w:b/>
      <w:bCs/>
      <w:szCs w:val="20"/>
    </w:rPr>
  </w:style>
  <w:style w:type="character" w:customStyle="1" w:styleId="181">
    <w:name w:val="正文文本 字符"/>
    <w:basedOn w:val="126"/>
    <w:link w:val="31"/>
    <w:semiHidden/>
    <w:qFormat/>
    <w:uiPriority w:val="99"/>
    <w:rPr>
      <w:rFonts w:ascii="Times New Roman" w:hAnsi="Times New Roman" w:eastAsia="宋体" w:cs="Times New Roman"/>
      <w:szCs w:val="20"/>
    </w:rPr>
  </w:style>
  <w:style w:type="character" w:customStyle="1" w:styleId="182">
    <w:name w:val="正文文本首行缩进 字符1"/>
    <w:basedOn w:val="181"/>
    <w:semiHidden/>
    <w:qFormat/>
    <w:uiPriority w:val="99"/>
    <w:rPr>
      <w:rFonts w:ascii="Times New Roman" w:hAnsi="Times New Roman" w:eastAsia="宋体" w:cs="Times New Roman"/>
      <w:szCs w:val="20"/>
    </w:rPr>
  </w:style>
  <w:style w:type="character" w:customStyle="1" w:styleId="183">
    <w:name w:val="正文首行缩进 Char1"/>
    <w:basedOn w:val="181"/>
    <w:semiHidden/>
    <w:qFormat/>
    <w:uiPriority w:val="99"/>
    <w:rPr>
      <w:rFonts w:ascii="Times New Roman" w:hAnsi="Times New Roman" w:eastAsia="宋体" w:cs="Times New Roman"/>
      <w:szCs w:val="20"/>
    </w:rPr>
  </w:style>
  <w:style w:type="character" w:customStyle="1" w:styleId="184">
    <w:name w:val="结束语 字符1"/>
    <w:basedOn w:val="126"/>
    <w:semiHidden/>
    <w:qFormat/>
    <w:uiPriority w:val="99"/>
  </w:style>
  <w:style w:type="character" w:customStyle="1" w:styleId="185">
    <w:name w:val="结束语 Char1"/>
    <w:basedOn w:val="126"/>
    <w:semiHidden/>
    <w:qFormat/>
    <w:uiPriority w:val="99"/>
    <w:rPr>
      <w:rFonts w:ascii="Times New Roman" w:hAnsi="Times New Roman" w:eastAsia="宋体" w:cs="Times New Roman"/>
      <w:szCs w:val="20"/>
    </w:rPr>
  </w:style>
  <w:style w:type="character" w:customStyle="1" w:styleId="186">
    <w:name w:val="称呼 字符1"/>
    <w:basedOn w:val="126"/>
    <w:semiHidden/>
    <w:qFormat/>
    <w:uiPriority w:val="99"/>
  </w:style>
  <w:style w:type="character" w:customStyle="1" w:styleId="187">
    <w:name w:val="称呼 Char1"/>
    <w:basedOn w:val="126"/>
    <w:semiHidden/>
    <w:qFormat/>
    <w:uiPriority w:val="99"/>
    <w:rPr>
      <w:rFonts w:ascii="Times New Roman" w:hAnsi="Times New Roman" w:eastAsia="宋体" w:cs="Times New Roman"/>
      <w:szCs w:val="20"/>
    </w:rPr>
  </w:style>
  <w:style w:type="character" w:customStyle="1" w:styleId="188">
    <w:name w:val="电子邮件签名 字符1"/>
    <w:basedOn w:val="126"/>
    <w:semiHidden/>
    <w:qFormat/>
    <w:uiPriority w:val="99"/>
  </w:style>
  <w:style w:type="character" w:customStyle="1" w:styleId="189">
    <w:name w:val="电子邮件签名 Char1"/>
    <w:basedOn w:val="126"/>
    <w:semiHidden/>
    <w:qFormat/>
    <w:uiPriority w:val="99"/>
    <w:rPr>
      <w:rFonts w:ascii="Times New Roman" w:hAnsi="Times New Roman" w:eastAsia="宋体" w:cs="Times New Roman"/>
      <w:szCs w:val="20"/>
    </w:rPr>
  </w:style>
  <w:style w:type="character" w:customStyle="1" w:styleId="190">
    <w:name w:val="文档结构图 字符1"/>
    <w:basedOn w:val="126"/>
    <w:semiHidden/>
    <w:qFormat/>
    <w:uiPriority w:val="99"/>
    <w:rPr>
      <w:rFonts w:ascii="Microsoft YaHei UI" w:eastAsia="Microsoft YaHei UI"/>
      <w:sz w:val="18"/>
      <w:szCs w:val="18"/>
    </w:rPr>
  </w:style>
  <w:style w:type="character" w:customStyle="1" w:styleId="191">
    <w:name w:val="文档结构图 Char1"/>
    <w:basedOn w:val="126"/>
    <w:semiHidden/>
    <w:qFormat/>
    <w:uiPriority w:val="99"/>
    <w:rPr>
      <w:rFonts w:ascii="宋体" w:hAnsi="Times New Roman" w:eastAsia="宋体" w:cs="Times New Roman"/>
      <w:sz w:val="18"/>
      <w:szCs w:val="18"/>
    </w:rPr>
  </w:style>
  <w:style w:type="character" w:customStyle="1" w:styleId="192">
    <w:name w:val="签名 字符1"/>
    <w:basedOn w:val="126"/>
    <w:semiHidden/>
    <w:qFormat/>
    <w:uiPriority w:val="99"/>
  </w:style>
  <w:style w:type="character" w:customStyle="1" w:styleId="193">
    <w:name w:val="签名 Char1"/>
    <w:basedOn w:val="126"/>
    <w:semiHidden/>
    <w:qFormat/>
    <w:uiPriority w:val="99"/>
    <w:rPr>
      <w:rFonts w:ascii="Times New Roman" w:hAnsi="Times New Roman" w:eastAsia="宋体" w:cs="Times New Roman"/>
      <w:szCs w:val="20"/>
    </w:rPr>
  </w:style>
  <w:style w:type="character" w:customStyle="1" w:styleId="194">
    <w:name w:val="正文文本缩进 2 字符1"/>
    <w:basedOn w:val="126"/>
    <w:semiHidden/>
    <w:qFormat/>
    <w:uiPriority w:val="99"/>
  </w:style>
  <w:style w:type="character" w:customStyle="1" w:styleId="195">
    <w:name w:val="正文文本缩进 2 Char1"/>
    <w:basedOn w:val="126"/>
    <w:semiHidden/>
    <w:qFormat/>
    <w:uiPriority w:val="99"/>
    <w:rPr>
      <w:rFonts w:ascii="Times New Roman" w:hAnsi="Times New Roman" w:eastAsia="宋体" w:cs="Times New Roman"/>
      <w:szCs w:val="20"/>
    </w:rPr>
  </w:style>
  <w:style w:type="character" w:customStyle="1" w:styleId="196">
    <w:name w:val="HTML 预设格式 字符1"/>
    <w:basedOn w:val="126"/>
    <w:semiHidden/>
    <w:qFormat/>
    <w:uiPriority w:val="99"/>
    <w:rPr>
      <w:rFonts w:ascii="Courier New" w:hAnsi="Courier New" w:cs="Courier New"/>
      <w:sz w:val="20"/>
      <w:szCs w:val="20"/>
    </w:rPr>
  </w:style>
  <w:style w:type="character" w:customStyle="1" w:styleId="197">
    <w:name w:val="HTML 预设格式 Char1"/>
    <w:basedOn w:val="126"/>
    <w:semiHidden/>
    <w:qFormat/>
    <w:uiPriority w:val="99"/>
    <w:rPr>
      <w:rFonts w:ascii="Courier New" w:hAnsi="Courier New" w:eastAsia="宋体" w:cs="Courier New"/>
      <w:sz w:val="20"/>
      <w:szCs w:val="20"/>
    </w:rPr>
  </w:style>
  <w:style w:type="character" w:customStyle="1" w:styleId="198">
    <w:name w:val="页眉 字符1"/>
    <w:basedOn w:val="126"/>
    <w:semiHidden/>
    <w:qFormat/>
    <w:uiPriority w:val="99"/>
    <w:rPr>
      <w:sz w:val="18"/>
      <w:szCs w:val="18"/>
    </w:rPr>
  </w:style>
  <w:style w:type="character" w:customStyle="1" w:styleId="199">
    <w:name w:val="页眉 Char1"/>
    <w:basedOn w:val="126"/>
    <w:semiHidden/>
    <w:qFormat/>
    <w:uiPriority w:val="99"/>
    <w:rPr>
      <w:rFonts w:ascii="Times New Roman" w:hAnsi="Times New Roman" w:eastAsia="宋体" w:cs="Times New Roman"/>
      <w:sz w:val="18"/>
      <w:szCs w:val="18"/>
    </w:rPr>
  </w:style>
  <w:style w:type="character" w:customStyle="1" w:styleId="200">
    <w:name w:val="HTML 地址 字符1"/>
    <w:basedOn w:val="126"/>
    <w:semiHidden/>
    <w:qFormat/>
    <w:uiPriority w:val="99"/>
    <w:rPr>
      <w:i/>
      <w:iCs/>
    </w:rPr>
  </w:style>
  <w:style w:type="character" w:customStyle="1" w:styleId="201">
    <w:name w:val="HTML 地址 Char1"/>
    <w:basedOn w:val="126"/>
    <w:semiHidden/>
    <w:qFormat/>
    <w:uiPriority w:val="99"/>
    <w:rPr>
      <w:rFonts w:ascii="Times New Roman" w:hAnsi="Times New Roman" w:eastAsia="宋体" w:cs="Times New Roman"/>
      <w:i/>
      <w:iCs/>
      <w:szCs w:val="20"/>
    </w:rPr>
  </w:style>
  <w:style w:type="character" w:customStyle="1" w:styleId="202">
    <w:name w:val="正文文本缩进 字符"/>
    <w:basedOn w:val="126"/>
    <w:link w:val="32"/>
    <w:semiHidden/>
    <w:qFormat/>
    <w:uiPriority w:val="99"/>
    <w:rPr>
      <w:rFonts w:ascii="Times New Roman" w:hAnsi="Times New Roman" w:eastAsia="宋体" w:cs="Times New Roman"/>
      <w:szCs w:val="20"/>
    </w:rPr>
  </w:style>
  <w:style w:type="character" w:customStyle="1" w:styleId="203">
    <w:name w:val="正文文本首行缩进 2 字符1"/>
    <w:basedOn w:val="202"/>
    <w:semiHidden/>
    <w:qFormat/>
    <w:uiPriority w:val="99"/>
    <w:rPr>
      <w:rFonts w:ascii="Times New Roman" w:hAnsi="Times New Roman" w:eastAsia="宋体" w:cs="Times New Roman"/>
      <w:szCs w:val="20"/>
    </w:rPr>
  </w:style>
  <w:style w:type="character" w:customStyle="1" w:styleId="204">
    <w:name w:val="正文首行缩进 2 Char1"/>
    <w:basedOn w:val="202"/>
    <w:semiHidden/>
    <w:qFormat/>
    <w:uiPriority w:val="99"/>
    <w:rPr>
      <w:rFonts w:ascii="Times New Roman" w:hAnsi="Times New Roman" w:eastAsia="宋体" w:cs="Times New Roman"/>
      <w:szCs w:val="20"/>
    </w:rPr>
  </w:style>
  <w:style w:type="character" w:customStyle="1" w:styleId="205">
    <w:name w:val="纯文本 字符"/>
    <w:basedOn w:val="126"/>
    <w:link w:val="42"/>
    <w:qFormat/>
    <w:uiPriority w:val="0"/>
    <w:rPr>
      <w:rFonts w:ascii="宋体" w:hAnsi="Courier New" w:eastAsia="宋体" w:cs="Times New Roman"/>
      <w:kern w:val="0"/>
      <w:sz w:val="20"/>
      <w:szCs w:val="21"/>
    </w:rPr>
  </w:style>
  <w:style w:type="character" w:customStyle="1" w:styleId="206">
    <w:name w:val="批注框文本 字符1"/>
    <w:basedOn w:val="126"/>
    <w:semiHidden/>
    <w:qFormat/>
    <w:uiPriority w:val="99"/>
    <w:rPr>
      <w:sz w:val="18"/>
      <w:szCs w:val="18"/>
    </w:rPr>
  </w:style>
  <w:style w:type="character" w:customStyle="1" w:styleId="207">
    <w:name w:val="批注框文本 Char1"/>
    <w:basedOn w:val="126"/>
    <w:semiHidden/>
    <w:qFormat/>
    <w:uiPriority w:val="99"/>
    <w:rPr>
      <w:rFonts w:ascii="Times New Roman" w:hAnsi="Times New Roman" w:eastAsia="宋体" w:cs="Times New Roman"/>
      <w:sz w:val="18"/>
      <w:szCs w:val="18"/>
    </w:rPr>
  </w:style>
  <w:style w:type="character" w:customStyle="1" w:styleId="208">
    <w:name w:val="页脚 字符1"/>
    <w:basedOn w:val="126"/>
    <w:semiHidden/>
    <w:qFormat/>
    <w:uiPriority w:val="99"/>
    <w:rPr>
      <w:sz w:val="18"/>
      <w:szCs w:val="18"/>
    </w:rPr>
  </w:style>
  <w:style w:type="character" w:customStyle="1" w:styleId="209">
    <w:name w:val="页脚 Char1"/>
    <w:basedOn w:val="126"/>
    <w:semiHidden/>
    <w:qFormat/>
    <w:uiPriority w:val="99"/>
    <w:rPr>
      <w:rFonts w:ascii="Times New Roman" w:hAnsi="Times New Roman" w:eastAsia="宋体" w:cs="Times New Roman"/>
      <w:sz w:val="18"/>
      <w:szCs w:val="18"/>
    </w:rPr>
  </w:style>
  <w:style w:type="character" w:customStyle="1" w:styleId="210">
    <w:name w:val="信息标题 字符1"/>
    <w:basedOn w:val="126"/>
    <w:semiHidden/>
    <w:qFormat/>
    <w:uiPriority w:val="99"/>
    <w:rPr>
      <w:rFonts w:asciiTheme="majorHAnsi" w:hAnsiTheme="majorHAnsi" w:eastAsiaTheme="majorEastAsia" w:cstheme="majorBidi"/>
      <w:sz w:val="24"/>
      <w:szCs w:val="24"/>
      <w:shd w:val="pct20" w:color="auto" w:fill="auto"/>
    </w:rPr>
  </w:style>
  <w:style w:type="character" w:customStyle="1" w:styleId="211">
    <w:name w:val="信息标题 Char1"/>
    <w:basedOn w:val="126"/>
    <w:semiHidden/>
    <w:qFormat/>
    <w:uiPriority w:val="99"/>
    <w:rPr>
      <w:rFonts w:asciiTheme="majorHAnsi" w:hAnsiTheme="majorHAnsi" w:eastAsiaTheme="majorEastAsia" w:cstheme="majorBidi"/>
      <w:sz w:val="24"/>
      <w:szCs w:val="24"/>
      <w:shd w:val="pct20" w:color="auto" w:fill="auto"/>
    </w:rPr>
  </w:style>
  <w:style w:type="paragraph" w:customStyle="1" w:styleId="212">
    <w:name w:val="ggbody"/>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3">
    <w:name w:val="ggtitle"/>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4">
    <w:name w:val="style93"/>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15">
    <w:name w:val="纯文本 Char1"/>
    <w:qFormat/>
    <w:uiPriority w:val="0"/>
    <w:rPr>
      <w:rFonts w:ascii="宋体" w:hAnsi="Courier New" w:cs="Courier New"/>
      <w:kern w:val="2"/>
      <w:sz w:val="21"/>
      <w:szCs w:val="21"/>
    </w:rPr>
  </w:style>
  <w:style w:type="character" w:customStyle="1" w:styleId="216">
    <w:name w:val="Char Char23"/>
    <w:semiHidden/>
    <w:qFormat/>
    <w:uiPriority w:val="0"/>
    <w:rPr>
      <w:rFonts w:ascii="Times New Roman" w:hAnsi="Times New Roman" w:eastAsia="宋体" w:cs="Times New Roman"/>
      <w:b/>
      <w:bCs/>
      <w:szCs w:val="24"/>
    </w:rPr>
  </w:style>
  <w:style w:type="character" w:customStyle="1" w:styleId="217">
    <w:name w:val="尾注文本 字符"/>
    <w:link w:val="49"/>
    <w:semiHidden/>
    <w:qFormat/>
    <w:uiPriority w:val="0"/>
    <w:rPr>
      <w:rFonts w:ascii="Times New Roman" w:hAnsi="Times New Roman" w:eastAsia="宋体" w:cs="Times New Roman"/>
      <w:szCs w:val="24"/>
    </w:rPr>
  </w:style>
  <w:style w:type="character" w:customStyle="1" w:styleId="218">
    <w:name w:val="脚注文本 字符"/>
    <w:link w:val="63"/>
    <w:semiHidden/>
    <w:qFormat/>
    <w:uiPriority w:val="0"/>
    <w:rPr>
      <w:rFonts w:ascii="Times New Roman" w:hAnsi="Times New Roman" w:eastAsia="宋体" w:cs="Times New Roman"/>
      <w:sz w:val="18"/>
      <w:szCs w:val="20"/>
    </w:rPr>
  </w:style>
  <w:style w:type="character" w:customStyle="1" w:styleId="219">
    <w:name w:val="脚注文本 字符1"/>
    <w:basedOn w:val="126"/>
    <w:semiHidden/>
    <w:qFormat/>
    <w:uiPriority w:val="99"/>
    <w:rPr>
      <w:sz w:val="18"/>
      <w:szCs w:val="18"/>
    </w:rPr>
  </w:style>
  <w:style w:type="character" w:customStyle="1" w:styleId="220">
    <w:name w:val="脚注文本 Char1"/>
    <w:basedOn w:val="126"/>
    <w:semiHidden/>
    <w:qFormat/>
    <w:uiPriority w:val="99"/>
    <w:rPr>
      <w:rFonts w:ascii="Times New Roman" w:hAnsi="Times New Roman" w:eastAsia="宋体" w:cs="Times New Roman"/>
      <w:sz w:val="18"/>
      <w:szCs w:val="18"/>
    </w:rPr>
  </w:style>
  <w:style w:type="character" w:customStyle="1" w:styleId="221">
    <w:name w:val="尾注文本 字符1"/>
    <w:basedOn w:val="126"/>
    <w:semiHidden/>
    <w:qFormat/>
    <w:uiPriority w:val="99"/>
  </w:style>
  <w:style w:type="character" w:customStyle="1" w:styleId="222">
    <w:name w:val="尾注文本 Char1"/>
    <w:basedOn w:val="126"/>
    <w:semiHidden/>
    <w:qFormat/>
    <w:uiPriority w:val="99"/>
    <w:rPr>
      <w:rFonts w:ascii="Times New Roman" w:hAnsi="Times New Roman" w:eastAsia="宋体" w:cs="Times New Roman"/>
      <w:szCs w:val="20"/>
    </w:rPr>
  </w:style>
  <w:style w:type="paragraph" w:customStyle="1" w:styleId="223">
    <w:name w:val="z-窗体顶端1"/>
    <w:basedOn w:val="1"/>
    <w:next w:val="1"/>
    <w:link w:val="224"/>
    <w:unhideWhenUsed/>
    <w:qFormat/>
    <w:uiPriority w:val="99"/>
    <w:pPr>
      <w:widowControl/>
      <w:pBdr>
        <w:bottom w:val="single" w:color="auto" w:sz="6" w:space="1"/>
      </w:pBdr>
      <w:jc w:val="center"/>
    </w:pPr>
    <w:rPr>
      <w:rFonts w:ascii="Arial" w:hAnsi="Arial" w:eastAsia="宋体" w:cs="Times New Roman"/>
      <w:vanish/>
      <w:kern w:val="0"/>
      <w:sz w:val="16"/>
      <w:szCs w:val="16"/>
    </w:rPr>
  </w:style>
  <w:style w:type="character" w:customStyle="1" w:styleId="224">
    <w:name w:val="z-窗体顶端 字符"/>
    <w:basedOn w:val="126"/>
    <w:link w:val="223"/>
    <w:qFormat/>
    <w:uiPriority w:val="99"/>
    <w:rPr>
      <w:rFonts w:ascii="Arial" w:hAnsi="Arial" w:eastAsia="宋体" w:cs="Times New Roman"/>
      <w:vanish/>
      <w:kern w:val="0"/>
      <w:sz w:val="16"/>
      <w:szCs w:val="16"/>
    </w:rPr>
  </w:style>
  <w:style w:type="paragraph" w:customStyle="1" w:styleId="225">
    <w:name w:val="z-窗体底端1"/>
    <w:basedOn w:val="1"/>
    <w:next w:val="1"/>
    <w:link w:val="226"/>
    <w:unhideWhenUsed/>
    <w:qFormat/>
    <w:uiPriority w:val="99"/>
    <w:pPr>
      <w:widowControl/>
      <w:pBdr>
        <w:top w:val="single" w:color="auto" w:sz="6" w:space="1"/>
      </w:pBdr>
      <w:jc w:val="center"/>
    </w:pPr>
    <w:rPr>
      <w:rFonts w:ascii="Arial" w:hAnsi="Arial" w:eastAsia="宋体" w:cs="Times New Roman"/>
      <w:vanish/>
      <w:kern w:val="0"/>
      <w:sz w:val="16"/>
      <w:szCs w:val="16"/>
    </w:rPr>
  </w:style>
  <w:style w:type="character" w:customStyle="1" w:styleId="226">
    <w:name w:val="z-窗体底端 字符"/>
    <w:basedOn w:val="126"/>
    <w:link w:val="225"/>
    <w:qFormat/>
    <w:uiPriority w:val="99"/>
    <w:rPr>
      <w:rFonts w:ascii="Arial" w:hAnsi="Arial" w:eastAsia="宋体" w:cs="Times New Roman"/>
      <w:vanish/>
      <w:kern w:val="0"/>
      <w:sz w:val="16"/>
      <w:szCs w:val="16"/>
    </w:rPr>
  </w:style>
  <w:style w:type="character" w:customStyle="1" w:styleId="227">
    <w:name w:val="日期 字符"/>
    <w:basedOn w:val="126"/>
    <w:link w:val="47"/>
    <w:semiHidden/>
    <w:qFormat/>
    <w:uiPriority w:val="0"/>
    <w:rPr>
      <w:rFonts w:ascii="Times New Roman" w:hAnsi="Times New Roman" w:eastAsia="宋体" w:cs="Times New Roman"/>
      <w:szCs w:val="20"/>
    </w:rPr>
  </w:style>
  <w:style w:type="paragraph" w:customStyle="1" w:styleId="228">
    <w:name w:val="_Style 10"/>
    <w:qFormat/>
    <w:uiPriority w:val="0"/>
    <w:rPr>
      <w:rFonts w:ascii="Calibri" w:hAnsi="Calibri" w:eastAsia="宋体" w:cs="Times New Roman"/>
      <w:kern w:val="2"/>
      <w:sz w:val="21"/>
      <w:szCs w:val="22"/>
      <w:lang w:val="en-US" w:eastAsia="zh-CN" w:bidi="ar-SA"/>
    </w:rPr>
  </w:style>
  <w:style w:type="paragraph" w:styleId="229">
    <w:name w:val="List Paragraph"/>
    <w:basedOn w:val="1"/>
    <w:qFormat/>
    <w:uiPriority w:val="34"/>
    <w:pPr>
      <w:ind w:firstLine="420" w:firstLineChars="200"/>
    </w:pPr>
    <w:rPr>
      <w:rFonts w:ascii="Times New Roman" w:hAnsi="Times New Roman" w:eastAsia="宋体" w:cs="Times New Roman"/>
      <w:szCs w:val="20"/>
    </w:rPr>
  </w:style>
  <w:style w:type="paragraph" w:customStyle="1" w:styleId="230">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F5597" w:themeColor="accent1" w:themeShade="BF"/>
      <w:kern w:val="0"/>
      <w:sz w:val="28"/>
      <w:szCs w:val="28"/>
    </w:rPr>
  </w:style>
  <w:style w:type="paragraph" w:customStyle="1" w:styleId="231">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83</Pages>
  <Words>27689</Words>
  <Characters>30249</Characters>
  <Lines>273</Lines>
  <Paragraphs>76</Paragraphs>
  <TotalTime>2</TotalTime>
  <ScaleCrop>false</ScaleCrop>
  <LinksUpToDate>false</LinksUpToDate>
  <CharactersWithSpaces>31622</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2021-11-02T01:01:00Z</dcterms:created>
  <dc:creator>靳 欢</dc:creator>
  <cp:lastModifiedBy>Administrator</cp:lastModifiedBy>
  <dcterms:modified xsi:type="dcterms:W3CDTF">2025-07-03T04:02:32Z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C4CF3D0DC04E49FBB67867E54EF4B225</vt:lpwstr>
  </property>
  <property fmtid="{D5CDD505-2E9C-101B-9397-08002B2CF9AE}" pid="4" name="KSOTemplateDocerSaveRecord">
    <vt:lpwstr>eyJoZGlkIjoiMjgxNDIzNjM1OWU4NDRiM2NkZjUzMDIwMzcyZjAzYmEiLCJ1c2VySWQiOiIzMTY4Njk4MDUifQ==</vt:lpwstr>
  </property>
</Properties>
</file>